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rPr>
          <w:rFonts w:ascii="Times New Roman" w:hAnsi="Times New Roman" w:cs="David"/>
          <w:b w:val="0"/>
          <w:bCs w:val="0"/>
          <w:color w:val="auto"/>
          <w:sz w:val="32"/>
          <w:szCs w:val="32"/>
        </w:rPr>
        <w:id w:val="-758902378"/>
        <w:docPartObj>
          <w:docPartGallery w:val="Cover Pages"/>
          <w:docPartUnique/>
        </w:docPartObj>
      </w:sdtPr>
      <w:sdtEndPr>
        <w:rPr>
          <w:sz w:val="22"/>
          <w:szCs w:val="22"/>
        </w:rPr>
      </w:sdtEndPr>
      <w:sdtContent>
        <w:p w:rsidR="009E10F4" w:rsidRPr="003C0C22" w:rsidP="00D963D2" w14:paraId="03E16566" w14:textId="3F099F47">
          <w:pPr>
            <w:pStyle w:val="7125"/>
            <w:bidi w:val="0"/>
            <w:spacing w:before="0" w:after="0"/>
            <w:ind w:right="2778"/>
            <w:jc w:val="center"/>
            <w:rPr>
              <w:sz w:val="32"/>
              <w:szCs w:val="32"/>
              <w:rtl/>
            </w:rPr>
          </w:pPr>
          <w:r w:rsidRPr="003C0C22">
            <w:rPr>
              <w:sz w:val="32"/>
              <w:szCs w:val="32"/>
            </w:rPr>
            <w:t>State Comptroller Report</w:t>
          </w:r>
        </w:p>
        <w:p w:rsidR="009E10F4" w:rsidRPr="00852AF4" w:rsidP="00852AF4" w14:paraId="78FB9D1E" w14:textId="3F435104">
          <w:pPr>
            <w:pStyle w:val="7125"/>
            <w:bidi w:val="0"/>
            <w:spacing w:before="80" w:after="0"/>
            <w:ind w:left="284" w:right="2608" w:hanging="1"/>
            <w:jc w:val="center"/>
            <w:rPr>
              <w:b w:val="0"/>
              <w:bCs w:val="0"/>
              <w:spacing w:val="410"/>
              <w:sz w:val="28"/>
              <w:szCs w:val="28"/>
              <w:rtl/>
            </w:rPr>
          </w:pPr>
          <w:r w:rsidRPr="00852AF4">
            <w:rPr>
              <w:b w:val="0"/>
              <w:bCs w:val="0"/>
              <w:spacing w:val="410"/>
              <w:sz w:val="28"/>
              <w:szCs w:val="28"/>
            </w:rPr>
            <w:t>Ma</w:t>
          </w:r>
          <w:r w:rsidRPr="00852AF4" w:rsidR="00852AF4">
            <w:rPr>
              <w:b w:val="0"/>
              <w:bCs w:val="0"/>
              <w:spacing w:val="410"/>
              <w:sz w:val="28"/>
              <w:szCs w:val="28"/>
            </w:rPr>
            <w:t>y</w:t>
          </w:r>
          <w:r w:rsidRPr="00852AF4">
            <w:rPr>
              <w:spacing w:val="410"/>
              <w:sz w:val="28"/>
              <w:szCs w:val="28"/>
            </w:rPr>
            <w:t xml:space="preserve"> </w:t>
          </w:r>
          <w:r w:rsidRPr="00852AF4">
            <w:rPr>
              <w:rFonts w:hint="cs"/>
              <w:b w:val="0"/>
              <w:bCs w:val="0"/>
              <w:spacing w:val="410"/>
              <w:sz w:val="28"/>
              <w:szCs w:val="28"/>
              <w:rtl/>
            </w:rPr>
            <w:t>202</w:t>
          </w:r>
          <w:r w:rsidRPr="00852AF4" w:rsidR="00852AF4">
            <w:rPr>
              <w:b w:val="0"/>
              <w:bCs w:val="0"/>
              <w:spacing w:val="410"/>
              <w:sz w:val="28"/>
              <w:szCs w:val="28"/>
            </w:rPr>
            <w:t>3</w:t>
          </w:r>
        </w:p>
        <w:p w:rsidR="009E10F4" w:rsidRPr="00810FB6" w:rsidP="00852AF4" w14:paraId="67C78866" w14:textId="3273B21A">
          <w:pPr>
            <w:pStyle w:val="7125"/>
            <w:bidi w:val="0"/>
            <w:spacing w:before="180" w:after="0"/>
            <w:ind w:left="-56" w:right="2692" w:hanging="1"/>
            <w:jc w:val="center"/>
            <w:rPr>
              <w:b w:val="0"/>
              <w:bCs w:val="0"/>
              <w:spacing w:val="160"/>
              <w:sz w:val="38"/>
              <w:szCs w:val="38"/>
            </w:rPr>
          </w:pPr>
          <w:r w:rsidRPr="00810FB6">
            <w:rPr>
              <w:rFonts w:hint="cs"/>
              <w:b w:val="0"/>
              <w:bCs w:val="0"/>
              <w:noProof/>
              <w:spacing w:val="160"/>
              <w:sz w:val="38"/>
              <w:szCs w:val="38"/>
              <w:rtl/>
            </w:rPr>
            <mc:AlternateContent>
              <mc:Choice Requires="wps">
                <w:drawing>
                  <wp:anchor distT="0" distB="0" distL="114300" distR="114300" simplePos="0" relativeHeight="251688960" behindDoc="0" locked="0" layoutInCell="1" allowOverlap="1">
                    <wp:simplePos x="0" y="0"/>
                    <wp:positionH relativeFrom="column">
                      <wp:posOffset>188323</wp:posOffset>
                    </wp:positionH>
                    <wp:positionV relativeFrom="paragraph">
                      <wp:posOffset>41184</wp:posOffset>
                    </wp:positionV>
                    <wp:extent cx="2560320" cy="0"/>
                    <wp:effectExtent l="0" t="0" r="17780" b="12700"/>
                    <wp:wrapNone/>
                    <wp:docPr id="5"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5603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9984" from="14.85pt,3.25pt" to="216.45pt,3.25pt" strokecolor="#00305f" strokeweight="1pt"/>
                </w:pict>
              </mc:Fallback>
            </mc:AlternateContent>
          </w:r>
          <w:r w:rsidRPr="00810FB6">
            <w:rPr>
              <w:b w:val="0"/>
              <w:bCs w:val="0"/>
              <w:spacing w:val="160"/>
              <w:sz w:val="38"/>
              <w:szCs w:val="38"/>
            </w:rPr>
            <w:t>Abstracts</w:t>
          </w:r>
        </w:p>
        <w:p w:rsidR="00D963D2" w:rsidP="00D963D2" w14:paraId="5E1893C3" w14:textId="77777777">
          <w:pPr>
            <w:pStyle w:val="7125"/>
            <w:bidi w:val="0"/>
            <w:spacing w:before="120" w:after="0"/>
            <w:ind w:right="2778" w:hanging="1"/>
            <w:jc w:val="center"/>
            <w:rPr>
              <w:b w:val="0"/>
              <w:bCs w:val="0"/>
              <w:spacing w:val="148"/>
              <w:sz w:val="36"/>
              <w:szCs w:val="36"/>
              <w:rtl/>
            </w:rPr>
          </w:pPr>
        </w:p>
        <w:p w:rsidR="009E10F4" w14:paraId="3B2E64CF" w14:textId="133C8BF1">
          <w:pPr>
            <w:bidi w:val="0"/>
            <w:spacing w:after="200" w:line="276" w:lineRule="auto"/>
            <w:rPr>
              <w:rFonts w:ascii="Tahoma" w:hAnsi="Tahoma" w:cs="Tahoma"/>
              <w:sz w:val="22"/>
              <w:szCs w:val="22"/>
            </w:rPr>
          </w:pPr>
          <w:r>
            <w:rPr>
              <w:b/>
              <w:bCs/>
              <w:noProof/>
              <w:sz w:val="22"/>
              <w:szCs w:val="22"/>
              <w:rtl/>
              <w:lang w:val="he-IL"/>
            </w:rPr>
            <mc:AlternateContent>
              <mc:Choice Requires="wps">
                <w:drawing>
                  <wp:anchor distT="0" distB="0" distL="114300" distR="114300" simplePos="0" relativeHeight="251703296" behindDoc="0" locked="0" layoutInCell="1" allowOverlap="1">
                    <wp:simplePos x="0" y="0"/>
                    <wp:positionH relativeFrom="column">
                      <wp:posOffset>4329755</wp:posOffset>
                    </wp:positionH>
                    <wp:positionV relativeFrom="paragraph">
                      <wp:posOffset>5762758</wp:posOffset>
                    </wp:positionV>
                    <wp:extent cx="1063256" cy="616688"/>
                    <wp:effectExtent l="12700" t="12700" r="16510" b="18415"/>
                    <wp:wrapNone/>
                    <wp:docPr id="4"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063256" cy="6166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27" style="width:83.7pt;height:48.55pt;margin-top:453.75pt;margin-left:340.95pt;mso-wrap-distance-bottom:0;mso-wrap-distance-left:9pt;mso-wrap-distance-right:9pt;mso-wrap-distance-top:0;mso-wrap-style:square;position:absolute;visibility:visible;v-text-anchor:middle;z-index:251704320"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91008" behindDoc="0" locked="0" layoutInCell="1" allowOverlap="1">
                    <wp:simplePos x="0" y="0"/>
                    <wp:positionH relativeFrom="column">
                      <wp:posOffset>4290060</wp:posOffset>
                    </wp:positionH>
                    <wp:positionV relativeFrom="paragraph">
                      <wp:posOffset>5814241</wp:posOffset>
                    </wp:positionV>
                    <wp:extent cx="1454331" cy="923109"/>
                    <wp:effectExtent l="12700" t="12700" r="19050" b="17145"/>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28" style="width:114.5pt;height:72.7pt;margin-top:457.8pt;margin-left:337.8pt;mso-wrap-distance-bottom:0;mso-wrap-distance-left:9pt;mso-wrap-distance-right:9pt;mso-wrap-distance-top:0;mso-wrap-style:square;position:absolute;visibility:visible;v-text-anchor:middle;z-index:251692032" fillcolor="white" strokecolor="white" strokeweight="2pt"/>
                </w:pict>
              </mc:Fallback>
            </mc:AlternateContent>
          </w:r>
          <w:r w:rsidR="001A1E88">
            <w:rPr>
              <w:b/>
              <w:bCs/>
              <w:sz w:val="22"/>
              <w:szCs w:val="22"/>
              <w:rtl/>
            </w:rPr>
            <w:br w:type="page"/>
          </w:r>
          <w:r>
            <w:rPr>
              <w:b/>
              <w:bCs/>
              <w:noProof/>
              <w:sz w:val="22"/>
              <w:szCs w:val="22"/>
              <w:rtl/>
              <w:lang w:val="he-IL"/>
            </w:rPr>
            <mc:AlternateContent>
              <mc:Choice Requires="wps">
                <w:drawing>
                  <wp:anchor distT="0" distB="0" distL="114300" distR="114300" simplePos="0" relativeHeight="251693056" behindDoc="0" locked="0" layoutInCell="1" allowOverlap="1">
                    <wp:simplePos x="0" y="0"/>
                    <wp:positionH relativeFrom="column">
                      <wp:posOffset>3863612</wp:posOffset>
                    </wp:positionH>
                    <wp:positionV relativeFrom="paragraph">
                      <wp:posOffset>7004866</wp:posOffset>
                    </wp:positionV>
                    <wp:extent cx="1454331" cy="923109"/>
                    <wp:effectExtent l="12700" t="12700" r="19050" b="1714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29" style="width:114.5pt;height:72.7pt;margin-top:551.55pt;margin-left:304.2pt;mso-wrap-distance-bottom:0;mso-wrap-distance-left:9pt;mso-wrap-distance-right:9pt;mso-wrap-distance-top:0;mso-wrap-style:square;position:absolute;visibility:visible;v-text-anchor:middle;z-index:251694080" fillcolor="white" strokecolor="white" strokeweight="2pt"/>
                </w:pict>
              </mc:Fallback>
            </mc:AlternateContent>
          </w:r>
          <w:r>
            <w:rPr>
              <w:rFonts w:ascii="Tahoma" w:hAnsi="Tahoma" w:cs="Tahoma"/>
              <w:sz w:val="22"/>
              <w:szCs w:val="22"/>
            </w:rPr>
            <w:br w:type="page"/>
          </w:r>
        </w:p>
        <w:p w:rsidR="001A1E88" w14:paraId="14BE303F" w14:textId="46762AA1">
          <w:pPr>
            <w:bidi w:val="0"/>
            <w:spacing w:after="200" w:line="276" w:lineRule="auto"/>
            <w:rPr>
              <w:rFonts w:ascii="Tahoma" w:hAnsi="Tahoma" w:cs="Tahoma"/>
              <w:sz w:val="22"/>
              <w:szCs w:val="22"/>
              <w:rtl/>
            </w:rPr>
          </w:pPr>
          <w:r>
            <w:rPr>
              <w:noProof/>
              <w:color w:val="002060"/>
              <w:sz w:val="18"/>
              <w:szCs w:val="18"/>
            </w:rPr>
            <w:drawing>
              <wp:anchor distT="0" distB="0" distL="114300" distR="114300" simplePos="0" relativeHeight="251663360" behindDoc="0" locked="0" layoutInCell="1" allowOverlap="1">
                <wp:simplePos x="0" y="0"/>
                <wp:positionH relativeFrom="column">
                  <wp:posOffset>2109470</wp:posOffset>
                </wp:positionH>
                <wp:positionV relativeFrom="paragraph">
                  <wp:posOffset>191135</wp:posOffset>
                </wp:positionV>
                <wp:extent cx="431800" cy="518795"/>
                <wp:effectExtent l="0" t="0" r="0" b="1905"/>
                <wp:wrapNone/>
                <wp:docPr id="611"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576" descr="תמונה שמכילה טקסט&#10;&#10;התיאור נוצר באופן אוטומטי"/>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sdtContent>
    </w:sdt>
    <w:p w:rsidR="000615B4" w:rsidP="000615B4" w14:paraId="14B4D122" w14:textId="7AA10A8C">
      <w:pPr>
        <w:pStyle w:val="12021"/>
        <w:spacing w:before="480"/>
        <w:rPr>
          <w:sz w:val="52"/>
          <w:szCs w:val="52"/>
          <w:rtl/>
        </w:rPr>
      </w:pPr>
    </w:p>
    <w:p w:rsidR="000615B4" w:rsidRPr="007A76A0" w:rsidP="00697027" w14:paraId="77C7B959" w14:textId="612F1AC8">
      <w:pPr>
        <w:pStyle w:val="12021"/>
        <w:bidi w:val="0"/>
        <w:spacing w:before="480"/>
        <w:ind w:left="28"/>
        <w:rPr>
          <w:sz w:val="24"/>
          <w:szCs w:val="24"/>
          <w:rtl/>
        </w:rPr>
      </w:pPr>
      <w:r w:rsidRPr="00C85089">
        <w:rPr>
          <w:sz w:val="24"/>
          <w:szCs w:val="24"/>
        </w:rPr>
        <w:t>State of Israel</w:t>
      </w:r>
    </w:p>
    <w:p w:rsidR="000615B4" w:rsidP="000615B4" w14:paraId="441E8DC8" w14:textId="67236071">
      <w:pPr>
        <w:pStyle w:val="12021"/>
        <w:spacing w:before="480"/>
        <w:rPr>
          <w:sz w:val="52"/>
          <w:szCs w:val="52"/>
        </w:rPr>
      </w:pPr>
    </w:p>
    <w:p w:rsidR="00402757" w:rsidP="000615B4" w14:paraId="10B47431" w14:textId="38091580">
      <w:pPr>
        <w:pStyle w:val="12021"/>
        <w:spacing w:before="480"/>
        <w:rPr>
          <w:sz w:val="52"/>
          <w:szCs w:val="52"/>
          <w:rtl/>
        </w:rPr>
      </w:pPr>
    </w:p>
    <w:p w:rsidR="001A1E88" w:rsidRPr="00810FB6" w:rsidP="001A1E88" w14:paraId="6641FAF6" w14:textId="4E4E184B">
      <w:pPr>
        <w:pStyle w:val="12021"/>
        <w:bidi w:val="0"/>
        <w:spacing w:after="0" w:line="700" w:lineRule="exact"/>
        <w:rPr>
          <w:noProof/>
          <w:sz w:val="48"/>
          <w:szCs w:val="48"/>
          <w:rtl/>
        </w:rPr>
      </w:pPr>
      <w:r w:rsidRPr="00810FB6">
        <w:rPr>
          <w:sz w:val="48"/>
          <w:szCs w:val="48"/>
        </w:rPr>
        <w:t>State Comptroller</w:t>
      </w:r>
      <w:r w:rsidRPr="00810FB6">
        <w:rPr>
          <w:rFonts w:hint="cs"/>
          <w:sz w:val="48"/>
          <w:szCs w:val="48"/>
          <w:rtl/>
        </w:rPr>
        <w:t xml:space="preserve"> </w:t>
      </w:r>
      <w:r w:rsidRPr="00810FB6" w:rsidR="00141BD3">
        <w:rPr>
          <w:sz w:val="48"/>
          <w:szCs w:val="48"/>
        </w:rPr>
        <w:t>Report</w:t>
      </w:r>
    </w:p>
    <w:p w:rsidR="001A1E88" w:rsidRPr="00852AF4" w:rsidP="00852AF4" w14:paraId="00B7CF9C" w14:textId="61311E24">
      <w:pPr>
        <w:pStyle w:val="12021"/>
        <w:bidi w:val="0"/>
        <w:spacing w:before="0" w:line="700" w:lineRule="exact"/>
        <w:ind w:left="624"/>
        <w:rPr>
          <w:b w:val="0"/>
          <w:bCs w:val="0"/>
          <w:noProof/>
          <w:spacing w:val="660"/>
        </w:rPr>
      </w:pPr>
      <w:r w:rsidRPr="00852AF4">
        <w:rPr>
          <w:b w:val="0"/>
          <w:bCs w:val="0"/>
          <w:noProof/>
          <w:spacing w:val="660"/>
          <w14:textOutline w14:w="9525" w14:cap="rnd">
            <w14:noFill/>
            <w14:prstDash w14:val="solid"/>
            <w14:bevel/>
          </w14:textOutline>
        </w:rPr>
        <mc:AlternateContent>
          <mc:Choice Requires="wps">
            <w:drawing>
              <wp:anchor distT="0" distB="0" distL="114300" distR="114300" simplePos="0" relativeHeight="251686912" behindDoc="0" locked="0" layoutInCell="1" allowOverlap="1">
                <wp:simplePos x="0" y="0"/>
                <wp:positionH relativeFrom="column">
                  <wp:posOffset>399415</wp:posOffset>
                </wp:positionH>
                <wp:positionV relativeFrom="paragraph">
                  <wp:posOffset>536575</wp:posOffset>
                </wp:positionV>
                <wp:extent cx="3861165" cy="0"/>
                <wp:effectExtent l="0" t="12700" r="12700" b="12700"/>
                <wp:wrapNone/>
                <wp:docPr id="2123057087"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86116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0" style="mso-height-percent:0;mso-height-relative:margin;mso-width-percent:0;mso-width-relative:margin;mso-wrap-distance-bottom:0;mso-wrap-distance-left:9pt;mso-wrap-distance-right:9pt;mso-wrap-distance-top:0;mso-wrap-style:square;position:absolute;visibility:visible;z-index:251687936" from="31.45pt,42.25pt" to="335.5pt,42.25pt" strokecolor="#00305f" strokeweight="1.5pt"/>
            </w:pict>
          </mc:Fallback>
        </mc:AlternateContent>
      </w:r>
      <w:r w:rsidRPr="00852AF4">
        <w:rPr>
          <w:b w:val="0"/>
          <w:bCs w:val="0"/>
          <w:noProof/>
          <w:spacing w:val="660"/>
        </w:rPr>
        <w:t>Ma</w:t>
      </w:r>
      <w:r w:rsidRPr="00852AF4" w:rsidR="00852AF4">
        <w:rPr>
          <w:b w:val="0"/>
          <w:bCs w:val="0"/>
          <w:noProof/>
          <w:spacing w:val="660"/>
        </w:rPr>
        <w:t>y</w:t>
      </w:r>
      <w:r w:rsidRPr="00852AF4">
        <w:rPr>
          <w:b w:val="0"/>
          <w:bCs w:val="0"/>
          <w:noProof/>
          <w:spacing w:val="660"/>
        </w:rPr>
        <w:t xml:space="preserve"> 202</w:t>
      </w:r>
      <w:r w:rsidRPr="00852AF4" w:rsidR="00852AF4">
        <w:rPr>
          <w:b w:val="0"/>
          <w:bCs w:val="0"/>
          <w:noProof/>
          <w:spacing w:val="660"/>
        </w:rPr>
        <w:t>3</w:t>
      </w:r>
    </w:p>
    <w:p w:rsidR="00697F31" w:rsidRPr="00522B96" w:rsidP="00852AF4" w14:paraId="0C52A523" w14:textId="3579E9E1">
      <w:pPr>
        <w:pStyle w:val="12021"/>
        <w:bidi w:val="0"/>
        <w:spacing w:before="240" w:line="700" w:lineRule="exact"/>
        <w:ind w:left="-227"/>
        <w:rPr>
          <w:b w:val="0"/>
          <w:bCs w:val="0"/>
          <w:spacing w:val="214"/>
          <w:sz w:val="48"/>
          <w:szCs w:val="48"/>
        </w:rPr>
      </w:pPr>
      <w:r w:rsidRPr="00522B96">
        <w:rPr>
          <w:b w:val="0"/>
          <w:bCs w:val="0"/>
          <w:spacing w:val="214"/>
          <w:sz w:val="48"/>
          <w:szCs w:val="48"/>
        </w:rPr>
        <w:t>Abstracts</w:t>
      </w:r>
    </w:p>
    <w:p w:rsidR="000615B4" w:rsidP="00697F31" w14:paraId="4A8FB872" w14:textId="5995F852">
      <w:pPr>
        <w:spacing w:line="240" w:lineRule="atLeast"/>
        <w:rPr>
          <w:rFonts w:ascii="Tahoma" w:hAnsi="Tahoma" w:cs="Tahoma"/>
          <w:sz w:val="22"/>
          <w:szCs w:val="22"/>
          <w:rtl/>
        </w:rPr>
      </w:pPr>
    </w:p>
    <w:p w:rsidR="000615B4" w:rsidP="000615B4" w14:paraId="06A3C1A3" w14:textId="77777777">
      <w:pPr>
        <w:spacing w:line="240" w:lineRule="atLeast"/>
        <w:rPr>
          <w:rFonts w:ascii="Tahoma" w:hAnsi="Tahoma" w:cs="Tahoma"/>
          <w:sz w:val="22"/>
          <w:szCs w:val="22"/>
          <w:rtl/>
        </w:rPr>
      </w:pPr>
    </w:p>
    <w:p w:rsidR="000615B4" w:rsidP="000615B4" w14:paraId="534843FC" w14:textId="0C553859">
      <w:pPr>
        <w:spacing w:line="240" w:lineRule="atLeast"/>
        <w:rPr>
          <w:rFonts w:ascii="Tahoma" w:hAnsi="Tahoma" w:cs="Tahoma"/>
          <w:sz w:val="22"/>
          <w:szCs w:val="22"/>
        </w:rPr>
      </w:pPr>
    </w:p>
    <w:p w:rsidR="000615B4" w:rsidP="000615B4" w14:paraId="3A4268AA" w14:textId="5E7407D8">
      <w:pPr>
        <w:spacing w:line="240" w:lineRule="atLeast"/>
        <w:rPr>
          <w:rFonts w:ascii="Tahoma" w:hAnsi="Tahoma" w:cs="Tahoma"/>
          <w:sz w:val="22"/>
          <w:szCs w:val="22"/>
        </w:rPr>
      </w:pPr>
    </w:p>
    <w:p w:rsidR="009E10F4" w:rsidP="000615B4" w14:paraId="245DD48B" w14:textId="3EAFA1A0">
      <w:pPr>
        <w:spacing w:line="240" w:lineRule="atLeast"/>
        <w:rPr>
          <w:rFonts w:ascii="Tahoma" w:hAnsi="Tahoma" w:cs="Tahoma"/>
          <w:sz w:val="22"/>
          <w:szCs w:val="22"/>
        </w:rPr>
      </w:pPr>
    </w:p>
    <w:p w:rsidR="009E10F4" w:rsidP="000615B4" w14:paraId="72D85BC0" w14:textId="0B0CDC41">
      <w:pPr>
        <w:spacing w:line="240" w:lineRule="atLeast"/>
        <w:rPr>
          <w:rFonts w:ascii="Tahoma" w:hAnsi="Tahoma" w:cs="Tahoma"/>
          <w:sz w:val="22"/>
          <w:szCs w:val="22"/>
        </w:rPr>
      </w:pPr>
    </w:p>
    <w:p w:rsidR="009E10F4" w:rsidP="000615B4" w14:paraId="78570A36" w14:textId="3E2FA570">
      <w:pPr>
        <w:spacing w:line="240" w:lineRule="atLeast"/>
        <w:rPr>
          <w:rFonts w:ascii="Tahoma" w:hAnsi="Tahoma" w:cs="Tahoma"/>
          <w:sz w:val="22"/>
          <w:szCs w:val="22"/>
        </w:rPr>
      </w:pPr>
    </w:p>
    <w:p w:rsidR="009E10F4" w:rsidP="000615B4" w14:paraId="44EAA236" w14:textId="03B74CAA">
      <w:pPr>
        <w:spacing w:line="240" w:lineRule="atLeast"/>
        <w:rPr>
          <w:rFonts w:ascii="Tahoma" w:hAnsi="Tahoma" w:cs="Tahoma"/>
          <w:sz w:val="22"/>
          <w:szCs w:val="22"/>
          <w:rtl/>
        </w:rPr>
      </w:pPr>
    </w:p>
    <w:p w:rsidR="000615B4" w:rsidP="000615B4" w14:paraId="20B60917" w14:textId="779051DA">
      <w:pPr>
        <w:spacing w:line="240" w:lineRule="atLeast"/>
        <w:rPr>
          <w:rFonts w:ascii="Tahoma" w:hAnsi="Tahoma" w:cs="Tahoma"/>
          <w:sz w:val="22"/>
          <w:szCs w:val="22"/>
        </w:rPr>
      </w:pPr>
    </w:p>
    <w:p w:rsidR="00C158FE" w:rsidRPr="00C158FE" w:rsidP="000615B4" w14:paraId="76A115FF" w14:textId="67FAEB1E">
      <w:pPr>
        <w:spacing w:line="240" w:lineRule="atLeast"/>
        <w:rPr>
          <w:rFonts w:ascii="Tahoma" w:hAnsi="Tahoma" w:cs="Tahoma"/>
          <w:sz w:val="22"/>
          <w:szCs w:val="22"/>
        </w:rPr>
      </w:pPr>
      <w:r>
        <w:rPr>
          <w:rFonts w:ascii="Tahoma" w:hAnsi="Tahoma" w:cs="Tahoma"/>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-736600</wp:posOffset>
                </wp:positionH>
                <wp:positionV relativeFrom="paragraph">
                  <wp:posOffset>788307</wp:posOffset>
                </wp:positionV>
                <wp:extent cx="1048043" cy="703384"/>
                <wp:effectExtent l="12700" t="12700" r="19050" b="8255"/>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48043" cy="703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1" style="width:82.5pt;height:55.4pt;margin-top:62.05pt;margin-left:-58pt;mso-wrap-distance-bottom:0;mso-wrap-distance-left:9pt;mso-wrap-distance-right:9pt;mso-wrap-distance-top:0;mso-wrap-style:square;position:absolute;visibility:visible;v-text-anchor:middle;z-index:251677696" fillcolor="white" strokecolor="white" strokeweight="2pt"/>
            </w:pict>
          </mc:Fallback>
        </mc:AlternateContent>
      </w:r>
    </w:p>
    <w:p w:rsidR="00402757" w:rsidP="000615B4" w14:paraId="036CFED0" w14:textId="05841745">
      <w:pPr>
        <w:spacing w:line="240" w:lineRule="atLeast"/>
        <w:rPr>
          <w:rFonts w:ascii="Tahoma" w:hAnsi="Tahoma" w:cs="Tahoma"/>
          <w:sz w:val="22"/>
          <w:szCs w:val="22"/>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1781175</wp:posOffset>
            </wp:positionH>
            <wp:positionV relativeFrom="paragraph">
              <wp:posOffset>167005</wp:posOffset>
            </wp:positionV>
            <wp:extent cx="1010285" cy="707390"/>
            <wp:effectExtent l="0" t="0" r="0" b="0"/>
            <wp:wrapSquare wrapText="bothSides"/>
            <wp:docPr id="6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402757" w:rsidP="000615B4" w14:paraId="25127AC0" w14:textId="16BD09F4">
      <w:pPr>
        <w:spacing w:line="240" w:lineRule="atLeast"/>
        <w:rPr>
          <w:rFonts w:ascii="Tahoma" w:hAnsi="Tahoma" w:cs="Tahoma"/>
          <w:sz w:val="22"/>
          <w:szCs w:val="22"/>
          <w:rtl/>
        </w:rPr>
      </w:pPr>
    </w:p>
    <w:p w:rsidR="000615B4" w:rsidP="000615B4" w14:paraId="02878E34" w14:textId="2876A559">
      <w:pPr>
        <w:spacing w:line="240" w:lineRule="atLeast"/>
        <w:rPr>
          <w:rFonts w:ascii="Tahoma" w:hAnsi="Tahoma" w:cs="Tahoma"/>
          <w:sz w:val="22"/>
          <w:szCs w:val="22"/>
          <w:rtl/>
        </w:rPr>
      </w:pPr>
    </w:p>
    <w:p w:rsidR="000615B4" w:rsidP="000615B4" w14:paraId="25670203" w14:textId="4F045FC6">
      <w:pPr>
        <w:spacing w:line="240" w:lineRule="atLeast"/>
        <w:rPr>
          <w:rFonts w:ascii="Tahoma" w:hAnsi="Tahoma" w:cs="Tahoma"/>
          <w:sz w:val="22"/>
          <w:szCs w:val="22"/>
          <w:rtl/>
        </w:rPr>
      </w:pPr>
    </w:p>
    <w:p w:rsidR="000615B4" w:rsidP="000615B4" w14:paraId="7BC4EB81" w14:textId="03F94948">
      <w:pPr>
        <w:spacing w:line="240" w:lineRule="atLeast"/>
        <w:jc w:val="center"/>
        <w:rPr>
          <w:rFonts w:ascii="Tahoma" w:hAnsi="Tahoma" w:cs="Tahoma"/>
          <w:sz w:val="24"/>
          <w:rtl/>
        </w:rPr>
      </w:pPr>
    </w:p>
    <w:p w:rsidR="000615B4" w:rsidP="000615B4" w14:paraId="4C8BB078" w14:textId="7EF6FA18">
      <w:pPr>
        <w:bidi w:val="0"/>
        <w:spacing w:line="240" w:lineRule="atLeast"/>
        <w:jc w:val="center"/>
        <w:rPr>
          <w:rFonts w:ascii="Tahoma" w:hAnsi="Tahoma" w:cs="Tahoma"/>
          <w:sz w:val="24"/>
        </w:rPr>
      </w:pPr>
    </w:p>
    <w:p w:rsidR="009E10F4" w:rsidRPr="00112923" w:rsidP="009E10F4" w14:paraId="3D93FAA1" w14:textId="4F8AA2F8">
      <w:pPr>
        <w:bidi w:val="0"/>
        <w:spacing w:line="240" w:lineRule="atLeast"/>
        <w:jc w:val="center"/>
        <w:rPr>
          <w:rFonts w:ascii="Tahoma" w:hAnsi="Tahoma" w:cs="Tahoma"/>
          <w:sz w:val="24"/>
          <w:rtl/>
        </w:rPr>
      </w:pPr>
      <w:r>
        <w:rPr>
          <w:b/>
          <w:bCs/>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-843008</wp:posOffset>
                </wp:positionH>
                <wp:positionV relativeFrom="paragraph">
                  <wp:posOffset>475615</wp:posOffset>
                </wp:positionV>
                <wp:extent cx="1454331" cy="923109"/>
                <wp:effectExtent l="12700" t="12700" r="19050" b="17145"/>
                <wp:wrapNone/>
                <wp:docPr id="33" name="מלבן 3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3" o:spid="_x0000_s1032" style="width:114.5pt;height:72.7pt;margin-top:37.45pt;margin-left:-66.4pt;mso-wrap-distance-bottom:0;mso-wrap-distance-left:9pt;mso-wrap-distance-right:9pt;mso-wrap-distance-top:0;mso-wrap-style:square;position:absolute;visibility:visible;v-text-anchor:middle;z-index:251698176" fillcolor="white" strokecolor="white" strokeweight="2pt"/>
            </w:pict>
          </mc:Fallback>
        </mc:AlternateContent>
      </w:r>
      <w:r>
        <w:rPr>
          <w:rFonts w:ascii="Tahoma" w:hAnsi="Tahoma" w:cs="Tahoma"/>
          <w:sz w:val="24"/>
        </w:rPr>
        <w:t>Office of the State Comptroller</w:t>
      </w:r>
      <w:r>
        <w:rPr>
          <w:rFonts w:ascii="Tahoma" w:hAnsi="Tahoma" w:cs="Tahoma" w:hint="cs"/>
          <w:sz w:val="24"/>
          <w:rtl/>
        </w:rPr>
        <w:t xml:space="preserve"> | </w:t>
      </w:r>
      <w:r>
        <w:rPr>
          <w:rFonts w:ascii="Tahoma" w:hAnsi="Tahoma" w:cs="Tahoma" w:hint="cs"/>
          <w:sz w:val="24"/>
        </w:rPr>
        <w:t>J</w:t>
      </w:r>
      <w:r>
        <w:rPr>
          <w:rFonts w:ascii="Tahoma" w:hAnsi="Tahoma" w:cs="Tahoma"/>
          <w:sz w:val="24"/>
        </w:rPr>
        <w:t>erusalem</w:t>
      </w:r>
    </w:p>
    <w:p w:rsidR="00C32B66" w:rsidRPr="00976119" w:rsidP="009E10F4" w14:paraId="1E0A7CF6" w14:textId="3D920AB6">
      <w:pPr>
        <w:bidi w:val="0"/>
        <w:spacing w:line="240" w:lineRule="atLeast"/>
        <w:jc w:val="center"/>
        <w:rPr>
          <w:b/>
          <w:bCs/>
          <w:spacing w:val="140"/>
          <w:sz w:val="50"/>
          <w:szCs w:val="50"/>
          <w:rtl/>
        </w:rPr>
      </w:pPr>
    </w:p>
    <w:p w:rsidR="00035688" w:rsidP="00BA14FE" w14:paraId="54C6801D" w14:textId="16D66B76">
      <w:pPr>
        <w:spacing w:line="240" w:lineRule="atLeast"/>
        <w:rPr>
          <w:rFonts w:ascii="Tahoma" w:hAnsi="Tahoma" w:cs="Tahoma"/>
          <w:sz w:val="22"/>
          <w:szCs w:val="22"/>
          <w:rtl/>
        </w:rPr>
      </w:pPr>
    </w:p>
    <w:p w:rsidR="009C0D3F" w:rsidP="00BA14FE" w14:paraId="056AC312" w14:textId="1CB5857C">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4384" behindDoc="0" locked="0" layoutInCell="1" allowOverlap="1">
                <wp:simplePos x="0" y="0"/>
                <wp:positionH relativeFrom="column">
                  <wp:posOffset>-1387475</wp:posOffset>
                </wp:positionH>
                <wp:positionV relativeFrom="paragraph">
                  <wp:posOffset>286113</wp:posOffset>
                </wp:positionV>
                <wp:extent cx="7705725" cy="886938"/>
                <wp:effectExtent l="0" t="0" r="3175" b="2540"/>
                <wp:wrapNone/>
                <wp:docPr id="6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886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3" style="width:606.75pt;height:69.85pt;margin-top:22.55pt;margin-left:-109.25pt;mso-height-percent:0;mso-height-relative:margin;mso-width-percent:0;mso-width-relative:margin;mso-wrap-distance-bottom:0;mso-wrap-distance-left:9pt;mso-wrap-distance-right:9pt;mso-wrap-distance-top:0;mso-wrap-style:square;position:absolute;visibility:visible;v-text-anchor:middle;z-index:251665408" fillcolor="white" stroked="f" strokeweight="2pt"/>
            </w:pict>
          </mc:Fallback>
        </mc:AlternateContent>
      </w:r>
    </w:p>
    <w:p w:rsidR="009C0D3F" w:rsidP="00BA14FE" w14:paraId="4B149749" w14:textId="7B64CAA9">
      <w:pPr>
        <w:spacing w:line="240" w:lineRule="atLeast"/>
        <w:rPr>
          <w:rFonts w:ascii="Tahoma" w:hAnsi="Tahoma" w:cs="Tahoma"/>
          <w:sz w:val="22"/>
          <w:szCs w:val="22"/>
          <w:rtl/>
        </w:rPr>
      </w:pPr>
    </w:p>
    <w:p w:rsidR="009C0D3F" w:rsidP="00BA14FE" w14:paraId="4A9449C4" w14:textId="45FF89BA">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0288" behindDoc="0" locked="0" layoutInCell="1" allowOverlap="1">
                <wp:simplePos x="0" y="0"/>
                <wp:positionH relativeFrom="column">
                  <wp:posOffset>-1477010</wp:posOffset>
                </wp:positionH>
                <wp:positionV relativeFrom="paragraph">
                  <wp:posOffset>239304</wp:posOffset>
                </wp:positionV>
                <wp:extent cx="7705725" cy="1009650"/>
                <wp:effectExtent l="0" t="0" r="9525"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4" style="width:606.75pt;height:79.5pt;margin-top:18.85pt;margin-left:-116.3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p>
    <w:p w:rsidR="009C0D3F" w:rsidP="00BA14FE" w14:paraId="3D7DFA0C" w14:textId="77777777">
      <w:pPr>
        <w:spacing w:line="240" w:lineRule="atLeast"/>
        <w:rPr>
          <w:rFonts w:ascii="Tahoma" w:hAnsi="Tahoma" w:cs="Tahoma"/>
          <w:sz w:val="22"/>
          <w:szCs w:val="22"/>
          <w:rtl/>
        </w:rPr>
      </w:pPr>
    </w:p>
    <w:p w:rsidR="009C0D3F" w:rsidP="00BA14FE" w14:paraId="6B694F7D" w14:textId="2EA7DFBB">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3C19A639">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1E87BD9F">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735E4AA0" w14:textId="5D0DFD2A">
      <w:pPr>
        <w:spacing w:line="240" w:lineRule="atLeast"/>
        <w:rPr>
          <w:rFonts w:ascii="Tahoma" w:hAnsi="Tahoma" w:cs="Tahoma"/>
          <w:sz w:val="22"/>
          <w:szCs w:val="22"/>
          <w:rtl/>
        </w:rPr>
      </w:pPr>
    </w:p>
    <w:p w:rsidR="009C0D3F" w:rsidP="00BA14FE" w14:paraId="220D50AA" w14:textId="1CD5D6F1">
      <w:pPr>
        <w:spacing w:line="240" w:lineRule="atLeast"/>
        <w:rPr>
          <w:rFonts w:ascii="Tahoma" w:hAnsi="Tahoma" w:cs="Tahoma"/>
          <w:sz w:val="22"/>
          <w:szCs w:val="22"/>
        </w:rPr>
      </w:pPr>
    </w:p>
    <w:p w:rsidR="00C158FE" w:rsidP="00BA14FE" w14:paraId="52A3A667" w14:textId="6B33A8DD">
      <w:pPr>
        <w:spacing w:line="240" w:lineRule="atLeast"/>
        <w:rPr>
          <w:rFonts w:ascii="Tahoma" w:hAnsi="Tahoma" w:cs="Tahoma"/>
          <w:sz w:val="22"/>
          <w:szCs w:val="22"/>
        </w:rPr>
      </w:pPr>
    </w:p>
    <w:p w:rsidR="00C158FE" w:rsidP="00BA14FE" w14:paraId="37E21242"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38552405">
      <w:pPr>
        <w:spacing w:line="240" w:lineRule="atLeast"/>
        <w:rPr>
          <w:rFonts w:ascii="Tahoma" w:hAnsi="Tahoma" w:cs="Tahoma"/>
          <w:sz w:val="22"/>
          <w:szCs w:val="22"/>
          <w:rtl/>
        </w:rPr>
      </w:pPr>
    </w:p>
    <w:p w:rsidR="009C0D3F" w:rsidP="00BA14FE" w14:paraId="260836E0" w14:textId="5D9050F3">
      <w:pPr>
        <w:spacing w:line="240" w:lineRule="atLeast"/>
        <w:rPr>
          <w:rFonts w:ascii="Tahoma" w:hAnsi="Tahoma" w:cs="Tahoma"/>
          <w:sz w:val="22"/>
          <w:szCs w:val="22"/>
          <w:rtl/>
        </w:rPr>
      </w:pPr>
    </w:p>
    <w:p w:rsidR="009C0D3F" w:rsidP="00BA14FE" w14:paraId="11198336" w14:textId="4A3A0719">
      <w:pPr>
        <w:spacing w:line="240" w:lineRule="atLeast"/>
        <w:rPr>
          <w:rFonts w:ascii="Tahoma" w:hAnsi="Tahoma" w:cs="Tahoma"/>
          <w:sz w:val="22"/>
          <w:szCs w:val="22"/>
        </w:rPr>
      </w:pPr>
    </w:p>
    <w:p w:rsidR="004961C5" w:rsidP="00BA14FE" w14:paraId="2F2F1850" w14:textId="3CC47175">
      <w:pPr>
        <w:spacing w:line="240" w:lineRule="atLeast"/>
        <w:rPr>
          <w:rFonts w:ascii="Tahoma" w:hAnsi="Tahoma" w:cs="Tahoma"/>
          <w:sz w:val="22"/>
          <w:szCs w:val="22"/>
        </w:rPr>
      </w:pPr>
    </w:p>
    <w:p w:rsidR="004961C5" w:rsidP="00BA14FE" w14:paraId="5741586A"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5454D4DF">
      <w:pPr>
        <w:spacing w:line="240" w:lineRule="atLeast"/>
        <w:rPr>
          <w:rFonts w:ascii="Tahoma" w:hAnsi="Tahoma" w:cs="Tahoma"/>
          <w:sz w:val="22"/>
          <w:szCs w:val="22"/>
          <w:rtl/>
        </w:rPr>
      </w:pPr>
    </w:p>
    <w:p w:rsidR="00275375" w14:paraId="0FD2778B" w14:textId="63B49901">
      <w:pPr>
        <w:bidi w:val="0"/>
        <w:spacing w:after="200" w:line="276" w:lineRule="auto"/>
        <w:rPr>
          <w:rFonts w:ascii="Tahoma" w:hAnsi="Tahoma" w:cs="Tahoma"/>
          <w:sz w:val="24"/>
        </w:rPr>
      </w:pPr>
    </w:p>
    <w:p w:rsidR="00977579" w:rsidP="00977579" w14:paraId="10EB9738" w14:textId="604F850B">
      <w:pPr>
        <w:pStyle w:val="7190"/>
        <w:jc w:val="center"/>
        <w:rPr>
          <w:rtl/>
        </w:rPr>
      </w:pPr>
    </w:p>
    <w:p w:rsidR="009F3FCB" w:rsidRPr="00064016" w:rsidP="009F3FCB" w14:paraId="67DBE061" w14:textId="4E2A17BC">
      <w:pPr>
        <w:pStyle w:val="7190"/>
        <w:spacing w:after="120"/>
        <w:jc w:val="center"/>
      </w:pPr>
      <w:r>
        <w:t xml:space="preserve">Catalogue Number </w:t>
      </w:r>
      <w:r w:rsidR="00C46C4D">
        <w:t>202</w:t>
      </w:r>
      <w:r w:rsidR="002933AD">
        <w:t>2</w:t>
      </w:r>
      <w:r w:rsidR="00C46C4D">
        <w:t>-A-00</w:t>
      </w:r>
      <w:r w:rsidR="002933AD">
        <w:t>1</w:t>
      </w:r>
      <w:r w:rsidRPr="00064016">
        <w:rPr>
          <w:rtl/>
        </w:rPr>
        <w:t xml:space="preserve"> </w:t>
      </w:r>
    </w:p>
    <w:p w:rsidR="009F3FCB" w:rsidRPr="00064016" w:rsidP="009F3FCB" w14:paraId="793BE398" w14:textId="7519D5D2">
      <w:pPr>
        <w:pStyle w:val="7190"/>
        <w:jc w:val="center"/>
        <w:rPr>
          <w:rtl/>
        </w:rPr>
      </w:pPr>
      <w:r w:rsidRPr="00064016">
        <w:t xml:space="preserve">ISSN </w:t>
      </w:r>
      <w:r w:rsidR="00C46C4D">
        <w:t>0334</w:t>
      </w:r>
      <w:r w:rsidRPr="00064016">
        <w:t>-</w:t>
      </w:r>
      <w:r w:rsidR="00C46C4D">
        <w:t>9713</w:t>
      </w:r>
    </w:p>
    <w:p w:rsidR="009F3FCB" w:rsidRPr="00064016" w:rsidP="009F3FCB" w14:paraId="08120021" w14:textId="77837ACC">
      <w:pPr>
        <w:pStyle w:val="7190"/>
        <w:jc w:val="center"/>
        <w:rPr>
          <w:rtl/>
        </w:rPr>
      </w:pPr>
      <w:r>
        <w:rPr>
          <w:b/>
          <w:bCs/>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-840922</wp:posOffset>
                </wp:positionH>
                <wp:positionV relativeFrom="paragraph">
                  <wp:posOffset>215900</wp:posOffset>
                </wp:positionV>
                <wp:extent cx="1454331" cy="923109"/>
                <wp:effectExtent l="12700" t="12700" r="19050" b="1714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1" o:spid="_x0000_s1035" style="width:114.5pt;height:72.7pt;margin-top:17pt;margin-left:-66.2pt;mso-wrap-distance-bottom:0;mso-wrap-distance-left:9pt;mso-wrap-distance-right:9pt;mso-wrap-distance-top:0;mso-wrap-style:square;position:absolute;visibility:visible;v-text-anchor:middle;z-index:251696128" fillcolor="white" strokecolor="white" strokeweight="2pt"/>
            </w:pict>
          </mc:Fallback>
        </mc:AlternateContent>
      </w:r>
      <w:hyperlink r:id="rId12" w:history="1">
        <w:r w:rsidRPr="00064016">
          <w:t>www.mevaker.gov.il</w:t>
        </w:r>
      </w:hyperlink>
    </w:p>
    <w:p w:rsidR="009F3FCB" w:rsidP="009F3FCB" w14:paraId="359BA2FE" w14:textId="0CAB7F26">
      <w:pPr>
        <w:pStyle w:val="7190"/>
        <w:jc w:val="center"/>
        <w:rPr>
          <w:rtl/>
        </w:rPr>
      </w:pPr>
      <w:r>
        <w:rPr>
          <w:noProof/>
          <w:sz w:val="22"/>
          <w:szCs w:val="22"/>
          <w:rtl/>
          <w:lang w:val="he-IL"/>
        </w:rPr>
        <mc:AlternateContent>
          <mc:Choice Requires="wps">
            <w:drawing>
              <wp:anchor distT="0" distB="0" distL="114300" distR="114300" simplePos="0" relativeHeight="251678720" behindDoc="0" locked="0" layoutInCell="1" allowOverlap="1">
                <wp:simplePos x="0" y="0"/>
                <wp:positionH relativeFrom="column">
                  <wp:posOffset>4278630</wp:posOffset>
                </wp:positionH>
                <wp:positionV relativeFrom="paragraph">
                  <wp:posOffset>564955</wp:posOffset>
                </wp:positionV>
                <wp:extent cx="1047750" cy="702945"/>
                <wp:effectExtent l="12700" t="12700" r="19050" b="8255"/>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702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6" style="width:82.5pt;height:55.35pt;margin-top:44.5pt;margin-left:336.9pt;mso-wrap-distance-bottom:0;mso-wrap-distance-left:9pt;mso-wrap-distance-right:9pt;mso-wrap-distance-top:0;mso-wrap-style:square;position:absolute;visibility:visible;v-text-anchor:middle;z-index:251679744" fillcolor="white" strokecolor="white" strokeweight="2pt"/>
            </w:pict>
          </mc:Fallback>
        </mc:AlternateContent>
      </w:r>
    </w:p>
    <w:p w:rsidR="009F3FCB" w:rsidP="009F3FCB" w14:paraId="07B15CE0" w14:textId="71D295D3">
      <w:pPr>
        <w:pStyle w:val="7190"/>
        <w:jc w:val="center"/>
      </w:pPr>
      <w:r>
        <w:t>Graphic Design: ER Design Team</w:t>
      </w:r>
    </w:p>
    <w:p w:rsidR="00D12792" w:rsidRPr="00EA22FE" w:rsidP="00D12792" w14:paraId="4BD3E2A6" w14:textId="47922DD4">
      <w:pPr>
        <w:tabs>
          <w:tab w:val="right" w:pos="7370"/>
        </w:tabs>
        <w:bidi w:val="0"/>
        <w:spacing w:after="200" w:line="276" w:lineRule="auto"/>
        <w:rPr>
          <w:rtl/>
        </w:rPr>
        <w:sectPr w:rsidSect="00697027">
          <w:footerReference w:type="even" r:id="rId13"/>
          <w:footerReference w:type="default" r:id="rId14"/>
          <w:headerReference w:type="first" r:id="rId15"/>
          <w:footerReference w:type="first" r:id="rId16"/>
          <w:pgSz w:w="11906" w:h="16838" w:code="9"/>
          <w:pgMar w:top="3062" w:right="2268" w:bottom="2552" w:left="2268" w:header="1134" w:footer="1361" w:gutter="0"/>
          <w:cols w:space="708"/>
          <w:titlePg/>
          <w:bidi/>
          <w:rtlGutter/>
          <w:docGrid w:linePitch="360"/>
        </w:sectPr>
      </w:pPr>
      <w:r>
        <w:rPr>
          <w:rFonts w:ascii="Tahoma" w:hAnsi="Tahoma" w:cs="Tahoma"/>
          <w:noProof/>
          <w:sz w:val="22"/>
          <w:szCs w:val="22"/>
          <w:rtl/>
          <w:lang w:val="he-IL"/>
        </w:rPr>
        <mc:AlternateContent>
          <mc:Choice Requires="wps">
            <w:drawing>
              <wp:anchor distT="0" distB="0" distL="114300" distR="114300" simplePos="0" relativeHeight="251674624" behindDoc="0" locked="0" layoutInCell="1" allowOverlap="1">
                <wp:simplePos x="0" y="0"/>
                <wp:positionH relativeFrom="column">
                  <wp:posOffset>4194356</wp:posOffset>
                </wp:positionH>
                <wp:positionV relativeFrom="paragraph">
                  <wp:posOffset>527050</wp:posOffset>
                </wp:positionV>
                <wp:extent cx="1227221" cy="697832"/>
                <wp:effectExtent l="12700" t="12700" r="17780" b="13970"/>
                <wp:wrapNone/>
                <wp:docPr id="27" name="מלבן 27"/>
                <wp:cNvGraphicFramePr/>
                <a:graphic xmlns:a="http://schemas.openxmlformats.org/drawingml/2006/main">
                  <a:graphicData uri="http://schemas.microsoft.com/office/word/2010/wordprocessingShape">
                    <wps:wsp xmlns:wps="http://schemas.microsoft.com/office/word/2010/wordprocessingShape">
                      <wps:cNvSpPr/>
                      <wps:spPr>
                        <a:xfrm>
                          <a:off x="0" y="0"/>
                          <a:ext cx="1227221" cy="6978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7" o:spid="_x0000_s1037" style="width:96.65pt;height:54.95pt;margin-top:41.5pt;margin-left:330.25pt;mso-wrap-distance-bottom:0;mso-wrap-distance-left:9pt;mso-wrap-distance-right:9pt;mso-wrap-distance-top:0;mso-wrap-style:square;position:absolute;visibility:visible;v-text-anchor:middle;z-index:251675648" fillcolor="white" strokecolor="white" strokeweight="2pt"/>
            </w:pict>
          </mc:Fallback>
        </mc:AlternateContent>
      </w:r>
      <w:r w:rsidR="005D2577">
        <w:rPr>
          <w:b/>
          <w:bCs/>
          <w:noProof/>
          <w:spacing w:val="86"/>
          <w:rtl/>
          <w:lang w:val="he-IL"/>
        </w:rPr>
        <mc:AlternateContent>
          <mc:Choice Requires="wps">
            <w:drawing>
              <wp:anchor distT="0" distB="0" distL="114300" distR="114300" simplePos="0" relativeHeight="251666432" behindDoc="0" locked="0" layoutInCell="1" allowOverlap="1">
                <wp:simplePos x="0" y="0"/>
                <wp:positionH relativeFrom="column">
                  <wp:posOffset>-789744</wp:posOffset>
                </wp:positionH>
                <wp:positionV relativeFrom="paragraph">
                  <wp:posOffset>6041195</wp:posOffset>
                </wp:positionV>
                <wp:extent cx="3528647" cy="504092"/>
                <wp:effectExtent l="0" t="0" r="2540" b="4445"/>
                <wp:wrapNone/>
                <wp:docPr id="589"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528647" cy="50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8" style="width:277.85pt;height:39.7pt;margin-top:475.7pt;margin-left:-62.2pt;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4358852</wp:posOffset>
                </wp:positionH>
                <wp:positionV relativeFrom="paragraph">
                  <wp:posOffset>3497369</wp:posOffset>
                </wp:positionV>
                <wp:extent cx="931333" cy="306917"/>
                <wp:effectExtent l="0" t="0" r="0" b="0"/>
                <wp:wrapNone/>
                <wp:docPr id="212305706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931333" cy="3069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9" style="width:73.35pt;height:24.15pt;margin-top:275.4pt;margin-left:343.2pt;flip:y;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r w:rsidRPr="00777BE8">
        <w:rPr>
          <w:rtl/>
        </w:rPr>
        <w:br w:type="page"/>
      </w:r>
    </w:p>
    <w:p w:rsidR="00D12792" w:rsidRPr="00C04B74" w:rsidP="00D12792" w14:paraId="4B572C5B" w14:textId="1430B645">
      <w:pPr>
        <w:pStyle w:val="71316"/>
        <w:bidi w:val="0"/>
        <w:rPr>
          <w:sz w:val="36"/>
          <w:szCs w:val="36"/>
          <w:rtl/>
        </w:rPr>
      </w:pPr>
      <w:r>
        <w:rPr>
          <w:sz w:val="36"/>
          <w:szCs w:val="36"/>
        </w:rPr>
        <w:t>Table of contents</w:t>
      </w:r>
    </w:p>
    <w:p w:rsidR="00D12792" w:rsidP="00141BD3" w14:paraId="3A90F0CE" w14:textId="68B2E0B9">
      <w:pPr>
        <w:pStyle w:val="71316"/>
        <w:bidi w:val="0"/>
        <w:rPr>
          <w:b w:val="0"/>
          <w:bCs w:val="0"/>
          <w:rtl/>
        </w:rPr>
      </w:pPr>
      <w:r>
        <w:rPr>
          <w:b w:val="0"/>
          <w:bCs w:val="0"/>
          <w:noProof/>
          <w:sz w:val="22"/>
          <w:szCs w:val="22"/>
          <w:rtl/>
          <w:lang w:val="he-IL"/>
        </w:rPr>
        <mc:AlternateContent>
          <mc:Choice Requires="wps">
            <w:drawing>
              <wp:anchor distT="0" distB="0" distL="114300" distR="114300" simplePos="0" relativeHeight="251699200" behindDoc="0" locked="0" layoutInCell="1" allowOverlap="1">
                <wp:simplePos x="0" y="0"/>
                <wp:positionH relativeFrom="column">
                  <wp:posOffset>3807007</wp:posOffset>
                </wp:positionH>
                <wp:positionV relativeFrom="paragraph">
                  <wp:posOffset>6541860</wp:posOffset>
                </wp:positionV>
                <wp:extent cx="1454331" cy="735058"/>
                <wp:effectExtent l="12700" t="12700" r="19050" b="14605"/>
                <wp:wrapNone/>
                <wp:docPr id="34" name="מלבן 3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4" o:spid="_x0000_s1040" style="width:114.5pt;height:57.9pt;margin-top:515.1pt;margin-left:299.75pt;mso-height-percent:0;mso-height-relative:margin;mso-wrap-distance-bottom:0;mso-wrap-distance-left:9pt;mso-wrap-distance-right:9pt;mso-wrap-distance-top:0;mso-wrap-style:square;position:absolute;visibility:visible;v-text-anchor:middle;z-index:251700224" fillcolor="white" strokecolor="white" strokeweight="2pt"/>
            </w:pict>
          </mc:Fallback>
        </mc:AlternateContent>
      </w:r>
      <w:r w:rsidRPr="00B535DF">
        <w:rPr>
          <w:rFonts w:hint="cs"/>
          <w:b w:val="0"/>
          <w:bCs w:val="0"/>
          <w:noProof/>
          <w:spacing w:val="86"/>
          <w:rtl/>
          <w:lang w:val="he-IL"/>
        </w:rPr>
        <mc:AlternateContent>
          <mc:Choice Requires="wps">
            <w:drawing>
              <wp:anchor distT="0" distB="0" distL="114300" distR="114300" simplePos="0" relativeHeight="251670528" behindDoc="0" locked="0" layoutInCell="1" allowOverlap="1">
                <wp:simplePos x="0" y="0"/>
                <wp:positionH relativeFrom="column">
                  <wp:posOffset>-4412</wp:posOffset>
                </wp:positionH>
                <wp:positionV relativeFrom="paragraph">
                  <wp:posOffset>33989</wp:posOffset>
                </wp:positionV>
                <wp:extent cx="2037348" cy="0"/>
                <wp:effectExtent l="0" t="0" r="7620" b="1270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203734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41" style="flip:x;mso-height-percent:0;mso-height-relative:margin;mso-width-percent:0;mso-width-relative:margin;mso-wrap-distance-bottom:0;mso-wrap-distance-left:9pt;mso-wrap-distance-right:9pt;mso-wrap-distance-top:0;mso-wrap-style:square;position:absolute;visibility:visible;z-index:251671552" from="-0.35pt,2.7pt" to="160.05pt,2.7pt" strokecolor="#00305f" strokeweight="1pt"/>
            </w:pict>
          </mc:Fallback>
        </mc:AlternateContent>
      </w:r>
      <w:r>
        <w:rPr>
          <w:b w:val="0"/>
          <w:bCs w:val="0"/>
        </w:rPr>
        <w:t>Abstr</w:t>
      </w:r>
      <w:r w:rsidR="00BC7301">
        <w:rPr>
          <w:b w:val="0"/>
          <w:bCs w:val="0"/>
        </w:rPr>
        <w:t>acts</w:t>
      </w:r>
      <w:r w:rsidR="00C158FE">
        <w:rPr>
          <w:noProof/>
          <w:sz w:val="22"/>
          <w:szCs w:val="22"/>
          <w:rtl/>
          <w:lang w:val="he-IL"/>
        </w:rPr>
        <mc:AlternateContent>
          <mc:Choice Requires="wps">
            <w:drawing>
              <wp:anchor distT="0" distB="0" distL="114300" distR="114300" simplePos="0" relativeHeight="251684864" behindDoc="0" locked="0" layoutInCell="1" allowOverlap="1">
                <wp:simplePos x="0" y="0"/>
                <wp:positionH relativeFrom="column">
                  <wp:posOffset>4513971</wp:posOffset>
                </wp:positionH>
                <wp:positionV relativeFrom="paragraph">
                  <wp:posOffset>6246739</wp:posOffset>
                </wp:positionV>
                <wp:extent cx="794825" cy="478302"/>
                <wp:effectExtent l="12700" t="12700" r="18415" b="17145"/>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0" o:spid="_x0000_s1042" style="width:62.6pt;height:37.65pt;margin-top:491.85pt;margin-left:355.45pt;mso-wrap-distance-bottom:0;mso-wrap-distance-left:9pt;mso-wrap-distance-right:9pt;mso-wrap-distance-top:0;mso-wrap-style:square;position:absolute;visibility:visible;v-text-anchor:middle;z-index:251685888"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80768" behindDoc="0" locked="0" layoutInCell="1" allowOverlap="1">
                <wp:simplePos x="0" y="0"/>
                <wp:positionH relativeFrom="column">
                  <wp:posOffset>4798305</wp:posOffset>
                </wp:positionH>
                <wp:positionV relativeFrom="paragraph">
                  <wp:posOffset>5438384</wp:posOffset>
                </wp:positionV>
                <wp:extent cx="794825" cy="478302"/>
                <wp:effectExtent l="12700" t="12700" r="18415" b="1714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8" o:spid="_x0000_s1043" style="width:62.6pt;height:37.65pt;margin-top:428.2pt;margin-left:377.8pt;mso-wrap-distance-bottom:0;mso-wrap-distance-left:9pt;mso-wrap-distance-right:9pt;mso-wrap-distance-top:0;mso-wrap-style:square;position:absolute;visibility:visible;v-text-anchor:middle;z-index:251681792" fillcolor="white" strokecolor="white" strokeweight="2pt"/>
            </w:pict>
          </mc:Fallback>
        </mc:AlternateContent>
      </w:r>
      <w:r>
        <w:rPr>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-754380</wp:posOffset>
                </wp:positionH>
                <wp:positionV relativeFrom="paragraph">
                  <wp:posOffset>6542827</wp:posOffset>
                </wp:positionV>
                <wp:extent cx="931333" cy="306917"/>
                <wp:effectExtent l="0" t="0" r="0" b="0"/>
                <wp:wrapNone/>
                <wp:docPr id="212305706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931333" cy="3069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44" style="width:73.35pt;height:24.15pt;margin-top:515.2pt;margin-left:-59.4pt;flip:y;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567"/>
        <w:gridCol w:w="5818"/>
      </w:tblGrid>
      <w:tr w14:paraId="7EC36455" w14:textId="77777777" w:rsidTr="00BC730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5" w:type="dxa"/>
          </w:tcPr>
          <w:p w:rsidR="00BC7301" w:rsidP="009D3941" w14:paraId="7482A052" w14:textId="5A5949D2">
            <w:pPr>
              <w:pStyle w:val="7190"/>
              <w:bidi w:val="0"/>
              <w:spacing w:before="240" w:after="100"/>
              <w:rPr>
                <w:rFonts w:ascii="Arial" w:hAnsi="Arial"/>
                <w:color w:val="000000"/>
                <w:sz w:val="24"/>
                <w:rtl/>
              </w:rPr>
            </w:pPr>
            <w:r>
              <w:rPr>
                <w:rFonts w:ascii="Arial" w:hAnsi="Arial" w:hint="cs"/>
                <w:color w:val="000000"/>
                <w:sz w:val="24"/>
                <w:rtl/>
              </w:rPr>
              <w:t>9</w:t>
            </w:r>
          </w:p>
        </w:tc>
        <w:tc>
          <w:tcPr>
            <w:tcW w:w="567" w:type="dxa"/>
          </w:tcPr>
          <w:p w:rsidR="00BC7301" w:rsidRPr="00C237BB" w:rsidP="009D3941" w14:paraId="09EC328E" w14:textId="089B313B">
            <w:pPr>
              <w:pStyle w:val="7190"/>
              <w:bidi w:val="0"/>
              <w:spacing w:before="240" w:after="100"/>
              <w:rPr>
                <w:b/>
                <w:bCs/>
                <w:color w:val="00305F"/>
                <w:sz w:val="22"/>
                <w:szCs w:val="22"/>
                <w:rtl/>
              </w:rPr>
            </w:pPr>
          </w:p>
        </w:tc>
        <w:tc>
          <w:tcPr>
            <w:tcW w:w="5818" w:type="dxa"/>
          </w:tcPr>
          <w:p w:rsidR="00BC7301" w:rsidRPr="00C237BB" w:rsidP="009D3941" w14:paraId="6572CF92" w14:textId="0C03520E">
            <w:pPr>
              <w:pStyle w:val="7190"/>
              <w:bidi w:val="0"/>
              <w:spacing w:before="240" w:after="100"/>
              <w:jc w:val="both"/>
              <w:rPr>
                <w:b/>
                <w:bCs/>
                <w:rtl/>
              </w:rPr>
            </w:pPr>
            <w:r>
              <w:rPr>
                <w:b/>
                <w:bCs/>
                <w:color w:val="00305F"/>
                <w:sz w:val="22"/>
                <w:szCs w:val="22"/>
              </w:rPr>
              <w:t>Foreword</w:t>
            </w:r>
          </w:p>
        </w:tc>
      </w:tr>
      <w:tr w14:paraId="2FDC804B" w14:textId="77777777" w:rsidTr="00BC7301">
        <w:tblPrEx>
          <w:tblW w:w="0" w:type="auto"/>
          <w:tblLook w:val="04A0"/>
        </w:tblPrEx>
        <w:tc>
          <w:tcPr>
            <w:tcW w:w="985" w:type="dxa"/>
          </w:tcPr>
          <w:p w:rsidR="00BC7301" w:rsidP="00141BD3" w14:paraId="5E1EA89D" w14:textId="77777777">
            <w:pPr>
              <w:pStyle w:val="7190"/>
              <w:bidi w:val="0"/>
              <w:spacing w:before="0" w:after="0"/>
            </w:pPr>
          </w:p>
        </w:tc>
        <w:tc>
          <w:tcPr>
            <w:tcW w:w="567" w:type="dxa"/>
          </w:tcPr>
          <w:p w:rsidR="00BC7301" w:rsidP="00141BD3" w14:paraId="55E74A49" w14:textId="09F38414">
            <w:pPr>
              <w:pStyle w:val="7190"/>
              <w:bidi w:val="0"/>
              <w:spacing w:before="0" w:after="0"/>
            </w:pPr>
          </w:p>
        </w:tc>
        <w:tc>
          <w:tcPr>
            <w:tcW w:w="5818" w:type="dxa"/>
          </w:tcPr>
          <w:p w:rsidR="00BC7301" w:rsidP="00141BD3" w14:paraId="2FF85983" w14:textId="12655E82">
            <w:pPr>
              <w:pStyle w:val="7190"/>
              <w:bidi w:val="0"/>
              <w:spacing w:before="0" w:after="0"/>
              <w:jc w:val="both"/>
            </w:pPr>
          </w:p>
        </w:tc>
      </w:tr>
      <w:tr w14:paraId="2427439D" w14:textId="77777777" w:rsidTr="009A728D">
        <w:tblPrEx>
          <w:tblW w:w="0" w:type="auto"/>
          <w:tblLook w:val="04A0"/>
        </w:tblPrEx>
        <w:tc>
          <w:tcPr>
            <w:tcW w:w="7370" w:type="dxa"/>
            <w:gridSpan w:val="3"/>
          </w:tcPr>
          <w:p w:rsidR="00141BD3" w:rsidRPr="00141BD3" w:rsidP="009D3941" w14:paraId="39328E8B" w14:textId="1F8003B7">
            <w:pPr>
              <w:pStyle w:val="7190"/>
              <w:bidi w:val="0"/>
              <w:spacing w:after="120"/>
              <w:jc w:val="both"/>
              <w:rPr>
                <w:color w:val="00305F"/>
                <w:sz w:val="24"/>
                <w:szCs w:val="24"/>
              </w:rPr>
            </w:pPr>
            <w:r w:rsidRPr="00244C6D">
              <w:rPr>
                <w:color w:val="00305F"/>
                <w:sz w:val="24"/>
                <w:szCs w:val="24"/>
              </w:rPr>
              <w:t xml:space="preserve">Chapter One | </w:t>
            </w:r>
            <w:r w:rsidRPr="00852AF4" w:rsidR="00852AF4">
              <w:rPr>
                <w:b/>
                <w:bCs/>
                <w:color w:val="00305F"/>
                <w:sz w:val="24"/>
                <w:szCs w:val="24"/>
              </w:rPr>
              <w:t>Systemic Topics</w:t>
            </w:r>
          </w:p>
        </w:tc>
      </w:tr>
      <w:tr w14:paraId="6D9E0FCF" w14:textId="77777777" w:rsidTr="00BC7301">
        <w:tblPrEx>
          <w:tblW w:w="0" w:type="auto"/>
          <w:tblLook w:val="04A0"/>
        </w:tblPrEx>
        <w:tc>
          <w:tcPr>
            <w:tcW w:w="985" w:type="dxa"/>
          </w:tcPr>
          <w:p w:rsidR="00141BD3" w:rsidRPr="00141BD3" w:rsidP="00141BD3" w14:paraId="520874BC" w14:textId="4F644FD2">
            <w:pPr>
              <w:pStyle w:val="7190"/>
              <w:bidi w:val="0"/>
              <w:spacing w:before="100" w:after="100"/>
              <w:rPr>
                <w:rFonts w:ascii="Arial" w:hAnsi="Arial"/>
                <w:color w:val="000000"/>
                <w:rtl/>
              </w:rPr>
            </w:pPr>
            <w:r>
              <w:rPr>
                <w:rFonts w:ascii="Arial" w:hAnsi="Arial" w:hint="cs"/>
                <w:color w:val="000000"/>
                <w:rtl/>
              </w:rPr>
              <w:t>19</w:t>
            </w:r>
          </w:p>
        </w:tc>
        <w:tc>
          <w:tcPr>
            <w:tcW w:w="567" w:type="dxa"/>
          </w:tcPr>
          <w:p w:rsidR="00141BD3" w:rsidRPr="00141BD3" w:rsidP="00141BD3" w14:paraId="217C385B" w14:textId="64B6353A">
            <w:pPr>
              <w:pStyle w:val="7190"/>
              <w:bidi w:val="0"/>
              <w:spacing w:before="100" w:after="100"/>
              <w:rPr>
                <w:rFonts w:ascii="Arial" w:hAnsi="Arial"/>
                <w:color w:val="000000"/>
                <w:rtl/>
              </w:rPr>
            </w:pPr>
          </w:p>
        </w:tc>
        <w:tc>
          <w:tcPr>
            <w:tcW w:w="5818" w:type="dxa"/>
          </w:tcPr>
          <w:p w:rsidR="00141BD3" w:rsidRPr="00565745" w:rsidP="00141BD3" w14:paraId="13B617CA" w14:textId="7ACDDDED">
            <w:pPr>
              <w:pStyle w:val="7190"/>
              <w:bidi w:val="0"/>
              <w:spacing w:before="100" w:after="100"/>
              <w:rPr>
                <w:color w:val="000000"/>
                <w:rtl/>
              </w:rPr>
            </w:pPr>
            <w:r w:rsidRPr="00565745">
              <w:rPr>
                <w:color w:val="000000"/>
              </w:rPr>
              <w:t>The Civil Service Internal Audit</w:t>
            </w:r>
          </w:p>
        </w:tc>
      </w:tr>
      <w:tr w14:paraId="4396816F" w14:textId="77777777" w:rsidTr="00BC7301">
        <w:tblPrEx>
          <w:tblW w:w="0" w:type="auto"/>
          <w:tblLook w:val="04A0"/>
        </w:tblPrEx>
        <w:tc>
          <w:tcPr>
            <w:tcW w:w="985" w:type="dxa"/>
          </w:tcPr>
          <w:p w:rsidR="00141BD3" w:rsidRPr="00141BD3" w:rsidP="00141BD3" w14:paraId="4568CCC1" w14:textId="4BBAFDCE">
            <w:pPr>
              <w:pStyle w:val="7190"/>
              <w:bidi w:val="0"/>
              <w:spacing w:before="100" w:after="100"/>
              <w:rPr>
                <w:rFonts w:ascii="Arial" w:hAnsi="Arial"/>
                <w:color w:val="000000"/>
                <w:rtl/>
              </w:rPr>
            </w:pPr>
            <w:r>
              <w:rPr>
                <w:rFonts w:ascii="Arial" w:hAnsi="Arial"/>
                <w:color w:val="000000"/>
              </w:rPr>
              <w:t>37</w:t>
            </w:r>
          </w:p>
        </w:tc>
        <w:tc>
          <w:tcPr>
            <w:tcW w:w="567" w:type="dxa"/>
          </w:tcPr>
          <w:p w:rsidR="00141BD3" w:rsidRPr="00141BD3" w:rsidP="00141BD3" w14:paraId="282223BB" w14:textId="3D24DE7E">
            <w:pPr>
              <w:pStyle w:val="7190"/>
              <w:bidi w:val="0"/>
              <w:spacing w:before="100" w:after="100"/>
              <w:rPr>
                <w:rFonts w:ascii="Arial" w:hAnsi="Arial"/>
                <w:color w:val="000000"/>
                <w:rtl/>
              </w:rPr>
            </w:pPr>
          </w:p>
        </w:tc>
        <w:tc>
          <w:tcPr>
            <w:tcW w:w="5818" w:type="dxa"/>
          </w:tcPr>
          <w:p w:rsidR="00141BD3" w:rsidRPr="00141BD3" w:rsidP="00141BD3" w14:paraId="63D15868" w14:textId="3F6C30CD">
            <w:pPr>
              <w:pStyle w:val="7190"/>
              <w:bidi w:val="0"/>
              <w:spacing w:before="100" w:after="100"/>
              <w:rPr>
                <w:color w:val="000000"/>
              </w:rPr>
            </w:pPr>
            <w:r w:rsidRPr="00565745">
              <w:rPr>
                <w:color w:val="000000"/>
              </w:rPr>
              <w:t xml:space="preserve">The Government's Handling of Young NEET People Among the Arab Society  </w:t>
            </w:r>
          </w:p>
        </w:tc>
      </w:tr>
      <w:tr w14:paraId="31B14B3E" w14:textId="77777777" w:rsidTr="00BC7301">
        <w:tblPrEx>
          <w:tblW w:w="0" w:type="auto"/>
          <w:tblLook w:val="04A0"/>
        </w:tblPrEx>
        <w:tc>
          <w:tcPr>
            <w:tcW w:w="985" w:type="dxa"/>
          </w:tcPr>
          <w:p w:rsidR="00141BD3" w:rsidRPr="00141BD3" w:rsidP="00141BD3" w14:paraId="3CF0914A" w14:textId="607FEBD1">
            <w:pPr>
              <w:pStyle w:val="7190"/>
              <w:bidi w:val="0"/>
              <w:spacing w:before="100" w:after="100"/>
              <w:rPr>
                <w:rFonts w:ascii="Arial" w:hAnsi="Arial"/>
                <w:color w:val="000000"/>
                <w:rtl/>
              </w:rPr>
            </w:pPr>
            <w:r>
              <w:rPr>
                <w:rFonts w:ascii="Arial" w:hAnsi="Arial"/>
                <w:color w:val="000000"/>
              </w:rPr>
              <w:t>53</w:t>
            </w:r>
          </w:p>
        </w:tc>
        <w:tc>
          <w:tcPr>
            <w:tcW w:w="567" w:type="dxa"/>
          </w:tcPr>
          <w:p w:rsidR="00141BD3" w:rsidRPr="00141BD3" w:rsidP="00141BD3" w14:paraId="5BEA90CF" w14:textId="4A785B3E">
            <w:pPr>
              <w:pStyle w:val="7190"/>
              <w:bidi w:val="0"/>
              <w:spacing w:before="100" w:after="100"/>
              <w:rPr>
                <w:rFonts w:ascii="Arial" w:hAnsi="Arial"/>
                <w:color w:val="000000"/>
                <w:rtl/>
              </w:rPr>
            </w:pPr>
          </w:p>
        </w:tc>
        <w:tc>
          <w:tcPr>
            <w:tcW w:w="5818" w:type="dxa"/>
          </w:tcPr>
          <w:p w:rsidR="00141BD3" w:rsidRPr="00BA2729" w:rsidP="00141BD3" w14:paraId="7FF0472D" w14:textId="347D2BEF">
            <w:pPr>
              <w:pStyle w:val="7190"/>
              <w:bidi w:val="0"/>
              <w:spacing w:before="100" w:after="100"/>
              <w:rPr>
                <w:rFonts w:ascii="Arial" w:hAnsi="Arial"/>
                <w:color w:val="000000"/>
                <w:rtl/>
              </w:rPr>
            </w:pPr>
            <w:r w:rsidRPr="005A2FF8">
              <w:rPr>
                <w:color w:val="000000"/>
              </w:rPr>
              <w:t>Placement of At-Risk Children in Boarding Schools, Foster Care and Adoption</w:t>
            </w:r>
          </w:p>
        </w:tc>
      </w:tr>
      <w:tr w14:paraId="1CEFC554" w14:textId="77777777" w:rsidTr="00BC7301">
        <w:tblPrEx>
          <w:tblW w:w="0" w:type="auto"/>
          <w:tblLook w:val="04A0"/>
        </w:tblPrEx>
        <w:tc>
          <w:tcPr>
            <w:tcW w:w="985" w:type="dxa"/>
          </w:tcPr>
          <w:p w:rsidR="00141BD3" w:rsidRPr="00141BD3" w:rsidP="00141BD3" w14:paraId="44752BEB" w14:textId="381F7B89">
            <w:pPr>
              <w:pStyle w:val="7190"/>
              <w:bidi w:val="0"/>
              <w:spacing w:before="100" w:after="100"/>
              <w:rPr>
                <w:rFonts w:ascii="Arial" w:hAnsi="Arial"/>
                <w:color w:val="000000"/>
                <w:rtl/>
              </w:rPr>
            </w:pPr>
            <w:r>
              <w:rPr>
                <w:rFonts w:ascii="Arial" w:hAnsi="Arial" w:hint="cs"/>
                <w:color w:val="000000"/>
                <w:sz w:val="24"/>
                <w:rtl/>
              </w:rPr>
              <w:t>65</w:t>
            </w:r>
          </w:p>
        </w:tc>
        <w:tc>
          <w:tcPr>
            <w:tcW w:w="567" w:type="dxa"/>
          </w:tcPr>
          <w:p w:rsidR="00141BD3" w:rsidRPr="00141BD3" w:rsidP="00141BD3" w14:paraId="5E229FB9" w14:textId="77777777">
            <w:pPr>
              <w:pStyle w:val="7190"/>
              <w:bidi w:val="0"/>
              <w:spacing w:before="100" w:after="100"/>
              <w:rPr>
                <w:rFonts w:ascii="Arial" w:hAnsi="Arial"/>
                <w:color w:val="000000"/>
                <w:rtl/>
              </w:rPr>
            </w:pPr>
          </w:p>
        </w:tc>
        <w:tc>
          <w:tcPr>
            <w:tcW w:w="5818" w:type="dxa"/>
          </w:tcPr>
          <w:p w:rsidR="00141BD3" w:rsidRPr="00141BD3" w:rsidP="00141BD3" w14:paraId="715675BD" w14:textId="389B0D45">
            <w:pPr>
              <w:pStyle w:val="7190"/>
              <w:bidi w:val="0"/>
              <w:spacing w:before="100" w:after="100"/>
              <w:rPr>
                <w:color w:val="000000"/>
              </w:rPr>
            </w:pPr>
            <w:r w:rsidRPr="00BA2729">
              <w:rPr>
                <w:color w:val="0D0D0D"/>
              </w:rPr>
              <w:t>The Handling of Police Offenses by the Police Department of Internal Investigations and by the Police</w:t>
            </w:r>
          </w:p>
        </w:tc>
      </w:tr>
      <w:tr w14:paraId="39D88DC3" w14:textId="77777777" w:rsidTr="00BC7301">
        <w:tblPrEx>
          <w:tblW w:w="0" w:type="auto"/>
          <w:tblLook w:val="04A0"/>
        </w:tblPrEx>
        <w:tc>
          <w:tcPr>
            <w:tcW w:w="985" w:type="dxa"/>
          </w:tcPr>
          <w:p w:rsidR="00141BD3" w:rsidRPr="00141BD3" w:rsidP="00141BD3" w14:paraId="6B8B6D54" w14:textId="77777777">
            <w:pPr>
              <w:pStyle w:val="7190"/>
              <w:bidi w:val="0"/>
              <w:spacing w:before="0" w:after="0"/>
              <w:rPr>
                <w:rFonts w:ascii="Arial" w:hAnsi="Arial"/>
                <w:color w:val="000000"/>
                <w:rtl/>
              </w:rPr>
            </w:pPr>
          </w:p>
        </w:tc>
        <w:tc>
          <w:tcPr>
            <w:tcW w:w="567" w:type="dxa"/>
          </w:tcPr>
          <w:p w:rsidR="00141BD3" w:rsidRPr="00141BD3" w:rsidP="00141BD3" w14:paraId="5EEE133E" w14:textId="77777777">
            <w:pPr>
              <w:pStyle w:val="7190"/>
              <w:bidi w:val="0"/>
              <w:spacing w:before="0" w:after="0"/>
              <w:rPr>
                <w:rFonts w:ascii="Arial" w:hAnsi="Arial"/>
                <w:color w:val="000000"/>
                <w:rtl/>
              </w:rPr>
            </w:pPr>
          </w:p>
        </w:tc>
        <w:tc>
          <w:tcPr>
            <w:tcW w:w="5818" w:type="dxa"/>
          </w:tcPr>
          <w:p w:rsidR="00141BD3" w:rsidRPr="00141BD3" w:rsidP="00141BD3" w14:paraId="6E6528BB" w14:textId="77777777">
            <w:pPr>
              <w:pStyle w:val="7190"/>
              <w:bidi w:val="0"/>
              <w:spacing w:before="0" w:after="0"/>
              <w:rPr>
                <w:color w:val="000000"/>
              </w:rPr>
            </w:pPr>
          </w:p>
        </w:tc>
      </w:tr>
      <w:tr w14:paraId="68694D73" w14:textId="77777777" w:rsidTr="0069415D">
        <w:tblPrEx>
          <w:tblW w:w="0" w:type="auto"/>
          <w:tblLook w:val="04A0"/>
        </w:tblPrEx>
        <w:trPr>
          <w:trHeight w:val="289"/>
        </w:trPr>
        <w:tc>
          <w:tcPr>
            <w:tcW w:w="7370" w:type="dxa"/>
            <w:gridSpan w:val="3"/>
          </w:tcPr>
          <w:p w:rsidR="00141BD3" w:rsidRPr="00141BD3" w:rsidP="00BC7301" w14:paraId="738C4602" w14:textId="7A3170CD">
            <w:pPr>
              <w:pStyle w:val="7190"/>
              <w:bidi w:val="0"/>
              <w:spacing w:after="120"/>
              <w:jc w:val="both"/>
              <w:rPr>
                <w:rFonts w:ascii="Arial" w:hAnsi="Arial"/>
                <w:color w:val="000000"/>
                <w:sz w:val="30"/>
                <w:szCs w:val="30"/>
                <w:rtl/>
              </w:rPr>
            </w:pPr>
            <w:r w:rsidRPr="003C3E61">
              <w:rPr>
                <w:color w:val="00305F"/>
                <w:sz w:val="24"/>
                <w:szCs w:val="24"/>
              </w:rPr>
              <w:t>Chapter Two</w:t>
            </w:r>
            <w:r w:rsidRPr="003C3E61">
              <w:rPr>
                <w:b/>
                <w:bCs/>
                <w:color w:val="00305F"/>
                <w:sz w:val="24"/>
                <w:szCs w:val="24"/>
              </w:rPr>
              <w:t xml:space="preserve"> | </w:t>
            </w:r>
            <w:r w:rsidR="002933AD">
              <w:rPr>
                <w:b/>
                <w:bCs/>
                <w:color w:val="00305F"/>
                <w:sz w:val="24"/>
                <w:szCs w:val="24"/>
              </w:rPr>
              <w:t>Government Ministries</w:t>
            </w:r>
          </w:p>
        </w:tc>
      </w:tr>
      <w:tr w14:paraId="258CAA86" w14:textId="77777777" w:rsidTr="00BC7301">
        <w:tblPrEx>
          <w:tblW w:w="0" w:type="auto"/>
          <w:tblLook w:val="04A0"/>
        </w:tblPrEx>
        <w:tc>
          <w:tcPr>
            <w:tcW w:w="985" w:type="dxa"/>
          </w:tcPr>
          <w:p w:rsidR="00BA2729" w:rsidRPr="00BA2729" w:rsidP="00BA2729" w14:paraId="40EFFFD8" w14:textId="77777777">
            <w:pPr>
              <w:pStyle w:val="7190"/>
              <w:bidi w:val="0"/>
              <w:spacing w:before="240" w:after="0"/>
              <w:rPr>
                <w:b/>
                <w:bCs/>
                <w:color w:val="00305F"/>
                <w:sz w:val="22"/>
                <w:szCs w:val="22"/>
              </w:rPr>
            </w:pPr>
          </w:p>
        </w:tc>
        <w:tc>
          <w:tcPr>
            <w:tcW w:w="567" w:type="dxa"/>
            <w:vAlign w:val="bottom"/>
          </w:tcPr>
          <w:p w:rsidR="00BA2729" w:rsidRPr="00BA2729" w:rsidP="00BA2729" w14:paraId="5236D4B7" w14:textId="77777777">
            <w:pPr>
              <w:pStyle w:val="7190"/>
              <w:bidi w:val="0"/>
              <w:spacing w:before="240" w:after="0"/>
              <w:rPr>
                <w:b/>
                <w:bCs/>
                <w:color w:val="00305F"/>
                <w:sz w:val="22"/>
                <w:szCs w:val="22"/>
                <w:rtl/>
              </w:rPr>
            </w:pPr>
          </w:p>
        </w:tc>
        <w:tc>
          <w:tcPr>
            <w:tcW w:w="5818" w:type="dxa"/>
          </w:tcPr>
          <w:p w:rsidR="00BA2729" w:rsidRPr="00BA2729" w:rsidP="00BA2729" w14:paraId="1C8B42C1" w14:textId="71301DF4">
            <w:pPr>
              <w:pStyle w:val="7190"/>
              <w:bidi w:val="0"/>
              <w:spacing w:before="240" w:after="0"/>
              <w:jc w:val="both"/>
              <w:rPr>
                <w:b/>
                <w:bCs/>
                <w:color w:val="00305F"/>
                <w:sz w:val="22"/>
                <w:szCs w:val="22"/>
              </w:rPr>
            </w:pPr>
            <w:r w:rsidRPr="004675B0">
              <w:rPr>
                <w:b/>
                <w:bCs/>
                <w:color w:val="00305F"/>
                <w:sz w:val="22"/>
                <w:szCs w:val="22"/>
              </w:rPr>
              <w:t>Prime Minister's Office</w:t>
            </w:r>
          </w:p>
        </w:tc>
      </w:tr>
      <w:tr w14:paraId="6A74AAC5" w14:textId="77777777" w:rsidTr="00BC7301">
        <w:tblPrEx>
          <w:tblW w:w="0" w:type="auto"/>
          <w:tblLook w:val="04A0"/>
        </w:tblPrEx>
        <w:tc>
          <w:tcPr>
            <w:tcW w:w="985" w:type="dxa"/>
          </w:tcPr>
          <w:p w:rsidR="00141BD3" w:rsidRPr="00141BD3" w:rsidP="00141BD3" w14:paraId="6D36C5A3" w14:textId="6DDE9C9C">
            <w:pPr>
              <w:pStyle w:val="7190"/>
              <w:bidi w:val="0"/>
              <w:spacing w:before="100" w:after="100"/>
              <w:rPr>
                <w:rFonts w:ascii="Arial" w:hAnsi="Arial"/>
                <w:color w:val="000000"/>
                <w:rtl/>
              </w:rPr>
            </w:pPr>
            <w:r>
              <w:rPr>
                <w:rFonts w:ascii="Arial" w:hAnsi="Arial" w:hint="cs"/>
                <w:color w:val="000000"/>
                <w:rtl/>
              </w:rPr>
              <w:t>83</w:t>
            </w:r>
          </w:p>
        </w:tc>
        <w:tc>
          <w:tcPr>
            <w:tcW w:w="567" w:type="dxa"/>
            <w:vAlign w:val="bottom"/>
          </w:tcPr>
          <w:p w:rsidR="00141BD3" w:rsidRPr="00141BD3" w:rsidP="00141BD3" w14:paraId="70F625CB" w14:textId="762BF16F">
            <w:pPr>
              <w:pStyle w:val="7190"/>
              <w:bidi w:val="0"/>
              <w:spacing w:before="100" w:after="100"/>
              <w:rPr>
                <w:rFonts w:ascii="Arial" w:hAnsi="Arial"/>
                <w:color w:val="000000"/>
                <w:rtl/>
              </w:rPr>
            </w:pPr>
          </w:p>
        </w:tc>
        <w:tc>
          <w:tcPr>
            <w:tcW w:w="5818" w:type="dxa"/>
          </w:tcPr>
          <w:p w:rsidR="00141BD3" w:rsidRPr="007617D1" w:rsidP="00BA2729" w14:paraId="697E7DA0" w14:textId="277B1E7A">
            <w:pPr>
              <w:pStyle w:val="7190"/>
              <w:bidi w:val="0"/>
              <w:spacing w:before="100" w:after="100"/>
              <w:rPr>
                <w:color w:val="000000"/>
                <w:rtl/>
              </w:rPr>
            </w:pPr>
            <w:r w:rsidRPr="00BA2729">
              <w:rPr>
                <w:color w:val="0D0D0D"/>
              </w:rPr>
              <w:t>The National Economic Council</w:t>
            </w:r>
          </w:p>
        </w:tc>
      </w:tr>
      <w:tr w14:paraId="1083651C" w14:textId="77777777" w:rsidTr="00BC7301">
        <w:tblPrEx>
          <w:tblW w:w="0" w:type="auto"/>
          <w:tblLook w:val="04A0"/>
        </w:tblPrEx>
        <w:tc>
          <w:tcPr>
            <w:tcW w:w="985" w:type="dxa"/>
          </w:tcPr>
          <w:p w:rsidR="00BA2729" w:rsidRPr="00BA2729" w:rsidP="00BA2729" w14:paraId="490784A2" w14:textId="77777777">
            <w:pPr>
              <w:pStyle w:val="7190"/>
              <w:bidi w:val="0"/>
              <w:spacing w:before="100" w:after="0"/>
              <w:rPr>
                <w:color w:val="00305F"/>
                <w:sz w:val="22"/>
                <w:szCs w:val="22"/>
              </w:rPr>
            </w:pPr>
          </w:p>
        </w:tc>
        <w:tc>
          <w:tcPr>
            <w:tcW w:w="567" w:type="dxa"/>
            <w:vAlign w:val="bottom"/>
          </w:tcPr>
          <w:p w:rsidR="00BA2729" w:rsidRPr="00BA2729" w:rsidP="00BA2729" w14:paraId="4078082E" w14:textId="77777777">
            <w:pPr>
              <w:pStyle w:val="7190"/>
              <w:bidi w:val="0"/>
              <w:spacing w:before="100" w:after="0"/>
              <w:rPr>
                <w:color w:val="00305F"/>
                <w:sz w:val="22"/>
                <w:szCs w:val="22"/>
                <w:rtl/>
              </w:rPr>
            </w:pPr>
          </w:p>
        </w:tc>
        <w:tc>
          <w:tcPr>
            <w:tcW w:w="5818" w:type="dxa"/>
          </w:tcPr>
          <w:p w:rsidR="00BA2729" w:rsidRPr="00BA2729" w:rsidP="00BA2729" w14:paraId="57DE9192" w14:textId="5F1BC4C6">
            <w:pPr>
              <w:pStyle w:val="7190"/>
              <w:bidi w:val="0"/>
              <w:spacing w:before="100" w:after="0"/>
              <w:rPr>
                <w:color w:val="00305F"/>
                <w:sz w:val="22"/>
                <w:szCs w:val="22"/>
              </w:rPr>
            </w:pPr>
            <w:r w:rsidRPr="00392985">
              <w:rPr>
                <w:b/>
                <w:bCs/>
                <w:color w:val="00305F"/>
                <w:sz w:val="22"/>
                <w:szCs w:val="22"/>
              </w:rPr>
              <w:t>Civil Service Commission</w:t>
            </w:r>
          </w:p>
        </w:tc>
      </w:tr>
      <w:tr w14:paraId="48E6AEED" w14:textId="77777777" w:rsidTr="00BC7301">
        <w:tblPrEx>
          <w:tblW w:w="0" w:type="auto"/>
          <w:tblLook w:val="04A0"/>
        </w:tblPrEx>
        <w:tc>
          <w:tcPr>
            <w:tcW w:w="985" w:type="dxa"/>
          </w:tcPr>
          <w:p w:rsidR="00141BD3" w:rsidRPr="00141BD3" w:rsidP="00141BD3" w14:paraId="309A1D84" w14:textId="31ADC994">
            <w:pPr>
              <w:pStyle w:val="7190"/>
              <w:bidi w:val="0"/>
              <w:spacing w:before="100" w:after="100"/>
              <w:rPr>
                <w:rFonts w:ascii="Arial" w:hAnsi="Arial"/>
                <w:color w:val="000000"/>
                <w:rtl/>
              </w:rPr>
            </w:pPr>
            <w:r>
              <w:rPr>
                <w:rFonts w:ascii="Arial" w:hAnsi="Arial" w:hint="cs"/>
                <w:color w:val="000000"/>
                <w:rtl/>
              </w:rPr>
              <w:t>93</w:t>
            </w:r>
          </w:p>
        </w:tc>
        <w:tc>
          <w:tcPr>
            <w:tcW w:w="567" w:type="dxa"/>
          </w:tcPr>
          <w:p w:rsidR="00141BD3" w:rsidRPr="00141BD3" w:rsidP="00141BD3" w14:paraId="6CC15DD2" w14:textId="69490037">
            <w:pPr>
              <w:pStyle w:val="7190"/>
              <w:bidi w:val="0"/>
              <w:spacing w:before="100" w:after="100"/>
              <w:rPr>
                <w:rFonts w:ascii="Arial" w:hAnsi="Arial"/>
                <w:color w:val="000000"/>
                <w:rtl/>
              </w:rPr>
            </w:pPr>
          </w:p>
        </w:tc>
        <w:tc>
          <w:tcPr>
            <w:tcW w:w="5818" w:type="dxa"/>
            <w:vAlign w:val="center"/>
          </w:tcPr>
          <w:p w:rsidR="00141BD3" w:rsidRPr="002933AD" w:rsidP="00141BD3" w14:paraId="18C828AD" w14:textId="49F5E03F">
            <w:pPr>
              <w:pStyle w:val="7190"/>
              <w:bidi w:val="0"/>
              <w:spacing w:before="100" w:after="100"/>
              <w:rPr>
                <w:color w:val="000000"/>
                <w:rtl/>
              </w:rPr>
            </w:pPr>
            <w:r w:rsidRPr="00BA2729">
              <w:rPr>
                <w:color w:val="0D0D0D"/>
              </w:rPr>
              <w:t xml:space="preserve">The </w:t>
            </w:r>
            <w:bookmarkStart w:id="0" w:name="_Hlk154389719"/>
            <w:r w:rsidRPr="00BA2729">
              <w:rPr>
                <w:color w:val="0D0D0D"/>
              </w:rPr>
              <w:t xml:space="preserve">Training Array in the Civil Service </w:t>
            </w:r>
            <w:bookmarkEnd w:id="0"/>
            <w:r w:rsidRPr="00BA2729">
              <w:rPr>
                <w:color w:val="0D0D0D"/>
              </w:rPr>
              <w:t>– Follow-up Audit</w:t>
            </w:r>
          </w:p>
        </w:tc>
      </w:tr>
      <w:tr w14:paraId="1E1407EB" w14:textId="77777777" w:rsidTr="00BC7301">
        <w:tblPrEx>
          <w:tblW w:w="0" w:type="auto"/>
          <w:tblLook w:val="04A0"/>
        </w:tblPrEx>
        <w:tc>
          <w:tcPr>
            <w:tcW w:w="985" w:type="dxa"/>
          </w:tcPr>
          <w:p w:rsidR="007617D1" w:rsidRPr="007617D1" w:rsidP="007617D1" w14:paraId="793D5D1F" w14:textId="77777777">
            <w:pPr>
              <w:pStyle w:val="7190"/>
              <w:bidi w:val="0"/>
              <w:spacing w:before="100" w:after="0"/>
              <w:jc w:val="both"/>
              <w:rPr>
                <w:b/>
                <w:bCs/>
                <w:color w:val="00305F"/>
                <w:sz w:val="22"/>
                <w:szCs w:val="22"/>
                <w:rtl/>
              </w:rPr>
            </w:pPr>
          </w:p>
        </w:tc>
        <w:tc>
          <w:tcPr>
            <w:tcW w:w="567" w:type="dxa"/>
          </w:tcPr>
          <w:p w:rsidR="007617D1" w:rsidRPr="007617D1" w:rsidP="007617D1" w14:paraId="422A554A" w14:textId="77777777">
            <w:pPr>
              <w:pStyle w:val="7190"/>
              <w:bidi w:val="0"/>
              <w:spacing w:before="100" w:after="0"/>
              <w:jc w:val="both"/>
              <w:rPr>
                <w:b/>
                <w:bCs/>
                <w:color w:val="00305F"/>
                <w:sz w:val="22"/>
                <w:szCs w:val="22"/>
                <w:rtl/>
              </w:rPr>
            </w:pPr>
          </w:p>
        </w:tc>
        <w:tc>
          <w:tcPr>
            <w:tcW w:w="5818" w:type="dxa"/>
            <w:vAlign w:val="center"/>
          </w:tcPr>
          <w:p w:rsidR="007617D1" w:rsidRPr="007617D1" w:rsidP="007617D1" w14:paraId="6D16C86E" w14:textId="3AC2BFB3">
            <w:pPr>
              <w:pStyle w:val="7190"/>
              <w:bidi w:val="0"/>
              <w:spacing w:before="100" w:after="0"/>
              <w:jc w:val="both"/>
              <w:rPr>
                <w:b/>
                <w:bCs/>
                <w:color w:val="00305F"/>
                <w:sz w:val="22"/>
                <w:szCs w:val="22"/>
              </w:rPr>
            </w:pPr>
            <w:r w:rsidRPr="007617D1">
              <w:rPr>
                <w:b/>
                <w:bCs/>
                <w:color w:val="00305F"/>
                <w:sz w:val="22"/>
                <w:szCs w:val="22"/>
              </w:rPr>
              <w:t>Ministry of Finance</w:t>
            </w:r>
          </w:p>
        </w:tc>
      </w:tr>
      <w:tr w14:paraId="174E3CBF" w14:textId="77777777" w:rsidTr="00BC7301">
        <w:tblPrEx>
          <w:tblW w:w="0" w:type="auto"/>
          <w:tblLook w:val="04A0"/>
        </w:tblPrEx>
        <w:tc>
          <w:tcPr>
            <w:tcW w:w="985" w:type="dxa"/>
          </w:tcPr>
          <w:p w:rsidR="007617D1" w:rsidP="00141BD3" w14:paraId="018081D7" w14:textId="36046A7C">
            <w:pPr>
              <w:pStyle w:val="7190"/>
              <w:bidi w:val="0"/>
              <w:spacing w:before="100" w:after="100"/>
              <w:rPr>
                <w:rFonts w:ascii="Arial" w:hAnsi="Arial"/>
                <w:color w:val="000000"/>
                <w:rtl/>
              </w:rPr>
            </w:pPr>
            <w:r>
              <w:rPr>
                <w:rFonts w:ascii="Arial" w:hAnsi="Arial" w:hint="cs"/>
                <w:color w:val="000000"/>
                <w:rtl/>
              </w:rPr>
              <w:t>107</w:t>
            </w:r>
          </w:p>
        </w:tc>
        <w:tc>
          <w:tcPr>
            <w:tcW w:w="567" w:type="dxa"/>
          </w:tcPr>
          <w:p w:rsidR="007617D1" w:rsidRPr="00141BD3" w:rsidP="00141BD3" w14:paraId="3A01C2D0" w14:textId="77777777">
            <w:pPr>
              <w:pStyle w:val="7190"/>
              <w:bidi w:val="0"/>
              <w:spacing w:before="100" w:after="100"/>
              <w:rPr>
                <w:rFonts w:ascii="Arial" w:hAnsi="Arial"/>
                <w:color w:val="000000"/>
                <w:rtl/>
              </w:rPr>
            </w:pPr>
          </w:p>
        </w:tc>
        <w:tc>
          <w:tcPr>
            <w:tcW w:w="5818" w:type="dxa"/>
            <w:vAlign w:val="center"/>
          </w:tcPr>
          <w:p w:rsidR="007617D1" w:rsidRPr="00BA2729" w:rsidP="00141BD3" w14:paraId="709B77C2" w14:textId="0B0D2E00">
            <w:pPr>
              <w:pStyle w:val="7190"/>
              <w:bidi w:val="0"/>
              <w:spacing w:before="100" w:after="100"/>
              <w:rPr>
                <w:color w:val="0D0D0D"/>
              </w:rPr>
            </w:pPr>
            <w:r w:rsidRPr="007617D1">
              <w:rPr>
                <w:color w:val="0D0D0D"/>
              </w:rPr>
              <w:t>The Financial Stat</w:t>
            </w:r>
            <w:r w:rsidR="00697027">
              <w:rPr>
                <w:color w:val="0D0D0D"/>
              </w:rPr>
              <w:t>e</w:t>
            </w:r>
            <w:r w:rsidRPr="007617D1">
              <w:rPr>
                <w:color w:val="0D0D0D"/>
              </w:rPr>
              <w:t xml:space="preserve">ments of the State of Israel as of December 31, </w:t>
            </w:r>
            <w:r w:rsidRPr="007617D1">
              <w:rPr>
                <w:color w:val="0D0D0D"/>
              </w:rPr>
              <w:t>2021</w:t>
            </w:r>
            <w:r w:rsidRPr="007617D1">
              <w:rPr>
                <w:color w:val="0D0D0D"/>
              </w:rPr>
              <w:t xml:space="preserve"> and the Information Systems Underlying the Financial Statements  </w:t>
            </w:r>
          </w:p>
        </w:tc>
      </w:tr>
      <w:tr w14:paraId="2A795FBE" w14:textId="77777777" w:rsidTr="00BC7301">
        <w:tblPrEx>
          <w:tblW w:w="0" w:type="auto"/>
          <w:tblLook w:val="04A0"/>
        </w:tblPrEx>
        <w:tc>
          <w:tcPr>
            <w:tcW w:w="985" w:type="dxa"/>
          </w:tcPr>
          <w:p w:rsidR="007617D1" w:rsidRPr="007617D1" w:rsidP="007617D1" w14:paraId="54ED1F58" w14:textId="77777777">
            <w:pPr>
              <w:pStyle w:val="7190"/>
              <w:bidi w:val="0"/>
              <w:spacing w:before="100" w:after="0"/>
              <w:jc w:val="both"/>
              <w:rPr>
                <w:b/>
                <w:bCs/>
                <w:color w:val="00305F"/>
                <w:sz w:val="22"/>
                <w:szCs w:val="22"/>
                <w:rtl/>
              </w:rPr>
            </w:pPr>
          </w:p>
        </w:tc>
        <w:tc>
          <w:tcPr>
            <w:tcW w:w="567" w:type="dxa"/>
          </w:tcPr>
          <w:p w:rsidR="007617D1" w:rsidRPr="007617D1" w:rsidP="007617D1" w14:paraId="27D8453F" w14:textId="77777777">
            <w:pPr>
              <w:pStyle w:val="7190"/>
              <w:bidi w:val="0"/>
              <w:spacing w:before="100" w:after="0"/>
              <w:jc w:val="both"/>
              <w:rPr>
                <w:b/>
                <w:bCs/>
                <w:color w:val="00305F"/>
                <w:sz w:val="22"/>
                <w:szCs w:val="22"/>
                <w:rtl/>
              </w:rPr>
            </w:pPr>
          </w:p>
        </w:tc>
        <w:tc>
          <w:tcPr>
            <w:tcW w:w="5818" w:type="dxa"/>
            <w:vAlign w:val="center"/>
          </w:tcPr>
          <w:p w:rsidR="007617D1" w:rsidRPr="007617D1" w:rsidP="007617D1" w14:paraId="2EE536F0" w14:textId="13AA72C5">
            <w:pPr>
              <w:pStyle w:val="7190"/>
              <w:bidi w:val="0"/>
              <w:spacing w:before="100" w:after="0"/>
              <w:jc w:val="both"/>
              <w:rPr>
                <w:b/>
                <w:bCs/>
                <w:color w:val="00305F"/>
                <w:sz w:val="22"/>
                <w:szCs w:val="22"/>
              </w:rPr>
            </w:pPr>
            <w:r w:rsidRPr="007617D1">
              <w:rPr>
                <w:b/>
                <w:bCs/>
                <w:color w:val="00305F"/>
                <w:sz w:val="22"/>
                <w:szCs w:val="22"/>
              </w:rPr>
              <w:t>Ministry of National Security</w:t>
            </w:r>
          </w:p>
        </w:tc>
      </w:tr>
      <w:tr w14:paraId="6D582523" w14:textId="77777777" w:rsidTr="00BC7301">
        <w:tblPrEx>
          <w:tblW w:w="0" w:type="auto"/>
          <w:tblLook w:val="04A0"/>
        </w:tblPrEx>
        <w:tc>
          <w:tcPr>
            <w:tcW w:w="985" w:type="dxa"/>
          </w:tcPr>
          <w:p w:rsidR="007617D1" w:rsidP="00141BD3" w14:paraId="0D5ACB9A" w14:textId="40CC7346">
            <w:pPr>
              <w:pStyle w:val="7190"/>
              <w:bidi w:val="0"/>
              <w:spacing w:before="100" w:after="100"/>
              <w:rPr>
                <w:rFonts w:ascii="Arial" w:hAnsi="Arial"/>
                <w:color w:val="000000"/>
                <w:rtl/>
              </w:rPr>
            </w:pPr>
            <w:r>
              <w:rPr>
                <w:rFonts w:ascii="Arial" w:hAnsi="Arial" w:hint="cs"/>
                <w:color w:val="000000"/>
                <w:rtl/>
              </w:rPr>
              <w:t>119</w:t>
            </w:r>
          </w:p>
        </w:tc>
        <w:tc>
          <w:tcPr>
            <w:tcW w:w="567" w:type="dxa"/>
          </w:tcPr>
          <w:p w:rsidR="007617D1" w:rsidRPr="00141BD3" w:rsidP="00141BD3" w14:paraId="6F4182AC" w14:textId="77777777">
            <w:pPr>
              <w:pStyle w:val="7190"/>
              <w:bidi w:val="0"/>
              <w:spacing w:before="100" w:after="100"/>
              <w:rPr>
                <w:rFonts w:ascii="Arial" w:hAnsi="Arial"/>
                <w:color w:val="000000"/>
                <w:rtl/>
              </w:rPr>
            </w:pPr>
          </w:p>
        </w:tc>
        <w:tc>
          <w:tcPr>
            <w:tcW w:w="5818" w:type="dxa"/>
            <w:vAlign w:val="center"/>
          </w:tcPr>
          <w:p w:rsidR="007617D1" w:rsidP="00141BD3" w14:paraId="34375EF6" w14:textId="581A16B2">
            <w:pPr>
              <w:pStyle w:val="7190"/>
              <w:bidi w:val="0"/>
              <w:spacing w:before="100" w:after="100"/>
              <w:rPr>
                <w:color w:val="0D0D0D"/>
                <w:rtl/>
              </w:rPr>
            </w:pPr>
            <w:r w:rsidRPr="007617D1">
              <w:rPr>
                <w:color w:val="0D0D0D"/>
              </w:rPr>
              <w:t xml:space="preserve">The Israel Police's Handling of Agricultural Crime – Follow-up </w:t>
            </w:r>
            <w:r w:rsidRPr="007617D1">
              <w:rPr>
                <w:color w:val="0D0D0D"/>
              </w:rPr>
              <w:t xml:space="preserve">Audit   </w:t>
            </w:r>
          </w:p>
          <w:p w:rsidR="00BD2498" w:rsidP="00BD2498" w14:paraId="607D5CCB" w14:textId="77777777">
            <w:pPr>
              <w:pStyle w:val="7190"/>
              <w:bidi w:val="0"/>
              <w:spacing w:before="100" w:after="100"/>
              <w:rPr>
                <w:color w:val="0D0D0D"/>
                <w:rtl/>
              </w:rPr>
            </w:pPr>
          </w:p>
          <w:p w:rsidR="00BD2498" w:rsidRPr="007617D1" w:rsidP="00BD2498" w14:paraId="3F3EF55F" w14:textId="0F904732">
            <w:pPr>
              <w:pStyle w:val="7190"/>
              <w:bidi w:val="0"/>
              <w:spacing w:before="100" w:after="100"/>
              <w:rPr>
                <w:color w:val="0D0D0D"/>
              </w:rPr>
            </w:pPr>
          </w:p>
        </w:tc>
      </w:tr>
      <w:tr w14:paraId="4ABD5DCA" w14:textId="77777777" w:rsidTr="00BC7301">
        <w:tblPrEx>
          <w:tblW w:w="0" w:type="auto"/>
          <w:tblLook w:val="04A0"/>
        </w:tblPrEx>
        <w:tc>
          <w:tcPr>
            <w:tcW w:w="985" w:type="dxa"/>
          </w:tcPr>
          <w:p w:rsidR="007617D1" w:rsidRPr="007617D1" w:rsidP="007617D1" w14:paraId="7F1DBFE3" w14:textId="77777777">
            <w:pPr>
              <w:pStyle w:val="7190"/>
              <w:bidi w:val="0"/>
              <w:spacing w:before="100" w:after="0"/>
              <w:jc w:val="both"/>
              <w:rPr>
                <w:b/>
                <w:bCs/>
                <w:color w:val="00305F"/>
                <w:sz w:val="22"/>
                <w:szCs w:val="22"/>
              </w:rPr>
            </w:pPr>
          </w:p>
        </w:tc>
        <w:tc>
          <w:tcPr>
            <w:tcW w:w="567" w:type="dxa"/>
          </w:tcPr>
          <w:p w:rsidR="007617D1" w:rsidRPr="007617D1" w:rsidP="007617D1" w14:paraId="33576C9D" w14:textId="77777777">
            <w:pPr>
              <w:pStyle w:val="7190"/>
              <w:bidi w:val="0"/>
              <w:spacing w:before="100" w:after="0"/>
              <w:jc w:val="both"/>
              <w:rPr>
                <w:b/>
                <w:bCs/>
                <w:color w:val="00305F"/>
                <w:sz w:val="22"/>
                <w:szCs w:val="22"/>
                <w:rtl/>
              </w:rPr>
            </w:pPr>
          </w:p>
        </w:tc>
        <w:tc>
          <w:tcPr>
            <w:tcW w:w="5818" w:type="dxa"/>
            <w:vAlign w:val="center"/>
          </w:tcPr>
          <w:p w:rsidR="007617D1" w:rsidRPr="007617D1" w:rsidP="007617D1" w14:paraId="3BEE9455" w14:textId="0D01AEF6">
            <w:pPr>
              <w:pStyle w:val="7190"/>
              <w:bidi w:val="0"/>
              <w:spacing w:before="100" w:after="0"/>
              <w:jc w:val="both"/>
              <w:rPr>
                <w:b/>
                <w:bCs/>
                <w:color w:val="00305F"/>
                <w:sz w:val="22"/>
                <w:szCs w:val="22"/>
              </w:rPr>
            </w:pPr>
            <w:r w:rsidRPr="007617D1">
              <w:rPr>
                <w:b/>
                <w:bCs/>
                <w:color w:val="00305F"/>
                <w:sz w:val="22"/>
                <w:szCs w:val="22"/>
              </w:rPr>
              <w:t>Ministry of Construction and Housing</w:t>
            </w:r>
          </w:p>
        </w:tc>
      </w:tr>
      <w:tr w14:paraId="572DE50B" w14:textId="77777777" w:rsidTr="00BC7301">
        <w:tblPrEx>
          <w:tblW w:w="0" w:type="auto"/>
          <w:tblLook w:val="04A0"/>
        </w:tblPrEx>
        <w:tc>
          <w:tcPr>
            <w:tcW w:w="985" w:type="dxa"/>
          </w:tcPr>
          <w:p w:rsidR="007617D1" w:rsidP="00141BD3" w14:paraId="5DC3F136" w14:textId="6434B685">
            <w:pPr>
              <w:pStyle w:val="7190"/>
              <w:bidi w:val="0"/>
              <w:spacing w:before="100" w:after="100"/>
              <w:rPr>
                <w:rFonts w:ascii="Arial" w:hAnsi="Arial"/>
                <w:color w:val="000000"/>
              </w:rPr>
            </w:pPr>
            <w:r>
              <w:rPr>
                <w:rFonts w:ascii="Arial" w:hAnsi="Arial" w:hint="cs"/>
                <w:color w:val="000000"/>
                <w:rtl/>
              </w:rPr>
              <w:t>133</w:t>
            </w:r>
          </w:p>
        </w:tc>
        <w:tc>
          <w:tcPr>
            <w:tcW w:w="567" w:type="dxa"/>
          </w:tcPr>
          <w:p w:rsidR="007617D1" w:rsidRPr="00141BD3" w:rsidP="00141BD3" w14:paraId="410994DC" w14:textId="77777777">
            <w:pPr>
              <w:pStyle w:val="7190"/>
              <w:bidi w:val="0"/>
              <w:spacing w:before="100" w:after="100"/>
              <w:rPr>
                <w:rFonts w:ascii="Arial" w:hAnsi="Arial"/>
                <w:color w:val="000000"/>
                <w:rtl/>
              </w:rPr>
            </w:pPr>
          </w:p>
        </w:tc>
        <w:tc>
          <w:tcPr>
            <w:tcW w:w="5818" w:type="dxa"/>
            <w:vAlign w:val="center"/>
          </w:tcPr>
          <w:p w:rsidR="007617D1" w:rsidRPr="007617D1" w:rsidP="00141BD3" w14:paraId="27A09982" w14:textId="683BE50F">
            <w:pPr>
              <w:pStyle w:val="7190"/>
              <w:bidi w:val="0"/>
              <w:spacing w:before="100" w:after="100"/>
              <w:rPr>
                <w:color w:val="0D0D0D"/>
              </w:rPr>
            </w:pPr>
            <w:r w:rsidRPr="007617D1">
              <w:rPr>
                <w:color w:val="0D0D0D"/>
              </w:rPr>
              <w:t xml:space="preserve">The Government's Actions Regarding Housing for the Ultra-Orthodox Population  </w:t>
            </w:r>
          </w:p>
        </w:tc>
      </w:tr>
      <w:tr w14:paraId="134D9BC7" w14:textId="77777777" w:rsidTr="00BC7301">
        <w:tblPrEx>
          <w:tblW w:w="0" w:type="auto"/>
          <w:tblLook w:val="04A0"/>
        </w:tblPrEx>
        <w:tc>
          <w:tcPr>
            <w:tcW w:w="985" w:type="dxa"/>
          </w:tcPr>
          <w:p w:rsidR="007617D1" w:rsidRPr="007617D1" w:rsidP="007617D1" w14:paraId="5B823A0E" w14:textId="77777777">
            <w:pPr>
              <w:pStyle w:val="7190"/>
              <w:bidi w:val="0"/>
              <w:spacing w:before="100" w:after="0"/>
              <w:jc w:val="both"/>
              <w:rPr>
                <w:b/>
                <w:bCs/>
                <w:color w:val="00305F"/>
                <w:sz w:val="22"/>
                <w:szCs w:val="22"/>
              </w:rPr>
            </w:pPr>
          </w:p>
        </w:tc>
        <w:tc>
          <w:tcPr>
            <w:tcW w:w="567" w:type="dxa"/>
          </w:tcPr>
          <w:p w:rsidR="007617D1" w:rsidRPr="007617D1" w:rsidP="007617D1" w14:paraId="2DFA1004" w14:textId="77777777">
            <w:pPr>
              <w:pStyle w:val="7190"/>
              <w:bidi w:val="0"/>
              <w:spacing w:before="100" w:after="0"/>
              <w:jc w:val="both"/>
              <w:rPr>
                <w:b/>
                <w:bCs/>
                <w:color w:val="00305F"/>
                <w:sz w:val="22"/>
                <w:szCs w:val="22"/>
                <w:rtl/>
              </w:rPr>
            </w:pPr>
          </w:p>
        </w:tc>
        <w:tc>
          <w:tcPr>
            <w:tcW w:w="5818" w:type="dxa"/>
            <w:vAlign w:val="center"/>
          </w:tcPr>
          <w:p w:rsidR="007617D1" w:rsidRPr="007617D1" w:rsidP="007617D1" w14:paraId="6D4536A0" w14:textId="14A1BA1C">
            <w:pPr>
              <w:pStyle w:val="7190"/>
              <w:bidi w:val="0"/>
              <w:spacing w:before="100" w:after="0"/>
              <w:jc w:val="both"/>
              <w:rPr>
                <w:b/>
                <w:bCs/>
                <w:color w:val="00305F"/>
                <w:sz w:val="22"/>
                <w:szCs w:val="22"/>
              </w:rPr>
            </w:pPr>
            <w:r w:rsidRPr="007617D1">
              <w:rPr>
                <w:b/>
                <w:bCs/>
                <w:color w:val="00305F"/>
                <w:sz w:val="22"/>
                <w:szCs w:val="22"/>
              </w:rPr>
              <w:t>Ministry of Health</w:t>
            </w:r>
          </w:p>
        </w:tc>
      </w:tr>
      <w:tr w14:paraId="63AA7A73" w14:textId="77777777" w:rsidTr="00BC7301">
        <w:tblPrEx>
          <w:tblW w:w="0" w:type="auto"/>
          <w:tblLook w:val="04A0"/>
        </w:tblPrEx>
        <w:tc>
          <w:tcPr>
            <w:tcW w:w="985" w:type="dxa"/>
          </w:tcPr>
          <w:p w:rsidR="007617D1" w:rsidP="00141BD3" w14:paraId="235DDA51" w14:textId="27304AFE">
            <w:pPr>
              <w:pStyle w:val="7190"/>
              <w:bidi w:val="0"/>
              <w:spacing w:before="100" w:after="100"/>
              <w:rPr>
                <w:rFonts w:ascii="Arial" w:hAnsi="Arial"/>
                <w:color w:val="000000"/>
              </w:rPr>
            </w:pPr>
            <w:r>
              <w:rPr>
                <w:rFonts w:ascii="Arial" w:hAnsi="Arial" w:hint="cs"/>
                <w:color w:val="000000"/>
                <w:rtl/>
              </w:rPr>
              <w:t>147</w:t>
            </w:r>
          </w:p>
        </w:tc>
        <w:tc>
          <w:tcPr>
            <w:tcW w:w="567" w:type="dxa"/>
          </w:tcPr>
          <w:p w:rsidR="007617D1" w:rsidRPr="00141BD3" w:rsidP="00141BD3" w14:paraId="628D11AB" w14:textId="77777777">
            <w:pPr>
              <w:pStyle w:val="7190"/>
              <w:bidi w:val="0"/>
              <w:spacing w:before="100" w:after="100"/>
              <w:rPr>
                <w:rFonts w:ascii="Arial" w:hAnsi="Arial"/>
                <w:color w:val="000000"/>
                <w:rtl/>
              </w:rPr>
            </w:pPr>
          </w:p>
        </w:tc>
        <w:tc>
          <w:tcPr>
            <w:tcW w:w="5818" w:type="dxa"/>
            <w:vAlign w:val="center"/>
          </w:tcPr>
          <w:p w:rsidR="007617D1" w:rsidRPr="007617D1" w:rsidP="00141BD3" w14:paraId="58EBA875" w14:textId="5772C8FC">
            <w:pPr>
              <w:pStyle w:val="7190"/>
              <w:bidi w:val="0"/>
              <w:spacing w:before="100" w:after="100"/>
              <w:rPr>
                <w:color w:val="0D0D0D"/>
              </w:rPr>
            </w:pPr>
            <w:r w:rsidRPr="007617D1">
              <w:rPr>
                <w:color w:val="0D0D0D"/>
              </w:rPr>
              <w:t>Hospitalization of Children</w:t>
            </w:r>
          </w:p>
        </w:tc>
      </w:tr>
      <w:tr w14:paraId="1506B810" w14:textId="77777777" w:rsidTr="00BC7301">
        <w:tblPrEx>
          <w:tblW w:w="0" w:type="auto"/>
          <w:tblLook w:val="04A0"/>
        </w:tblPrEx>
        <w:tc>
          <w:tcPr>
            <w:tcW w:w="985" w:type="dxa"/>
          </w:tcPr>
          <w:p w:rsidR="007617D1" w:rsidP="00141BD3" w14:paraId="05886243" w14:textId="4DB811E7">
            <w:pPr>
              <w:pStyle w:val="7190"/>
              <w:bidi w:val="0"/>
              <w:spacing w:before="100" w:after="100"/>
              <w:rPr>
                <w:rFonts w:ascii="Arial" w:hAnsi="Arial"/>
                <w:color w:val="000000"/>
              </w:rPr>
            </w:pPr>
            <w:r>
              <w:rPr>
                <w:rFonts w:ascii="Arial" w:hAnsi="Arial" w:hint="cs"/>
                <w:color w:val="000000"/>
                <w:rtl/>
              </w:rPr>
              <w:t>163</w:t>
            </w:r>
          </w:p>
        </w:tc>
        <w:tc>
          <w:tcPr>
            <w:tcW w:w="567" w:type="dxa"/>
          </w:tcPr>
          <w:p w:rsidR="007617D1" w:rsidRPr="00141BD3" w:rsidP="00141BD3" w14:paraId="5C2E4D79" w14:textId="77777777">
            <w:pPr>
              <w:pStyle w:val="7190"/>
              <w:bidi w:val="0"/>
              <w:spacing w:before="100" w:after="100"/>
              <w:rPr>
                <w:rFonts w:ascii="Arial" w:hAnsi="Arial"/>
                <w:color w:val="000000"/>
                <w:rtl/>
              </w:rPr>
            </w:pPr>
          </w:p>
        </w:tc>
        <w:tc>
          <w:tcPr>
            <w:tcW w:w="5818" w:type="dxa"/>
            <w:vAlign w:val="center"/>
          </w:tcPr>
          <w:p w:rsidR="007617D1" w:rsidRPr="007617D1" w:rsidP="00141BD3" w14:paraId="775F1071" w14:textId="0CBFCBC6">
            <w:pPr>
              <w:pStyle w:val="7190"/>
              <w:bidi w:val="0"/>
              <w:spacing w:before="100" w:after="100"/>
              <w:rPr>
                <w:color w:val="0D0D0D"/>
              </w:rPr>
            </w:pPr>
            <w:r w:rsidRPr="007617D1">
              <w:rPr>
                <w:color w:val="0D0D0D"/>
              </w:rPr>
              <w:t xml:space="preserve">Dental Health Services Within the Healthcare Basket    </w:t>
            </w:r>
          </w:p>
        </w:tc>
      </w:tr>
      <w:tr w14:paraId="486261F7" w14:textId="77777777" w:rsidTr="00BC7301">
        <w:tblPrEx>
          <w:tblW w:w="0" w:type="auto"/>
          <w:tblLook w:val="04A0"/>
        </w:tblPrEx>
        <w:tc>
          <w:tcPr>
            <w:tcW w:w="985" w:type="dxa"/>
          </w:tcPr>
          <w:p w:rsidR="00A646D6" w:rsidRPr="00A646D6" w:rsidP="00A646D6" w14:paraId="7C24BD92" w14:textId="77777777">
            <w:pPr>
              <w:pStyle w:val="7190"/>
              <w:bidi w:val="0"/>
              <w:spacing w:before="100" w:after="0"/>
              <w:jc w:val="both"/>
              <w:rPr>
                <w:b/>
                <w:bCs/>
                <w:color w:val="00305F"/>
                <w:sz w:val="22"/>
                <w:szCs w:val="22"/>
              </w:rPr>
            </w:pPr>
          </w:p>
        </w:tc>
        <w:tc>
          <w:tcPr>
            <w:tcW w:w="567" w:type="dxa"/>
          </w:tcPr>
          <w:p w:rsidR="00A646D6" w:rsidRPr="00A646D6" w:rsidP="00A646D6" w14:paraId="288985AC" w14:textId="77777777">
            <w:pPr>
              <w:pStyle w:val="7190"/>
              <w:bidi w:val="0"/>
              <w:spacing w:before="100" w:after="0"/>
              <w:jc w:val="both"/>
              <w:rPr>
                <w:b/>
                <w:bCs/>
                <w:color w:val="00305F"/>
                <w:sz w:val="22"/>
                <w:szCs w:val="22"/>
                <w:rtl/>
              </w:rPr>
            </w:pPr>
          </w:p>
        </w:tc>
        <w:tc>
          <w:tcPr>
            <w:tcW w:w="5818" w:type="dxa"/>
            <w:vAlign w:val="center"/>
          </w:tcPr>
          <w:p w:rsidR="00A646D6" w:rsidRPr="00A646D6" w:rsidP="00A646D6" w14:paraId="3ED9E63C" w14:textId="4B9638FB">
            <w:pPr>
              <w:pStyle w:val="7190"/>
              <w:bidi w:val="0"/>
              <w:spacing w:before="100" w:after="0"/>
              <w:jc w:val="both"/>
              <w:rPr>
                <w:b/>
                <w:bCs/>
                <w:color w:val="00305F"/>
                <w:sz w:val="22"/>
                <w:szCs w:val="22"/>
              </w:rPr>
            </w:pPr>
            <w:r w:rsidRPr="00A646D6">
              <w:rPr>
                <w:b/>
                <w:bCs/>
                <w:color w:val="00305F"/>
                <w:sz w:val="22"/>
                <w:szCs w:val="22"/>
              </w:rPr>
              <w:t>Ministry of Environmental Protection</w:t>
            </w:r>
          </w:p>
        </w:tc>
      </w:tr>
      <w:tr w14:paraId="58A4B027" w14:textId="77777777" w:rsidTr="00BC7301">
        <w:tblPrEx>
          <w:tblW w:w="0" w:type="auto"/>
          <w:tblLook w:val="04A0"/>
        </w:tblPrEx>
        <w:tc>
          <w:tcPr>
            <w:tcW w:w="985" w:type="dxa"/>
          </w:tcPr>
          <w:p w:rsidR="00A646D6" w:rsidP="00141BD3" w14:paraId="0155163A" w14:textId="47A582FF">
            <w:pPr>
              <w:pStyle w:val="7190"/>
              <w:bidi w:val="0"/>
              <w:spacing w:before="100" w:after="100"/>
              <w:rPr>
                <w:rFonts w:ascii="Arial" w:hAnsi="Arial"/>
                <w:color w:val="000000"/>
              </w:rPr>
            </w:pPr>
            <w:r>
              <w:rPr>
                <w:rFonts w:ascii="Arial" w:hAnsi="Arial" w:hint="cs"/>
                <w:color w:val="000000"/>
                <w:rtl/>
              </w:rPr>
              <w:t>179</w:t>
            </w:r>
          </w:p>
        </w:tc>
        <w:tc>
          <w:tcPr>
            <w:tcW w:w="567" w:type="dxa"/>
          </w:tcPr>
          <w:p w:rsidR="00A646D6" w:rsidRPr="00141BD3" w:rsidP="00141BD3" w14:paraId="38426C36" w14:textId="77777777">
            <w:pPr>
              <w:pStyle w:val="7190"/>
              <w:bidi w:val="0"/>
              <w:spacing w:before="100" w:after="100"/>
              <w:rPr>
                <w:rFonts w:ascii="Arial" w:hAnsi="Arial"/>
                <w:color w:val="000000"/>
                <w:rtl/>
              </w:rPr>
            </w:pPr>
          </w:p>
        </w:tc>
        <w:tc>
          <w:tcPr>
            <w:tcW w:w="5818" w:type="dxa"/>
            <w:vAlign w:val="center"/>
          </w:tcPr>
          <w:p w:rsidR="00A646D6" w:rsidRPr="007617D1" w:rsidP="00141BD3" w14:paraId="673E35D9" w14:textId="26C56F55">
            <w:pPr>
              <w:pStyle w:val="7190"/>
              <w:bidi w:val="0"/>
              <w:spacing w:before="100" w:after="100"/>
              <w:rPr>
                <w:color w:val="0D0D0D"/>
              </w:rPr>
            </w:pPr>
            <w:r w:rsidRPr="00A646D6">
              <w:rPr>
                <w:color w:val="0D0D0D"/>
              </w:rPr>
              <w:t xml:space="preserve">Environmental Enforcement </w:t>
            </w:r>
            <w:r w:rsidRPr="007617D1">
              <w:rPr>
                <w:color w:val="0D0D0D"/>
              </w:rPr>
              <w:t>–</w:t>
            </w:r>
            <w:r w:rsidRPr="00A646D6">
              <w:rPr>
                <w:color w:val="0D0D0D"/>
              </w:rPr>
              <w:t xml:space="preserve"> Follow-up Audit  </w:t>
            </w:r>
          </w:p>
        </w:tc>
      </w:tr>
      <w:tr w14:paraId="572493C1" w14:textId="77777777" w:rsidTr="00BC7301">
        <w:tblPrEx>
          <w:tblW w:w="0" w:type="auto"/>
          <w:tblLook w:val="04A0"/>
        </w:tblPrEx>
        <w:tc>
          <w:tcPr>
            <w:tcW w:w="985" w:type="dxa"/>
          </w:tcPr>
          <w:p w:rsidR="00A646D6" w:rsidP="00141BD3" w14:paraId="7C57271D" w14:textId="71C82E1F">
            <w:pPr>
              <w:pStyle w:val="7190"/>
              <w:bidi w:val="0"/>
              <w:spacing w:before="100" w:after="100"/>
              <w:rPr>
                <w:rFonts w:ascii="Arial" w:hAnsi="Arial"/>
                <w:color w:val="000000"/>
              </w:rPr>
            </w:pPr>
            <w:r>
              <w:rPr>
                <w:rFonts w:ascii="Arial" w:hAnsi="Arial" w:hint="cs"/>
                <w:color w:val="000000"/>
                <w:rtl/>
              </w:rPr>
              <w:t>203</w:t>
            </w:r>
          </w:p>
        </w:tc>
        <w:tc>
          <w:tcPr>
            <w:tcW w:w="567" w:type="dxa"/>
          </w:tcPr>
          <w:p w:rsidR="00A646D6" w:rsidRPr="00141BD3" w:rsidP="00141BD3" w14:paraId="36846EC2" w14:textId="77777777">
            <w:pPr>
              <w:pStyle w:val="7190"/>
              <w:bidi w:val="0"/>
              <w:spacing w:before="100" w:after="100"/>
              <w:rPr>
                <w:rFonts w:ascii="Arial" w:hAnsi="Arial"/>
                <w:color w:val="000000"/>
                <w:rtl/>
              </w:rPr>
            </w:pPr>
          </w:p>
        </w:tc>
        <w:tc>
          <w:tcPr>
            <w:tcW w:w="5818" w:type="dxa"/>
            <w:vAlign w:val="center"/>
          </w:tcPr>
          <w:p w:rsidR="00A646D6" w:rsidRPr="00A646D6" w:rsidP="00141BD3" w14:paraId="1199DF9F" w14:textId="295686D1">
            <w:pPr>
              <w:pStyle w:val="7190"/>
              <w:bidi w:val="0"/>
              <w:spacing w:before="100" w:after="100"/>
              <w:rPr>
                <w:color w:val="0D0D0D"/>
              </w:rPr>
            </w:pPr>
            <w:r w:rsidRPr="00A646D6">
              <w:rPr>
                <w:color w:val="0D0D0D"/>
              </w:rPr>
              <w:t>Maintenance &amp; Cleanliness of Tourist Attractions in Israel</w:t>
            </w:r>
          </w:p>
        </w:tc>
      </w:tr>
      <w:tr w14:paraId="037DEF1B" w14:textId="77777777" w:rsidTr="00BC7301">
        <w:tblPrEx>
          <w:tblW w:w="0" w:type="auto"/>
          <w:tblLook w:val="04A0"/>
        </w:tblPrEx>
        <w:tc>
          <w:tcPr>
            <w:tcW w:w="985" w:type="dxa"/>
          </w:tcPr>
          <w:p w:rsidR="00A646D6" w:rsidRPr="00A646D6" w:rsidP="00A646D6" w14:paraId="76F891DE" w14:textId="77777777">
            <w:pPr>
              <w:pStyle w:val="7190"/>
              <w:bidi w:val="0"/>
              <w:spacing w:before="100" w:after="0"/>
              <w:jc w:val="both"/>
              <w:rPr>
                <w:b/>
                <w:bCs/>
                <w:color w:val="00305F"/>
                <w:sz w:val="22"/>
                <w:szCs w:val="22"/>
              </w:rPr>
            </w:pPr>
          </w:p>
        </w:tc>
        <w:tc>
          <w:tcPr>
            <w:tcW w:w="567" w:type="dxa"/>
          </w:tcPr>
          <w:p w:rsidR="00A646D6" w:rsidRPr="00A646D6" w:rsidP="00A646D6" w14:paraId="3900F9F2" w14:textId="77777777">
            <w:pPr>
              <w:pStyle w:val="7190"/>
              <w:bidi w:val="0"/>
              <w:spacing w:before="100" w:after="0"/>
              <w:jc w:val="both"/>
              <w:rPr>
                <w:b/>
                <w:bCs/>
                <w:color w:val="00305F"/>
                <w:sz w:val="22"/>
                <w:szCs w:val="22"/>
                <w:rtl/>
              </w:rPr>
            </w:pPr>
          </w:p>
        </w:tc>
        <w:tc>
          <w:tcPr>
            <w:tcW w:w="5818" w:type="dxa"/>
            <w:vAlign w:val="center"/>
          </w:tcPr>
          <w:p w:rsidR="00A646D6" w:rsidRPr="00A646D6" w:rsidP="00A646D6" w14:paraId="75817BF9" w14:textId="788EDEF2">
            <w:pPr>
              <w:pStyle w:val="7190"/>
              <w:bidi w:val="0"/>
              <w:spacing w:before="100" w:after="0"/>
              <w:jc w:val="both"/>
              <w:rPr>
                <w:b/>
                <w:bCs/>
                <w:color w:val="00305F"/>
                <w:sz w:val="22"/>
                <w:szCs w:val="22"/>
              </w:rPr>
            </w:pPr>
            <w:r w:rsidRPr="00A646D6">
              <w:rPr>
                <w:b/>
                <w:bCs/>
                <w:color w:val="00305F"/>
                <w:sz w:val="22"/>
                <w:szCs w:val="22"/>
              </w:rPr>
              <w:t>Ministry of Education</w:t>
            </w:r>
          </w:p>
        </w:tc>
      </w:tr>
      <w:tr w14:paraId="1B6DBA9B" w14:textId="77777777" w:rsidTr="00BC7301">
        <w:tblPrEx>
          <w:tblW w:w="0" w:type="auto"/>
          <w:tblLook w:val="04A0"/>
        </w:tblPrEx>
        <w:tc>
          <w:tcPr>
            <w:tcW w:w="985" w:type="dxa"/>
          </w:tcPr>
          <w:p w:rsidR="00A646D6" w:rsidP="00141BD3" w14:paraId="114A84CD" w14:textId="40C150F3">
            <w:pPr>
              <w:pStyle w:val="7190"/>
              <w:bidi w:val="0"/>
              <w:spacing w:before="100" w:after="100"/>
              <w:rPr>
                <w:rFonts w:ascii="Arial" w:hAnsi="Arial"/>
                <w:color w:val="000000"/>
              </w:rPr>
            </w:pPr>
            <w:r>
              <w:rPr>
                <w:rFonts w:ascii="Arial" w:hAnsi="Arial" w:hint="cs"/>
                <w:color w:val="000000"/>
                <w:rtl/>
              </w:rPr>
              <w:t>219</w:t>
            </w:r>
          </w:p>
        </w:tc>
        <w:tc>
          <w:tcPr>
            <w:tcW w:w="567" w:type="dxa"/>
          </w:tcPr>
          <w:p w:rsidR="00A646D6" w:rsidRPr="00141BD3" w:rsidP="00141BD3" w14:paraId="72D56378" w14:textId="77777777">
            <w:pPr>
              <w:pStyle w:val="7190"/>
              <w:bidi w:val="0"/>
              <w:spacing w:before="100" w:after="100"/>
              <w:rPr>
                <w:rFonts w:ascii="Arial" w:hAnsi="Arial"/>
                <w:color w:val="000000"/>
                <w:rtl/>
              </w:rPr>
            </w:pPr>
          </w:p>
        </w:tc>
        <w:tc>
          <w:tcPr>
            <w:tcW w:w="5818" w:type="dxa"/>
            <w:vAlign w:val="center"/>
          </w:tcPr>
          <w:p w:rsidR="00A646D6" w:rsidRPr="00A646D6" w:rsidP="00141BD3" w14:paraId="7F55D8DE" w14:textId="6C8DABB0">
            <w:pPr>
              <w:pStyle w:val="7190"/>
              <w:bidi w:val="0"/>
              <w:spacing w:before="100" w:after="100"/>
              <w:rPr>
                <w:color w:val="0D0D0D"/>
              </w:rPr>
            </w:pPr>
            <w:r w:rsidRPr="00A646D6">
              <w:rPr>
                <w:color w:val="0D0D0D"/>
              </w:rPr>
              <w:t xml:space="preserve">Differential Budgeting as a Tool for Minimizing Gaps in the Education System  </w:t>
            </w:r>
          </w:p>
        </w:tc>
      </w:tr>
      <w:tr w14:paraId="60203A80" w14:textId="77777777" w:rsidTr="00BC7301">
        <w:tblPrEx>
          <w:tblW w:w="0" w:type="auto"/>
          <w:tblLook w:val="04A0"/>
        </w:tblPrEx>
        <w:tc>
          <w:tcPr>
            <w:tcW w:w="985" w:type="dxa"/>
          </w:tcPr>
          <w:p w:rsidR="00A646D6" w:rsidRPr="00A646D6" w:rsidP="00A646D6" w14:paraId="072F69B1" w14:textId="77777777">
            <w:pPr>
              <w:pStyle w:val="7190"/>
              <w:bidi w:val="0"/>
              <w:spacing w:before="100" w:after="100"/>
              <w:jc w:val="both"/>
              <w:rPr>
                <w:b/>
                <w:bCs/>
                <w:color w:val="00305F"/>
                <w:sz w:val="22"/>
                <w:szCs w:val="22"/>
              </w:rPr>
            </w:pPr>
          </w:p>
        </w:tc>
        <w:tc>
          <w:tcPr>
            <w:tcW w:w="567" w:type="dxa"/>
          </w:tcPr>
          <w:p w:rsidR="00A646D6" w:rsidRPr="00A646D6" w:rsidP="00A646D6" w14:paraId="40F66EF6" w14:textId="77777777">
            <w:pPr>
              <w:pStyle w:val="7190"/>
              <w:bidi w:val="0"/>
              <w:spacing w:before="100" w:after="100"/>
              <w:jc w:val="both"/>
              <w:rPr>
                <w:b/>
                <w:bCs/>
                <w:color w:val="00305F"/>
                <w:sz w:val="22"/>
                <w:szCs w:val="22"/>
                <w:rtl/>
              </w:rPr>
            </w:pPr>
          </w:p>
        </w:tc>
        <w:tc>
          <w:tcPr>
            <w:tcW w:w="5818" w:type="dxa"/>
            <w:vAlign w:val="center"/>
          </w:tcPr>
          <w:p w:rsidR="00A646D6" w:rsidRPr="00A646D6" w:rsidP="002933AD" w14:paraId="490BAE08" w14:textId="1B6D7421">
            <w:pPr>
              <w:pStyle w:val="7190"/>
              <w:bidi w:val="0"/>
              <w:spacing w:before="100" w:after="100"/>
              <w:rPr>
                <w:b/>
                <w:bCs/>
                <w:color w:val="00305F"/>
                <w:sz w:val="22"/>
                <w:szCs w:val="22"/>
              </w:rPr>
            </w:pPr>
            <w:r>
              <w:rPr>
                <w:b/>
                <w:bCs/>
                <w:color w:val="00305F"/>
                <w:sz w:val="22"/>
                <w:szCs w:val="22"/>
              </w:rPr>
              <w:t xml:space="preserve">Ministry of Agriculture and Rural </w:t>
            </w:r>
            <w:r>
              <w:rPr>
                <w:b/>
                <w:bCs/>
                <w:color w:val="00305F"/>
                <w:sz w:val="22"/>
                <w:szCs w:val="22"/>
              </w:rPr>
              <w:t>Developement</w:t>
            </w:r>
          </w:p>
        </w:tc>
      </w:tr>
      <w:tr w14:paraId="5BC91B0A" w14:textId="77777777" w:rsidTr="00BC7301">
        <w:tblPrEx>
          <w:tblW w:w="0" w:type="auto"/>
          <w:tblLook w:val="04A0"/>
        </w:tblPrEx>
        <w:tc>
          <w:tcPr>
            <w:tcW w:w="985" w:type="dxa"/>
          </w:tcPr>
          <w:p w:rsidR="00A646D6" w:rsidP="00141BD3" w14:paraId="4F713949" w14:textId="438C720F">
            <w:pPr>
              <w:pStyle w:val="7190"/>
              <w:bidi w:val="0"/>
              <w:spacing w:before="100" w:after="100"/>
              <w:rPr>
                <w:rFonts w:ascii="Arial" w:hAnsi="Arial"/>
                <w:color w:val="000000"/>
              </w:rPr>
            </w:pPr>
            <w:r>
              <w:rPr>
                <w:rFonts w:ascii="Arial" w:hAnsi="Arial"/>
                <w:color w:val="000000"/>
              </w:rPr>
              <w:t>233</w:t>
            </w:r>
          </w:p>
        </w:tc>
        <w:tc>
          <w:tcPr>
            <w:tcW w:w="567" w:type="dxa"/>
          </w:tcPr>
          <w:p w:rsidR="00A646D6" w:rsidRPr="00141BD3" w:rsidP="00141BD3" w14:paraId="45AF77DE" w14:textId="77777777">
            <w:pPr>
              <w:pStyle w:val="7190"/>
              <w:bidi w:val="0"/>
              <w:spacing w:before="100" w:after="100"/>
              <w:rPr>
                <w:rFonts w:ascii="Arial" w:hAnsi="Arial"/>
                <w:color w:val="000000"/>
                <w:rtl/>
              </w:rPr>
            </w:pPr>
          </w:p>
        </w:tc>
        <w:tc>
          <w:tcPr>
            <w:tcW w:w="5818" w:type="dxa"/>
            <w:vAlign w:val="center"/>
          </w:tcPr>
          <w:p w:rsidR="00A646D6" w:rsidRPr="00A646D6" w:rsidP="00141BD3" w14:paraId="77964B06" w14:textId="40BB001B">
            <w:pPr>
              <w:pStyle w:val="7190"/>
              <w:bidi w:val="0"/>
              <w:spacing w:before="100" w:after="100"/>
              <w:rPr>
                <w:color w:val="0D0D0D"/>
              </w:rPr>
            </w:pPr>
            <w:r w:rsidRPr="00A646D6">
              <w:rPr>
                <w:color w:val="0D0D0D"/>
              </w:rPr>
              <w:t>The Dairy Industry in Israel</w:t>
            </w:r>
          </w:p>
        </w:tc>
      </w:tr>
      <w:tr w14:paraId="2129929C" w14:textId="77777777" w:rsidTr="00BC7301">
        <w:tblPrEx>
          <w:tblW w:w="0" w:type="auto"/>
          <w:tblLook w:val="04A0"/>
        </w:tblPrEx>
        <w:tc>
          <w:tcPr>
            <w:tcW w:w="985" w:type="dxa"/>
          </w:tcPr>
          <w:p w:rsidR="00A646D6" w:rsidP="00141BD3" w14:paraId="5E7C80D6" w14:textId="58193FB0">
            <w:pPr>
              <w:pStyle w:val="7190"/>
              <w:bidi w:val="0"/>
              <w:spacing w:before="100" w:after="100"/>
              <w:rPr>
                <w:rFonts w:ascii="Arial" w:hAnsi="Arial"/>
                <w:color w:val="000000"/>
              </w:rPr>
            </w:pPr>
            <w:r>
              <w:rPr>
                <w:rFonts w:ascii="Arial" w:hAnsi="Arial"/>
                <w:color w:val="000000"/>
              </w:rPr>
              <w:t>245</w:t>
            </w:r>
          </w:p>
        </w:tc>
        <w:tc>
          <w:tcPr>
            <w:tcW w:w="567" w:type="dxa"/>
          </w:tcPr>
          <w:p w:rsidR="00A646D6" w:rsidRPr="00141BD3" w:rsidP="00141BD3" w14:paraId="69677CE3" w14:textId="77777777">
            <w:pPr>
              <w:pStyle w:val="7190"/>
              <w:bidi w:val="0"/>
              <w:spacing w:before="100" w:after="100"/>
              <w:rPr>
                <w:rFonts w:ascii="Arial" w:hAnsi="Arial"/>
                <w:color w:val="000000"/>
                <w:rtl/>
              </w:rPr>
            </w:pPr>
          </w:p>
        </w:tc>
        <w:tc>
          <w:tcPr>
            <w:tcW w:w="5818" w:type="dxa"/>
            <w:vAlign w:val="center"/>
          </w:tcPr>
          <w:p w:rsidR="00A646D6" w:rsidRPr="00A646D6" w:rsidP="00141BD3" w14:paraId="422F06ED" w14:textId="74099B59">
            <w:pPr>
              <w:pStyle w:val="7190"/>
              <w:bidi w:val="0"/>
              <w:spacing w:before="100" w:after="100"/>
              <w:rPr>
                <w:color w:val="0D0D0D"/>
              </w:rPr>
            </w:pPr>
            <w:r w:rsidRPr="00A646D6">
              <w:rPr>
                <w:color w:val="0D0D0D"/>
              </w:rPr>
              <w:t xml:space="preserve">The </w:t>
            </w:r>
            <w:bookmarkStart w:id="1" w:name="_Hlk154389835"/>
            <w:r w:rsidR="00697027">
              <w:rPr>
                <w:color w:val="0D0D0D"/>
              </w:rPr>
              <w:t>U</w:t>
            </w:r>
            <w:r w:rsidRPr="00A646D6">
              <w:rPr>
                <w:color w:val="0D0D0D"/>
              </w:rPr>
              <w:t xml:space="preserve">se of Pesticides on Fruits &amp; Vegetables </w:t>
            </w:r>
            <w:bookmarkEnd w:id="1"/>
            <w:r w:rsidRPr="007617D1">
              <w:rPr>
                <w:color w:val="0D0D0D"/>
              </w:rPr>
              <w:t>–</w:t>
            </w:r>
            <w:r w:rsidRPr="00A646D6">
              <w:rPr>
                <w:color w:val="0D0D0D"/>
              </w:rPr>
              <w:t xml:space="preserve"> Follow-up Audit  </w:t>
            </w:r>
          </w:p>
        </w:tc>
      </w:tr>
      <w:tr w14:paraId="7F66EA52" w14:textId="77777777" w:rsidTr="00BC7301">
        <w:tblPrEx>
          <w:tblW w:w="0" w:type="auto"/>
          <w:tblLook w:val="04A0"/>
        </w:tblPrEx>
        <w:tc>
          <w:tcPr>
            <w:tcW w:w="985" w:type="dxa"/>
          </w:tcPr>
          <w:p w:rsidR="00A646D6" w:rsidRPr="00A646D6" w:rsidP="00A646D6" w14:paraId="385E335C" w14:textId="77777777">
            <w:pPr>
              <w:pStyle w:val="7190"/>
              <w:bidi w:val="0"/>
              <w:spacing w:before="100" w:after="100"/>
              <w:jc w:val="both"/>
              <w:rPr>
                <w:b/>
                <w:bCs/>
                <w:color w:val="00305F"/>
                <w:sz w:val="22"/>
                <w:szCs w:val="22"/>
              </w:rPr>
            </w:pPr>
          </w:p>
        </w:tc>
        <w:tc>
          <w:tcPr>
            <w:tcW w:w="567" w:type="dxa"/>
          </w:tcPr>
          <w:p w:rsidR="00A646D6" w:rsidRPr="00A646D6" w:rsidP="00A646D6" w14:paraId="10E52D1D" w14:textId="77777777">
            <w:pPr>
              <w:pStyle w:val="7190"/>
              <w:bidi w:val="0"/>
              <w:spacing w:before="100" w:after="100"/>
              <w:jc w:val="both"/>
              <w:rPr>
                <w:b/>
                <w:bCs/>
                <w:color w:val="00305F"/>
                <w:sz w:val="22"/>
                <w:szCs w:val="22"/>
                <w:rtl/>
              </w:rPr>
            </w:pPr>
          </w:p>
        </w:tc>
        <w:tc>
          <w:tcPr>
            <w:tcW w:w="5818" w:type="dxa"/>
            <w:vAlign w:val="center"/>
          </w:tcPr>
          <w:p w:rsidR="00A646D6" w:rsidRPr="00A646D6" w:rsidP="00A646D6" w14:paraId="43005919" w14:textId="412C902C">
            <w:pPr>
              <w:pStyle w:val="7190"/>
              <w:bidi w:val="0"/>
              <w:spacing w:before="100" w:after="100"/>
              <w:jc w:val="both"/>
              <w:rPr>
                <w:b/>
                <w:bCs/>
                <w:color w:val="00305F"/>
                <w:sz w:val="22"/>
                <w:szCs w:val="22"/>
              </w:rPr>
            </w:pPr>
            <w:r w:rsidRPr="00A646D6">
              <w:rPr>
                <w:b/>
                <w:bCs/>
                <w:color w:val="00305F"/>
                <w:sz w:val="22"/>
                <w:szCs w:val="22"/>
              </w:rPr>
              <w:t>Ministry of Religious Services</w:t>
            </w:r>
          </w:p>
        </w:tc>
      </w:tr>
      <w:tr w14:paraId="7EFAF270" w14:textId="77777777" w:rsidTr="00BC7301">
        <w:tblPrEx>
          <w:tblW w:w="0" w:type="auto"/>
          <w:tblLook w:val="04A0"/>
        </w:tblPrEx>
        <w:tc>
          <w:tcPr>
            <w:tcW w:w="985" w:type="dxa"/>
          </w:tcPr>
          <w:p w:rsidR="00A646D6" w:rsidP="00141BD3" w14:paraId="2A384E9E" w14:textId="44BBF0DF">
            <w:pPr>
              <w:pStyle w:val="7190"/>
              <w:bidi w:val="0"/>
              <w:spacing w:before="100" w:after="100"/>
              <w:rPr>
                <w:rFonts w:ascii="Arial" w:hAnsi="Arial"/>
                <w:color w:val="000000"/>
              </w:rPr>
            </w:pPr>
            <w:r>
              <w:rPr>
                <w:rFonts w:ascii="Arial" w:hAnsi="Arial"/>
                <w:color w:val="000000"/>
              </w:rPr>
              <w:t>265</w:t>
            </w:r>
          </w:p>
        </w:tc>
        <w:tc>
          <w:tcPr>
            <w:tcW w:w="567" w:type="dxa"/>
          </w:tcPr>
          <w:p w:rsidR="00A646D6" w:rsidRPr="00141BD3" w:rsidP="00141BD3" w14:paraId="4D2CBC91" w14:textId="77777777">
            <w:pPr>
              <w:pStyle w:val="7190"/>
              <w:bidi w:val="0"/>
              <w:spacing w:before="100" w:after="100"/>
              <w:rPr>
                <w:rFonts w:ascii="Arial" w:hAnsi="Arial"/>
                <w:color w:val="000000"/>
                <w:rtl/>
              </w:rPr>
            </w:pPr>
          </w:p>
        </w:tc>
        <w:tc>
          <w:tcPr>
            <w:tcW w:w="5818" w:type="dxa"/>
            <w:vAlign w:val="center"/>
          </w:tcPr>
          <w:p w:rsidR="00A646D6" w:rsidRPr="002933AD" w:rsidP="00141BD3" w14:paraId="484AF738" w14:textId="26603166">
            <w:pPr>
              <w:pStyle w:val="7190"/>
              <w:bidi w:val="0"/>
              <w:spacing w:before="100" w:after="100"/>
              <w:rPr>
                <w:color w:val="0D0D0D"/>
                <w:lang w:val="en"/>
              </w:rPr>
            </w:pPr>
            <w:r w:rsidRPr="00657BB6">
              <w:rPr>
                <w:color w:val="0D0D0D"/>
                <w:lang w:val="en"/>
              </w:rPr>
              <w:t>Financial Audit at the Religious Councils</w:t>
            </w:r>
          </w:p>
        </w:tc>
      </w:tr>
      <w:tr w14:paraId="326988A6" w14:textId="77777777" w:rsidTr="00BC7301">
        <w:tblPrEx>
          <w:tblW w:w="0" w:type="auto"/>
          <w:tblLook w:val="04A0"/>
        </w:tblPrEx>
        <w:tc>
          <w:tcPr>
            <w:tcW w:w="985" w:type="dxa"/>
          </w:tcPr>
          <w:p w:rsidR="00A646D6" w:rsidRPr="00A646D6" w:rsidP="00A646D6" w14:paraId="24201A0F" w14:textId="77777777">
            <w:pPr>
              <w:pStyle w:val="7190"/>
              <w:bidi w:val="0"/>
              <w:spacing w:before="100" w:after="100"/>
              <w:jc w:val="both"/>
              <w:rPr>
                <w:b/>
                <w:bCs/>
                <w:color w:val="00305F"/>
                <w:sz w:val="22"/>
                <w:szCs w:val="22"/>
              </w:rPr>
            </w:pPr>
          </w:p>
        </w:tc>
        <w:tc>
          <w:tcPr>
            <w:tcW w:w="567" w:type="dxa"/>
          </w:tcPr>
          <w:p w:rsidR="00A646D6" w:rsidRPr="00A646D6" w:rsidP="00A646D6" w14:paraId="7E9470D6" w14:textId="77777777">
            <w:pPr>
              <w:pStyle w:val="7190"/>
              <w:bidi w:val="0"/>
              <w:spacing w:before="100" w:after="100"/>
              <w:jc w:val="both"/>
              <w:rPr>
                <w:b/>
                <w:bCs/>
                <w:color w:val="00305F"/>
                <w:sz w:val="22"/>
                <w:szCs w:val="22"/>
                <w:rtl/>
              </w:rPr>
            </w:pPr>
          </w:p>
        </w:tc>
        <w:tc>
          <w:tcPr>
            <w:tcW w:w="5818" w:type="dxa"/>
            <w:vAlign w:val="center"/>
          </w:tcPr>
          <w:p w:rsidR="00A646D6" w:rsidRPr="00A646D6" w:rsidP="00A646D6" w14:paraId="1FB9B536" w14:textId="79342C89">
            <w:pPr>
              <w:pStyle w:val="7190"/>
              <w:bidi w:val="0"/>
              <w:spacing w:before="100" w:after="100"/>
              <w:jc w:val="both"/>
              <w:rPr>
                <w:b/>
                <w:bCs/>
                <w:color w:val="00305F"/>
                <w:sz w:val="22"/>
                <w:szCs w:val="22"/>
              </w:rPr>
            </w:pPr>
            <w:r w:rsidRPr="00A646D6">
              <w:rPr>
                <w:b/>
                <w:bCs/>
                <w:color w:val="00305F"/>
                <w:sz w:val="22"/>
                <w:szCs w:val="22"/>
              </w:rPr>
              <w:t>Ministry of Culture and Sports</w:t>
            </w:r>
          </w:p>
        </w:tc>
      </w:tr>
      <w:tr w14:paraId="5DF6A351" w14:textId="77777777" w:rsidTr="00BC7301">
        <w:tblPrEx>
          <w:tblW w:w="0" w:type="auto"/>
          <w:tblLook w:val="04A0"/>
        </w:tblPrEx>
        <w:tc>
          <w:tcPr>
            <w:tcW w:w="985" w:type="dxa"/>
          </w:tcPr>
          <w:p w:rsidR="00A646D6" w:rsidP="00141BD3" w14:paraId="15AC0C58" w14:textId="678F87A7">
            <w:pPr>
              <w:pStyle w:val="7190"/>
              <w:bidi w:val="0"/>
              <w:spacing w:before="100" w:after="100"/>
              <w:rPr>
                <w:rFonts w:ascii="Arial" w:hAnsi="Arial"/>
                <w:color w:val="000000"/>
              </w:rPr>
            </w:pPr>
            <w:r>
              <w:rPr>
                <w:rFonts w:ascii="Arial" w:hAnsi="Arial"/>
                <w:color w:val="000000"/>
              </w:rPr>
              <w:t>276</w:t>
            </w:r>
          </w:p>
        </w:tc>
        <w:tc>
          <w:tcPr>
            <w:tcW w:w="567" w:type="dxa"/>
          </w:tcPr>
          <w:p w:rsidR="00A646D6" w:rsidRPr="00141BD3" w:rsidP="00141BD3" w14:paraId="04623CC0" w14:textId="77777777">
            <w:pPr>
              <w:pStyle w:val="7190"/>
              <w:bidi w:val="0"/>
              <w:spacing w:before="100" w:after="100"/>
              <w:rPr>
                <w:rFonts w:ascii="Arial" w:hAnsi="Arial"/>
                <w:color w:val="000000"/>
                <w:rtl/>
              </w:rPr>
            </w:pPr>
          </w:p>
        </w:tc>
        <w:tc>
          <w:tcPr>
            <w:tcW w:w="5818" w:type="dxa"/>
            <w:vAlign w:val="center"/>
          </w:tcPr>
          <w:p w:rsidR="00A646D6" w:rsidRPr="002933AD" w:rsidP="00141BD3" w14:paraId="47C14EBE" w14:textId="16CBEAEC">
            <w:pPr>
              <w:pStyle w:val="7190"/>
              <w:bidi w:val="0"/>
              <w:spacing w:before="100" w:after="100"/>
              <w:rPr>
                <w:color w:val="0D0D0D"/>
                <w:lang w:val="en"/>
              </w:rPr>
            </w:pPr>
            <w:r w:rsidRPr="00657BB6">
              <w:rPr>
                <w:color w:val="0D0D0D"/>
                <w:lang w:val="en"/>
              </w:rPr>
              <w:t>Construction, Maintenance &amp; Operation of Sports Facilities</w:t>
            </w:r>
          </w:p>
        </w:tc>
      </w:tr>
      <w:tr w14:paraId="529A9C36" w14:textId="77777777" w:rsidTr="00EF4817">
        <w:tblPrEx>
          <w:tblW w:w="0" w:type="auto"/>
          <w:tblLook w:val="04A0"/>
        </w:tblPrEx>
        <w:tc>
          <w:tcPr>
            <w:tcW w:w="7370" w:type="dxa"/>
            <w:gridSpan w:val="3"/>
          </w:tcPr>
          <w:p w:rsidR="004675B0" w:rsidRPr="002933AD" w:rsidP="00D33738" w14:paraId="54D1864C" w14:textId="300F3CF4">
            <w:pPr>
              <w:pStyle w:val="7190"/>
              <w:bidi w:val="0"/>
              <w:spacing w:before="600" w:after="100" w:line="276" w:lineRule="auto"/>
              <w:rPr>
                <w:color w:val="000000"/>
                <w:rtl/>
              </w:rPr>
            </w:pPr>
            <w:r w:rsidRPr="00E36AE1">
              <w:rPr>
                <w:color w:val="00305F"/>
                <w:sz w:val="24"/>
                <w:szCs w:val="24"/>
              </w:rPr>
              <w:t>Chapter Three</w:t>
            </w:r>
            <w:r>
              <w:rPr>
                <w:color w:val="00305F"/>
                <w:sz w:val="24"/>
                <w:szCs w:val="24"/>
              </w:rPr>
              <w:t xml:space="preserve"> | </w:t>
            </w:r>
            <w:r w:rsidRPr="00D33738" w:rsidR="002933AD">
              <w:rPr>
                <w:b/>
                <w:bCs/>
                <w:color w:val="00305F"/>
                <w:sz w:val="24"/>
                <w:szCs w:val="24"/>
              </w:rPr>
              <w:t xml:space="preserve">State </w:t>
            </w:r>
            <w:r w:rsidR="002933AD">
              <w:rPr>
                <w:b/>
                <w:bCs/>
                <w:color w:val="00305F"/>
                <w:sz w:val="24"/>
                <w:szCs w:val="24"/>
              </w:rPr>
              <w:t>I</w:t>
            </w:r>
            <w:r w:rsidRPr="00D33738" w:rsidR="002933AD">
              <w:rPr>
                <w:b/>
                <w:bCs/>
                <w:color w:val="00305F"/>
                <w:sz w:val="24"/>
                <w:szCs w:val="24"/>
              </w:rPr>
              <w:t xml:space="preserve">nstitutions, </w:t>
            </w:r>
            <w:r w:rsidR="002933AD">
              <w:rPr>
                <w:b/>
                <w:bCs/>
                <w:color w:val="00305F"/>
                <w:sz w:val="24"/>
                <w:szCs w:val="24"/>
              </w:rPr>
              <w:t>G</w:t>
            </w:r>
            <w:r w:rsidRPr="00D33738" w:rsidR="002933AD">
              <w:rPr>
                <w:b/>
                <w:bCs/>
                <w:color w:val="00305F"/>
                <w:sz w:val="24"/>
                <w:szCs w:val="24"/>
              </w:rPr>
              <w:t>overnment</w:t>
            </w:r>
            <w:r w:rsidR="00697027">
              <w:rPr>
                <w:b/>
                <w:bCs/>
                <w:color w:val="00305F"/>
                <w:sz w:val="24"/>
                <w:szCs w:val="24"/>
              </w:rPr>
              <w:br/>
            </w:r>
            <w:r w:rsidR="002933AD">
              <w:rPr>
                <w:b/>
                <w:bCs/>
                <w:color w:val="00305F"/>
                <w:sz w:val="24"/>
                <w:szCs w:val="24"/>
              </w:rPr>
              <w:t>C</w:t>
            </w:r>
            <w:r w:rsidRPr="00D33738" w:rsidR="002933AD">
              <w:rPr>
                <w:b/>
                <w:bCs/>
                <w:color w:val="00305F"/>
                <w:sz w:val="24"/>
                <w:szCs w:val="24"/>
              </w:rPr>
              <w:t xml:space="preserve">ompanies and </w:t>
            </w:r>
            <w:r w:rsidR="002933AD">
              <w:rPr>
                <w:b/>
                <w:bCs/>
                <w:color w:val="00305F"/>
                <w:sz w:val="24"/>
                <w:szCs w:val="24"/>
              </w:rPr>
              <w:t>C</w:t>
            </w:r>
            <w:r w:rsidRPr="00D33738" w:rsidR="002933AD">
              <w:rPr>
                <w:b/>
                <w:bCs/>
                <w:color w:val="00305F"/>
                <w:sz w:val="24"/>
                <w:szCs w:val="24"/>
              </w:rPr>
              <w:t>orporation</w:t>
            </w:r>
          </w:p>
        </w:tc>
      </w:tr>
      <w:tr w14:paraId="795A1844" w14:textId="77777777" w:rsidTr="00BC7301">
        <w:tblPrEx>
          <w:tblW w:w="0" w:type="auto"/>
          <w:tblLook w:val="04A0"/>
        </w:tblPrEx>
        <w:tc>
          <w:tcPr>
            <w:tcW w:w="985" w:type="dxa"/>
          </w:tcPr>
          <w:p w:rsidR="004675B0" w:rsidRPr="004675B0" w:rsidP="004675B0" w14:paraId="2C2BBB24" w14:textId="77777777">
            <w:pPr>
              <w:pStyle w:val="7190"/>
              <w:bidi w:val="0"/>
              <w:spacing w:before="240" w:after="0"/>
              <w:rPr>
                <w:rFonts w:ascii="Arial" w:hAnsi="Arial"/>
                <w:color w:val="000000"/>
                <w:sz w:val="22"/>
                <w:szCs w:val="22"/>
                <w:rtl/>
              </w:rPr>
            </w:pPr>
          </w:p>
        </w:tc>
        <w:tc>
          <w:tcPr>
            <w:tcW w:w="567" w:type="dxa"/>
          </w:tcPr>
          <w:p w:rsidR="004675B0" w:rsidRPr="004675B0" w:rsidP="004675B0" w14:paraId="24B71F9C" w14:textId="77777777">
            <w:pPr>
              <w:pStyle w:val="7190"/>
              <w:bidi w:val="0"/>
              <w:spacing w:before="240" w:after="0"/>
              <w:rPr>
                <w:rFonts w:ascii="Arial" w:hAnsi="Arial"/>
                <w:color w:val="000000"/>
                <w:sz w:val="22"/>
                <w:szCs w:val="22"/>
                <w:rtl/>
              </w:rPr>
            </w:pPr>
          </w:p>
        </w:tc>
        <w:tc>
          <w:tcPr>
            <w:tcW w:w="5818" w:type="dxa"/>
          </w:tcPr>
          <w:p w:rsidR="004675B0" w:rsidRPr="004675B0" w:rsidP="004675B0" w14:paraId="20445ABF" w14:textId="4B1FBAB2">
            <w:pPr>
              <w:pStyle w:val="7190"/>
              <w:bidi w:val="0"/>
              <w:spacing w:before="240" w:after="0"/>
              <w:rPr>
                <w:color w:val="000000"/>
                <w:sz w:val="22"/>
                <w:szCs w:val="22"/>
              </w:rPr>
            </w:pPr>
            <w:r>
              <w:rPr>
                <w:b/>
                <w:bCs/>
                <w:color w:val="00305F"/>
                <w:sz w:val="22"/>
                <w:szCs w:val="22"/>
              </w:rPr>
              <w:t xml:space="preserve">Law </w:t>
            </w:r>
            <w:r w:rsidRPr="00D33738" w:rsidR="002933AD">
              <w:rPr>
                <w:b/>
                <w:bCs/>
                <w:color w:val="00305F"/>
                <w:sz w:val="22"/>
                <w:szCs w:val="22"/>
              </w:rPr>
              <w:t>Enforcement and Collection Authority</w:t>
            </w:r>
          </w:p>
        </w:tc>
      </w:tr>
      <w:tr w14:paraId="2294FC9A" w14:textId="77777777" w:rsidTr="00BC7301">
        <w:tblPrEx>
          <w:tblW w:w="0" w:type="auto"/>
          <w:tblLook w:val="04A0"/>
        </w:tblPrEx>
        <w:tc>
          <w:tcPr>
            <w:tcW w:w="985" w:type="dxa"/>
          </w:tcPr>
          <w:p w:rsidR="004675B0" w:rsidP="00BC7301" w14:paraId="4FE78095" w14:textId="3AFC052F">
            <w:pPr>
              <w:pStyle w:val="7190"/>
              <w:bidi w:val="0"/>
              <w:spacing w:before="100" w:after="100"/>
              <w:rPr>
                <w:rFonts w:ascii="Arial" w:hAnsi="Arial"/>
                <w:color w:val="000000"/>
                <w:sz w:val="24"/>
                <w:rtl/>
              </w:rPr>
            </w:pPr>
            <w:r>
              <w:rPr>
                <w:rFonts w:ascii="Arial" w:hAnsi="Arial" w:hint="cs"/>
                <w:color w:val="000000"/>
                <w:sz w:val="24"/>
                <w:rtl/>
              </w:rPr>
              <w:t>289</w:t>
            </w:r>
          </w:p>
        </w:tc>
        <w:tc>
          <w:tcPr>
            <w:tcW w:w="567" w:type="dxa"/>
          </w:tcPr>
          <w:p w:rsidR="004675B0" w:rsidRPr="00CD238C" w:rsidP="00BC7301" w14:paraId="7F3CC292" w14:textId="77777777">
            <w:pPr>
              <w:pStyle w:val="7190"/>
              <w:bidi w:val="0"/>
              <w:spacing w:before="100" w:after="100"/>
              <w:rPr>
                <w:rFonts w:ascii="Arial" w:hAnsi="Arial"/>
                <w:color w:val="000000"/>
                <w:sz w:val="24"/>
                <w:rtl/>
              </w:rPr>
            </w:pPr>
          </w:p>
        </w:tc>
        <w:tc>
          <w:tcPr>
            <w:tcW w:w="5818" w:type="dxa"/>
          </w:tcPr>
          <w:p w:rsidR="004675B0" w:rsidP="00D85F90" w14:paraId="003403C2" w14:textId="35F9D9EC">
            <w:pPr>
              <w:pStyle w:val="7190"/>
              <w:bidi w:val="0"/>
              <w:spacing w:before="100" w:after="100"/>
              <w:rPr>
                <w:color w:val="000000"/>
              </w:rPr>
            </w:pPr>
            <w:r w:rsidRPr="00D33738">
              <w:rPr>
                <w:color w:val="0D0D0D"/>
              </w:rPr>
              <w:t xml:space="preserve">The Center for Collection of Fines </w:t>
            </w:r>
            <w:r>
              <w:rPr>
                <w:color w:val="0D0D0D"/>
              </w:rPr>
              <w:t>at</w:t>
            </w:r>
            <w:r w:rsidRPr="00D33738">
              <w:rPr>
                <w:color w:val="0D0D0D"/>
              </w:rPr>
              <w:t xml:space="preserve"> the Enforcement and Collection </w:t>
            </w:r>
            <w:r w:rsidR="00697027">
              <w:rPr>
                <w:color w:val="0D0D0D"/>
              </w:rPr>
              <w:t xml:space="preserve">System </w:t>
            </w:r>
            <w:r w:rsidRPr="00D33738" w:rsidR="00D33738">
              <w:rPr>
                <w:color w:val="0D0D0D"/>
              </w:rPr>
              <w:t>Authority</w:t>
            </w:r>
          </w:p>
          <w:p w:rsidR="00751F3D" w:rsidRPr="00D85F90" w:rsidP="00751F3D" w14:paraId="59015133" w14:textId="4354B3DB">
            <w:pPr>
              <w:pStyle w:val="7190"/>
              <w:bidi w:val="0"/>
              <w:spacing w:before="100" w:after="100"/>
              <w:rPr>
                <w:color w:val="000000"/>
              </w:rPr>
            </w:pPr>
            <w:r>
              <w:rPr>
                <w:noProof/>
                <w:color w:val="000000"/>
              </w:rPr>
              <mc:AlternateContent>
                <mc:Choice Requires="wps">
                  <w:drawing>
                    <wp:anchor distT="0" distB="0" distL="114300" distR="114300" simplePos="0" relativeHeight="251709440" behindDoc="0" locked="0" layoutInCell="1" allowOverlap="1">
                      <wp:simplePos x="0" y="0"/>
                      <wp:positionH relativeFrom="column">
                        <wp:posOffset>-561703</wp:posOffset>
                      </wp:positionH>
                      <wp:positionV relativeFrom="paragraph">
                        <wp:posOffset>605427</wp:posOffset>
                      </wp:positionV>
                      <wp:extent cx="775607" cy="375557"/>
                      <wp:effectExtent l="12700" t="12700" r="12065" b="18415"/>
                      <wp:wrapNone/>
                      <wp:docPr id="171527900"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775607" cy="37555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45" style="width:61.05pt;height:29.55pt;margin-top:47.65pt;margin-left:-44.25pt;mso-wrap-distance-bottom:0;mso-wrap-distance-left:9pt;mso-wrap-distance-right:9pt;mso-wrap-distance-top:0;mso-wrap-style:square;position:absolute;visibility:visible;v-text-anchor:middle;z-index:251710464" fillcolor="white" strokecolor="white" strokeweight="2pt"/>
                  </w:pict>
                </mc:Fallback>
              </mc:AlternateContent>
            </w:r>
          </w:p>
        </w:tc>
      </w:tr>
      <w:tr w14:paraId="25DCC776" w14:textId="77777777" w:rsidTr="00BC7301">
        <w:tblPrEx>
          <w:tblW w:w="0" w:type="auto"/>
          <w:tblLook w:val="04A0"/>
        </w:tblPrEx>
        <w:tc>
          <w:tcPr>
            <w:tcW w:w="985" w:type="dxa"/>
          </w:tcPr>
          <w:p w:rsidR="004675B0" w:rsidRPr="004675B0" w:rsidP="004675B0" w14:paraId="48AB6913" w14:textId="77777777">
            <w:pPr>
              <w:pStyle w:val="7190"/>
              <w:bidi w:val="0"/>
              <w:spacing w:before="240" w:after="0"/>
              <w:rPr>
                <w:rFonts w:ascii="Arial" w:hAnsi="Arial"/>
                <w:color w:val="000000"/>
                <w:sz w:val="22"/>
                <w:szCs w:val="22"/>
                <w:rtl/>
              </w:rPr>
            </w:pPr>
          </w:p>
        </w:tc>
        <w:tc>
          <w:tcPr>
            <w:tcW w:w="567" w:type="dxa"/>
          </w:tcPr>
          <w:p w:rsidR="004675B0" w:rsidRPr="004675B0" w:rsidP="004675B0" w14:paraId="72EAE287" w14:textId="77777777">
            <w:pPr>
              <w:pStyle w:val="7190"/>
              <w:bidi w:val="0"/>
              <w:spacing w:before="240" w:after="0"/>
              <w:rPr>
                <w:rFonts w:ascii="Arial" w:hAnsi="Arial"/>
                <w:color w:val="000000"/>
                <w:sz w:val="22"/>
                <w:szCs w:val="22"/>
                <w:rtl/>
              </w:rPr>
            </w:pPr>
          </w:p>
        </w:tc>
        <w:tc>
          <w:tcPr>
            <w:tcW w:w="5818" w:type="dxa"/>
          </w:tcPr>
          <w:p w:rsidR="004675B0" w:rsidRPr="004675B0" w:rsidP="004675B0" w14:paraId="38015313" w14:textId="06020B39">
            <w:pPr>
              <w:pStyle w:val="7190"/>
              <w:bidi w:val="0"/>
              <w:spacing w:before="240" w:after="0"/>
              <w:rPr>
                <w:color w:val="000000"/>
                <w:sz w:val="22"/>
                <w:szCs w:val="22"/>
              </w:rPr>
            </w:pPr>
            <w:r w:rsidRPr="00D33738">
              <w:rPr>
                <w:b/>
                <w:bCs/>
                <w:color w:val="00305F"/>
                <w:sz w:val="22"/>
                <w:szCs w:val="22"/>
              </w:rPr>
              <w:t>Israel Land</w:t>
            </w:r>
            <w:r>
              <w:rPr>
                <w:b/>
                <w:bCs/>
                <w:color w:val="00305F"/>
                <w:sz w:val="22"/>
                <w:szCs w:val="22"/>
              </w:rPr>
              <w:t xml:space="preserve"> </w:t>
            </w:r>
            <w:r w:rsidRPr="00D33738">
              <w:rPr>
                <w:b/>
                <w:bCs/>
                <w:color w:val="00305F"/>
                <w:sz w:val="22"/>
                <w:szCs w:val="22"/>
              </w:rPr>
              <w:t>Authority</w:t>
            </w:r>
          </w:p>
        </w:tc>
      </w:tr>
      <w:tr w14:paraId="5E549A7F" w14:textId="77777777" w:rsidTr="00BC7301">
        <w:tblPrEx>
          <w:tblW w:w="0" w:type="auto"/>
          <w:tblLook w:val="04A0"/>
        </w:tblPrEx>
        <w:tc>
          <w:tcPr>
            <w:tcW w:w="985" w:type="dxa"/>
          </w:tcPr>
          <w:p w:rsidR="004675B0" w:rsidP="00BC7301" w14:paraId="7AB03EC7" w14:textId="3B0E58FD">
            <w:pPr>
              <w:pStyle w:val="7190"/>
              <w:bidi w:val="0"/>
              <w:spacing w:before="100" w:after="100"/>
              <w:rPr>
                <w:rFonts w:ascii="Arial" w:hAnsi="Arial"/>
                <w:color w:val="000000"/>
                <w:sz w:val="24"/>
              </w:rPr>
            </w:pPr>
            <w:r>
              <w:rPr>
                <w:rFonts w:ascii="Arial" w:hAnsi="Arial" w:hint="cs"/>
                <w:color w:val="000000"/>
                <w:sz w:val="24"/>
                <w:rtl/>
              </w:rPr>
              <w:t>305</w:t>
            </w:r>
          </w:p>
        </w:tc>
        <w:tc>
          <w:tcPr>
            <w:tcW w:w="567" w:type="dxa"/>
          </w:tcPr>
          <w:p w:rsidR="004675B0" w:rsidRPr="00CD238C" w:rsidP="00BC7301" w14:paraId="56654CBB" w14:textId="77777777">
            <w:pPr>
              <w:pStyle w:val="7190"/>
              <w:bidi w:val="0"/>
              <w:spacing w:before="100" w:after="100"/>
              <w:rPr>
                <w:rFonts w:ascii="Arial" w:hAnsi="Arial"/>
                <w:color w:val="000000"/>
                <w:sz w:val="24"/>
                <w:rtl/>
              </w:rPr>
            </w:pPr>
          </w:p>
        </w:tc>
        <w:tc>
          <w:tcPr>
            <w:tcW w:w="5818" w:type="dxa"/>
          </w:tcPr>
          <w:p w:rsidR="004675B0" w:rsidRPr="00D85F90" w:rsidP="00D85F90" w14:paraId="073D8644" w14:textId="1828C806">
            <w:pPr>
              <w:pStyle w:val="7190"/>
              <w:bidi w:val="0"/>
              <w:spacing w:before="100" w:after="100"/>
              <w:rPr>
                <w:color w:val="000000"/>
              </w:rPr>
            </w:pPr>
            <w:r w:rsidRPr="00D33738">
              <w:rPr>
                <w:color w:val="0D0D0D"/>
              </w:rPr>
              <w:t xml:space="preserve">Allocation of </w:t>
            </w:r>
            <w:r>
              <w:rPr>
                <w:color w:val="0D0D0D"/>
              </w:rPr>
              <w:t>L</w:t>
            </w:r>
            <w:r w:rsidRPr="00D33738">
              <w:rPr>
                <w:color w:val="0D0D0D"/>
              </w:rPr>
              <w:t xml:space="preserve">and </w:t>
            </w:r>
            <w:r>
              <w:rPr>
                <w:color w:val="0D0D0D"/>
              </w:rPr>
              <w:t>E</w:t>
            </w:r>
            <w:r w:rsidRPr="00D33738">
              <w:rPr>
                <w:color w:val="0D0D0D"/>
              </w:rPr>
              <w:t xml:space="preserve">xempt from </w:t>
            </w:r>
            <w:r>
              <w:rPr>
                <w:color w:val="0D0D0D"/>
              </w:rPr>
              <w:t>T</w:t>
            </w:r>
            <w:r w:rsidRPr="00D33738">
              <w:rPr>
                <w:color w:val="0D0D0D"/>
              </w:rPr>
              <w:t xml:space="preserve">ender for </w:t>
            </w:r>
            <w:r>
              <w:rPr>
                <w:color w:val="0D0D0D"/>
              </w:rPr>
              <w:t>I</w:t>
            </w:r>
            <w:r w:rsidRPr="00D33738">
              <w:rPr>
                <w:color w:val="0D0D0D"/>
              </w:rPr>
              <w:t xml:space="preserve">ndustry and </w:t>
            </w:r>
            <w:r>
              <w:rPr>
                <w:color w:val="0D0D0D"/>
              </w:rPr>
              <w:t>T</w:t>
            </w:r>
            <w:r w:rsidRPr="00D33738">
              <w:rPr>
                <w:color w:val="0D0D0D"/>
              </w:rPr>
              <w:t>ourism</w:t>
            </w:r>
          </w:p>
        </w:tc>
      </w:tr>
      <w:tr w14:paraId="2AF55C8D" w14:textId="77777777" w:rsidTr="00BC7301">
        <w:tblPrEx>
          <w:tblW w:w="0" w:type="auto"/>
          <w:tblLook w:val="04A0"/>
        </w:tblPrEx>
        <w:tc>
          <w:tcPr>
            <w:tcW w:w="985" w:type="dxa"/>
          </w:tcPr>
          <w:p w:rsidR="00D33738" w:rsidP="00BC7301" w14:paraId="0AE1ABC7" w14:textId="365AACC9">
            <w:pPr>
              <w:pStyle w:val="7190"/>
              <w:bidi w:val="0"/>
              <w:spacing w:before="100" w:after="100"/>
              <w:rPr>
                <w:rFonts w:ascii="Arial" w:hAnsi="Arial"/>
                <w:color w:val="000000"/>
                <w:sz w:val="24"/>
                <w:rtl/>
              </w:rPr>
            </w:pPr>
            <w:r>
              <w:rPr>
                <w:rFonts w:ascii="Arial" w:hAnsi="Arial" w:hint="cs"/>
                <w:color w:val="000000"/>
                <w:sz w:val="24"/>
                <w:rtl/>
              </w:rPr>
              <w:t>317</w:t>
            </w:r>
          </w:p>
        </w:tc>
        <w:tc>
          <w:tcPr>
            <w:tcW w:w="567" w:type="dxa"/>
          </w:tcPr>
          <w:p w:rsidR="00D33738" w:rsidRPr="00CD238C" w:rsidP="00BC7301" w14:paraId="0E87A4C6" w14:textId="77777777">
            <w:pPr>
              <w:pStyle w:val="7190"/>
              <w:bidi w:val="0"/>
              <w:spacing w:before="100" w:after="100"/>
              <w:rPr>
                <w:rFonts w:ascii="Arial" w:hAnsi="Arial"/>
                <w:color w:val="000000"/>
                <w:sz w:val="24"/>
                <w:rtl/>
              </w:rPr>
            </w:pPr>
          </w:p>
        </w:tc>
        <w:tc>
          <w:tcPr>
            <w:tcW w:w="5818" w:type="dxa"/>
          </w:tcPr>
          <w:p w:rsidR="00D33738" w:rsidRPr="00D33738" w:rsidP="00D85F90" w14:paraId="04C8EB3E" w14:textId="35921EF9">
            <w:pPr>
              <w:pStyle w:val="7190"/>
              <w:bidi w:val="0"/>
              <w:spacing w:before="100" w:after="100"/>
              <w:rPr>
                <w:color w:val="0D0D0D"/>
              </w:rPr>
            </w:pPr>
            <w:r w:rsidRPr="00D33738">
              <w:rPr>
                <w:color w:val="0D0D0D"/>
              </w:rPr>
              <w:t>Planning &amp; Marketing Residential Land</w:t>
            </w:r>
          </w:p>
        </w:tc>
      </w:tr>
    </w:tbl>
    <w:p w:rsidR="00D12792" w:rsidP="00D12792" w14:paraId="10679A63" w14:textId="60E12F4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567"/>
        <w:gridCol w:w="5818"/>
      </w:tblGrid>
      <w:tr w14:paraId="776428AB" w14:textId="77777777" w:rsidTr="001E54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5" w:type="dxa"/>
          </w:tcPr>
          <w:p w:rsidR="006F1674" w:rsidP="004675B0" w14:paraId="2DDBE9F4" w14:textId="77777777">
            <w:pPr>
              <w:pStyle w:val="7190"/>
              <w:bidi w:val="0"/>
              <w:spacing w:after="120"/>
              <w:rPr>
                <w:color w:val="00305F"/>
                <w:sz w:val="22"/>
                <w:szCs w:val="22"/>
                <w:rtl/>
              </w:rPr>
            </w:pPr>
          </w:p>
        </w:tc>
        <w:tc>
          <w:tcPr>
            <w:tcW w:w="567" w:type="dxa"/>
          </w:tcPr>
          <w:p w:rsidR="006F1674" w:rsidP="004675B0" w14:paraId="68AB141F" w14:textId="77777777">
            <w:pPr>
              <w:pStyle w:val="7190"/>
              <w:bidi w:val="0"/>
              <w:spacing w:after="120"/>
              <w:rPr>
                <w:color w:val="00305F"/>
                <w:sz w:val="22"/>
                <w:szCs w:val="22"/>
                <w:rtl/>
              </w:rPr>
            </w:pPr>
          </w:p>
        </w:tc>
        <w:tc>
          <w:tcPr>
            <w:tcW w:w="5818" w:type="dxa"/>
          </w:tcPr>
          <w:p w:rsidR="006F1674" w:rsidRPr="00B20BCC" w:rsidP="004675B0" w14:paraId="062FEB57" w14:textId="52B794B3">
            <w:pPr>
              <w:pStyle w:val="7190"/>
              <w:bidi w:val="0"/>
              <w:spacing w:after="120"/>
              <w:jc w:val="both"/>
              <w:rPr>
                <w:color w:val="00305F"/>
                <w:sz w:val="22"/>
                <w:szCs w:val="22"/>
              </w:rPr>
            </w:pPr>
            <w:r w:rsidRPr="003C3E61">
              <w:rPr>
                <w:color w:val="00305F"/>
                <w:sz w:val="24"/>
                <w:szCs w:val="24"/>
              </w:rPr>
              <w:t>Chapter Four |</w:t>
            </w:r>
            <w:r w:rsidRPr="003C3E61">
              <w:rPr>
                <w:b/>
                <w:bCs/>
                <w:color w:val="00305F"/>
                <w:sz w:val="24"/>
                <w:szCs w:val="24"/>
              </w:rPr>
              <w:t xml:space="preserve"> </w:t>
            </w:r>
            <w:r w:rsidRPr="00BD2498" w:rsidR="002933AD">
              <w:rPr>
                <w:b/>
                <w:bCs/>
                <w:color w:val="00305F"/>
                <w:sz w:val="24"/>
                <w:szCs w:val="24"/>
              </w:rPr>
              <w:t>The</w:t>
            </w:r>
            <w:r w:rsidR="00B760E8">
              <w:rPr>
                <w:rFonts w:hint="cs"/>
                <w:b/>
                <w:bCs/>
                <w:color w:val="00305F"/>
                <w:sz w:val="24"/>
                <w:szCs w:val="24"/>
                <w:rtl/>
              </w:rPr>
              <w:t xml:space="preserve"> </w:t>
            </w:r>
            <w:r w:rsidR="00B760E8">
              <w:rPr>
                <w:b/>
                <w:bCs/>
                <w:color w:val="00305F"/>
                <w:sz w:val="24"/>
                <w:szCs w:val="24"/>
              </w:rPr>
              <w:t>Defense</w:t>
            </w:r>
            <w:r w:rsidRPr="00BD2498" w:rsidR="002933AD">
              <w:rPr>
                <w:b/>
                <w:bCs/>
                <w:color w:val="00305F"/>
                <w:sz w:val="24"/>
                <w:szCs w:val="24"/>
              </w:rPr>
              <w:t xml:space="preserve"> </w:t>
            </w:r>
            <w:r w:rsidR="002933AD">
              <w:rPr>
                <w:b/>
                <w:bCs/>
                <w:color w:val="00305F"/>
                <w:sz w:val="24"/>
                <w:szCs w:val="24"/>
              </w:rPr>
              <w:t>System</w:t>
            </w:r>
          </w:p>
        </w:tc>
      </w:tr>
      <w:tr w14:paraId="3D1F73FA" w14:textId="77777777" w:rsidTr="001E5452">
        <w:tblPrEx>
          <w:tblW w:w="0" w:type="auto"/>
          <w:tblLook w:val="04A0"/>
        </w:tblPrEx>
        <w:tc>
          <w:tcPr>
            <w:tcW w:w="985" w:type="dxa"/>
          </w:tcPr>
          <w:p w:rsidR="004675B0" w:rsidP="004675B0" w14:paraId="5EA3E922" w14:textId="1A3A5AEC">
            <w:pPr>
              <w:pStyle w:val="7190"/>
              <w:bidi w:val="0"/>
              <w:spacing w:before="100" w:after="100"/>
              <w:rPr>
                <w:rFonts w:ascii="Arial" w:hAnsi="Arial"/>
                <w:color w:val="000000"/>
                <w:sz w:val="24"/>
                <w:rtl/>
              </w:rPr>
            </w:pPr>
            <w:r>
              <w:rPr>
                <w:rFonts w:ascii="Arial" w:hAnsi="Arial" w:hint="cs"/>
                <w:color w:val="000000"/>
                <w:sz w:val="24"/>
                <w:rtl/>
              </w:rPr>
              <w:t>331</w:t>
            </w:r>
          </w:p>
        </w:tc>
        <w:tc>
          <w:tcPr>
            <w:tcW w:w="567" w:type="dxa"/>
          </w:tcPr>
          <w:p w:rsidR="004675B0" w:rsidRPr="00CD238C" w:rsidP="004675B0" w14:paraId="51339EFB" w14:textId="77777777">
            <w:pPr>
              <w:pStyle w:val="7190"/>
              <w:bidi w:val="0"/>
              <w:spacing w:before="100" w:after="100"/>
              <w:rPr>
                <w:rFonts w:ascii="Arial" w:hAnsi="Arial"/>
                <w:color w:val="000000"/>
                <w:sz w:val="24"/>
                <w:rtl/>
              </w:rPr>
            </w:pPr>
          </w:p>
        </w:tc>
        <w:tc>
          <w:tcPr>
            <w:tcW w:w="5818" w:type="dxa"/>
          </w:tcPr>
          <w:p w:rsidR="004675B0" w:rsidRPr="00D70C4A" w:rsidP="00D70C4A" w14:paraId="4466F706" w14:textId="743C64EB">
            <w:pPr>
              <w:pStyle w:val="7190"/>
              <w:bidi w:val="0"/>
              <w:spacing w:before="100" w:after="100"/>
              <w:rPr>
                <w:color w:val="0D0D0D"/>
                <w:rtl/>
              </w:rPr>
            </w:pPr>
            <w:r w:rsidRPr="00BD2498">
              <w:rPr>
                <w:color w:val="0D0D0D"/>
              </w:rPr>
              <w:t xml:space="preserve">Classified, Special-Operations Unit under the Military Intelligence Directorate  </w:t>
            </w:r>
          </w:p>
        </w:tc>
      </w:tr>
    </w:tbl>
    <w:p w:rsidR="00D70C4A" w:rsidP="00064016" w14:paraId="1688AC41" w14:textId="77777777">
      <w:pPr>
        <w:pStyle w:val="7190"/>
        <w:jc w:val="center"/>
        <w:rPr>
          <w:sz w:val="24"/>
          <w:rtl/>
        </w:rPr>
      </w:pPr>
    </w:p>
    <w:p w:rsidR="00D70C4A" w14:paraId="796AAB48" w14:textId="77777777">
      <w:pPr>
        <w:bidi w:val="0"/>
        <w:spacing w:after="200" w:line="276" w:lineRule="auto"/>
        <w:rPr>
          <w:rFonts w:ascii="Tahoma" w:hAnsi="Tahoma" w:cs="Tahoma"/>
          <w:color w:val="0D0D0D" w:themeColor="text1" w:themeTint="F2"/>
          <w:sz w:val="24"/>
          <w:szCs w:val="18"/>
          <w:rtl/>
        </w:rPr>
      </w:pPr>
      <w:r>
        <w:rPr>
          <w:sz w:val="24"/>
          <w:rtl/>
        </w:rPr>
        <w:br w:type="page"/>
      </w:r>
    </w:p>
    <w:p w:rsidR="009C0D3F" w:rsidRPr="009C0D3F" w:rsidP="00064016" w14:paraId="0AF20478" w14:textId="7977FABD">
      <w:pPr>
        <w:pStyle w:val="7190"/>
        <w:jc w:val="center"/>
        <w:rPr>
          <w:sz w:val="24"/>
          <w:rtl/>
        </w:rPr>
        <w:sectPr w:rsidSect="00B760E8">
          <w:headerReference w:type="even" r:id="rId17"/>
          <w:headerReference w:type="default" r:id="rId18"/>
          <w:footerReference w:type="default" r:id="rId19"/>
          <w:headerReference w:type="first" r:id="rId20"/>
          <w:pgSz w:w="11906" w:h="16838" w:code="9"/>
          <w:pgMar w:top="3062" w:right="2268" w:bottom="2552" w:left="2268" w:header="1134" w:footer="1361" w:gutter="0"/>
          <w:pgNumType w:start="9"/>
          <w:cols w:space="720"/>
          <w:titlePg/>
          <w:bidi/>
          <w:rtlGutter/>
          <w:docGrid w:linePitch="272"/>
        </w:sectPr>
      </w:pPr>
      <w:r>
        <w:rPr>
          <w:b/>
          <w:bCs/>
          <w:noProof/>
          <w:sz w:val="22"/>
          <w:szCs w:val="22"/>
          <w:rtl/>
          <w:lang w:val="he-IL"/>
        </w:rPr>
        <mc:AlternateContent>
          <mc:Choice Requires="wps">
            <w:drawing>
              <wp:anchor distT="0" distB="0" distL="114300" distR="114300" simplePos="0" relativeHeight="251707392" behindDoc="0" locked="0" layoutInCell="1" allowOverlap="1">
                <wp:simplePos x="0" y="0"/>
                <wp:positionH relativeFrom="column">
                  <wp:posOffset>-574270</wp:posOffset>
                </wp:positionH>
                <wp:positionV relativeFrom="paragraph">
                  <wp:posOffset>6647896</wp:posOffset>
                </wp:positionV>
                <wp:extent cx="872517" cy="1177047"/>
                <wp:effectExtent l="12700" t="12700" r="16510" b="17145"/>
                <wp:wrapNone/>
                <wp:docPr id="132666743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872517" cy="11770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46" style="width:68.7pt;height:92.7pt;margin-top:523.45pt;margin-left:-45.2pt;mso-width-percent:0;mso-width-relative:margin;mso-wrap-distance-bottom:0;mso-wrap-distance-left:9pt;mso-wrap-distance-right:9pt;mso-wrap-distance-top:0;mso-wrap-style:square;position:absolute;visibility:visible;v-text-anchor:middle;z-index:251708416"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705344" behindDoc="0" locked="0" layoutInCell="1" allowOverlap="1">
                <wp:simplePos x="0" y="0"/>
                <wp:positionH relativeFrom="column">
                  <wp:posOffset>-1430452</wp:posOffset>
                </wp:positionH>
                <wp:positionV relativeFrom="paragraph">
                  <wp:posOffset>-699230</wp:posOffset>
                </wp:positionV>
                <wp:extent cx="6342434" cy="1177047"/>
                <wp:effectExtent l="12700" t="12700" r="7620" b="17145"/>
                <wp:wrapNone/>
                <wp:docPr id="159954695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42434" cy="11770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7" style="width:499.4pt;height:92.7pt;margin-top:-55.05pt;margin-left:-112.65pt;mso-wrap-distance-bottom:0;mso-wrap-distance-left:9pt;mso-wrap-distance-right:9pt;mso-wrap-distance-top:0;mso-wrap-style:square;position:absolute;visibility:visible;v-text-anchor:middle;z-index:251706368"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701248" behindDoc="0" locked="0" layoutInCell="1" allowOverlap="1">
                <wp:simplePos x="0" y="0"/>
                <wp:positionH relativeFrom="column">
                  <wp:posOffset>-704669</wp:posOffset>
                </wp:positionH>
                <wp:positionV relativeFrom="paragraph">
                  <wp:posOffset>195127</wp:posOffset>
                </wp:positionV>
                <wp:extent cx="1454331" cy="501106"/>
                <wp:effectExtent l="12700" t="12700" r="19050" b="6985"/>
                <wp:wrapNone/>
                <wp:docPr id="35" name="מלבן 3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5011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5" o:spid="_x0000_s1048" style="width:114.5pt;height:39.45pt;margin-top:15.35pt;margin-left:-55.5pt;mso-height-percent:0;mso-height-relative:margin;mso-wrap-distance-bottom:0;mso-wrap-distance-left:9pt;mso-wrap-distance-right:9pt;mso-wrap-distance-top:0;mso-wrap-style:square;position:absolute;visibility:visible;v-text-anchor:middle;z-index:251702272"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82816" behindDoc="0" locked="0" layoutInCell="1" allowOverlap="1">
                <wp:simplePos x="0" y="0"/>
                <wp:positionH relativeFrom="column">
                  <wp:posOffset>-545758</wp:posOffset>
                </wp:positionH>
                <wp:positionV relativeFrom="paragraph">
                  <wp:posOffset>4127500</wp:posOffset>
                </wp:positionV>
                <wp:extent cx="794825" cy="478302"/>
                <wp:effectExtent l="12700" t="12700" r="18415" b="17145"/>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49" style="width:62.6pt;height:37.65pt;margin-top:325pt;margin-left:-42.95pt;mso-wrap-distance-bottom:0;mso-wrap-distance-left:9pt;mso-wrap-distance-right:9pt;mso-wrap-distance-top:0;mso-wrap-style:square;position:absolute;visibility:visible;v-text-anchor:middle;z-index:251683840" fillcolor="white" strokecolor="white" strokeweight="2pt"/>
            </w:pict>
          </mc:Fallback>
        </mc:AlternateContent>
      </w:r>
    </w:p>
    <w:p w:rsidR="00F611CF" w:rsidRPr="006C067D" w:rsidP="00F611CF" w14:paraId="0214656F" w14:textId="77777777">
      <w:pPr>
        <w:rPr>
          <w:rFonts w:ascii="Arial" w:hAnsi="Arial"/>
          <w:szCs w:val="22"/>
          <w:rtl/>
        </w:rPr>
      </w:pPr>
    </w:p>
    <w:p w:rsidR="000E6A95" w:rsidRPr="001D6DD6" w:rsidP="000E6A95" w14:paraId="7A9DB702" w14:textId="77777777">
      <w:pPr>
        <w:pStyle w:val="KOT1N"/>
        <w:spacing w:after="360"/>
        <w:jc w:val="left"/>
        <w:rPr>
          <w:rFonts w:ascii="Tahoma" w:hAnsi="Tahoma"/>
          <w:rtl/>
        </w:rPr>
      </w:pPr>
      <w:r w:rsidRPr="001D6DD6">
        <w:rPr>
          <w:rFonts w:ascii="Tahoma" w:hAnsi="Tahoma"/>
        </w:rPr>
        <w:t>Foreword</w:t>
      </w:r>
    </w:p>
    <w:p w:rsidR="002933AD" w:rsidRPr="009916D1" w:rsidP="002933AD" w14:paraId="54A2E673" w14:textId="77777777">
      <w:pPr>
        <w:pStyle w:val="7190"/>
        <w:bidi w:val="0"/>
      </w:pPr>
      <w:r w:rsidRPr="002C148E">
        <w:rPr>
          <w:b/>
          <w:bCs/>
        </w:rPr>
        <w:t>The State Comptroller's annual audit report –</w:t>
      </w:r>
      <w:r w:rsidRPr="009916D1">
        <w:t xml:space="preserve"> </w:t>
      </w:r>
      <w:r w:rsidRPr="00B760E8">
        <w:rPr>
          <w:b/>
          <w:bCs/>
        </w:rPr>
        <w:t>May 2023</w:t>
      </w:r>
      <w:r w:rsidRPr="009916D1">
        <w:t xml:space="preserve"> </w:t>
      </w:r>
      <w:r>
        <w:t>was</w:t>
      </w:r>
      <w:r w:rsidRPr="009916D1">
        <w:t xml:space="preserve"> submitted to the Knesset under the State Comptroller’s Law, 1958 [Consolidated Version]. The report includes 22 audit reports of government ministries, state institutions, government companies and corporations.</w:t>
      </w:r>
    </w:p>
    <w:p w:rsidR="002933AD" w:rsidRPr="009916D1" w:rsidP="002933AD" w14:paraId="086FA26C" w14:textId="77777777">
      <w:pPr>
        <w:pStyle w:val="7190"/>
        <w:bidi w:val="0"/>
      </w:pPr>
      <w:r>
        <w:t>According to</w:t>
      </w:r>
      <w:r w:rsidRPr="009916D1">
        <w:t xml:space="preserve"> the Office of the State Comptroller and Ombudsman of Israel vision, the audit reports deal with the core areas of the audited entities, focusing on the material risks affecting their activities, alongside proper </w:t>
      </w:r>
      <w:r w:rsidRPr="009916D1">
        <w:t>governance</w:t>
      </w:r>
      <w:r w:rsidRPr="009916D1">
        <w:t xml:space="preserve"> and integrity issues. The reports raise to the public's agenda important findings concerning the well-being of the individual, children and youth</w:t>
      </w:r>
      <w:r>
        <w:t>,</w:t>
      </w:r>
      <w:r w:rsidRPr="009916D1">
        <w:t xml:space="preserve"> administration and organization, supervision and enforcement, </w:t>
      </w:r>
      <w:r w:rsidRPr="009916D1">
        <w:t>infrastructure</w:t>
      </w:r>
      <w:r w:rsidRPr="009916D1">
        <w:t xml:space="preserve"> and national resources. The following foreword reviews only some of the reports:</w:t>
      </w:r>
    </w:p>
    <w:p w:rsidR="002933AD" w:rsidRPr="009916D1" w:rsidP="002933AD" w14:paraId="3DB6B824" w14:textId="77777777">
      <w:pPr>
        <w:pStyle w:val="7112"/>
        <w:numPr>
          <w:ilvl w:val="0"/>
          <w:numId w:val="33"/>
        </w:numPr>
        <w:bidi w:val="0"/>
      </w:pPr>
      <w:r w:rsidRPr="009916D1">
        <w:t xml:space="preserve">Under Section 19 of the State Comptroller's Law, </w:t>
      </w:r>
      <w:r>
        <w:rPr>
          <w:b/>
          <w:bCs/>
        </w:rPr>
        <w:t>T</w:t>
      </w:r>
      <w:r w:rsidRPr="00EB5E10">
        <w:rPr>
          <w:b/>
          <w:bCs/>
        </w:rPr>
        <w:t xml:space="preserve">he </w:t>
      </w:r>
      <w:r>
        <w:rPr>
          <w:b/>
          <w:bCs/>
        </w:rPr>
        <w:t>F</w:t>
      </w:r>
      <w:r w:rsidRPr="00EB5E10">
        <w:rPr>
          <w:b/>
          <w:bCs/>
        </w:rPr>
        <w:t xml:space="preserve">inancial </w:t>
      </w:r>
      <w:r>
        <w:rPr>
          <w:b/>
          <w:bCs/>
        </w:rPr>
        <w:t>S</w:t>
      </w:r>
      <w:r w:rsidRPr="00EB5E10">
        <w:rPr>
          <w:b/>
          <w:bCs/>
        </w:rPr>
        <w:t xml:space="preserve">tatements of the State of Israel as of December 31, </w:t>
      </w:r>
      <w:r w:rsidRPr="00EB5E10">
        <w:rPr>
          <w:b/>
          <w:bCs/>
        </w:rPr>
        <w:t>2021</w:t>
      </w:r>
      <w:r w:rsidRPr="009916D1">
        <w:t xml:space="preserve"> were audited, </w:t>
      </w:r>
      <w:r w:rsidRPr="007E66FA">
        <w:t>focusing on</w:t>
      </w:r>
      <w:r w:rsidRPr="00EB5E10">
        <w:rPr>
          <w:b/>
          <w:bCs/>
        </w:rPr>
        <w:t xml:space="preserve"> the </w:t>
      </w:r>
      <w:r>
        <w:rPr>
          <w:b/>
          <w:bCs/>
        </w:rPr>
        <w:t>I</w:t>
      </w:r>
      <w:r w:rsidRPr="00EB5E10">
        <w:rPr>
          <w:b/>
          <w:bCs/>
        </w:rPr>
        <w:t xml:space="preserve">nformation </w:t>
      </w:r>
      <w:r>
        <w:rPr>
          <w:b/>
          <w:bCs/>
        </w:rPr>
        <w:t>S</w:t>
      </w:r>
      <w:r w:rsidRPr="00EB5E10">
        <w:rPr>
          <w:b/>
          <w:bCs/>
        </w:rPr>
        <w:t xml:space="preserve">ystems </w:t>
      </w:r>
      <w:r>
        <w:rPr>
          <w:b/>
          <w:bCs/>
        </w:rPr>
        <w:t>U</w:t>
      </w:r>
      <w:r w:rsidRPr="00EB5E10">
        <w:rPr>
          <w:b/>
          <w:bCs/>
        </w:rPr>
        <w:t xml:space="preserve">nderlying the </w:t>
      </w:r>
      <w:r>
        <w:rPr>
          <w:b/>
          <w:bCs/>
        </w:rPr>
        <w:t>F</w:t>
      </w:r>
      <w:r w:rsidRPr="00EB5E10">
        <w:rPr>
          <w:b/>
          <w:bCs/>
        </w:rPr>
        <w:t xml:space="preserve">inancial </w:t>
      </w:r>
      <w:r>
        <w:rPr>
          <w:b/>
          <w:bCs/>
        </w:rPr>
        <w:t>S</w:t>
      </w:r>
      <w:r w:rsidRPr="00EB5E10">
        <w:rPr>
          <w:b/>
          <w:bCs/>
        </w:rPr>
        <w:t>tatements</w:t>
      </w:r>
      <w:r w:rsidRPr="009916D1">
        <w:t xml:space="preserve">. The audit raised that the state's accounting deficit for 2021 was about NIS 135 billion and the state's assets were NIS 800 billion. The state's assets in the financial statements does not include various material value assets, including some of the state's investments in the defense </w:t>
      </w:r>
      <w:r>
        <w:t>system</w:t>
      </w:r>
      <w:r w:rsidRPr="009916D1">
        <w:t xml:space="preserve">, land owned by the state, some of the assets abroad and some of the intangible assets. The government's financial statements for 2021 reflect the turning point in coping with the Covid-19, alongside the economy's recovery and economic growth, a decrease in the budget deficit in relation to GDP, an increase in tax revenues and a decrease in the expenses scope of the Economic Plan for Coping with the Covid-19 </w:t>
      </w:r>
      <w:r>
        <w:t>P</w:t>
      </w:r>
      <w:r w:rsidRPr="009916D1">
        <w:t>andemic. It is of great importance that the government persevere this trend to improve Israel's economy from a long-term perspective. Regarding the systems underlying the financial statements, deficiencies have been found in the mapping and management of the risks in the financial information systems, in the absence of audits in most of the systems and the lack of documentation of the financial processes in the systems. Thus, for example, in 154 of the 230 systems, no risk surveys were carried out and no audits were performed. The Accountant General and all government bodies included in the report should rectify the deficiencies raised within the framework of a multi-year plan.</w:t>
      </w:r>
    </w:p>
    <w:p w:rsidR="002933AD" w:rsidRPr="009916D1" w:rsidP="002933AD" w14:paraId="25C30BAE" w14:textId="77777777">
      <w:pPr>
        <w:pStyle w:val="7112"/>
        <w:numPr>
          <w:ilvl w:val="0"/>
          <w:numId w:val="33"/>
        </w:numPr>
        <w:bidi w:val="0"/>
      </w:pPr>
      <w:r w:rsidRPr="009916D1">
        <w:t>Children at risk and in need are children living in a family and in an environment that endangers them. In extreme situations of risk and neglect, the state intervenes and transfers children from their families to out-of-home</w:t>
      </w:r>
      <w:r>
        <w:t>-care</w:t>
      </w:r>
      <w:r w:rsidRPr="009916D1">
        <w:t xml:space="preserve"> frameworks – Ministry of Welfare and Social Affairs boarding schools, foster </w:t>
      </w:r>
      <w:r w:rsidRPr="009916D1">
        <w:t>families</w:t>
      </w:r>
      <w:r w:rsidRPr="009916D1">
        <w:t xml:space="preserve"> and adoption. The audit on </w:t>
      </w:r>
      <w:r w:rsidRPr="00EB5E10">
        <w:rPr>
          <w:b/>
          <w:bCs/>
        </w:rPr>
        <w:t>Plac</w:t>
      </w:r>
      <w:r>
        <w:rPr>
          <w:b/>
          <w:bCs/>
        </w:rPr>
        <w:t>ement of</w:t>
      </w:r>
      <w:r w:rsidRPr="00EB5E10">
        <w:rPr>
          <w:b/>
          <w:bCs/>
        </w:rPr>
        <w:t xml:space="preserve"> </w:t>
      </w:r>
      <w:r>
        <w:rPr>
          <w:b/>
          <w:bCs/>
        </w:rPr>
        <w:t>A</w:t>
      </w:r>
      <w:r w:rsidRPr="00EB5E10">
        <w:rPr>
          <w:b/>
          <w:bCs/>
        </w:rPr>
        <w:t xml:space="preserve">t-risk children in </w:t>
      </w:r>
      <w:r>
        <w:rPr>
          <w:b/>
          <w:bCs/>
        </w:rPr>
        <w:t>B</w:t>
      </w:r>
      <w:r w:rsidRPr="00EB5E10">
        <w:rPr>
          <w:b/>
          <w:bCs/>
        </w:rPr>
        <w:t xml:space="preserve">oarding </w:t>
      </w:r>
      <w:r>
        <w:rPr>
          <w:b/>
          <w:bCs/>
        </w:rPr>
        <w:t>S</w:t>
      </w:r>
      <w:r w:rsidRPr="00EB5E10">
        <w:rPr>
          <w:b/>
          <w:bCs/>
        </w:rPr>
        <w:t xml:space="preserve">chools, </w:t>
      </w:r>
      <w:r>
        <w:rPr>
          <w:b/>
          <w:bCs/>
        </w:rPr>
        <w:t>F</w:t>
      </w:r>
      <w:r w:rsidRPr="00EB5E10">
        <w:rPr>
          <w:b/>
          <w:bCs/>
        </w:rPr>
        <w:t xml:space="preserve">oster </w:t>
      </w:r>
      <w:r>
        <w:rPr>
          <w:b/>
          <w:bCs/>
        </w:rPr>
        <w:t>C</w:t>
      </w:r>
      <w:r w:rsidRPr="00EB5E10">
        <w:rPr>
          <w:b/>
          <w:bCs/>
        </w:rPr>
        <w:t xml:space="preserve">are and </w:t>
      </w:r>
      <w:r>
        <w:rPr>
          <w:b/>
          <w:bCs/>
        </w:rPr>
        <w:t>A</w:t>
      </w:r>
      <w:r w:rsidRPr="00EB5E10">
        <w:rPr>
          <w:b/>
          <w:bCs/>
        </w:rPr>
        <w:t>doption</w:t>
      </w:r>
      <w:r w:rsidRPr="009916D1">
        <w:t xml:space="preserve"> raised that 1,149 children under the age of 8 (of which 474 children are under the age of 5) were placed in boarding schools instead of foster families in 2016</w:t>
      </w:r>
      <m:oMath>
        <m:r>
          <m:rPr>
            <m:sty m:val="p"/>
          </m:rPr>
          <w:rPr>
            <w:rFonts w:ascii="Cambria Math" w:hAnsi="Cambria Math"/>
          </w:rPr>
          <m:t>-</m:t>
        </m:r>
      </m:oMath>
      <w:r w:rsidRPr="009916D1">
        <w:t xml:space="preserve">2021, in contravention of the guidelines, which set the minimum age for placement in boarding </w:t>
      </w:r>
      <w:r w:rsidRPr="009916D1">
        <w:t xml:space="preserve">schools at 8 years; 87% of the children in foster care were not assigned care plans as required by the Foster Care Law and the Ministry of Welfare's Social Work Regulations; An adoption procedure lasts 26 months on average, twice the maximum time set in the law; Out of a budget of about NIS 970 million in 2021 designated for the care of children removed from their home and for the rehabilitation of their parents, about NIS 20 million were allocated for the rehabilitation of the parents (about 2%), for adoption – about NIS 10 million (about 1%), for foster care – about NIS 200 million (about 21%) and for boarding schools – about NIS 740 million (about 76%). Hence, the majority of this budget – 97% – was allocated to the temporary frameworks (foster care and boarding schools), and the remainder – 3% – was allocated to finding a permanent home for the children (return to their home or adoption); The monthly cost for placing a child in a boarding school (about NIS 11,900) is about three times the monthly cost for placing a child in foster care (about NIS 3,900), and six times the monthly cost for adoption (about NIS 2,000); The Ministry of Social Affairs does not uphold basic components of care for children removed from home, based on reliable and validated information, while setting clear goals and standards and monitoring and controlling compliance therewith. It is recommended that the Ministry of Welfare examine, based upon data analysis, the implementation of its policy for the placement and care of children removed from their homes. It is also recommended that the Ministry of Welfare integrate its policy in the Ministry's strategic work and within the professionals working in the field, while defining clear goals and measuring them, to help in the children's rehabilitation and return to normative life. An important aspect in the implementation of the policy is the creation of conditions for a child removed from his home to be able to return to it as soon as possible, after the parents' rehabilitation and after turning the home to a place beneficial to him. Therefore, it is recommended that the Ministry of Welfare develop a treatment scheme for parents whose children have been removed from home, which will assist in their rehabilitation and enable the return of the children, as well as expand the existing treatment programs. To fulfill its responsibility, the Ministry of Welfare </w:t>
      </w:r>
      <w:r w:rsidRPr="009916D1">
        <w:t>has to</w:t>
      </w:r>
      <w:r w:rsidRPr="009916D1">
        <w:t xml:space="preserve"> </w:t>
      </w:r>
      <w:r>
        <w:t>en</w:t>
      </w:r>
      <w:r w:rsidRPr="009916D1">
        <w:t>sure that children who have been removed from their homes are placed in settings suitable for their age and receive the best treatment response until they return home, thus giving them a better chance of successful integration into society.</w:t>
      </w:r>
    </w:p>
    <w:p w:rsidR="002933AD" w:rsidRPr="009916D1" w:rsidP="002933AD" w14:paraId="46A3DA71" w14:textId="77777777">
      <w:pPr>
        <w:pStyle w:val="7112"/>
        <w:numPr>
          <w:ilvl w:val="0"/>
          <w:numId w:val="33"/>
        </w:numPr>
        <w:bidi w:val="0"/>
      </w:pPr>
      <w:r w:rsidRPr="009916D1">
        <w:t>Pediatrics is a unique medical branch that requires individual attention to the patients' characteristics, including their body size and developing organs. At the end of 2020, there were about 3.05 million children in the 0</w:t>
      </w:r>
      <m:oMath>
        <m:r>
          <m:rPr>
            <m:sty m:val="p"/>
          </m:rPr>
          <w:rPr>
            <w:rFonts w:ascii="Cambria Math" w:hAnsi="Cambria Math"/>
          </w:rPr>
          <m:t>-</m:t>
        </m:r>
      </m:oMath>
      <w:r w:rsidRPr="009916D1">
        <w:t xml:space="preserve">18 age group in Israel (about a third of the country's population). Caring for children in the community, as well as in clinics and inpatient wards in hospitals, requires an approach suitable for children, and often requires different means than those intended for the treatment of adults. The report on </w:t>
      </w:r>
      <w:r w:rsidRPr="00EB5E10">
        <w:rPr>
          <w:b/>
          <w:bCs/>
        </w:rPr>
        <w:t xml:space="preserve">Hospitalization of </w:t>
      </w:r>
      <w:r>
        <w:rPr>
          <w:b/>
          <w:bCs/>
        </w:rPr>
        <w:t>C</w:t>
      </w:r>
      <w:r w:rsidRPr="00EB5E10">
        <w:rPr>
          <w:b/>
          <w:bCs/>
        </w:rPr>
        <w:t xml:space="preserve">hildren </w:t>
      </w:r>
      <w:r w:rsidRPr="009916D1">
        <w:t xml:space="preserve">raised that from 2009 to 2020 the number of children in Israel increased by about 23%. However, during this period the number of beds in the children's wards decreased by 21: from 1,089 beds in 2009 to 1,068 in 2020; The average waiting time for tonsillectomy surgery for children in public hospitals in 2022 was 15.4 weeks; 553 children were waiting in April 2022 for hospitalization or psychiatric </w:t>
      </w:r>
      <w:r w:rsidRPr="009916D1">
        <w:t>outpatient treatment; 258 of them were waiting for psychiatric hospitalization and the waiting time was 3</w:t>
      </w:r>
      <m:oMath>
        <m:r>
          <m:rPr>
            <m:sty m:val="p"/>
          </m:rPr>
          <w:rPr>
            <w:rFonts w:ascii="Cambria Math" w:hAnsi="Cambria Math"/>
          </w:rPr>
          <m:t>-</m:t>
        </m:r>
      </m:oMath>
      <w:r w:rsidRPr="009916D1">
        <w:t>7 months, and 295 children were waiting for outpatient treatment, and the waiting time was 3</w:t>
      </w:r>
      <m:oMath>
        <m:r>
          <m:rPr>
            <m:sty m:val="p"/>
          </m:rPr>
          <w:rPr>
            <w:rFonts w:ascii="Cambria Math" w:hAnsi="Cambria Math"/>
          </w:rPr>
          <m:t>-</m:t>
        </m:r>
      </m:oMath>
      <w:r w:rsidRPr="009916D1">
        <w:t>12 months. According to the projections, in 2035 the population of children between the ages of 0 and 14 will be about</w:t>
      </w:r>
      <w:r>
        <w:t xml:space="preserve"> </w:t>
      </w:r>
      <w:r w:rsidRPr="009916D1">
        <w:t xml:space="preserve">13.5% larger than in 2020, and in 2050 the number of hospitalization days in the children's wards in hospitals is expected to be about 68% greater than in 2020. These projections require the preparedness of the health system in general and the hospitalization system in particular. It was raised that the Ministry of Health did not formulate an operative plan for the operation of hospitals based on long-term fundamental goals for the hospitalization system, and did not establish such a plan regarding the children's wards in particular; The lack of accommodation space in hospitalization settings in the mental health, including eating disorders, and in rehabilitation settings, especially in the periphery, results in children being hospitalized in children's wards that are not suited for them, while waiting a long time for hospitalization in another suitable setting; The doctors' workforce in the hospitals is not updated and does not suit the changing needs, and there is a national shortage of doctors specializing in pediatrics; The Ministry of Health has not examined whether the nursing workforce is suitable for the current needs, and the paramedical workforce has no standard at all; The focus groups held by the audit team, </w:t>
      </w:r>
      <w:r w:rsidRPr="00637A0E">
        <w:t>composed of</w:t>
      </w:r>
      <w:r>
        <w:rPr>
          <w:rFonts w:hint="cs"/>
          <w:rtl/>
        </w:rPr>
        <w:t xml:space="preserve"> </w:t>
      </w:r>
      <w:r w:rsidRPr="009916D1">
        <w:t xml:space="preserve">parents whose children were admitted to children's wards in the hospitals, raised parental dissatisfaction. With respect to the attitudes and care of the medical staff, receiving information and the environmental conditions, parents whose children were hospitalized in large hospitals were generally less satisfied than parents whose children were hospitalized in small hospitals. It is recommended that the Ministry of Health prepare a multi-year plan detailing the number of beds required in the various wards of the hospital system, including the children's wards, after setting goals for this system. It is also recommended to examine the workforce of medical and nursing personnel and the need to update it, as well as to examine what is the standard for paramedical professions that will enable the provision of care that meets patients' needs, and accordingly it is recommended that the Ministry consider preparing a multi-year plan to </w:t>
      </w:r>
      <w:r>
        <w:t>fullfill</w:t>
      </w:r>
      <w:r w:rsidRPr="009916D1">
        <w:t xml:space="preserve"> the required services. </w:t>
      </w:r>
      <w:r w:rsidRPr="009916D1">
        <w:t>In light of</w:t>
      </w:r>
      <w:r w:rsidRPr="009916D1">
        <w:t xml:space="preserve"> the importance of examining the patient's experience and the possibility of improving hospitalization conditions following satisfaction surveys, it is recommended that the Ministry of Health examine the need to survey the patient's experience in the children's wards as well.</w:t>
      </w:r>
    </w:p>
    <w:p w:rsidR="002933AD" w:rsidRPr="009916D1" w:rsidP="002933AD" w14:paraId="16FFFECA" w14:textId="77777777">
      <w:pPr>
        <w:pStyle w:val="7112"/>
        <w:numPr>
          <w:ilvl w:val="0"/>
          <w:numId w:val="33"/>
        </w:numPr>
        <w:bidi w:val="0"/>
      </w:pPr>
      <w:r w:rsidRPr="009916D1">
        <w:t xml:space="preserve">The OECD organization defined idleness among young people as young people </w:t>
      </w:r>
      <w:r>
        <w:t xml:space="preserve">who are </w:t>
      </w:r>
      <w:r w:rsidRPr="0050121A">
        <w:t>"</w:t>
      </w:r>
      <w:r w:rsidRPr="0050121A">
        <w:rPr>
          <w:b/>
          <w:bCs/>
        </w:rPr>
        <w:t>Not in Education, Employment, or Training" (NEET).</w:t>
      </w:r>
      <w:r w:rsidRPr="009916D1">
        <w:t xml:space="preserve"> In the audit of </w:t>
      </w:r>
      <w:r>
        <w:rPr>
          <w:b/>
          <w:bCs/>
        </w:rPr>
        <w:t>T</w:t>
      </w:r>
      <w:r w:rsidRPr="004E392D">
        <w:rPr>
          <w:b/>
          <w:bCs/>
        </w:rPr>
        <w:t>he</w:t>
      </w:r>
      <w:r w:rsidRPr="009916D1">
        <w:t xml:space="preserve"> </w:t>
      </w:r>
      <w:r>
        <w:rPr>
          <w:b/>
          <w:bCs/>
        </w:rPr>
        <w:t>G</w:t>
      </w:r>
      <w:r w:rsidRPr="00EB5E10">
        <w:rPr>
          <w:b/>
          <w:bCs/>
        </w:rPr>
        <w:t xml:space="preserve">overnment's </w:t>
      </w:r>
      <w:r>
        <w:rPr>
          <w:b/>
          <w:bCs/>
        </w:rPr>
        <w:t>H</w:t>
      </w:r>
      <w:r w:rsidRPr="00EB5E10">
        <w:rPr>
          <w:b/>
          <w:bCs/>
        </w:rPr>
        <w:t xml:space="preserve">andling of </w:t>
      </w:r>
      <w:r>
        <w:rPr>
          <w:b/>
          <w:bCs/>
        </w:rPr>
        <w:t>Young NEET People</w:t>
      </w:r>
      <w:r w:rsidRPr="00EB5E10">
        <w:rPr>
          <w:b/>
          <w:bCs/>
        </w:rPr>
        <w:t xml:space="preserve"> </w:t>
      </w:r>
      <w:r>
        <w:rPr>
          <w:b/>
          <w:bCs/>
        </w:rPr>
        <w:t>A</w:t>
      </w:r>
      <w:r w:rsidRPr="00EB5E10">
        <w:rPr>
          <w:b/>
          <w:bCs/>
        </w:rPr>
        <w:t xml:space="preserve">mong the Arab </w:t>
      </w:r>
      <w:r>
        <w:rPr>
          <w:b/>
          <w:bCs/>
        </w:rPr>
        <w:t>S</w:t>
      </w:r>
      <w:r w:rsidRPr="00EB5E10">
        <w:rPr>
          <w:b/>
          <w:bCs/>
        </w:rPr>
        <w:t>ociety</w:t>
      </w:r>
      <w:r w:rsidRPr="009916D1">
        <w:t>, it was raised that 30% of Israel's young residents are from the Arab society, of which about 280,000 are young people aged 18</w:t>
      </w:r>
      <m:oMath>
        <m:r>
          <m:rPr>
            <m:sty m:val="p"/>
          </m:rPr>
          <w:rPr>
            <w:rFonts w:ascii="Cambria Math" w:hAnsi="Cambria Math"/>
          </w:rPr>
          <m:t>-</m:t>
        </m:r>
      </m:oMath>
      <w:r w:rsidRPr="009916D1">
        <w:t xml:space="preserve">24, and as of November 2021, the number of </w:t>
      </w:r>
      <w:r>
        <w:t>NEET</w:t>
      </w:r>
      <w:r w:rsidRPr="009916D1">
        <w:t xml:space="preserve"> </w:t>
      </w:r>
      <w:r>
        <w:t xml:space="preserve">people </w:t>
      </w:r>
      <w:r w:rsidRPr="009916D1">
        <w:t xml:space="preserve">from among them were about 22,000 men and about 35,000 women; The level of crime among the Arab youth population has risen consistently in recent years, from about 0.1 criminal cases per capita in 2015 to about 0.15 cases in 2021 (an increase of about 50%). </w:t>
      </w:r>
      <w:r w:rsidRPr="009916D1">
        <w:t>I.e</w:t>
      </w:r>
      <w:r w:rsidRPr="009916D1">
        <w:t xml:space="preserve">, an increase of about 6,000 criminal cases during this period; The </w:t>
      </w:r>
      <w:r w:rsidRPr="009916D1">
        <w:t xml:space="preserve">estimate of the potential damage from the phenomenon of </w:t>
      </w:r>
      <w:r>
        <w:t>NEET</w:t>
      </w:r>
      <w:r w:rsidRPr="009916D1">
        <w:t xml:space="preserve"> young Arabs, according to the calculation of the State Comptroller's Office, is about NIS one billion per year; Out of a budget of NIS 34.2 billion for the five-year plan and the plan for tackling crime and violence in the Arab sector, only NIS 436.5 million was allocated as a dedicated budget for dealing with </w:t>
      </w:r>
      <w:r>
        <w:t>NEET</w:t>
      </w:r>
      <w:r w:rsidRPr="009916D1">
        <w:t xml:space="preserve"> people in Arab society (about 1%). The government's resolutions in recent years have directed a great deal of financial resources to promote Arab society and reduce the social gaps between it and Jewish society. However, from a data analysis carried out by the State Comptroller's Office using advanced statistical methods and tools, the education system, meant to equip young people with the tools that will help them integrate into the employment market in their adulthood and enable equal opportunities for children, most of whom are from a low socio-economic background, does not provide them with the tools and skills necessary in the employment market and in academia. Furthermore, the relevant government bodies – the Ministry of Education, the Labor Branch, the Ministry of Social Equality, the Council for Higher Education, the Ministry of Welfare, the Ministry of Finance, the Employment Service and the Prime Minister's Office – who are entrusted with reducing the gaps among young Arabs over the age of 18, are not working optimally; The audit did not find that participation of young Arabs in the 'Rayan' centers, operated by the labor branch, has a significant effect on their state of </w:t>
      </w:r>
      <w:r>
        <w:t>NEET</w:t>
      </w:r>
      <w:r w:rsidRPr="009916D1">
        <w:t xml:space="preserve">; A transition year program that was developed as a flagship program of the Ministry of Social Equality and the labor branch addresses a very limited segment of the population and involves high costs for each participant, thus preventing the possibility of expanding it; It was found that the threshold of proficiency in the Hebrew language set by the universities and some colleges for admission prevents many young Arabs from integrating into academia in Israel, due to the poor level of Hebrew of the Arab young men and women who complete their studies in the Arab education system. Many of these young people reluctantly become </w:t>
      </w:r>
      <w:r>
        <w:t>NEET</w:t>
      </w:r>
      <w:r w:rsidRPr="009916D1">
        <w:t xml:space="preserve">, and others find solutions in universities in the Palestinian Authority or study overseas. The integration of </w:t>
      </w:r>
      <w:r>
        <w:t>NEET</w:t>
      </w:r>
      <w:r w:rsidRPr="009916D1">
        <w:t xml:space="preserve"> young Arabs into Israeli society and the employment market is a major and complex challenge facing the Israeli government, and </w:t>
      </w:r>
      <w:r w:rsidRPr="009916D1">
        <w:t>in particular with</w:t>
      </w:r>
      <w:r w:rsidRPr="009916D1">
        <w:t xml:space="preserve"> respect to the Bedouin youth. Meeting this challenge can reduce socio-economic gaps, improve the self-image of the young, reduce the extent of crime among them, improve their standard of living, and work productivity, thereby improving the productivity of the Israeli </w:t>
      </w:r>
      <w:r w:rsidRPr="009916D1">
        <w:t>economy as a whole</w:t>
      </w:r>
      <w:r w:rsidRPr="009916D1">
        <w:t xml:space="preserve">. It is recommended that the government integrate these young </w:t>
      </w:r>
      <w:r>
        <w:t xml:space="preserve">NEET </w:t>
      </w:r>
      <w:r w:rsidRPr="009916D1">
        <w:t>people, among other things, according to the recommendations of the State Comptroller's Office.</w:t>
      </w:r>
    </w:p>
    <w:p w:rsidR="002933AD" w:rsidRPr="009916D1" w:rsidP="002933AD" w14:paraId="75DE47C6" w14:textId="77777777">
      <w:pPr>
        <w:pStyle w:val="7112"/>
        <w:numPr>
          <w:ilvl w:val="0"/>
          <w:numId w:val="33"/>
        </w:numPr>
        <w:bidi w:val="0"/>
      </w:pPr>
      <w:r w:rsidRPr="009916D1">
        <w:t xml:space="preserve">The report </w:t>
      </w:r>
      <w:r>
        <w:t xml:space="preserve">includes an audit </w:t>
      </w:r>
      <w:r w:rsidRPr="009916D1">
        <w:t xml:space="preserve">on </w:t>
      </w:r>
      <w:r>
        <w:rPr>
          <w:b/>
          <w:bCs/>
        </w:rPr>
        <w:t>T</w:t>
      </w:r>
      <w:r w:rsidRPr="004E392D">
        <w:rPr>
          <w:b/>
          <w:bCs/>
        </w:rPr>
        <w:t>he</w:t>
      </w:r>
      <w:r w:rsidRPr="009916D1">
        <w:t xml:space="preserve"> </w:t>
      </w:r>
      <w:r w:rsidRPr="00EB5E10">
        <w:rPr>
          <w:b/>
          <w:bCs/>
        </w:rPr>
        <w:t xml:space="preserve">Government's </w:t>
      </w:r>
      <w:r>
        <w:rPr>
          <w:b/>
          <w:bCs/>
        </w:rPr>
        <w:t>A</w:t>
      </w:r>
      <w:r w:rsidRPr="00EB5E10">
        <w:rPr>
          <w:b/>
          <w:bCs/>
        </w:rPr>
        <w:t xml:space="preserve">ctions </w:t>
      </w:r>
      <w:r>
        <w:rPr>
          <w:b/>
          <w:bCs/>
        </w:rPr>
        <w:t>R</w:t>
      </w:r>
      <w:r w:rsidRPr="00EB5E10">
        <w:rPr>
          <w:b/>
          <w:bCs/>
        </w:rPr>
        <w:t xml:space="preserve">egarding </w:t>
      </w:r>
      <w:r>
        <w:rPr>
          <w:b/>
          <w:bCs/>
        </w:rPr>
        <w:t>H</w:t>
      </w:r>
      <w:r w:rsidRPr="00EB5E10">
        <w:rPr>
          <w:b/>
          <w:bCs/>
        </w:rPr>
        <w:t xml:space="preserve">ousing for the </w:t>
      </w:r>
      <w:r>
        <w:rPr>
          <w:b/>
          <w:bCs/>
        </w:rPr>
        <w:t>U</w:t>
      </w:r>
      <w:r w:rsidRPr="00EB5E10">
        <w:rPr>
          <w:b/>
          <w:bCs/>
        </w:rPr>
        <w:t>ltra-</w:t>
      </w:r>
      <w:r>
        <w:rPr>
          <w:b/>
          <w:bCs/>
        </w:rPr>
        <w:t>O</w:t>
      </w:r>
      <w:r w:rsidRPr="00EB5E10">
        <w:rPr>
          <w:b/>
          <w:bCs/>
        </w:rPr>
        <w:t xml:space="preserve">rthodox </w:t>
      </w:r>
      <w:r>
        <w:rPr>
          <w:b/>
          <w:bCs/>
        </w:rPr>
        <w:t>P</w:t>
      </w:r>
      <w:r w:rsidRPr="00EB5E10">
        <w:rPr>
          <w:b/>
          <w:bCs/>
        </w:rPr>
        <w:t>opulation</w:t>
      </w:r>
      <w:r w:rsidRPr="009916D1">
        <w:t xml:space="preserve">. According to the data of the Central Bureau of Statistics, at the end of 2021 Israel's population was estimated at about 9.45 million people, of which about 1.2 million (about 13%) were among the ultra-Orthodox population. The audit raised that notwithstanding the government's resolution </w:t>
      </w:r>
      <w:r>
        <w:t>by which</w:t>
      </w:r>
      <w:r w:rsidRPr="009916D1">
        <w:t xml:space="preserve"> in 2016</w:t>
      </w:r>
      <m:oMath>
        <m:r>
          <m:rPr>
            <m:sty m:val="p"/>
          </m:rPr>
          <w:rPr>
            <w:rFonts w:ascii="Cambria Math" w:hAnsi="Cambria Math"/>
          </w:rPr>
          <m:t>-</m:t>
        </m:r>
      </m:oMath>
      <w:r w:rsidRPr="009916D1">
        <w:t xml:space="preserve">2035 the building of about 200,000 housing units for the ultra-Orthodox population is required, on average about 10,000 units per year, the number of housing units in the plans submitted by the Ministry of Construction and Housing and the Israel </w:t>
      </w:r>
      <w:r w:rsidRPr="009916D1">
        <w:t>Land Administration (ILA) in 2016</w:t>
      </w:r>
      <m:oMath>
        <m:r>
          <m:rPr>
            <m:sty m:val="p"/>
          </m:rPr>
          <w:rPr>
            <w:rFonts w:ascii="Cambria Math" w:hAnsi="Cambria Math"/>
          </w:rPr>
          <m:t>-</m:t>
        </m:r>
      </m:oMath>
      <w:r w:rsidRPr="009916D1">
        <w:t>2021 was about 29,700 units, which are about 76% of the government target for 2016</w:t>
      </w:r>
      <m:oMath>
        <m:r>
          <m:rPr>
            <m:sty m:val="p"/>
          </m:rPr>
          <w:rPr>
            <w:rFonts w:ascii="Cambria Math" w:hAnsi="Cambria Math"/>
          </w:rPr>
          <m:t>-</m:t>
        </m:r>
      </m:oMath>
      <w:r w:rsidRPr="009916D1">
        <w:t>2018 and of the scope of planning required according to the estimate of housing needs for 2019</w:t>
      </w:r>
      <m:oMath>
        <m:r>
          <m:rPr>
            <m:sty m:val="p"/>
          </m:rPr>
          <w:rPr>
            <w:rFonts w:ascii="Cambria Math" w:hAnsi="Cambria Math"/>
          </w:rPr>
          <m:t>-</m:t>
        </m:r>
      </m:oMath>
      <w:r w:rsidRPr="009916D1">
        <w:t>2021 in aggregate; The scope of housing plans for the ultra-Orthodox population approved in 2017</w:t>
      </w:r>
      <m:oMath>
        <m:r>
          <m:rPr>
            <m:sty m:val="p"/>
          </m:rPr>
          <w:rPr>
            <w:rFonts w:ascii="Cambria Math" w:hAnsi="Cambria Math"/>
          </w:rPr>
          <m:t>-</m:t>
        </m:r>
      </m:oMath>
      <w:r w:rsidRPr="009916D1">
        <w:t xml:space="preserve">2021 was about 4% out of about 623,000 housing units approved for the entire population in those years. It was also raised that until October 2022, the examination of the expansions option within the jurisdiction of existing ultra-Orthodox communities did not result in a significant addition of land for the construction of housing units for the ultra-Orthodox population. It is recommended that the Ministry of Construction – in coordination with the National Economic Council, the Planning Administration and ILA, as well as with the Development of the Ultra-Orthodox Sector Authority, as applicable – will </w:t>
      </w:r>
      <w:r>
        <w:t>submit</w:t>
      </w:r>
      <w:r w:rsidRPr="009916D1">
        <w:t xml:space="preserve"> recommendations to the Minister of Construction and Housing regarding the planning and marketing goals of land for the ultra-Orthodox population, and that these will be formulated according to an updated estimate of the housing needs of the ultra-Orthodox population and of the population in general, while considering the potential of the housing solutions the government can promote. It is further recommended that the Ministry of Construction and ILA, in cooperation with the Planning Administration, promote the planning and marketing of land for the ultra-Orthodox population in an extent that will provide a response to its housing needs, according to the set goals and considering the housing solutions that are possible and should be promoted for the entire population. It is also recommended that the Urban Renewal Authority promote the processes of urban renewal among the ultra-Orthodox population, in cooperation with the relevant local authorities, as applicable, </w:t>
      </w:r>
      <w:r>
        <w:t>considering</w:t>
      </w:r>
      <w:r w:rsidRPr="009916D1">
        <w:t xml:space="preserve"> the unique barriers to its advancement among this population.</w:t>
      </w:r>
    </w:p>
    <w:p w:rsidR="002933AD" w:rsidRPr="009916D1" w:rsidP="002933AD" w14:paraId="6B746034" w14:textId="77777777">
      <w:pPr>
        <w:pStyle w:val="7112"/>
        <w:numPr>
          <w:ilvl w:val="0"/>
          <w:numId w:val="33"/>
        </w:numPr>
        <w:bidi w:val="0"/>
      </w:pPr>
      <w:r w:rsidRPr="009916D1">
        <w:t>Sports facilities are an important platform allow</w:t>
      </w:r>
      <w:r>
        <w:t>ing</w:t>
      </w:r>
      <w:r w:rsidRPr="009916D1">
        <w:t xml:space="preserve"> athletes to train in a high-quality sports environment, and hence they are a necessary component for the promotion of sports. The audit on </w:t>
      </w:r>
      <w:r w:rsidRPr="00D87160">
        <w:rPr>
          <w:b/>
          <w:bCs/>
        </w:rPr>
        <w:t>Construction, Maintenance &amp; Operation of Sports Facilities</w:t>
      </w:r>
      <w:r w:rsidRPr="009916D1">
        <w:t xml:space="preserve"> raised that in April 2022, the National Facilities Plan 2031, intended for a period of about ten years, was approved. Its budget is NIS 2.89 billion for the entire period, compare to disparities estimated at NIS 14.9 billion; While the number of registered players in the 2011</w:t>
      </w:r>
      <m:oMath>
        <m:r>
          <m:rPr>
            <m:sty m:val="p"/>
          </m:rPr>
          <w:rPr>
            <w:rFonts w:ascii="Cambria Math" w:hAnsi="Cambria Math"/>
          </w:rPr>
          <m:t>-</m:t>
        </m:r>
      </m:oMath>
      <w:r w:rsidRPr="009916D1">
        <w:t>2012 match season increased in the 2021</w:t>
      </w:r>
      <m:oMath>
        <m:r>
          <m:rPr>
            <m:sty m:val="p"/>
          </m:rPr>
          <w:rPr>
            <w:rFonts w:ascii="Cambria Math" w:hAnsi="Cambria Math"/>
          </w:rPr>
          <m:t>-</m:t>
        </m:r>
      </m:oMath>
      <w:r w:rsidRPr="009916D1">
        <w:t xml:space="preserve">2022 match season to nearly 12,000 players (a 34% increase), the number of active and approved playing fields for league games increased by 15 (a 6% increase); Despite the state of women's football in Israel, the Ministry of Sports and the Football Association did not provide an adequate opportunity for female football players of all ages to train and play on the football fields in an equal and respectful manner. It is recommended that the Ministry of Sports work with the National Sports Council to promote long-term planning of the sports facilities and the allocation of areas for them, considering the sport's needs, population growth, future transportation infrastructures and the construction of new cities and neighborhoods. It is further appropriate that the Ministry </w:t>
      </w:r>
      <w:r>
        <w:t xml:space="preserve">and </w:t>
      </w:r>
      <w:r w:rsidRPr="009916D1">
        <w:t xml:space="preserve">the </w:t>
      </w:r>
      <w:r>
        <w:t xml:space="preserve">local </w:t>
      </w:r>
      <w:r w:rsidRPr="009916D1">
        <w:t xml:space="preserve">authorities promote a comprehensive plan to upgrade and renovate the sports facilities for their effective use throughout the year, meeting safety standards, as well as opening the outdoor sports fields to the community, to the extent possible, so they are used more </w:t>
      </w:r>
      <w:r w:rsidRPr="009916D1">
        <w:t xml:space="preserve">effectively for the benefit of the public. It is further recommended that the Ministry of Sports establish a supervision and control system to ensure that the </w:t>
      </w:r>
      <w:r>
        <w:t xml:space="preserve">local </w:t>
      </w:r>
      <w:r w:rsidRPr="009916D1">
        <w:t xml:space="preserve">authorities comply with their obligations </w:t>
      </w:r>
      <w:r w:rsidRPr="009916D1">
        <w:t>and also</w:t>
      </w:r>
      <w:r w:rsidRPr="009916D1">
        <w:t xml:space="preserve"> verify </w:t>
      </w:r>
      <w:r>
        <w:t>that</w:t>
      </w:r>
      <w:r w:rsidRPr="009916D1">
        <w:t xml:space="preserve"> the </w:t>
      </w:r>
      <w:r>
        <w:t xml:space="preserve">local </w:t>
      </w:r>
      <w:r w:rsidRPr="009916D1">
        <w:t>authorities</w:t>
      </w:r>
      <w:r>
        <w:t>'</w:t>
      </w:r>
      <w:r w:rsidRPr="009916D1">
        <w:t xml:space="preserve"> information about the availability of the sports facilities open for community use will be published both on appropriate signage at the sports facilities themselves and on the internet websites.</w:t>
      </w:r>
    </w:p>
    <w:p w:rsidR="002933AD" w:rsidP="002933AD" w14:paraId="6A9B8CAB" w14:textId="0DED3242">
      <w:pPr>
        <w:pStyle w:val="7112"/>
        <w:numPr>
          <w:ilvl w:val="0"/>
          <w:numId w:val="33"/>
        </w:numPr>
        <w:bidi w:val="0"/>
      </w:pPr>
      <w:r w:rsidRPr="009916D1">
        <w:t xml:space="preserve">The systemic handling of police officers' offenses is divided between two systems: </w:t>
      </w:r>
      <w:r>
        <w:t>generaly</w:t>
      </w:r>
      <w:r w:rsidRPr="009916D1">
        <w:t xml:space="preserve">, the handling of more serious complaints is carried out through the Department of Internal Police Investigations, which operates within the framework of the State Attorney's Office and the prosecution authorities, while the handling of less serious offenses is under the authority of the Police and the Police Prosecution Division. The findings of the audit on </w:t>
      </w:r>
      <w:r>
        <w:rPr>
          <w:b/>
          <w:bCs/>
        </w:rPr>
        <w:t>T</w:t>
      </w:r>
      <w:r w:rsidRPr="00637A0E">
        <w:rPr>
          <w:b/>
          <w:bCs/>
        </w:rPr>
        <w:t xml:space="preserve">he </w:t>
      </w:r>
      <w:r>
        <w:rPr>
          <w:b/>
          <w:bCs/>
        </w:rPr>
        <w:t>H</w:t>
      </w:r>
      <w:r w:rsidRPr="00637A0E">
        <w:rPr>
          <w:b/>
          <w:bCs/>
        </w:rPr>
        <w:t xml:space="preserve">andling of </w:t>
      </w:r>
      <w:r>
        <w:rPr>
          <w:b/>
          <w:bCs/>
        </w:rPr>
        <w:t>P</w:t>
      </w:r>
      <w:r w:rsidRPr="00637A0E">
        <w:rPr>
          <w:b/>
          <w:bCs/>
        </w:rPr>
        <w:t xml:space="preserve">olice </w:t>
      </w:r>
      <w:r>
        <w:rPr>
          <w:b/>
          <w:bCs/>
        </w:rPr>
        <w:t>O</w:t>
      </w:r>
      <w:r w:rsidRPr="00637A0E">
        <w:rPr>
          <w:b/>
          <w:bCs/>
        </w:rPr>
        <w:t xml:space="preserve">fficers' </w:t>
      </w:r>
      <w:r>
        <w:rPr>
          <w:b/>
          <w:bCs/>
        </w:rPr>
        <w:t>O</w:t>
      </w:r>
      <w:r w:rsidRPr="00637A0E">
        <w:rPr>
          <w:b/>
          <w:bCs/>
        </w:rPr>
        <w:t xml:space="preserve">ffenses by the </w:t>
      </w:r>
      <w:r>
        <w:rPr>
          <w:b/>
          <w:bCs/>
        </w:rPr>
        <w:t>D</w:t>
      </w:r>
      <w:r w:rsidRPr="00637A0E">
        <w:rPr>
          <w:b/>
          <w:bCs/>
        </w:rPr>
        <w:t xml:space="preserve">epartment of </w:t>
      </w:r>
      <w:r>
        <w:rPr>
          <w:b/>
          <w:bCs/>
        </w:rPr>
        <w:t>I</w:t>
      </w:r>
      <w:r w:rsidRPr="00637A0E">
        <w:rPr>
          <w:b/>
          <w:bCs/>
        </w:rPr>
        <w:t xml:space="preserve">nternal </w:t>
      </w:r>
      <w:r>
        <w:rPr>
          <w:b/>
          <w:bCs/>
        </w:rPr>
        <w:t>P</w:t>
      </w:r>
      <w:r w:rsidRPr="00637A0E">
        <w:rPr>
          <w:b/>
          <w:bCs/>
        </w:rPr>
        <w:t xml:space="preserve">olice </w:t>
      </w:r>
      <w:r>
        <w:rPr>
          <w:b/>
          <w:bCs/>
        </w:rPr>
        <w:t>I</w:t>
      </w:r>
      <w:r w:rsidRPr="00637A0E">
        <w:rPr>
          <w:b/>
          <w:bCs/>
        </w:rPr>
        <w:t xml:space="preserve">nvestigation and the </w:t>
      </w:r>
      <w:r>
        <w:rPr>
          <w:b/>
          <w:bCs/>
        </w:rPr>
        <w:t>P</w:t>
      </w:r>
      <w:r w:rsidRPr="00637A0E">
        <w:rPr>
          <w:b/>
          <w:bCs/>
        </w:rPr>
        <w:t>olice</w:t>
      </w:r>
      <w:r>
        <w:rPr>
          <w:rFonts w:hint="cs"/>
          <w:rtl/>
        </w:rPr>
        <w:t xml:space="preserve"> </w:t>
      </w:r>
      <w:r w:rsidRPr="009916D1">
        <w:t xml:space="preserve">present three main challenges to the authorities in charge of handling Police officers offenses: </w:t>
      </w:r>
      <w:r w:rsidRPr="002C148E">
        <w:rPr>
          <w:u w:val="single"/>
        </w:rPr>
        <w:t>The first challenge</w:t>
      </w:r>
      <w:r w:rsidRPr="009916D1">
        <w:t xml:space="preserve"> concerns the question of the optimal organizational-systemic structure for handling police offenses at all levels of severity – there are implications to the institutional affiliation of the entities that belong to the system, with an emphasis on the affiliation of the Department of Internal Police Investigations with the State Attorney's Office and the </w:t>
      </w:r>
      <w:r w:rsidRPr="00BB1446" w:rsidR="00BB1446">
        <w:t>Police</w:t>
      </w:r>
      <w:r w:rsidRPr="00BB1446" w:rsidR="00BB1446">
        <w:t xml:space="preserve"> </w:t>
      </w:r>
      <w:r w:rsidRPr="009916D1">
        <w:t xml:space="preserve">Discipline Department affiliation with the Police Human Resources Department, and their ability to ensure full functional independence. It is recommended that the Attorney General lead strategic work with the participation of all the relevant professionals, including representatives from the Ministry of Justice and the Ministry of National Security (formerly the Ministry of Public Security). As part of the strategic work, it is recommended that an examination be conducted on the institutional affiliation and organizational subordination of the bodies entrusted with handling complaints and of those heading them, and that a comparison will be made between this functional system for handling complaints against police officers and between other models found in countries around the world of the various functional systems for handling complaints against police officers, with an emphasis on the need to ensure comprehensive and systematic, efficient and independent handling that will ensure effective handling of police investigations and complaints against police officers. It is recommended that the recommendations based on the examination findings be </w:t>
      </w:r>
      <w:r>
        <w:t>submitted to</w:t>
      </w:r>
      <w:r w:rsidRPr="009916D1">
        <w:t xml:space="preserve"> the Minister of National Security and the Minister of Justice. </w:t>
      </w:r>
    </w:p>
    <w:p w:rsidR="002933AD" w:rsidP="002933AD" w14:paraId="6C707DF8" w14:textId="77777777">
      <w:pPr>
        <w:pStyle w:val="7112"/>
        <w:bidi w:val="0"/>
        <w:ind w:left="426"/>
      </w:pPr>
      <w:r w:rsidRPr="002C148E">
        <w:rPr>
          <w:u w:val="single"/>
        </w:rPr>
        <w:t>The second challenge</w:t>
      </w:r>
      <w:r w:rsidRPr="009916D1">
        <w:t xml:space="preserve"> concerns the operational capabilities of the Department of Internal Police Investigations – in this area, substantial deficiencies were found, including the powers granted by law to the Investigations and Intelligence Division of the Department of Internal Police Investigations for fulfilling its duties; The professional knowledge and skill of the investigators; And the resources available to the department and its employees. These aspects affect the functioning of the Department of Internal Police Investigations as an operational, </w:t>
      </w:r>
      <w:r w:rsidRPr="009916D1">
        <w:t>independent</w:t>
      </w:r>
      <w:r w:rsidRPr="009916D1">
        <w:t xml:space="preserve"> and initiative-taking unit. </w:t>
      </w:r>
    </w:p>
    <w:p w:rsidR="002933AD" w:rsidRPr="009916D1" w:rsidP="002933AD" w14:paraId="329D8AFB" w14:textId="77777777">
      <w:pPr>
        <w:pStyle w:val="7112"/>
        <w:bidi w:val="0"/>
        <w:ind w:left="426"/>
      </w:pPr>
      <w:r w:rsidRPr="002C148E">
        <w:rPr>
          <w:u w:val="single"/>
        </w:rPr>
        <w:t>The third challenge</w:t>
      </w:r>
      <w:r w:rsidRPr="009916D1">
        <w:t xml:space="preserve"> concerns the Police's abilities to handle the disciplinary, organizational and command aspects of all the information transferred to it – difficulties </w:t>
      </w:r>
      <w:r w:rsidRPr="009916D1">
        <w:t>were found in the interrelationship between the Department of Internal Police Investigations and the Police; The absence of instructions or guidelines regarding decision making on the routing of cases to different handling routes; Long periods of suspension of police officers (about a year and a half on average), which cost the Police NIS 9.7 million, and deficiencies in the procedures for handling disciplinary offenses of police volunteers.</w:t>
      </w:r>
    </w:p>
    <w:p w:rsidR="002933AD" w:rsidRPr="009916D1" w:rsidP="002933AD" w14:paraId="60E98AA2" w14:textId="77777777">
      <w:pPr>
        <w:pStyle w:val="7112"/>
        <w:bidi w:val="0"/>
      </w:pPr>
      <w:r w:rsidRPr="009916D1">
        <w:t>The Minister of Justice, the Minister of National Security and the Attorney General are required to examine, in cooperation with the Department of Internal Police Investigations and the Police, the deficiencies raised in this report and rectify them.</w:t>
      </w:r>
    </w:p>
    <w:p w:rsidR="002933AD" w:rsidRPr="009916D1" w:rsidP="002933AD" w14:paraId="7A7865AE" w14:textId="6DC7ABF5">
      <w:pPr>
        <w:pStyle w:val="7112"/>
        <w:numPr>
          <w:ilvl w:val="0"/>
          <w:numId w:val="33"/>
        </w:numPr>
        <w:bidi w:val="0"/>
      </w:pPr>
      <w:r w:rsidRPr="009916D1">
        <w:t xml:space="preserve">Milk and its products are a main source of animal protein and calcium in the average Israeli diet. The state has been planning the dairy industry in Israel along the entire production chain since before the establishment of the state. The planning of the dairy industry is implemented through state supervision of milk production quantities according to the quotas assigned to producers, the price paid by the dairies to dairy farmers per liter of milk (the target price), the volume of imports of dairy products and the consumer price of the supervised dairy products. The audit of </w:t>
      </w:r>
      <w:r>
        <w:rPr>
          <w:b/>
          <w:bCs/>
        </w:rPr>
        <w:t>T</w:t>
      </w:r>
      <w:r w:rsidRPr="004E392D">
        <w:rPr>
          <w:b/>
          <w:bCs/>
        </w:rPr>
        <w:t>he</w:t>
      </w:r>
      <w:r w:rsidRPr="009916D1">
        <w:t xml:space="preserve"> </w:t>
      </w:r>
      <w:r>
        <w:rPr>
          <w:b/>
          <w:bCs/>
        </w:rPr>
        <w:t>D</w:t>
      </w:r>
      <w:r w:rsidRPr="00EB5E10">
        <w:rPr>
          <w:b/>
          <w:bCs/>
        </w:rPr>
        <w:t xml:space="preserve">airy </w:t>
      </w:r>
      <w:r>
        <w:rPr>
          <w:b/>
          <w:bCs/>
        </w:rPr>
        <w:t>I</w:t>
      </w:r>
      <w:r w:rsidRPr="00EB5E10">
        <w:rPr>
          <w:b/>
          <w:bCs/>
        </w:rPr>
        <w:t>ndustry in Israel</w:t>
      </w:r>
      <w:r w:rsidRPr="009916D1">
        <w:t xml:space="preserve"> raised that the price of raw milk in Israel, which is estimated at € 62.04 per hundred kilograms of milk (about NIS 219), is about 24% higher than the average price of milk in the European Union countries, which is estimated at € 50.17 per hundred kg of milk (about NIS 177). In the last decade, the gap between the price of raw milk in Israel and the average price of milk in European Union countries has narrowed; The average annual milk yield per cow in Israel is amongst the highest in the world – 12,003 kg. There are 686 dairy farms in Israel, of which 440 are in national priority areas. This audit's findings raise deficiencies in the state's regulation of the sector's activity in three key areas: </w:t>
      </w:r>
      <w:r w:rsidR="00B760E8">
        <w:br/>
      </w:r>
      <w:r w:rsidRPr="009916D1">
        <w:t xml:space="preserve">(a) The price of milk in Israel, which is higher than in </w:t>
      </w:r>
      <w:r>
        <w:t>most</w:t>
      </w:r>
      <w:r w:rsidRPr="009916D1">
        <w:t xml:space="preserve"> of European Union countries – in this aspect the report includes findings regarding the procedure for determining the target price of raw milk in Israel. The report also deals with the State of Israel not me</w:t>
      </w:r>
      <w:r>
        <w:t>e</w:t>
      </w:r>
      <w:r w:rsidRPr="009916D1">
        <w:t>t</w:t>
      </w:r>
      <w:r>
        <w:t>ing</w:t>
      </w:r>
      <w:r w:rsidRPr="009916D1">
        <w:t xml:space="preserve"> its obligations to the World Trade Organization to transition from indirect supports, including the planning of the industry, to direct supports; (b) Ensuring animal welfare – according to the assessment of professionals at the Ministry of Agriculture, about 20% of the dairy farms in Israel are in a very poor state in terms of cow welfare, but supervision in this area is lacking, and no individual regulations, essential for preventing animal cruelty, have been enacted; (c) Ensuring regular supply and reducing the shortage of milk during the Jewish holidays, along with refraining, to the extent possible, from dumping milk. In 2021, the shortage </w:t>
      </w:r>
      <w:r>
        <w:t>was</w:t>
      </w:r>
      <w:r w:rsidRPr="009916D1">
        <w:t xml:space="preserve"> about 3 million liters of pasteurized milk, which is 9% of the average monthly consumption of pasteurized milk. It is recommended that </w:t>
      </w:r>
      <w:r w:rsidRPr="009916D1">
        <w:t>as long as</w:t>
      </w:r>
      <w:r w:rsidRPr="009916D1">
        <w:t xml:space="preserve"> there is a planning regime for the dairy industry in Israel, the Ministries of Agriculture and Finance analyze the causes affecting the costs of milk production in Israel and examine ways to improve efficiency in the industry and reduce the target price affect</w:t>
      </w:r>
      <w:r>
        <w:t>ing</w:t>
      </w:r>
      <w:r w:rsidRPr="009916D1">
        <w:t xml:space="preserve"> the final price of milk and its products to the consumer while maintaining the quality of the milk. It is further recommended that the Ministry of </w:t>
      </w:r>
      <w:r w:rsidRPr="009916D1">
        <w:t>Agriculture and the Ministry of Finance implement the OECD recommendations and the State Comptroller's recommendations from 2018 regarding the transition from indirect supports to direct supports in the dairy industry. At the same time, the Ministry of Agriculture should improve cow welfare by increasing the state's supervision in dairy farms and by promoting appropriate legal regulation.</w:t>
      </w:r>
    </w:p>
    <w:p w:rsidR="002933AD" w:rsidRPr="009916D1" w:rsidP="002933AD" w14:paraId="77E1B593" w14:textId="5C241B5E">
      <w:pPr>
        <w:pStyle w:val="7190"/>
        <w:bidi w:val="0"/>
      </w:pPr>
      <w:r w:rsidRPr="009916D1">
        <w:t xml:space="preserve">This report also presents the findings of four follow-up audits, including </w:t>
      </w:r>
      <w:r>
        <w:rPr>
          <w:b/>
          <w:bCs/>
        </w:rPr>
        <w:t>T</w:t>
      </w:r>
      <w:r w:rsidRPr="00EB5E10">
        <w:rPr>
          <w:b/>
          <w:bCs/>
        </w:rPr>
        <w:t xml:space="preserve">he </w:t>
      </w:r>
      <w:r w:rsidRPr="00676B95">
        <w:rPr>
          <w:b/>
          <w:bCs/>
        </w:rPr>
        <w:t>Training Array in the Civil Service</w:t>
      </w:r>
      <w:r w:rsidRPr="00EB5E10">
        <w:rPr>
          <w:b/>
          <w:bCs/>
        </w:rPr>
        <w:t xml:space="preserve">; </w:t>
      </w:r>
      <w:r w:rsidR="002C148E">
        <w:rPr>
          <w:b/>
          <w:bCs/>
        </w:rPr>
        <w:t>T</w:t>
      </w:r>
      <w:r w:rsidRPr="00EB5E10">
        <w:rPr>
          <w:b/>
          <w:bCs/>
        </w:rPr>
        <w:t xml:space="preserve">he </w:t>
      </w:r>
      <w:r>
        <w:rPr>
          <w:b/>
          <w:bCs/>
        </w:rPr>
        <w:t>U</w:t>
      </w:r>
      <w:r w:rsidRPr="00676B95">
        <w:rPr>
          <w:b/>
          <w:bCs/>
        </w:rPr>
        <w:t>se of Pesticides on Fruits &amp; Vegetables</w:t>
      </w:r>
      <w:r w:rsidRPr="00EB5E10">
        <w:rPr>
          <w:b/>
          <w:bCs/>
        </w:rPr>
        <w:t xml:space="preserve">; </w:t>
      </w:r>
      <w:r>
        <w:rPr>
          <w:b/>
          <w:bCs/>
        </w:rPr>
        <w:t>T</w:t>
      </w:r>
      <w:r w:rsidRPr="00EB5E10">
        <w:rPr>
          <w:b/>
          <w:bCs/>
        </w:rPr>
        <w:t xml:space="preserve">he Israel Police's </w:t>
      </w:r>
      <w:r>
        <w:rPr>
          <w:b/>
          <w:bCs/>
        </w:rPr>
        <w:t>H</w:t>
      </w:r>
      <w:r w:rsidRPr="00EB5E10">
        <w:rPr>
          <w:b/>
          <w:bCs/>
        </w:rPr>
        <w:t xml:space="preserve">andling of </w:t>
      </w:r>
      <w:r>
        <w:rPr>
          <w:b/>
          <w:bCs/>
        </w:rPr>
        <w:t>A</w:t>
      </w:r>
      <w:r w:rsidRPr="00EB5E10">
        <w:rPr>
          <w:b/>
          <w:bCs/>
        </w:rPr>
        <w:t xml:space="preserve">gricultural </w:t>
      </w:r>
      <w:r>
        <w:rPr>
          <w:b/>
          <w:bCs/>
        </w:rPr>
        <w:t>C</w:t>
      </w:r>
      <w:r w:rsidRPr="00EB5E10">
        <w:rPr>
          <w:b/>
          <w:bCs/>
        </w:rPr>
        <w:t xml:space="preserve">rime; </w:t>
      </w:r>
      <w:r w:rsidRPr="00676B95">
        <w:rPr>
          <w:b/>
          <w:bCs/>
        </w:rPr>
        <w:t>Environmental Enforcement</w:t>
      </w:r>
      <w:r w:rsidRPr="009916D1">
        <w:t xml:space="preserve">. Monitoring the rectifying of deficiencies raised in previous reports is an important tool to ensure that the audited entities have indeed rectified what was required, and I intend to expand the scope of the follow-up audits and refine the </w:t>
      </w:r>
      <w:r w:rsidRPr="009916D1">
        <w:t>manner in which</w:t>
      </w:r>
      <w:r w:rsidRPr="009916D1">
        <w:t xml:space="preserve"> they are </w:t>
      </w:r>
      <w:r w:rsidRPr="009916D1">
        <w:t>conduted</w:t>
      </w:r>
      <w:r w:rsidRPr="009916D1">
        <w:t>.</w:t>
      </w:r>
    </w:p>
    <w:p w:rsidR="002933AD" w:rsidRPr="00EB5E10" w:rsidP="002933AD" w14:paraId="28FFC1DD" w14:textId="77777777">
      <w:pPr>
        <w:pStyle w:val="7190"/>
        <w:bidi w:val="0"/>
        <w:rPr>
          <w:b/>
          <w:bCs/>
          <w:rtl/>
        </w:rPr>
      </w:pPr>
      <w:r w:rsidRPr="00EB5E10">
        <w:rPr>
          <w:b/>
          <w:bCs/>
        </w:rPr>
        <w:t xml:space="preserve">The preparation of this audit report required considerable effort from the State Comptroller's Office staff members, who fulfil their public duties out of a true sense of dedication. They worked on its preparation with professionalism, thoroughness, fairness and care, and they have my </w:t>
      </w:r>
      <w:r w:rsidRPr="00EB5E10">
        <w:rPr>
          <w:b/>
          <w:bCs/>
        </w:rPr>
        <w:t>gratitude</w:t>
      </w:r>
    </w:p>
    <w:p w:rsidR="002933AD" w:rsidRPr="009916D1" w:rsidP="002933AD" w14:paraId="76BCFFB1" w14:textId="77777777">
      <w:pPr>
        <w:pStyle w:val="7190"/>
        <w:bidi w:val="0"/>
      </w:pPr>
      <w:r w:rsidRPr="009916D1">
        <w:t xml:space="preserve">This report covers many diverse topics; and opens to the public, including the decision makers, a window </w:t>
      </w:r>
      <w:r>
        <w:t>over</w:t>
      </w:r>
      <w:r w:rsidRPr="009916D1">
        <w:t xml:space="preserve"> the audited bodies</w:t>
      </w:r>
      <w:r w:rsidRPr="0081783D">
        <w:t xml:space="preserve"> </w:t>
      </w:r>
      <w:r w:rsidRPr="009916D1">
        <w:t xml:space="preserve">activities. Thus, </w:t>
      </w:r>
      <w:r>
        <w:t>enables</w:t>
      </w:r>
      <w:r w:rsidRPr="009916D1">
        <w:t xml:space="preserve"> ensur</w:t>
      </w:r>
      <w:r>
        <w:t>ing</w:t>
      </w:r>
      <w:r w:rsidRPr="009916D1">
        <w:t xml:space="preserve"> the integrity of the public service in Israel and significantly increas</w:t>
      </w:r>
      <w:r>
        <w:t>ing</w:t>
      </w:r>
      <w:r w:rsidRPr="009916D1">
        <w:t xml:space="preserve"> efficiency, savings and integrity in the audited bodies and maintaining rules of proper governance.</w:t>
      </w:r>
    </w:p>
    <w:p w:rsidR="00565745" w:rsidRPr="00EB5E10" w:rsidP="002933AD" w14:paraId="4386C7CD" w14:textId="7711424C">
      <w:pPr>
        <w:pStyle w:val="7190"/>
        <w:bidi w:val="0"/>
      </w:pPr>
      <w:r w:rsidRPr="009916D1">
        <w:t>In many of the audited bodies, positive actions have been taken, and under the State Comptroller's Law, the more notable of these actions were expressed in the reports to fully present the situation raised from the audit. At the same time, it is the</w:t>
      </w:r>
      <w:r>
        <w:t xml:space="preserve"> </w:t>
      </w:r>
      <w:r w:rsidRPr="009916D1">
        <w:t>duty of the audited bodies to quickly and efficiently rectify the deficiencies noted in this report</w:t>
      </w:r>
      <w:r w:rsidRPr="009916D1">
        <w:t>.</w:t>
      </w:r>
    </w:p>
    <w:p w:rsidR="00565745" w:rsidRPr="00EB5E10" w:rsidP="00565745" w14:paraId="24ABE182" w14:textId="77777777">
      <w:pPr>
        <w:pStyle w:val="7190"/>
        <w:bidi w:val="0"/>
        <w:rPr>
          <w:rtl/>
        </w:rPr>
      </w:pPr>
    </w:p>
    <w:p w:rsidR="00565745" w:rsidRPr="00C6221F" w:rsidP="00565745" w14:paraId="51408A90"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descr="תמונה שמכילה כתב יד, קליגרפיה, גופן,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descr="תמונה שמכילה כתב יד, קליגרפיה, גופן, טקסט&#10;&#10;התיאור נוצר באופן אוטומטי"/>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565745" w:rsidRPr="00D27A1F" w:rsidP="00565745" w14:paraId="34109998"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565745" w:rsidRPr="00D27A1F" w:rsidP="00565745" w14:paraId="7BE1298B"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565745" w:rsidRPr="00D27A1F" w:rsidP="00565745" w14:paraId="0803A4B9"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565745" w:rsidRPr="00C6221F" w:rsidP="00565745" w14:paraId="0ED2FDFD" w14:textId="77777777">
      <w:pPr>
        <w:widowControl w:val="0"/>
        <w:bidi w:val="0"/>
        <w:spacing w:line="280" w:lineRule="exact"/>
        <w:ind w:left="2268"/>
        <w:jc w:val="center"/>
        <w:rPr>
          <w:rFonts w:ascii="Tahoma" w:hAnsi="Tahoma" w:cs="Tahoma"/>
          <w:spacing w:val="2"/>
          <w:szCs w:val="20"/>
          <w:lang w:eastAsia="he-IL"/>
        </w:rPr>
      </w:pPr>
    </w:p>
    <w:p w:rsidR="00565745" w:rsidP="00565745" w14:paraId="4F668FE7" w14:textId="77777777">
      <w:pPr>
        <w:widowControl w:val="0"/>
        <w:bidi w:val="0"/>
        <w:spacing w:line="280" w:lineRule="exact"/>
        <w:ind w:left="2268"/>
        <w:jc w:val="center"/>
        <w:rPr>
          <w:rFonts w:ascii="Tahoma" w:hAnsi="Tahoma" w:cs="Tahoma"/>
          <w:spacing w:val="2"/>
          <w:szCs w:val="20"/>
          <w:lang w:eastAsia="he-IL"/>
        </w:rPr>
      </w:pPr>
    </w:p>
    <w:p w:rsidR="00565745" w:rsidP="00565745" w14:paraId="2CAB6537" w14:textId="77777777">
      <w:pPr>
        <w:widowControl w:val="0"/>
        <w:bidi w:val="0"/>
        <w:spacing w:line="280" w:lineRule="exact"/>
        <w:ind w:left="2268"/>
        <w:jc w:val="center"/>
        <w:rPr>
          <w:rFonts w:ascii="Tahoma" w:hAnsi="Tahoma" w:cs="Tahoma"/>
          <w:spacing w:val="2"/>
          <w:szCs w:val="20"/>
          <w:lang w:eastAsia="he-IL"/>
        </w:rPr>
      </w:pPr>
    </w:p>
    <w:p w:rsidR="00565745" w:rsidP="00565745" w14:paraId="4656AFB8" w14:textId="77777777">
      <w:pPr>
        <w:bidi w:val="0"/>
        <w:spacing w:before="120" w:line="240" w:lineRule="auto"/>
        <w:rPr>
          <w:rFonts w:ascii="Tahoma" w:hAnsi="Tahoma" w:cs="Tahoma"/>
          <w:color w:val="0D0D0D" w:themeColor="text1" w:themeTint="F2"/>
          <w:spacing w:val="2"/>
          <w:sz w:val="18"/>
          <w:szCs w:val="18"/>
        </w:rPr>
      </w:pPr>
      <w:r w:rsidRPr="00C6221F">
        <w:rPr>
          <w:rFonts w:ascii="Tahoma" w:hAnsi="Tahoma" w:cs="Tahoma"/>
          <w:color w:val="0D0D0D" w:themeColor="text1" w:themeTint="F2"/>
          <w:spacing w:val="2"/>
          <w:sz w:val="18"/>
          <w:szCs w:val="18"/>
        </w:rPr>
        <w:t xml:space="preserve">Jerusalem, </w:t>
      </w:r>
      <w:r w:rsidRPr="008233E5">
        <w:rPr>
          <w:rFonts w:ascii="Tahoma" w:hAnsi="Tahoma" w:cs="Tahoma"/>
          <w:color w:val="0D0D0D" w:themeColor="text1" w:themeTint="F2"/>
          <w:spacing w:val="2"/>
          <w:sz w:val="18"/>
          <w:szCs w:val="18"/>
        </w:rPr>
        <w:t>Ma</w:t>
      </w:r>
      <w:r>
        <w:rPr>
          <w:rFonts w:ascii="Tahoma" w:hAnsi="Tahoma" w:cs="Tahoma"/>
          <w:color w:val="0D0D0D" w:themeColor="text1" w:themeTint="F2"/>
          <w:spacing w:val="2"/>
          <w:sz w:val="18"/>
          <w:szCs w:val="18"/>
        </w:rPr>
        <w:t>y 2023</w:t>
      </w:r>
    </w:p>
    <w:p w:rsidR="00697F31" w:rsidRPr="006C067D" w:rsidP="00697F31" w14:paraId="52E5F77A" w14:textId="77777777">
      <w:pPr>
        <w:tabs>
          <w:tab w:val="right" w:pos="12"/>
          <w:tab w:val="right" w:pos="156"/>
        </w:tabs>
        <w:ind w:hanging="129"/>
        <w:rPr>
          <w:b/>
          <w:bCs/>
          <w:sz w:val="2"/>
          <w:szCs w:val="2"/>
          <w:rtl/>
        </w:rPr>
      </w:pPr>
    </w:p>
    <w:p w:rsidR="00697F31" w:rsidRPr="006C067D" w:rsidP="00697F31" w14:paraId="5B53F822" w14:textId="77777777">
      <w:pPr>
        <w:tabs>
          <w:tab w:val="left" w:pos="1683"/>
        </w:tabs>
        <w:rPr>
          <w:sz w:val="2"/>
          <w:szCs w:val="2"/>
          <w:rtl/>
        </w:rPr>
      </w:pPr>
      <w:r w:rsidRPr="006C067D">
        <w:rPr>
          <w:sz w:val="24"/>
          <w:rtl/>
        </w:rPr>
        <w:tab/>
      </w:r>
    </w:p>
    <w:p w:rsidR="00B20B13" w:rsidRPr="006C067D" w:rsidP="00B20B13" w14:paraId="494BF6CF" w14:textId="63375E95">
      <w:pPr>
        <w:tabs>
          <w:tab w:val="right" w:pos="12"/>
          <w:tab w:val="right" w:pos="156"/>
        </w:tabs>
        <w:spacing w:line="360" w:lineRule="auto"/>
        <w:rPr>
          <w:b/>
          <w:bCs/>
          <w:sz w:val="2"/>
          <w:szCs w:val="2"/>
          <w:u w:val="single"/>
          <w:rtl/>
        </w:rPr>
      </w:pPr>
    </w:p>
    <w:p w:rsidR="00B20B13" w:rsidRPr="006C067D" w:rsidP="00B20B13" w14:paraId="598EC18E" w14:textId="4D29BECC">
      <w:pPr>
        <w:tabs>
          <w:tab w:val="right" w:pos="12"/>
          <w:tab w:val="right" w:pos="156"/>
        </w:tabs>
        <w:ind w:hanging="129"/>
        <w:rPr>
          <w:b/>
          <w:bCs/>
          <w:sz w:val="2"/>
          <w:szCs w:val="2"/>
          <w:rtl/>
        </w:rPr>
      </w:pPr>
    </w:p>
    <w:p w:rsidR="00B20B13" w:rsidRPr="006C067D" w:rsidP="00B20B13" w14:paraId="54A44A6A" w14:textId="77777777">
      <w:pPr>
        <w:tabs>
          <w:tab w:val="left" w:pos="1683"/>
        </w:tabs>
        <w:rPr>
          <w:sz w:val="2"/>
          <w:szCs w:val="2"/>
          <w:rtl/>
        </w:rPr>
      </w:pPr>
      <w:r w:rsidRPr="006C067D">
        <w:rPr>
          <w:sz w:val="24"/>
          <w:rtl/>
        </w:rPr>
        <w:tab/>
      </w:r>
    </w:p>
    <w:p w:rsidR="00F96F26" w:rsidP="00F9227B" w14:paraId="3CC61AEA" w14:textId="77777777">
      <w:pPr>
        <w:pStyle w:val="100"/>
        <w:tabs>
          <w:tab w:val="center" w:pos="3685"/>
        </w:tabs>
        <w:spacing w:after="0" w:line="240" w:lineRule="exact"/>
        <w:rPr>
          <w:b/>
          <w:bCs/>
          <w:color w:val="00305F"/>
          <w:sz w:val="32"/>
          <w:szCs w:val="32"/>
          <w:rtl/>
        </w:rPr>
        <w:sectPr w:rsidSect="00522B96">
          <w:headerReference w:type="default" r:id="rId22"/>
          <w:footerReference w:type="even" r:id="rId23"/>
          <w:footerReference w:type="default" r:id="rId24"/>
          <w:headerReference w:type="first" r:id="rId25"/>
          <w:footerReference w:type="first" r:id="rId26"/>
          <w:pgSz w:w="11906" w:h="16838" w:code="9"/>
          <w:pgMar w:top="3062" w:right="2268" w:bottom="2552" w:left="2268" w:header="1134" w:footer="1361" w:gutter="0"/>
          <w:pgNumType w:start="9"/>
          <w:cols w:space="708"/>
          <w:docGrid w:linePitch="360"/>
        </w:sectPr>
      </w:pPr>
    </w:p>
    <w:p w:rsidR="00BD786C" w:rsidP="00751F3D" w14:paraId="2768B985" w14:textId="1A53A677">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658240" behindDoc="0" locked="0" layoutInCell="1" allowOverlap="1">
                <wp:simplePos x="0" y="0"/>
                <wp:positionH relativeFrom="column">
                  <wp:posOffset>-666931</wp:posOffset>
                </wp:positionH>
                <wp:positionV relativeFrom="paragraph">
                  <wp:posOffset>6071145</wp:posOffset>
                </wp:positionV>
                <wp:extent cx="5795889" cy="1700463"/>
                <wp:effectExtent l="0" t="0" r="0" b="190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795889" cy="17004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50" style="width:456.35pt;height:133.9pt;margin-top:478.05pt;margin-left:-52.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2pt"/>
            </w:pict>
          </mc:Fallback>
        </mc:AlternateContent>
      </w:r>
    </w:p>
    <w:sectPr w:rsidSect="00A8428C">
      <w:headerReference w:type="default" r:id="rId27"/>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3B96" w14:paraId="21771772" w14:textId="77777777">
      <w:pPr>
        <w:spacing w:line="240" w:lineRule="auto"/>
      </w:pPr>
      <w:r>
        <w:separator/>
      </w:r>
    </w:p>
    <w:p w:rsidR="00A13B96" w14:paraId="70CB37E5" w14:textId="77777777"/>
  </w:endnote>
  <w:endnote w:type="continuationSeparator" w:id="1">
    <w:p w:rsidR="00A13B96" w14:paraId="1D5F7FC6" w14:textId="77777777">
      <w:pPr>
        <w:spacing w:line="240" w:lineRule="auto"/>
      </w:pPr>
      <w:r>
        <w:continuationSeparator/>
      </w:r>
    </w:p>
    <w:p w:rsidR="00A13B96" w14:paraId="73B595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P="00A0272B" w14:paraId="7CF2D899" w14:textId="3535C281">
    <w:pPr>
      <w:pStyle w:val="Footer"/>
      <w:spacing w:after="120" w:line="312" w:lineRule="auto"/>
      <w:ind w:right="-567"/>
      <w:jc w:val="right"/>
      <w:rPr>
        <w:rFonts w:ascii="Tahoma" w:hAnsi="Tahoma" w:cs="Tahoma"/>
        <w:sz w:val="18"/>
        <w:szCs w:val="18"/>
        <w:rtl/>
      </w:rPr>
    </w:pPr>
    <w:r>
      <w:rPr>
        <w:rFonts w:ascii="Tahoma" w:hAnsi="Tahoma" w:cs="Tahoma"/>
        <w:noProof/>
        <w:sz w:val="18"/>
        <w:szCs w:val="18"/>
        <w:rtl/>
        <w:lang w:val="he-IL"/>
      </w:rPr>
      <mc:AlternateContent>
        <mc:Choice Requires="wps">
          <w:drawing>
            <wp:anchor distT="0" distB="0" distL="114300" distR="114300" simplePos="0" relativeHeight="251658240" behindDoc="0" locked="0" layoutInCell="1" allowOverlap="1">
              <wp:simplePos x="0" y="0"/>
              <wp:positionH relativeFrom="column">
                <wp:posOffset>4462599</wp:posOffset>
              </wp:positionH>
              <wp:positionV relativeFrom="paragraph">
                <wp:posOffset>172811</wp:posOffset>
              </wp:positionV>
              <wp:extent cx="857250" cy="351064"/>
              <wp:effectExtent l="12700" t="12700" r="19050" b="17780"/>
              <wp:wrapNone/>
              <wp:docPr id="2098659192"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857250" cy="3510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2049" style="width:67.5pt;height:27.65pt;margin-top:13.6pt;margin-left:351.4pt;mso-wrap-distance-bottom:0;mso-wrap-distance-left:9pt;mso-wrap-distance-right:9pt;mso-wrap-distance-top:0;mso-wrap-style:square;position:absolute;visibility:visible;v-text-anchor:middle;z-index:251659264" fillcolor="white" strokecolor="white" strokeweight="2pt"/>
          </w:pict>
        </mc:Fallback>
      </mc:AlternateContent>
    </w:r>
  </w:p>
  <w:p w:rsidR="00D12792" w:rsidP="00C00262" w14:paraId="0B6C571A"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12792" w:rsidRPr="00A0272B" w:rsidP="00A0272B" w14:paraId="56563B1D" w14:textId="7777777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P="00A0272B" w14:paraId="775442AC" w14:textId="77777777">
    <w:pPr>
      <w:pStyle w:val="Footer"/>
      <w:spacing w:after="120" w:line="312" w:lineRule="auto"/>
      <w:ind w:right="-567"/>
      <w:jc w:val="right"/>
      <w:rPr>
        <w:rFonts w:ascii="Tahoma" w:hAnsi="Tahoma" w:cs="Tahoma"/>
        <w:sz w:val="18"/>
        <w:szCs w:val="18"/>
        <w:rtl/>
      </w:rPr>
    </w:pPr>
  </w:p>
  <w:p w:rsidR="00D12792" w:rsidP="00C00262" w14:paraId="768EB2AC"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D12792" w:rsidRPr="00A0272B" w:rsidP="00A0272B" w14:paraId="5B6969CB" w14:textId="77777777">
    <w:pPr>
      <w:pStyle w:val="Footer"/>
      <w:rPr>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46C" w:rsidP="00E0446C" w14:paraId="2E0A8F5F" w14:textId="73A2F3A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00C158FE">
      <w:rPr>
        <w:rFonts w:ascii="Tahoma" w:hAnsi="Tahoma" w:cs="Tahoma"/>
        <w:sz w:val="18"/>
        <w:szCs w:val="18"/>
      </w:rPr>
      <w:t>5</w:t>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12792" w:rsidRPr="00870DCF" w:rsidP="00870DCF" w14:paraId="12C827B4" w14:textId="78BBA170">
    <w:pPr>
      <w:pStyle w:val="Footer"/>
      <w:spacing w:after="120" w:line="312" w:lineRule="auto"/>
      <w:ind w:right="-737"/>
      <w:jc w:val="right"/>
      <w:rPr>
        <w:rFonts w:ascii="Tahoma" w:hAnsi="Tahoma" w:cs="Tahom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46C" w:rsidP="00E0446C" w14:paraId="18E72760" w14:textId="02CC3EA9">
    <w:pPr>
      <w:pStyle w:val="Footer"/>
      <w:bidi w:val="0"/>
      <w:spacing w:after="120" w:line="312" w:lineRule="auto"/>
      <w:ind w:left="-680"/>
      <w:jc w:val="left"/>
      <w:rPr>
        <w:rFonts w:ascii="Tahoma" w:hAnsi="Tahoma" w:cs="Tahoma"/>
        <w:color w:val="004E6C"/>
        <w:sz w:val="18"/>
        <w:szCs w:val="18"/>
        <w:rtl/>
      </w:rPr>
    </w:pPr>
    <w:r>
      <w:rPr>
        <w:rFonts w:ascii="Tahoma" w:hAnsi="Tahoma" w:cs="Tahoma"/>
        <w:noProof/>
        <w:sz w:val="18"/>
        <w:szCs w:val="18"/>
      </w:rPr>
      <mc:AlternateContent>
        <mc:Choice Requires="wps">
          <w:drawing>
            <wp:anchor distT="0" distB="0" distL="114300" distR="114300" simplePos="0" relativeHeight="251660288" behindDoc="0" locked="0" layoutInCell="1" allowOverlap="1">
              <wp:simplePos x="0" y="0"/>
              <wp:positionH relativeFrom="column">
                <wp:posOffset>-582930</wp:posOffset>
              </wp:positionH>
              <wp:positionV relativeFrom="paragraph">
                <wp:posOffset>-91077</wp:posOffset>
              </wp:positionV>
              <wp:extent cx="759279" cy="367393"/>
              <wp:effectExtent l="12700" t="12700" r="15875" b="13970"/>
              <wp:wrapNone/>
              <wp:docPr id="1459983126"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759279" cy="36739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2056" style="width:59.8pt;height:28.95pt;margin-top:-7.15pt;margin-left:-45.9pt;mso-wrap-distance-bottom:0;mso-wrap-distance-left:9pt;mso-wrap-distance-right:9pt;mso-wrap-distance-top:0;mso-wrap-style:square;position:absolute;visibility:visible;v-text-anchor:middle;z-index:251661312" fillcolor="white" strokecolor="white" strokeweight="2pt"/>
          </w:pict>
        </mc:Fallback>
      </mc:AlternateContent>
    </w: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158FE">
      <w:rPr>
        <w:rFonts w:ascii="Tahoma" w:hAnsi="Tahoma" w:cs="Tahoma"/>
        <w:sz w:val="18"/>
        <w:szCs w:val="18"/>
      </w:rPr>
      <w:t>6</w:t>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B07B37" w14:paraId="55F954A2" w14:textId="019C4EBD">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2427C4"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3B96" w:rsidP="00DC2873" w14:paraId="30D486FD" w14:textId="77777777">
      <w:pPr>
        <w:spacing w:line="240" w:lineRule="auto"/>
        <w:jc w:val="right"/>
      </w:pPr>
      <w:r>
        <w:separator/>
      </w:r>
    </w:p>
  </w:footnote>
  <w:footnote w:type="continuationSeparator" w:id="1">
    <w:p w:rsidR="00A13B96" w:rsidP="00C23CC9" w14:paraId="3E49198F" w14:textId="77777777">
      <w:pPr>
        <w:spacing w:line="240" w:lineRule="auto"/>
      </w:pPr>
      <w:r>
        <w:continuationSeparator/>
      </w:r>
    </w:p>
    <w:p w:rsidR="00A13B96" w14:paraId="15665B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RPr="00D15500" w:rsidP="005B4811" w14:paraId="55D4C8FD" w14:textId="7B0CF846">
    <w:pPr>
      <w:pStyle w:val="Header"/>
      <w:tabs>
        <w:tab w:val="center" w:pos="457"/>
        <w:tab w:val="clear" w:pos="4153"/>
        <w:tab w:val="clear" w:pos="8306"/>
      </w:tabs>
      <w:spacing w:line="312" w:lineRule="auto"/>
      <w:jc w:val="left"/>
      <w:rPr>
        <w:rFonts w:ascii="Tahoma" w:hAnsi="Tahoma" w:cs="Tahoma"/>
        <w:color w:val="002060"/>
        <w:sz w:val="18"/>
        <w:szCs w:val="1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6E6B100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5648"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50"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9808"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F2565F" w14:paraId="5465C61E" w14:textId="1F98A94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292DE1CE">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133070</wp:posOffset>
              </wp:positionH>
              <wp:positionV relativeFrom="paragraph">
                <wp:posOffset>67310</wp:posOffset>
              </wp:positionV>
              <wp:extent cx="3047365" cy="280670"/>
              <wp:effectExtent l="0" t="0" r="635" b="444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7365" cy="280670"/>
                      </a:xfrm>
                      <a:prstGeom prst="rect">
                        <a:avLst/>
                      </a:prstGeom>
                      <a:solidFill>
                        <a:srgbClr val="FFFFFF"/>
                      </a:solidFill>
                      <a:ln w="9525">
                        <a:noFill/>
                        <a:miter lim="800000"/>
                        <a:headEnd/>
                        <a:tailEnd/>
                      </a:ln>
                    </wps:spPr>
                    <wps:txbx>
                      <w:txbxContent>
                        <w:p w:rsidR="00DA4697" w:rsidRPr="0012741E" w:rsidP="006637B9" w14:textId="2BEEAD83">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12741E" w:rsidR="009E7AA3">
                            <w:rPr>
                              <w:rFonts w:ascii="Tahoma" w:hAnsi="Tahoma" w:cs="Tahoma"/>
                              <w:color w:val="0D0D0D" w:themeColor="text1" w:themeTint="F2"/>
                              <w:sz w:val="15"/>
                              <w:szCs w:val="15"/>
                            </w:rPr>
                            <w:t>Foreword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1" type="#_x0000_t202" style="width:239.95pt;height:22.1pt;margin-top:5.3pt;margin-left:10.5pt;mso-width-percent:0;mso-width-relative:margin;mso-wrap-distance-bottom:0;mso-wrap-distance-left:9pt;mso-wrap-distance-right:9pt;mso-wrap-distance-top:0;mso-wrap-style:square;position:absolute;visibility:visible;v-text-anchor:top;z-index:251659264" stroked="f">
              <v:textbox style="mso-fit-shape-to-text:t">
                <w:txbxContent>
                  <w:p w:rsidR="00DA4697" w:rsidRPr="0012741E" w:rsidP="006637B9" w14:paraId="7647DFBB" w14:textId="2BEEAD83">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12741E" w:rsidR="009E7AA3">
                      <w:rPr>
                        <w:rFonts w:ascii="Tahoma" w:hAnsi="Tahoma" w:cs="Tahoma"/>
                        <w:color w:val="0D0D0D" w:themeColor="text1" w:themeTint="F2"/>
                        <w:sz w:val="15"/>
                        <w:szCs w:val="15"/>
                      </w:rPr>
                      <w:t>Foreword</w:t>
                    </w:r>
                  </w:p>
                </w:txbxContent>
              </v:textbox>
              <w10:wrap type="square"/>
            </v:shape>
          </w:pict>
        </mc:Fallback>
      </mc:AlternateContent>
    </w:r>
    <w:r w:rsidR="00DA079E">
      <w:rPr>
        <w:noProof/>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2" style="flip:x;mso-height-percent:0;mso-height-relative:margin;mso-width-percent:0;mso-width-relative:margin;mso-wrap-distance-bottom:0;mso-wrap-distance-left:9pt;mso-wrap-distance-right:9pt;mso-wrap-distance-top:0;mso-wrap-style:square;position:absolute;visibility:visible;z-index:251667456" from="-4.8pt,30.05pt" to="486.2pt,30.05pt" strokecolor="#0d0d0d" strokeweight="0.25pt"/>
          </w:pict>
        </mc:Fallback>
      </mc:AlternateContent>
    </w:r>
    <w:r w:rsidR="00DA079E">
      <w:rPr>
        <w:rFonts w:ascii="Tahoma" w:hAnsi="Tahoma" w:cs="Tahoma"/>
        <w:noProof/>
        <w:color w:val="002060"/>
        <w:sz w:val="18"/>
        <w:szCs w:val="18"/>
      </w:rPr>
      <w:drawing>
        <wp:anchor distT="0" distB="0" distL="114300" distR="114300" simplePos="0" relativeHeight="251677696"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0E8" w:rsidP="00B760E8" w14:paraId="166465C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510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02661434"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760E8" w:rsidRPr="00DE3ECA" w:rsidP="00B760E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3"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0352" filled="f" strokecolor="#a5a5a5" strokeweight="0.25pt">
              <v:stroke dashstyle="longDash"/>
              <v:textbox>
                <w:txbxContent>
                  <w:p w:rsidR="00B760E8" w:rsidRPr="00DE3ECA" w:rsidP="00B760E8" w14:paraId="17A9111E"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760E8" w:rsidP="00B760E8" w14:paraId="24A08F28" w14:textId="77777777">
    <w:pPr>
      <w:pStyle w:val="Header"/>
      <w:tabs>
        <w:tab w:val="left" w:pos="493"/>
        <w:tab w:val="center" w:pos="4111"/>
        <w:tab w:val="clear" w:pos="4153"/>
        <w:tab w:val="right" w:pos="7478"/>
        <w:tab w:val="right" w:pos="8222"/>
        <w:tab w:val="clear" w:pos="8306"/>
      </w:tabs>
      <w:jc w:val="left"/>
      <w:rPr>
        <w:rtl/>
      </w:rPr>
    </w:pPr>
  </w:p>
  <w:p w:rsidR="00B760E8" w:rsidP="00B760E8" w14:paraId="3EA0B68A" w14:textId="77777777">
    <w:pPr>
      <w:pStyle w:val="Header"/>
      <w:tabs>
        <w:tab w:val="left" w:pos="493"/>
        <w:tab w:val="center" w:pos="4111"/>
        <w:tab w:val="clear" w:pos="4153"/>
        <w:tab w:val="right" w:pos="7478"/>
        <w:tab w:val="right" w:pos="8222"/>
        <w:tab w:val="clear" w:pos="8306"/>
      </w:tabs>
      <w:jc w:val="left"/>
    </w:pPr>
  </w:p>
  <w:p w:rsidR="00B760E8" w:rsidP="00B760E8" w14:paraId="3687B123" w14:textId="77777777">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99200"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7884100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B760E8" w:rsidRPr="00F01BFA" w:rsidP="00B760E8" w14:textId="77777777">
                          <w:pPr>
                            <w:bidi w:val="0"/>
                            <w:jc w:val="right"/>
                            <w:rPr>
                              <w:color w:val="0D0D0D" w:themeColor="text1" w:themeTint="F2"/>
                              <w:sz w:val="16"/>
                              <w:szCs w:val="16"/>
                            </w:rPr>
                          </w:pPr>
                          <w:r w:rsidRPr="00697027">
                            <w:rPr>
                              <w:rFonts w:ascii="Tahoma" w:hAnsi="Tahoma" w:eastAsiaTheme="majorEastAsia" w:cs="Tahoma"/>
                              <w:noProof/>
                              <w:color w:val="0D0D0D" w:themeColor="text1" w:themeTint="F2"/>
                              <w:sz w:val="16"/>
                              <w:szCs w:val="16"/>
                            </w:rPr>
                            <w:t>Report of the State Comptroller of Israel</w:t>
                          </w:r>
                          <w:r>
                            <w:rPr>
                              <w:rFonts w:ascii="Tahoma" w:hAnsi="Tahoma" w:eastAsiaTheme="majorEastAsia" w:cs="Tahoma"/>
                              <w:noProof/>
                              <w:color w:val="0D0D0D" w:themeColor="text1" w:themeTint="F2"/>
                              <w:sz w:val="16"/>
                              <w:szCs w:val="16"/>
                            </w:rPr>
                            <w:t xml:space="preserve"> </w:t>
                          </w:r>
                          <w:r w:rsidRPr="00632374">
                            <w:rPr>
                              <w:rFonts w:ascii="Tahoma" w:hAnsi="Tahoma" w:eastAsiaTheme="majorEastAsia" w:cs="Tahoma"/>
                              <w:noProof/>
                              <w:color w:val="0D0D0D" w:themeColor="text1" w:themeTint="F2"/>
                              <w:sz w:val="16"/>
                              <w:szCs w:val="16"/>
                            </w:rPr>
                            <w:t>| May 202</w:t>
                          </w:r>
                          <w:r>
                            <w:rPr>
                              <w:rFonts w:ascii="Tahoma" w:hAnsi="Tahoma" w:eastAsiaTheme="majorEastAsia" w:cs="Tahoma" w:hint="cs"/>
                              <w:noProof/>
                              <w:color w:val="0D0D0D" w:themeColor="text1" w:themeTint="F2"/>
                              <w:sz w:val="16"/>
                              <w:szCs w:val="16"/>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B760E8" w:rsidRPr="00F01BFA" w:rsidP="00B760E8" w14:paraId="4C027C39" w14:textId="77777777">
                    <w:pPr>
                      <w:bidi w:val="0"/>
                      <w:jc w:val="right"/>
                      <w:rPr>
                        <w:color w:val="0D0D0D" w:themeColor="text1" w:themeTint="F2"/>
                        <w:sz w:val="16"/>
                        <w:szCs w:val="16"/>
                      </w:rPr>
                    </w:pPr>
                    <w:r w:rsidRPr="00697027">
                      <w:rPr>
                        <w:rFonts w:ascii="Tahoma" w:hAnsi="Tahoma" w:eastAsiaTheme="majorEastAsia" w:cs="Tahoma"/>
                        <w:noProof/>
                        <w:color w:val="0D0D0D" w:themeColor="text1" w:themeTint="F2"/>
                        <w:sz w:val="16"/>
                        <w:szCs w:val="16"/>
                      </w:rPr>
                      <w:t>Report of the State Comptroller of Israel</w:t>
                    </w:r>
                    <w:r>
                      <w:rPr>
                        <w:rFonts w:ascii="Tahoma" w:hAnsi="Tahoma" w:eastAsiaTheme="majorEastAsia" w:cs="Tahoma"/>
                        <w:noProof/>
                        <w:color w:val="0D0D0D" w:themeColor="text1" w:themeTint="F2"/>
                        <w:sz w:val="16"/>
                        <w:szCs w:val="16"/>
                      </w:rPr>
                      <w:t xml:space="preserve"> </w:t>
                    </w:r>
                    <w:r w:rsidRPr="00632374">
                      <w:rPr>
                        <w:rFonts w:ascii="Tahoma" w:hAnsi="Tahoma" w:eastAsiaTheme="majorEastAsia" w:cs="Tahoma"/>
                        <w:noProof/>
                        <w:color w:val="0D0D0D" w:themeColor="text1" w:themeTint="F2"/>
                        <w:sz w:val="16"/>
                        <w:szCs w:val="16"/>
                      </w:rPr>
                      <w:t>| May 202</w:t>
                    </w:r>
                    <w:r>
                      <w:rPr>
                        <w:rFonts w:ascii="Tahoma" w:hAnsi="Tahoma" w:eastAsiaTheme="majorEastAsia" w:cs="Tahoma" w:hint="cs"/>
                        <w:noProof/>
                        <w:color w:val="0D0D0D" w:themeColor="text1" w:themeTint="F2"/>
                        <w:sz w:val="16"/>
                        <w:szCs w:val="16"/>
                        <w:rtl/>
                      </w:rPr>
                      <w:t>3</w:t>
                    </w:r>
                  </w:p>
                </w:txbxContent>
              </v:textbox>
            </v:shape>
          </w:pict>
        </mc:Fallback>
      </mc:AlternateContent>
    </w:r>
  </w:p>
  <w:p w:rsidR="00DA4697" w:rsidRPr="00B760E8" w:rsidP="00B760E8" w14:paraId="7C0E7E90" w14:textId="2CDEDE22">
    <w:pPr>
      <w:pStyle w:val="Header"/>
      <w:rPr>
        <w:rtl/>
      </w:rPr>
    </w:pP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1567275196" name="Picture 3"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75196" name="Picture 3"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97152"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784088220"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5" style="flip:x;mso-height-percent:0;mso-height-relative:margin;mso-width-percent:0;mso-width-relative:margin;mso-wrap-distance-bottom:0;mso-wrap-distance-left:9pt;mso-wrap-distance-right:9pt;mso-wrap-distance-top:0;mso-wrap-style:square;position:absolute;visibility:visible;z-index:251698176" from="-410.6pt,23.3pt" to="388.05pt,23.3pt" strokecolor="#0d0d0d" strokeweight="0.25pt"/>
          </w:pict>
        </mc:Fallback>
      </mc:AlternateContent>
    </w:r>
    <w:r w:rsidRPr="00A63A3A">
      <w:rPr>
        <w:noProof/>
        <w:szCs w:val="20"/>
        <w:rtl/>
      </w:rPr>
      <w:drawing>
        <wp:anchor distT="0" distB="0" distL="114300" distR="114300" simplePos="0" relativeHeight="251701248"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1793541717" name="Picture 3"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41717" name="Picture 3"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3A" w:rsidP="00A63A3A" w14:paraId="3011010F" w14:textId="0BD51AD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63A3A" w:rsidRPr="00DE3ECA" w:rsidP="00A63A3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A63A3A" w:rsidRPr="00DE3ECA" w:rsidP="00A63A3A" w14:paraId="6281FE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63A3A" w:rsidP="00A63A3A" w14:paraId="17626F3F" w14:textId="0FDC222B">
    <w:pPr>
      <w:pStyle w:val="Header"/>
      <w:tabs>
        <w:tab w:val="left" w:pos="493"/>
        <w:tab w:val="center" w:pos="4111"/>
        <w:tab w:val="clear" w:pos="4153"/>
        <w:tab w:val="right" w:pos="7478"/>
        <w:tab w:val="right" w:pos="8222"/>
        <w:tab w:val="clear" w:pos="8306"/>
      </w:tabs>
      <w:jc w:val="left"/>
      <w:rPr>
        <w:rtl/>
      </w:rPr>
    </w:pPr>
  </w:p>
  <w:p w:rsidR="00A63A3A" w:rsidP="00A63A3A" w14:paraId="365292B6" w14:textId="7894F2B4">
    <w:pPr>
      <w:pStyle w:val="Header"/>
      <w:tabs>
        <w:tab w:val="left" w:pos="493"/>
        <w:tab w:val="center" w:pos="4111"/>
        <w:tab w:val="clear" w:pos="4153"/>
        <w:tab w:val="right" w:pos="7478"/>
        <w:tab w:val="right" w:pos="8222"/>
        <w:tab w:val="clear" w:pos="8306"/>
      </w:tabs>
      <w:jc w:val="left"/>
    </w:pPr>
  </w:p>
  <w:p w:rsidR="00A63A3A" w:rsidP="00A63A3A" w14:paraId="08A56AD5" w14:textId="71260E3B">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82816"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A63A3A" w:rsidRPr="00F01BFA" w:rsidP="00A63A3A" w14:textId="36B8B6A3">
                          <w:pPr>
                            <w:bidi w:val="0"/>
                            <w:jc w:val="right"/>
                            <w:rPr>
                              <w:color w:val="0D0D0D" w:themeColor="text1" w:themeTint="F2"/>
                              <w:sz w:val="16"/>
                              <w:szCs w:val="16"/>
                            </w:rPr>
                          </w:pPr>
                          <w:r w:rsidRPr="00697027">
                            <w:rPr>
                              <w:rFonts w:ascii="Tahoma" w:hAnsi="Tahoma" w:eastAsiaTheme="majorEastAsia" w:cs="Tahoma"/>
                              <w:noProof/>
                              <w:color w:val="0D0D0D" w:themeColor="text1" w:themeTint="F2"/>
                              <w:sz w:val="16"/>
                              <w:szCs w:val="16"/>
                            </w:rPr>
                            <w:t>Report of the State Comptroller of Israel</w:t>
                          </w:r>
                          <w:r>
                            <w:rPr>
                              <w:rFonts w:ascii="Tahoma" w:hAnsi="Tahoma" w:eastAsiaTheme="majorEastAsia" w:cs="Tahoma"/>
                              <w:noProof/>
                              <w:color w:val="0D0D0D" w:themeColor="text1" w:themeTint="F2"/>
                              <w:sz w:val="16"/>
                              <w:szCs w:val="16"/>
                            </w:rPr>
                            <w:t xml:space="preserve"> </w:t>
                          </w:r>
                          <w:r w:rsidRPr="00632374" w:rsidR="00565745">
                            <w:rPr>
                              <w:rFonts w:ascii="Tahoma" w:hAnsi="Tahoma" w:eastAsiaTheme="majorEastAsia" w:cs="Tahoma"/>
                              <w:noProof/>
                              <w:color w:val="0D0D0D" w:themeColor="text1" w:themeTint="F2"/>
                              <w:sz w:val="16"/>
                              <w:szCs w:val="16"/>
                            </w:rPr>
                            <w:t>| May 202</w:t>
                          </w:r>
                          <w:r w:rsidR="00565745">
                            <w:rPr>
                              <w:rFonts w:ascii="Tahoma" w:hAnsi="Tahoma" w:eastAsiaTheme="majorEastAsia" w:cs="Tahoma" w:hint="cs"/>
                              <w:noProof/>
                              <w:color w:val="0D0D0D" w:themeColor="text1" w:themeTint="F2"/>
                              <w:sz w:val="16"/>
                              <w:szCs w:val="16"/>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A63A3A" w:rsidRPr="00F01BFA" w:rsidP="00A63A3A" w14:paraId="7CCEAB29" w14:textId="36B8B6A3">
                    <w:pPr>
                      <w:bidi w:val="0"/>
                      <w:jc w:val="right"/>
                      <w:rPr>
                        <w:color w:val="0D0D0D" w:themeColor="text1" w:themeTint="F2"/>
                        <w:sz w:val="16"/>
                        <w:szCs w:val="16"/>
                      </w:rPr>
                    </w:pPr>
                    <w:r w:rsidRPr="00697027">
                      <w:rPr>
                        <w:rFonts w:ascii="Tahoma" w:hAnsi="Tahoma" w:eastAsiaTheme="majorEastAsia" w:cs="Tahoma"/>
                        <w:noProof/>
                        <w:color w:val="0D0D0D" w:themeColor="text1" w:themeTint="F2"/>
                        <w:sz w:val="16"/>
                        <w:szCs w:val="16"/>
                      </w:rPr>
                      <w:t>Report of the State Comptroller of Israel</w:t>
                    </w:r>
                    <w:r>
                      <w:rPr>
                        <w:rFonts w:ascii="Tahoma" w:hAnsi="Tahoma" w:eastAsiaTheme="majorEastAsia" w:cs="Tahoma"/>
                        <w:noProof/>
                        <w:color w:val="0D0D0D" w:themeColor="text1" w:themeTint="F2"/>
                        <w:sz w:val="16"/>
                        <w:szCs w:val="16"/>
                      </w:rPr>
                      <w:t xml:space="preserve"> </w:t>
                    </w:r>
                    <w:r w:rsidRPr="00632374" w:rsidR="00565745">
                      <w:rPr>
                        <w:rFonts w:ascii="Tahoma" w:hAnsi="Tahoma" w:eastAsiaTheme="majorEastAsia" w:cs="Tahoma"/>
                        <w:noProof/>
                        <w:color w:val="0D0D0D" w:themeColor="text1" w:themeTint="F2"/>
                        <w:sz w:val="16"/>
                        <w:szCs w:val="16"/>
                      </w:rPr>
                      <w:t>| May 202</w:t>
                    </w:r>
                    <w:r w:rsidR="00565745">
                      <w:rPr>
                        <w:rFonts w:ascii="Tahoma" w:hAnsi="Tahoma" w:eastAsiaTheme="majorEastAsia" w:cs="Tahoma" w:hint="cs"/>
                        <w:noProof/>
                        <w:color w:val="0D0D0D" w:themeColor="text1" w:themeTint="F2"/>
                        <w:sz w:val="16"/>
                        <w:szCs w:val="16"/>
                        <w:rtl/>
                      </w:rPr>
                      <w:t>3</w:t>
                    </w:r>
                  </w:p>
                </w:txbxContent>
              </v:textbox>
            </v:shape>
          </w:pict>
        </mc:Fallback>
      </mc:AlternateContent>
    </w:r>
  </w:p>
  <w:p w:rsidR="00A76E5A" w:rsidRPr="00A63A3A" w:rsidP="00A63A3A" w14:paraId="767AEAC6" w14:textId="0BE5276C">
    <w:pPr>
      <w:pStyle w:val="Header"/>
    </w:pPr>
    <w:r>
      <w:rPr>
        <w:rFonts w:ascii="Tahoma" w:hAnsi="Tahoma" w:cs="Tahoma"/>
        <w:noProof/>
        <w:sz w:val="22"/>
        <w:szCs w:val="22"/>
        <w:rtl/>
        <w:lang w:val="he-IL"/>
      </w:rPr>
      <w:drawing>
        <wp:anchor distT="0" distB="0" distL="114300" distR="114300" simplePos="0" relativeHeight="251685888"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80768"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1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9" style="flip:x;mso-height-percent:0;mso-height-relative:margin;mso-width-percent:0;mso-width-relative:margin;mso-wrap-distance-bottom:0;mso-wrap-distance-left:9pt;mso-wrap-distance-right:9pt;mso-wrap-distance-top:0;mso-wrap-style:square;position:absolute;visibility:visible;z-index:251681792" from="-410.6pt,23.3pt" to="388.05pt,23.3pt" strokecolor="#0d0d0d" strokeweight="0.25pt"/>
          </w:pict>
        </mc:Fallback>
      </mc:AlternateContent>
    </w:r>
    <w:r w:rsidRPr="00A63A3A">
      <w:rPr>
        <w:noProof/>
        <w:szCs w:val="20"/>
        <w:rtl/>
      </w:rPr>
      <w:drawing>
        <wp:anchor distT="0" distB="0" distL="114300" distR="114300" simplePos="0" relativeHeight="251684864"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B4B" w:rsidP="001526AC" w14:paraId="27EB38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05277098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E3B4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BE3B4B" w:rsidRPr="00DE3ECA" w:rsidP="006E67D8" w14:paraId="3346CE3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E3B4B" w:rsidP="001526AC" w14:paraId="05EC28DE" w14:textId="77777777">
    <w:pPr>
      <w:pStyle w:val="Header"/>
      <w:tabs>
        <w:tab w:val="left" w:pos="493"/>
        <w:tab w:val="center" w:pos="4111"/>
        <w:tab w:val="clear" w:pos="4153"/>
        <w:tab w:val="right" w:pos="7478"/>
        <w:tab w:val="right" w:pos="8222"/>
        <w:tab w:val="clear" w:pos="8306"/>
      </w:tabs>
      <w:jc w:val="left"/>
      <w:rPr>
        <w:rtl/>
      </w:rPr>
    </w:pPr>
  </w:p>
  <w:p w:rsidR="00BE3B4B" w:rsidP="00005B23" w14:paraId="4FE87256" w14:textId="002E8DC7">
    <w:pPr>
      <w:pStyle w:val="Header"/>
      <w:tabs>
        <w:tab w:val="left" w:pos="493"/>
        <w:tab w:val="center" w:pos="4111"/>
        <w:tab w:val="clear" w:pos="4153"/>
        <w:tab w:val="right" w:pos="7478"/>
        <w:tab w:val="right" w:pos="8222"/>
        <w:tab w:val="clear" w:pos="8306"/>
      </w:tabs>
      <w:jc w:val="left"/>
      <w:rPr>
        <w:rtl/>
      </w:rPr>
    </w:pPr>
  </w:p>
  <w:p w:rsidR="00BE3B4B" w:rsidRPr="001526AC" w:rsidP="00005B23" w14:paraId="23773518" w14:textId="23183E45">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1008"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2052770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BE3B4B" w:rsidRPr="00A4133B" w:rsidP="00BE3B4B" w14:textId="00882DCC">
                          <w:pPr>
                            <w:bidi w:val="0"/>
                            <w:jc w:val="right"/>
                            <w:rPr>
                              <w:color w:val="0D0D0D" w:themeColor="text1" w:themeTint="F2"/>
                              <w:sz w:val="16"/>
                              <w:szCs w:val="16"/>
                            </w:rPr>
                          </w:pPr>
                          <w:r w:rsidRPr="00B760E8">
                            <w:rPr>
                              <w:rFonts w:ascii="Tahoma" w:hAnsi="Tahoma" w:eastAsiaTheme="majorEastAsia" w:cs="Tahoma"/>
                              <w:noProof/>
                              <w:color w:val="0D0D0D" w:themeColor="text1" w:themeTint="F2"/>
                              <w:sz w:val="16"/>
                              <w:szCs w:val="16"/>
                            </w:rPr>
                            <w:t>Report of the State Comptroller of Israel</w:t>
                          </w:r>
                          <w:r>
                            <w:rPr>
                              <w:rFonts w:ascii="Tahoma" w:hAnsi="Tahoma" w:eastAsiaTheme="majorEastAsia" w:cs="Tahoma"/>
                              <w:noProof/>
                              <w:color w:val="0D0D0D" w:themeColor="text1" w:themeTint="F2"/>
                              <w:sz w:val="16"/>
                              <w:szCs w:val="16"/>
                            </w:rPr>
                            <w:t xml:space="preserve"> </w:t>
                          </w:r>
                          <w:r w:rsidRPr="00632374" w:rsidR="00565745">
                            <w:rPr>
                              <w:rFonts w:ascii="Tahoma" w:hAnsi="Tahoma" w:eastAsiaTheme="majorEastAsia" w:cs="Tahoma"/>
                              <w:noProof/>
                              <w:color w:val="0D0D0D" w:themeColor="text1" w:themeTint="F2"/>
                              <w:sz w:val="16"/>
                              <w:szCs w:val="16"/>
                            </w:rPr>
                            <w:t>| May 202</w:t>
                          </w:r>
                          <w:r w:rsidR="00565745">
                            <w:rPr>
                              <w:rFonts w:ascii="Tahoma" w:hAnsi="Tahoma" w:eastAsiaTheme="majorEastAsia" w:cs="Tahoma" w:hint="cs"/>
                              <w:noProof/>
                              <w:color w:val="0D0D0D" w:themeColor="text1" w:themeTint="F2"/>
                              <w:sz w:val="16"/>
                              <w:szCs w:val="16"/>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BE3B4B" w:rsidRPr="00A4133B" w:rsidP="00BE3B4B" w14:paraId="49DA2D2E" w14:textId="00882DCC">
                    <w:pPr>
                      <w:bidi w:val="0"/>
                      <w:jc w:val="right"/>
                      <w:rPr>
                        <w:color w:val="0D0D0D" w:themeColor="text1" w:themeTint="F2"/>
                        <w:sz w:val="16"/>
                        <w:szCs w:val="16"/>
                      </w:rPr>
                    </w:pPr>
                    <w:r w:rsidRPr="00B760E8">
                      <w:rPr>
                        <w:rFonts w:ascii="Tahoma" w:hAnsi="Tahoma" w:eastAsiaTheme="majorEastAsia" w:cs="Tahoma"/>
                        <w:noProof/>
                        <w:color w:val="0D0D0D" w:themeColor="text1" w:themeTint="F2"/>
                        <w:sz w:val="16"/>
                        <w:szCs w:val="16"/>
                      </w:rPr>
                      <w:t>Report of the State Comptroller of Israel</w:t>
                    </w:r>
                    <w:r>
                      <w:rPr>
                        <w:rFonts w:ascii="Tahoma" w:hAnsi="Tahoma" w:eastAsiaTheme="majorEastAsia" w:cs="Tahoma"/>
                        <w:noProof/>
                        <w:color w:val="0D0D0D" w:themeColor="text1" w:themeTint="F2"/>
                        <w:sz w:val="16"/>
                        <w:szCs w:val="16"/>
                      </w:rPr>
                      <w:t xml:space="preserve"> </w:t>
                    </w:r>
                    <w:r w:rsidRPr="00632374" w:rsidR="00565745">
                      <w:rPr>
                        <w:rFonts w:ascii="Tahoma" w:hAnsi="Tahoma" w:eastAsiaTheme="majorEastAsia" w:cs="Tahoma"/>
                        <w:noProof/>
                        <w:color w:val="0D0D0D" w:themeColor="text1" w:themeTint="F2"/>
                        <w:sz w:val="16"/>
                        <w:szCs w:val="16"/>
                      </w:rPr>
                      <w:t>| May 202</w:t>
                    </w:r>
                    <w:r w:rsidR="00565745">
                      <w:rPr>
                        <w:rFonts w:ascii="Tahoma" w:hAnsi="Tahoma" w:eastAsiaTheme="majorEastAsia" w:cs="Tahoma" w:hint="cs"/>
                        <w:noProof/>
                        <w:color w:val="0D0D0D" w:themeColor="text1" w:themeTint="F2"/>
                        <w:sz w:val="16"/>
                        <w:szCs w:val="16"/>
                        <w:rtl/>
                      </w:rPr>
                      <w:t>3</w:t>
                    </w:r>
                  </w:p>
                </w:txbxContent>
              </v:textbox>
            </v:shape>
          </w:pict>
        </mc:Fallback>
      </mc:AlternateContent>
    </w: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2052770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693056"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205277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05277099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2" style="flip:x;mso-height-percent:0;mso-height-relative:margin;mso-width-percent:0;mso-width-relative:margin;mso-wrap-distance-bottom:0;mso-wrap-distance-left:9pt;mso-wrap-distance-right:9pt;mso-wrap-distance-top:0;mso-wrap-style:square;position:absolute;visibility:visible;z-index:251687936" from="-229.2pt,38.7pt" to="370.85pt,38.7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63"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4"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8"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5"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70528"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6"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72576"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67" style="flip:x;mso-height-percent:0;mso-height-relative:margin;mso-width-percent:0;mso-width-relative:margin;mso-wrap-distance-bottom:0;mso-wrap-distance-left:9pt;mso-wrap-distance-right:9pt;mso-wrap-distance-top:0;mso-wrap-style:square;position:absolute;visibility:visible;z-index:251669504"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01D68"/>
    <w:multiLevelType w:val="hybridMultilevel"/>
    <w:tmpl w:val="BD04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9E552A"/>
    <w:multiLevelType w:val="hybridMultilevel"/>
    <w:tmpl w:val="E2B4A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2821105"/>
    <w:multiLevelType w:val="hybridMultilevel"/>
    <w:tmpl w:val="5414E7D6"/>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777D407F"/>
    <w:multiLevelType w:val="hybridMultilevel"/>
    <w:tmpl w:val="31B68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8570223"/>
    <w:multiLevelType w:val="hybridMultilevel"/>
    <w:tmpl w:val="5502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3"/>
  </w:num>
  <w:num w:numId="3">
    <w:abstractNumId w:val="20"/>
  </w:num>
  <w:num w:numId="4">
    <w:abstractNumId w:val="16"/>
  </w:num>
  <w:num w:numId="5">
    <w:abstractNumId w:val="10"/>
  </w:num>
  <w:num w:numId="6">
    <w:abstractNumId w:val="12"/>
  </w:num>
  <w:num w:numId="7">
    <w:abstractNumId w:val="25"/>
  </w:num>
  <w:num w:numId="8">
    <w:abstractNumId w:val="0"/>
  </w:num>
  <w:num w:numId="9">
    <w:abstractNumId w:val="14"/>
  </w:num>
  <w:num w:numId="10">
    <w:abstractNumId w:val="3"/>
  </w:num>
  <w:num w:numId="11">
    <w:abstractNumId w:val="17"/>
  </w:num>
  <w:num w:numId="12">
    <w:abstractNumId w:val="2"/>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num>
  <w:num w:numId="29">
    <w:abstractNumId w:val="5"/>
  </w:num>
  <w:num w:numId="30">
    <w:abstractNumId w:val="23"/>
  </w:num>
  <w:num w:numId="31">
    <w:abstractNumId w:val="24"/>
  </w:num>
  <w:num w:numId="32">
    <w:abstractNumId w:val="9"/>
  </w:num>
  <w:num w:numId="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C40"/>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492"/>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0441"/>
    <w:rsid w:val="000615B4"/>
    <w:rsid w:val="00061760"/>
    <w:rsid w:val="0006189A"/>
    <w:rsid w:val="000618D0"/>
    <w:rsid w:val="00061D7A"/>
    <w:rsid w:val="00063297"/>
    <w:rsid w:val="00063A11"/>
    <w:rsid w:val="00064016"/>
    <w:rsid w:val="0006411D"/>
    <w:rsid w:val="0006445C"/>
    <w:rsid w:val="0006456C"/>
    <w:rsid w:val="00064637"/>
    <w:rsid w:val="00066628"/>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692"/>
    <w:rsid w:val="00083FD0"/>
    <w:rsid w:val="00084E3A"/>
    <w:rsid w:val="00085086"/>
    <w:rsid w:val="00085A22"/>
    <w:rsid w:val="00085B99"/>
    <w:rsid w:val="00086221"/>
    <w:rsid w:val="0008669B"/>
    <w:rsid w:val="00086738"/>
    <w:rsid w:val="00086BCD"/>
    <w:rsid w:val="00090633"/>
    <w:rsid w:val="000907D0"/>
    <w:rsid w:val="00091811"/>
    <w:rsid w:val="00091A72"/>
    <w:rsid w:val="00093E30"/>
    <w:rsid w:val="0009432F"/>
    <w:rsid w:val="00094D5D"/>
    <w:rsid w:val="00094F15"/>
    <w:rsid w:val="0009524E"/>
    <w:rsid w:val="0009559D"/>
    <w:rsid w:val="0009573B"/>
    <w:rsid w:val="00096CF4"/>
    <w:rsid w:val="00096EEC"/>
    <w:rsid w:val="000971EF"/>
    <w:rsid w:val="00097CDE"/>
    <w:rsid w:val="000A00AE"/>
    <w:rsid w:val="000A01F2"/>
    <w:rsid w:val="000A0884"/>
    <w:rsid w:val="000A0915"/>
    <w:rsid w:val="000A134E"/>
    <w:rsid w:val="000A15B1"/>
    <w:rsid w:val="000A1610"/>
    <w:rsid w:val="000A1B28"/>
    <w:rsid w:val="000A26F1"/>
    <w:rsid w:val="000A2BD8"/>
    <w:rsid w:val="000A3690"/>
    <w:rsid w:val="000A43A6"/>
    <w:rsid w:val="000A4686"/>
    <w:rsid w:val="000A5140"/>
    <w:rsid w:val="000A567C"/>
    <w:rsid w:val="000A5B75"/>
    <w:rsid w:val="000A65A9"/>
    <w:rsid w:val="000A69A7"/>
    <w:rsid w:val="000A7D65"/>
    <w:rsid w:val="000B1102"/>
    <w:rsid w:val="000B153C"/>
    <w:rsid w:val="000B1C94"/>
    <w:rsid w:val="000B1E4B"/>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95"/>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3B0"/>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074D"/>
    <w:rsid w:val="0011146E"/>
    <w:rsid w:val="00111AD4"/>
    <w:rsid w:val="00111CA0"/>
    <w:rsid w:val="00111F8A"/>
    <w:rsid w:val="00112134"/>
    <w:rsid w:val="00112923"/>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054"/>
    <w:rsid w:val="001239A8"/>
    <w:rsid w:val="001239E1"/>
    <w:rsid w:val="001243A4"/>
    <w:rsid w:val="001247BA"/>
    <w:rsid w:val="00124DC1"/>
    <w:rsid w:val="00125628"/>
    <w:rsid w:val="00125881"/>
    <w:rsid w:val="0012741E"/>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3"/>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47ED0"/>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8E3"/>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1F81"/>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604"/>
    <w:rsid w:val="001839FA"/>
    <w:rsid w:val="00183DDC"/>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1E88"/>
    <w:rsid w:val="001A2081"/>
    <w:rsid w:val="001A2A50"/>
    <w:rsid w:val="001A2F88"/>
    <w:rsid w:val="001A325B"/>
    <w:rsid w:val="001A38A7"/>
    <w:rsid w:val="001A3974"/>
    <w:rsid w:val="001A40B6"/>
    <w:rsid w:val="001A5D04"/>
    <w:rsid w:val="001A613C"/>
    <w:rsid w:val="001A6276"/>
    <w:rsid w:val="001A72F6"/>
    <w:rsid w:val="001A7D06"/>
    <w:rsid w:val="001B1655"/>
    <w:rsid w:val="001B17FB"/>
    <w:rsid w:val="001B2821"/>
    <w:rsid w:val="001B285C"/>
    <w:rsid w:val="001B2ACB"/>
    <w:rsid w:val="001B2C49"/>
    <w:rsid w:val="001B2D16"/>
    <w:rsid w:val="001B2DBB"/>
    <w:rsid w:val="001B3BE6"/>
    <w:rsid w:val="001B3EFA"/>
    <w:rsid w:val="001B41A2"/>
    <w:rsid w:val="001B4B0A"/>
    <w:rsid w:val="001B4E87"/>
    <w:rsid w:val="001B4EA7"/>
    <w:rsid w:val="001B51FB"/>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06EC"/>
    <w:rsid w:val="001D1192"/>
    <w:rsid w:val="001D149A"/>
    <w:rsid w:val="001D223A"/>
    <w:rsid w:val="001D2243"/>
    <w:rsid w:val="001D2793"/>
    <w:rsid w:val="001D2F2A"/>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081"/>
    <w:rsid w:val="00205724"/>
    <w:rsid w:val="002064F7"/>
    <w:rsid w:val="00206509"/>
    <w:rsid w:val="00206BDB"/>
    <w:rsid w:val="0021058F"/>
    <w:rsid w:val="0021135F"/>
    <w:rsid w:val="0021150C"/>
    <w:rsid w:val="002120DB"/>
    <w:rsid w:val="002127FD"/>
    <w:rsid w:val="00212904"/>
    <w:rsid w:val="00212B04"/>
    <w:rsid w:val="00212EEA"/>
    <w:rsid w:val="002130B4"/>
    <w:rsid w:val="00213826"/>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CD0"/>
    <w:rsid w:val="00227E88"/>
    <w:rsid w:val="0023004B"/>
    <w:rsid w:val="002301B6"/>
    <w:rsid w:val="00230B94"/>
    <w:rsid w:val="00231C3C"/>
    <w:rsid w:val="00231DC5"/>
    <w:rsid w:val="00232836"/>
    <w:rsid w:val="002338F8"/>
    <w:rsid w:val="00234167"/>
    <w:rsid w:val="0023448C"/>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4C6D"/>
    <w:rsid w:val="00244C99"/>
    <w:rsid w:val="00245470"/>
    <w:rsid w:val="00246CD7"/>
    <w:rsid w:val="00247C83"/>
    <w:rsid w:val="00250370"/>
    <w:rsid w:val="0025068A"/>
    <w:rsid w:val="00250751"/>
    <w:rsid w:val="002516DF"/>
    <w:rsid w:val="00251B50"/>
    <w:rsid w:val="00254CF4"/>
    <w:rsid w:val="00255715"/>
    <w:rsid w:val="00255877"/>
    <w:rsid w:val="0025701A"/>
    <w:rsid w:val="002575ED"/>
    <w:rsid w:val="002576EB"/>
    <w:rsid w:val="002578A9"/>
    <w:rsid w:val="00260BF5"/>
    <w:rsid w:val="00260D04"/>
    <w:rsid w:val="0026130F"/>
    <w:rsid w:val="00261C84"/>
    <w:rsid w:val="00262A9E"/>
    <w:rsid w:val="002634F4"/>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81A"/>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3AD"/>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48E"/>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6EA6"/>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6AF"/>
    <w:rsid w:val="003108E3"/>
    <w:rsid w:val="00311190"/>
    <w:rsid w:val="0031135A"/>
    <w:rsid w:val="00313D58"/>
    <w:rsid w:val="00313EEC"/>
    <w:rsid w:val="00315624"/>
    <w:rsid w:val="00315BD6"/>
    <w:rsid w:val="00315D7F"/>
    <w:rsid w:val="00315FF2"/>
    <w:rsid w:val="00316385"/>
    <w:rsid w:val="00316C57"/>
    <w:rsid w:val="00316F0F"/>
    <w:rsid w:val="003177E2"/>
    <w:rsid w:val="00320B6A"/>
    <w:rsid w:val="0032289E"/>
    <w:rsid w:val="00322998"/>
    <w:rsid w:val="00322A81"/>
    <w:rsid w:val="00323027"/>
    <w:rsid w:val="0032331E"/>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3B9"/>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3E9"/>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5C7"/>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776"/>
    <w:rsid w:val="00391943"/>
    <w:rsid w:val="00391D47"/>
    <w:rsid w:val="00392578"/>
    <w:rsid w:val="003926A8"/>
    <w:rsid w:val="00392985"/>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0C22"/>
    <w:rsid w:val="003C2534"/>
    <w:rsid w:val="003C26AC"/>
    <w:rsid w:val="003C2A0B"/>
    <w:rsid w:val="003C2EC6"/>
    <w:rsid w:val="003C32FE"/>
    <w:rsid w:val="003C3358"/>
    <w:rsid w:val="003C3511"/>
    <w:rsid w:val="003C3E61"/>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EDD"/>
    <w:rsid w:val="003D6FE1"/>
    <w:rsid w:val="003D7383"/>
    <w:rsid w:val="003D7489"/>
    <w:rsid w:val="003D7A6A"/>
    <w:rsid w:val="003E000E"/>
    <w:rsid w:val="003E009E"/>
    <w:rsid w:val="003E0ABC"/>
    <w:rsid w:val="003E20EB"/>
    <w:rsid w:val="003E2333"/>
    <w:rsid w:val="003E248F"/>
    <w:rsid w:val="003E26E6"/>
    <w:rsid w:val="003E2F13"/>
    <w:rsid w:val="003E31EE"/>
    <w:rsid w:val="003E351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757"/>
    <w:rsid w:val="004029F9"/>
    <w:rsid w:val="00402DAE"/>
    <w:rsid w:val="00403271"/>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08B"/>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402"/>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5B0"/>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1C5"/>
    <w:rsid w:val="004965B9"/>
    <w:rsid w:val="00497103"/>
    <w:rsid w:val="0049732E"/>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18E"/>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2D"/>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21A"/>
    <w:rsid w:val="005019DF"/>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6EB"/>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B96"/>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035"/>
    <w:rsid w:val="00551B42"/>
    <w:rsid w:val="00551DB7"/>
    <w:rsid w:val="00553469"/>
    <w:rsid w:val="00554AAD"/>
    <w:rsid w:val="005554C5"/>
    <w:rsid w:val="005556CA"/>
    <w:rsid w:val="005559D1"/>
    <w:rsid w:val="00555CE4"/>
    <w:rsid w:val="00555D63"/>
    <w:rsid w:val="00555E7D"/>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745"/>
    <w:rsid w:val="00565966"/>
    <w:rsid w:val="00565B05"/>
    <w:rsid w:val="00565BD3"/>
    <w:rsid w:val="00565F1B"/>
    <w:rsid w:val="00566629"/>
    <w:rsid w:val="00567686"/>
    <w:rsid w:val="005676DC"/>
    <w:rsid w:val="005702C5"/>
    <w:rsid w:val="005715C9"/>
    <w:rsid w:val="00571D67"/>
    <w:rsid w:val="00572489"/>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2FF8"/>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6ED8"/>
    <w:rsid w:val="005C7994"/>
    <w:rsid w:val="005C7A15"/>
    <w:rsid w:val="005D00DB"/>
    <w:rsid w:val="005D07D2"/>
    <w:rsid w:val="005D0F46"/>
    <w:rsid w:val="005D14F8"/>
    <w:rsid w:val="005D1BB8"/>
    <w:rsid w:val="005D2577"/>
    <w:rsid w:val="005D25B7"/>
    <w:rsid w:val="005D293C"/>
    <w:rsid w:val="005D30B8"/>
    <w:rsid w:val="005D360E"/>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19"/>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374"/>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A0E"/>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6"/>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6B95"/>
    <w:rsid w:val="00677A1C"/>
    <w:rsid w:val="00677C73"/>
    <w:rsid w:val="00677F7C"/>
    <w:rsid w:val="0068074C"/>
    <w:rsid w:val="0068250F"/>
    <w:rsid w:val="006834E5"/>
    <w:rsid w:val="00683815"/>
    <w:rsid w:val="00683A28"/>
    <w:rsid w:val="00684856"/>
    <w:rsid w:val="00684959"/>
    <w:rsid w:val="00684DEA"/>
    <w:rsid w:val="006854F2"/>
    <w:rsid w:val="0068565C"/>
    <w:rsid w:val="0068620A"/>
    <w:rsid w:val="006862BE"/>
    <w:rsid w:val="00686E12"/>
    <w:rsid w:val="00690E56"/>
    <w:rsid w:val="00691B4D"/>
    <w:rsid w:val="0069249C"/>
    <w:rsid w:val="00692613"/>
    <w:rsid w:val="0069335D"/>
    <w:rsid w:val="00694C3C"/>
    <w:rsid w:val="00697027"/>
    <w:rsid w:val="00697E8B"/>
    <w:rsid w:val="00697F31"/>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067D"/>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FAE"/>
    <w:rsid w:val="006C6452"/>
    <w:rsid w:val="006C7199"/>
    <w:rsid w:val="006C7422"/>
    <w:rsid w:val="006D0087"/>
    <w:rsid w:val="006D04D2"/>
    <w:rsid w:val="006D167F"/>
    <w:rsid w:val="006D176D"/>
    <w:rsid w:val="006D280F"/>
    <w:rsid w:val="006D383A"/>
    <w:rsid w:val="006D4161"/>
    <w:rsid w:val="006D476A"/>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640"/>
    <w:rsid w:val="006E2C4B"/>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674"/>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1F3D"/>
    <w:rsid w:val="007524DB"/>
    <w:rsid w:val="007526C7"/>
    <w:rsid w:val="00753115"/>
    <w:rsid w:val="007536B9"/>
    <w:rsid w:val="00753941"/>
    <w:rsid w:val="00753A65"/>
    <w:rsid w:val="00753ADE"/>
    <w:rsid w:val="007547F1"/>
    <w:rsid w:val="00754B71"/>
    <w:rsid w:val="007551D8"/>
    <w:rsid w:val="0075625B"/>
    <w:rsid w:val="00756E3A"/>
    <w:rsid w:val="00756E55"/>
    <w:rsid w:val="0075719C"/>
    <w:rsid w:val="00757B56"/>
    <w:rsid w:val="00760B67"/>
    <w:rsid w:val="00760F3C"/>
    <w:rsid w:val="007617D1"/>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6FA"/>
    <w:rsid w:val="007E68C3"/>
    <w:rsid w:val="007E69A8"/>
    <w:rsid w:val="007E6E5C"/>
    <w:rsid w:val="007E750F"/>
    <w:rsid w:val="007E7D7C"/>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B0D"/>
    <w:rsid w:val="00806D63"/>
    <w:rsid w:val="00807409"/>
    <w:rsid w:val="0080798A"/>
    <w:rsid w:val="008102AD"/>
    <w:rsid w:val="00810FB6"/>
    <w:rsid w:val="0081167C"/>
    <w:rsid w:val="00811E96"/>
    <w:rsid w:val="00811EF6"/>
    <w:rsid w:val="0081268F"/>
    <w:rsid w:val="0081297F"/>
    <w:rsid w:val="008148B4"/>
    <w:rsid w:val="0081495F"/>
    <w:rsid w:val="00815EB6"/>
    <w:rsid w:val="0081653B"/>
    <w:rsid w:val="008166A5"/>
    <w:rsid w:val="008168F8"/>
    <w:rsid w:val="0081783D"/>
    <w:rsid w:val="00820393"/>
    <w:rsid w:val="008203CF"/>
    <w:rsid w:val="00820603"/>
    <w:rsid w:val="008233E5"/>
    <w:rsid w:val="0082350D"/>
    <w:rsid w:val="00823E80"/>
    <w:rsid w:val="00824AA0"/>
    <w:rsid w:val="00825A1B"/>
    <w:rsid w:val="00825AAA"/>
    <w:rsid w:val="0082763E"/>
    <w:rsid w:val="0083171F"/>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2AF4"/>
    <w:rsid w:val="0085318D"/>
    <w:rsid w:val="008565BC"/>
    <w:rsid w:val="00856648"/>
    <w:rsid w:val="00856A67"/>
    <w:rsid w:val="00856B26"/>
    <w:rsid w:val="00856B71"/>
    <w:rsid w:val="00856C93"/>
    <w:rsid w:val="008573F9"/>
    <w:rsid w:val="00857D59"/>
    <w:rsid w:val="00861731"/>
    <w:rsid w:val="0086190F"/>
    <w:rsid w:val="0086219D"/>
    <w:rsid w:val="00862862"/>
    <w:rsid w:val="00862898"/>
    <w:rsid w:val="00862BAF"/>
    <w:rsid w:val="00863B4F"/>
    <w:rsid w:val="00864147"/>
    <w:rsid w:val="008642D0"/>
    <w:rsid w:val="0086437F"/>
    <w:rsid w:val="0086613E"/>
    <w:rsid w:val="008676E6"/>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4B7"/>
    <w:rsid w:val="008A6E78"/>
    <w:rsid w:val="008A774D"/>
    <w:rsid w:val="008A78F7"/>
    <w:rsid w:val="008B0887"/>
    <w:rsid w:val="008B1542"/>
    <w:rsid w:val="008B17A0"/>
    <w:rsid w:val="008B1BDB"/>
    <w:rsid w:val="008B1F0F"/>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7ED"/>
    <w:rsid w:val="008E4F24"/>
    <w:rsid w:val="008E5512"/>
    <w:rsid w:val="008E555D"/>
    <w:rsid w:val="008E59C0"/>
    <w:rsid w:val="008E5F4E"/>
    <w:rsid w:val="008E6BB2"/>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6845"/>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2EEF"/>
    <w:rsid w:val="0098342A"/>
    <w:rsid w:val="00983AE1"/>
    <w:rsid w:val="00983E85"/>
    <w:rsid w:val="009848B7"/>
    <w:rsid w:val="009854B6"/>
    <w:rsid w:val="00985829"/>
    <w:rsid w:val="00985D36"/>
    <w:rsid w:val="00985DBA"/>
    <w:rsid w:val="009865D6"/>
    <w:rsid w:val="00986975"/>
    <w:rsid w:val="0098757B"/>
    <w:rsid w:val="00990506"/>
    <w:rsid w:val="00990F79"/>
    <w:rsid w:val="009910DC"/>
    <w:rsid w:val="00991584"/>
    <w:rsid w:val="009916D1"/>
    <w:rsid w:val="0099172C"/>
    <w:rsid w:val="00991B19"/>
    <w:rsid w:val="00991F23"/>
    <w:rsid w:val="00992605"/>
    <w:rsid w:val="00993599"/>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3941"/>
    <w:rsid w:val="009D55EE"/>
    <w:rsid w:val="009D5970"/>
    <w:rsid w:val="009D5C32"/>
    <w:rsid w:val="009D73F5"/>
    <w:rsid w:val="009D740A"/>
    <w:rsid w:val="009D7D93"/>
    <w:rsid w:val="009E040E"/>
    <w:rsid w:val="009E10F4"/>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3FCB"/>
    <w:rsid w:val="009F4F93"/>
    <w:rsid w:val="009F556C"/>
    <w:rsid w:val="009F711E"/>
    <w:rsid w:val="009F7F2B"/>
    <w:rsid w:val="00A0001D"/>
    <w:rsid w:val="00A01037"/>
    <w:rsid w:val="00A0119C"/>
    <w:rsid w:val="00A017D4"/>
    <w:rsid w:val="00A01C9C"/>
    <w:rsid w:val="00A01F05"/>
    <w:rsid w:val="00A0272B"/>
    <w:rsid w:val="00A0287D"/>
    <w:rsid w:val="00A03332"/>
    <w:rsid w:val="00A0369C"/>
    <w:rsid w:val="00A03771"/>
    <w:rsid w:val="00A04024"/>
    <w:rsid w:val="00A04595"/>
    <w:rsid w:val="00A0541B"/>
    <w:rsid w:val="00A06208"/>
    <w:rsid w:val="00A0628B"/>
    <w:rsid w:val="00A068D9"/>
    <w:rsid w:val="00A06EAB"/>
    <w:rsid w:val="00A06EB9"/>
    <w:rsid w:val="00A1016F"/>
    <w:rsid w:val="00A10443"/>
    <w:rsid w:val="00A10996"/>
    <w:rsid w:val="00A10B74"/>
    <w:rsid w:val="00A10C18"/>
    <w:rsid w:val="00A10EC9"/>
    <w:rsid w:val="00A11F7F"/>
    <w:rsid w:val="00A12648"/>
    <w:rsid w:val="00A136A9"/>
    <w:rsid w:val="00A13855"/>
    <w:rsid w:val="00A13B96"/>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3CD2"/>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3BA"/>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3A"/>
    <w:rsid w:val="00A63A5F"/>
    <w:rsid w:val="00A63D9A"/>
    <w:rsid w:val="00A63FAB"/>
    <w:rsid w:val="00A6458B"/>
    <w:rsid w:val="00A64688"/>
    <w:rsid w:val="00A646D6"/>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4DF1"/>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35"/>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D47"/>
    <w:rsid w:val="00AF1F48"/>
    <w:rsid w:val="00AF2612"/>
    <w:rsid w:val="00AF31CE"/>
    <w:rsid w:val="00AF3889"/>
    <w:rsid w:val="00AF39DC"/>
    <w:rsid w:val="00AF3BD3"/>
    <w:rsid w:val="00AF3F13"/>
    <w:rsid w:val="00AF3FE3"/>
    <w:rsid w:val="00AF4A53"/>
    <w:rsid w:val="00AF4F33"/>
    <w:rsid w:val="00AF52DC"/>
    <w:rsid w:val="00AF6305"/>
    <w:rsid w:val="00AF6A68"/>
    <w:rsid w:val="00AF72F9"/>
    <w:rsid w:val="00AF7ED1"/>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07B37"/>
    <w:rsid w:val="00B1077D"/>
    <w:rsid w:val="00B10841"/>
    <w:rsid w:val="00B10B1F"/>
    <w:rsid w:val="00B11176"/>
    <w:rsid w:val="00B123B7"/>
    <w:rsid w:val="00B13CB1"/>
    <w:rsid w:val="00B14BEA"/>
    <w:rsid w:val="00B15975"/>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0E8"/>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729"/>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46"/>
    <w:rsid w:val="00BB14CF"/>
    <w:rsid w:val="00BB17C8"/>
    <w:rsid w:val="00BB1CF9"/>
    <w:rsid w:val="00BB2101"/>
    <w:rsid w:val="00BB2133"/>
    <w:rsid w:val="00BB26DC"/>
    <w:rsid w:val="00BB30F3"/>
    <w:rsid w:val="00BB315F"/>
    <w:rsid w:val="00BB325E"/>
    <w:rsid w:val="00BB3C86"/>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301"/>
    <w:rsid w:val="00BC75B3"/>
    <w:rsid w:val="00BC7E15"/>
    <w:rsid w:val="00BC7E36"/>
    <w:rsid w:val="00BD020B"/>
    <w:rsid w:val="00BD09B1"/>
    <w:rsid w:val="00BD0FE8"/>
    <w:rsid w:val="00BD16D6"/>
    <w:rsid w:val="00BD1B72"/>
    <w:rsid w:val="00BD2498"/>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3B4B"/>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262"/>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8FE"/>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6C4D"/>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39FD"/>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238C"/>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4B3C"/>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792"/>
    <w:rsid w:val="00D12AD5"/>
    <w:rsid w:val="00D138B4"/>
    <w:rsid w:val="00D13D12"/>
    <w:rsid w:val="00D140C2"/>
    <w:rsid w:val="00D149DF"/>
    <w:rsid w:val="00D14E88"/>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A1F"/>
    <w:rsid w:val="00D27BED"/>
    <w:rsid w:val="00D3089C"/>
    <w:rsid w:val="00D3182A"/>
    <w:rsid w:val="00D32136"/>
    <w:rsid w:val="00D3222B"/>
    <w:rsid w:val="00D3227D"/>
    <w:rsid w:val="00D330D8"/>
    <w:rsid w:val="00D33197"/>
    <w:rsid w:val="00D33567"/>
    <w:rsid w:val="00D33738"/>
    <w:rsid w:val="00D33EEE"/>
    <w:rsid w:val="00D341A7"/>
    <w:rsid w:val="00D34B4B"/>
    <w:rsid w:val="00D35236"/>
    <w:rsid w:val="00D35305"/>
    <w:rsid w:val="00D3579C"/>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8B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0C4A"/>
    <w:rsid w:val="00D721EC"/>
    <w:rsid w:val="00D726CE"/>
    <w:rsid w:val="00D73677"/>
    <w:rsid w:val="00D73943"/>
    <w:rsid w:val="00D74912"/>
    <w:rsid w:val="00D74A6E"/>
    <w:rsid w:val="00D752E2"/>
    <w:rsid w:val="00D75805"/>
    <w:rsid w:val="00D75B50"/>
    <w:rsid w:val="00D75BE2"/>
    <w:rsid w:val="00D76480"/>
    <w:rsid w:val="00D779F7"/>
    <w:rsid w:val="00D80478"/>
    <w:rsid w:val="00D80557"/>
    <w:rsid w:val="00D80754"/>
    <w:rsid w:val="00D81F77"/>
    <w:rsid w:val="00D82F54"/>
    <w:rsid w:val="00D83026"/>
    <w:rsid w:val="00D83045"/>
    <w:rsid w:val="00D83354"/>
    <w:rsid w:val="00D844D3"/>
    <w:rsid w:val="00D857E6"/>
    <w:rsid w:val="00D85885"/>
    <w:rsid w:val="00D85F90"/>
    <w:rsid w:val="00D8653A"/>
    <w:rsid w:val="00D87160"/>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3D2"/>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99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3D20"/>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0CBD"/>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46C"/>
    <w:rsid w:val="00E049A5"/>
    <w:rsid w:val="00E051FB"/>
    <w:rsid w:val="00E056B0"/>
    <w:rsid w:val="00E05984"/>
    <w:rsid w:val="00E05C27"/>
    <w:rsid w:val="00E063DE"/>
    <w:rsid w:val="00E0671B"/>
    <w:rsid w:val="00E07453"/>
    <w:rsid w:val="00E075B4"/>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F98"/>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50"/>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6AE1"/>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8E5"/>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234"/>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5E10"/>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2DA"/>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1BFA"/>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BF6"/>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C41"/>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23A"/>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42"/>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1BFB"/>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A"/>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semiHidden/>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3">
    <w:name w:val="71ג מקרא+הערות לתרשים/לוח/תמונה Char"/>
    <w:basedOn w:val="71Char2"/>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yperlink" Target="http://www.mevaker.gov.il"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image" Target="media/image4.jpeg" /><Relationship Id="rId22" Type="http://schemas.openxmlformats.org/officeDocument/2006/relationships/header" Target="header5.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header" Target="header6.xml" /><Relationship Id="rId26" Type="http://schemas.openxmlformats.org/officeDocument/2006/relationships/footer" Target="footer7.xml" /><Relationship Id="rId27" Type="http://schemas.openxmlformats.org/officeDocument/2006/relationships/header" Target="header7.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31791E-FA10-478E-8374-4B6261675515}">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CD94F09D-0907-4C3E-BFC8-1B5E71806640}"/>
</file>

<file path=customXml/itemProps4.xml><?xml version="1.0" encoding="utf-8"?>
<ds:datastoreItem xmlns:ds="http://schemas.openxmlformats.org/officeDocument/2006/customXml" ds:itemID="{9D6F315B-2258-4D55-BE4F-1CDD553AE2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