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047E7B" w:rsidP="0001268F" w14:paraId="7990FA4C" w14:textId="6419295A">
      <w:pPr>
        <w:pStyle w:val="71316"/>
        <w:spacing w:after="360"/>
        <w:rPr>
          <w:rtl/>
        </w:rPr>
      </w:pPr>
      <w:r>
        <w:rPr>
          <w:rFonts w:hint="cs"/>
          <w:rtl/>
        </w:rPr>
        <w:t>פתח דבר</w:t>
      </w:r>
    </w:p>
    <w:p w:rsidR="00654139" w:rsidRPr="004076CC" w:rsidP="004076CC" w14:paraId="596A854D" w14:textId="77777777">
      <w:pPr>
        <w:pStyle w:val="7191"/>
        <w:spacing w:line="276" w:lineRule="auto"/>
        <w:rPr>
          <w:rtl/>
        </w:rPr>
      </w:pPr>
      <w:r w:rsidRPr="004076CC">
        <w:rPr>
          <w:b/>
          <w:bCs/>
          <w:rtl/>
        </w:rPr>
        <w:t xml:space="preserve">דוח </w:t>
      </w:r>
      <w:r w:rsidRPr="004076CC">
        <w:rPr>
          <w:rFonts w:hint="cs"/>
          <w:b/>
          <w:bCs/>
          <w:rtl/>
        </w:rPr>
        <w:t>ה</w:t>
      </w:r>
      <w:r w:rsidRPr="004076CC">
        <w:rPr>
          <w:b/>
          <w:bCs/>
          <w:rtl/>
        </w:rPr>
        <w:t xml:space="preserve">ביקורת </w:t>
      </w:r>
      <w:r w:rsidRPr="004076CC">
        <w:rPr>
          <w:rFonts w:hint="cs"/>
          <w:b/>
          <w:bCs/>
          <w:rtl/>
        </w:rPr>
        <w:t>ה</w:t>
      </w:r>
      <w:r w:rsidRPr="004076CC">
        <w:rPr>
          <w:b/>
          <w:bCs/>
          <w:rtl/>
        </w:rPr>
        <w:t xml:space="preserve">שנתי </w:t>
      </w:r>
      <w:r w:rsidRPr="004076CC">
        <w:rPr>
          <w:rFonts w:hint="cs"/>
          <w:b/>
          <w:bCs/>
          <w:rtl/>
        </w:rPr>
        <w:t>של מבקר המדינה - מאי 2023</w:t>
      </w:r>
      <w:r w:rsidRPr="004076CC">
        <w:rPr>
          <w:rFonts w:hint="cs"/>
          <w:rtl/>
        </w:rPr>
        <w:t xml:space="preserve"> מונח על שולחן הכנסת על פי חוק מבקר המדינה, התשי"ח-1958 [נוסח משולב]. הדוח כולל 22 פרקים העוסקים בביקורת במשרדי הממשלה, במוסדות המדינה, בחברות ממשלתיות ובתאגידים. </w:t>
      </w:r>
    </w:p>
    <w:p w:rsidR="00654139" w:rsidRPr="004076CC" w:rsidP="004076CC" w14:paraId="6688B269" w14:textId="77777777">
      <w:pPr>
        <w:pStyle w:val="7191"/>
        <w:spacing w:line="276" w:lineRule="auto"/>
        <w:rPr>
          <w:rtl/>
        </w:rPr>
      </w:pPr>
      <w:r w:rsidRPr="004076CC">
        <w:rPr>
          <w:rFonts w:hint="cs"/>
          <w:rtl/>
        </w:rPr>
        <w:t xml:space="preserve">בהתאם לחזון </w:t>
      </w:r>
      <w:r w:rsidRPr="004076CC">
        <w:rPr>
          <w:rtl/>
        </w:rPr>
        <w:t>של משרד מבקר המדינה ונציב תלונות הציבור</w:t>
      </w:r>
      <w:r w:rsidRPr="004076CC">
        <w:rPr>
          <w:rFonts w:hint="cs"/>
          <w:rtl/>
        </w:rPr>
        <w:t>, פרקי הדוח עוסקים</w:t>
      </w:r>
      <w:r w:rsidRPr="004076CC">
        <w:rPr>
          <w:rtl/>
        </w:rPr>
        <w:t xml:space="preserve"> בתחומי הליבה של הגו</w:t>
      </w:r>
      <w:r w:rsidRPr="004076CC">
        <w:rPr>
          <w:rFonts w:hint="cs"/>
          <w:rtl/>
        </w:rPr>
        <w:t>פים</w:t>
      </w:r>
      <w:r w:rsidRPr="004076CC">
        <w:rPr>
          <w:rtl/>
        </w:rPr>
        <w:t xml:space="preserve"> המבוקר</w:t>
      </w:r>
      <w:r w:rsidRPr="004076CC">
        <w:rPr>
          <w:rFonts w:hint="cs"/>
          <w:rtl/>
        </w:rPr>
        <w:t>ים</w:t>
      </w:r>
      <w:r w:rsidRPr="004076CC">
        <w:rPr>
          <w:rtl/>
        </w:rPr>
        <w:t>, תוך התמקדות בסיכונים המהותיים המשפיעים על פעילות</w:t>
      </w:r>
      <w:r w:rsidRPr="004076CC">
        <w:rPr>
          <w:rFonts w:hint="cs"/>
          <w:rtl/>
        </w:rPr>
        <w:t>ם,</w:t>
      </w:r>
      <w:r w:rsidRPr="004076CC">
        <w:rPr>
          <w:rtl/>
        </w:rPr>
        <w:t xml:space="preserve"> זאת לצד נושאים הנוגעים </w:t>
      </w:r>
      <w:r w:rsidRPr="004076CC">
        <w:rPr>
          <w:rtl/>
        </w:rPr>
        <w:t>למינהל</w:t>
      </w:r>
      <w:r w:rsidRPr="004076CC">
        <w:rPr>
          <w:rtl/>
        </w:rPr>
        <w:t xml:space="preserve"> תקין ולטוהר המידות. </w:t>
      </w:r>
      <w:r w:rsidRPr="004076CC">
        <w:rPr>
          <w:rFonts w:hint="cs"/>
          <w:rtl/>
        </w:rPr>
        <w:t>פרקי הדוח מעלים על סדר היום הציבורי ממצאי ביקורת חשובים הנוגעים</w:t>
      </w:r>
      <w:r w:rsidRPr="004076CC">
        <w:rPr>
          <w:rtl/>
        </w:rPr>
        <w:t xml:space="preserve"> לרווחת הפרט, לילדים ו</w:t>
      </w:r>
      <w:r w:rsidRPr="004076CC">
        <w:rPr>
          <w:rFonts w:hint="cs"/>
          <w:rtl/>
        </w:rPr>
        <w:t>ל</w:t>
      </w:r>
      <w:r w:rsidRPr="004076CC">
        <w:rPr>
          <w:rtl/>
        </w:rPr>
        <w:t xml:space="preserve">נוער, לתחומי </w:t>
      </w:r>
      <w:r w:rsidRPr="004076CC">
        <w:rPr>
          <w:rtl/>
        </w:rPr>
        <w:t>מינהל</w:t>
      </w:r>
      <w:r w:rsidRPr="004076CC">
        <w:rPr>
          <w:rtl/>
        </w:rPr>
        <w:t xml:space="preserve"> וארגון, לפיקוח ו</w:t>
      </w:r>
      <w:r w:rsidRPr="004076CC">
        <w:rPr>
          <w:rFonts w:hint="cs"/>
          <w:rtl/>
        </w:rPr>
        <w:t>ל</w:t>
      </w:r>
      <w:r w:rsidRPr="004076CC">
        <w:rPr>
          <w:rtl/>
        </w:rPr>
        <w:t>אכיפה</w:t>
      </w:r>
      <w:r w:rsidRPr="004076CC">
        <w:rPr>
          <w:rFonts w:hint="cs"/>
          <w:rtl/>
        </w:rPr>
        <w:t>, ל</w:t>
      </w:r>
      <w:r w:rsidRPr="004076CC">
        <w:rPr>
          <w:rtl/>
        </w:rPr>
        <w:t>תשתיות ו</w:t>
      </w:r>
      <w:r w:rsidRPr="004076CC">
        <w:rPr>
          <w:rFonts w:hint="cs"/>
          <w:rtl/>
        </w:rPr>
        <w:t>ל</w:t>
      </w:r>
      <w:r w:rsidRPr="004076CC">
        <w:rPr>
          <w:rtl/>
        </w:rPr>
        <w:t>משאבים לאומיים</w:t>
      </w:r>
      <w:r w:rsidRPr="004076CC">
        <w:rPr>
          <w:rFonts w:hint="cs"/>
          <w:rtl/>
        </w:rPr>
        <w:t>. מטבע הדברים מבוא זה סוקר רק מקצת מפרקי הדוח. להלן הסקירה:</w:t>
      </w:r>
    </w:p>
    <w:p w:rsidR="00654139" w:rsidRPr="004076CC" w:rsidP="004076CC" w14:paraId="25316560" w14:textId="0B4E871B">
      <w:pPr>
        <w:pStyle w:val="7191"/>
        <w:numPr>
          <w:ilvl w:val="0"/>
          <w:numId w:val="47"/>
        </w:numPr>
        <w:spacing w:line="276" w:lineRule="auto"/>
        <w:rPr>
          <w:rtl/>
        </w:rPr>
      </w:pPr>
      <w:r w:rsidRPr="004076CC">
        <w:rPr>
          <w:rFonts w:hint="cs"/>
          <w:rtl/>
        </w:rPr>
        <w:t xml:space="preserve">על פי סעיף 19 לחוק מבקר המדינה </w:t>
      </w:r>
      <w:r w:rsidRPr="00F66D1C">
        <w:rPr>
          <w:rFonts w:hint="cs"/>
          <w:rtl/>
        </w:rPr>
        <w:t>נבדקו</w:t>
      </w:r>
      <w:r w:rsidRPr="004076CC">
        <w:rPr>
          <w:rFonts w:hint="cs"/>
          <w:b/>
          <w:bCs/>
          <w:rtl/>
        </w:rPr>
        <w:t xml:space="preserve"> הדוחות הכספיים של מדינת ישראל ליום 31.12.21 תוך מיקוד ב</w:t>
      </w:r>
      <w:r w:rsidRPr="004076CC">
        <w:rPr>
          <w:b/>
          <w:bCs/>
          <w:rtl/>
        </w:rPr>
        <w:t>מערכות המידע העומדות בבסיס הדוחות הכספיים של ממשלת ישראל</w:t>
      </w:r>
      <w:r w:rsidRPr="004076CC">
        <w:rPr>
          <w:rFonts w:hint="cs"/>
          <w:rtl/>
        </w:rPr>
        <w:t xml:space="preserve">. </w:t>
      </w:r>
      <w:r w:rsidRPr="004076CC">
        <w:rPr>
          <w:rtl/>
        </w:rPr>
        <w:t xml:space="preserve">מהביקורת עלה כי הגירעון החשבונאי של המדינה לשנת 2021 הסתכם בכ-135 מיליארד ש"ח ונכסי המדינה באותה שנה הסתכמו ב-800 מיליארד ש"ח. מצבת הנכסים בדוחות הכספיים אינה כוללת נכסים שונים </w:t>
      </w:r>
      <w:r w:rsidRPr="004076CC">
        <w:rPr>
          <w:rtl/>
        </w:rPr>
        <w:t>ששוויים</w:t>
      </w:r>
      <w:r w:rsidRPr="004076CC">
        <w:rPr>
          <w:rtl/>
        </w:rPr>
        <w:t xml:space="preserve"> מהותי, ובכלל זה חלק מהשקעות המדינה במערכת הביטחון, קרקעות שבידי המדינה, חלק מהנכסים בחו"ל וחלק מהנכסים הבלתי מוחשיים. בדוחות הכספיים של הממשלה לשנת 2021 בא לידי ביטוי המפנה בהתמודדות עם נגיף הקורונה, תוך התאוששות של המשק וצמיחה כלכלית, ירידה בגירעון התקציבי ביחס לתוצר, עלייה בהכנסות ממיסים וירידה בהיקף הוצאות התוכנית הכלכלית להתמודדות עם המשבר. קיימת חשיבות רבה לכך שהממשלה תתמיד במגמה זו לצורך השיפור של כלכלת ישראל בראייה ארוכת טווח.</w:t>
      </w:r>
      <w:r w:rsidRPr="004076CC">
        <w:rPr>
          <w:rFonts w:hint="cs"/>
          <w:rtl/>
        </w:rPr>
        <w:t xml:space="preserve"> </w:t>
      </w:r>
      <w:r w:rsidRPr="004076CC">
        <w:rPr>
          <w:rFonts w:hint="eastAsia"/>
          <w:rtl/>
        </w:rPr>
        <w:t>בכל</w:t>
      </w:r>
      <w:r w:rsidRPr="004076CC">
        <w:rPr>
          <w:rtl/>
        </w:rPr>
        <w:t xml:space="preserve"> הנוגע למערכות</w:t>
      </w:r>
      <w:r w:rsidRPr="004076CC" w:rsidR="004076CC">
        <w:rPr>
          <w:rFonts w:hint="cs"/>
          <w:rtl/>
        </w:rPr>
        <w:t xml:space="preserve"> העומדות בבסיסם של הדוחות הכספיים</w:t>
      </w:r>
      <w:r w:rsidRPr="004076CC">
        <w:rPr>
          <w:rtl/>
        </w:rPr>
        <w:t xml:space="preserve"> הועלו ליקויים במיפוי ובניהול </w:t>
      </w:r>
      <w:r w:rsidRPr="004076CC">
        <w:rPr>
          <w:rFonts w:hint="cs"/>
          <w:rtl/>
        </w:rPr>
        <w:t xml:space="preserve">של </w:t>
      </w:r>
      <w:r w:rsidRPr="004076CC">
        <w:rPr>
          <w:rtl/>
        </w:rPr>
        <w:t>הסיכונים במערכות המידע הכספיות, בהיעדר ביקורות במרבית המערכות ובחוסר תיעוד של התהליכים הכספיים במערכות.</w:t>
      </w:r>
      <w:r w:rsidRPr="004076CC">
        <w:rPr>
          <w:rFonts w:hint="cs"/>
          <w:rtl/>
        </w:rPr>
        <w:t xml:space="preserve"> כך למשל, </w:t>
      </w:r>
      <w:r w:rsidRPr="004076CC">
        <w:rPr>
          <w:rtl/>
        </w:rPr>
        <w:t>ב-154 מתוך 230 המערכות לא בוצעו סקרי סיכונים ולא בוצעו ביקורות.</w:t>
      </w:r>
      <w:r w:rsidRPr="004076CC">
        <w:rPr>
          <w:rFonts w:hint="cs"/>
          <w:rtl/>
        </w:rPr>
        <w:t xml:space="preserve"> </w:t>
      </w:r>
      <w:r w:rsidRPr="004076CC">
        <w:rPr>
          <w:rtl/>
        </w:rPr>
        <w:t xml:space="preserve">על החשב הכללי וכלל גופי הממשלה שצוינו בדוח לפעול במסגרת תוכנית רב שנתית לתיקון הליקויים שהועלו. </w:t>
      </w:r>
    </w:p>
    <w:p w:rsidR="00654139" w:rsidRPr="004076CC" w:rsidP="004076CC" w14:paraId="730AD7AF" w14:textId="181EEFD6">
      <w:pPr>
        <w:pStyle w:val="7191"/>
        <w:numPr>
          <w:ilvl w:val="0"/>
          <w:numId w:val="47"/>
        </w:numPr>
        <w:spacing w:line="276" w:lineRule="auto"/>
      </w:pPr>
      <w:r w:rsidRPr="004076CC">
        <w:rPr>
          <w:rtl/>
        </w:rPr>
        <w:t xml:space="preserve">ילדים בסיכון ובמצוקה הם ילדים החיים במשפחה ובסביבה המסכנות אותם. במצבי קיצון של סיכון והזנחה המדינה מתערבת ומעבירה ילדים ממשפחתם אל מסגרות חוץ-ביתיות </w:t>
      </w:r>
      <w:r w:rsidRPr="004076CC">
        <w:rPr>
          <w:rFonts w:hint="cs"/>
          <w:rtl/>
        </w:rPr>
        <w:t>-</w:t>
      </w:r>
      <w:r w:rsidRPr="004076CC">
        <w:rPr>
          <w:rtl/>
        </w:rPr>
        <w:t xml:space="preserve"> פנימיות של משרד הרווחה והביטחון החברתי</w:t>
      </w:r>
      <w:r w:rsidRPr="004076CC">
        <w:rPr>
          <w:rFonts w:hint="cs"/>
          <w:rtl/>
        </w:rPr>
        <w:t>, משפחות אומנה</w:t>
      </w:r>
      <w:r w:rsidRPr="004076CC">
        <w:rPr>
          <w:rtl/>
        </w:rPr>
        <w:t xml:space="preserve"> ואימוץ.</w:t>
      </w:r>
      <w:r w:rsidRPr="004076CC">
        <w:rPr>
          <w:rFonts w:hint="cs"/>
          <w:rtl/>
        </w:rPr>
        <w:t xml:space="preserve"> הביקורת </w:t>
      </w:r>
      <w:r w:rsidRPr="007602C0">
        <w:rPr>
          <w:rFonts w:hint="cs"/>
          <w:rtl/>
        </w:rPr>
        <w:t>בנושא</w:t>
      </w:r>
      <w:r w:rsidRPr="004076CC">
        <w:rPr>
          <w:rFonts w:hint="cs"/>
          <w:b/>
          <w:bCs/>
          <w:rtl/>
        </w:rPr>
        <w:t xml:space="preserve"> </w:t>
      </w:r>
      <w:r w:rsidRPr="004076CC">
        <w:rPr>
          <w:b/>
          <w:bCs/>
          <w:rtl/>
        </w:rPr>
        <w:t>השמת ילדים בסיכון בפנימיות, באומנה ובאימוץ</w:t>
      </w:r>
      <w:r w:rsidRPr="004076CC">
        <w:rPr>
          <w:rFonts w:hint="cs"/>
          <w:rtl/>
        </w:rPr>
        <w:t xml:space="preserve"> העלתה כי 1,149 ילדים </w:t>
      </w:r>
      <w:r w:rsidRPr="004076CC">
        <w:rPr>
          <w:rtl/>
        </w:rPr>
        <w:t xml:space="preserve">מתחת לגיל 8 (מהם 474 ילדים מתחת לגיל 5) הוצאו למסגרות </w:t>
      </w:r>
      <w:r w:rsidRPr="004076CC">
        <w:rPr>
          <w:rtl/>
        </w:rPr>
        <w:t>פנימייתיות</w:t>
      </w:r>
      <w:r w:rsidRPr="004076CC">
        <w:rPr>
          <w:rtl/>
        </w:rPr>
        <w:t xml:space="preserve"> במקום למשפחות אומנה בשנים 2016 - 2021, שלא בהתאם להנחיות, שבה</w:t>
      </w:r>
      <w:r w:rsidRPr="004076CC">
        <w:rPr>
          <w:rFonts w:hint="cs"/>
          <w:rtl/>
        </w:rPr>
        <w:t>ן</w:t>
      </w:r>
      <w:r w:rsidRPr="004076CC">
        <w:rPr>
          <w:rtl/>
        </w:rPr>
        <w:t xml:space="preserve"> הוגדר שהגיל </w:t>
      </w:r>
      <w:r w:rsidRPr="004076CC">
        <w:rPr>
          <w:rFonts w:hint="cs"/>
          <w:rtl/>
        </w:rPr>
        <w:t>המזערי</w:t>
      </w:r>
      <w:r w:rsidRPr="004076CC">
        <w:rPr>
          <w:rtl/>
        </w:rPr>
        <w:t xml:space="preserve"> להוצאה למסגרת </w:t>
      </w:r>
      <w:r w:rsidRPr="004076CC">
        <w:rPr>
          <w:rtl/>
        </w:rPr>
        <w:t>פנימייתית</w:t>
      </w:r>
      <w:r w:rsidRPr="004076CC">
        <w:rPr>
          <w:rtl/>
        </w:rPr>
        <w:t xml:space="preserve"> הוא 8 שנים</w:t>
      </w:r>
      <w:r w:rsidRPr="004076CC">
        <w:rPr>
          <w:rFonts w:hint="cs"/>
          <w:rtl/>
        </w:rPr>
        <w:t xml:space="preserve">; ל-87% </w:t>
      </w:r>
      <w:r w:rsidRPr="004076CC">
        <w:rPr>
          <w:rtl/>
        </w:rPr>
        <w:t xml:space="preserve">מהילדים באומנה לא נקבעו תוכניות טיפול כנדרש בחוק האומנה </w:t>
      </w:r>
      <w:r w:rsidRPr="004076CC">
        <w:rPr>
          <w:rFonts w:hint="cs"/>
          <w:rtl/>
        </w:rPr>
        <w:t xml:space="preserve">ובתקנון עבודה סוציאלית של משרד הרווחה; </w:t>
      </w:r>
      <w:r w:rsidRPr="004076CC">
        <w:rPr>
          <w:rtl/>
        </w:rPr>
        <w:t xml:space="preserve">הליך אימוץ </w:t>
      </w:r>
      <w:r w:rsidRPr="004076CC">
        <w:rPr>
          <w:rFonts w:hint="cs"/>
          <w:rtl/>
        </w:rPr>
        <w:t xml:space="preserve">נמשך 26 חודשים </w:t>
      </w:r>
      <w:r w:rsidRPr="004076CC">
        <w:rPr>
          <w:rtl/>
        </w:rPr>
        <w:t>בממוצע, כפול ממשך הזמן המרבי המוגדר בדין</w:t>
      </w:r>
      <w:r w:rsidRPr="004076CC">
        <w:rPr>
          <w:rFonts w:hint="cs"/>
          <w:rtl/>
        </w:rPr>
        <w:t xml:space="preserve">; </w:t>
      </w:r>
      <w:r w:rsidRPr="004076CC">
        <w:rPr>
          <w:rtl/>
        </w:rPr>
        <w:t xml:space="preserve">מתוך תקציב </w:t>
      </w:r>
      <w:r w:rsidRPr="004076CC">
        <w:rPr>
          <w:rFonts w:hint="cs"/>
          <w:rtl/>
        </w:rPr>
        <w:t>שהיה</w:t>
      </w:r>
      <w:r w:rsidRPr="004076CC">
        <w:rPr>
          <w:rtl/>
        </w:rPr>
        <w:t xml:space="preserve"> כ-970 מיליון ש"ח בשנת 2021 ויועד לטיפול בילד שהוצא מביתו ולשיקום הוריו, הוקצו לשיקום ההורים כ-20 מיליון ש"ח (כ-2%), לאימוץ </w:t>
      </w:r>
      <w:r w:rsidRPr="004076CC">
        <w:rPr>
          <w:rFonts w:hint="cs"/>
          <w:rtl/>
        </w:rPr>
        <w:t xml:space="preserve">- </w:t>
      </w:r>
      <w:r w:rsidRPr="004076CC">
        <w:rPr>
          <w:rtl/>
        </w:rPr>
        <w:t>כ-10 מיליון ש"ח (כ-1%), לאומנה</w:t>
      </w:r>
      <w:r w:rsidRPr="004076CC">
        <w:rPr>
          <w:rFonts w:hint="cs"/>
          <w:rtl/>
        </w:rPr>
        <w:t xml:space="preserve"> -</w:t>
      </w:r>
      <w:r w:rsidRPr="004076CC">
        <w:rPr>
          <w:rtl/>
        </w:rPr>
        <w:t xml:space="preserve"> כ-200 מיליון ש"ח </w:t>
      </w:r>
      <w:r w:rsidR="004076CC">
        <w:rPr>
          <w:rtl/>
        </w:rPr>
        <w:br/>
      </w:r>
      <w:r w:rsidRPr="004076CC">
        <w:rPr>
          <w:rtl/>
        </w:rPr>
        <w:t>(כ-21%) ולפנימיות</w:t>
      </w:r>
      <w:r w:rsidRPr="004076CC">
        <w:rPr>
          <w:rFonts w:hint="cs"/>
          <w:rtl/>
        </w:rPr>
        <w:t xml:space="preserve"> -</w:t>
      </w:r>
      <w:r w:rsidRPr="004076CC">
        <w:rPr>
          <w:rtl/>
        </w:rPr>
        <w:t xml:space="preserve"> כ-740 מיליון ש"ח (כ-76%). </w:t>
      </w:r>
      <w:r w:rsidRPr="004076CC">
        <w:rPr>
          <w:rFonts w:hint="cs"/>
          <w:rtl/>
        </w:rPr>
        <w:t>מכאן</w:t>
      </w:r>
      <w:r w:rsidRPr="004076CC">
        <w:rPr>
          <w:rtl/>
        </w:rPr>
        <w:t xml:space="preserve"> </w:t>
      </w:r>
      <w:r w:rsidRPr="004076CC">
        <w:rPr>
          <w:rFonts w:hint="cs"/>
          <w:rtl/>
        </w:rPr>
        <w:t>ש</w:t>
      </w:r>
      <w:r w:rsidRPr="004076CC">
        <w:rPr>
          <w:rtl/>
        </w:rPr>
        <w:t>רוב רובו של תקציב זה</w:t>
      </w:r>
      <w:r w:rsidRPr="004076CC">
        <w:rPr>
          <w:rFonts w:hint="cs"/>
          <w:rtl/>
        </w:rPr>
        <w:t xml:space="preserve"> -</w:t>
      </w:r>
      <w:r w:rsidRPr="004076CC">
        <w:rPr>
          <w:rtl/>
        </w:rPr>
        <w:t xml:space="preserve"> 97%</w:t>
      </w:r>
      <w:r w:rsidRPr="004076CC">
        <w:rPr>
          <w:rFonts w:hint="cs"/>
          <w:rtl/>
        </w:rPr>
        <w:t xml:space="preserve"> -</w:t>
      </w:r>
      <w:r w:rsidRPr="004076CC">
        <w:rPr>
          <w:rtl/>
        </w:rPr>
        <w:t xml:space="preserve"> הוקצה למסגרות הזמניות (אומנה ופנימיות)</w:t>
      </w:r>
      <w:r w:rsidRPr="004076CC">
        <w:rPr>
          <w:rFonts w:hint="cs"/>
          <w:rtl/>
        </w:rPr>
        <w:t>,</w:t>
      </w:r>
      <w:r w:rsidRPr="004076CC">
        <w:rPr>
          <w:rtl/>
        </w:rPr>
        <w:t xml:space="preserve"> ויתרתו - 3% - הוקצתה למציאת בית קבוע </w:t>
      </w:r>
      <w:r w:rsidRPr="004076CC">
        <w:rPr>
          <w:rtl/>
        </w:rPr>
        <w:t>עבור הילדים (חזרה לביתם או אימוץ)</w:t>
      </w:r>
      <w:r w:rsidRPr="004076CC">
        <w:rPr>
          <w:rFonts w:hint="cs"/>
          <w:rtl/>
        </w:rPr>
        <w:t xml:space="preserve">; </w:t>
      </w:r>
      <w:r w:rsidRPr="004076CC">
        <w:rPr>
          <w:rtl/>
        </w:rPr>
        <w:t xml:space="preserve">העלות החודשית </w:t>
      </w:r>
      <w:r w:rsidRPr="004076CC">
        <w:rPr>
          <w:rFonts w:hint="cs"/>
          <w:rtl/>
        </w:rPr>
        <w:t>עבור השמת ילד</w:t>
      </w:r>
      <w:r w:rsidRPr="004076CC">
        <w:rPr>
          <w:rtl/>
        </w:rPr>
        <w:t xml:space="preserve"> בפנימייה </w:t>
      </w:r>
      <w:r w:rsidR="004076CC">
        <w:rPr>
          <w:rtl/>
        </w:rPr>
        <w:br/>
      </w:r>
      <w:r w:rsidRPr="004076CC">
        <w:rPr>
          <w:rtl/>
        </w:rPr>
        <w:t xml:space="preserve">(כ-11,900 ש"ח) היא פי כשלושה מהעלות החודשית </w:t>
      </w:r>
      <w:r w:rsidRPr="004076CC">
        <w:rPr>
          <w:rFonts w:hint="cs"/>
          <w:rtl/>
        </w:rPr>
        <w:t xml:space="preserve">עבור השמת </w:t>
      </w:r>
      <w:r w:rsidRPr="004076CC">
        <w:rPr>
          <w:rtl/>
        </w:rPr>
        <w:t xml:space="preserve">ילד באומנה (כ-3,900 ש"ח), ופי שישה מהעלות החודשית </w:t>
      </w:r>
      <w:r w:rsidRPr="004076CC">
        <w:rPr>
          <w:rFonts w:hint="cs"/>
          <w:rtl/>
        </w:rPr>
        <w:t xml:space="preserve">עבור אימוץ </w:t>
      </w:r>
      <w:r w:rsidRPr="004076CC">
        <w:rPr>
          <w:rtl/>
        </w:rPr>
        <w:t>(כ-2,000 ש"ח)</w:t>
      </w:r>
      <w:r w:rsidRPr="004076CC">
        <w:rPr>
          <w:rFonts w:hint="cs"/>
          <w:rtl/>
        </w:rPr>
        <w:t>;</w:t>
      </w:r>
      <w:r w:rsidRPr="004076CC">
        <w:rPr>
          <w:rtl/>
        </w:rPr>
        <w:t xml:space="preserve"> משרד </w:t>
      </w:r>
      <w:r w:rsidRPr="004076CC">
        <w:rPr>
          <w:rFonts w:hint="cs"/>
          <w:rtl/>
        </w:rPr>
        <w:t xml:space="preserve">הרווחה </w:t>
      </w:r>
      <w:r w:rsidRPr="004076CC">
        <w:rPr>
          <w:rtl/>
        </w:rPr>
        <w:t>אינו מקיים מרכיבים בסיסים של הטיפול בילד שהוצא מהבית</w:t>
      </w:r>
      <w:r w:rsidRPr="004076CC">
        <w:rPr>
          <w:rFonts w:hint="cs"/>
          <w:rtl/>
        </w:rPr>
        <w:t>,</w:t>
      </w:r>
      <w:r w:rsidRPr="004076CC">
        <w:rPr>
          <w:rtl/>
        </w:rPr>
        <w:t xml:space="preserve"> ובכלל זה הוא אינו מנהל את תהליך הוצאת הילדים בסיכון מהבית על בסיס מידע מהימן ומתוקף, תוך קביעת יעדים וסטנדרטים ברורים ותוך פיקוח ובקרה על העמידה בהם. מומלץ כי משרד הרווחה יבחן על בסיס ניתוח הנתונים את יישום מדיניותו להשמת ילדים המוּצָאִים מביתם ולטיפול בהם</w:t>
      </w:r>
      <w:r w:rsidRPr="004076CC">
        <w:rPr>
          <w:rFonts w:hint="cs"/>
          <w:rtl/>
        </w:rPr>
        <w:t>.</w:t>
      </w:r>
      <w:r w:rsidRPr="004076CC">
        <w:rPr>
          <w:rtl/>
        </w:rPr>
        <w:t xml:space="preserve"> </w:t>
      </w:r>
      <w:r w:rsidRPr="004076CC">
        <w:rPr>
          <w:rFonts w:hint="cs"/>
          <w:rtl/>
        </w:rPr>
        <w:t xml:space="preserve">כמו כן מומלץ כי משרד הרווחה </w:t>
      </w:r>
      <w:r w:rsidRPr="004076CC">
        <w:rPr>
          <w:rtl/>
        </w:rPr>
        <w:t>יטמיע את מדיניות</w:t>
      </w:r>
      <w:r w:rsidRPr="004076CC">
        <w:rPr>
          <w:rFonts w:hint="cs"/>
          <w:rtl/>
        </w:rPr>
        <w:t>ו</w:t>
      </w:r>
      <w:r w:rsidRPr="004076CC">
        <w:rPr>
          <w:rtl/>
        </w:rPr>
        <w:t xml:space="preserve"> בקרב מטה המשרד ואנשי המקצוע הפועלים בשטח, תוך הגדרת יעדים ברורים ומדידתם, כדי לסייע לילדים להשתקם ולחזור לחיים נורמטיביים. היבט </w:t>
      </w:r>
      <w:r w:rsidRPr="004076CC">
        <w:rPr>
          <w:rFonts w:hint="cs"/>
          <w:rtl/>
        </w:rPr>
        <w:t>שיש לו</w:t>
      </w:r>
      <w:r w:rsidRPr="004076CC">
        <w:rPr>
          <w:rtl/>
        </w:rPr>
        <w:t xml:space="preserve"> חשיבות </w:t>
      </w:r>
      <w:r w:rsidRPr="004076CC">
        <w:rPr>
          <w:rFonts w:hint="cs"/>
          <w:rtl/>
        </w:rPr>
        <w:t>ב</w:t>
      </w:r>
      <w:r w:rsidRPr="004076CC">
        <w:rPr>
          <w:rtl/>
        </w:rPr>
        <w:t xml:space="preserve">מימוש המדיניות הוא יצירת תנאים לכך שילד שהוצא מביתו יוכל לחזור אליו בהקדם האפשרי, לאחר שיקום ההורים </w:t>
      </w:r>
      <w:r w:rsidRPr="004076CC">
        <w:rPr>
          <w:rFonts w:hint="cs"/>
          <w:rtl/>
        </w:rPr>
        <w:t>והסבת</w:t>
      </w:r>
      <w:r w:rsidRPr="004076CC">
        <w:rPr>
          <w:rtl/>
        </w:rPr>
        <w:t xml:space="preserve"> הבית למקום מיטיב עבורו. על כן, מומלץ כי משרד הרווחה יְפַתח מערך טיפול להורים שילדיהם הוצאו מהבית, </w:t>
      </w:r>
      <w:r w:rsidRPr="004076CC">
        <w:rPr>
          <w:rFonts w:hint="cs"/>
          <w:rtl/>
        </w:rPr>
        <w:t xml:space="preserve">אשר </w:t>
      </w:r>
      <w:r w:rsidRPr="004076CC">
        <w:rPr>
          <w:rtl/>
        </w:rPr>
        <w:t xml:space="preserve">יסייע בשיקומם ויאפשר את חזרת הילדים, וכן ירחיב את תוכניות הטיפול הקיימות. </w:t>
      </w:r>
      <w:r w:rsidRPr="004076CC">
        <w:rPr>
          <w:rFonts w:hint="cs"/>
          <w:rtl/>
        </w:rPr>
        <w:t>כדי</w:t>
      </w:r>
      <w:r w:rsidRPr="004076CC">
        <w:rPr>
          <w:rtl/>
        </w:rPr>
        <w:t xml:space="preserve"> לממש את אחריותו, מוטל על משרד הרווחה לוודא כי ילדים שהוצאו מביתם מושמים במסגרות המתאימות לגילם ומקבלים את המענה הטיפולי הטוב ביותר עד לחזרתם לביתם, ובכך להעניק להם סיכוי טוב יותר להשתלבות מוצלחת בחברה.  </w:t>
      </w:r>
    </w:p>
    <w:p w:rsidR="00654139" w:rsidRPr="004076CC" w:rsidP="004076CC" w14:paraId="02013D2E" w14:textId="785CAA20">
      <w:pPr>
        <w:pStyle w:val="7191"/>
        <w:numPr>
          <w:ilvl w:val="0"/>
          <w:numId w:val="47"/>
        </w:numPr>
        <w:spacing w:line="276" w:lineRule="auto"/>
        <w:rPr>
          <w:rtl/>
        </w:rPr>
      </w:pPr>
      <w:r w:rsidRPr="004076CC">
        <w:rPr>
          <w:rtl/>
        </w:rPr>
        <w:t>רפואת ילדים היא ענף רפואי ייחודי המחייב התייחסות פרטנית למאפייני המטופלים</w:t>
      </w:r>
      <w:r w:rsidRPr="004076CC">
        <w:rPr>
          <w:rFonts w:hint="cs"/>
          <w:rtl/>
        </w:rPr>
        <w:t>,</w:t>
      </w:r>
      <w:r w:rsidRPr="004076CC">
        <w:rPr>
          <w:rtl/>
        </w:rPr>
        <w:t xml:space="preserve"> ובהם גודל גופם ואיבריו המתפתחים. בסוף שנת 2020 היו בישראל כ-3.05 מיליון ילדים בקבוצת הגיל 0 - 18 (כשליש מאוכלוסיית המדינה). הטיפול בילדים בקהילה, וכך גם במרפאות ובמחלקות האשפוז שבבתי החולים, דורש גישה המתאימה לילדים, ולא פעם גם אמצעים השונים מאלו המיועדים לטיפול במבוגרים. </w:t>
      </w:r>
      <w:r w:rsidRPr="004076CC">
        <w:rPr>
          <w:rFonts w:hint="cs"/>
          <w:rtl/>
        </w:rPr>
        <w:t xml:space="preserve">בפרק </w:t>
      </w:r>
      <w:r w:rsidRPr="007602C0">
        <w:rPr>
          <w:rFonts w:hint="cs"/>
          <w:rtl/>
        </w:rPr>
        <w:t>בנושא</w:t>
      </w:r>
      <w:r w:rsidRPr="004076CC">
        <w:rPr>
          <w:rFonts w:hint="cs"/>
          <w:b/>
          <w:bCs/>
          <w:rtl/>
        </w:rPr>
        <w:t xml:space="preserve"> אשפוז ילדים בבתי חולים</w:t>
      </w:r>
      <w:r w:rsidRPr="004076CC">
        <w:rPr>
          <w:rFonts w:hint="cs"/>
          <w:rtl/>
        </w:rPr>
        <w:t xml:space="preserve"> הועלה כי </w:t>
      </w:r>
      <w:r w:rsidRPr="004076CC">
        <w:rPr>
          <w:rtl/>
        </w:rPr>
        <w:t>בשנים 2009 עד 2020 עלה מספר הילדים בישראל בשיעור של כ-23%. עם זאת, בתקופה זו ירד מספר המיטות בתקן במחלקות הילדים ב-21</w:t>
      </w:r>
      <w:r w:rsidRPr="004076CC">
        <w:rPr>
          <w:rFonts w:hint="cs"/>
          <w:rtl/>
        </w:rPr>
        <w:t>:</w:t>
      </w:r>
      <w:r w:rsidRPr="004076CC">
        <w:rPr>
          <w:rtl/>
        </w:rPr>
        <w:t xml:space="preserve"> מ-1,089 מיטות ב</w:t>
      </w:r>
      <w:r w:rsidRPr="004076CC">
        <w:rPr>
          <w:rFonts w:hint="cs"/>
          <w:rtl/>
        </w:rPr>
        <w:t xml:space="preserve">שנת </w:t>
      </w:r>
      <w:r w:rsidRPr="004076CC">
        <w:rPr>
          <w:rtl/>
        </w:rPr>
        <w:t>2009 ל-1,068 ב</w:t>
      </w:r>
      <w:r w:rsidRPr="004076CC">
        <w:rPr>
          <w:rFonts w:hint="cs"/>
          <w:rtl/>
        </w:rPr>
        <w:t xml:space="preserve">שנת </w:t>
      </w:r>
      <w:r w:rsidRPr="004076CC">
        <w:rPr>
          <w:rtl/>
        </w:rPr>
        <w:t>2020</w:t>
      </w:r>
      <w:r w:rsidRPr="004076CC">
        <w:rPr>
          <w:rFonts w:hint="cs"/>
          <w:rtl/>
        </w:rPr>
        <w:t>;</w:t>
      </w:r>
      <w:r w:rsidRPr="004076CC">
        <w:rPr>
          <w:rtl/>
        </w:rPr>
        <w:t xml:space="preserve"> זמן ההמתנה הממוצע לניתוח כריתת שקדים לילדים בבתי חולים ציבוריים בשנת 2022 </w:t>
      </w:r>
      <w:r w:rsidRPr="004076CC">
        <w:rPr>
          <w:rFonts w:hint="cs"/>
          <w:rtl/>
        </w:rPr>
        <w:t xml:space="preserve">היה </w:t>
      </w:r>
      <w:r w:rsidRPr="004076CC">
        <w:rPr>
          <w:rtl/>
        </w:rPr>
        <w:t>15.4 שבועות</w:t>
      </w:r>
      <w:r w:rsidRPr="004076CC">
        <w:rPr>
          <w:rFonts w:hint="cs"/>
          <w:rtl/>
        </w:rPr>
        <w:t xml:space="preserve">; 553 </w:t>
      </w:r>
      <w:r w:rsidRPr="004076CC">
        <w:rPr>
          <w:rtl/>
        </w:rPr>
        <w:t>ילדים המתינו באפריל 2022 למסגרות אשפוז או לטיפול יום פסיכיאטרי; 258 מהם המתינו לאשפוז פסיכיאטרי וזמן ההמתנה היה 3 - 7 חודשים</w:t>
      </w:r>
      <w:r w:rsidRPr="004076CC">
        <w:rPr>
          <w:rFonts w:hint="cs"/>
          <w:rtl/>
        </w:rPr>
        <w:t>,</w:t>
      </w:r>
      <w:r w:rsidRPr="004076CC">
        <w:rPr>
          <w:rtl/>
        </w:rPr>
        <w:t xml:space="preserve"> </w:t>
      </w:r>
      <w:r w:rsidRPr="004076CC">
        <w:rPr>
          <w:rFonts w:hint="cs"/>
          <w:rtl/>
        </w:rPr>
        <w:t>ו-</w:t>
      </w:r>
      <w:r w:rsidRPr="004076CC">
        <w:rPr>
          <w:rtl/>
        </w:rPr>
        <w:t xml:space="preserve">295 </w:t>
      </w:r>
      <w:r w:rsidRPr="004076CC">
        <w:rPr>
          <w:rFonts w:hint="cs"/>
          <w:rtl/>
        </w:rPr>
        <w:t xml:space="preserve">ילדים </w:t>
      </w:r>
      <w:r w:rsidRPr="004076CC">
        <w:rPr>
          <w:rtl/>
        </w:rPr>
        <w:t>המתינו לטיפול יום, וזמן ההמתנה היה</w:t>
      </w:r>
      <w:r w:rsidRPr="004076CC" w:rsidR="004076CC">
        <w:rPr>
          <w:rFonts w:hint="cs"/>
          <w:rtl/>
        </w:rPr>
        <w:t xml:space="preserve"> </w:t>
      </w:r>
      <w:r w:rsidRPr="004076CC">
        <w:rPr>
          <w:rtl/>
        </w:rPr>
        <w:t>3 - 12 חודשים</w:t>
      </w:r>
      <w:r w:rsidRPr="004076CC">
        <w:rPr>
          <w:rFonts w:hint="cs"/>
          <w:rtl/>
        </w:rPr>
        <w:t xml:space="preserve">. </w:t>
      </w:r>
      <w:r w:rsidRPr="004076CC">
        <w:rPr>
          <w:rtl/>
        </w:rPr>
        <w:t>לפי התחזיות, בשנת 2035 תהיה אוכלוסיית הילדים בני 0 - 14 גדולה בכ-13.5% לעומת שנת 2020, ובשנת 2050 צפוי מספר ימי האשפוז באגפי הילדים בבתי החולים להיות גדול בכ-68% לעומת שנת 2020. תחזיות אלה דורשות היערכות של מערכת הבריאות בכלל ומערכת האשפוז בפרט.</w:t>
      </w:r>
      <w:r w:rsidRPr="004076CC">
        <w:rPr>
          <w:rFonts w:hint="cs"/>
          <w:rtl/>
        </w:rPr>
        <w:t xml:space="preserve"> </w:t>
      </w:r>
      <w:r w:rsidRPr="004076CC">
        <w:rPr>
          <w:rtl/>
        </w:rPr>
        <w:t>עלה כי משרד הבריאות לא קבע תוכנית אופרטיבית להפעלת בתי החולים המבוססת על יעדי יסוד ארוכי טווח למערכת האשפוז</w:t>
      </w:r>
      <w:r w:rsidRPr="004076CC">
        <w:rPr>
          <w:rFonts w:hint="cs"/>
          <w:rtl/>
        </w:rPr>
        <w:t>,</w:t>
      </w:r>
      <w:r w:rsidRPr="004076CC">
        <w:rPr>
          <w:rtl/>
        </w:rPr>
        <w:t xml:space="preserve"> </w:t>
      </w:r>
      <w:r w:rsidRPr="004076CC">
        <w:rPr>
          <w:rFonts w:hint="cs"/>
          <w:rtl/>
        </w:rPr>
        <w:t>ו</w:t>
      </w:r>
      <w:r w:rsidRPr="004076CC">
        <w:rPr>
          <w:rtl/>
        </w:rPr>
        <w:t>לא קבע תוכנית כזו בנוגע לאגפי הילדים</w:t>
      </w:r>
      <w:r w:rsidRPr="004076CC">
        <w:rPr>
          <w:rFonts w:hint="cs"/>
          <w:rtl/>
        </w:rPr>
        <w:t xml:space="preserve"> בפרט;</w:t>
      </w:r>
      <w:r w:rsidRPr="004076CC">
        <w:rPr>
          <w:rtl/>
        </w:rPr>
        <w:t xml:space="preserve"> היעדר מקום במסגרות אשפוז בתחום בריאות הנפש, ובכלל זה הפרעות אכילה, ובמסגרות לשיקום, בפרט בפריפריה, מביא לידי כך שבמחלקות הילדים מאושפזים ילדים שמחלקות אלו אינן מתאימות להם, תוך </w:t>
      </w:r>
      <w:r w:rsidRPr="004076CC">
        <w:rPr>
          <w:rFonts w:hint="cs"/>
          <w:rtl/>
        </w:rPr>
        <w:t xml:space="preserve">כדי </w:t>
      </w:r>
      <w:r w:rsidRPr="004076CC">
        <w:rPr>
          <w:rtl/>
        </w:rPr>
        <w:t>המתנה ממושכת לאשפוז במסגרת מתאימה אחרת</w:t>
      </w:r>
      <w:r w:rsidRPr="004076CC">
        <w:rPr>
          <w:rFonts w:hint="cs"/>
          <w:rtl/>
        </w:rPr>
        <w:t>;</w:t>
      </w:r>
      <w:r w:rsidRPr="004076CC">
        <w:rPr>
          <w:rtl/>
        </w:rPr>
        <w:t xml:space="preserve"> תקני הרופאים בבתי החולים אינם מעודכנים ואינם מתאימים לצרכים המשתנים, ויש מחסור ארצי ברופאים מומחים ברפואת ילדים</w:t>
      </w:r>
      <w:r w:rsidRPr="004076CC">
        <w:rPr>
          <w:rFonts w:hint="cs"/>
          <w:rtl/>
        </w:rPr>
        <w:t>;</w:t>
      </w:r>
      <w:r w:rsidRPr="004076CC">
        <w:rPr>
          <w:rtl/>
        </w:rPr>
        <w:t xml:space="preserve"> </w:t>
      </w:r>
      <w:r w:rsidRPr="004076CC">
        <w:rPr>
          <w:rFonts w:hint="cs"/>
          <w:rtl/>
        </w:rPr>
        <w:t xml:space="preserve">משרד הבריאות </w:t>
      </w:r>
      <w:r w:rsidRPr="004076CC">
        <w:rPr>
          <w:rtl/>
        </w:rPr>
        <w:t>לא בחן אם תקני האחיות מתאימים לצרכים הנוכחיים, ולכוח האדם הפר</w:t>
      </w:r>
      <w:r w:rsidRPr="004076CC">
        <w:rPr>
          <w:rFonts w:hint="cs"/>
          <w:rtl/>
        </w:rPr>
        <w:t>ה</w:t>
      </w:r>
      <w:r w:rsidRPr="004076CC">
        <w:rPr>
          <w:rtl/>
        </w:rPr>
        <w:t>-רפואי אין תקן כלל</w:t>
      </w:r>
      <w:r w:rsidRPr="004076CC">
        <w:rPr>
          <w:rFonts w:hint="cs"/>
          <w:rtl/>
        </w:rPr>
        <w:t>;</w:t>
      </w:r>
      <w:r w:rsidRPr="004076CC">
        <w:rPr>
          <w:rtl/>
        </w:rPr>
        <w:t xml:space="preserve"> בקבוצות מיקוד שקיים צוות הביקורת, ובהן השתתפו הורים שילדיהם אושפזו במחלקות ילדים בבתי החולים, עלה חוסר שביעות רצון של הורים</w:t>
      </w:r>
      <w:r w:rsidRPr="004076CC">
        <w:rPr>
          <w:rFonts w:hint="cs"/>
          <w:rtl/>
        </w:rPr>
        <w:t>.</w:t>
      </w:r>
      <w:r w:rsidRPr="004076CC">
        <w:rPr>
          <w:rtl/>
        </w:rPr>
        <w:t xml:space="preserve"> בכל הנוגע ליחס ולטיפול של הצוות הרפואי, לקבלת מידע ולתנאים הסביבתיים</w:t>
      </w:r>
      <w:r w:rsidRPr="004076CC">
        <w:rPr>
          <w:rFonts w:hint="cs"/>
          <w:rtl/>
        </w:rPr>
        <w:t>, הורים</w:t>
      </w:r>
      <w:r w:rsidRPr="004076CC">
        <w:rPr>
          <w:rtl/>
        </w:rPr>
        <w:t xml:space="preserve"> שילדיהם אושפזו בבתי</w:t>
      </w:r>
      <w:r w:rsidRPr="004076CC">
        <w:rPr>
          <w:rFonts w:hint="cs"/>
          <w:rtl/>
        </w:rPr>
        <w:t xml:space="preserve"> חולים</w:t>
      </w:r>
      <w:r w:rsidRPr="004076CC">
        <w:rPr>
          <w:rtl/>
        </w:rPr>
        <w:t xml:space="preserve"> גדולים היו ככלל פחות מרוצים מהורים </w:t>
      </w:r>
      <w:r w:rsidRPr="004076CC">
        <w:rPr>
          <w:rFonts w:hint="cs"/>
          <w:rtl/>
        </w:rPr>
        <w:t>ש</w:t>
      </w:r>
      <w:r w:rsidRPr="004076CC">
        <w:rPr>
          <w:rtl/>
        </w:rPr>
        <w:t>ילדי</w:t>
      </w:r>
      <w:r w:rsidRPr="004076CC">
        <w:rPr>
          <w:rFonts w:hint="cs"/>
          <w:rtl/>
        </w:rPr>
        <w:t>ה</w:t>
      </w:r>
      <w:r w:rsidRPr="004076CC">
        <w:rPr>
          <w:rtl/>
        </w:rPr>
        <w:t>ם אושפזו בבתי</w:t>
      </w:r>
      <w:r w:rsidRPr="004076CC">
        <w:rPr>
          <w:rFonts w:hint="cs"/>
          <w:rtl/>
        </w:rPr>
        <w:t xml:space="preserve"> חולים</w:t>
      </w:r>
      <w:r w:rsidRPr="004076CC">
        <w:rPr>
          <w:rtl/>
        </w:rPr>
        <w:t xml:space="preserve"> קטנים. מומלץ שמשרד הבריאות יכין תוכנית רב-שנתית שתפרט את מספר המיטות הנדרשות באגפים השונים במערך האשפוז, לרבות אגפי הילדים, לאחר שיקבע יעדים למערך זה. עוד מומלץ </w:t>
      </w:r>
      <w:r w:rsidRPr="004076CC">
        <w:rPr>
          <w:rtl/>
        </w:rPr>
        <w:t>לבחון את תקני כוח האדם הרפואי והסיעודי ואת הצורך בעדכונם וכן לבחון מהו התקן למקצועות פר</w:t>
      </w:r>
      <w:r w:rsidRPr="004076CC">
        <w:rPr>
          <w:rFonts w:hint="cs"/>
          <w:rtl/>
        </w:rPr>
        <w:t>ה</w:t>
      </w:r>
      <w:r w:rsidRPr="004076CC">
        <w:rPr>
          <w:rtl/>
        </w:rPr>
        <w:t>-רפואיים שיאפשר מתן טיפול ההולם את צורכי החולים, ובהתאם לכך מומלץ שהמשרד ישקול להכין תוכנית רב-שנתית להשלמת השירותים הנדרשים. לאור החשיבות הטמונה בבדיקת חוויית המטופל והאפשרות לשיפור בתנאי האשפוז בעקבות סקרי שביעות רצון, מומלץ שמשרד הבריאות יבחן את הצורך לבדוק את חוויית המטופל גם במחלקות הילדים.</w:t>
      </w:r>
    </w:p>
    <w:p w:rsidR="00654139" w:rsidRPr="004076CC" w:rsidP="004076CC" w14:paraId="0494B0B5" w14:textId="3D96F091">
      <w:pPr>
        <w:pStyle w:val="7191"/>
        <w:numPr>
          <w:ilvl w:val="0"/>
          <w:numId w:val="47"/>
        </w:numPr>
        <w:spacing w:line="276" w:lineRule="auto"/>
        <w:rPr>
          <w:rtl/>
        </w:rPr>
      </w:pPr>
      <w:r w:rsidRPr="004076CC">
        <w:rPr>
          <w:rtl/>
        </w:rPr>
        <w:t>ארגון ה-</w:t>
      </w:r>
      <w:r w:rsidRPr="004076CC">
        <w:t>OECD</w:t>
      </w:r>
      <w:r w:rsidRPr="004076CC">
        <w:rPr>
          <w:rtl/>
        </w:rPr>
        <w:t xml:space="preserve"> הגדיר חוסר מעש בקרב צעירים </w:t>
      </w:r>
      <w:r w:rsidRPr="004076CC">
        <w:rPr>
          <w:rFonts w:hint="cs"/>
          <w:rtl/>
        </w:rPr>
        <w:t>כ</w:t>
      </w:r>
      <w:r w:rsidRPr="004076CC">
        <w:rPr>
          <w:rtl/>
        </w:rPr>
        <w:t xml:space="preserve">מצב שבו הצעירים אינם לומדים, עובדים או נמצאים בהכשרה מקצועית. </w:t>
      </w:r>
      <w:r w:rsidRPr="004076CC">
        <w:rPr>
          <w:rFonts w:hint="cs"/>
          <w:rtl/>
        </w:rPr>
        <w:t xml:space="preserve">בביקורת </w:t>
      </w:r>
      <w:r w:rsidRPr="007602C0">
        <w:rPr>
          <w:rFonts w:hint="cs"/>
          <w:rtl/>
        </w:rPr>
        <w:t>בנושא</w:t>
      </w:r>
      <w:r w:rsidRPr="004076CC">
        <w:rPr>
          <w:rFonts w:hint="cs"/>
          <w:b/>
          <w:bCs/>
          <w:rtl/>
        </w:rPr>
        <w:t xml:space="preserve"> </w:t>
      </w:r>
      <w:r w:rsidRPr="004076CC">
        <w:rPr>
          <w:b/>
          <w:bCs/>
          <w:rtl/>
        </w:rPr>
        <w:t>הטיפול הממשלתי בחוסר מעש בקרב צעירים בחברה הערבית</w:t>
      </w:r>
      <w:r w:rsidRPr="004076CC">
        <w:rPr>
          <w:rFonts w:hint="cs"/>
          <w:rtl/>
        </w:rPr>
        <w:t xml:space="preserve"> עלה כי</w:t>
      </w:r>
      <w:r w:rsidRPr="004076CC">
        <w:rPr>
          <w:rtl/>
        </w:rPr>
        <w:t xml:space="preserve"> 30% מתושבי ישראל הצעירים הם מהחברה הערבית, מהם כ-280,000 צעירים בני 18 - 24</w:t>
      </w:r>
      <w:r w:rsidRPr="004076CC">
        <w:rPr>
          <w:rFonts w:hint="cs"/>
          <w:rtl/>
        </w:rPr>
        <w:t xml:space="preserve">, ונכון לנובמבר 2021 היה מספר חסרי המעש בקרבם </w:t>
      </w:r>
      <w:r w:rsidRPr="004076CC">
        <w:rPr>
          <w:rtl/>
        </w:rPr>
        <w:t>כ-22,000 גברים וכ-35,000 נשים</w:t>
      </w:r>
      <w:r w:rsidRPr="004076CC">
        <w:rPr>
          <w:rFonts w:hint="cs"/>
          <w:rtl/>
        </w:rPr>
        <w:t>; ר</w:t>
      </w:r>
      <w:r w:rsidRPr="004076CC">
        <w:rPr>
          <w:rtl/>
        </w:rPr>
        <w:t xml:space="preserve">מת הפשיעה בקרב אוכלוסיית הצעירים הערבים עלתה </w:t>
      </w:r>
      <w:r w:rsidRPr="004076CC">
        <w:rPr>
          <w:rFonts w:hint="cs"/>
          <w:rtl/>
        </w:rPr>
        <w:t xml:space="preserve">בשנים האחרונות </w:t>
      </w:r>
      <w:r w:rsidRPr="004076CC">
        <w:rPr>
          <w:rtl/>
        </w:rPr>
        <w:t>בעקביות, מכ-0.1 תיקים פליליים לנפש בשנת 2015 לכ-0.15 תיקים בשנת 2021 (עלייה של כ-50%). המשמעות היא גידול של כ-6,000 תיקים פליליים בתקופה זו</w:t>
      </w:r>
      <w:r w:rsidRPr="004076CC">
        <w:rPr>
          <w:rFonts w:hint="cs"/>
          <w:rtl/>
        </w:rPr>
        <w:t xml:space="preserve">; </w:t>
      </w:r>
      <w:r w:rsidRPr="004076CC">
        <w:rPr>
          <w:rtl/>
        </w:rPr>
        <w:t>אומדן הנזק הפוטנציאלי מתופעת הצעירים הערבים חסרי המעש על פי חישוב משרד מבקר המדינה הוא כמיליארד ש"ח בשנה</w:t>
      </w:r>
      <w:r w:rsidRPr="004076CC">
        <w:rPr>
          <w:rFonts w:hint="cs"/>
          <w:rtl/>
        </w:rPr>
        <w:t>;</w:t>
      </w:r>
      <w:r w:rsidRPr="004076CC">
        <w:rPr>
          <w:rtl/>
        </w:rPr>
        <w:t xml:space="preserve"> </w:t>
      </w:r>
      <w:r w:rsidRPr="004076CC">
        <w:rPr>
          <w:rFonts w:hint="cs"/>
          <w:rtl/>
        </w:rPr>
        <w:t xml:space="preserve">מתוך תקציב של 34.2 </w:t>
      </w:r>
      <w:r w:rsidRPr="004076CC">
        <w:rPr>
          <w:rtl/>
        </w:rPr>
        <w:t xml:space="preserve">מיליארד ש"ח </w:t>
      </w:r>
      <w:r w:rsidRPr="004076CC">
        <w:rPr>
          <w:rFonts w:hint="cs"/>
          <w:rtl/>
        </w:rPr>
        <w:t>לתוכנית החומש ול</w:t>
      </w:r>
      <w:r w:rsidRPr="004076CC">
        <w:rPr>
          <w:rtl/>
        </w:rPr>
        <w:t>תוכנית לטיפול בפשיעה ו</w:t>
      </w:r>
      <w:r w:rsidRPr="004076CC">
        <w:rPr>
          <w:rFonts w:hint="cs"/>
          <w:rtl/>
        </w:rPr>
        <w:t>ב</w:t>
      </w:r>
      <w:r w:rsidRPr="004076CC">
        <w:rPr>
          <w:rtl/>
        </w:rPr>
        <w:t>אלימות בחברה הערבית</w:t>
      </w:r>
      <w:r w:rsidRPr="004076CC">
        <w:rPr>
          <w:rFonts w:hint="cs"/>
          <w:rtl/>
        </w:rPr>
        <w:t>,</w:t>
      </w:r>
      <w:r w:rsidRPr="004076CC">
        <w:rPr>
          <w:rtl/>
        </w:rPr>
        <w:t xml:space="preserve"> רק 436.5 מיליון ש"ח הוקצ</w:t>
      </w:r>
      <w:r w:rsidRPr="004076CC">
        <w:rPr>
          <w:rFonts w:hint="cs"/>
          <w:rtl/>
        </w:rPr>
        <w:t>ו</w:t>
      </w:r>
      <w:r w:rsidRPr="004076CC">
        <w:rPr>
          <w:rtl/>
        </w:rPr>
        <w:t xml:space="preserve"> כתקציב ייעודי לטיפול בסוגיית צעירים חסרי המעש בחברה הערבית (כ-1%).</w:t>
      </w:r>
      <w:r w:rsidRPr="004076CC">
        <w:rPr>
          <w:rFonts w:hint="cs"/>
          <w:rtl/>
        </w:rPr>
        <w:t xml:space="preserve"> </w:t>
      </w:r>
      <w:r w:rsidRPr="004076CC">
        <w:rPr>
          <w:rtl/>
        </w:rPr>
        <w:t xml:space="preserve">החלטות </w:t>
      </w:r>
      <w:r w:rsidRPr="004076CC">
        <w:rPr>
          <w:rFonts w:hint="cs"/>
          <w:rtl/>
        </w:rPr>
        <w:t>ה</w:t>
      </w:r>
      <w:r w:rsidRPr="004076CC">
        <w:rPr>
          <w:rtl/>
        </w:rPr>
        <w:t xml:space="preserve">ממשלה מהשנים האחרונות הפנו משאבים כספיים רבים לקידום החברה הערבית ולצמצום הפערים החברתיים בינה ובין החברה היהודית. עם זאת, מניתוח נתונים שביצע משרד מבקר המדינה בשיטות ובכלים סטטיסטיים מתקדמים עולה כי מערכת החינוך, שאמורה לצייד את הצעירים בכלים שיסייעו להם להשתלב בשוק התעסוקה בבגרותם ולאפשר שוויון הזדמנויות לילדים שרובם מרקע חברתי-כלכלי נמוך, אינה מקנה להם כלים ומיומנויות הנחוצים בשוק התעסוקה ובאקדמיה. כמו כן, הגופים הממשלתיים הרלוונטיים - משרד החינוך, זרוע העבודה, המשרד לשוויון חברתי, </w:t>
      </w:r>
      <w:r w:rsidRPr="004076CC">
        <w:rPr>
          <w:rtl/>
        </w:rPr>
        <w:t>המל"ג</w:t>
      </w:r>
      <w:r w:rsidRPr="004076CC">
        <w:rPr>
          <w:rtl/>
        </w:rPr>
        <w:t>, משרד הרווחה, משרד האוצר, שירות התעסוקה ומשרד ראש הממשלה - האמונים על צמצום הפערים בקרב צעירים ערבים בני יותר מ-18 אינם פועלים בצורה מיטבית</w:t>
      </w:r>
      <w:r w:rsidRPr="004076CC">
        <w:rPr>
          <w:rFonts w:hint="cs"/>
          <w:rtl/>
        </w:rPr>
        <w:t>;</w:t>
      </w:r>
      <w:r w:rsidRPr="004076CC">
        <w:rPr>
          <w:rtl/>
        </w:rPr>
        <w:t xml:space="preserve"> בביקורת לא נמצא שיש להשתתפות של צעירים ערבים במרכזי </w:t>
      </w:r>
      <w:r w:rsidRPr="004076CC">
        <w:rPr>
          <w:rtl/>
        </w:rPr>
        <w:t>ריאן</w:t>
      </w:r>
      <w:r w:rsidRPr="004076CC">
        <w:rPr>
          <w:rtl/>
        </w:rPr>
        <w:t>, שמפעילה זרוע העבודה, השפעה מובהקת על מצב חוסר המעש שלהם</w:t>
      </w:r>
      <w:r w:rsidRPr="004076CC">
        <w:rPr>
          <w:rFonts w:hint="cs"/>
          <w:rtl/>
        </w:rPr>
        <w:t>;</w:t>
      </w:r>
      <w:r w:rsidRPr="004076CC">
        <w:rPr>
          <w:rtl/>
        </w:rPr>
        <w:t xml:space="preserve"> תוכנית שנת מעבר שפותחה כתוכנית דגל של המשרד לשוויון חברתי ושל זרוע העבודה פונה לפלח אוכלוסייה מצומצם מאוד וכרוכה בעלויות גבוהות לכל משתתף, ולפיכך נמנעת האפשרות להרחיבה</w:t>
      </w:r>
      <w:r w:rsidRPr="004076CC">
        <w:rPr>
          <w:rFonts w:hint="cs"/>
          <w:rtl/>
        </w:rPr>
        <w:t>;</w:t>
      </w:r>
      <w:r w:rsidRPr="004076CC">
        <w:rPr>
          <w:rtl/>
        </w:rPr>
        <w:t xml:space="preserve"> נמצא כי סף השליטה בשפה העברית שקבעו האוניברסיטאות וחלק מהמכללות לשם קבלה ללימודים מונע מצעירים ערבים רבים להשתלב באקדמיה בישראל, בשל רמת העברית הירודה של הצעירים והצעירות הערבים המסיימים את הלימודים במערכת החינוך הערבי. רבים מצעירים אלו הופכים בעל כורחם לחסרי מעש, ואחרים מוצאים פתרונות באוניברסיטאות ברשות הפלסטינית או טסים ללמוד מעבר לים. שילוב הצעירים הערבים חסרי המעש בחברה הישראלית ובשוק התעסוקה הוא אתגר מרכזי ומורכב העומד לפני ממשלת ישראל, ובפרט לגבי הצעירים הבדואים. עמידה באתגר זה בכוחה לצמצם פערים חברתיים-כלכליים, לשפר את הדימוי העצמי של הצעירים, לצמצם את היקפי הפשיעה בקרבם ולהביא לשיפור ברמת החיים ובפריון העבודה שלהם, ובכך לשפר את הפריון של המשק הישראלי בכללותו. מומלץ כי הממשלה תפעל לשלב צעירים אלה</w:t>
      </w:r>
      <w:r w:rsidRPr="004076CC">
        <w:rPr>
          <w:rFonts w:hint="cs"/>
          <w:rtl/>
        </w:rPr>
        <w:t>,</w:t>
      </w:r>
      <w:r w:rsidRPr="004076CC">
        <w:rPr>
          <w:rtl/>
        </w:rPr>
        <w:t xml:space="preserve"> בין השאר בהתאם להמלצות </w:t>
      </w:r>
      <w:r w:rsidRPr="004076CC">
        <w:rPr>
          <w:rFonts w:hint="cs"/>
          <w:rtl/>
        </w:rPr>
        <w:t>משרד מבקר המדינה.</w:t>
      </w:r>
    </w:p>
    <w:p w:rsidR="00654139" w:rsidRPr="004076CC" w:rsidP="004076CC" w14:paraId="574BBC90" w14:textId="40FD930A">
      <w:pPr>
        <w:pStyle w:val="7191"/>
        <w:numPr>
          <w:ilvl w:val="0"/>
          <w:numId w:val="47"/>
        </w:numPr>
        <w:spacing w:line="276" w:lineRule="auto"/>
      </w:pPr>
      <w:r w:rsidRPr="004076CC">
        <w:rPr>
          <w:rtl/>
        </w:rPr>
        <w:t xml:space="preserve">הדוח כולל </w:t>
      </w:r>
      <w:r w:rsidRPr="005A02E6">
        <w:rPr>
          <w:rtl/>
        </w:rPr>
        <w:t xml:space="preserve">פרק </w:t>
      </w:r>
      <w:r w:rsidR="00241BE5">
        <w:rPr>
          <w:rFonts w:hint="cs"/>
          <w:rtl/>
        </w:rPr>
        <w:t>בעניין</w:t>
      </w:r>
      <w:r w:rsidRPr="004076CC">
        <w:rPr>
          <w:b/>
          <w:bCs/>
          <w:rtl/>
        </w:rPr>
        <w:t xml:space="preserve"> פעולות הממשלה </w:t>
      </w:r>
      <w:r w:rsidRPr="00686976">
        <w:rPr>
          <w:b/>
          <w:bCs/>
          <w:rtl/>
        </w:rPr>
        <w:t>בנושא</w:t>
      </w:r>
      <w:r w:rsidRPr="004076CC">
        <w:rPr>
          <w:b/>
          <w:bCs/>
          <w:rtl/>
        </w:rPr>
        <w:t xml:space="preserve"> הדיור לאוכלוסייה החרדית</w:t>
      </w:r>
      <w:r w:rsidRPr="004076CC">
        <w:rPr>
          <w:rtl/>
        </w:rPr>
        <w:t xml:space="preserve">. על פי נתוני הלשכה המרכזית לסטטיסטיקה, בסוף שנת 2021 </w:t>
      </w:r>
      <w:r w:rsidRPr="004076CC">
        <w:rPr>
          <w:rtl/>
        </w:rPr>
        <w:t>נאמדה</w:t>
      </w:r>
      <w:r w:rsidRPr="004076CC">
        <w:rPr>
          <w:rtl/>
        </w:rPr>
        <w:t xml:space="preserve"> אוכלוסיית ישראל בכ-9.45 מיליון </w:t>
      </w:r>
      <w:r w:rsidRPr="004076CC" w:rsidR="004076CC">
        <w:rPr>
          <w:rFonts w:hint="cs"/>
          <w:rtl/>
        </w:rPr>
        <w:t>בני אדם</w:t>
      </w:r>
      <w:r w:rsidRPr="004076CC">
        <w:rPr>
          <w:rtl/>
        </w:rPr>
        <w:t xml:space="preserve">, מהם כ-1.2 מיליון (כ-13%) </w:t>
      </w:r>
      <w:r w:rsidRPr="004076CC" w:rsidR="004076CC">
        <w:rPr>
          <w:rFonts w:hint="cs"/>
          <w:rtl/>
        </w:rPr>
        <w:t>נמנו עם</w:t>
      </w:r>
      <w:r w:rsidRPr="004076CC">
        <w:rPr>
          <w:rtl/>
        </w:rPr>
        <w:t xml:space="preserve"> האוכלוסייה החרדית. </w:t>
      </w:r>
      <w:r w:rsidRPr="004076CC">
        <w:rPr>
          <w:rFonts w:hint="cs"/>
          <w:rtl/>
        </w:rPr>
        <w:t xml:space="preserve">מהביקורת </w:t>
      </w:r>
      <w:r w:rsidRPr="004076CC">
        <w:rPr>
          <w:rtl/>
        </w:rPr>
        <w:t xml:space="preserve">עלה </w:t>
      </w:r>
      <w:r w:rsidRPr="004076CC">
        <w:rPr>
          <w:rtl/>
        </w:rPr>
        <w:t xml:space="preserve">כי למול החלטת הממשלה אשר קבעה כי בשנים 2016 - 2035 נדרשת בנייתן של </w:t>
      </w:r>
      <w:r w:rsidR="004076CC">
        <w:rPr>
          <w:rtl/>
        </w:rPr>
        <w:br/>
      </w:r>
      <w:r w:rsidRPr="004076CC">
        <w:rPr>
          <w:rtl/>
        </w:rPr>
        <w:t xml:space="preserve">כ-200,000 </w:t>
      </w:r>
      <w:r w:rsidR="00495F37">
        <w:rPr>
          <w:rFonts w:hint="cs"/>
          <w:rtl/>
        </w:rPr>
        <w:t>יחידות דיור (</w:t>
      </w:r>
      <w:r w:rsidRPr="004076CC">
        <w:rPr>
          <w:rtl/>
        </w:rPr>
        <w:t>יח"ד</w:t>
      </w:r>
      <w:r w:rsidR="00495F37">
        <w:rPr>
          <w:rFonts w:hint="cs"/>
          <w:rtl/>
        </w:rPr>
        <w:t>)</w:t>
      </w:r>
      <w:r w:rsidRPr="004076CC">
        <w:rPr>
          <w:rtl/>
        </w:rPr>
        <w:t xml:space="preserve"> לאוכלוסייה החרדית ובממוצע כ-10,000 יח"ד לשנה, מספר </w:t>
      </w:r>
      <w:r w:rsidRPr="004076CC">
        <w:rPr>
          <w:rtl/>
        </w:rPr>
        <w:t>יחה"ד</w:t>
      </w:r>
      <w:r w:rsidRPr="004076CC">
        <w:rPr>
          <w:rtl/>
        </w:rPr>
        <w:t xml:space="preserve"> בתוכניות שהגישו משרד הבינוי</w:t>
      </w:r>
      <w:r w:rsidRPr="004076CC">
        <w:rPr>
          <w:rFonts w:hint="cs"/>
          <w:rtl/>
        </w:rPr>
        <w:t xml:space="preserve"> והשיכון</w:t>
      </w:r>
      <w:r w:rsidRPr="004076CC">
        <w:rPr>
          <w:rtl/>
        </w:rPr>
        <w:t xml:space="preserve"> </w:t>
      </w:r>
      <w:r w:rsidRPr="004076CC">
        <w:rPr>
          <w:rtl/>
        </w:rPr>
        <w:t>ורמ"י</w:t>
      </w:r>
      <w:r w:rsidRPr="004076CC">
        <w:rPr>
          <w:rtl/>
        </w:rPr>
        <w:t xml:space="preserve"> בשש השנים 2016 - 2021 היה </w:t>
      </w:r>
      <w:r w:rsidR="00495F37">
        <w:rPr>
          <w:rtl/>
        </w:rPr>
        <w:br/>
      </w:r>
      <w:r w:rsidRPr="004076CC">
        <w:rPr>
          <w:rtl/>
        </w:rPr>
        <w:t>כ-29,700</w:t>
      </w:r>
      <w:r w:rsidRPr="004076CC" w:rsidR="004076CC">
        <w:rPr>
          <w:rFonts w:hint="cs"/>
          <w:rtl/>
        </w:rPr>
        <w:t xml:space="preserve"> </w:t>
      </w:r>
      <w:r w:rsidRPr="004076CC">
        <w:rPr>
          <w:rtl/>
        </w:rPr>
        <w:t>יח"ד, שהן כ-76% מהיעד הממשלתי לשנים 2016 - 2018 ומהיקף התכנון הנדרש לפי אומדן צורכי הדיור לשנים 2019 - 2021 במצטבר</w:t>
      </w:r>
      <w:r w:rsidRPr="004076CC">
        <w:rPr>
          <w:rFonts w:hint="cs"/>
          <w:rtl/>
        </w:rPr>
        <w:t xml:space="preserve">; </w:t>
      </w:r>
      <w:r w:rsidRPr="004076CC">
        <w:rPr>
          <w:rtl/>
        </w:rPr>
        <w:t>היקף תוכניות הדיור לאוכלוסייה החרדית שאושרו בשנים 2017 - 2021 היה כ-4% מתוך כ-623,000 יח"ד שאושרו לכלל האוכלוסייה באותן שנים.</w:t>
      </w:r>
      <w:r w:rsidRPr="004076CC">
        <w:rPr>
          <w:rFonts w:hint="cs"/>
          <w:rtl/>
        </w:rPr>
        <w:t xml:space="preserve"> </w:t>
      </w:r>
      <w:r w:rsidRPr="004076CC">
        <w:rPr>
          <w:rtl/>
        </w:rPr>
        <w:t xml:space="preserve">כן עלה כי עד אוקטובר 2022 לא הניבה בחינת אפשרות ההרחבה בשטח השיפוט של יישובים חרדיים קיימים תוספת ניכרת של קרקעות לבניית יח"ד לאוכלוסייה החרדית. מומלץ כי משרד הבינוי - בתיאום עם המועצה הלאומית לכלכלה, </w:t>
      </w:r>
      <w:r w:rsidRPr="004076CC">
        <w:rPr>
          <w:rtl/>
        </w:rPr>
        <w:t>מינהל</w:t>
      </w:r>
      <w:r w:rsidRPr="004076CC">
        <w:rPr>
          <w:rtl/>
        </w:rPr>
        <w:t xml:space="preserve"> התכנון </w:t>
      </w:r>
      <w:r w:rsidRPr="004076CC">
        <w:rPr>
          <w:rtl/>
        </w:rPr>
        <w:t>ורמ"י</w:t>
      </w:r>
      <w:r w:rsidRPr="004076CC">
        <w:rPr>
          <w:rtl/>
        </w:rPr>
        <w:t xml:space="preserve"> וכן עם הרשות לפיתוח המגזר החרדי, לפי העניין - יביא לפני שר הבינוי והשיכון המלצות בדבר יעדי תכנון ושיווק קרקעות לאוכלוסייה החרדית, </w:t>
      </w:r>
      <w:r w:rsidRPr="004076CC">
        <w:rPr>
          <w:rFonts w:hint="cs"/>
          <w:rtl/>
        </w:rPr>
        <w:t>וכי הן</w:t>
      </w:r>
      <w:r w:rsidRPr="004076CC">
        <w:rPr>
          <w:rtl/>
        </w:rPr>
        <w:t xml:space="preserve"> יגובשו בהתאם </w:t>
      </w:r>
      <w:r w:rsidRPr="004076CC">
        <w:rPr>
          <w:rtl/>
        </w:rPr>
        <w:t>לאומדן</w:t>
      </w:r>
      <w:r w:rsidRPr="004076CC">
        <w:rPr>
          <w:rtl/>
        </w:rPr>
        <w:t xml:space="preserve"> עדכני של צורכי הדיור של האוכלוסייה החרדית ושל כלל האוכלוסייה ובהתחשב בפוטנציאל פתרונות הדיור שיכולה לקדם הממשלה.</w:t>
      </w:r>
      <w:r w:rsidRPr="004076CC">
        <w:rPr>
          <w:rFonts w:hint="cs"/>
          <w:rtl/>
        </w:rPr>
        <w:t xml:space="preserve"> </w:t>
      </w:r>
      <w:r w:rsidRPr="004076CC">
        <w:rPr>
          <w:rtl/>
        </w:rPr>
        <w:t xml:space="preserve">עוד מומלץ כי משרד הבינוי </w:t>
      </w:r>
      <w:r w:rsidRPr="004076CC">
        <w:rPr>
          <w:rtl/>
        </w:rPr>
        <w:t>ורמ"י</w:t>
      </w:r>
      <w:r w:rsidRPr="004076CC">
        <w:rPr>
          <w:rtl/>
        </w:rPr>
        <w:t xml:space="preserve">, בשיתוף </w:t>
      </w:r>
      <w:r w:rsidRPr="004076CC">
        <w:rPr>
          <w:rtl/>
        </w:rPr>
        <w:t>מינהל</w:t>
      </w:r>
      <w:r w:rsidRPr="004076CC">
        <w:rPr>
          <w:rtl/>
        </w:rPr>
        <w:t xml:space="preserve"> התכנון, יקדמו תכנון ושיווק </w:t>
      </w:r>
      <w:r w:rsidRPr="004076CC">
        <w:rPr>
          <w:rFonts w:hint="cs"/>
          <w:rtl/>
        </w:rPr>
        <w:t xml:space="preserve">של </w:t>
      </w:r>
      <w:r w:rsidRPr="004076CC">
        <w:rPr>
          <w:rtl/>
        </w:rPr>
        <w:t>קרקעות לאוכלוסייה החרדית בהיקף שייתן מענה על צורכי הדיור שלה, זאת בהתאם ליעדים שייקבעו ובהתחשב בפתרונות הדיור שאפשר ודרוש לקדם עבור כלל האוכלוסייה. כמו כן מומלץ שהרשות להתחדשות עירונית תקדם את תהליכי ההתחדשות העירונית בקרב האוכלוסייה החרדית, בשיתוף הרשויות המקומיות הרלוונטיות, לפי העניין, תוך שימת לב לחסמים הייחודיים לקידומה בקרב אוכלוסייה זו.</w:t>
      </w:r>
    </w:p>
    <w:p w:rsidR="00654139" w:rsidRPr="004076CC" w:rsidP="004076CC" w14:paraId="0F8DC29D" w14:textId="77777777">
      <w:pPr>
        <w:pStyle w:val="7191"/>
        <w:numPr>
          <w:ilvl w:val="0"/>
          <w:numId w:val="47"/>
        </w:numPr>
        <w:spacing w:line="276" w:lineRule="auto"/>
      </w:pPr>
      <w:r w:rsidRPr="004076CC">
        <w:rPr>
          <w:rtl/>
        </w:rPr>
        <w:t>מתקני ספורט הם פלטפורמה חשובה שמאפשרת לספורטאים להתאמן בסביבה ספורטיבית איכותית, ומכאן שהם רכיב הכרחי לקידום הספורט. בביקורת</w:t>
      </w:r>
      <w:r w:rsidRPr="004076CC">
        <w:rPr>
          <w:rFonts w:hint="cs"/>
          <w:rtl/>
        </w:rPr>
        <w:t xml:space="preserve"> </w:t>
      </w:r>
      <w:r w:rsidRPr="007602C0">
        <w:rPr>
          <w:rFonts w:hint="cs"/>
          <w:rtl/>
        </w:rPr>
        <w:t>בנושא</w:t>
      </w:r>
      <w:r w:rsidRPr="004076CC">
        <w:rPr>
          <w:rFonts w:hint="cs"/>
          <w:b/>
          <w:bCs/>
          <w:rtl/>
        </w:rPr>
        <w:t xml:space="preserve"> </w:t>
      </w:r>
      <w:r w:rsidRPr="004076CC">
        <w:rPr>
          <w:b/>
          <w:bCs/>
          <w:rtl/>
        </w:rPr>
        <w:t>הקמת מתקני ספורט, תחזוקתם והפעלתם</w:t>
      </w:r>
      <w:r w:rsidRPr="004076CC">
        <w:rPr>
          <w:rFonts w:hint="cs"/>
          <w:rtl/>
        </w:rPr>
        <w:t xml:space="preserve"> </w:t>
      </w:r>
      <w:r w:rsidRPr="004076CC">
        <w:rPr>
          <w:rtl/>
        </w:rPr>
        <w:t xml:space="preserve">עלה </w:t>
      </w:r>
      <w:r w:rsidRPr="004076CC">
        <w:rPr>
          <w:rFonts w:hint="cs"/>
          <w:rtl/>
        </w:rPr>
        <w:t xml:space="preserve">כי </w:t>
      </w:r>
      <w:r w:rsidRPr="004076CC">
        <w:rPr>
          <w:rtl/>
        </w:rPr>
        <w:t>באפריל 2022 אושרה תוכנית המתקנים הלאומית 2031 המיועדת לתקופה של כעשר שנים. תקציבה הוא 2.89 מיליארד ש"ח לכל התקופה למול פערים שמוערכים ב-14.9 מיליארד ש"ח</w:t>
      </w:r>
      <w:r w:rsidRPr="004076CC">
        <w:rPr>
          <w:rFonts w:hint="cs"/>
          <w:rtl/>
        </w:rPr>
        <w:t xml:space="preserve">; </w:t>
      </w:r>
      <w:r w:rsidRPr="004076CC">
        <w:rPr>
          <w:rtl/>
        </w:rPr>
        <w:t xml:space="preserve">בעוד מספר השחקנים הרשומים </w:t>
      </w:r>
      <w:r w:rsidRPr="004076CC">
        <w:rPr>
          <w:rFonts w:hint="cs"/>
          <w:rtl/>
        </w:rPr>
        <w:t>ב</w:t>
      </w:r>
      <w:r w:rsidRPr="004076CC">
        <w:rPr>
          <w:rtl/>
        </w:rPr>
        <w:t xml:space="preserve">עונת המשחקים 2011 - 2012 </w:t>
      </w:r>
      <w:r w:rsidRPr="004076CC">
        <w:rPr>
          <w:rFonts w:hint="cs"/>
          <w:rtl/>
        </w:rPr>
        <w:t>עלה ב</w:t>
      </w:r>
      <w:r w:rsidRPr="004076CC">
        <w:rPr>
          <w:rtl/>
        </w:rPr>
        <w:t>עונת המשחקים 2021 - 2022 בקרוב ל-12,000 שחקנים (עלייה בשיעור של 34%), מספר המגרשים הפעילים ומאושרים למשחקי ליגה עלה ב-15 (עלייה בשיעור של 6%)</w:t>
      </w:r>
      <w:r w:rsidRPr="004076CC">
        <w:rPr>
          <w:rFonts w:hint="cs"/>
          <w:rtl/>
        </w:rPr>
        <w:t xml:space="preserve">; </w:t>
      </w:r>
      <w:r w:rsidRPr="004076CC">
        <w:rPr>
          <w:rtl/>
        </w:rPr>
        <w:t>למרות מצבו של כדורגל הנשים בארץ, משרד הספורט וההתאחדות לכדורגל לא פעלו כדי לאפשר הזדמנות נאותה לכדורגלניות בכל הגילים להתאמן ולשחק במגרשי הכדורגל באופן שוויוני ומכבד. מומלץ שמשרד הספורט יפעל עם המועצה הלאומית לספורט לקידום תכנון ארוך טווח של מתקני הספורט והקצאת השטחים למתקני הספורט בהתחשב בצורכי הספורט, בגידול באוכלוסייה, בתשתיות התחבורה העתידיות ובבנייה של ערים ושכונות חדשות. מוצע גם שהמשרד יקדם עם הרשויות תוכנית מקיפה לשדרוג ו</w:t>
      </w:r>
      <w:r w:rsidRPr="004076CC">
        <w:rPr>
          <w:rFonts w:hint="cs"/>
          <w:rtl/>
        </w:rPr>
        <w:t>ל</w:t>
      </w:r>
      <w:r w:rsidRPr="004076CC">
        <w:rPr>
          <w:rtl/>
        </w:rPr>
        <w:t>שיפוץ של מתקני הספורט כדי שינוצלו באופן יעיל יותר לאורך השנה ובאופן שיעמוד בתקני בטיחות וכן פתיחה של מגרשי הספורט החיצוניים לקהילה ככל שניתן כדי לנצלם באופן יעיל יותר לטובת הציבור. עוד מומלץ שמשרד הספורט יקים מערך פיקוח ובקרה לוודא את עמידת הרשויות בהתחייבויותיהן ו</w:t>
      </w:r>
      <w:r w:rsidRPr="004076CC">
        <w:rPr>
          <w:rFonts w:hint="cs"/>
          <w:rtl/>
        </w:rPr>
        <w:t xml:space="preserve">כן </w:t>
      </w:r>
      <w:r w:rsidRPr="004076CC">
        <w:rPr>
          <w:rtl/>
        </w:rPr>
        <w:t>יוודא מול הרשויות שכל המידע על זמינות מתקני הספורט שפתוחים לשימוש הקהילה יפורסם הן על גבי שילוט מתאים במתקני הספורט עצמם והן באתר</w:t>
      </w:r>
      <w:r w:rsidRPr="004076CC">
        <w:rPr>
          <w:rFonts w:hint="cs"/>
          <w:rtl/>
        </w:rPr>
        <w:t>י</w:t>
      </w:r>
      <w:r w:rsidRPr="004076CC">
        <w:rPr>
          <w:rtl/>
        </w:rPr>
        <w:t xml:space="preserve"> </w:t>
      </w:r>
      <w:r w:rsidRPr="004076CC">
        <w:rPr>
          <w:rFonts w:hint="cs"/>
          <w:rtl/>
        </w:rPr>
        <w:t>הרשויות במרשתת</w:t>
      </w:r>
      <w:r w:rsidRPr="004076CC">
        <w:rPr>
          <w:rtl/>
        </w:rPr>
        <w:t>.</w:t>
      </w:r>
    </w:p>
    <w:p w:rsidR="00654139" w:rsidRPr="004076CC" w:rsidP="004076CC" w14:paraId="4C6FB137" w14:textId="77777777">
      <w:pPr>
        <w:pStyle w:val="7191"/>
        <w:numPr>
          <w:ilvl w:val="0"/>
          <w:numId w:val="47"/>
        </w:numPr>
        <w:spacing w:line="276" w:lineRule="auto"/>
        <w:rPr>
          <w:rtl/>
        </w:rPr>
      </w:pPr>
      <w:r w:rsidRPr="004076CC">
        <w:rPr>
          <w:rtl/>
        </w:rPr>
        <w:t>הטיפול המערכתי בעבירות שוטרים מפוצל בין שני מערכים: ככלל, הטיפול בתלונות החמורות יותר מבוצע באמצעות מח"ש הפועלת במסגרת פרקליטות המדינה ורשויות התביעה</w:t>
      </w:r>
      <w:r w:rsidRPr="004076CC">
        <w:rPr>
          <w:rFonts w:hint="cs"/>
          <w:rtl/>
        </w:rPr>
        <w:t>,</w:t>
      </w:r>
      <w:r w:rsidRPr="004076CC">
        <w:rPr>
          <w:rtl/>
        </w:rPr>
        <w:t xml:space="preserve"> ואילו הטיפול בעבירות חמורות פחות הוא בסמכות המשטרה וחטיבת התביעות במשטרה. </w:t>
      </w:r>
      <w:r w:rsidRPr="004076CC">
        <w:rPr>
          <w:rFonts w:hint="cs"/>
          <w:rtl/>
        </w:rPr>
        <w:t xml:space="preserve">ממצאי הביקורת </w:t>
      </w:r>
      <w:r w:rsidRPr="007602C0">
        <w:rPr>
          <w:rFonts w:hint="cs"/>
          <w:rtl/>
        </w:rPr>
        <w:t>בנושא</w:t>
      </w:r>
      <w:r w:rsidRPr="004076CC">
        <w:rPr>
          <w:rFonts w:hint="cs"/>
          <w:b/>
          <w:bCs/>
          <w:rtl/>
        </w:rPr>
        <w:t xml:space="preserve"> הטיפול של מח"ש והמשטרה בעבירות שוטרים</w:t>
      </w:r>
      <w:r w:rsidRPr="004076CC">
        <w:rPr>
          <w:rFonts w:hint="cs"/>
          <w:rtl/>
        </w:rPr>
        <w:t xml:space="preserve"> </w:t>
      </w:r>
      <w:r w:rsidRPr="004076CC">
        <w:rPr>
          <w:rtl/>
        </w:rPr>
        <w:t xml:space="preserve">מציגים לפני הגורמים האמונים על הטיפול בעבירות שוטרים שלושה אתגרים מרכזיים: </w:t>
      </w:r>
      <w:r w:rsidRPr="004076CC">
        <w:rPr>
          <w:rFonts w:hint="eastAsia"/>
          <w:u w:val="single"/>
          <w:rtl/>
        </w:rPr>
        <w:t>האתגר</w:t>
      </w:r>
      <w:r w:rsidRPr="004076CC">
        <w:rPr>
          <w:u w:val="single"/>
          <w:rtl/>
        </w:rPr>
        <w:t xml:space="preserve"> </w:t>
      </w:r>
      <w:r w:rsidRPr="004076CC">
        <w:rPr>
          <w:rFonts w:hint="eastAsia"/>
          <w:u w:val="single"/>
          <w:rtl/>
        </w:rPr>
        <w:t>הראשון</w:t>
      </w:r>
      <w:r w:rsidRPr="004076CC">
        <w:rPr>
          <w:rtl/>
        </w:rPr>
        <w:t xml:space="preserve"> עניינו שאלת המבנה המערכתי-ארגוני המיטבי לטיפול בעבירות שוטרים בכל רמות החומרה - יש השפעות לשיוך המוסדי של הגופים הנמנים עם המערך, בדגש על השיוך של מח"ש לפרקליטות המדינה ושל מחלקת משמעת במשטרה לאגף משאבי אנוש של המשטרה </w:t>
      </w:r>
      <w:r w:rsidRPr="004076CC">
        <w:rPr>
          <w:rFonts w:hint="cs"/>
          <w:rtl/>
        </w:rPr>
        <w:t>ו</w:t>
      </w:r>
      <w:r w:rsidRPr="004076CC">
        <w:rPr>
          <w:rtl/>
        </w:rPr>
        <w:t xml:space="preserve">על יכולתם להבטיח עצמאות תפקודית מלאה. מומלץ כי היועצת המשפטית לממשלה תוביל עבודת מטה שבה ישתתפו כל גורמי המקצוע הרלוונטיים, לרבות נציגים ממשרד המשפטים ומהמשרד לביטחון לאומי. במסגרת עבודת המטה מומלץ כי ייבחנו שיוכם המוסדי והכפיפות הארגונית של הגופים האמונים על הטיפול בתלונות ושל העומדים בראשם, וכי תתבצע השוואה בין מערך תפקודי זה לטיפול בתלונות נגד שוטרים ובין מודלים אחרים הקיימים במדינות העולם, של המערכים התפקודיים השונים לטיפול בתלונות נגד שוטרים, בדגש על הצורך בהבטחת טיפול כולל ומערכתי, יעיל ועצמאי שיבטיח טיפול אפקטיבי במערך חקירות השוטרים </w:t>
      </w:r>
      <w:r w:rsidRPr="004076CC">
        <w:rPr>
          <w:rFonts w:hint="cs"/>
          <w:rtl/>
        </w:rPr>
        <w:t>ו</w:t>
      </w:r>
      <w:r w:rsidRPr="004076CC">
        <w:rPr>
          <w:rtl/>
        </w:rPr>
        <w:t>בתלונות נגד שוטרים. מומלץ כי ההמלצות שיתבססו על ממצאי הבחינה בנושא יובאו לפני השר לביטחון לאומי ושר המשפטים.</w:t>
      </w:r>
    </w:p>
    <w:p w:rsidR="00654139" w:rsidRPr="004076CC" w:rsidP="004076CC" w14:paraId="73EE5CF3" w14:textId="77777777">
      <w:pPr>
        <w:pStyle w:val="7191"/>
        <w:spacing w:line="276" w:lineRule="auto"/>
        <w:ind w:left="397"/>
        <w:rPr>
          <w:rtl/>
        </w:rPr>
      </w:pPr>
      <w:r w:rsidRPr="004076CC">
        <w:rPr>
          <w:u w:val="single"/>
          <w:rtl/>
        </w:rPr>
        <w:t>האתגר השני</w:t>
      </w:r>
      <w:r w:rsidRPr="004076CC">
        <w:rPr>
          <w:rtl/>
        </w:rPr>
        <w:t xml:space="preserve"> עניינו יכולותיה המבצעיות של מח"ש - בתחום זה נמצאו ליקויים מהותיים ובכלל</w:t>
      </w:r>
      <w:r w:rsidRPr="004076CC">
        <w:rPr>
          <w:rFonts w:hint="cs"/>
          <w:rtl/>
        </w:rPr>
        <w:t>ם</w:t>
      </w:r>
      <w:r w:rsidRPr="004076CC">
        <w:rPr>
          <w:rtl/>
        </w:rPr>
        <w:t xml:space="preserve"> הסמכויות שהוקנו בדין לאגף חקירות ומודיעין במח"ש לצורך מילוי תפקידו; הידע המקצועי והמיומנות של החוקרים; והמשאבים העומדים לרשות האגף ועובדיו. היבטים אלו משליכים על תפקודה של מח"ש כיחידה מבצעית, עצמאית ויוזמת. </w:t>
      </w:r>
    </w:p>
    <w:p w:rsidR="00654139" w:rsidRPr="004076CC" w:rsidP="004076CC" w14:paraId="1A70CB8B" w14:textId="77777777">
      <w:pPr>
        <w:pStyle w:val="7191"/>
        <w:spacing w:line="276" w:lineRule="auto"/>
        <w:ind w:left="397"/>
        <w:rPr>
          <w:rtl/>
        </w:rPr>
      </w:pPr>
      <w:r w:rsidRPr="004076CC">
        <w:rPr>
          <w:u w:val="single"/>
          <w:rtl/>
        </w:rPr>
        <w:t>האתגר השלישי</w:t>
      </w:r>
      <w:r w:rsidRPr="004076CC">
        <w:rPr>
          <w:rtl/>
        </w:rPr>
        <w:t xml:space="preserve"> עניינו יכולותיה של המשטרה לטפל במישור המשמעתי, הארגוני והפיקודי בכל המידע שמועבר אליה - נמצאו קשיים בקשרי הגומלין בין מח"ש למשטרה; היעדר הנחיות או קווים מנחים</w:t>
      </w:r>
      <w:r w:rsidRPr="004076CC">
        <w:rPr>
          <w:rFonts w:hint="cs"/>
          <w:rtl/>
        </w:rPr>
        <w:t xml:space="preserve"> בנוגע</w:t>
      </w:r>
      <w:r w:rsidRPr="004076CC">
        <w:rPr>
          <w:rtl/>
        </w:rPr>
        <w:t xml:space="preserve"> לקבלת החלטה על ניתוב התיקים למסלולי טיפול שונים; תקופות השעיה ארוכות של שוטרים</w:t>
      </w:r>
      <w:r w:rsidRPr="004076CC">
        <w:rPr>
          <w:rFonts w:hint="cs"/>
          <w:rtl/>
        </w:rPr>
        <w:t xml:space="preserve"> (</w:t>
      </w:r>
      <w:r w:rsidRPr="004076CC">
        <w:rPr>
          <w:rtl/>
        </w:rPr>
        <w:t>כשנה וחצי בממוצע</w:t>
      </w:r>
      <w:r w:rsidRPr="004076CC">
        <w:rPr>
          <w:rFonts w:hint="cs"/>
          <w:rtl/>
        </w:rPr>
        <w:t>),</w:t>
      </w:r>
      <w:r w:rsidRPr="004076CC">
        <w:rPr>
          <w:rtl/>
        </w:rPr>
        <w:t xml:space="preserve"> שעלותן למשטרה </w:t>
      </w:r>
      <w:r w:rsidRPr="004076CC">
        <w:rPr>
          <w:rFonts w:hint="cs"/>
          <w:rtl/>
        </w:rPr>
        <w:t>הסתכמה</w:t>
      </w:r>
      <w:r w:rsidRPr="004076CC">
        <w:rPr>
          <w:rtl/>
        </w:rPr>
        <w:t xml:space="preserve"> ב</w:t>
      </w:r>
      <w:r w:rsidRPr="004076CC">
        <w:rPr>
          <w:rFonts w:hint="cs"/>
          <w:rtl/>
        </w:rPr>
        <w:t xml:space="preserve">-9.7 </w:t>
      </w:r>
      <w:r w:rsidRPr="004076CC">
        <w:rPr>
          <w:rtl/>
        </w:rPr>
        <w:t>מיליוני ש"ח</w:t>
      </w:r>
      <w:r w:rsidRPr="004076CC">
        <w:rPr>
          <w:rFonts w:hint="cs"/>
          <w:rtl/>
        </w:rPr>
        <w:t>,</w:t>
      </w:r>
      <w:r w:rsidRPr="004076CC">
        <w:rPr>
          <w:rtl/>
        </w:rPr>
        <w:t xml:space="preserve"> וליקויים בהליכי הטיפול בעבירות משמעת של מתנדבים במשטרה.</w:t>
      </w:r>
    </w:p>
    <w:p w:rsidR="00654139" w:rsidRPr="004076CC" w:rsidP="007602C0" w14:paraId="743D514F" w14:textId="77777777">
      <w:pPr>
        <w:pStyle w:val="7191"/>
        <w:spacing w:line="276" w:lineRule="auto"/>
        <w:ind w:left="397"/>
        <w:rPr>
          <w:rtl/>
        </w:rPr>
      </w:pPr>
      <w:r w:rsidRPr="004076CC">
        <w:rPr>
          <w:rtl/>
        </w:rPr>
        <w:t>שר המשפטים, השר לביטחון לאומי והיועצת המשפטית לממשלה נדרשים לבחון</w:t>
      </w:r>
      <w:r w:rsidRPr="004076CC">
        <w:rPr>
          <w:rFonts w:hint="cs"/>
          <w:rtl/>
        </w:rPr>
        <w:t>,</w:t>
      </w:r>
      <w:r w:rsidRPr="004076CC">
        <w:rPr>
          <w:rtl/>
        </w:rPr>
        <w:t xml:space="preserve"> בשיתוף מח"ש והמשטרה</w:t>
      </w:r>
      <w:r w:rsidRPr="004076CC">
        <w:rPr>
          <w:rFonts w:hint="cs"/>
          <w:rtl/>
        </w:rPr>
        <w:t>,</w:t>
      </w:r>
      <w:r w:rsidRPr="004076CC">
        <w:rPr>
          <w:rtl/>
        </w:rPr>
        <w:t xml:space="preserve"> את הליקויים שהועלו בדוח זה ולפעול לתיקונם.</w:t>
      </w:r>
    </w:p>
    <w:p w:rsidR="00654139" w:rsidRPr="004076CC" w:rsidP="004076CC" w14:paraId="6F653E48" w14:textId="77777777">
      <w:pPr>
        <w:pStyle w:val="7191"/>
        <w:numPr>
          <w:ilvl w:val="0"/>
          <w:numId w:val="47"/>
        </w:numPr>
        <w:spacing w:line="276" w:lineRule="auto"/>
        <w:rPr>
          <w:spacing w:val="-2"/>
          <w:rtl/>
        </w:rPr>
      </w:pPr>
      <w:r w:rsidRPr="004076CC">
        <w:rPr>
          <w:spacing w:val="-2"/>
          <w:rtl/>
        </w:rPr>
        <w:t xml:space="preserve">חלב ומוצריו הם מקור אספקה עיקרי לחלבון מן החי ולסידן בתזונה הישראלית הממוצעת. המדינה מתכננת את ענף החלב בישראל לאורך כל שרשרת הייצור עוד </w:t>
      </w:r>
      <w:r w:rsidRPr="004076CC">
        <w:rPr>
          <w:spacing w:val="-2"/>
          <w:rtl/>
        </w:rPr>
        <w:t>מטרם</w:t>
      </w:r>
      <w:r w:rsidRPr="004076CC">
        <w:rPr>
          <w:spacing w:val="-2"/>
          <w:rtl/>
        </w:rPr>
        <w:t xml:space="preserve"> קום המדינה. תכנון ענף החלב מיושם באמצעות פיקוח המדינה על כמויות ייצור החלב בהתאם למכסות המוקצות ליצרנים, על המחיר שמשלמות המחלבות לרפתנים לליטר חלב (מחיר המטרה), על היקף היבוא של מוצרי החלב ועל המחיר לצרכן של מוצרי החלב המפוקחים. </w:t>
      </w:r>
      <w:r w:rsidRPr="004076CC">
        <w:rPr>
          <w:rFonts w:hint="cs"/>
          <w:spacing w:val="-2"/>
          <w:rtl/>
        </w:rPr>
        <w:t xml:space="preserve">הביקורת בנושא </w:t>
      </w:r>
      <w:r w:rsidRPr="004076CC">
        <w:rPr>
          <w:rFonts w:hint="cs"/>
          <w:b/>
          <w:bCs/>
          <w:spacing w:val="-2"/>
          <w:rtl/>
        </w:rPr>
        <w:t>ענף החלב בישראל</w:t>
      </w:r>
      <w:r w:rsidRPr="004076CC">
        <w:rPr>
          <w:rFonts w:hint="cs"/>
          <w:spacing w:val="-2"/>
          <w:rtl/>
        </w:rPr>
        <w:t xml:space="preserve"> העלתה כי </w:t>
      </w:r>
      <w:r w:rsidRPr="004076CC">
        <w:rPr>
          <w:spacing w:val="-2"/>
          <w:rtl/>
        </w:rPr>
        <w:t>מחיר החלב הגולמי בישראל</w:t>
      </w:r>
      <w:r w:rsidRPr="004076CC">
        <w:rPr>
          <w:rFonts w:hint="cs"/>
          <w:spacing w:val="-2"/>
          <w:rtl/>
        </w:rPr>
        <w:t>,</w:t>
      </w:r>
      <w:r w:rsidRPr="004076CC">
        <w:rPr>
          <w:spacing w:val="-2"/>
          <w:rtl/>
        </w:rPr>
        <w:t xml:space="preserve"> הנאמד בכ-62.04 יורו למאה ק"ג חלב (כ-219 ש"ח)</w:t>
      </w:r>
      <w:r w:rsidRPr="004076CC">
        <w:rPr>
          <w:rFonts w:hint="cs"/>
          <w:spacing w:val="-2"/>
          <w:rtl/>
        </w:rPr>
        <w:t>,</w:t>
      </w:r>
      <w:r w:rsidRPr="004076CC">
        <w:rPr>
          <w:spacing w:val="-2"/>
          <w:rtl/>
        </w:rPr>
        <w:t xml:space="preserve"> גבוה בשיעור של כ-24% מ</w:t>
      </w:r>
      <w:r w:rsidRPr="004076CC">
        <w:rPr>
          <w:rFonts w:hint="cs"/>
          <w:spacing w:val="-2"/>
          <w:rtl/>
        </w:rPr>
        <w:t xml:space="preserve">מחיר החלב </w:t>
      </w:r>
      <w:r w:rsidRPr="004076CC">
        <w:rPr>
          <w:spacing w:val="-2"/>
          <w:rtl/>
        </w:rPr>
        <w:t>הממוצע במדינות האיחוד האירופי</w:t>
      </w:r>
      <w:r w:rsidRPr="004076CC">
        <w:rPr>
          <w:rFonts w:hint="cs"/>
          <w:spacing w:val="-2"/>
          <w:rtl/>
        </w:rPr>
        <w:t>,</w:t>
      </w:r>
      <w:r w:rsidRPr="004076CC">
        <w:rPr>
          <w:spacing w:val="-2"/>
          <w:rtl/>
        </w:rPr>
        <w:t xml:space="preserve"> הנאמד בכ-50.17 יורו למאה ק"ג חלב (כ-177 ש"ח). בעשור האחרון הצטמצם הפער בין מחיר החלב הגולמי בישראל </w:t>
      </w:r>
      <w:r w:rsidRPr="004076CC">
        <w:rPr>
          <w:rFonts w:hint="cs"/>
          <w:spacing w:val="-2"/>
          <w:rtl/>
        </w:rPr>
        <w:t>למחיר החלב הממוצע</w:t>
      </w:r>
      <w:r w:rsidRPr="004076CC">
        <w:rPr>
          <w:spacing w:val="-2"/>
          <w:rtl/>
        </w:rPr>
        <w:t xml:space="preserve"> במדינות האיחוד האירופי</w:t>
      </w:r>
      <w:r w:rsidRPr="004076CC">
        <w:rPr>
          <w:rFonts w:hint="cs"/>
          <w:spacing w:val="-2"/>
          <w:rtl/>
        </w:rPr>
        <w:t xml:space="preserve">; </w:t>
      </w:r>
      <w:r w:rsidRPr="004076CC">
        <w:rPr>
          <w:spacing w:val="-2"/>
          <w:rtl/>
        </w:rPr>
        <w:t xml:space="preserve">ממוצע תנובת החלב השנתית לפרה בישראל </w:t>
      </w:r>
      <w:r w:rsidRPr="004076CC">
        <w:rPr>
          <w:rFonts w:hint="cs"/>
          <w:spacing w:val="-2"/>
          <w:rtl/>
        </w:rPr>
        <w:t>הוא</w:t>
      </w:r>
      <w:r w:rsidRPr="004076CC">
        <w:rPr>
          <w:spacing w:val="-2"/>
          <w:rtl/>
        </w:rPr>
        <w:t xml:space="preserve"> הגבוה ביותר בעולם</w:t>
      </w:r>
      <w:r w:rsidRPr="004076CC">
        <w:rPr>
          <w:rFonts w:hint="cs"/>
          <w:spacing w:val="-2"/>
          <w:rtl/>
        </w:rPr>
        <w:t xml:space="preserve"> - 12,003 ק"ג. בישראל 686 רפתות, מתוכן 440 באזורי עדיפות לאומית. </w:t>
      </w:r>
      <w:r w:rsidRPr="004076CC">
        <w:rPr>
          <w:spacing w:val="-2"/>
          <w:rtl/>
        </w:rPr>
        <w:t xml:space="preserve">מממצאי </w:t>
      </w:r>
      <w:r w:rsidRPr="004076CC">
        <w:rPr>
          <w:rFonts w:hint="cs"/>
          <w:spacing w:val="-2"/>
          <w:rtl/>
        </w:rPr>
        <w:t>ביקורת זו</w:t>
      </w:r>
      <w:r w:rsidRPr="004076CC">
        <w:rPr>
          <w:spacing w:val="-2"/>
          <w:rtl/>
        </w:rPr>
        <w:t xml:space="preserve"> עולים ליקויים </w:t>
      </w:r>
      <w:r w:rsidRPr="004076CC">
        <w:rPr>
          <w:spacing w:val="-2"/>
          <w:rtl/>
        </w:rPr>
        <w:t>באסדרת</w:t>
      </w:r>
      <w:r w:rsidRPr="004076CC">
        <w:rPr>
          <w:spacing w:val="-2"/>
          <w:rtl/>
        </w:rPr>
        <w:t xml:space="preserve"> המדינה את פעילות הענף בשלושה מישורים מרכזיים: (א) מחיר החלב בישראל, שהוא גבוה יותר מרוב מדינות האיחוד האירופי - בהיבט הזה הדוח כולל ממצאים בנוגע להליך קביעת מחיר המטרה של חלב גולמי בישראל. כמו כן הדוח עוסק במצב ולפיו זה שנים ארוכות שמדינת ישראל אינה עומדת בהתחייבויותיה לארגון הסחר העולמי למעבר מתמיכות עקיפות, ובהן תכנון הענף, לתמיכות ישירות; (ב) הבטחת רווחת בעלי החיים - על פי הערכת גורמי המקצוע במשרד החקלאות, כ-20% מהרפתות בישראל נמצאות במצב חמור מאוד מבחינת רווחת </w:t>
      </w:r>
      <w:r w:rsidRPr="004076CC">
        <w:rPr>
          <w:rFonts w:hint="cs"/>
          <w:spacing w:val="-2"/>
          <w:rtl/>
        </w:rPr>
        <w:t>הפרות</w:t>
      </w:r>
      <w:r w:rsidRPr="004076CC">
        <w:rPr>
          <w:spacing w:val="-2"/>
          <w:rtl/>
        </w:rPr>
        <w:t xml:space="preserve">, אך הפיקוח בתחום זה חסר, ולא הותקנו תקנות פרטניות </w:t>
      </w:r>
      <w:r w:rsidRPr="004076CC">
        <w:rPr>
          <w:spacing w:val="-2"/>
          <w:rtl/>
        </w:rPr>
        <w:t>החיוניות למניעת צער בעלי חיים; (ג) הבטחת האספקה הסדירה וצמצום המחסור בחלב בתקופת החגים היהודיים לצד הימנעות ככל האפשר משפיכת חלב. בשנת 2021 המחסור הסתכם בכ-3 מיליון ליטר חלב מפוסטר, שהוא 9% מהצריכה החודשית הממוצעת של חלב מפוסטר.</w:t>
      </w:r>
      <w:r w:rsidRPr="004076CC">
        <w:rPr>
          <w:rFonts w:hint="cs"/>
          <w:spacing w:val="-2"/>
          <w:rtl/>
        </w:rPr>
        <w:t xml:space="preserve"> </w:t>
      </w:r>
      <w:r w:rsidRPr="004076CC">
        <w:rPr>
          <w:spacing w:val="-2"/>
          <w:rtl/>
        </w:rPr>
        <w:t>מו</w:t>
      </w:r>
      <w:r w:rsidRPr="004076CC">
        <w:rPr>
          <w:rFonts w:hint="cs"/>
          <w:spacing w:val="-2"/>
          <w:rtl/>
        </w:rPr>
        <w:t>מלץ</w:t>
      </w:r>
      <w:r w:rsidRPr="004076CC">
        <w:rPr>
          <w:spacing w:val="-2"/>
          <w:rtl/>
        </w:rPr>
        <w:t xml:space="preserve"> כי כל עוד מתקיים בישראל משטר תכנון של ענף החלב, ינתחו משרדי החקלאות והאוצר את הגורמים המשפיעים על עלויות ייצור החלב בישראל ויבחנו את הדרכים לשיפור ההתייעלות בענף ולהפחתת מחיר המטרה באופן שישפיע על המחיר הסופי של החלב ומוצריו לצרכן תוך שמירה על איכות החלב. כן מומלץ כי משרד החקלאות ומשרד האוצר יפעלו ליישומן של המלצות ה-</w:t>
      </w:r>
      <w:r w:rsidRPr="004076CC">
        <w:rPr>
          <w:spacing w:val="-2"/>
        </w:rPr>
        <w:t>OECD</w:t>
      </w:r>
      <w:r w:rsidRPr="004076CC">
        <w:rPr>
          <w:spacing w:val="-2"/>
          <w:rtl/>
        </w:rPr>
        <w:t xml:space="preserve"> והמלצות מבקר המדינה משנת 2018 בכל הנוגע למעבר מתמיכות עקיפות לתמיכות ישירות בענף החלב. לצד זאת, על משרד החקלאות לפעול לשיפור רווחתן של הפרות באמצעות הגברת הפיקוח על המצב ברפתות וקידום אסדרה חוקית מתאימה.</w:t>
      </w:r>
    </w:p>
    <w:p w:rsidR="00654139" w:rsidRPr="004076CC" w:rsidP="004076CC" w14:paraId="1A13304B" w14:textId="623D0086">
      <w:pPr>
        <w:pStyle w:val="7191"/>
        <w:spacing w:line="276" w:lineRule="auto"/>
        <w:rPr>
          <w:rtl/>
        </w:rPr>
      </w:pPr>
      <w:r w:rsidRPr="004076CC">
        <w:rPr>
          <w:rFonts w:hint="cs"/>
          <w:rtl/>
        </w:rPr>
        <w:t>בדוח זה מובאים גם ממצאים של ארבע מעקב</w:t>
      </w:r>
      <w:r w:rsidR="00686976">
        <w:rPr>
          <w:rFonts w:hint="cs"/>
          <w:rtl/>
        </w:rPr>
        <w:t xml:space="preserve"> בנושאים האלה</w:t>
      </w:r>
      <w:r w:rsidR="005A02E6">
        <w:t>:</w:t>
      </w:r>
      <w:r w:rsidRPr="004076CC">
        <w:rPr>
          <w:rFonts w:hint="cs"/>
          <w:rtl/>
        </w:rPr>
        <w:t xml:space="preserve"> </w:t>
      </w:r>
      <w:r w:rsidRPr="004076CC">
        <w:rPr>
          <w:rFonts w:hint="cs"/>
          <w:b/>
          <w:bCs/>
          <w:rtl/>
        </w:rPr>
        <w:t>מערך ההדרכה בשירות המדינה; השימוש בחומרי הדברה בירקות ובפירות; התמודדות משטרת ישראל עם הפשיעה החקלאית</w:t>
      </w:r>
      <w:r w:rsidRPr="009B4169">
        <w:rPr>
          <w:rFonts w:hint="cs"/>
          <w:b/>
          <w:bCs/>
          <w:rtl/>
        </w:rPr>
        <w:t>; אכיפה בתחומי הגנת הסביבה</w:t>
      </w:r>
      <w:r w:rsidRPr="004076CC">
        <w:rPr>
          <w:rFonts w:hint="cs"/>
          <w:rtl/>
        </w:rPr>
        <w:t xml:space="preserve">. מעקב אחר תיקון ליקויים שהועלו בדוחות קודמים הוא כלי חשוב שמטרתו לוודא כי הגופים המבוקרים אכן תיקנו את הנדרש, ובכוונתי להרחיב את היקף ביקורות המעקב ולשכלל את אופן ביצוען. </w:t>
      </w:r>
    </w:p>
    <w:p w:rsidR="00654139" w:rsidRPr="004076CC" w:rsidP="004076CC" w14:paraId="6D306285" w14:textId="77777777">
      <w:pPr>
        <w:pStyle w:val="7191"/>
        <w:spacing w:line="276" w:lineRule="auto"/>
        <w:rPr>
          <w:b/>
          <w:bCs/>
          <w:rtl/>
        </w:rPr>
      </w:pPr>
      <w:r w:rsidRPr="004076CC">
        <w:rPr>
          <w:rFonts w:hint="cs"/>
          <w:b/>
          <w:bCs/>
          <w:rtl/>
        </w:rPr>
        <w:t>הכנתו של הדוח הצריכה מאמץ רב של עובדי משרד מבקר המדינה, אשר ממלאים את תפקידם הציבורי מתוך הרגשת שליחות של ממש. אלה עמלו על הכנת הדוח במלוא המקצועיות, היסודיות, ההגינות והקפדנות, ותודתי נתונה להם.</w:t>
      </w:r>
    </w:p>
    <w:p w:rsidR="00654139" w:rsidRPr="004076CC" w:rsidP="004076CC" w14:paraId="744067C6" w14:textId="77777777">
      <w:pPr>
        <w:pStyle w:val="7191"/>
        <w:spacing w:line="276" w:lineRule="auto"/>
        <w:rPr>
          <w:rtl/>
        </w:rPr>
      </w:pPr>
      <w:r w:rsidRPr="004076CC">
        <w:rPr>
          <w:rFonts w:hint="cs"/>
          <w:rtl/>
        </w:rPr>
        <w:t xml:space="preserve">לסיכום, דוח זה מקיף נושאים רבים ומגוונים; כל אחד ואחד מהפרקים המופיעים בו פותח לפני הציבור, ובתוכו מקבלי ההחלטות, צוהר לפעילות הגופים המבוקרים. בכך הוא מסייע בידי כולנו להבטיח את תקינות השירות הציבורי במדינת ישראל </w:t>
      </w:r>
      <w:r w:rsidRPr="004076CC">
        <w:rPr>
          <w:rFonts w:hint="eastAsia"/>
          <w:rtl/>
        </w:rPr>
        <w:t>ומעלה</w:t>
      </w:r>
      <w:r w:rsidRPr="004076CC">
        <w:rPr>
          <w:rtl/>
        </w:rPr>
        <w:t xml:space="preserve"> </w:t>
      </w:r>
      <w:r w:rsidRPr="004076CC">
        <w:rPr>
          <w:rFonts w:hint="eastAsia"/>
          <w:rtl/>
        </w:rPr>
        <w:t>תרומה</w:t>
      </w:r>
      <w:r w:rsidRPr="004076CC">
        <w:rPr>
          <w:rtl/>
        </w:rPr>
        <w:t xml:space="preserve"> </w:t>
      </w:r>
      <w:r w:rsidRPr="004076CC">
        <w:rPr>
          <w:rFonts w:hint="eastAsia"/>
          <w:rtl/>
        </w:rPr>
        <w:t>נכבדה</w:t>
      </w:r>
      <w:r w:rsidRPr="004076CC">
        <w:rPr>
          <w:rtl/>
        </w:rPr>
        <w:t xml:space="preserve"> </w:t>
      </w:r>
      <w:r w:rsidRPr="004076CC">
        <w:rPr>
          <w:rFonts w:hint="eastAsia"/>
          <w:rtl/>
        </w:rPr>
        <w:t>להגברת</w:t>
      </w:r>
      <w:r w:rsidRPr="004076CC">
        <w:rPr>
          <w:rtl/>
        </w:rPr>
        <w:t xml:space="preserve"> </w:t>
      </w:r>
      <w:r w:rsidRPr="004076CC">
        <w:rPr>
          <w:rFonts w:hint="eastAsia"/>
          <w:rtl/>
        </w:rPr>
        <w:t>היעילות</w:t>
      </w:r>
      <w:r w:rsidRPr="004076CC">
        <w:rPr>
          <w:rtl/>
        </w:rPr>
        <w:t xml:space="preserve">, </w:t>
      </w:r>
      <w:r w:rsidRPr="004076CC">
        <w:rPr>
          <w:rFonts w:hint="eastAsia"/>
          <w:rtl/>
        </w:rPr>
        <w:t>החיסכון</w:t>
      </w:r>
      <w:r w:rsidRPr="004076CC">
        <w:rPr>
          <w:rtl/>
        </w:rPr>
        <w:t xml:space="preserve"> </w:t>
      </w:r>
      <w:r w:rsidRPr="004076CC">
        <w:rPr>
          <w:rFonts w:hint="eastAsia"/>
          <w:rtl/>
        </w:rPr>
        <w:t>וטוהר</w:t>
      </w:r>
      <w:r w:rsidRPr="004076CC">
        <w:rPr>
          <w:rtl/>
        </w:rPr>
        <w:t xml:space="preserve"> </w:t>
      </w:r>
      <w:r w:rsidRPr="004076CC">
        <w:rPr>
          <w:rFonts w:hint="eastAsia"/>
          <w:rtl/>
        </w:rPr>
        <w:t>המידות</w:t>
      </w:r>
      <w:r w:rsidRPr="004076CC">
        <w:rPr>
          <w:rtl/>
        </w:rPr>
        <w:t xml:space="preserve"> </w:t>
      </w:r>
      <w:r w:rsidRPr="004076CC">
        <w:rPr>
          <w:rFonts w:hint="eastAsia"/>
          <w:rtl/>
        </w:rPr>
        <w:t>בגופים</w:t>
      </w:r>
      <w:r w:rsidRPr="004076CC">
        <w:rPr>
          <w:rtl/>
        </w:rPr>
        <w:t xml:space="preserve"> </w:t>
      </w:r>
      <w:r w:rsidRPr="004076CC">
        <w:rPr>
          <w:rFonts w:hint="eastAsia"/>
          <w:rtl/>
        </w:rPr>
        <w:t>המבוקרים</w:t>
      </w:r>
      <w:r w:rsidRPr="004076CC">
        <w:rPr>
          <w:rtl/>
        </w:rPr>
        <w:t xml:space="preserve"> </w:t>
      </w:r>
      <w:r w:rsidRPr="004076CC">
        <w:rPr>
          <w:rFonts w:hint="eastAsia"/>
          <w:rtl/>
        </w:rPr>
        <w:t>ולשמירה</w:t>
      </w:r>
      <w:r w:rsidRPr="004076CC">
        <w:rPr>
          <w:rtl/>
        </w:rPr>
        <w:t xml:space="preserve"> </w:t>
      </w:r>
      <w:r w:rsidRPr="004076CC">
        <w:rPr>
          <w:rFonts w:hint="eastAsia"/>
          <w:rtl/>
        </w:rPr>
        <w:t>על</w:t>
      </w:r>
      <w:r w:rsidRPr="004076CC">
        <w:rPr>
          <w:rtl/>
        </w:rPr>
        <w:t xml:space="preserve"> </w:t>
      </w:r>
      <w:r w:rsidRPr="004076CC">
        <w:rPr>
          <w:rFonts w:hint="eastAsia"/>
          <w:rtl/>
        </w:rPr>
        <w:t>כללי</w:t>
      </w:r>
      <w:r w:rsidRPr="004076CC">
        <w:rPr>
          <w:rtl/>
        </w:rPr>
        <w:t xml:space="preserve"> </w:t>
      </w:r>
      <w:r w:rsidRPr="004076CC">
        <w:rPr>
          <w:rFonts w:hint="eastAsia"/>
          <w:rtl/>
        </w:rPr>
        <w:t>המ</w:t>
      </w:r>
      <w:r w:rsidRPr="004076CC">
        <w:rPr>
          <w:rFonts w:hint="cs"/>
          <w:rtl/>
        </w:rPr>
        <w:t>י</w:t>
      </w:r>
      <w:r w:rsidRPr="004076CC">
        <w:rPr>
          <w:rFonts w:hint="eastAsia"/>
          <w:rtl/>
        </w:rPr>
        <w:t>נהל</w:t>
      </w:r>
      <w:r w:rsidRPr="004076CC">
        <w:rPr>
          <w:rtl/>
        </w:rPr>
        <w:t xml:space="preserve"> </w:t>
      </w:r>
      <w:r w:rsidRPr="004076CC">
        <w:rPr>
          <w:rFonts w:hint="eastAsia"/>
          <w:rtl/>
        </w:rPr>
        <w:t>התקין</w:t>
      </w:r>
      <w:r w:rsidRPr="004076CC">
        <w:rPr>
          <w:rtl/>
        </w:rPr>
        <w:t>.</w:t>
      </w:r>
      <w:r w:rsidRPr="004076CC">
        <w:rPr>
          <w:rFonts w:hint="cs"/>
          <w:rtl/>
        </w:rPr>
        <w:t xml:space="preserve"> </w:t>
      </w:r>
    </w:p>
    <w:p w:rsidR="00A0272B" w:rsidRPr="004076CC" w:rsidP="004076CC" w14:paraId="74C7DE95" w14:textId="06F2A42A">
      <w:pPr>
        <w:pStyle w:val="7191"/>
        <w:spacing w:line="276" w:lineRule="auto"/>
      </w:pPr>
      <w:r w:rsidRPr="004076CC">
        <w:rPr>
          <w:rFonts w:hint="cs"/>
          <w:rtl/>
        </w:rPr>
        <w:t xml:space="preserve">לא נעלם מעיניי כי בגופים מבוקרים רבים נעשות פעולות חיוביות, ובהתאם לחוק מבקר המדינה </w:t>
      </w:r>
      <w:r w:rsidRPr="004076CC">
        <w:rPr>
          <w:rtl/>
        </w:rPr>
        <w:t xml:space="preserve">הבולטות שבהן </w:t>
      </w:r>
      <w:r w:rsidRPr="004076CC">
        <w:rPr>
          <w:rFonts w:hint="cs"/>
          <w:rtl/>
        </w:rPr>
        <w:t xml:space="preserve">קיבלו ביטוי מידתי בדוח לשם הצגה מלאה של תמונת המצב העולה מן הביקורת. לצד זאת, מחובתם של הגופים המבוקרים לפעול בדרך מהירה ויעילה לתיקון הליקויים שהועלו בדוח זה. </w:t>
      </w:r>
    </w:p>
    <w:p w:rsidR="006D40FB" w:rsidP="00A0272B" w14:paraId="5036BB01" w14:textId="77777777">
      <w:pPr>
        <w:spacing w:line="240" w:lineRule="exact"/>
        <w:rPr>
          <w:rFonts w:ascii="Tahoma" w:eastAsia="Calibri" w:hAnsi="Tahoma" w:cs="Tahoma"/>
          <w:sz w:val="18"/>
          <w:szCs w:val="18"/>
        </w:rPr>
      </w:pPr>
    </w:p>
    <w:p w:rsidR="004076CC" w:rsidRPr="006613B0" w:rsidP="00A0272B" w14:paraId="05160B30" w14:textId="77777777">
      <w:pPr>
        <w:spacing w:line="240" w:lineRule="exact"/>
        <w:rPr>
          <w:rFonts w:ascii="Tahoma" w:eastAsia="Calibri" w:hAnsi="Tahoma" w:cs="Tahoma"/>
          <w:sz w:val="18"/>
          <w:szCs w:val="18"/>
          <w:rtl/>
        </w:rPr>
      </w:pPr>
    </w:p>
    <w:p w:rsidR="00A0272B" w:rsidRPr="00D70CA7" w:rsidP="00A0272B" w14:paraId="32B2E14E"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969264" cy="306083"/>
            <wp:effectExtent l="0" t="0" r="0" b="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מונה 29"/>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06083"/>
                    </a:xfrm>
                    <a:prstGeom prst="rect">
                      <a:avLst/>
                    </a:prstGeom>
                  </pic:spPr>
                </pic:pic>
              </a:graphicData>
            </a:graphic>
          </wp:inline>
        </w:drawing>
      </w:r>
    </w:p>
    <w:p w:rsidR="00A0272B" w:rsidRPr="001A7FEE" w:rsidP="00A0272B" w14:paraId="137A4BD3" w14:textId="77777777">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rsidR="00A0272B" w:rsidRPr="001A7FEE" w:rsidP="00CA1F53" w14:paraId="55BB9300"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rsidR="004076CC" w:rsidRPr="0001268F" w:rsidP="0001268F" w14:paraId="5765A0CF" w14:textId="2B7E90F3">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rsidR="004076CC" w:rsidP="00A0272B" w14:paraId="05EB72D0" w14:textId="77777777">
      <w:pPr>
        <w:pStyle w:val="7190"/>
        <w:spacing w:line="360" w:lineRule="auto"/>
        <w:rPr>
          <w:rtl/>
        </w:rPr>
      </w:pPr>
    </w:p>
    <w:p w:rsidR="0001268F" w:rsidP="00A0272B" w14:paraId="51BE340D" w14:textId="55CC636F">
      <w:pPr>
        <w:pStyle w:val="7190"/>
        <w:spacing w:line="360" w:lineRule="auto"/>
      </w:pPr>
      <w:r w:rsidRPr="00720CC7">
        <w:rPr>
          <w:rFonts w:hint="cs"/>
          <w:rtl/>
        </w:rPr>
        <w:t xml:space="preserve">ירושלים, </w:t>
      </w:r>
      <w:r w:rsidR="000303BB">
        <w:rPr>
          <w:rFonts w:hint="cs"/>
          <w:rtl/>
        </w:rPr>
        <w:t>אייר</w:t>
      </w:r>
      <w:r w:rsidRPr="00720CC7">
        <w:rPr>
          <w:rFonts w:hint="cs"/>
          <w:rtl/>
        </w:rPr>
        <w:t xml:space="preserve"> </w:t>
      </w:r>
      <w:r w:rsidRPr="00720CC7">
        <w:rPr>
          <w:rFonts w:hint="cs"/>
          <w:rtl/>
        </w:rPr>
        <w:t>התש</w:t>
      </w:r>
      <w:r w:rsidR="00F347C5">
        <w:rPr>
          <w:rFonts w:hint="cs"/>
          <w:rtl/>
        </w:rPr>
        <w:t>פ</w:t>
      </w:r>
      <w:r w:rsidRPr="00720CC7">
        <w:rPr>
          <w:rFonts w:hint="cs"/>
          <w:rtl/>
        </w:rPr>
        <w:t>"</w:t>
      </w:r>
      <w:r w:rsidR="00F347C5">
        <w:rPr>
          <w:rFonts w:hint="cs"/>
          <w:rtl/>
        </w:rPr>
        <w:t>ג</w:t>
      </w:r>
      <w:r w:rsidRPr="00720CC7">
        <w:rPr>
          <w:rFonts w:hint="cs"/>
          <w:rtl/>
        </w:rPr>
        <w:t xml:space="preserve">, </w:t>
      </w:r>
      <w:r w:rsidR="00495F37">
        <w:rPr>
          <w:rFonts w:hint="cs"/>
          <w:rtl/>
        </w:rPr>
        <w:t>מאי</w:t>
      </w:r>
      <w:r w:rsidRPr="00720CC7">
        <w:rPr>
          <w:rFonts w:hint="cs"/>
          <w:rtl/>
        </w:rPr>
        <w:t xml:space="preserve"> </w:t>
      </w:r>
      <w:r w:rsidR="00BE3F2A">
        <w:rPr>
          <w:rFonts w:hint="cs"/>
          <w:rtl/>
        </w:rPr>
        <w:t>202</w:t>
      </w:r>
      <w:r w:rsidR="00FE5CCB">
        <w:rPr>
          <w:rFonts w:hint="cs"/>
          <w:rtl/>
        </w:rPr>
        <w:t>3</w:t>
      </w:r>
    </w:p>
    <w:p w:rsidR="0001268F" w14:paraId="1D0F75F0" w14:textId="701D4E3D">
      <w:pPr>
        <w:bidi w:val="0"/>
        <w:spacing w:after="200" w:line="276" w:lineRule="auto"/>
        <w:rPr>
          <w:rFonts w:ascii="Tahoma" w:hAnsi="Tahoma" w:cs="Tahoma"/>
          <w:color w:val="0D0D0D" w:themeColor="text1" w:themeTint="F2"/>
          <w:sz w:val="18"/>
          <w:szCs w:val="18"/>
        </w:rPr>
      </w:pPr>
    </w:p>
    <w:p w:rsidR="00652A94" w:rsidRPr="00652A94" w:rsidP="000960BA" w14:paraId="05AB505B" w14:textId="43579BAF">
      <w:pPr>
        <w:rPr>
          <w:rFonts w:ascii="Tahoma" w:hAnsi="Tahoma" w:cs="Tahoma"/>
          <w:sz w:val="24"/>
        </w:rPr>
      </w:pPr>
    </w:p>
    <w:sectPr w:rsidSect="000F6927">
      <w:headerReference w:type="even" r:id="rId11"/>
      <w:headerReference w:type="default" r:id="rId12"/>
      <w:footerReference w:type="even" r:id="rId13"/>
      <w:footerReference w:type="default" r:id="rId14"/>
      <w:footnotePr>
        <w:numRestart w:val="eachSect"/>
      </w:footnotePr>
      <w:pgSz w:w="11906" w:h="16838" w:code="9"/>
      <w:pgMar w:top="3062" w:right="2268" w:bottom="2552" w:left="2268" w:header="1134" w:footer="1361"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F6FE0" w14:paraId="128CEFD3" w14:textId="77777777">
      <w:pPr>
        <w:spacing w:line="240" w:lineRule="auto"/>
      </w:pPr>
      <w:r>
        <w:separator/>
      </w:r>
    </w:p>
    <w:p w:rsidR="005F6FE0" w14:paraId="43D92B7F" w14:textId="77777777"/>
  </w:endnote>
  <w:endnote w:type="continuationSeparator" w:id="1">
    <w:p w:rsidR="005F6FE0" w14:paraId="61BC397D" w14:textId="77777777">
      <w:pPr>
        <w:spacing w:line="240" w:lineRule="auto"/>
      </w:pPr>
      <w:r>
        <w:continuationSeparator/>
      </w:r>
    </w:p>
    <w:p w:rsidR="005F6FE0" w14:paraId="0CF65E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927" w:rsidP="000F6927" w14:paraId="4F152105" w14:textId="77777777">
    <w:pPr>
      <w:pStyle w:val="Footer"/>
      <w:spacing w:after="120" w:line="312" w:lineRule="auto"/>
      <w:ind w:left="-510"/>
      <w:jc w:val="left"/>
      <w:rPr>
        <w:rFonts w:ascii="Tahoma" w:hAnsi="Tahoma" w:cs="Tahoma"/>
        <w:sz w:val="18"/>
        <w:szCs w:val="18"/>
        <w:rtl/>
      </w:rPr>
    </w:pPr>
  </w:p>
  <w:p w:rsidR="000F6927" w:rsidP="000F6927" w14:paraId="78A098FA"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0F6927" w:rsidRPr="000F6927" w:rsidP="000F6927" w14:paraId="71451A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927" w:rsidP="000F6927" w14:paraId="72D532D3"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9</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960BA" w:rsidRPr="000F6927" w:rsidP="000F6927" w14:paraId="2117287C" w14:textId="10F4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F6FE0" w:rsidP="00C23CC9" w14:paraId="2292C385" w14:textId="77777777">
      <w:pPr>
        <w:spacing w:line="240" w:lineRule="auto"/>
      </w:pPr>
      <w:r>
        <w:separator/>
      </w:r>
    </w:p>
  </w:footnote>
  <w:footnote w:type="continuationSeparator" w:id="1">
    <w:p w:rsidR="005F6FE0" w:rsidP="00C23CC9" w14:paraId="4BC74247" w14:textId="77777777">
      <w:pPr>
        <w:spacing w:line="240" w:lineRule="auto"/>
      </w:pPr>
      <w:r>
        <w:continuationSeparator/>
      </w:r>
    </w:p>
    <w:p w:rsidR="005F6FE0" w14:paraId="36467B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927" w:rsidP="000F6927" w14:paraId="33CD28C5"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F6927" w:rsidP="000F6927" w14:paraId="60A1E947"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745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9"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F6927" w:rsidRPr="00DE3ECA" w:rsidP="000F692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8000" filled="f" strokecolor="#a5a5a5" strokeweight="0.25pt">
              <v:stroke dashstyle="longDash"/>
              <v:textbox>
                <w:txbxContent>
                  <w:p w:rsidR="000F6927" w:rsidRPr="00DE3ECA" w:rsidP="000F6927" w14:paraId="187A4260"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0F6927" w:rsidP="000F6927" w14:paraId="3E7F2F38"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F6927" w:rsidP="000F6927" w14:paraId="30435CCC" w14:textId="77777777">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0F6927" w:rsidRPr="000F6927" w:rsidP="000F6927" w14:paraId="655E7F9B" w14:textId="39675485">
    <w:pPr>
      <w:pStyle w:val="Header"/>
      <w:tabs>
        <w:tab w:val="left" w:pos="493"/>
        <w:tab w:val="clear" w:pos="4153"/>
        <w:tab w:val="left" w:pos="5150"/>
        <w:tab w:val="clear" w:pos="8306"/>
      </w:tabs>
    </w:pPr>
    <w:r>
      <w:rPr>
        <w:noProof/>
      </w:rPr>
      <mc:AlternateContent>
        <mc:Choice Requires="wps">
          <w:drawing>
            <wp:anchor distT="0" distB="0" distL="114300" distR="114300" simplePos="0" relativeHeight="251665408"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4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6432" from="-122.4pt,30.05pt" to="362.75pt,30.05pt" strokecolor="#0d0d0d" strokeweight="0.25pt"/>
          </w:pict>
        </mc:Fallback>
      </mc:AlternateContent>
    </w:r>
    <w:r>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43" name="תמונה 43"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תמונה 43" descr="תמונה שמכילה לוגו&#10;&#10;התיאור נוצר באופן אוטומטי"/>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9504"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0F6927" w:rsidRPr="00587631" w:rsidP="000F6927"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85pt;margin-left:107.6pt;mso-wrap-distance-bottom:0;mso-wrap-distance-left:9pt;mso-wrap-distance-right:9pt;mso-wrap-distance-top:0;mso-wrap-style:square;position:absolute;visibility:visible;v-text-anchor:top;z-index:251670528" stroked="f">
              <v:textbox style="mso-fit-shape-to-text:t">
                <w:txbxContent>
                  <w:p w:rsidR="000F6927" w:rsidRPr="00587631" w:rsidP="000F6927" w14:paraId="25511CDE"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927" w:rsidP="000F6927" w14:paraId="673FD68C"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5"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F6927" w:rsidRPr="00DE3ECA" w:rsidP="000F692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0F6927" w:rsidRPr="00DE3ECA" w:rsidP="000F6927" w14:paraId="7801BF03"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0F6927" w:rsidP="000F6927" w14:paraId="1716A416" w14:textId="77777777">
    <w:pPr>
      <w:pStyle w:val="Header"/>
      <w:tabs>
        <w:tab w:val="left" w:pos="493"/>
        <w:tab w:val="center" w:pos="4111"/>
        <w:tab w:val="clear" w:pos="4153"/>
        <w:tab w:val="right" w:pos="7478"/>
        <w:tab w:val="right" w:pos="8222"/>
        <w:tab w:val="clear" w:pos="8306"/>
      </w:tabs>
      <w:jc w:val="left"/>
      <w:rPr>
        <w:rtl/>
      </w:rPr>
    </w:pPr>
  </w:p>
  <w:p w:rsidR="000F6927" w:rsidP="000F6927" w14:paraId="5AA190B2"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2" name="תמונה 32"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תמונה 32" descr="תמונה שמכילה לוגו&#10;&#10;התיאור נוצר באופן אוטומטי"/>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6"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3" style="flip:x;mso-height-percent:0;mso-height-relative:margin;mso-width-percent:0;mso-width-relative:margin;mso-wrap-distance-bottom:0;mso-wrap-distance-left:9pt;mso-wrap-distance-right:9pt;mso-wrap-distance-top:0;mso-wrap-style:square;position:absolute;visibility:visible;z-index:251659264" from="-4.4pt,50.4pt" to="524.85pt,50.4pt" strokecolor="#0d0d0d" strokeweight="0.25pt"/>
          </w:pict>
        </mc:Fallback>
      </mc:AlternateContent>
    </w:r>
  </w:p>
  <w:p w:rsidR="001474A2" w:rsidRPr="000F6927" w:rsidP="000F6927" w14:paraId="08AF4C85" w14:textId="7015232F">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0F6927" w:rsidRPr="00136A3E" w:rsidP="000F6927"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A80DC3">
                            <w:rPr>
                              <w:rFonts w:ascii="Tahoma" w:hAnsi="Tahoma" w:cs="Tahoma"/>
                              <w:color w:val="0D0D0D"/>
                              <w:sz w:val="16"/>
                              <w:szCs w:val="16"/>
                              <w:rtl/>
                            </w:rPr>
                            <w:t xml:space="preserve">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Pr>
                              <w:rFonts w:ascii="Tahoma" w:hAnsi="Tahoma" w:cs="Tahoma" w:hint="cs"/>
                              <w:color w:val="0D0D0D"/>
                              <w:sz w:val="16"/>
                              <w:szCs w:val="16"/>
                              <w:rtl/>
                            </w:rPr>
                            <w:t>מאי</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0F6927" w:rsidRPr="002B39F7" w:rsidP="000F6927"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0F6927" w:rsidRPr="00136A3E" w:rsidP="000F6927" w14:paraId="7609BDA3"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A80DC3">
                      <w:rPr>
                        <w:rFonts w:ascii="Tahoma" w:hAnsi="Tahoma" w:cs="Tahoma"/>
                        <w:color w:val="0D0D0D"/>
                        <w:sz w:val="16"/>
                        <w:szCs w:val="16"/>
                        <w:rtl/>
                      </w:rPr>
                      <w:t xml:space="preserve">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Pr>
                        <w:rFonts w:ascii="Tahoma" w:hAnsi="Tahoma" w:cs="Tahoma" w:hint="cs"/>
                        <w:color w:val="0D0D0D"/>
                        <w:sz w:val="16"/>
                        <w:szCs w:val="16"/>
                        <w:rtl/>
                      </w:rPr>
                      <w:t>מאי</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0F6927" w:rsidRPr="002B39F7" w:rsidP="000F6927" w14:paraId="6EBD179D" w14:textId="77777777">
                    <w:pPr>
                      <w:jc w:val="right"/>
                      <w:rPr>
                        <w:color w:val="0D0D0D" w:themeColor="text1" w:themeTint="F2"/>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numPicBullet w:numPicBulletId="1">
    <w:pict>
      <v:shape id="_x0000_i1026" type="#_x0000_t75" style="width:256pt;height:256pt" o:bullet="t">
        <v:imagedata r:id="rId2" o:title="light-bulb"/>
      </v:shape>
    </w:pict>
  </w:numPicBullet>
  <w:abstractNum w:abstractNumId="0">
    <w:nsid w:val="04281B5D"/>
    <w:multiLevelType w:val="hybridMultilevel"/>
    <w:tmpl w:val="0E2E7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ED08E0"/>
    <w:multiLevelType w:val="hybridMultilevel"/>
    <w:tmpl w:val="8842D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DA69EE"/>
    <w:multiLevelType w:val="hybridMultilevel"/>
    <w:tmpl w:val="185036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1335D4"/>
    <w:multiLevelType w:val="hybridMultilevel"/>
    <w:tmpl w:val="4C3A9AAA"/>
    <w:lvl w:ilvl="0">
      <w:start w:val="1"/>
      <w:numFmt w:val="bullet"/>
      <w:lvlText w:val=""/>
      <w:lvlJc w:val="left"/>
      <w:pPr>
        <w:ind w:left="397" w:hanging="397"/>
      </w:pPr>
      <w:rPr>
        <w:rFonts w:ascii="Symbol" w:hAnsi="Symbol" w:hint="default"/>
        <w:color w:val="auto"/>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9">
    <w:nsid w:val="0E045C0F"/>
    <w:multiLevelType w:val="hybridMultilevel"/>
    <w:tmpl w:val="C67E8806"/>
    <w:lvl w:ilvl="0">
      <w:start w:val="2"/>
      <w:numFmt w:val="bullet"/>
      <w:lvlText w:val=""/>
      <w:lvlJc w:val="left"/>
      <w:pPr>
        <w:ind w:left="357" w:hanging="357"/>
      </w:pPr>
      <w:rPr>
        <w:rFonts w:ascii="Symbol" w:hAnsi="Symbol" w:eastAsiaTheme="minorHAnsi" w:cs="David"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0064E3"/>
    <w:multiLevelType w:val="hybridMultilevel"/>
    <w:tmpl w:val="425630FE"/>
    <w:lvl w:ilvl="0">
      <w:start w:val="2"/>
      <w:numFmt w:val="bullet"/>
      <w:lvlText w:val=""/>
      <w:lvlJc w:val="left"/>
      <w:pPr>
        <w:ind w:left="720" w:hanging="36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2C3937"/>
    <w:multiLevelType w:val="hybridMultilevel"/>
    <w:tmpl w:val="C37608C4"/>
    <w:lvl w:ilvl="0">
      <w:start w:val="1"/>
      <w:numFmt w:val="bullet"/>
      <w:lvlText w:val=""/>
      <w:lvlJc w:val="left"/>
      <w:pPr>
        <w:ind w:left="357" w:hanging="35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397850"/>
    <w:multiLevelType w:val="hybridMultilevel"/>
    <w:tmpl w:val="CA56F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2B13D4"/>
    <w:multiLevelType w:val="hybridMultilevel"/>
    <w:tmpl w:val="2DBE336E"/>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345E1A"/>
    <w:multiLevelType w:val="hybridMultilevel"/>
    <w:tmpl w:val="B2806EBE"/>
    <w:lvl w:ilvl="0">
      <w:start w:val="1"/>
      <w:numFmt w:val="decimal"/>
      <w:lvlText w:val="%1."/>
      <w:lvlJc w:val="left"/>
      <w:pPr>
        <w:ind w:left="720" w:hanging="360"/>
      </w:pPr>
      <w:rPr>
        <w:b w:val="0"/>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E10EBA"/>
    <w:multiLevelType w:val="hybridMultilevel"/>
    <w:tmpl w:val="0EBA394A"/>
    <w:lvl w:ilvl="0">
      <w:start w:val="0"/>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18">
    <w:nsid w:val="1A1F4190"/>
    <w:multiLevelType w:val="hybridMultilevel"/>
    <w:tmpl w:val="CBD40A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C0353D8"/>
    <w:multiLevelType w:val="hybridMultilevel"/>
    <w:tmpl w:val="92B6B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22">
    <w:nsid w:val="21EE70E2"/>
    <w:multiLevelType w:val="hybridMultilevel"/>
    <w:tmpl w:val="7106960A"/>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nsid w:val="292364C6"/>
    <w:multiLevelType w:val="hybridMultilevel"/>
    <w:tmpl w:val="FCA620AC"/>
    <w:lvl w:ilvl="0">
      <w:start w:val="0"/>
      <w:numFmt w:val="bullet"/>
      <w:lvlText w:val=""/>
      <w:lvlJc w:val="left"/>
      <w:pPr>
        <w:ind w:left="720" w:hanging="360"/>
      </w:pPr>
      <w:rPr>
        <w:rFonts w:ascii="Symbol" w:eastAsia="Times New Roman" w:hAnsi="Symbol" w:cs="David"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6">
    <w:nsid w:val="3B7379FB"/>
    <w:multiLevelType w:val="hybridMultilevel"/>
    <w:tmpl w:val="02E2136C"/>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9">
    <w:nsid w:val="3FD6457B"/>
    <w:multiLevelType w:val="hybridMultilevel"/>
    <w:tmpl w:val="344EDB6C"/>
    <w:lvl w:ilvl="0">
      <w:start w:val="1"/>
      <w:numFmt w:val="bullet"/>
      <w:lvlText w:val=""/>
      <w:lvlPicBulletId w:val="1"/>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0B06D5B"/>
    <w:multiLevelType w:val="hybridMultilevel"/>
    <w:tmpl w:val="D9D42804"/>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AC1DE8"/>
    <w:multiLevelType w:val="hybridMultilevel"/>
    <w:tmpl w:val="00D0679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1C44DCD"/>
    <w:multiLevelType w:val="hybridMultilevel"/>
    <w:tmpl w:val="0D34B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4">
    <w:nsid w:val="478A4FE2"/>
    <w:multiLevelType w:val="hybridMultilevel"/>
    <w:tmpl w:val="EE8AD47C"/>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A317BC7"/>
    <w:multiLevelType w:val="hybridMultilevel"/>
    <w:tmpl w:val="BF56C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B5A05E7"/>
    <w:multiLevelType w:val="hybridMultilevel"/>
    <w:tmpl w:val="3092C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C6B7235"/>
    <w:multiLevelType w:val="hybridMultilevel"/>
    <w:tmpl w:val="4ED01AB4"/>
    <w:lvl w:ilvl="0">
      <w:start w:val="2"/>
      <w:numFmt w:val="bullet"/>
      <w:lvlText w:val=""/>
      <w:lvlJc w:val="left"/>
      <w:pPr>
        <w:ind w:left="72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D921EF8"/>
    <w:multiLevelType w:val="hybridMultilevel"/>
    <w:tmpl w:val="ED2C344A"/>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E9165F5"/>
    <w:multiLevelType w:val="hybridMultilevel"/>
    <w:tmpl w:val="B0B833D0"/>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1950108"/>
    <w:multiLevelType w:val="hybridMultilevel"/>
    <w:tmpl w:val="B7AA7944"/>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62D4859"/>
    <w:multiLevelType w:val="hybridMultilevel"/>
    <w:tmpl w:val="7630A53C"/>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69848BD"/>
    <w:multiLevelType w:val="hybridMultilevel"/>
    <w:tmpl w:val="97D2BC4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5">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47">
    <w:nsid w:val="60FC7869"/>
    <w:multiLevelType w:val="hybridMultilevel"/>
    <w:tmpl w:val="0E64532A"/>
    <w:lvl w:ilvl="0">
      <w:start w:val="1"/>
      <w:numFmt w:val="bullet"/>
      <w:lvlText w:val=""/>
      <w:lvlJc w:val="left"/>
      <w:pPr>
        <w:ind w:left="397" w:hanging="397"/>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48">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49">
    <w:nsid w:val="69C212FF"/>
    <w:multiLevelType w:val="hybridMultilevel"/>
    <w:tmpl w:val="4B7404BC"/>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39027F"/>
    <w:multiLevelType w:val="hybridMultilevel"/>
    <w:tmpl w:val="34806352"/>
    <w:lvl w:ilvl="0">
      <w:start w:val="1"/>
      <w:numFmt w:val="bullet"/>
      <w:lvlText w:val=""/>
      <w:lvlJc w:val="left"/>
      <w:pPr>
        <w:ind w:left="397" w:hanging="39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D220C01"/>
    <w:multiLevelType w:val="hybridMultilevel"/>
    <w:tmpl w:val="1862DA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3">
    <w:nsid w:val="6E0345BF"/>
    <w:multiLevelType w:val="hybridMultilevel"/>
    <w:tmpl w:val="0D1A0D14"/>
    <w:lvl w:ilvl="0">
      <w:start w:val="2"/>
      <w:numFmt w:val="bullet"/>
      <w:lvlText w:val=""/>
      <w:lvlJc w:val="left"/>
      <w:pPr>
        <w:ind w:left="720" w:hanging="36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39C6D38"/>
    <w:multiLevelType w:val="hybridMultilevel"/>
    <w:tmpl w:val="94587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7985281"/>
    <w:multiLevelType w:val="hybridMultilevel"/>
    <w:tmpl w:val="D1880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8077637"/>
    <w:multiLevelType w:val="hybridMultilevel"/>
    <w:tmpl w:val="7F2EABCA"/>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C3148AF"/>
    <w:multiLevelType w:val="hybridMultilevel"/>
    <w:tmpl w:val="8BE8EA88"/>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CD37C9C"/>
    <w:multiLevelType w:val="hybridMultilevel"/>
    <w:tmpl w:val="A454CDD6"/>
    <w:lvl w:ilvl="0">
      <w:start w:val="2"/>
      <w:numFmt w:val="bullet"/>
      <w:lvlText w:val=""/>
      <w:lvlJc w:val="left"/>
      <w:pPr>
        <w:ind w:left="72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62">
    <w:nsid w:val="7D4B785D"/>
    <w:multiLevelType w:val="hybridMultilevel"/>
    <w:tmpl w:val="A456EF1A"/>
    <w:lvl w:ilvl="0">
      <w:start w:val="5"/>
      <w:numFmt w:val="bullet"/>
      <w:lvlText w:val=""/>
      <w:lvlJc w:val="left"/>
      <w:pPr>
        <w:ind w:left="360" w:hanging="360"/>
      </w:pPr>
      <w:rPr>
        <w:rFonts w:ascii="Symbol" w:eastAsia="Calibri"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52"/>
  </w:num>
  <w:num w:numId="4">
    <w:abstractNumId w:val="44"/>
  </w:num>
  <w:num w:numId="5">
    <w:abstractNumId w:val="25"/>
  </w:num>
  <w:num w:numId="6">
    <w:abstractNumId w:val="27"/>
  </w:num>
  <w:num w:numId="7">
    <w:abstractNumId w:val="61"/>
  </w:num>
  <w:num w:numId="8">
    <w:abstractNumId w:val="2"/>
  </w:num>
  <w:num w:numId="9">
    <w:abstractNumId w:val="33"/>
  </w:num>
  <w:num w:numId="10">
    <w:abstractNumId w:val="8"/>
  </w:num>
  <w:num w:numId="11">
    <w:abstractNumId w:val="46"/>
  </w:num>
  <w:num w:numId="12">
    <w:abstractNumId w:val="7"/>
  </w:num>
  <w:num w:numId="13">
    <w:abstractNumId w:val="17"/>
  </w:num>
  <w:num w:numId="14">
    <w:abstractNumId w:val="48"/>
  </w:num>
  <w:num w:numId="15">
    <w:abstractNumId w:val="21"/>
  </w:num>
  <w:num w:numId="16">
    <w:abstractNumId w:val="54"/>
  </w:num>
  <w:num w:numId="17">
    <w:abstractNumId w:val="16"/>
  </w:num>
  <w:num w:numId="18">
    <w:abstractNumId w:val="3"/>
  </w:num>
  <w:num w:numId="19">
    <w:abstractNumId w:val="58"/>
  </w:num>
  <w:num w:numId="20">
    <w:abstractNumId w:val="35"/>
  </w:num>
  <w:num w:numId="21">
    <w:abstractNumId w:val="23"/>
  </w:num>
  <w:num w:numId="22">
    <w:abstractNumId w:val="1"/>
  </w:num>
  <w:num w:numId="23">
    <w:abstractNumId w:val="45"/>
  </w:num>
  <w:num w:numId="24">
    <w:abstractNumId w:val="4"/>
  </w:num>
  <w:num w:numId="25">
    <w:abstractNumId w:val="38"/>
  </w:num>
  <w:num w:numId="26">
    <w:abstractNumId w:val="60"/>
  </w:num>
  <w:num w:numId="27">
    <w:abstractNumId w:val="9"/>
  </w:num>
  <w:num w:numId="28">
    <w:abstractNumId w:val="11"/>
  </w:num>
  <w:num w:numId="29">
    <w:abstractNumId w:val="62"/>
  </w:num>
  <w:num w:numId="30">
    <w:abstractNumId w:val="31"/>
  </w:num>
  <w:num w:numId="31">
    <w:abstractNumId w:val="15"/>
  </w:num>
  <w:num w:numId="32">
    <w:abstractNumId w:val="13"/>
  </w:num>
  <w:num w:numId="33">
    <w:abstractNumId w:val="34"/>
  </w:num>
  <w:num w:numId="34">
    <w:abstractNumId w:val="40"/>
  </w:num>
  <w:num w:numId="35">
    <w:abstractNumId w:val="22"/>
  </w:num>
  <w:num w:numId="36">
    <w:abstractNumId w:val="30"/>
  </w:num>
  <w:num w:numId="37">
    <w:abstractNumId w:val="39"/>
  </w:num>
  <w:num w:numId="38">
    <w:abstractNumId w:val="59"/>
  </w:num>
  <w:num w:numId="39">
    <w:abstractNumId w:val="26"/>
  </w:num>
  <w:num w:numId="40">
    <w:abstractNumId w:val="41"/>
  </w:num>
  <w:num w:numId="41">
    <w:abstractNumId w:val="24"/>
  </w:num>
  <w:num w:numId="42">
    <w:abstractNumId w:val="6"/>
  </w:num>
  <w:num w:numId="43">
    <w:abstractNumId w:val="47"/>
  </w:num>
  <w:num w:numId="44">
    <w:abstractNumId w:val="51"/>
  </w:num>
  <w:num w:numId="45">
    <w:abstractNumId w:val="43"/>
  </w:num>
  <w:num w:numId="46">
    <w:abstractNumId w:val="53"/>
  </w:num>
  <w:num w:numId="47">
    <w:abstractNumId w:val="57"/>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14"/>
  </w:num>
  <w:num w:numId="51">
    <w:abstractNumId w:val="12"/>
  </w:num>
  <w:num w:numId="52">
    <w:abstractNumId w:val="32"/>
  </w:num>
  <w:num w:numId="53">
    <w:abstractNumId w:val="0"/>
  </w:num>
  <w:num w:numId="54">
    <w:abstractNumId w:val="19"/>
  </w:num>
  <w:num w:numId="55">
    <w:abstractNumId w:val="55"/>
  </w:num>
  <w:num w:numId="56">
    <w:abstractNumId w:val="56"/>
  </w:num>
  <w:num w:numId="57">
    <w:abstractNumId w:val="36"/>
  </w:num>
  <w:num w:numId="58">
    <w:abstractNumId w:val="37"/>
  </w:num>
  <w:num w:numId="59">
    <w:abstractNumId w:val="18"/>
  </w:num>
  <w:num w:numId="60">
    <w:abstractNumId w:val="5"/>
  </w:num>
  <w:num w:numId="61">
    <w:abstractNumId w:val="10"/>
  </w:num>
  <w:num w:numId="62">
    <w:abstractNumId w:val="49"/>
  </w:num>
  <w:num w:numId="63">
    <w:abstractNumId w:val="42"/>
  </w:num>
  <w:num w:numId="64">
    <w:abstractNumId w:val="5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82"/>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712"/>
    <w:rsid w:val="00003926"/>
    <w:rsid w:val="00003B00"/>
    <w:rsid w:val="00003B77"/>
    <w:rsid w:val="00003D51"/>
    <w:rsid w:val="00003F96"/>
    <w:rsid w:val="0000520D"/>
    <w:rsid w:val="000054B7"/>
    <w:rsid w:val="00005B23"/>
    <w:rsid w:val="00005EE0"/>
    <w:rsid w:val="000060E2"/>
    <w:rsid w:val="000063F6"/>
    <w:rsid w:val="00006B59"/>
    <w:rsid w:val="000076E0"/>
    <w:rsid w:val="000100D8"/>
    <w:rsid w:val="0001014C"/>
    <w:rsid w:val="000107D8"/>
    <w:rsid w:val="000109AD"/>
    <w:rsid w:val="00011BFC"/>
    <w:rsid w:val="00011DF7"/>
    <w:rsid w:val="00012657"/>
    <w:rsid w:val="0001268F"/>
    <w:rsid w:val="00013BC3"/>
    <w:rsid w:val="0001431C"/>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BB"/>
    <w:rsid w:val="000303C9"/>
    <w:rsid w:val="000304A1"/>
    <w:rsid w:val="00031886"/>
    <w:rsid w:val="00031990"/>
    <w:rsid w:val="00031C68"/>
    <w:rsid w:val="00031C69"/>
    <w:rsid w:val="00031CEB"/>
    <w:rsid w:val="00032932"/>
    <w:rsid w:val="00032F42"/>
    <w:rsid w:val="0003306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4"/>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22D"/>
    <w:rsid w:val="00090633"/>
    <w:rsid w:val="000907D0"/>
    <w:rsid w:val="000911E5"/>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1C64"/>
    <w:rsid w:val="000A26F1"/>
    <w:rsid w:val="000A2BD8"/>
    <w:rsid w:val="000A33BE"/>
    <w:rsid w:val="000A3690"/>
    <w:rsid w:val="000A4686"/>
    <w:rsid w:val="000A5140"/>
    <w:rsid w:val="000A567C"/>
    <w:rsid w:val="000A5B75"/>
    <w:rsid w:val="000A65A9"/>
    <w:rsid w:val="000A69A7"/>
    <w:rsid w:val="000A725C"/>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E65"/>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698"/>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10F"/>
    <w:rsid w:val="000F62A9"/>
    <w:rsid w:val="000F6927"/>
    <w:rsid w:val="000F6F38"/>
    <w:rsid w:val="000F765F"/>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6E7"/>
    <w:rsid w:val="001239A8"/>
    <w:rsid w:val="001239E1"/>
    <w:rsid w:val="001243A4"/>
    <w:rsid w:val="001247BA"/>
    <w:rsid w:val="00124DC1"/>
    <w:rsid w:val="00125628"/>
    <w:rsid w:val="00125881"/>
    <w:rsid w:val="001305E5"/>
    <w:rsid w:val="001309F2"/>
    <w:rsid w:val="00131349"/>
    <w:rsid w:val="0013176C"/>
    <w:rsid w:val="00131CCD"/>
    <w:rsid w:val="001321A1"/>
    <w:rsid w:val="001327B3"/>
    <w:rsid w:val="00132E9F"/>
    <w:rsid w:val="0013302E"/>
    <w:rsid w:val="0013406B"/>
    <w:rsid w:val="00134F83"/>
    <w:rsid w:val="001354CB"/>
    <w:rsid w:val="00135695"/>
    <w:rsid w:val="00135742"/>
    <w:rsid w:val="00135A23"/>
    <w:rsid w:val="00136479"/>
    <w:rsid w:val="00136496"/>
    <w:rsid w:val="0013664A"/>
    <w:rsid w:val="0013667B"/>
    <w:rsid w:val="00136A10"/>
    <w:rsid w:val="00136A3E"/>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526"/>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525"/>
    <w:rsid w:val="00170625"/>
    <w:rsid w:val="0017091D"/>
    <w:rsid w:val="0017146B"/>
    <w:rsid w:val="00171B4A"/>
    <w:rsid w:val="0017200D"/>
    <w:rsid w:val="0017265F"/>
    <w:rsid w:val="001730B0"/>
    <w:rsid w:val="00173FDD"/>
    <w:rsid w:val="001742B0"/>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8A6"/>
    <w:rsid w:val="00191FF6"/>
    <w:rsid w:val="00192E51"/>
    <w:rsid w:val="00192F16"/>
    <w:rsid w:val="00193071"/>
    <w:rsid w:val="00193101"/>
    <w:rsid w:val="0019399F"/>
    <w:rsid w:val="00194286"/>
    <w:rsid w:val="00194362"/>
    <w:rsid w:val="00195BC7"/>
    <w:rsid w:val="00195D82"/>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1DE0"/>
    <w:rsid w:val="001C2CAD"/>
    <w:rsid w:val="001C308D"/>
    <w:rsid w:val="001C3187"/>
    <w:rsid w:val="001C3232"/>
    <w:rsid w:val="001C34D5"/>
    <w:rsid w:val="001C3C99"/>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15AD"/>
    <w:rsid w:val="00202068"/>
    <w:rsid w:val="00202878"/>
    <w:rsid w:val="00202F8B"/>
    <w:rsid w:val="00203277"/>
    <w:rsid w:val="00203604"/>
    <w:rsid w:val="002042DA"/>
    <w:rsid w:val="00204D56"/>
    <w:rsid w:val="00205724"/>
    <w:rsid w:val="002064F7"/>
    <w:rsid w:val="00206509"/>
    <w:rsid w:val="00206BDB"/>
    <w:rsid w:val="0021058F"/>
    <w:rsid w:val="0021135F"/>
    <w:rsid w:val="0021150C"/>
    <w:rsid w:val="002120DB"/>
    <w:rsid w:val="00212638"/>
    <w:rsid w:val="002127FD"/>
    <w:rsid w:val="00212B04"/>
    <w:rsid w:val="00212DCC"/>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F2D"/>
    <w:rsid w:val="0022705A"/>
    <w:rsid w:val="00227E88"/>
    <w:rsid w:val="0023004B"/>
    <w:rsid w:val="002301B6"/>
    <w:rsid w:val="00230B94"/>
    <w:rsid w:val="00231C3C"/>
    <w:rsid w:val="00231DC5"/>
    <w:rsid w:val="00232836"/>
    <w:rsid w:val="00233774"/>
    <w:rsid w:val="002338F8"/>
    <w:rsid w:val="00234167"/>
    <w:rsid w:val="00234AB5"/>
    <w:rsid w:val="00234D93"/>
    <w:rsid w:val="00234F9B"/>
    <w:rsid w:val="0023589B"/>
    <w:rsid w:val="00235AEE"/>
    <w:rsid w:val="00235D75"/>
    <w:rsid w:val="002364D6"/>
    <w:rsid w:val="002366CE"/>
    <w:rsid w:val="002375D3"/>
    <w:rsid w:val="0024001A"/>
    <w:rsid w:val="00240887"/>
    <w:rsid w:val="00240AFF"/>
    <w:rsid w:val="002419F2"/>
    <w:rsid w:val="00241BE5"/>
    <w:rsid w:val="00243951"/>
    <w:rsid w:val="00243E20"/>
    <w:rsid w:val="00244096"/>
    <w:rsid w:val="0024417D"/>
    <w:rsid w:val="00244C55"/>
    <w:rsid w:val="00245470"/>
    <w:rsid w:val="00246CD7"/>
    <w:rsid w:val="00247C83"/>
    <w:rsid w:val="00250370"/>
    <w:rsid w:val="0025068A"/>
    <w:rsid w:val="00250751"/>
    <w:rsid w:val="00250A4B"/>
    <w:rsid w:val="002516DF"/>
    <w:rsid w:val="00251766"/>
    <w:rsid w:val="00251B50"/>
    <w:rsid w:val="00253775"/>
    <w:rsid w:val="00254CF4"/>
    <w:rsid w:val="00255877"/>
    <w:rsid w:val="002567BE"/>
    <w:rsid w:val="0025701A"/>
    <w:rsid w:val="002575ED"/>
    <w:rsid w:val="002576EB"/>
    <w:rsid w:val="002578A9"/>
    <w:rsid w:val="00260BF5"/>
    <w:rsid w:val="00260D04"/>
    <w:rsid w:val="0026130F"/>
    <w:rsid w:val="00261861"/>
    <w:rsid w:val="002619AC"/>
    <w:rsid w:val="00261C84"/>
    <w:rsid w:val="00262A9E"/>
    <w:rsid w:val="00263521"/>
    <w:rsid w:val="00263A1E"/>
    <w:rsid w:val="00263DB7"/>
    <w:rsid w:val="00265428"/>
    <w:rsid w:val="002654D1"/>
    <w:rsid w:val="00265EEE"/>
    <w:rsid w:val="00266618"/>
    <w:rsid w:val="0027101D"/>
    <w:rsid w:val="0027121E"/>
    <w:rsid w:val="0027188F"/>
    <w:rsid w:val="00272B88"/>
    <w:rsid w:val="002739B2"/>
    <w:rsid w:val="00273A52"/>
    <w:rsid w:val="0027424D"/>
    <w:rsid w:val="00275375"/>
    <w:rsid w:val="00275A79"/>
    <w:rsid w:val="00276563"/>
    <w:rsid w:val="00276D55"/>
    <w:rsid w:val="00277114"/>
    <w:rsid w:val="00277246"/>
    <w:rsid w:val="0028030F"/>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E45"/>
    <w:rsid w:val="00290B29"/>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3B9"/>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9F7"/>
    <w:rsid w:val="002B3A8C"/>
    <w:rsid w:val="002B55FA"/>
    <w:rsid w:val="002B5C10"/>
    <w:rsid w:val="002B5D65"/>
    <w:rsid w:val="002B637F"/>
    <w:rsid w:val="002B65DC"/>
    <w:rsid w:val="002B6FB4"/>
    <w:rsid w:val="002C06EB"/>
    <w:rsid w:val="002C1D86"/>
    <w:rsid w:val="002C1EE0"/>
    <w:rsid w:val="002C22BA"/>
    <w:rsid w:val="002C28D3"/>
    <w:rsid w:val="002C2B0E"/>
    <w:rsid w:val="002C316A"/>
    <w:rsid w:val="002C33C5"/>
    <w:rsid w:val="002C3B87"/>
    <w:rsid w:val="002C4139"/>
    <w:rsid w:val="002C4302"/>
    <w:rsid w:val="002C4F9F"/>
    <w:rsid w:val="002C54FF"/>
    <w:rsid w:val="002C578E"/>
    <w:rsid w:val="002C58AD"/>
    <w:rsid w:val="002C6153"/>
    <w:rsid w:val="002C65B3"/>
    <w:rsid w:val="002C6763"/>
    <w:rsid w:val="002C6D22"/>
    <w:rsid w:val="002C70A2"/>
    <w:rsid w:val="002C7D35"/>
    <w:rsid w:val="002D0C0C"/>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07E"/>
    <w:rsid w:val="002D79C7"/>
    <w:rsid w:val="002E0151"/>
    <w:rsid w:val="002E01CC"/>
    <w:rsid w:val="002E0A57"/>
    <w:rsid w:val="002E188D"/>
    <w:rsid w:val="002E1E1F"/>
    <w:rsid w:val="002E24BB"/>
    <w:rsid w:val="002E2DB0"/>
    <w:rsid w:val="002E3AA6"/>
    <w:rsid w:val="002E424B"/>
    <w:rsid w:val="002E4818"/>
    <w:rsid w:val="002E5757"/>
    <w:rsid w:val="002E5922"/>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A21"/>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2EBC"/>
    <w:rsid w:val="00343B0B"/>
    <w:rsid w:val="00343D49"/>
    <w:rsid w:val="00344346"/>
    <w:rsid w:val="00344842"/>
    <w:rsid w:val="00344BBF"/>
    <w:rsid w:val="00345868"/>
    <w:rsid w:val="00346217"/>
    <w:rsid w:val="0034637E"/>
    <w:rsid w:val="00346605"/>
    <w:rsid w:val="003466B0"/>
    <w:rsid w:val="00346930"/>
    <w:rsid w:val="0034759D"/>
    <w:rsid w:val="00347612"/>
    <w:rsid w:val="00347800"/>
    <w:rsid w:val="00347942"/>
    <w:rsid w:val="00347A15"/>
    <w:rsid w:val="003509DF"/>
    <w:rsid w:val="003513C7"/>
    <w:rsid w:val="0035145F"/>
    <w:rsid w:val="00351AD0"/>
    <w:rsid w:val="00351F4E"/>
    <w:rsid w:val="003525D4"/>
    <w:rsid w:val="003533F0"/>
    <w:rsid w:val="00353B1C"/>
    <w:rsid w:val="0035448A"/>
    <w:rsid w:val="00355162"/>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2FA5"/>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CBB"/>
    <w:rsid w:val="00387987"/>
    <w:rsid w:val="003907CF"/>
    <w:rsid w:val="0039137E"/>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613A"/>
    <w:rsid w:val="003A66EF"/>
    <w:rsid w:val="003A6BEC"/>
    <w:rsid w:val="003A6E61"/>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3E25"/>
    <w:rsid w:val="003C478E"/>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4DCD"/>
    <w:rsid w:val="003F5037"/>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1FD"/>
    <w:rsid w:val="0040422D"/>
    <w:rsid w:val="004045D8"/>
    <w:rsid w:val="0040494A"/>
    <w:rsid w:val="00405277"/>
    <w:rsid w:val="004064E0"/>
    <w:rsid w:val="00406E80"/>
    <w:rsid w:val="00406F61"/>
    <w:rsid w:val="00406FEF"/>
    <w:rsid w:val="004076CC"/>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429B"/>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6F7"/>
    <w:rsid w:val="00443B39"/>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C2F"/>
    <w:rsid w:val="00464D56"/>
    <w:rsid w:val="00464DF0"/>
    <w:rsid w:val="00465562"/>
    <w:rsid w:val="00465DDF"/>
    <w:rsid w:val="004661DB"/>
    <w:rsid w:val="00466B28"/>
    <w:rsid w:val="00467D5E"/>
    <w:rsid w:val="004700DC"/>
    <w:rsid w:val="0047012B"/>
    <w:rsid w:val="004705A4"/>
    <w:rsid w:val="00470ACC"/>
    <w:rsid w:val="00471164"/>
    <w:rsid w:val="0047126F"/>
    <w:rsid w:val="0047129E"/>
    <w:rsid w:val="00471752"/>
    <w:rsid w:val="00471AA2"/>
    <w:rsid w:val="00471E18"/>
    <w:rsid w:val="00471FC6"/>
    <w:rsid w:val="0047228C"/>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7CC"/>
    <w:rsid w:val="004939B6"/>
    <w:rsid w:val="00493AE1"/>
    <w:rsid w:val="00493CBE"/>
    <w:rsid w:val="004940D7"/>
    <w:rsid w:val="004942BB"/>
    <w:rsid w:val="004945A4"/>
    <w:rsid w:val="00494C49"/>
    <w:rsid w:val="00495214"/>
    <w:rsid w:val="004955D7"/>
    <w:rsid w:val="0049574B"/>
    <w:rsid w:val="00495F37"/>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98D"/>
    <w:rsid w:val="004C2B02"/>
    <w:rsid w:val="004C3342"/>
    <w:rsid w:val="004C33A2"/>
    <w:rsid w:val="004C4396"/>
    <w:rsid w:val="004C4F65"/>
    <w:rsid w:val="004C6628"/>
    <w:rsid w:val="004C7A8F"/>
    <w:rsid w:val="004C7D9F"/>
    <w:rsid w:val="004D01DF"/>
    <w:rsid w:val="004D0FAA"/>
    <w:rsid w:val="004D16BE"/>
    <w:rsid w:val="004D1983"/>
    <w:rsid w:val="004D1BC8"/>
    <w:rsid w:val="004D1D1F"/>
    <w:rsid w:val="004D2576"/>
    <w:rsid w:val="004D2869"/>
    <w:rsid w:val="004D2D0A"/>
    <w:rsid w:val="004D3387"/>
    <w:rsid w:val="004D35C6"/>
    <w:rsid w:val="004D38B0"/>
    <w:rsid w:val="004D3AAD"/>
    <w:rsid w:val="004D4C8A"/>
    <w:rsid w:val="004D562B"/>
    <w:rsid w:val="004D581B"/>
    <w:rsid w:val="004D5AD1"/>
    <w:rsid w:val="004D6027"/>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4E5"/>
    <w:rsid w:val="00511F6D"/>
    <w:rsid w:val="005130A4"/>
    <w:rsid w:val="0051326F"/>
    <w:rsid w:val="00513A75"/>
    <w:rsid w:val="00513BCD"/>
    <w:rsid w:val="00513F33"/>
    <w:rsid w:val="00514635"/>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B69"/>
    <w:rsid w:val="00522FC1"/>
    <w:rsid w:val="005232B5"/>
    <w:rsid w:val="005239EA"/>
    <w:rsid w:val="00523C70"/>
    <w:rsid w:val="00524289"/>
    <w:rsid w:val="005250BC"/>
    <w:rsid w:val="005254F8"/>
    <w:rsid w:val="005259CE"/>
    <w:rsid w:val="00526053"/>
    <w:rsid w:val="005265D4"/>
    <w:rsid w:val="00526812"/>
    <w:rsid w:val="0052721A"/>
    <w:rsid w:val="005274E2"/>
    <w:rsid w:val="00527518"/>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5F0E"/>
    <w:rsid w:val="00556192"/>
    <w:rsid w:val="005565A6"/>
    <w:rsid w:val="005565B2"/>
    <w:rsid w:val="00556E6F"/>
    <w:rsid w:val="00556F6F"/>
    <w:rsid w:val="00557296"/>
    <w:rsid w:val="00557A6C"/>
    <w:rsid w:val="005608B2"/>
    <w:rsid w:val="0056099A"/>
    <w:rsid w:val="00560A43"/>
    <w:rsid w:val="00561000"/>
    <w:rsid w:val="00561471"/>
    <w:rsid w:val="005622E3"/>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9C8"/>
    <w:rsid w:val="00580C5C"/>
    <w:rsid w:val="00580DA8"/>
    <w:rsid w:val="00580F79"/>
    <w:rsid w:val="0058142E"/>
    <w:rsid w:val="00581795"/>
    <w:rsid w:val="00582865"/>
    <w:rsid w:val="00583B95"/>
    <w:rsid w:val="005850FD"/>
    <w:rsid w:val="0058597D"/>
    <w:rsid w:val="00585BB5"/>
    <w:rsid w:val="00585F34"/>
    <w:rsid w:val="005869A9"/>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7BF"/>
    <w:rsid w:val="0059796B"/>
    <w:rsid w:val="005A021D"/>
    <w:rsid w:val="005A02E6"/>
    <w:rsid w:val="005A04B8"/>
    <w:rsid w:val="005A0CEA"/>
    <w:rsid w:val="005A1450"/>
    <w:rsid w:val="005A1852"/>
    <w:rsid w:val="005A190A"/>
    <w:rsid w:val="005A1A1B"/>
    <w:rsid w:val="005A20C9"/>
    <w:rsid w:val="005A2216"/>
    <w:rsid w:val="005A24B5"/>
    <w:rsid w:val="005A2CFC"/>
    <w:rsid w:val="005A40BA"/>
    <w:rsid w:val="005A437E"/>
    <w:rsid w:val="005A504A"/>
    <w:rsid w:val="005A57D6"/>
    <w:rsid w:val="005A5A70"/>
    <w:rsid w:val="005A6171"/>
    <w:rsid w:val="005A6413"/>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82D"/>
    <w:rsid w:val="005D293C"/>
    <w:rsid w:val="005D30B8"/>
    <w:rsid w:val="005D48FE"/>
    <w:rsid w:val="005D4DA2"/>
    <w:rsid w:val="005D5DA2"/>
    <w:rsid w:val="005D5EAC"/>
    <w:rsid w:val="005D66B0"/>
    <w:rsid w:val="005D6BA1"/>
    <w:rsid w:val="005D6C63"/>
    <w:rsid w:val="005D6E99"/>
    <w:rsid w:val="005D71E4"/>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377"/>
    <w:rsid w:val="005F27EF"/>
    <w:rsid w:val="005F30B1"/>
    <w:rsid w:val="005F3434"/>
    <w:rsid w:val="005F3AEF"/>
    <w:rsid w:val="005F3C03"/>
    <w:rsid w:val="005F4418"/>
    <w:rsid w:val="005F492A"/>
    <w:rsid w:val="005F49D2"/>
    <w:rsid w:val="005F4CED"/>
    <w:rsid w:val="005F5352"/>
    <w:rsid w:val="005F5527"/>
    <w:rsid w:val="005F6B5C"/>
    <w:rsid w:val="005F6F91"/>
    <w:rsid w:val="005F6FE0"/>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3DC4"/>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7EB"/>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2BC3"/>
    <w:rsid w:val="006531CB"/>
    <w:rsid w:val="00653453"/>
    <w:rsid w:val="00653E4D"/>
    <w:rsid w:val="00653F03"/>
    <w:rsid w:val="00654139"/>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3B0"/>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976"/>
    <w:rsid w:val="00686E12"/>
    <w:rsid w:val="00690E56"/>
    <w:rsid w:val="0069165A"/>
    <w:rsid w:val="00691B4D"/>
    <w:rsid w:val="0069249C"/>
    <w:rsid w:val="00692613"/>
    <w:rsid w:val="00692C1D"/>
    <w:rsid w:val="0069335D"/>
    <w:rsid w:val="00694C3C"/>
    <w:rsid w:val="00697E8B"/>
    <w:rsid w:val="006A040F"/>
    <w:rsid w:val="006A1039"/>
    <w:rsid w:val="006A1046"/>
    <w:rsid w:val="006A21AF"/>
    <w:rsid w:val="006A29E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9CD"/>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2E"/>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0FB"/>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138"/>
    <w:rsid w:val="006E24C0"/>
    <w:rsid w:val="006E2874"/>
    <w:rsid w:val="006E2C4B"/>
    <w:rsid w:val="006E36C3"/>
    <w:rsid w:val="006E3788"/>
    <w:rsid w:val="006E3C03"/>
    <w:rsid w:val="006E42E4"/>
    <w:rsid w:val="006E4684"/>
    <w:rsid w:val="006E4866"/>
    <w:rsid w:val="006E4869"/>
    <w:rsid w:val="006E4ABF"/>
    <w:rsid w:val="006E52CE"/>
    <w:rsid w:val="006E57B4"/>
    <w:rsid w:val="006E585B"/>
    <w:rsid w:val="006E5FB1"/>
    <w:rsid w:val="006E6297"/>
    <w:rsid w:val="006E632D"/>
    <w:rsid w:val="006E638B"/>
    <w:rsid w:val="006E6560"/>
    <w:rsid w:val="006E663F"/>
    <w:rsid w:val="006E67D8"/>
    <w:rsid w:val="006E6CC2"/>
    <w:rsid w:val="006E6E66"/>
    <w:rsid w:val="006E787E"/>
    <w:rsid w:val="006F0215"/>
    <w:rsid w:val="006F10E1"/>
    <w:rsid w:val="006F11DD"/>
    <w:rsid w:val="006F161B"/>
    <w:rsid w:val="006F18DD"/>
    <w:rsid w:val="006F19AA"/>
    <w:rsid w:val="006F19AB"/>
    <w:rsid w:val="006F26FB"/>
    <w:rsid w:val="006F281D"/>
    <w:rsid w:val="006F285F"/>
    <w:rsid w:val="006F3142"/>
    <w:rsid w:val="006F347B"/>
    <w:rsid w:val="006F3536"/>
    <w:rsid w:val="006F3A6E"/>
    <w:rsid w:val="006F45A4"/>
    <w:rsid w:val="006F4A1E"/>
    <w:rsid w:val="006F4D90"/>
    <w:rsid w:val="006F6FBC"/>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555"/>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2C0"/>
    <w:rsid w:val="00760B67"/>
    <w:rsid w:val="00760F3C"/>
    <w:rsid w:val="00761CE2"/>
    <w:rsid w:val="00761E1F"/>
    <w:rsid w:val="00761E43"/>
    <w:rsid w:val="007628A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7D5"/>
    <w:rsid w:val="00781F3B"/>
    <w:rsid w:val="007824AB"/>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755"/>
    <w:rsid w:val="00792B80"/>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371"/>
    <w:rsid w:val="007D14D7"/>
    <w:rsid w:val="007D15AE"/>
    <w:rsid w:val="007D16B5"/>
    <w:rsid w:val="007D1D12"/>
    <w:rsid w:val="007D1D95"/>
    <w:rsid w:val="007D337B"/>
    <w:rsid w:val="007D4382"/>
    <w:rsid w:val="007D4879"/>
    <w:rsid w:val="007D4931"/>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5B59"/>
    <w:rsid w:val="007E66B0"/>
    <w:rsid w:val="007E68C3"/>
    <w:rsid w:val="007E69A8"/>
    <w:rsid w:val="007E6E5C"/>
    <w:rsid w:val="007E714E"/>
    <w:rsid w:val="007E72D9"/>
    <w:rsid w:val="007E750F"/>
    <w:rsid w:val="007E7D7C"/>
    <w:rsid w:val="007F02E3"/>
    <w:rsid w:val="007F1517"/>
    <w:rsid w:val="007F1621"/>
    <w:rsid w:val="007F16B7"/>
    <w:rsid w:val="007F1B5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C40"/>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0DA9"/>
    <w:rsid w:val="0082350D"/>
    <w:rsid w:val="00823961"/>
    <w:rsid w:val="00823E80"/>
    <w:rsid w:val="00824844"/>
    <w:rsid w:val="00824AA0"/>
    <w:rsid w:val="00825A1B"/>
    <w:rsid w:val="00825AAA"/>
    <w:rsid w:val="0082763E"/>
    <w:rsid w:val="00831AF4"/>
    <w:rsid w:val="00831C86"/>
    <w:rsid w:val="00831FC6"/>
    <w:rsid w:val="008327D7"/>
    <w:rsid w:val="00832A1F"/>
    <w:rsid w:val="00833E19"/>
    <w:rsid w:val="00834535"/>
    <w:rsid w:val="00834E18"/>
    <w:rsid w:val="00834E9C"/>
    <w:rsid w:val="00834F0B"/>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162"/>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30C"/>
    <w:rsid w:val="008829F7"/>
    <w:rsid w:val="00882E18"/>
    <w:rsid w:val="0088344B"/>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B8B"/>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4A8"/>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9E9"/>
    <w:rsid w:val="008D6E53"/>
    <w:rsid w:val="008D7367"/>
    <w:rsid w:val="008D7D2D"/>
    <w:rsid w:val="008D7EA1"/>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4F60"/>
    <w:rsid w:val="008F5110"/>
    <w:rsid w:val="008F51BE"/>
    <w:rsid w:val="008F51FC"/>
    <w:rsid w:val="008F5316"/>
    <w:rsid w:val="008F539D"/>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1C"/>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D92"/>
    <w:rsid w:val="009260DB"/>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A8B"/>
    <w:rsid w:val="00962B87"/>
    <w:rsid w:val="00962E13"/>
    <w:rsid w:val="00962FF1"/>
    <w:rsid w:val="009630CE"/>
    <w:rsid w:val="009641AD"/>
    <w:rsid w:val="009642EC"/>
    <w:rsid w:val="009647A2"/>
    <w:rsid w:val="00965427"/>
    <w:rsid w:val="00965842"/>
    <w:rsid w:val="0096653F"/>
    <w:rsid w:val="009665FC"/>
    <w:rsid w:val="00966D35"/>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705"/>
    <w:rsid w:val="009758C5"/>
    <w:rsid w:val="009759F2"/>
    <w:rsid w:val="00976119"/>
    <w:rsid w:val="00976190"/>
    <w:rsid w:val="00976469"/>
    <w:rsid w:val="00976532"/>
    <w:rsid w:val="0097654B"/>
    <w:rsid w:val="00976A43"/>
    <w:rsid w:val="00976B93"/>
    <w:rsid w:val="00976E12"/>
    <w:rsid w:val="009770B8"/>
    <w:rsid w:val="00977265"/>
    <w:rsid w:val="00977579"/>
    <w:rsid w:val="00977C6D"/>
    <w:rsid w:val="00977F17"/>
    <w:rsid w:val="00980499"/>
    <w:rsid w:val="009806B0"/>
    <w:rsid w:val="00981469"/>
    <w:rsid w:val="00981AF3"/>
    <w:rsid w:val="00982497"/>
    <w:rsid w:val="00982C61"/>
    <w:rsid w:val="00982CD1"/>
    <w:rsid w:val="0098342A"/>
    <w:rsid w:val="00983AE1"/>
    <w:rsid w:val="00983E85"/>
    <w:rsid w:val="009854B6"/>
    <w:rsid w:val="00985829"/>
    <w:rsid w:val="00985D15"/>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4D6"/>
    <w:rsid w:val="009A2516"/>
    <w:rsid w:val="009A2FAA"/>
    <w:rsid w:val="009A349F"/>
    <w:rsid w:val="009A35C7"/>
    <w:rsid w:val="009A3852"/>
    <w:rsid w:val="009A444E"/>
    <w:rsid w:val="009A4788"/>
    <w:rsid w:val="009A4A6E"/>
    <w:rsid w:val="009A4C66"/>
    <w:rsid w:val="009A78B3"/>
    <w:rsid w:val="009B0A9C"/>
    <w:rsid w:val="009B10AE"/>
    <w:rsid w:val="009B1240"/>
    <w:rsid w:val="009B1690"/>
    <w:rsid w:val="009B18D7"/>
    <w:rsid w:val="009B1956"/>
    <w:rsid w:val="009B23EE"/>
    <w:rsid w:val="009B2769"/>
    <w:rsid w:val="009B3610"/>
    <w:rsid w:val="009B37D3"/>
    <w:rsid w:val="009B39FC"/>
    <w:rsid w:val="009B4169"/>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3ED"/>
    <w:rsid w:val="009C5D49"/>
    <w:rsid w:val="009C718C"/>
    <w:rsid w:val="009C7345"/>
    <w:rsid w:val="009C7BBD"/>
    <w:rsid w:val="009C7C63"/>
    <w:rsid w:val="009C7FE0"/>
    <w:rsid w:val="009D025C"/>
    <w:rsid w:val="009D05CC"/>
    <w:rsid w:val="009D09AE"/>
    <w:rsid w:val="009D0EE8"/>
    <w:rsid w:val="009D10F3"/>
    <w:rsid w:val="009D11AB"/>
    <w:rsid w:val="009D1B21"/>
    <w:rsid w:val="009D222F"/>
    <w:rsid w:val="009D2A1F"/>
    <w:rsid w:val="009D2BAC"/>
    <w:rsid w:val="009D2CF6"/>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6435"/>
    <w:rsid w:val="009F70B7"/>
    <w:rsid w:val="009F711E"/>
    <w:rsid w:val="009F7F2B"/>
    <w:rsid w:val="00A0001D"/>
    <w:rsid w:val="00A01037"/>
    <w:rsid w:val="00A0119C"/>
    <w:rsid w:val="00A017D4"/>
    <w:rsid w:val="00A01C9C"/>
    <w:rsid w:val="00A01F05"/>
    <w:rsid w:val="00A02543"/>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49A6"/>
    <w:rsid w:val="00A25013"/>
    <w:rsid w:val="00A25467"/>
    <w:rsid w:val="00A25512"/>
    <w:rsid w:val="00A2551C"/>
    <w:rsid w:val="00A25C16"/>
    <w:rsid w:val="00A2617B"/>
    <w:rsid w:val="00A26B1C"/>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37AF7"/>
    <w:rsid w:val="00A408EB"/>
    <w:rsid w:val="00A4133B"/>
    <w:rsid w:val="00A4189A"/>
    <w:rsid w:val="00A41A4E"/>
    <w:rsid w:val="00A42346"/>
    <w:rsid w:val="00A42565"/>
    <w:rsid w:val="00A42621"/>
    <w:rsid w:val="00A436D2"/>
    <w:rsid w:val="00A43752"/>
    <w:rsid w:val="00A4391C"/>
    <w:rsid w:val="00A43D25"/>
    <w:rsid w:val="00A443B8"/>
    <w:rsid w:val="00A44F9F"/>
    <w:rsid w:val="00A452B2"/>
    <w:rsid w:val="00A454E3"/>
    <w:rsid w:val="00A463F3"/>
    <w:rsid w:val="00A47100"/>
    <w:rsid w:val="00A472D1"/>
    <w:rsid w:val="00A47335"/>
    <w:rsid w:val="00A47902"/>
    <w:rsid w:val="00A47B8B"/>
    <w:rsid w:val="00A50258"/>
    <w:rsid w:val="00A503C9"/>
    <w:rsid w:val="00A5085F"/>
    <w:rsid w:val="00A51149"/>
    <w:rsid w:val="00A53032"/>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9CF"/>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0DC3"/>
    <w:rsid w:val="00A81021"/>
    <w:rsid w:val="00A811CB"/>
    <w:rsid w:val="00A81D00"/>
    <w:rsid w:val="00A81D2F"/>
    <w:rsid w:val="00A81E59"/>
    <w:rsid w:val="00A81EBE"/>
    <w:rsid w:val="00A826F1"/>
    <w:rsid w:val="00A82712"/>
    <w:rsid w:val="00A82D02"/>
    <w:rsid w:val="00A8314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20C7"/>
    <w:rsid w:val="00A93F51"/>
    <w:rsid w:val="00A96010"/>
    <w:rsid w:val="00A9684D"/>
    <w:rsid w:val="00A97402"/>
    <w:rsid w:val="00A97873"/>
    <w:rsid w:val="00AA0B30"/>
    <w:rsid w:val="00AA0EFF"/>
    <w:rsid w:val="00AA1E6C"/>
    <w:rsid w:val="00AA25E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541"/>
    <w:rsid w:val="00AB0706"/>
    <w:rsid w:val="00AB09EE"/>
    <w:rsid w:val="00AB19B4"/>
    <w:rsid w:val="00AB2400"/>
    <w:rsid w:val="00AB25DF"/>
    <w:rsid w:val="00AB4096"/>
    <w:rsid w:val="00AB5377"/>
    <w:rsid w:val="00AB5B77"/>
    <w:rsid w:val="00AB7778"/>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2F8"/>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B77"/>
    <w:rsid w:val="00AF11B5"/>
    <w:rsid w:val="00AF1F48"/>
    <w:rsid w:val="00AF21DB"/>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8"/>
    <w:rsid w:val="00B014AD"/>
    <w:rsid w:val="00B01819"/>
    <w:rsid w:val="00B01889"/>
    <w:rsid w:val="00B022D8"/>
    <w:rsid w:val="00B024A5"/>
    <w:rsid w:val="00B02540"/>
    <w:rsid w:val="00B039AB"/>
    <w:rsid w:val="00B039E9"/>
    <w:rsid w:val="00B03B7D"/>
    <w:rsid w:val="00B03CCE"/>
    <w:rsid w:val="00B03E09"/>
    <w:rsid w:val="00B04880"/>
    <w:rsid w:val="00B04DC3"/>
    <w:rsid w:val="00B04EED"/>
    <w:rsid w:val="00B0529B"/>
    <w:rsid w:val="00B05E03"/>
    <w:rsid w:val="00B0644E"/>
    <w:rsid w:val="00B06719"/>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30D"/>
    <w:rsid w:val="00B23F87"/>
    <w:rsid w:val="00B24213"/>
    <w:rsid w:val="00B242E1"/>
    <w:rsid w:val="00B244B0"/>
    <w:rsid w:val="00B24980"/>
    <w:rsid w:val="00B250B5"/>
    <w:rsid w:val="00B25B42"/>
    <w:rsid w:val="00B2635D"/>
    <w:rsid w:val="00B267F1"/>
    <w:rsid w:val="00B2725F"/>
    <w:rsid w:val="00B2755F"/>
    <w:rsid w:val="00B27998"/>
    <w:rsid w:val="00B308E1"/>
    <w:rsid w:val="00B30FEF"/>
    <w:rsid w:val="00B31D3D"/>
    <w:rsid w:val="00B32623"/>
    <w:rsid w:val="00B331DC"/>
    <w:rsid w:val="00B33BCF"/>
    <w:rsid w:val="00B34C0E"/>
    <w:rsid w:val="00B34F11"/>
    <w:rsid w:val="00B35546"/>
    <w:rsid w:val="00B3556A"/>
    <w:rsid w:val="00B35594"/>
    <w:rsid w:val="00B3580D"/>
    <w:rsid w:val="00B36B6D"/>
    <w:rsid w:val="00B3756E"/>
    <w:rsid w:val="00B3781E"/>
    <w:rsid w:val="00B401AE"/>
    <w:rsid w:val="00B402BB"/>
    <w:rsid w:val="00B4123F"/>
    <w:rsid w:val="00B414AF"/>
    <w:rsid w:val="00B41708"/>
    <w:rsid w:val="00B421E7"/>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214"/>
    <w:rsid w:val="00B563AF"/>
    <w:rsid w:val="00B563E9"/>
    <w:rsid w:val="00B56902"/>
    <w:rsid w:val="00B56922"/>
    <w:rsid w:val="00B56B70"/>
    <w:rsid w:val="00B57983"/>
    <w:rsid w:val="00B604C8"/>
    <w:rsid w:val="00B60ED0"/>
    <w:rsid w:val="00B62189"/>
    <w:rsid w:val="00B625B6"/>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8CF"/>
    <w:rsid w:val="00B709B8"/>
    <w:rsid w:val="00B7140B"/>
    <w:rsid w:val="00B7275C"/>
    <w:rsid w:val="00B72D75"/>
    <w:rsid w:val="00B72F97"/>
    <w:rsid w:val="00B73774"/>
    <w:rsid w:val="00B739E0"/>
    <w:rsid w:val="00B741EF"/>
    <w:rsid w:val="00B747A2"/>
    <w:rsid w:val="00B75001"/>
    <w:rsid w:val="00B75D6E"/>
    <w:rsid w:val="00B75F72"/>
    <w:rsid w:val="00B76DC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4363"/>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48B"/>
    <w:rsid w:val="00BE458A"/>
    <w:rsid w:val="00BE4BE8"/>
    <w:rsid w:val="00BE4DBA"/>
    <w:rsid w:val="00BE4E51"/>
    <w:rsid w:val="00BE5D07"/>
    <w:rsid w:val="00BE61FC"/>
    <w:rsid w:val="00BE716A"/>
    <w:rsid w:val="00BE7A1E"/>
    <w:rsid w:val="00BF0159"/>
    <w:rsid w:val="00BF0D84"/>
    <w:rsid w:val="00BF1423"/>
    <w:rsid w:val="00BF18FE"/>
    <w:rsid w:val="00BF1B8A"/>
    <w:rsid w:val="00BF1C55"/>
    <w:rsid w:val="00BF224A"/>
    <w:rsid w:val="00BF28A4"/>
    <w:rsid w:val="00BF37C5"/>
    <w:rsid w:val="00BF3AAA"/>
    <w:rsid w:val="00BF42FD"/>
    <w:rsid w:val="00BF497A"/>
    <w:rsid w:val="00BF4AC8"/>
    <w:rsid w:val="00BF5240"/>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07EF3"/>
    <w:rsid w:val="00C108A9"/>
    <w:rsid w:val="00C10D63"/>
    <w:rsid w:val="00C123A3"/>
    <w:rsid w:val="00C12466"/>
    <w:rsid w:val="00C141FB"/>
    <w:rsid w:val="00C143BD"/>
    <w:rsid w:val="00C1441B"/>
    <w:rsid w:val="00C14FB5"/>
    <w:rsid w:val="00C151EC"/>
    <w:rsid w:val="00C1544B"/>
    <w:rsid w:val="00C15A04"/>
    <w:rsid w:val="00C15CEA"/>
    <w:rsid w:val="00C1656A"/>
    <w:rsid w:val="00C16588"/>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2F9F"/>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2AA"/>
    <w:rsid w:val="00C433C4"/>
    <w:rsid w:val="00C43FBA"/>
    <w:rsid w:val="00C441CC"/>
    <w:rsid w:val="00C44475"/>
    <w:rsid w:val="00C44F87"/>
    <w:rsid w:val="00C4534D"/>
    <w:rsid w:val="00C45757"/>
    <w:rsid w:val="00C4609E"/>
    <w:rsid w:val="00C46807"/>
    <w:rsid w:val="00C47D44"/>
    <w:rsid w:val="00C47E70"/>
    <w:rsid w:val="00C50B1E"/>
    <w:rsid w:val="00C51705"/>
    <w:rsid w:val="00C51C72"/>
    <w:rsid w:val="00C51CB1"/>
    <w:rsid w:val="00C521B4"/>
    <w:rsid w:val="00C52914"/>
    <w:rsid w:val="00C532A5"/>
    <w:rsid w:val="00C5363E"/>
    <w:rsid w:val="00C544CC"/>
    <w:rsid w:val="00C546E7"/>
    <w:rsid w:val="00C55114"/>
    <w:rsid w:val="00C56262"/>
    <w:rsid w:val="00C56F3D"/>
    <w:rsid w:val="00C56F60"/>
    <w:rsid w:val="00C56F81"/>
    <w:rsid w:val="00C57198"/>
    <w:rsid w:val="00C5776F"/>
    <w:rsid w:val="00C577F8"/>
    <w:rsid w:val="00C578CE"/>
    <w:rsid w:val="00C61735"/>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2EE"/>
    <w:rsid w:val="00C71914"/>
    <w:rsid w:val="00C7263B"/>
    <w:rsid w:val="00C727EF"/>
    <w:rsid w:val="00C72D01"/>
    <w:rsid w:val="00C72E9B"/>
    <w:rsid w:val="00C72F2F"/>
    <w:rsid w:val="00C73290"/>
    <w:rsid w:val="00C736A7"/>
    <w:rsid w:val="00C74181"/>
    <w:rsid w:val="00C74636"/>
    <w:rsid w:val="00C74AF1"/>
    <w:rsid w:val="00C74B8C"/>
    <w:rsid w:val="00C752C9"/>
    <w:rsid w:val="00C75914"/>
    <w:rsid w:val="00C75938"/>
    <w:rsid w:val="00C759F1"/>
    <w:rsid w:val="00C7613A"/>
    <w:rsid w:val="00C761B9"/>
    <w:rsid w:val="00C77315"/>
    <w:rsid w:val="00C77AEB"/>
    <w:rsid w:val="00C77C98"/>
    <w:rsid w:val="00C77E05"/>
    <w:rsid w:val="00C80069"/>
    <w:rsid w:val="00C8036D"/>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672"/>
    <w:rsid w:val="00C8683F"/>
    <w:rsid w:val="00C86967"/>
    <w:rsid w:val="00C8704A"/>
    <w:rsid w:val="00C87D19"/>
    <w:rsid w:val="00C906CF"/>
    <w:rsid w:val="00C9091D"/>
    <w:rsid w:val="00C90FA2"/>
    <w:rsid w:val="00C91CA5"/>
    <w:rsid w:val="00C91D17"/>
    <w:rsid w:val="00C91D26"/>
    <w:rsid w:val="00C92267"/>
    <w:rsid w:val="00C92D31"/>
    <w:rsid w:val="00C94342"/>
    <w:rsid w:val="00C94857"/>
    <w:rsid w:val="00C94C05"/>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5EF9"/>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0ED9"/>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CB7"/>
    <w:rsid w:val="00CE2EE4"/>
    <w:rsid w:val="00CE3262"/>
    <w:rsid w:val="00CE3346"/>
    <w:rsid w:val="00CE3797"/>
    <w:rsid w:val="00CE3ADA"/>
    <w:rsid w:val="00CE4025"/>
    <w:rsid w:val="00CE41CB"/>
    <w:rsid w:val="00CE48D3"/>
    <w:rsid w:val="00CE498F"/>
    <w:rsid w:val="00CE4D6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6692"/>
    <w:rsid w:val="00CF7C31"/>
    <w:rsid w:val="00D00CF6"/>
    <w:rsid w:val="00D013E2"/>
    <w:rsid w:val="00D01F80"/>
    <w:rsid w:val="00D0208A"/>
    <w:rsid w:val="00D025CC"/>
    <w:rsid w:val="00D028B3"/>
    <w:rsid w:val="00D0293C"/>
    <w:rsid w:val="00D02DA7"/>
    <w:rsid w:val="00D03020"/>
    <w:rsid w:val="00D0304E"/>
    <w:rsid w:val="00D04EC9"/>
    <w:rsid w:val="00D053C2"/>
    <w:rsid w:val="00D05E0E"/>
    <w:rsid w:val="00D06218"/>
    <w:rsid w:val="00D066C4"/>
    <w:rsid w:val="00D104AC"/>
    <w:rsid w:val="00D10566"/>
    <w:rsid w:val="00D105A1"/>
    <w:rsid w:val="00D1100E"/>
    <w:rsid w:val="00D11B4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05F7"/>
    <w:rsid w:val="00D3182A"/>
    <w:rsid w:val="00D32136"/>
    <w:rsid w:val="00D3222B"/>
    <w:rsid w:val="00D3227D"/>
    <w:rsid w:val="00D330D8"/>
    <w:rsid w:val="00D33197"/>
    <w:rsid w:val="00D33567"/>
    <w:rsid w:val="00D33EEE"/>
    <w:rsid w:val="00D341A7"/>
    <w:rsid w:val="00D34B4B"/>
    <w:rsid w:val="00D35236"/>
    <w:rsid w:val="00D35305"/>
    <w:rsid w:val="00D3579C"/>
    <w:rsid w:val="00D364BB"/>
    <w:rsid w:val="00D36F29"/>
    <w:rsid w:val="00D37121"/>
    <w:rsid w:val="00D376AA"/>
    <w:rsid w:val="00D37ED3"/>
    <w:rsid w:val="00D40043"/>
    <w:rsid w:val="00D401D5"/>
    <w:rsid w:val="00D40502"/>
    <w:rsid w:val="00D40A47"/>
    <w:rsid w:val="00D41051"/>
    <w:rsid w:val="00D410F8"/>
    <w:rsid w:val="00D417AE"/>
    <w:rsid w:val="00D41AF1"/>
    <w:rsid w:val="00D41B6F"/>
    <w:rsid w:val="00D41E88"/>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5C2"/>
    <w:rsid w:val="00D721EC"/>
    <w:rsid w:val="00D726CE"/>
    <w:rsid w:val="00D72788"/>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7CE"/>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6CA"/>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4C9"/>
    <w:rsid w:val="00DB7CD9"/>
    <w:rsid w:val="00DB7D53"/>
    <w:rsid w:val="00DC0464"/>
    <w:rsid w:val="00DC0787"/>
    <w:rsid w:val="00DC0F18"/>
    <w:rsid w:val="00DC1303"/>
    <w:rsid w:val="00DC1403"/>
    <w:rsid w:val="00DC2769"/>
    <w:rsid w:val="00DC389B"/>
    <w:rsid w:val="00DC394C"/>
    <w:rsid w:val="00DC42A4"/>
    <w:rsid w:val="00DC42EA"/>
    <w:rsid w:val="00DC4933"/>
    <w:rsid w:val="00DC558C"/>
    <w:rsid w:val="00DC5ED6"/>
    <w:rsid w:val="00DC635D"/>
    <w:rsid w:val="00DC6513"/>
    <w:rsid w:val="00DC693E"/>
    <w:rsid w:val="00DC70B1"/>
    <w:rsid w:val="00DC7C31"/>
    <w:rsid w:val="00DD0C3F"/>
    <w:rsid w:val="00DD1EC8"/>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5623"/>
    <w:rsid w:val="00E46906"/>
    <w:rsid w:val="00E46AA8"/>
    <w:rsid w:val="00E46D2F"/>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061C"/>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1A8D"/>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A7C59"/>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506E"/>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737"/>
    <w:rsid w:val="00EE6D5C"/>
    <w:rsid w:val="00EE6E00"/>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AC7"/>
    <w:rsid w:val="00F04BF2"/>
    <w:rsid w:val="00F05678"/>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3D6"/>
    <w:rsid w:val="00F164D5"/>
    <w:rsid w:val="00F1792F"/>
    <w:rsid w:val="00F17A56"/>
    <w:rsid w:val="00F20474"/>
    <w:rsid w:val="00F209A2"/>
    <w:rsid w:val="00F21AB6"/>
    <w:rsid w:val="00F223D5"/>
    <w:rsid w:val="00F22653"/>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E"/>
    <w:rsid w:val="00F332ED"/>
    <w:rsid w:val="00F33552"/>
    <w:rsid w:val="00F335AB"/>
    <w:rsid w:val="00F33C8D"/>
    <w:rsid w:val="00F347C5"/>
    <w:rsid w:val="00F348D1"/>
    <w:rsid w:val="00F35955"/>
    <w:rsid w:val="00F36578"/>
    <w:rsid w:val="00F3669D"/>
    <w:rsid w:val="00F378C1"/>
    <w:rsid w:val="00F40CC5"/>
    <w:rsid w:val="00F40E48"/>
    <w:rsid w:val="00F410B5"/>
    <w:rsid w:val="00F41836"/>
    <w:rsid w:val="00F41AF4"/>
    <w:rsid w:val="00F41DE0"/>
    <w:rsid w:val="00F420FD"/>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5AF"/>
    <w:rsid w:val="00F57925"/>
    <w:rsid w:val="00F57A83"/>
    <w:rsid w:val="00F604F4"/>
    <w:rsid w:val="00F605A1"/>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D1C"/>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2A7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A5"/>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030A"/>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5CD0"/>
    <w:rsid w:val="00FD620D"/>
    <w:rsid w:val="00FD64B8"/>
    <w:rsid w:val="00FD667B"/>
    <w:rsid w:val="00FD7162"/>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CCB"/>
    <w:rsid w:val="00FE5E25"/>
    <w:rsid w:val="00FE6AE8"/>
    <w:rsid w:val="00FE70D5"/>
    <w:rsid w:val="00FE7127"/>
    <w:rsid w:val="00FF041F"/>
    <w:rsid w:val="00FF0C67"/>
    <w:rsid w:val="00FF0E6A"/>
    <w:rsid w:val="00FF0F69"/>
    <w:rsid w:val="00FF1623"/>
    <w:rsid w:val="00FF21EF"/>
    <w:rsid w:val="00FF25C7"/>
    <w:rsid w:val="00FF2A34"/>
    <w:rsid w:val="00FF3BF7"/>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E46D2F"/>
    <w:pPr>
      <w:keepNext/>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9">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0">
    <w:name w:val="הפניה להערה1"/>
    <w:uiPriority w:val="99"/>
    <w:semiHidden/>
    <w:unhideWhenUsed/>
    <w:rsid w:val="002516DF"/>
    <w:rPr>
      <w:sz w:val="16"/>
      <w:szCs w:val="16"/>
    </w:rPr>
  </w:style>
  <w:style w:type="paragraph" w:customStyle="1" w:styleId="122">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2"/>
    <w:uiPriority w:val="99"/>
    <w:rsid w:val="002516DF"/>
    <w:rPr>
      <w:rFonts w:eastAsia="Calibri"/>
      <w:szCs w:val="20"/>
    </w:rPr>
  </w:style>
  <w:style w:type="paragraph" w:customStyle="1" w:styleId="123">
    <w:name w:val="נושא הערה1"/>
    <w:basedOn w:val="122"/>
    <w:next w:val="122"/>
    <w:link w:val="a14"/>
    <w:uiPriority w:val="99"/>
    <w:semiHidden/>
    <w:unhideWhenUsed/>
    <w:rsid w:val="002516DF"/>
    <w:rPr>
      <w:b/>
      <w:bCs/>
    </w:rPr>
  </w:style>
  <w:style w:type="character" w:customStyle="1" w:styleId="a14">
    <w:name w:val="נושא הערה תו"/>
    <w:link w:val="123"/>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4">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5">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D03020"/>
    <w:pPr>
      <w:keepNext/>
    </w:pPr>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D03020"/>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6"/>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6">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7">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8">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D03020"/>
    <w:rPr>
      <w:color w:val="0D0D0D" w:themeColor="text1" w:themeTint="F2"/>
      <w:sz w:val="18"/>
    </w:rPr>
  </w:style>
  <w:style w:type="character" w:customStyle="1" w:styleId="7192">
    <w:name w:val="71ג׳ טקסט רץ 9 תו"/>
    <w:basedOn w:val="Char4"/>
    <w:link w:val="7191"/>
    <w:rsid w:val="00D03020"/>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29">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2">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0">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paragraph" w:customStyle="1" w:styleId="7193">
    <w:name w:val="71ג טקסט רץ 9 ערבית"/>
    <w:basedOn w:val="Normal"/>
    <w:link w:val="7194"/>
    <w:qFormat/>
    <w:rsid w:val="002567BE"/>
    <w:pPr>
      <w:keepNext/>
      <w:spacing w:after="180" w:line="276" w:lineRule="auto"/>
    </w:pPr>
    <w:rPr>
      <w:rFonts w:ascii="Tahoma" w:hAnsi="Tahoma" w:cs="Tahoma"/>
      <w:color w:val="0D0D0D" w:themeColor="text1" w:themeTint="F2"/>
      <w:sz w:val="18"/>
      <w:szCs w:val="18"/>
    </w:rPr>
  </w:style>
  <w:style w:type="character" w:customStyle="1" w:styleId="7194">
    <w:name w:val="71ג טקסט רץ 9 ערבית תו"/>
    <w:basedOn w:val="DefaultParagraphFont"/>
    <w:link w:val="7193"/>
    <w:rsid w:val="002567BE"/>
    <w:rPr>
      <w:rFonts w:ascii="Tahoma" w:hAnsi="Tahoma" w:cs="Tahoma"/>
      <w:color w:val="0D0D0D" w:themeColor="text1" w:themeTint="F2"/>
      <w:sz w:val="18"/>
      <w:szCs w:val="18"/>
    </w:rPr>
  </w:style>
  <w:style w:type="paragraph" w:customStyle="1" w:styleId="a44">
    <w:name w:val="תאריך הדוח"/>
    <w:qFormat/>
    <w:rsid w:val="00514635"/>
    <w:pPr>
      <w:ind w:left="2268"/>
      <w:jc w:val="left"/>
    </w:pPr>
    <w:rPr>
      <w:rFonts w:ascii="Tahoma" w:hAnsi="Tahoma" w:cs="Tahoma"/>
      <w:sz w:val="18"/>
      <w:szCs w:val="18"/>
    </w:rPr>
  </w:style>
  <w:style w:type="numbering" w:customStyle="1" w:styleId="131">
    <w:name w:val="ללא רשימה1"/>
    <w:uiPriority w:val="99"/>
    <w:semiHidden/>
    <w:unhideWhenUsed/>
    <w:rsid w:val="00C16588"/>
  </w:style>
  <w:style w:type="numbering" w:customStyle="1" w:styleId="1111">
    <w:name w:val="ללא רשימה11"/>
    <w:next w:val="NoList"/>
    <w:uiPriority w:val="99"/>
    <w:semiHidden/>
    <w:unhideWhenUsed/>
    <w:rsid w:val="00C16588"/>
  </w:style>
  <w:style w:type="numbering" w:customStyle="1" w:styleId="223">
    <w:name w:val="ללא רשימה2"/>
    <w:next w:val="NoList"/>
    <w:uiPriority w:val="99"/>
    <w:semiHidden/>
    <w:unhideWhenUsed/>
    <w:rsid w:val="00C1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4.xml><?xml version="1.0" encoding="utf-8"?>
<ds:datastoreItem xmlns:ds="http://schemas.openxmlformats.org/officeDocument/2006/customXml" ds:itemID="{B6FE6B77-A5F5-4F8E-A4D1-12764458F44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