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1F7F8F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170815</wp:posOffset>
                </wp:positionH>
                <wp:positionV relativeFrom="paragraph">
                  <wp:posOffset>1985464</wp:posOffset>
                </wp:positionV>
                <wp:extent cx="2773045"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304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13.45pt,156.35pt" to="231.8pt,156.35pt" strokecolor="white" strokeweight="1.5pt"/>
            </w:pict>
          </mc:Fallback>
        </mc:AlternateContent>
      </w:r>
      <w:r w:rsidR="006A1B17">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3063914</wp:posOffset>
                </wp:positionH>
                <wp:positionV relativeFrom="paragraph">
                  <wp:posOffset>263629</wp:posOffset>
                </wp:positionV>
                <wp:extent cx="0" cy="4357525"/>
                <wp:effectExtent l="25400" t="0" r="25400" b="3683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3575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25pt,20.75pt" to="241.25pt,363.85pt" strokecolor="white" strokeweight="4pt"/>
            </w:pict>
          </mc:Fallback>
        </mc:AlternateContent>
      </w:r>
      <w:r w:rsidRPr="0030415A" w:rsidR="00C55DC9">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172720</wp:posOffset>
                </wp:positionH>
                <wp:positionV relativeFrom="paragraph">
                  <wp:posOffset>346075</wp:posOffset>
                </wp:positionV>
                <wp:extent cx="429768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768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309CC5DE">
                            <w:pPr>
                              <w:pStyle w:val="a36"/>
                              <w:bidi/>
                              <w:rPr>
                                <w:rtl/>
                              </w:rPr>
                            </w:pPr>
                            <w:r w:rsidRPr="0008137D">
                              <w:rPr>
                                <w:rtl/>
                                <w:lang w:bidi="ar-SA"/>
                              </w:rPr>
                              <w:t xml:space="preserve">تقرير مراقب الدولة </w:t>
                            </w:r>
                            <w:r w:rsidRPr="0052031E">
                              <w:rPr>
                                <w:rtl/>
                              </w:rPr>
                              <w:t>|</w:t>
                            </w:r>
                            <w:r>
                              <w:rPr>
                                <w:rFonts w:hint="cs"/>
                                <w:rtl/>
                              </w:rPr>
                              <w:t xml:space="preserve"> </w:t>
                            </w:r>
                            <w:r w:rsidRPr="001E1CC8" w:rsidR="001E1CC8">
                              <w:rPr>
                                <w:rtl/>
                                <w:lang w:bidi="ar-SA"/>
                              </w:rPr>
                              <w:t>أيّار</w:t>
                            </w:r>
                            <w:r w:rsidR="001E1CC8">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40CBFB7B">
                            <w:pPr>
                              <w:pStyle w:val="-2"/>
                              <w:rPr>
                                <w:rtl/>
                              </w:rPr>
                            </w:pPr>
                            <w:r w:rsidRPr="00ED5111">
                              <w:rPr>
                                <w:rtl/>
                                <w:lang w:bidi="ar-SA"/>
                              </w:rPr>
                              <w:t xml:space="preserve">قضايا شاملة </w:t>
                            </w:r>
                          </w:p>
                          <w:p w:rsidR="00C30482" w:rsidRPr="000F5023" w:rsidP="000F5023" w14:textId="27BC04D7">
                            <w:pPr>
                              <w:pStyle w:val="a35"/>
                              <w:bidi/>
                              <w:rPr>
                                <w:rtl/>
                                <w:lang w:bidi="ar-SA"/>
                              </w:rPr>
                            </w:pPr>
                            <w:r w:rsidRPr="00FD005E">
                              <w:rPr>
                                <w:rtl/>
                                <w:lang w:bidi="ar-SA"/>
                              </w:rPr>
                              <w:t>معالجة الحكومة لمشكلة الشباب المتعطّل (الذين لا يعملون ولا يتعلمون) في المجتمع العربي</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38.4pt;height:336.5pt;margin-top:27.25pt;margin-left:13.6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309CC5DE">
                      <w:pPr>
                        <w:pStyle w:val="a36"/>
                        <w:bidi/>
                        <w:rPr>
                          <w:rtl/>
                        </w:rPr>
                      </w:pPr>
                      <w:r w:rsidRPr="0008137D">
                        <w:rPr>
                          <w:rtl/>
                          <w:lang w:bidi="ar-SA"/>
                        </w:rPr>
                        <w:t xml:space="preserve">تقرير مراقب الدولة </w:t>
                      </w:r>
                      <w:r w:rsidRPr="0052031E">
                        <w:rPr>
                          <w:rtl/>
                        </w:rPr>
                        <w:t>|</w:t>
                      </w:r>
                      <w:r>
                        <w:rPr>
                          <w:rFonts w:hint="cs"/>
                          <w:rtl/>
                        </w:rPr>
                        <w:t xml:space="preserve"> </w:t>
                      </w:r>
                      <w:r w:rsidRPr="001E1CC8" w:rsidR="001E1CC8">
                        <w:rPr>
                          <w:rtl/>
                          <w:lang w:bidi="ar-SA"/>
                        </w:rPr>
                        <w:t>أيّار</w:t>
                      </w:r>
                      <w:r w:rsidR="001E1CC8">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40CBFB7B">
                      <w:pPr>
                        <w:pStyle w:val="-2"/>
                        <w:rPr>
                          <w:rtl/>
                        </w:rPr>
                      </w:pPr>
                      <w:r w:rsidRPr="00ED5111">
                        <w:rPr>
                          <w:rtl/>
                          <w:lang w:bidi="ar-SA"/>
                        </w:rPr>
                        <w:t xml:space="preserve">قضايا شاملة </w:t>
                      </w:r>
                    </w:p>
                    <w:p w:rsidR="00C30482" w:rsidRPr="000F5023" w:rsidP="000F5023" w14:paraId="5BE5E625" w14:textId="27BC04D7">
                      <w:pPr>
                        <w:pStyle w:val="a35"/>
                        <w:bidi/>
                        <w:rPr>
                          <w:rtl/>
                          <w:lang w:bidi="ar-SA"/>
                        </w:rPr>
                      </w:pPr>
                      <w:r w:rsidRPr="00FD005E">
                        <w:rPr>
                          <w:rtl/>
                          <w:lang w:bidi="ar-SA"/>
                        </w:rPr>
                        <w:t>معالجة الحكومة لمشكلة الشباب المتعطّل (الذين لا يعملون ولا يتعلمون) في المجتمع العربي</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BB0517" w14:paraId="4ED3AA37" w14:textId="536817CB">
      <w:pPr>
        <w:pStyle w:val="7329"/>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-655320</wp:posOffset>
                </wp:positionH>
                <wp:positionV relativeFrom="paragraph">
                  <wp:posOffset>189424</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6.2pt;margin-top:14.9pt;margin-left:-51.6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Pr>
          <w:noProof/>
          <w:rtl/>
        </w:rPr>
        <w:drawing>
          <wp:anchor distT="0" distB="0" distL="114300" distR="114300" simplePos="0" relativeHeight="251674624" behindDoc="0" locked="0" layoutInCell="1" allowOverlap="1">
            <wp:simplePos x="0" y="0"/>
            <wp:positionH relativeFrom="column">
              <wp:posOffset>3299460</wp:posOffset>
            </wp:positionH>
            <wp:positionV relativeFrom="paragraph">
              <wp:posOffset>1236863</wp:posOffset>
            </wp:positionV>
            <wp:extent cx="1386840" cy="327025"/>
            <wp:effectExtent l="0" t="0" r="0" b="317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327025"/>
                    </a:xfrm>
                    <a:prstGeom prst="rect">
                      <a:avLst/>
                    </a:prstGeom>
                  </pic:spPr>
                </pic:pic>
              </a:graphicData>
            </a:graphic>
            <wp14:sizeRelH relativeFrom="margin">
              <wp14:pctWidth>0</wp14:pctWidth>
            </wp14:sizeRelH>
            <wp14:sizeRelV relativeFrom="margin">
              <wp14:pctHeight>0</wp14:pctHeight>
            </wp14:sizeRelV>
          </wp:anchor>
        </w:drawing>
      </w:r>
      <w:r w:rsidRPr="00FD005E" w:rsidR="00FD005E">
        <w:rPr>
          <w:noProof/>
          <w:rtl/>
          <w:lang w:bidi="ar-SA"/>
        </w:rPr>
        <w:t>معالجة الحكومة لمشكلة الشباب المتعطّل (الذين لا يعملون ولا يتعلمون) في المجتمع العربي</w:t>
      </w:r>
      <w:r w:rsidR="00FD005E">
        <w:rPr>
          <w:noProof/>
          <w:lang w:bidi="ar-SA"/>
        </w:rPr>
        <w:t xml:space="preserve"> </w:t>
      </w:r>
    </w:p>
    <w:p w:rsidR="00FD005E" w:rsidRPr="00EE52DD" w:rsidP="00FD005E" w14:paraId="1564A082" w14:textId="2B110F9F">
      <w:pPr>
        <w:pStyle w:val="7392"/>
        <w:spacing w:before="360"/>
        <w:rPr>
          <w:rtl/>
        </w:rPr>
      </w:pPr>
      <w:r>
        <w:rPr>
          <w:lang w:bidi="ar"/>
        </w:rPr>
        <w:t>30</w:t>
      </w:r>
      <w:r w:rsidR="001E1CC8">
        <w:rPr>
          <w:lang w:bidi="ar"/>
        </w:rPr>
        <w:t>%</w:t>
      </w:r>
      <w:r w:rsidRPr="00EE52DD">
        <w:rPr>
          <w:rtl/>
          <w:lang w:bidi="ar"/>
        </w:rPr>
        <w:t xml:space="preserve"> من سكان إسرائيل الشباب هم من المجتمع العربي، </w:t>
      </w:r>
      <w:r w:rsidRPr="00EE52DD">
        <w:rPr>
          <w:rFonts w:hint="cs"/>
          <w:rtl/>
          <w:lang w:bidi="ar-SA"/>
        </w:rPr>
        <w:t>و</w:t>
      </w:r>
      <w:r w:rsidRPr="00EE52DD">
        <w:rPr>
          <w:rtl/>
          <w:lang w:bidi="ar"/>
        </w:rPr>
        <w:t>هم قرابة 280,000 شاب</w:t>
      </w:r>
      <w:r>
        <w:rPr>
          <w:vertAlign w:val="superscript"/>
          <w:rtl/>
        </w:rPr>
        <w:footnoteReference w:id="2"/>
      </w:r>
      <w:r w:rsidRPr="00EE52DD">
        <w:rPr>
          <w:rtl/>
          <w:lang w:bidi="ar"/>
        </w:rPr>
        <w:t xml:space="preserve"> في جيل</w:t>
      </w:r>
      <w:r>
        <w:rPr>
          <w:lang w:bidi="ar"/>
        </w:rPr>
        <w:br/>
      </w:r>
      <w:r w:rsidRPr="00EE52DD">
        <w:rPr>
          <w:rtl/>
          <w:lang w:bidi="ar"/>
        </w:rPr>
        <w:t>18-24. عر</w:t>
      </w:r>
      <w:r w:rsidRPr="00EE52DD">
        <w:rPr>
          <w:rFonts w:hint="cs"/>
          <w:rtl/>
          <w:lang w:bidi="ar"/>
        </w:rPr>
        <w:t>ّ</w:t>
      </w:r>
      <w:r w:rsidRPr="00EE52DD">
        <w:rPr>
          <w:rtl/>
          <w:lang w:bidi="ar"/>
        </w:rPr>
        <w:t>فت منظمة التعاون الاقتصادي والتنمية (</w:t>
      </w:r>
      <w:r w:rsidRPr="00EE52DD">
        <w:t>OECD</w:t>
      </w:r>
      <w:r w:rsidRPr="00EE52DD">
        <w:rPr>
          <w:rtl/>
          <w:lang w:bidi="ar"/>
        </w:rPr>
        <w:t>) حالة التعطّل بين الشباب على أنه الوضع الذي يكون فيه الشباب لا يتعلمون، لا يعملون وليسوا في إطار تأهيلي. في المجتمع اليهودي هناك مسار طبيعي، بل ومُلزم، يُتوقع أن يندمج فيه كل من ينهي المرحلة التعليمية الثانوية - إن كان في إطار الجيش (أو الخدمة الوطنية - المدنية) أو في إطار تعليمي في مدرسة معهد ديني توراتي. هذا المسار الطبيعي جعل نسبة الشباب المتعطّل</w:t>
      </w:r>
      <w:r>
        <w:rPr>
          <w:vertAlign w:val="superscript"/>
          <w:rtl/>
        </w:rPr>
        <w:footnoteReference w:id="3"/>
      </w:r>
      <w:r w:rsidRPr="00EE52DD">
        <w:rPr>
          <w:rFonts w:hint="cs"/>
          <w:rtl/>
        </w:rPr>
        <w:t xml:space="preserve"> </w:t>
      </w:r>
      <w:r w:rsidRPr="00EE52DD">
        <w:rPr>
          <w:rtl/>
          <w:lang w:bidi="ar"/>
        </w:rPr>
        <w:t xml:space="preserve">في المجتمع اليهودي، في جيل 18-24 في سنة 2021 قرابة </w:t>
      </w:r>
      <w:r w:rsidR="0033416A">
        <w:rPr>
          <w:rFonts w:hint="cs"/>
          <w:rtl/>
        </w:rPr>
        <w:t>14%</w:t>
      </w:r>
      <w:r w:rsidRPr="00EE52DD">
        <w:rPr>
          <w:rtl/>
          <w:lang w:bidi="ar"/>
        </w:rPr>
        <w:t xml:space="preserve"> بين الرجال، و-</w:t>
      </w:r>
      <w:r w:rsidR="0033416A">
        <w:rPr>
          <w:rFonts w:hint="cs"/>
          <w:rtl/>
        </w:rPr>
        <w:t>17%</w:t>
      </w:r>
      <w:r w:rsidRPr="00EE52DD">
        <w:rPr>
          <w:rtl/>
          <w:lang w:bidi="ar"/>
        </w:rPr>
        <w:t xml:space="preserve"> بين النساء. في المقابل، لا يوجد في المجتمع العربي مسار طبيعي مُنظّم أو مُلزم لمن يتخرج من جهاز التعليم. وعليه، نجد أن نسبة المتعطّلين بين الشباب في المجتمع العربي في جيل 18-24 أعلى من النسبة المذكورة في المجتمع اليهودي - قرابة </w:t>
      </w:r>
      <w:r w:rsidR="0033416A">
        <w:rPr>
          <w:rFonts w:hint="cs"/>
          <w:rtl/>
        </w:rPr>
        <w:t>25%</w:t>
      </w:r>
      <w:r w:rsidRPr="00EE52DD">
        <w:rPr>
          <w:rtl/>
          <w:lang w:bidi="ar"/>
        </w:rPr>
        <w:t xml:space="preserve"> بين الرجال، </w:t>
      </w:r>
      <w:r w:rsidRPr="00EE52DD">
        <w:rPr>
          <w:rtl/>
          <w:lang w:bidi="ar"/>
        </w:rPr>
        <w:t xml:space="preserve">و </w:t>
      </w:r>
      <w:r w:rsidR="0033416A">
        <w:rPr>
          <w:rFonts w:hint="cs"/>
          <w:rtl/>
        </w:rPr>
        <w:t>34</w:t>
      </w:r>
      <w:r w:rsidR="0033416A">
        <w:rPr>
          <w:rFonts w:hint="cs"/>
          <w:rtl/>
        </w:rPr>
        <w:t>%</w:t>
      </w:r>
      <w:r w:rsidRPr="00EE52DD">
        <w:rPr>
          <w:rtl/>
          <w:lang w:bidi="ar"/>
        </w:rPr>
        <w:t xml:space="preserve"> بين النساء. الفجوة في نسبة المتعطّلين بين الرجال العرب الشباب وبين الرجال اليهود الشباب ارتفعت في السنوات الأخيرة من </w:t>
      </w:r>
      <w:r w:rsidR="0033416A">
        <w:rPr>
          <w:rFonts w:hint="cs"/>
          <w:rtl/>
        </w:rPr>
        <w:t>6%</w:t>
      </w:r>
      <w:r w:rsidRPr="00EE52DD">
        <w:rPr>
          <w:rtl/>
          <w:lang w:bidi="ar"/>
        </w:rPr>
        <w:t xml:space="preserve"> في مطلع 2015 إلى </w:t>
      </w:r>
      <w:r w:rsidR="0033416A">
        <w:rPr>
          <w:rFonts w:hint="cs"/>
          <w:rtl/>
        </w:rPr>
        <w:t>11%</w:t>
      </w:r>
      <w:r w:rsidRPr="00EE52DD">
        <w:rPr>
          <w:rtl/>
          <w:lang w:bidi="ar"/>
        </w:rPr>
        <w:t xml:space="preserve"> في نهاية 2021. </w:t>
      </w:r>
      <w:r w:rsidRPr="00EE52DD">
        <w:rPr>
          <w:rFonts w:hint="cs"/>
          <w:rtl/>
          <w:lang w:bidi="ar"/>
        </w:rPr>
        <w:t xml:space="preserve"> </w:t>
      </w:r>
    </w:p>
    <w:p w:rsidR="001673B3" w:rsidP="00FD005E" w14:paraId="3296143B" w14:textId="18FE1794">
      <w:pPr>
        <w:pStyle w:val="7392"/>
        <w:spacing w:before="360"/>
        <w:rPr>
          <w:rtl/>
          <w:lang w:bidi="ar"/>
        </w:rPr>
      </w:pPr>
      <w:r w:rsidRPr="00EE52DD">
        <w:rPr>
          <w:rtl/>
          <w:lang w:bidi="ar"/>
        </w:rPr>
        <w:t xml:space="preserve">يؤثر التعطّل أيضا على معدلات الجريمة بين الشباب، وخاصة بين الرجال. بالإضافة إلى ذلك، فإن حالة التعطّل تمس بإيمان الشخص </w:t>
      </w:r>
      <w:r w:rsidRPr="00912D5E" w:rsidR="00912D5E">
        <w:rPr>
          <w:rtl/>
          <w:lang w:bidi="ar"/>
        </w:rPr>
        <w:t>بقدراته وبمهارته</w:t>
      </w:r>
      <w:r w:rsidR="00912D5E">
        <w:rPr>
          <w:rFonts w:hint="cs"/>
          <w:rtl/>
        </w:rPr>
        <w:t xml:space="preserve"> </w:t>
      </w:r>
      <w:r w:rsidRPr="00EE52DD">
        <w:rPr>
          <w:rtl/>
          <w:lang w:bidi="ar"/>
        </w:rPr>
        <w:t>الاجتماعية، و</w:t>
      </w:r>
      <w:r w:rsidRPr="00EE52DD">
        <w:rPr>
          <w:rFonts w:hint="cs"/>
          <w:rtl/>
          <w:lang w:bidi="ar"/>
        </w:rPr>
        <w:t>ت</w:t>
      </w:r>
      <w:r w:rsidRPr="00EE52DD">
        <w:rPr>
          <w:rtl/>
          <w:lang w:bidi="ar"/>
        </w:rPr>
        <w:t>ؤدي إلى تقليص العلاقات الاجتماعية وإلى الاكتئاب، و</w:t>
      </w:r>
      <w:r w:rsidRPr="00EE52DD">
        <w:rPr>
          <w:rFonts w:hint="cs"/>
          <w:rtl/>
          <w:lang w:bidi="ar"/>
        </w:rPr>
        <w:t>تُ</w:t>
      </w:r>
      <w:r w:rsidRPr="00EE52DD">
        <w:rPr>
          <w:rtl/>
          <w:lang w:bidi="ar"/>
        </w:rPr>
        <w:t>حم</w:t>
      </w:r>
      <w:r w:rsidRPr="00EE52DD">
        <w:rPr>
          <w:rFonts w:hint="cs"/>
          <w:rtl/>
          <w:lang w:bidi="ar"/>
        </w:rPr>
        <w:t>ّ</w:t>
      </w:r>
      <w:r w:rsidRPr="00EE52DD">
        <w:rPr>
          <w:rtl/>
          <w:lang w:bidi="ar"/>
        </w:rPr>
        <w:t xml:space="preserve">ل العائلة أعباءً، وأيضا </w:t>
      </w:r>
      <w:r w:rsidRPr="00EE52DD">
        <w:rPr>
          <w:rFonts w:hint="cs"/>
          <w:rtl/>
          <w:lang w:bidi="ar"/>
        </w:rPr>
        <w:t>ت</w:t>
      </w:r>
      <w:r w:rsidRPr="00EE52DD">
        <w:rPr>
          <w:rtl/>
          <w:lang w:bidi="ar"/>
        </w:rPr>
        <w:t xml:space="preserve">ؤدي إلى زيادة الضغط على خدمات الرفاه والخدمات المجتمعية، إلى تراجع الشعور بالانتماء للمجتمع وإلى توسيع دائرة الفقر والفجوات في المجتمع. هناك علاقة مباشرة بين التعطّل في سن الشباب والتعطّل في جيل متقدم أكثر. لهذا، فإن الدمج النوعي لجمهور الشباب أبناء المجتمع العربي في سوق العمل، قادرٌ على تقليص الفجوات المجتمعية - الاقتصادية وعلى تحسين انتاجية الاقتصاد الإسرائيلي برمّته. </w:t>
      </w:r>
    </w:p>
    <w:p w:rsidR="001673B3" w14:paraId="1AE3CF96" w14:textId="77777777">
      <w:pPr>
        <w:bidi w:val="0"/>
        <w:spacing w:after="200" w:line="276" w:lineRule="auto"/>
        <w:rPr>
          <w:rFonts w:ascii="Tahoma" w:hAnsi="Tahoma" w:cs="Tahoma"/>
          <w:color w:val="0D0D0D" w:themeColor="text1" w:themeTint="F2"/>
          <w:sz w:val="18"/>
          <w:szCs w:val="18"/>
          <w:rtl/>
          <w:lang w:bidi="ar"/>
        </w:rPr>
      </w:pPr>
      <w:r>
        <w:rPr>
          <w:rtl/>
          <w:lang w:bidi="ar"/>
        </w:rPr>
        <w:br w:type="page"/>
      </w:r>
    </w:p>
    <w:p w:rsidR="005D0F8C" w:rsidP="001673B3" w14:paraId="087C7BAD" w14:textId="3A7EFD8E">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2792095</wp:posOffset>
            </wp:positionH>
            <wp:positionV relativeFrom="paragraph">
              <wp:posOffset>67310</wp:posOffset>
            </wp:positionV>
            <wp:extent cx="1777365" cy="401320"/>
            <wp:effectExtent l="0" t="0" r="63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77365" cy="401320"/>
                    </a:xfrm>
                    <a:prstGeom prst="rect">
                      <a:avLst/>
                    </a:prstGeom>
                  </pic:spPr>
                </pic:pic>
              </a:graphicData>
            </a:graphic>
            <wp14:sizeRelH relativeFrom="margin">
              <wp14:pctWidth>0</wp14:pctWidth>
            </wp14:sizeRelH>
            <wp14:sizeRelV relativeFrom="margin">
              <wp14:pctHeight>0</wp14:pctHeight>
            </wp14:sizeRelV>
          </wp:anchor>
        </w:drawing>
      </w:r>
      <w:r w:rsidRPr="00EE52DD" w:rsidR="00FD005E">
        <w:rPr>
          <w:rtl/>
          <w:lang w:bidi="ar"/>
        </w:rPr>
        <w:t xml:space="preserve"> </w:t>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6"/>
        <w:gridCol w:w="237"/>
        <w:gridCol w:w="1530"/>
        <w:gridCol w:w="237"/>
        <w:gridCol w:w="1697"/>
        <w:gridCol w:w="268"/>
        <w:gridCol w:w="1685"/>
      </w:tblGrid>
      <w:tr w14:paraId="58B4726B" w14:textId="77777777" w:rsidTr="001673B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420374" w:rsidRPr="001E1CC8" w:rsidP="001673B3" w14:paraId="23EB689E" w14:textId="6AE1D199">
            <w:pPr>
              <w:spacing w:after="60" w:line="240" w:lineRule="auto"/>
              <w:jc w:val="left"/>
              <w:rPr>
                <w:b/>
                <w:bCs/>
                <w:spacing w:val="-18"/>
                <w:rtl/>
              </w:rPr>
            </w:pPr>
            <w:r w:rsidRPr="001E1CC8">
              <w:rPr>
                <w:rFonts w:ascii="Tahoma" w:hAnsi="Tahoma" w:eastAsiaTheme="minorEastAsia" w:cs="Tahoma"/>
                <w:b/>
                <w:bCs/>
                <w:color w:val="0D0D0D" w:themeColor="text1" w:themeTint="F2"/>
                <w:spacing w:val="-18"/>
                <w:sz w:val="26"/>
                <w:szCs w:val="26"/>
                <w:rtl/>
                <w:lang w:bidi="ar"/>
              </w:rPr>
              <w:t>نحو</w:t>
            </w:r>
            <w:r w:rsidRPr="001E1CC8" w:rsidR="00ED5111">
              <w:rPr>
                <w:rFonts w:ascii="Tahoma" w:hAnsi="Tahoma" w:eastAsiaTheme="minorEastAsia" w:cs="Tahoma"/>
                <w:b/>
                <w:bCs/>
                <w:color w:val="0D0D0D" w:themeColor="text1" w:themeTint="F2"/>
                <w:spacing w:val="-18"/>
                <w:sz w:val="36"/>
                <w:szCs w:val="36"/>
              </w:rPr>
              <w:t>29%</w:t>
            </w:r>
            <w:r w:rsidR="00ED5111">
              <w:rPr>
                <w:rFonts w:ascii="Tahoma" w:hAnsi="Tahoma" w:eastAsiaTheme="minorEastAsia" w:cs="Tahoma"/>
                <w:b/>
                <w:bCs/>
                <w:color w:val="0D0D0D" w:themeColor="text1" w:themeTint="F2"/>
                <w:spacing w:val="-18"/>
                <w:sz w:val="36"/>
                <w:szCs w:val="36"/>
              </w:rPr>
              <w:t>-</w:t>
            </w:r>
          </w:p>
        </w:tc>
        <w:tc>
          <w:tcPr>
            <w:tcW w:w="161" w:type="pct"/>
            <w:vAlign w:val="bottom"/>
          </w:tcPr>
          <w:p w:rsidR="00420374" w:rsidP="001673B3" w14:paraId="19192EA5" w14:textId="77777777">
            <w:pPr>
              <w:spacing w:before="120" w:after="60" w:line="240" w:lineRule="auto"/>
              <w:jc w:val="left"/>
              <w:rPr>
                <w:rtl/>
              </w:rPr>
            </w:pPr>
          </w:p>
        </w:tc>
        <w:tc>
          <w:tcPr>
            <w:tcW w:w="1038" w:type="pct"/>
            <w:tcBorders>
              <w:bottom w:val="single" w:sz="12" w:space="0" w:color="000000" w:themeColor="text1"/>
            </w:tcBorders>
            <w:vAlign w:val="bottom"/>
          </w:tcPr>
          <w:p w:rsidR="00420374" w:rsidRPr="005C7ABF" w:rsidP="001673B3" w14:paraId="761F4116" w14:textId="5B395EAF">
            <w:pPr>
              <w:pStyle w:val="2021"/>
              <w:spacing w:before="0" w:after="60"/>
              <w:rPr>
                <w:spacing w:val="-10"/>
                <w:rtl/>
                <w:lang w:bidi="ar"/>
              </w:rPr>
            </w:pPr>
            <w:r>
              <w:rPr>
                <w:spacing w:val="-10"/>
              </w:rPr>
              <w:t>436.5</w:t>
            </w:r>
            <w:r w:rsidR="00AD1000">
              <w:rPr>
                <w:rFonts w:hint="cs"/>
                <w:spacing w:val="-10"/>
                <w:rtl/>
              </w:rPr>
              <w:t xml:space="preserve"> </w:t>
            </w:r>
            <w:r w:rsidRPr="001673B3">
              <w:rPr>
                <w:spacing w:val="-10"/>
                <w:sz w:val="26"/>
                <w:szCs w:val="26"/>
                <w:rtl/>
                <w:lang w:bidi="ar"/>
              </w:rPr>
              <w:t xml:space="preserve">مليون </w:t>
            </w:r>
            <w:r w:rsidRPr="001673B3">
              <w:rPr>
                <w:spacing w:val="-10"/>
                <w:sz w:val="26"/>
                <w:szCs w:val="26"/>
                <w:rtl/>
                <w:lang w:bidi="ar"/>
              </w:rPr>
              <w:t>ش.ج</w:t>
            </w:r>
            <w:r w:rsidRPr="001673B3">
              <w:rPr>
                <w:spacing w:val="-10"/>
                <w:sz w:val="26"/>
                <w:szCs w:val="26"/>
                <w:rtl/>
                <w:lang w:bidi="ar"/>
              </w:rPr>
              <w:t xml:space="preserve"> من نحو-</w:t>
            </w:r>
            <w:r w:rsidRPr="001673B3">
              <w:rPr>
                <w:spacing w:val="-10"/>
                <w:rtl/>
                <w:lang w:bidi="ar"/>
              </w:rPr>
              <w:t xml:space="preserve">34.2 </w:t>
            </w:r>
            <w:r w:rsidRPr="001673B3">
              <w:rPr>
                <w:spacing w:val="-10"/>
                <w:sz w:val="26"/>
                <w:szCs w:val="26"/>
                <w:rtl/>
                <w:lang w:bidi="ar"/>
              </w:rPr>
              <w:t xml:space="preserve">مليار </w:t>
            </w:r>
            <w:r w:rsidRPr="001673B3">
              <w:rPr>
                <w:spacing w:val="-10"/>
                <w:sz w:val="26"/>
                <w:szCs w:val="26"/>
                <w:rtl/>
                <w:lang w:bidi="ar"/>
              </w:rPr>
              <w:t>ش.ج</w:t>
            </w:r>
            <w:r w:rsidRPr="001673B3">
              <w:rPr>
                <w:spacing w:val="-10"/>
                <w:sz w:val="26"/>
                <w:szCs w:val="26"/>
                <w:rtl/>
                <w:lang w:bidi="ar"/>
              </w:rPr>
              <w:t xml:space="preserve"> (</w:t>
            </w:r>
            <w:r w:rsidRPr="001673B3">
              <w:rPr>
                <w:spacing w:val="-10"/>
                <w:lang w:bidi="ar"/>
              </w:rPr>
              <w:t>1</w:t>
            </w:r>
            <w:r w:rsidR="001E1CC8">
              <w:rPr>
                <w:spacing w:val="-10"/>
                <w:lang w:bidi="ar"/>
              </w:rPr>
              <w:t>.</w:t>
            </w:r>
            <w:r w:rsidRPr="001673B3">
              <w:rPr>
                <w:spacing w:val="-10"/>
                <w:lang w:bidi="ar"/>
              </w:rPr>
              <w:t>3%</w:t>
            </w:r>
            <w:r w:rsidRPr="001673B3">
              <w:rPr>
                <w:spacing w:val="-10"/>
                <w:sz w:val="26"/>
                <w:szCs w:val="26"/>
                <w:rtl/>
                <w:lang w:bidi="ar"/>
              </w:rPr>
              <w:t>)</w:t>
            </w:r>
          </w:p>
        </w:tc>
        <w:tc>
          <w:tcPr>
            <w:tcW w:w="161" w:type="pct"/>
            <w:vAlign w:val="bottom"/>
          </w:tcPr>
          <w:p w:rsidR="00420374" w:rsidP="001673B3" w14:paraId="2810DE55" w14:textId="77777777">
            <w:pPr>
              <w:spacing w:before="120" w:after="60" w:line="240" w:lineRule="auto"/>
              <w:jc w:val="left"/>
              <w:rPr>
                <w:rtl/>
              </w:rPr>
            </w:pPr>
          </w:p>
        </w:tc>
        <w:tc>
          <w:tcPr>
            <w:tcW w:w="1151" w:type="pct"/>
            <w:tcBorders>
              <w:bottom w:val="single" w:sz="12" w:space="0" w:color="000000" w:themeColor="text1"/>
            </w:tcBorders>
            <w:vAlign w:val="bottom"/>
          </w:tcPr>
          <w:p w:rsidR="00420374" w:rsidRPr="001673B3" w:rsidP="001673B3" w14:paraId="2A2E27BD" w14:textId="3A5CD5FD">
            <w:pPr>
              <w:pStyle w:val="2021"/>
              <w:spacing w:before="0" w:after="60"/>
              <w:rPr>
                <w:spacing w:val="-20"/>
                <w:sz w:val="24"/>
                <w:rtl/>
              </w:rPr>
            </w:pPr>
            <w:r w:rsidRPr="001673B3">
              <w:rPr>
                <w:spacing w:val="-10"/>
                <w:sz w:val="26"/>
                <w:szCs w:val="26"/>
                <w:rtl/>
                <w:lang w:bidi="ar"/>
              </w:rPr>
              <w:t>نحو</w:t>
            </w:r>
            <w:r>
              <w:rPr>
                <w:rFonts w:hint="cs"/>
                <w:spacing w:val="-10"/>
                <w:sz w:val="26"/>
                <w:szCs w:val="26"/>
                <w:rtl/>
              </w:rPr>
              <w:t xml:space="preserve"> </w:t>
            </w:r>
            <w:r w:rsidRPr="001673B3">
              <w:rPr>
                <w:spacing w:val="-10"/>
                <w:rtl/>
                <w:lang w:bidi="ar"/>
              </w:rPr>
              <w:t>5</w:t>
            </w:r>
            <w:r w:rsidRPr="001673B3">
              <w:rPr>
                <w:spacing w:val="-10"/>
                <w:sz w:val="26"/>
                <w:szCs w:val="26"/>
                <w:rtl/>
                <w:lang w:bidi="ar"/>
              </w:rPr>
              <w:t xml:space="preserve"> مليار </w:t>
            </w:r>
            <w:r w:rsidRPr="001673B3">
              <w:rPr>
                <w:spacing w:val="-10"/>
                <w:sz w:val="26"/>
                <w:szCs w:val="26"/>
                <w:rtl/>
                <w:lang w:bidi="ar"/>
              </w:rPr>
              <w:t>ش.ج</w:t>
            </w:r>
            <w:r w:rsidRPr="001673B3">
              <w:rPr>
                <w:spacing w:val="-10"/>
                <w:sz w:val="26"/>
                <w:szCs w:val="26"/>
                <w:rtl/>
                <w:lang w:bidi="ar"/>
              </w:rPr>
              <w:t xml:space="preserve"> لخمس سنوات</w:t>
            </w:r>
          </w:p>
        </w:tc>
        <w:tc>
          <w:tcPr>
            <w:tcW w:w="182" w:type="pct"/>
          </w:tcPr>
          <w:p w:rsidR="00420374" w:rsidP="001673B3"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420374" w:rsidP="001673B3" w14:paraId="5F3A3FF5" w14:textId="0D1ADE4D">
            <w:pPr>
              <w:pStyle w:val="2021"/>
              <w:spacing w:before="0" w:after="60"/>
              <w:rPr>
                <w:spacing w:val="-10"/>
                <w:rtl/>
              </w:rPr>
            </w:pPr>
            <w:r>
              <w:rPr>
                <w:rFonts w:hint="cs"/>
                <w:spacing w:val="-10"/>
                <w:rtl/>
              </w:rPr>
              <w:t>50</w:t>
            </w:r>
            <w:r>
              <w:rPr>
                <w:rFonts w:hint="cs"/>
                <w:spacing w:val="-10"/>
                <w:rtl/>
              </w:rPr>
              <w:t xml:space="preserve">% </w:t>
            </w:r>
          </w:p>
        </w:tc>
      </w:tr>
      <w:tr w14:paraId="6DFAF81C" w14:textId="77777777" w:rsidTr="001673B3">
        <w:tblPrEx>
          <w:tblW w:w="5000" w:type="pct"/>
          <w:tblLook w:val="04A0"/>
        </w:tblPrEx>
        <w:tc>
          <w:tcPr>
            <w:tcW w:w="1164" w:type="pct"/>
            <w:tcBorders>
              <w:top w:val="single" w:sz="12" w:space="0" w:color="000000" w:themeColor="text1"/>
            </w:tcBorders>
          </w:tcPr>
          <w:p w:rsidR="001673B3" w:rsidRPr="00E52143" w:rsidP="001673B3" w14:paraId="1D96599A" w14:textId="31051E10">
            <w:pPr>
              <w:pStyle w:val="732021"/>
              <w:spacing w:before="0"/>
              <w:rPr>
                <w:rtl/>
              </w:rPr>
            </w:pPr>
            <w:r w:rsidRPr="00EE52DD">
              <w:rPr>
                <w:rtl/>
                <w:lang w:bidi="ar"/>
              </w:rPr>
              <w:t xml:space="preserve">نسبة المتعطّلين بين الشباب في المجتمع العربي في نوفمبر 2021. الحديث عن قرابة 57,000 شاب (ضعف نسبة المعدل في الـ </w:t>
            </w:r>
            <w:r w:rsidRPr="00EE52DD">
              <w:t>OECD</w:t>
            </w:r>
            <w:r w:rsidRPr="00EE52DD">
              <w:rPr>
                <w:rtl/>
                <w:lang w:bidi="ar"/>
              </w:rPr>
              <w:t>)</w:t>
            </w:r>
          </w:p>
        </w:tc>
        <w:tc>
          <w:tcPr>
            <w:tcW w:w="161" w:type="pct"/>
          </w:tcPr>
          <w:p w:rsidR="001673B3" w:rsidRPr="00E52143" w:rsidP="001673B3" w14:paraId="2BF81D8C" w14:textId="77777777">
            <w:pPr>
              <w:pStyle w:val="732021"/>
              <w:spacing w:before="0"/>
              <w:rPr>
                <w:rtl/>
              </w:rPr>
            </w:pPr>
          </w:p>
        </w:tc>
        <w:tc>
          <w:tcPr>
            <w:tcW w:w="1038" w:type="pct"/>
            <w:tcBorders>
              <w:top w:val="single" w:sz="12" w:space="0" w:color="000000" w:themeColor="text1"/>
            </w:tcBorders>
          </w:tcPr>
          <w:p w:rsidR="001673B3" w:rsidRPr="00E52143" w:rsidP="001673B3" w14:paraId="68924AF7" w14:textId="597C261B">
            <w:pPr>
              <w:pStyle w:val="732021"/>
              <w:spacing w:before="0"/>
              <w:rPr>
                <w:rtl/>
              </w:rPr>
            </w:pPr>
            <w:r w:rsidRPr="00EE52DD">
              <w:rPr>
                <w:rtl/>
                <w:lang w:bidi="ar"/>
              </w:rPr>
              <w:t>الميزانية المخصصة لعلاج قضية الشباب العرب المتعطّل من مجمل ميزانية الخطة الخمسية للسنوات 2018-2026 للمجتمع العربي (عرب، بدو، دروز، وشرقي القدس)؛ وخطة معالجة الجريمة والعنف في المجتمع العربي.</w:t>
            </w:r>
          </w:p>
        </w:tc>
        <w:tc>
          <w:tcPr>
            <w:tcW w:w="161" w:type="pct"/>
          </w:tcPr>
          <w:p w:rsidR="001673B3" w:rsidRPr="00E52143" w:rsidP="001673B3" w14:paraId="4F52CE08" w14:textId="77777777">
            <w:pPr>
              <w:pStyle w:val="732021"/>
              <w:spacing w:before="0"/>
              <w:rPr>
                <w:rtl/>
              </w:rPr>
            </w:pPr>
          </w:p>
        </w:tc>
        <w:tc>
          <w:tcPr>
            <w:tcW w:w="1151" w:type="pct"/>
            <w:tcBorders>
              <w:top w:val="single" w:sz="12" w:space="0" w:color="000000" w:themeColor="text1"/>
            </w:tcBorders>
          </w:tcPr>
          <w:p w:rsidR="001673B3" w:rsidRPr="00E52143" w:rsidP="001673B3" w14:paraId="203F9568" w14:textId="388C44EF">
            <w:pPr>
              <w:pStyle w:val="732021"/>
              <w:spacing w:before="0"/>
              <w:rPr>
                <w:rtl/>
              </w:rPr>
            </w:pPr>
            <w:r w:rsidRPr="00EE52DD">
              <w:rPr>
                <w:rtl/>
                <w:lang w:bidi="ar"/>
              </w:rPr>
              <w:t xml:space="preserve">تقدير مكتب مراقب الدولة </w:t>
            </w:r>
            <w:r w:rsidRPr="00EE52DD">
              <w:rPr>
                <w:rFonts w:hint="cs"/>
                <w:rtl/>
                <w:lang w:bidi="ar"/>
              </w:rPr>
              <w:t>ل</w:t>
            </w:r>
            <w:r w:rsidRPr="00EE52DD">
              <w:rPr>
                <w:rtl/>
                <w:lang w:bidi="ar"/>
              </w:rPr>
              <w:t>لضرر المحتمل المباشر خلال خمس سنوات للاقتصاد الإسرائيلي بسبب ظاهرة الشباب المتعطّل في المجتمع العربي</w:t>
            </w:r>
          </w:p>
        </w:tc>
        <w:tc>
          <w:tcPr>
            <w:tcW w:w="182" w:type="pct"/>
          </w:tcPr>
          <w:p w:rsidR="001673B3" w:rsidRPr="00E52143" w:rsidP="001673B3" w14:paraId="42538096" w14:textId="77777777">
            <w:pPr>
              <w:pStyle w:val="732021"/>
              <w:spacing w:before="0"/>
              <w:rPr>
                <w:rtl/>
              </w:rPr>
            </w:pPr>
          </w:p>
        </w:tc>
        <w:tc>
          <w:tcPr>
            <w:tcW w:w="1143" w:type="pct"/>
            <w:tcBorders>
              <w:top w:val="single" w:sz="12" w:space="0" w:color="000000" w:themeColor="text1"/>
            </w:tcBorders>
          </w:tcPr>
          <w:p w:rsidR="001673B3" w:rsidRPr="00E52143" w:rsidP="001673B3" w14:paraId="1878D11D" w14:textId="015A8F4C">
            <w:pPr>
              <w:pStyle w:val="732021"/>
              <w:spacing w:before="0"/>
              <w:rPr>
                <w:rtl/>
              </w:rPr>
            </w:pPr>
            <w:r w:rsidRPr="00EE52DD">
              <w:rPr>
                <w:rtl/>
                <w:lang w:bidi="ar"/>
              </w:rPr>
              <w:t>نسبة الارتفاع في الجريمة بين الشباب العرب (ذكور) بين السنوات 2015- 2019، والتي تعني زيادة نحو 6,000 ملف جنائي في هذه الفترة</w:t>
            </w:r>
          </w:p>
        </w:tc>
      </w:tr>
      <w:tr w14:paraId="1BD5A20C" w14:textId="77777777" w:rsidTr="001673B3">
        <w:tblPrEx>
          <w:tblW w:w="5000" w:type="pct"/>
          <w:tblLook w:val="04A0"/>
        </w:tblPrEx>
        <w:tc>
          <w:tcPr>
            <w:tcW w:w="1164" w:type="pct"/>
            <w:tcBorders>
              <w:bottom w:val="single" w:sz="12" w:space="0" w:color="000000" w:themeColor="text1"/>
            </w:tcBorders>
            <w:vAlign w:val="bottom"/>
          </w:tcPr>
          <w:p w:rsidR="00420374" w:rsidRPr="00411396" w:rsidP="00937056" w14:paraId="500D3B50" w14:textId="7C2DAA25">
            <w:pPr>
              <w:spacing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6,600</w:t>
            </w:r>
          </w:p>
        </w:tc>
        <w:tc>
          <w:tcPr>
            <w:tcW w:w="161" w:type="pct"/>
            <w:vAlign w:val="bottom"/>
          </w:tcPr>
          <w:p w:rsidR="00420374" w:rsidRPr="00E52143" w:rsidP="00937056"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420374" w:rsidRPr="008D750B" w:rsidP="00937056" w14:paraId="48896DF7" w14:textId="1EAC141F">
            <w:pPr>
              <w:pStyle w:val="2021"/>
              <w:spacing w:before="0" w:after="60"/>
              <w:rPr>
                <w:spacing w:val="-10"/>
                <w:rtl/>
              </w:rPr>
            </w:pPr>
            <w:r>
              <w:rPr>
                <w:rFonts w:hint="cs"/>
                <w:spacing w:val="-10"/>
                <w:rtl/>
              </w:rPr>
              <w:t xml:space="preserve">49 </w:t>
            </w:r>
            <w:r w:rsidRPr="001673B3">
              <w:rPr>
                <w:spacing w:val="-10"/>
                <w:sz w:val="26"/>
                <w:szCs w:val="26"/>
                <w:rtl/>
                <w:lang w:bidi="ar"/>
              </w:rPr>
              <w:t>نقطة</w:t>
            </w:r>
          </w:p>
        </w:tc>
        <w:tc>
          <w:tcPr>
            <w:tcW w:w="161" w:type="pct"/>
            <w:vAlign w:val="bottom"/>
          </w:tcPr>
          <w:p w:rsidR="00420374" w:rsidP="00937056" w14:paraId="5B4C8A80" w14:textId="77777777">
            <w:pPr>
              <w:spacing w:after="120" w:line="240" w:lineRule="auto"/>
              <w:jc w:val="left"/>
              <w:rPr>
                <w:rtl/>
              </w:rPr>
            </w:pPr>
          </w:p>
        </w:tc>
        <w:tc>
          <w:tcPr>
            <w:tcW w:w="1151" w:type="pct"/>
            <w:tcBorders>
              <w:bottom w:val="single" w:sz="12" w:space="0" w:color="000000" w:themeColor="text1"/>
            </w:tcBorders>
            <w:vAlign w:val="bottom"/>
          </w:tcPr>
          <w:p w:rsidR="00420374" w:rsidRPr="0062456C" w:rsidP="00937056" w14:paraId="226A2E50" w14:textId="329F58A7">
            <w:pPr>
              <w:spacing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1</w:t>
            </w:r>
          </w:p>
        </w:tc>
        <w:tc>
          <w:tcPr>
            <w:tcW w:w="182" w:type="pct"/>
          </w:tcPr>
          <w:p w:rsidR="00420374" w:rsidP="00937056"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420374" w:rsidP="00937056" w14:paraId="5AEEF263" w14:textId="67AF862B">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3%</w:t>
            </w:r>
          </w:p>
        </w:tc>
      </w:tr>
      <w:tr w14:paraId="54154FA5" w14:textId="77777777" w:rsidTr="001673B3">
        <w:tblPrEx>
          <w:tblW w:w="5000" w:type="pct"/>
          <w:tblLook w:val="04A0"/>
        </w:tblPrEx>
        <w:tc>
          <w:tcPr>
            <w:tcW w:w="1164" w:type="pct"/>
            <w:tcBorders>
              <w:top w:val="single" w:sz="12" w:space="0" w:color="000000" w:themeColor="text1"/>
            </w:tcBorders>
          </w:tcPr>
          <w:p w:rsidR="001673B3" w:rsidRPr="004562F8" w:rsidP="001673B3" w14:paraId="6DB67748" w14:textId="2C902BB4">
            <w:pPr>
              <w:pStyle w:val="732021"/>
              <w:spacing w:before="0" w:after="0"/>
              <w:rPr>
                <w:rtl/>
              </w:rPr>
            </w:pPr>
            <w:r w:rsidRPr="00EE52DD">
              <w:rPr>
                <w:rtl/>
                <w:lang w:bidi="ar"/>
              </w:rPr>
              <w:t xml:space="preserve">الشباب العربي مواليد سنوات 1991 -2002 </w:t>
            </w:r>
            <w:r w:rsidRPr="001E1CC8" w:rsidR="001E1CC8">
              <w:rPr>
                <w:rtl/>
                <w:lang w:bidi="ar"/>
              </w:rPr>
              <w:t>الذين</w:t>
            </w:r>
            <w:r w:rsidR="001E1CC8">
              <w:rPr>
                <w:lang w:bidi="ar"/>
              </w:rPr>
              <w:t xml:space="preserve"> </w:t>
            </w:r>
            <w:r w:rsidRPr="00EE52DD">
              <w:rPr>
                <w:rtl/>
                <w:lang w:bidi="ar"/>
              </w:rPr>
              <w:t xml:space="preserve">حصلوا على علامة </w:t>
            </w:r>
            <w:r w:rsidRPr="00EE52DD">
              <w:rPr>
                <w:rtl/>
                <w:lang w:bidi="ar"/>
              </w:rPr>
              <w:t>بسيحومتري</w:t>
            </w:r>
            <w:r w:rsidRPr="00EE52DD">
              <w:rPr>
                <w:rtl/>
                <w:lang w:bidi="ar"/>
              </w:rPr>
              <w:t xml:space="preserve"> 500 على الأقل والذين لم يُقبلوا في أي جامعة بسبب عدم اجتياز علامة الحد الأدنى لامتحان معرفة اللغة العبرية </w:t>
            </w:r>
          </w:p>
        </w:tc>
        <w:tc>
          <w:tcPr>
            <w:tcW w:w="161" w:type="pct"/>
          </w:tcPr>
          <w:p w:rsidR="001673B3" w:rsidRPr="008D750B" w:rsidP="001673B3" w14:paraId="0C0AE598" w14:textId="77777777">
            <w:pPr>
              <w:pStyle w:val="732021"/>
              <w:spacing w:before="0" w:after="0"/>
              <w:rPr>
                <w:rtl/>
              </w:rPr>
            </w:pPr>
          </w:p>
        </w:tc>
        <w:tc>
          <w:tcPr>
            <w:tcW w:w="1038" w:type="pct"/>
            <w:tcBorders>
              <w:top w:val="single" w:sz="12" w:space="0" w:color="000000" w:themeColor="text1"/>
            </w:tcBorders>
          </w:tcPr>
          <w:p w:rsidR="001673B3" w:rsidRPr="004562F8" w:rsidP="001673B3" w14:paraId="1916A301" w14:textId="31E974DB">
            <w:pPr>
              <w:pStyle w:val="732021"/>
              <w:spacing w:before="0" w:after="0"/>
              <w:rPr>
                <w:rtl/>
              </w:rPr>
            </w:pPr>
            <w:r w:rsidRPr="00EE52DD">
              <w:rPr>
                <w:rtl/>
                <w:lang w:bidi="ar"/>
              </w:rPr>
              <w:t>الفارق بين امتحان "</w:t>
            </w:r>
            <w:r w:rsidRPr="00EE52DD">
              <w:rPr>
                <w:rtl/>
                <w:lang w:bidi="ar"/>
              </w:rPr>
              <w:t>الميتساف</w:t>
            </w:r>
            <w:r w:rsidRPr="00EE52DD">
              <w:rPr>
                <w:rtl/>
                <w:lang w:bidi="ar"/>
              </w:rPr>
              <w:t xml:space="preserve">" للغة الانجليزية لطلاب الصف الثامن اليهود وبين علامة الطلاب العرب </w:t>
            </w:r>
          </w:p>
        </w:tc>
        <w:tc>
          <w:tcPr>
            <w:tcW w:w="161" w:type="pct"/>
          </w:tcPr>
          <w:p w:rsidR="001673B3" w:rsidP="001673B3" w14:paraId="14782C57" w14:textId="77777777">
            <w:pPr>
              <w:pStyle w:val="732021"/>
              <w:spacing w:before="0" w:after="0"/>
              <w:rPr>
                <w:rtl/>
              </w:rPr>
            </w:pPr>
          </w:p>
        </w:tc>
        <w:tc>
          <w:tcPr>
            <w:tcW w:w="1151" w:type="pct"/>
            <w:tcBorders>
              <w:top w:val="single" w:sz="12" w:space="0" w:color="000000" w:themeColor="text1"/>
            </w:tcBorders>
          </w:tcPr>
          <w:p w:rsidR="001673B3" w:rsidRPr="0062456C" w:rsidP="001673B3" w14:paraId="6149CA50" w14:textId="6D99B76D">
            <w:pPr>
              <w:pStyle w:val="732021"/>
              <w:spacing w:before="0" w:after="0"/>
              <w:rPr>
                <w:rtl/>
              </w:rPr>
            </w:pPr>
            <w:r w:rsidRPr="00EE52DD">
              <w:rPr>
                <w:rtl/>
                <w:lang w:bidi="ar"/>
              </w:rPr>
              <w:t xml:space="preserve">خريج عربي بدوي واحد من 996 خريج مواضيع الهندسة في جامعة بن </w:t>
            </w:r>
            <w:r w:rsidRPr="00EE52DD">
              <w:rPr>
                <w:rtl/>
                <w:lang w:bidi="ar"/>
              </w:rPr>
              <w:t>جوريون</w:t>
            </w:r>
            <w:r w:rsidRPr="00EE52DD">
              <w:rPr>
                <w:rtl/>
                <w:lang w:bidi="ar"/>
              </w:rPr>
              <w:t xml:space="preserve"> سنة 2019</w:t>
            </w:r>
          </w:p>
        </w:tc>
        <w:tc>
          <w:tcPr>
            <w:tcW w:w="182" w:type="pct"/>
          </w:tcPr>
          <w:p w:rsidR="001673B3" w:rsidRPr="00C92141" w:rsidP="001673B3" w14:paraId="66E34E8E" w14:textId="77777777">
            <w:pPr>
              <w:pStyle w:val="732021"/>
              <w:spacing w:before="0" w:after="0"/>
              <w:rPr>
                <w:rtl/>
              </w:rPr>
            </w:pPr>
          </w:p>
        </w:tc>
        <w:tc>
          <w:tcPr>
            <w:tcW w:w="1143" w:type="pct"/>
            <w:tcBorders>
              <w:top w:val="single" w:sz="12" w:space="0" w:color="000000" w:themeColor="text1"/>
            </w:tcBorders>
          </w:tcPr>
          <w:p w:rsidR="001673B3" w:rsidRPr="00EE52DD" w:rsidP="001673B3" w14:paraId="5E2C8909" w14:textId="77777777">
            <w:pPr>
              <w:pStyle w:val="732021"/>
              <w:spacing w:before="0"/>
              <w:rPr>
                <w:rtl/>
              </w:rPr>
            </w:pPr>
            <w:r w:rsidRPr="00EE52DD">
              <w:rPr>
                <w:rtl/>
                <w:lang w:bidi="ar"/>
              </w:rPr>
              <w:t>نسبة المُشاركين المُحتملين في برامج السنة الانتقالية (</w:t>
            </w:r>
            <w:r w:rsidRPr="00EE52DD">
              <w:rPr>
                <w:rtl/>
                <w:lang w:bidi="ar"/>
              </w:rPr>
              <w:t>שנת</w:t>
            </w:r>
            <w:r w:rsidRPr="00EE52DD">
              <w:rPr>
                <w:rtl/>
                <w:lang w:bidi="ar"/>
              </w:rPr>
              <w:t xml:space="preserve"> </w:t>
            </w:r>
            <w:r w:rsidRPr="00EE52DD">
              <w:rPr>
                <w:rtl/>
                <w:lang w:bidi="ar"/>
              </w:rPr>
              <w:t>מעבר</w:t>
            </w:r>
            <w:r w:rsidRPr="00EE52DD">
              <w:rPr>
                <w:rtl/>
                <w:lang w:bidi="ar"/>
              </w:rPr>
              <w:t>) بين مجمل جمهور المتعطّلين في المجتمع العربي</w:t>
            </w:r>
          </w:p>
          <w:p w:rsidR="001673B3" w:rsidRPr="00C92141" w:rsidP="001673B3" w14:paraId="39498237" w14:textId="3D1EB5AD">
            <w:pPr>
              <w:pStyle w:val="732021"/>
              <w:spacing w:before="0" w:after="0"/>
              <w:rPr>
                <w:rtl/>
              </w:rPr>
            </w:pPr>
          </w:p>
        </w:tc>
      </w:tr>
    </w:tbl>
    <w:p w:rsidR="00420374" w:rsidP="00420374" w14:paraId="509D5AB6" w14:textId="77777777">
      <w:pPr>
        <w:pStyle w:val="7317"/>
        <w:spacing w:after="0"/>
        <w:rPr>
          <w:sz w:val="10"/>
          <w:szCs w:val="10"/>
          <w:rtl/>
        </w:rPr>
      </w:pPr>
    </w:p>
    <w:p w:rsidR="00420374" w:rsidRPr="00C62692" w:rsidP="00420374" w14:paraId="3FADD5EE" w14:textId="7E34CAF5">
      <w:pPr>
        <w:pStyle w:val="73"/>
        <w:rPr>
          <w:rtl/>
        </w:rPr>
      </w:pPr>
      <w:r w:rsidRPr="001673B3">
        <w:rPr>
          <w:rtl/>
          <w:lang w:bidi="ar-SA"/>
        </w:rPr>
        <w:t>أعمال الرقابة</w:t>
      </w:r>
      <w:r w:rsidRPr="00C62692">
        <w:rPr>
          <w:rtl/>
        </w:rPr>
        <w:t xml:space="preserve"> </w:t>
      </w:r>
    </w:p>
    <w:p w:rsidR="001673B3" w:rsidP="00420374" w14:paraId="54CE47C1" w14:textId="15EB1AA3">
      <w:pPr>
        <w:pStyle w:val="7317"/>
        <w:rPr>
          <w:noProof/>
          <w:rtl/>
        </w:rPr>
      </w:pPr>
      <w:r w:rsidRPr="001F3363">
        <w:rPr>
          <w:noProof/>
        </w:rPr>
        <w:drawing>
          <wp:anchor distT="0" distB="0" distL="114300" distR="114300" simplePos="0" relativeHeight="251684864"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52DD">
        <w:rPr>
          <w:noProof/>
          <w:rtl/>
          <w:lang w:bidi="ar"/>
        </w:rPr>
        <w:t>في الفترة ما بين يوليو 2021 وأغسطس 2022 فحص مكتب مراقب الدولة معالجة الحكومة لمشكلة الشباب</w:t>
      </w:r>
      <w:r w:rsidRPr="00EE52DD">
        <w:rPr>
          <w:rFonts w:hint="cs"/>
          <w:noProof/>
          <w:rtl/>
          <w:lang w:bidi="ar"/>
        </w:rPr>
        <w:t xml:space="preserve"> المتعطّل، أي</w:t>
      </w:r>
      <w:r w:rsidRPr="00EE52DD">
        <w:rPr>
          <w:noProof/>
          <w:rtl/>
          <w:lang w:bidi="ar"/>
        </w:rPr>
        <w:t xml:space="preserve"> الذين لا يعملون ولا يتعلمون في المجتمع العربي؛ قرارات الحكومة التي تعاملت مع هؤلاء الشباب والميزانيات التي خُصصت لها؛ خطوات جهاز التعليم لمنع ظاهرة التعطّل؛ برامج السنة الانتقالية؛ أعمال مصلحة الاستخدام والتشغيل الإسرائيلية (خدمات التشغيل) وأعمال مراكز ريان التي أقامها جناح العمل في وزارة الاقتصاد والصناعة</w:t>
      </w:r>
      <w:r>
        <w:rPr>
          <w:noProof/>
          <w:vertAlign w:val="superscript"/>
          <w:rtl/>
          <w:lang w:bidi="ar"/>
        </w:rPr>
        <w:footnoteReference w:id="4"/>
      </w:r>
      <w:r w:rsidRPr="00EE52DD">
        <w:rPr>
          <w:noProof/>
          <w:rtl/>
          <w:lang w:bidi="ar"/>
        </w:rPr>
        <w:t xml:space="preserve"> (جناح العمل) لدمج الشباب العرب في سوق العمل؛ والعوائق التي تقف في طريق اندماج الشباب العرب في مؤسسات التعليم العالي. تم إجراء الفحص في وزارة التربية والتعليم، في وزارة المساواة الاجتماعية، في جناح العمل، في خدمات التشغيل وفي وزارة الرفاه والضمان الاجتماعي (وزارة الرفاه). تم إجراء </w:t>
      </w:r>
      <w:r w:rsidRPr="00EE52DD">
        <w:rPr>
          <w:rFonts w:hint="cs"/>
          <w:noProof/>
          <w:rtl/>
          <w:lang w:bidi="ar"/>
        </w:rPr>
        <w:t>الرقابة</w:t>
      </w:r>
      <w:r w:rsidRPr="00EE52DD">
        <w:rPr>
          <w:noProof/>
          <w:rtl/>
          <w:lang w:bidi="ar"/>
        </w:rPr>
        <w:t xml:space="preserve"> الاستكمالية في مجلس التعليم العالي في جامعة حيفا، في ديوان رئيس الحكومة وفي وزارة المالية</w:t>
      </w:r>
      <w:r>
        <w:rPr>
          <w:rFonts w:hint="cs"/>
          <w:noProof/>
          <w:rtl/>
        </w:rPr>
        <w:t>.</w:t>
      </w:r>
    </w:p>
    <w:p w:rsidR="00420374" w:rsidP="00420374" w14:paraId="0AF4CED3" w14:textId="3CC4741C">
      <w:pPr>
        <w:pStyle w:val="7317"/>
        <w:rPr>
          <w:rtl/>
        </w:rPr>
      </w:pPr>
      <w:r w:rsidRPr="00EE52DD">
        <w:rPr>
          <w:noProof/>
          <w:rtl/>
          <w:lang w:bidi="ar"/>
        </w:rPr>
        <w:t xml:space="preserve">تم إجراء </w:t>
      </w:r>
      <w:r w:rsidRPr="00EE52DD">
        <w:rPr>
          <w:rFonts w:hint="cs"/>
          <w:noProof/>
          <w:rtl/>
          <w:lang w:bidi="ar"/>
        </w:rPr>
        <w:t>الرقابة</w:t>
      </w:r>
      <w:r w:rsidRPr="00EE52DD">
        <w:rPr>
          <w:noProof/>
          <w:rtl/>
          <w:lang w:bidi="ar"/>
        </w:rPr>
        <w:t xml:space="preserve"> من خلال جمع، رصد، تحليل وتأكيد البيانات من قواعد المعلومات في مؤسسة التأمين الوطني، الشرطة، المركز القطري للامتحانات والتقييم، السلطة القطرية للقياس والتقييم في التربية (راما) والهيئات الخاضعة للرقابة في هذا الفحص. تم تحليل المعطيات على يد طاقم </w:t>
      </w:r>
      <w:r w:rsidRPr="00EE52DD">
        <w:rPr>
          <w:rFonts w:hint="cs"/>
          <w:noProof/>
          <w:rtl/>
          <w:lang w:bidi="ar"/>
        </w:rPr>
        <w:t>الرقابة</w:t>
      </w:r>
      <w:r w:rsidRPr="00EE52DD">
        <w:rPr>
          <w:noProof/>
          <w:rtl/>
          <w:lang w:bidi="ar"/>
        </w:rPr>
        <w:t xml:space="preserve"> بأدوات كمية، شملت أساليب احصائية وعلمية متطورة ت</w:t>
      </w:r>
      <w:r w:rsidRPr="00EE52DD">
        <w:rPr>
          <w:rFonts w:hint="cs"/>
          <w:noProof/>
          <w:rtl/>
          <w:lang w:bidi="ar"/>
        </w:rPr>
        <w:t>قوم على</w:t>
      </w:r>
      <w:r w:rsidRPr="00EE52DD">
        <w:rPr>
          <w:noProof/>
          <w:rtl/>
          <w:lang w:bidi="ar"/>
        </w:rPr>
        <w:t xml:space="preserve"> الذكاء الاصطناعي لتحليل البيانات مثل الانحدارات الخطية، أشجار القرارات وتحليل العناقيد. بالإضافة إلى ذلك أجرى مكتب مراقب الدولة إجراء مشاركة جمهور مع مجموعات بؤرية لشباب عرب، ليتعرف عن قرب على </w:t>
      </w:r>
      <w:r w:rsidRPr="00EE52DD">
        <w:rPr>
          <w:rFonts w:hint="cs"/>
          <w:noProof/>
          <w:rtl/>
          <w:lang w:bidi="ar"/>
        </w:rPr>
        <w:t>وجه نظر</w:t>
      </w:r>
      <w:r w:rsidRPr="00EE52DD">
        <w:rPr>
          <w:noProof/>
          <w:rtl/>
          <w:lang w:bidi="ar"/>
        </w:rPr>
        <w:t xml:space="preserve"> الشباب العربي حول العلاج الحكومي المعروض عليهم لتجنب مشكلة التعطّل ولدمجهم في سوق العمل، وليفهم من المشاركين في المجموعات ما هي المعوقات </w:t>
      </w:r>
      <w:r w:rsidRPr="00EE52DD">
        <w:rPr>
          <w:rFonts w:hint="cs"/>
          <w:noProof/>
          <w:rtl/>
          <w:lang w:bidi="ar"/>
        </w:rPr>
        <w:t>و</w:t>
      </w:r>
      <w:r w:rsidRPr="00EE52DD">
        <w:rPr>
          <w:noProof/>
          <w:rtl/>
          <w:lang w:bidi="ar"/>
        </w:rPr>
        <w:t xml:space="preserve">الصعوبات كما </w:t>
      </w:r>
      <w:r w:rsidRPr="00EE52DD">
        <w:rPr>
          <w:rFonts w:hint="cs"/>
          <w:noProof/>
          <w:rtl/>
          <w:lang w:bidi="ar"/>
        </w:rPr>
        <w:t>يُ</w:t>
      </w:r>
      <w:r w:rsidRPr="00EE52DD">
        <w:rPr>
          <w:noProof/>
          <w:rtl/>
          <w:lang w:bidi="ar"/>
        </w:rPr>
        <w:t>عايشونها</w:t>
      </w:r>
      <w:r w:rsidRPr="00EE52DD">
        <w:rPr>
          <w:rFonts w:hint="cs"/>
          <w:noProof/>
          <w:rtl/>
          <w:lang w:bidi="ar"/>
        </w:rPr>
        <w:t xml:space="preserve"> هم</w:t>
      </w:r>
      <w:r>
        <w:rPr>
          <w:rFonts w:hint="cs"/>
          <w:rtl/>
        </w:rPr>
        <w:t>.</w:t>
      </w:r>
      <w:r w:rsidRPr="001F3363">
        <w:rPr>
          <w:rFonts w:hint="cs"/>
          <w:rtl/>
        </w:rPr>
        <w:t xml:space="preserve"> </w:t>
      </w:r>
    </w:p>
    <w:p w:rsidR="002753C7" w:rsidRPr="00662020" w:rsidP="002753C7" w14:paraId="690F076D" w14:textId="344E1A38">
      <w:pPr>
        <w:pStyle w:val="7327"/>
        <w:rPr>
          <w:rtl/>
        </w:rPr>
      </w:pPr>
      <w:r w:rsidRPr="001673B3">
        <w:rPr>
          <w:noProof/>
          <w:rtl/>
          <w:lang w:bidi="ar-SA"/>
        </w:rPr>
        <w:t>صورة الوضع التي تظهر من الرقابة</w:t>
      </w:r>
      <w:r>
        <w:rPr>
          <w:rFonts w:hint="cs"/>
          <w:rtl/>
        </w:rPr>
        <w:t xml:space="preserve"> </w:t>
      </w:r>
    </w:p>
    <w:p w:rsidR="002753C7" w:rsidRPr="001F3363" w:rsidP="00420374" w14:paraId="0B2F822B" w14:textId="3350AACA">
      <w:pPr>
        <w:pStyle w:val="7317"/>
        <w:rPr>
          <w:rtl/>
        </w:rPr>
      </w:pPr>
      <w:r w:rsidRPr="00362C00">
        <w:rPr>
          <w:noProof/>
          <w:rtl/>
        </w:rPr>
        <w:drawing>
          <wp:anchor distT="0" distB="0" distL="114300" distR="114300" simplePos="0" relativeHeight="251685888" behindDoc="0" locked="0" layoutInCell="1" allowOverlap="1">
            <wp:simplePos x="0" y="0"/>
            <wp:positionH relativeFrom="column">
              <wp:posOffset>2540000</wp:posOffset>
            </wp:positionH>
            <wp:positionV relativeFrom="paragraph">
              <wp:posOffset>33565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1673B3" w:rsidP="001673B3" w14:paraId="0422F197" w14:textId="7DB967BD">
      <w:pPr>
        <w:pStyle w:val="7317"/>
        <w:rPr>
          <w:b/>
          <w:bCs/>
          <w:rtl/>
          <w:lang w:bidi="ar"/>
        </w:rPr>
      </w:pPr>
      <w:r w:rsidRPr="001673B3">
        <w:rPr>
          <w:rFonts w:hint="cs"/>
          <w:b/>
          <w:bCs/>
          <w:noProof/>
          <w:rtl/>
        </w:rPr>
        <w:drawing>
          <wp:anchor distT="0" distB="0" distL="71755" distR="0" simplePos="0" relativeHeight="25168691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673B3">
        <w:rPr>
          <w:b/>
          <w:bCs/>
          <w:rtl/>
          <w:lang w:bidi="ar"/>
        </w:rPr>
        <w:t xml:space="preserve">ظاهرة التعطّل بين الشباب في المجتمع العربي وعواقبها </w:t>
      </w:r>
    </w:p>
    <w:p w:rsidR="001673B3" w:rsidRPr="001632F0" w:rsidP="00ED5111" w14:paraId="402A1C0D" w14:textId="76781546">
      <w:pPr>
        <w:pStyle w:val="73BULLETS"/>
        <w:numPr>
          <w:ilvl w:val="0"/>
          <w:numId w:val="535"/>
        </w:numPr>
      </w:pPr>
      <w:r>
        <w:rPr>
          <w:rtl/>
          <w:lang w:bidi="ar"/>
        </w:rPr>
        <w:t xml:space="preserve">نسبة التعطّل بين الشباب بجيل 18-24 في المجتمع العربي أعلى من النسبة المذكورة في المجتمع اليهودي - قرابة </w:t>
      </w:r>
      <w:r>
        <w:rPr>
          <w:rFonts w:hint="cs"/>
          <w:rtl/>
        </w:rPr>
        <w:t>25</w:t>
      </w:r>
      <w:r w:rsidR="0099536C">
        <w:rPr>
          <w:rFonts w:hint="cs"/>
          <w:rtl/>
        </w:rPr>
        <w:t>%</w:t>
      </w:r>
      <w:r>
        <w:rPr>
          <w:rtl/>
          <w:lang w:bidi="ar"/>
        </w:rPr>
        <w:t xml:space="preserve"> بين الرجال، </w:t>
      </w:r>
      <w:r>
        <w:rPr>
          <w:rtl/>
          <w:lang w:bidi="ar"/>
        </w:rPr>
        <w:t xml:space="preserve">و </w:t>
      </w:r>
      <w:r w:rsidR="0099536C">
        <w:rPr>
          <w:rFonts w:hint="cs"/>
          <w:rtl/>
        </w:rPr>
        <w:t>34</w:t>
      </w:r>
      <w:r w:rsidR="0099536C">
        <w:rPr>
          <w:rFonts w:hint="cs"/>
          <w:rtl/>
        </w:rPr>
        <w:t>%</w:t>
      </w:r>
      <w:r>
        <w:rPr>
          <w:rtl/>
          <w:lang w:bidi="ar"/>
        </w:rPr>
        <w:t xml:space="preserve"> بين النساء. في نوفمبر 2021 كان عدد المتعطّلين بجيل 18-24 في المجتمع العربي قرابة 22,000 </w:t>
      </w:r>
      <w:r>
        <w:rPr>
          <w:rFonts w:hint="cs"/>
          <w:rtl/>
          <w:lang w:bidi="ar"/>
        </w:rPr>
        <w:t>رجل</w:t>
      </w:r>
      <w:r>
        <w:rPr>
          <w:rtl/>
          <w:lang w:bidi="ar"/>
        </w:rPr>
        <w:t xml:space="preserve"> </w:t>
      </w:r>
      <w:r>
        <w:rPr>
          <w:rtl/>
          <w:lang w:bidi="ar"/>
        </w:rPr>
        <w:t>و 35,000</w:t>
      </w:r>
      <w:r>
        <w:rPr>
          <w:rtl/>
          <w:lang w:bidi="ar"/>
        </w:rPr>
        <w:t xml:space="preserve"> </w:t>
      </w:r>
      <w:r>
        <w:rPr>
          <w:rFonts w:hint="cs"/>
          <w:rtl/>
          <w:lang w:bidi="ar"/>
        </w:rPr>
        <w:t>امرأة</w:t>
      </w:r>
      <w:r>
        <w:rPr>
          <w:rtl/>
          <w:lang w:bidi="ar"/>
        </w:rPr>
        <w:t xml:space="preserve">. بين سنة 2015 وسنة 2020 تراجع عدد المتعطّلين بين الرجال اليهود من </w:t>
      </w:r>
      <w:r w:rsidR="0099536C">
        <w:rPr>
          <w:rFonts w:hint="cs"/>
          <w:rtl/>
        </w:rPr>
        <w:t>16%</w:t>
      </w:r>
      <w:r>
        <w:rPr>
          <w:rtl/>
          <w:lang w:bidi="ar"/>
        </w:rPr>
        <w:t xml:space="preserve"> إلى </w:t>
      </w:r>
      <w:r w:rsidR="0099536C">
        <w:rPr>
          <w:rFonts w:hint="cs"/>
          <w:rtl/>
        </w:rPr>
        <w:t>14%</w:t>
      </w:r>
      <w:r>
        <w:rPr>
          <w:rtl/>
          <w:lang w:bidi="ar"/>
        </w:rPr>
        <w:t xml:space="preserve">، وبين النساء اليهوديات من </w:t>
      </w:r>
      <w:r w:rsidR="0099536C">
        <w:rPr>
          <w:rFonts w:hint="cs"/>
          <w:rtl/>
        </w:rPr>
        <w:t>22%</w:t>
      </w:r>
      <w:r>
        <w:rPr>
          <w:rtl/>
          <w:lang w:bidi="ar"/>
        </w:rPr>
        <w:t xml:space="preserve"> إلى </w:t>
      </w:r>
      <w:r w:rsidR="0099536C">
        <w:rPr>
          <w:rFonts w:hint="cs"/>
          <w:rtl/>
        </w:rPr>
        <w:t>18%</w:t>
      </w:r>
      <w:r>
        <w:rPr>
          <w:rtl/>
          <w:lang w:bidi="ar"/>
        </w:rPr>
        <w:t xml:space="preserve"> وبين النساء العربيات من </w:t>
      </w:r>
      <w:r w:rsidR="0099536C">
        <w:rPr>
          <w:rFonts w:hint="cs"/>
          <w:rtl/>
        </w:rPr>
        <w:t>41%</w:t>
      </w:r>
      <w:r>
        <w:rPr>
          <w:rtl/>
          <w:lang w:bidi="ar"/>
        </w:rPr>
        <w:t xml:space="preserve"> إلى </w:t>
      </w:r>
      <w:r w:rsidR="0099536C">
        <w:rPr>
          <w:rFonts w:hint="cs"/>
          <w:rtl/>
        </w:rPr>
        <w:t>32%</w:t>
      </w:r>
      <w:r>
        <w:rPr>
          <w:rtl/>
          <w:lang w:bidi="ar"/>
        </w:rPr>
        <w:t xml:space="preserve">. بين الرجال العرب ظلت نسبة المتعطّلين كما هي طوال هذه الفترة. </w:t>
      </w:r>
    </w:p>
    <w:p w:rsidR="001673B3" w:rsidRPr="001632F0" w:rsidP="00ED5111" w14:paraId="2A82EE13" w14:textId="77777777">
      <w:pPr>
        <w:pStyle w:val="73BULLETS"/>
        <w:numPr>
          <w:ilvl w:val="0"/>
          <w:numId w:val="535"/>
        </w:numPr>
      </w:pPr>
      <w:r>
        <w:rPr>
          <w:rtl/>
          <w:lang w:bidi="ar"/>
        </w:rPr>
        <w:t xml:space="preserve">وباء </w:t>
      </w:r>
      <w:r>
        <w:rPr>
          <w:rtl/>
          <w:lang w:bidi="ar"/>
        </w:rPr>
        <w:t>الكورونا</w:t>
      </w:r>
      <w:r>
        <w:rPr>
          <w:rtl/>
          <w:lang w:bidi="ar"/>
        </w:rPr>
        <w:t xml:space="preserve"> الذي تفشى في إسرائيل في مطلع سنة 2020 رفع بشكل ملحوظ نسبة المتعطّلين في المجتمع الإسرائيلي بشكل عام. في نوفمبر 2021، تراجعت نسبة المتعطّلين </w:t>
      </w:r>
      <w:r>
        <w:rPr>
          <w:rtl/>
          <w:lang w:bidi="ar"/>
        </w:rPr>
        <w:t xml:space="preserve">بين الرجال والنساء في المجتمع اليهودي إلى مستواها قبل الوباء، لكن ذلك لم يحصل في المجتمع العربي. التحليل الذي قام به مكتب مراقب الدولة يُظهر وجود علاقة موجبة بين التعطّل وبين مستوى الجريمة، وظهر أيضا بأن نسبة المتعطّلين في صفوف الرجال الشباب كانت تصاعدية حتى قبل تفشي الوباء (2018-2020)، وظلت تتصاعد (2020-2022). </w:t>
      </w:r>
    </w:p>
    <w:p w:rsidR="001673B3" w:rsidRPr="001632F0" w:rsidP="00ED5111" w14:paraId="7BF41016" w14:textId="094970BE">
      <w:pPr>
        <w:pStyle w:val="73BULLETS"/>
        <w:numPr>
          <w:ilvl w:val="0"/>
          <w:numId w:val="535"/>
        </w:numPr>
        <w:rPr>
          <w:rtl/>
        </w:rPr>
      </w:pPr>
      <w:r>
        <w:rPr>
          <w:rtl/>
          <w:lang w:bidi="ar"/>
        </w:rPr>
        <w:t xml:space="preserve">مستوى الجريمة بين الشباب العرب ارتفع في هذه الفترة بشكل متواصل، من 0.1 ملف جنائي للفرد سنة 2015 إلى 0.15 ملف جنائي سنة 2021 (ارتفاع بنسبة </w:t>
      </w:r>
      <w:r w:rsidR="0099536C">
        <w:rPr>
          <w:rFonts w:hint="cs"/>
          <w:rtl/>
        </w:rPr>
        <w:t>50%</w:t>
      </w:r>
      <w:r>
        <w:rPr>
          <w:rtl/>
          <w:lang w:bidi="ar"/>
        </w:rPr>
        <w:t xml:space="preserve">). يعني ذلك زيادة بنحو 6,000 ملف جنائي في هذه الفترة. </w:t>
      </w:r>
    </w:p>
    <w:p w:rsidR="001673B3" w:rsidRPr="007B37A4" w:rsidP="00ED5111" w14:paraId="5D1A1D3E" w14:textId="728BA565">
      <w:pPr>
        <w:pStyle w:val="73BULLETS"/>
        <w:numPr>
          <w:ilvl w:val="0"/>
          <w:numId w:val="535"/>
        </w:numPr>
      </w:pPr>
      <w:r>
        <w:rPr>
          <w:rtl/>
          <w:lang w:bidi="ar"/>
        </w:rPr>
        <w:t xml:space="preserve">يُقدر حجم الضرر المُحتمل لظاهرة الشباب العرب المتعطّلين بحسب تقديرات مكتب مراقب الدولة بمليار شاقل في السنة، أي </w:t>
      </w:r>
      <w:r>
        <w:rPr>
          <w:rtl/>
          <w:lang w:bidi="ar"/>
        </w:rPr>
        <w:t>خمسة</w:t>
      </w:r>
      <w:r>
        <w:rPr>
          <w:rtl/>
          <w:lang w:bidi="ar"/>
        </w:rPr>
        <w:t xml:space="preserve"> مليارات شاقل لفترة الخطة الخمسية. الخطط الخمسية للمجتمع العربي للسنوات 2018 - 2026 والخطة لمكافحة العنف والجريمة في المجتمع العربي حصلت على تخصيص ميزانيات بقيمة 34.2 مليار شاقل غايتها تطوير هذا المجتمع</w:t>
      </w:r>
      <w:r>
        <w:rPr>
          <w:rFonts w:hint="cs"/>
          <w:rtl/>
          <w:lang w:bidi="ar"/>
        </w:rPr>
        <w:t>،</w:t>
      </w:r>
      <w:r>
        <w:rPr>
          <w:rtl/>
          <w:lang w:bidi="ar"/>
        </w:rPr>
        <w:t xml:space="preserve"> بما في ذلك تقديم علاج غير مباشر لمشكلة الشباب المتعطّل</w:t>
      </w:r>
      <w:r>
        <w:rPr>
          <w:rFonts w:hint="cs"/>
          <w:rtl/>
          <w:lang w:bidi="ar"/>
        </w:rPr>
        <w:t>،</w:t>
      </w:r>
      <w:r>
        <w:rPr>
          <w:rtl/>
          <w:lang w:bidi="ar"/>
        </w:rPr>
        <w:t xml:space="preserve"> في مجالات التعليم، التشغيل ومكافحة الجريمة، لكن تم تخصيص 436.5 مليون </w:t>
      </w:r>
      <w:r>
        <w:rPr>
          <w:rtl/>
          <w:lang w:bidi="ar"/>
        </w:rPr>
        <w:t>ش.ج</w:t>
      </w:r>
      <w:r>
        <w:rPr>
          <w:rtl/>
          <w:lang w:bidi="ar"/>
        </w:rPr>
        <w:t xml:space="preserve"> فقط من هذه الميزانية لمعالجة مشكلة الشباب المتعطّل في المجتمع العربي (نحو </w:t>
      </w:r>
      <w:r w:rsidR="0099536C">
        <w:rPr>
          <w:rFonts w:hint="cs"/>
          <w:rtl/>
        </w:rPr>
        <w:t>1%</w:t>
      </w:r>
      <w:r>
        <w:rPr>
          <w:rtl/>
          <w:lang w:bidi="ar"/>
        </w:rPr>
        <w:t>).</w:t>
      </w:r>
    </w:p>
    <w:p w:rsidR="00420374" w:rsidRPr="0093709F" w:rsidP="00DA022A" w14:paraId="1D22E15A" w14:textId="7CF60371">
      <w:pPr>
        <w:pStyle w:val="7392"/>
        <w:ind w:left="424"/>
      </w:pPr>
      <w:r w:rsidRPr="0099536C">
        <w:rPr>
          <w:rFonts w:hint="cs"/>
          <w:b/>
          <w:bCs/>
          <w:noProof/>
          <w:rtl/>
        </w:rPr>
        <w:drawing>
          <wp:anchor distT="0" distB="720090" distL="114300" distR="114300" simplePos="0" relativeHeight="25168793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9536C" w:rsidR="0099536C">
        <w:rPr>
          <w:b/>
          <w:bCs/>
          <w:rtl/>
          <w:lang w:bidi="ar"/>
        </w:rPr>
        <w:t>جمع المعطيات وتحليلها كأسس لاتخاذ قرارات حكومية ولتخصيص الموارد بشكل ناجع</w:t>
      </w:r>
      <w:r w:rsidR="0099536C">
        <w:rPr>
          <w:rFonts w:hint="cs"/>
          <w:b/>
          <w:bCs/>
          <w:rtl/>
        </w:rPr>
        <w:t xml:space="preserve"> </w:t>
      </w:r>
      <w:r w:rsidRPr="0099536C" w:rsidR="0099536C">
        <w:rPr>
          <w:rtl/>
          <w:lang w:bidi="ar"/>
        </w:rPr>
        <w:t>-</w:t>
      </w:r>
      <w:r w:rsidRPr="00BD1D9E" w:rsidR="0099536C">
        <w:rPr>
          <w:rtl/>
          <w:lang w:bidi="ar"/>
        </w:rPr>
        <w:t xml:space="preserve"> الخطة الخمسية الاقتصادية لتقليص الفجوات في المجتمع العربي والخطة الخمسية للمجتمع البدوي هما خطتان قررتهما الحكومة في السنوات 2021 -2022، وعلى أساسهما تم تخصيص ميزانية ضخمة بلغت 27 مليار </w:t>
      </w:r>
      <w:r w:rsidRPr="00BD1D9E" w:rsidR="0099536C">
        <w:rPr>
          <w:rtl/>
          <w:lang w:bidi="ar"/>
        </w:rPr>
        <w:t>ش.ج</w:t>
      </w:r>
      <w:r w:rsidRPr="00BD1D9E" w:rsidR="0099536C">
        <w:rPr>
          <w:rtl/>
          <w:lang w:bidi="ar"/>
        </w:rPr>
        <w:t>. تبين أن هذه القرارات اتُخذت دون أن تقوم وزارتا المساواة الاجتماعية والرفاه ببلورة هذه الخطط، وبدون القيا</w:t>
      </w:r>
      <w:r w:rsidRPr="00BD1D9E" w:rsidR="0099536C">
        <w:rPr>
          <w:rFonts w:hint="cs"/>
          <w:rtl/>
          <w:lang w:bidi="ar"/>
        </w:rPr>
        <w:t>م</w:t>
      </w:r>
      <w:r w:rsidRPr="00BD1D9E" w:rsidR="0099536C">
        <w:rPr>
          <w:rtl/>
          <w:lang w:bidi="ar"/>
        </w:rPr>
        <w:t xml:space="preserve"> بتحليل علمي دقيق ووافٍ للمعلومات والبيانات ذات العلاقة. النتيجة هي أن البرامج المُخصصة لمعالجة الشباب المتعطّل لم تُعد</w:t>
      </w:r>
      <w:r w:rsidRPr="00BD1D9E" w:rsidR="0099536C">
        <w:rPr>
          <w:rFonts w:hint="cs"/>
          <w:rtl/>
          <w:lang w:bidi="ar"/>
        </w:rPr>
        <w:t>ّ</w:t>
      </w:r>
      <w:r w:rsidRPr="00BD1D9E" w:rsidR="0099536C">
        <w:rPr>
          <w:rtl/>
          <w:lang w:bidi="ar"/>
        </w:rPr>
        <w:t xml:space="preserve"> بناءً على تحليل موثوق وعلمي، وبدون ملاءمة الحلول المطروحة لمميزات وخصوصية كل </w:t>
      </w:r>
      <w:r w:rsidRPr="00BD1D9E" w:rsidR="0099536C">
        <w:rPr>
          <w:rFonts w:hint="cs"/>
          <w:rtl/>
          <w:lang w:bidi="ar"/>
        </w:rPr>
        <w:t>وسط من الأوساط التي تؤلف المجتمع العربي</w:t>
      </w:r>
      <w:r w:rsidRPr="00BD1D9E" w:rsidR="0099536C">
        <w:rPr>
          <w:rtl/>
          <w:lang w:bidi="ar"/>
        </w:rPr>
        <w:t xml:space="preserve">. وتبين أيضًا بأن الطاقم الوزاري المُشترك الذي أقيم في إطار قرار الحكومة 550 في اكتوبر 2021 لتقليص الفوارق في المجتمع العربي ركّز على الشباب في الوسط العربي، دون التطرق بشكل منفصل للشباب البدو. وذلك مع أن الحالة التشغيلية والاقتصادية للشباب البدو أصعب مقارنة بباقي الأوساط في المجتمع العربي؛ في مطلع سنة 2020 كانت نسبة الشباب المتعطّل بين عموم الشباب البدوي نحو </w:t>
      </w:r>
      <w:r w:rsidR="0033416A">
        <w:rPr>
          <w:rFonts w:hint="cs"/>
          <w:rtl/>
        </w:rPr>
        <w:t>33%</w:t>
      </w:r>
      <w:r w:rsidRPr="00BD1D9E" w:rsidR="0099536C">
        <w:rPr>
          <w:rtl/>
          <w:lang w:bidi="ar"/>
        </w:rPr>
        <w:t xml:space="preserve"> (قرابة 6,000 شاب)، مقارنة بنسبة </w:t>
      </w:r>
      <w:r w:rsidR="0099536C">
        <w:rPr>
          <w:rFonts w:hint="cs"/>
          <w:rtl/>
        </w:rPr>
        <w:t>20%</w:t>
      </w:r>
      <w:r w:rsidRPr="00BD1D9E" w:rsidR="0099536C">
        <w:rPr>
          <w:rtl/>
          <w:lang w:bidi="ar"/>
        </w:rPr>
        <w:t xml:space="preserve"> بين</w:t>
      </w:r>
      <w:r w:rsidRPr="00BD1D9E" w:rsidR="0099536C">
        <w:rPr>
          <w:rFonts w:hint="cs"/>
          <w:rtl/>
          <w:lang w:bidi="ar"/>
        </w:rPr>
        <w:t xml:space="preserve"> عموم</w:t>
      </w:r>
      <w:r w:rsidRPr="00BD1D9E" w:rsidR="0099536C">
        <w:rPr>
          <w:rtl/>
          <w:lang w:bidi="ar"/>
        </w:rPr>
        <w:t xml:space="preserve"> الشباب </w:t>
      </w:r>
      <w:r w:rsidRPr="00BD1D9E" w:rsidR="0099536C">
        <w:rPr>
          <w:rtl/>
          <w:lang w:bidi="ar"/>
        </w:rPr>
        <w:t xml:space="preserve">العرب </w:t>
      </w:r>
      <w:r w:rsidR="0099536C">
        <w:rPr>
          <w:rFonts w:hint="cs"/>
          <w:rtl/>
        </w:rPr>
        <w:t xml:space="preserve"> </w:t>
      </w:r>
      <w:r w:rsidRPr="00BD1D9E" w:rsidR="0099536C">
        <w:rPr>
          <w:rtl/>
          <w:lang w:bidi="ar"/>
        </w:rPr>
        <w:t>(</w:t>
      </w:r>
      <w:r w:rsidRPr="00BD1D9E" w:rsidR="0099536C">
        <w:rPr>
          <w:rtl/>
          <w:lang w:bidi="ar"/>
        </w:rPr>
        <w:t xml:space="preserve">نحو 15,000 شاب)، وبين الشابات البدويات كانت النسبة </w:t>
      </w:r>
      <w:r w:rsidR="0099536C">
        <w:rPr>
          <w:rFonts w:hint="cs"/>
          <w:rtl/>
        </w:rPr>
        <w:t>55%</w:t>
      </w:r>
      <w:r w:rsidRPr="00BD1D9E" w:rsidR="0099536C">
        <w:rPr>
          <w:rtl/>
          <w:lang w:bidi="ar"/>
        </w:rPr>
        <w:t xml:space="preserve"> تقريبا (نحو 9,000 شابة)، مقارنة بنحو </w:t>
      </w:r>
      <w:r w:rsidR="0099536C">
        <w:rPr>
          <w:rFonts w:hint="cs"/>
          <w:rtl/>
        </w:rPr>
        <w:t>27%</w:t>
      </w:r>
      <w:r w:rsidRPr="00BD1D9E" w:rsidR="0099536C">
        <w:rPr>
          <w:rtl/>
          <w:lang w:bidi="ar"/>
        </w:rPr>
        <w:t xml:space="preserve"> بين </w:t>
      </w:r>
      <w:r w:rsidRPr="00BD1D9E" w:rsidR="0099536C">
        <w:rPr>
          <w:rFonts w:hint="cs"/>
          <w:rtl/>
          <w:lang w:bidi="ar"/>
        </w:rPr>
        <w:t xml:space="preserve">عموم </w:t>
      </w:r>
      <w:r w:rsidRPr="00BD1D9E" w:rsidR="0099536C">
        <w:rPr>
          <w:rtl/>
          <w:lang w:bidi="ar"/>
        </w:rPr>
        <w:t>الشابات العربيات (نحو 19,000 شابة). أما بالنسبة للخطة الخمسية للمجتمع العربي من شهر مارس 2022- فإنها تتطرق للمجتمع البدوي، لكن ليس بالضرورة لشبابه الذين قد يُصبحون متعطلين</w:t>
      </w:r>
      <w:r w:rsidRPr="0093709F">
        <w:rPr>
          <w:rFonts w:hint="cs"/>
          <w:rtl/>
        </w:rPr>
        <w:t xml:space="preserve">. </w:t>
      </w:r>
    </w:p>
    <w:p w:rsidR="00420374" w:rsidRPr="0093709F" w:rsidP="00DA022A" w14:paraId="5E2BFABB" w14:textId="2A5B5BB6">
      <w:pPr>
        <w:pStyle w:val="7392"/>
        <w:ind w:left="424"/>
        <w:rPr>
          <w:rtl/>
        </w:rPr>
      </w:pPr>
      <w:r w:rsidRPr="0099536C">
        <w:rPr>
          <w:rFonts w:hint="cs"/>
          <w:b/>
          <w:bCs/>
          <w:noProof/>
          <w:rtl/>
        </w:rPr>
        <w:drawing>
          <wp:anchor distT="0" distB="720090" distL="114300" distR="114300" simplePos="0" relativeHeight="25168896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9536C" w:rsidR="0099536C">
        <w:rPr>
          <w:b/>
          <w:bCs/>
          <w:rtl/>
          <w:lang w:bidi="ar"/>
        </w:rPr>
        <w:t>أسباب التعطّل في الأوساط المختلفة</w:t>
      </w:r>
      <w:r w:rsidRPr="00BD1D9E" w:rsidR="0099536C">
        <w:rPr>
          <w:rtl/>
          <w:lang w:bidi="ar"/>
        </w:rPr>
        <w:t xml:space="preserve"> </w:t>
      </w:r>
      <w:r w:rsidRPr="0099536C" w:rsidR="0099536C">
        <w:rPr>
          <w:rtl/>
          <w:lang w:bidi="ar"/>
        </w:rPr>
        <w:t>-</w:t>
      </w:r>
      <w:r w:rsidRPr="00BD1D9E" w:rsidR="0099536C">
        <w:rPr>
          <w:rtl/>
          <w:lang w:bidi="ar"/>
        </w:rPr>
        <w:t xml:space="preserve"> تحليل نتائج البيانات التي قام بها مكتب مراقب الدولة يُشير بأن العلاقة بين هذه الخصائص- مسار البجروت، التعليم فوق الثانوي، الخدمة الوطنية، العسكرية أو المدنية والتأهيل المهني - وبين تقليل احتمالية حدوث حالات التعطّل، تكون أقوى عند البدو مما هو الحال عند بقية الأوساط العربية واليهودية. يعني ذلك بأن تحسين هذه الخصائص قد يُحدث التغيير (الإيجابي) بشكل أكبر عند البدو مقارنة بالأوساط الأخرى، ومن هنا يتضح أن الاستثمار في هذه المتغيرات قد يؤدي إلى نتائج اجتماعية أفضل بكل ما يتعلق بظاهرة الشباب المتعطّل. مثلًا، التعليم فوق الثانوي يُقلل إمكانية التعطّل بنسبة </w:t>
      </w:r>
      <w:r w:rsidR="0099536C">
        <w:rPr>
          <w:rFonts w:hint="cs"/>
          <w:rtl/>
        </w:rPr>
        <w:t>9%</w:t>
      </w:r>
      <w:r w:rsidRPr="00BD1D9E" w:rsidR="0099536C">
        <w:rPr>
          <w:rtl/>
          <w:lang w:bidi="ar"/>
        </w:rPr>
        <w:t xml:space="preserve"> تقريبا في المجتمع اليهودي، وبنحو </w:t>
      </w:r>
      <w:r w:rsidR="0033416A">
        <w:rPr>
          <w:rFonts w:hint="cs"/>
          <w:rtl/>
        </w:rPr>
        <w:t>18%</w:t>
      </w:r>
      <w:r w:rsidRPr="00BD1D9E" w:rsidR="0099536C">
        <w:rPr>
          <w:rtl/>
          <w:lang w:bidi="ar"/>
        </w:rPr>
        <w:t xml:space="preserve"> في المجتمع العربي وبنسبة </w:t>
      </w:r>
      <w:r w:rsidR="0033416A">
        <w:rPr>
          <w:rFonts w:hint="cs"/>
          <w:rtl/>
        </w:rPr>
        <w:t>34%</w:t>
      </w:r>
      <w:r w:rsidRPr="00BD1D9E" w:rsidR="0099536C">
        <w:rPr>
          <w:rtl/>
          <w:lang w:bidi="ar"/>
        </w:rPr>
        <w:t xml:space="preserve"> في المجتمع البدوي. يتضح من هنا </w:t>
      </w:r>
      <w:r w:rsidRPr="00BD1D9E" w:rsidR="0099536C">
        <w:rPr>
          <w:rFonts w:hint="cs"/>
          <w:rtl/>
          <w:lang w:bidi="ar"/>
        </w:rPr>
        <w:t>أنه لا يوجد</w:t>
      </w:r>
      <w:r w:rsidRPr="00BD1D9E" w:rsidR="0099536C">
        <w:rPr>
          <w:rtl/>
          <w:lang w:bidi="ar"/>
        </w:rPr>
        <w:t xml:space="preserve"> توافق بين جمهور الهدف للبرامج التي خُصصت لها الميزانيات - الشباب العرب - وبين ضرورة التركيز على الجمهور الأساسي الذي يحتاج هذه الميزانيات - الشباب البدو</w:t>
      </w:r>
      <w:r w:rsidRPr="0093709F">
        <w:rPr>
          <w:rFonts w:hint="cs"/>
          <w:rtl/>
        </w:rPr>
        <w:t>.</w:t>
      </w:r>
    </w:p>
    <w:p w:rsidR="00420374" w:rsidRPr="0093709F" w:rsidP="00DA022A" w14:paraId="583ECB3F" w14:textId="206DA027">
      <w:pPr>
        <w:pStyle w:val="7392"/>
        <w:ind w:left="424"/>
      </w:pPr>
      <w:r w:rsidRPr="0099536C">
        <w:rPr>
          <w:rFonts w:hint="cs"/>
          <w:b/>
          <w:bCs/>
          <w:noProof/>
          <w:rtl/>
        </w:rPr>
        <w:drawing>
          <wp:anchor distT="0" distB="720090" distL="114300" distR="114300" simplePos="0" relativeHeight="25168998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9536C" w:rsidR="0099536C">
        <w:rPr>
          <w:b/>
          <w:bCs/>
          <w:rtl/>
          <w:lang w:bidi="ar"/>
        </w:rPr>
        <w:t>التنبؤ بالتعطّل في جيل مبكر</w:t>
      </w:r>
      <w:r w:rsidR="0099536C">
        <w:rPr>
          <w:rFonts w:hint="cs"/>
          <w:b/>
          <w:bCs/>
          <w:rtl/>
        </w:rPr>
        <w:t xml:space="preserve"> </w:t>
      </w:r>
      <w:r w:rsidRPr="0099536C" w:rsidR="0099536C">
        <w:rPr>
          <w:rtl/>
          <w:lang w:bidi="ar"/>
        </w:rPr>
        <w:t>-</w:t>
      </w:r>
      <w:r w:rsidRPr="00BD1D9E" w:rsidR="0099536C">
        <w:rPr>
          <w:rtl/>
          <w:lang w:bidi="ar"/>
        </w:rPr>
        <w:t xml:space="preserve"> في قرار الحكومة من اكتوبر 2021 حول خطة معالجة مظاهر العنف والجريمة في المجتمع العربي للسنوات 2022-2026</w:t>
      </w:r>
      <w:bookmarkStart w:id="1" w:name="_Hlk126247864"/>
      <w:r w:rsidRPr="00BD1D9E" w:rsidR="0099536C">
        <w:rPr>
          <w:rtl/>
          <w:lang w:bidi="ar"/>
        </w:rPr>
        <w:t xml:space="preserve"> طُلب من وزارة التربية والتعليم تطوير أداة لتحديد ومتابعة الطلاب المُعرضين لخطر التسرب من المدرسة، بناءً على متغيرات التنبؤ</w:t>
      </w:r>
      <w:bookmarkEnd w:id="1"/>
      <w:r w:rsidRPr="00BD1D9E" w:rsidR="0099536C">
        <w:rPr>
          <w:rtl/>
          <w:lang w:bidi="ar"/>
        </w:rPr>
        <w:t xml:space="preserve">. تبين أنه لا يوجد أي أداة </w:t>
      </w:r>
      <w:r w:rsidRPr="00BD1D9E" w:rsidR="0099536C">
        <w:rPr>
          <w:rFonts w:hint="cs"/>
          <w:rtl/>
          <w:lang w:bidi="ar"/>
        </w:rPr>
        <w:t>لدى</w:t>
      </w:r>
      <w:r w:rsidRPr="00BD1D9E" w:rsidR="0099536C">
        <w:rPr>
          <w:rtl/>
          <w:lang w:bidi="ar"/>
        </w:rPr>
        <w:t xml:space="preserve"> وزارة التربية والتعليم لتحديد ومتابعة هؤلاء الطلاب. هذه الأداة يمكن أن تساعد في العثور بشكل مُسبق على الأولاد المعرضين لخطر الوصول لحالة التعطّل. قام طاقم الرقابة في مكتب مراقب الدولة بتطوير أداة تنبؤ للتعط</w:t>
      </w:r>
      <w:r w:rsidRPr="00BD1D9E" w:rsidR="0099536C">
        <w:rPr>
          <w:rFonts w:hint="cs"/>
          <w:rtl/>
          <w:lang w:bidi="ar"/>
        </w:rPr>
        <w:t>ّ</w:t>
      </w:r>
      <w:r w:rsidRPr="00BD1D9E" w:rsidR="0099536C">
        <w:rPr>
          <w:rtl/>
          <w:lang w:bidi="ar"/>
        </w:rPr>
        <w:t xml:space="preserve">ل المُستقبلي، وأظهر أنه يمكن التنبؤ بنسبة نجاح </w:t>
      </w:r>
      <w:r w:rsidR="0099536C">
        <w:rPr>
          <w:rFonts w:hint="cs"/>
          <w:rtl/>
        </w:rPr>
        <w:t>71%</w:t>
      </w:r>
      <w:r w:rsidRPr="00BD1D9E" w:rsidR="0099536C">
        <w:rPr>
          <w:rtl/>
          <w:lang w:bidi="ar"/>
        </w:rPr>
        <w:t xml:space="preserve"> إذا كان مصير طالب في الصف الثامن سيكون التعطّل في جيل 19-20. مثلًا، الاحتمال الأعلى للوقوع في حالة التعطّل هي عند طالب مدرسة بدوي يتعلم في مدرسة مستوى عُشرها التطويري أعلى من 8.8، والدخل السنوي لأبيه أقل من 13,088 </w:t>
      </w:r>
      <w:r w:rsidRPr="00BD1D9E" w:rsidR="0099536C">
        <w:rPr>
          <w:rtl/>
          <w:lang w:bidi="ar"/>
        </w:rPr>
        <w:t>ش.ج</w:t>
      </w:r>
      <w:r w:rsidRPr="00BD1D9E" w:rsidR="0099536C">
        <w:rPr>
          <w:rtl/>
          <w:lang w:bidi="ar"/>
        </w:rPr>
        <w:t>، والتنبؤ للاحتمال الأصغر للوقوع في حالة التعطّل هو للطالب الدرزي الذي يتعلم في مدرسة مستوى عُشرها التطويري أقل من 7.</w:t>
      </w:r>
      <w:r w:rsidR="0099536C">
        <w:rPr>
          <w:rFonts w:hint="cs"/>
          <w:rtl/>
        </w:rPr>
        <w:t>7</w:t>
      </w:r>
      <w:r w:rsidRPr="0093709F">
        <w:rPr>
          <w:rFonts w:hint="cs"/>
          <w:rtl/>
        </w:rPr>
        <w:t xml:space="preserve">. </w:t>
      </w:r>
    </w:p>
    <w:p w:rsidR="00420374" w:rsidRPr="0093709F" w:rsidP="00DA022A" w14:paraId="7C081EA1" w14:textId="1213201F">
      <w:pPr>
        <w:pStyle w:val="7392"/>
        <w:ind w:left="424"/>
      </w:pPr>
      <w:r w:rsidRPr="0099536C">
        <w:rPr>
          <w:rFonts w:hint="cs"/>
          <w:b/>
          <w:bCs/>
          <w:noProof/>
          <w:rtl/>
        </w:rPr>
        <w:drawing>
          <wp:anchor distT="0" distB="720090" distL="114300" distR="114300" simplePos="0" relativeHeight="25169100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9536C" w:rsidR="0099536C">
        <w:rPr>
          <w:rFonts w:hint="cs"/>
          <w:b/>
          <w:bCs/>
          <w:rtl/>
          <w:lang w:bidi="ar"/>
        </w:rPr>
        <w:t>مؤشرات التعطّل في مراحل التعليم</w:t>
      </w:r>
      <w:r w:rsidR="0099536C">
        <w:rPr>
          <w:rFonts w:hint="cs"/>
          <w:rtl/>
        </w:rPr>
        <w:t xml:space="preserve"> </w:t>
      </w:r>
      <w:r w:rsidRPr="00BD1D9E" w:rsidR="0099536C">
        <w:rPr>
          <w:rFonts w:hint="cs"/>
          <w:rtl/>
          <w:lang w:bidi="ar"/>
        </w:rPr>
        <w:t xml:space="preserve">- تبين بالنسبة للشابات العربيات، أنه للحضور في الصف الثاني عشر وللتعليم في مسار للبجروت توجد علاقة مُثبتة مع امكانية تقليل احتمال وقوع الشابة العربية في حالة تعطل إذا لم تختر مسار التعليم العالي؛ في المقابل، لا توجد علاقة مُثبتة بين البجروت الموسّع في الرياضيات وبين التعطل. </w:t>
      </w:r>
      <w:r w:rsidRPr="00BD1D9E" w:rsidR="0099536C">
        <w:rPr>
          <w:rtl/>
          <w:lang w:bidi="ar"/>
        </w:rPr>
        <w:t>في المقابل، بالنسبة للرجال الذين لم يختاروا مسار تعليم فوق ثانوي، تبين وجود علاقة مُثبتة بين مُعطى الحضور في الصف الثاني عشر ومسار التعليم للبجروت وبين احتمال الوقوع في حالة تعطل بالمستقبل. بل وأن وجود بجرو</w:t>
      </w:r>
      <w:r w:rsidRPr="00BD1D9E" w:rsidR="0099536C">
        <w:rPr>
          <w:rFonts w:hint="cs"/>
          <w:rtl/>
          <w:lang w:bidi="ar"/>
        </w:rPr>
        <w:t>ت</w:t>
      </w:r>
      <w:r w:rsidRPr="00BD1D9E" w:rsidR="0099536C">
        <w:rPr>
          <w:rtl/>
          <w:lang w:bidi="ar"/>
        </w:rPr>
        <w:t xml:space="preserve"> موسّع في الرياضيات، اللغة الانجليزية واللغة العبرية وامتحان </w:t>
      </w:r>
      <w:r w:rsidRPr="00BD1D9E" w:rsidR="0099536C">
        <w:rPr>
          <w:rtl/>
          <w:lang w:bidi="ar"/>
        </w:rPr>
        <w:t>البسيخومتري</w:t>
      </w:r>
      <w:r w:rsidRPr="00BD1D9E" w:rsidR="0099536C">
        <w:rPr>
          <w:rtl/>
          <w:lang w:bidi="ar"/>
        </w:rPr>
        <w:t xml:space="preserve"> يرتبط بشكل مُثبت مع ارتفاع احتمال الوقوع في حالة تعطّل. تبين أن جهود وزارة التربية والتعليم لرفع نسبة مستحقي البجروت ولزيادة عدد وحدات التعليم التي يتم تعلّمها، ليس فقط لا تُساهم، إنما قد تؤدي إلى زيادة احتمال وقوع الشباب العرب الذين لا يتابعون الدارسة فوق الثانوية في خطر التعطّل</w:t>
      </w:r>
      <w:r w:rsidRPr="0093709F">
        <w:rPr>
          <w:rFonts w:hint="cs"/>
          <w:rtl/>
        </w:rPr>
        <w:t xml:space="preserve">. </w:t>
      </w:r>
    </w:p>
    <w:p w:rsidR="00420374" w:rsidRPr="0093709F" w:rsidP="00DA022A" w14:paraId="5E8BF229" w14:textId="51E130E3">
      <w:pPr>
        <w:pStyle w:val="7392"/>
        <w:ind w:left="424"/>
        <w:rPr>
          <w:rtl/>
        </w:rPr>
      </w:pPr>
      <w:r w:rsidRPr="0099536C">
        <w:rPr>
          <w:rFonts w:hint="cs"/>
          <w:b/>
          <w:bCs/>
          <w:noProof/>
          <w:rtl/>
        </w:rPr>
        <w:drawing>
          <wp:anchor distT="0" distB="720090" distL="114300" distR="114300" simplePos="0" relativeHeight="251692032"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9536C" w:rsidR="0099536C">
        <w:rPr>
          <w:b/>
          <w:bCs/>
          <w:rtl/>
          <w:lang w:bidi="ar"/>
        </w:rPr>
        <w:t>مسار تعليم لشهادة تقني خلال الثانوية</w:t>
      </w:r>
      <w:r w:rsidRPr="00BD1D9E" w:rsidR="0099536C">
        <w:rPr>
          <w:rtl/>
          <w:lang w:bidi="ar"/>
        </w:rPr>
        <w:t xml:space="preserve"> - تبين أن مسار التعليم لشهادة تقني الذي تُشغ</w:t>
      </w:r>
      <w:r w:rsidRPr="00BD1D9E" w:rsidR="0099536C">
        <w:rPr>
          <w:rFonts w:hint="cs"/>
          <w:rtl/>
          <w:lang w:bidi="ar"/>
        </w:rPr>
        <w:t>ّ</w:t>
      </w:r>
      <w:r w:rsidRPr="00BD1D9E" w:rsidR="0099536C">
        <w:rPr>
          <w:rtl/>
          <w:lang w:bidi="ar"/>
        </w:rPr>
        <w:t xml:space="preserve">له وزارة التربية والتعليم خلال الثانوية يُقلل احتمالية التعطّل بين الشباب الرجال العرب الذي لا يتعلمون ما بعد الثانوية. من مجموعة الشباب العرب الذين تم فحصهم، والبالغ عددهم قرابة 130,000 شاب وشابة، عدد الطلاب الحاصلين على شهادة تقني كان 3,268 طالب فقط، أي نحو </w:t>
      </w:r>
      <w:r w:rsidR="0033416A">
        <w:rPr>
          <w:rFonts w:hint="cs"/>
          <w:rtl/>
        </w:rPr>
        <w:t>2.5%</w:t>
      </w:r>
      <w:r w:rsidRPr="00BD1D9E" w:rsidR="0099536C">
        <w:rPr>
          <w:rtl/>
          <w:lang w:bidi="ar"/>
        </w:rPr>
        <w:t xml:space="preserve"> من مجموعة الشباب المفحوصة</w:t>
      </w:r>
      <w:r w:rsidRPr="0093709F">
        <w:rPr>
          <w:rFonts w:hint="cs"/>
          <w:rtl/>
        </w:rPr>
        <w:t>.</w:t>
      </w:r>
    </w:p>
    <w:p w:rsidR="00420374" w:rsidP="00DA022A" w14:paraId="39D5E97C" w14:textId="07A49210">
      <w:pPr>
        <w:pStyle w:val="7392"/>
        <w:ind w:left="424"/>
        <w:rPr>
          <w:noProof/>
          <w:rtl/>
        </w:rPr>
      </w:pPr>
      <w:r w:rsidRPr="0099536C">
        <w:rPr>
          <w:rFonts w:hint="cs"/>
          <w:b/>
          <w:bCs/>
          <w:noProof/>
          <w:rtl/>
        </w:rPr>
        <w:drawing>
          <wp:anchor distT="0" distB="720090" distL="114300" distR="114300" simplePos="0" relativeHeight="251693056"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9536C" w:rsidR="0099536C">
        <w:rPr>
          <w:b/>
          <w:bCs/>
          <w:rtl/>
          <w:lang w:bidi="ar"/>
        </w:rPr>
        <w:t>التوجيه المهني لطلاب الثانوية في المجتمع العربي في إسرائيل</w:t>
      </w:r>
      <w:r w:rsidRPr="00BD1D9E" w:rsidR="0099536C">
        <w:rPr>
          <w:rtl/>
          <w:lang w:bidi="ar"/>
        </w:rPr>
        <w:t xml:space="preserve"> - تبين من الفحص أنه لا توجد في المجتمع العربي منظومة تحفيز للمعلمين تهدف إلى تشجيع الخريجين للاندماج في سوق العمل - إن كان من خلال المشاركة المبكرة في </w:t>
      </w:r>
      <w:r w:rsidRPr="00BD1D9E" w:rsidR="0099536C">
        <w:rPr>
          <w:rtl/>
          <w:lang w:bidi="ar"/>
        </w:rPr>
        <w:t>التأهيلات</w:t>
      </w:r>
      <w:r w:rsidRPr="00BD1D9E" w:rsidR="0099536C">
        <w:rPr>
          <w:rtl/>
          <w:lang w:bidi="ar"/>
        </w:rPr>
        <w:t xml:space="preserve"> المهنية أو من خلال الاندماج المباشر بعد انتهاء التعليم.  منظومة تحفيز المُعلمين </w:t>
      </w:r>
      <w:r w:rsidRPr="00BD1D9E" w:rsidR="0099536C">
        <w:rPr>
          <w:rFonts w:hint="cs"/>
          <w:rtl/>
          <w:lang w:bidi="ar"/>
        </w:rPr>
        <w:t>الموجودة</w:t>
      </w:r>
      <w:r w:rsidRPr="00BD1D9E" w:rsidR="0099536C">
        <w:rPr>
          <w:rtl/>
          <w:lang w:bidi="ar"/>
        </w:rPr>
        <w:t xml:space="preserve"> حالي</w:t>
      </w:r>
      <w:r w:rsidRPr="00BD1D9E" w:rsidR="0099536C">
        <w:rPr>
          <w:rFonts w:hint="cs"/>
          <w:rtl/>
          <w:lang w:bidi="ar"/>
        </w:rPr>
        <w:t>ً</w:t>
      </w:r>
      <w:r w:rsidRPr="00BD1D9E" w:rsidR="0099536C">
        <w:rPr>
          <w:rtl/>
          <w:lang w:bidi="ar"/>
        </w:rPr>
        <w:t xml:space="preserve">ا لا تستجيب لاحتياجات المجتمع العربي لأنها مبنية على </w:t>
      </w:r>
      <w:r w:rsidRPr="00BD1D9E" w:rsidR="0099536C">
        <w:rPr>
          <w:rFonts w:hint="cs"/>
          <w:rtl/>
          <w:lang w:bidi="ar"/>
        </w:rPr>
        <w:t>مبدأ</w:t>
      </w:r>
      <w:r w:rsidRPr="00BD1D9E" w:rsidR="0099536C">
        <w:rPr>
          <w:rtl/>
          <w:lang w:bidi="ar"/>
        </w:rPr>
        <w:t xml:space="preserve"> تقديم الخدمة للدولة من خلال التجنّيد للجيش والتطوع في الخدمة الوطنية - المدنية، ولهذه القيمة أهمية كبيرة في المجتمع اليهودي على وجه الخصوص. تبين أيضا أن برامج وزارة التربية والتعليم لا تستجيب بشكل ملائم للحاجة للتوجيه المهني، وبأن الوزارة ليس لديها أي برنامج مُنظّم للتوجيه المهني عالي الجودة. تبين أيضا أن الوزارة لا تُلزم المدارس في جهاز التعليم العربي </w:t>
      </w:r>
      <w:r w:rsidRPr="00BD1D9E" w:rsidR="0099536C">
        <w:rPr>
          <w:rFonts w:hint="cs"/>
          <w:rtl/>
          <w:lang w:bidi="ar"/>
        </w:rPr>
        <w:t>ب</w:t>
      </w:r>
      <w:r w:rsidRPr="00BD1D9E" w:rsidR="0099536C">
        <w:rPr>
          <w:rtl/>
          <w:lang w:bidi="ar"/>
        </w:rPr>
        <w:t xml:space="preserve">تطبيق برنامج التعليم من أجل بناء مسيرة مهنية، وبأن تطبيق البرنامج منوط باعتبارات إدارة المدرسة وبتعاونها. بالإضافة إلى ذلك، فإن التعريف بسوق العمل والتوجيه المهني ليس ضمن مسؤوليات المُستشارات التربويات. خلال عملية مشاركة الجمهور التي نفذها طاقم </w:t>
      </w:r>
      <w:r w:rsidRPr="00BD1D9E" w:rsidR="0099536C">
        <w:rPr>
          <w:rFonts w:hint="cs"/>
          <w:rtl/>
          <w:lang w:bidi="ar"/>
        </w:rPr>
        <w:t>الرقابة</w:t>
      </w:r>
      <w:r w:rsidRPr="00BD1D9E" w:rsidR="0099536C">
        <w:rPr>
          <w:rtl/>
          <w:lang w:bidi="ar"/>
        </w:rPr>
        <w:t xml:space="preserve"> مع المستشارات التربويات في الثانويات العربية في الشمال وفي الثانويات البدوية في الجنوب، تبين أن الروتين اليومي للمُستشارات يتميز بانشغالهن في معالجة حالات الطوارئ</w:t>
      </w:r>
      <w:r w:rsidRPr="00BD1D9E" w:rsidR="0099536C">
        <w:rPr>
          <w:rFonts w:hint="cs"/>
          <w:rtl/>
          <w:lang w:bidi="ar"/>
        </w:rPr>
        <w:t>،</w:t>
      </w:r>
      <w:r w:rsidRPr="00BD1D9E" w:rsidR="0099536C">
        <w:rPr>
          <w:rtl/>
          <w:lang w:bidi="ar"/>
        </w:rPr>
        <w:t xml:space="preserve"> بالإضافة إلى ضغط المهام اليومية والمستعجلة، ولهذا لا يتسنى لهنّ تخصيص الوقت لموضوع التوجيه المهني للطلاب. وتبين أيضًا بأن البرامج للتوجيه المهني التي يُشغلها مجلس </w:t>
      </w:r>
      <w:r w:rsidRPr="00BD1D9E" w:rsidR="0099536C">
        <w:rPr>
          <w:rtl/>
          <w:lang w:bidi="ar"/>
        </w:rPr>
        <w:t xml:space="preserve">التعليم العالي، وعلى رأسها برنامج </w:t>
      </w:r>
      <w:r w:rsidRPr="00BD1D9E" w:rsidR="0099536C">
        <w:rPr>
          <w:rFonts w:hint="cs"/>
          <w:rtl/>
          <w:lang w:bidi="ar"/>
        </w:rPr>
        <w:t>"</w:t>
      </w:r>
      <w:r w:rsidRPr="00BD1D9E" w:rsidR="0099536C">
        <w:rPr>
          <w:rtl/>
          <w:lang w:bidi="ar"/>
        </w:rPr>
        <w:t>الر</w:t>
      </w:r>
      <w:r w:rsidRPr="00BD1D9E" w:rsidR="0099536C">
        <w:rPr>
          <w:rFonts w:hint="cs"/>
          <w:rtl/>
          <w:lang w:bidi="ar"/>
        </w:rPr>
        <w:t>ُ</w:t>
      </w:r>
      <w:r w:rsidRPr="00BD1D9E" w:rsidR="0099536C">
        <w:rPr>
          <w:rtl/>
          <w:lang w:bidi="ar"/>
        </w:rPr>
        <w:t>واد</w:t>
      </w:r>
      <w:r w:rsidRPr="00BD1D9E" w:rsidR="0099536C">
        <w:rPr>
          <w:rFonts w:hint="cs"/>
          <w:rtl/>
          <w:lang w:bidi="ar"/>
        </w:rPr>
        <w:t>"</w:t>
      </w:r>
      <w:r w:rsidRPr="00BD1D9E" w:rsidR="0099536C">
        <w:rPr>
          <w:rtl/>
          <w:lang w:bidi="ar"/>
        </w:rPr>
        <w:t xml:space="preserve"> الذي ينشط في الثانويات التي يتعلم فيها </w:t>
      </w:r>
      <w:r w:rsidR="0099536C">
        <w:rPr>
          <w:rFonts w:hint="cs"/>
          <w:rtl/>
        </w:rPr>
        <w:t>62</w:t>
      </w:r>
      <w:r w:rsidR="00A50A87">
        <w:rPr>
          <w:rFonts w:hint="cs"/>
          <w:rtl/>
        </w:rPr>
        <w:t>%</w:t>
      </w:r>
      <w:r w:rsidRPr="00BD1D9E" w:rsidR="0099536C">
        <w:rPr>
          <w:rtl/>
          <w:lang w:bidi="ar"/>
        </w:rPr>
        <w:t xml:space="preserve"> على الأقل من طلاب الثانوية العرب، يوجه طلاب الثانوية العرب المتفوقين للدراسة الأكاديمية. لكن وزارة التربية والتعليم لم توفر الحل </w:t>
      </w:r>
      <w:r w:rsidRPr="00BD1D9E" w:rsidR="0099536C">
        <w:rPr>
          <w:rtl/>
          <w:lang w:bidi="ar"/>
        </w:rPr>
        <w:t>الملائم  لبقية</w:t>
      </w:r>
      <w:r w:rsidRPr="00BD1D9E" w:rsidR="0099536C">
        <w:rPr>
          <w:rtl/>
          <w:lang w:bidi="ar"/>
        </w:rPr>
        <w:t xml:space="preserve"> الطلاب في المجتمع العربي الذين لا يرغبون بمواصلة التعليم الأكاديمي، إنما يرغبون بالانخراط في مسارات تأهيل مهني أخرى - تعليم للصف</w:t>
      </w:r>
      <w:r w:rsidRPr="00BD1D9E" w:rsidR="0099536C">
        <w:rPr>
          <w:rFonts w:hint="cs"/>
          <w:rtl/>
          <w:lang w:bidi="ar"/>
        </w:rPr>
        <w:t>ين</w:t>
      </w:r>
      <w:r w:rsidRPr="00BD1D9E" w:rsidR="0099536C">
        <w:rPr>
          <w:rtl/>
          <w:lang w:bidi="ar"/>
        </w:rPr>
        <w:t xml:space="preserve"> الثالث والرابع عشر، </w:t>
      </w:r>
      <w:r w:rsidRPr="00BD1D9E" w:rsidR="0099536C">
        <w:rPr>
          <w:rtl/>
          <w:lang w:bidi="ar"/>
        </w:rPr>
        <w:t>التأهيلات</w:t>
      </w:r>
      <w:r w:rsidRPr="00BD1D9E" w:rsidR="0099536C">
        <w:rPr>
          <w:rtl/>
          <w:lang w:bidi="ar"/>
        </w:rPr>
        <w:t xml:space="preserve"> الحكومية (مثل تأهيل الهندسيين والفنيين من خلال المعهد الحكومي للتأهيل التكنولوجي) أو برامج التأهيل الخاصة. ومع عدم وجود خطة مُنظمة </w:t>
      </w:r>
      <w:r w:rsidRPr="00BD1D9E" w:rsidR="0099536C">
        <w:rPr>
          <w:rFonts w:hint="cs"/>
          <w:rtl/>
          <w:lang w:bidi="ar"/>
        </w:rPr>
        <w:t>يتفاقم</w:t>
      </w:r>
      <w:r w:rsidRPr="00BD1D9E" w:rsidR="0099536C">
        <w:rPr>
          <w:rtl/>
          <w:lang w:bidi="ar"/>
        </w:rPr>
        <w:t xml:space="preserve"> خطر وقوع الشاب العربي الذي لا يجد طريقه بعد انهاء الثانوية للوقوع في حالة التعطّل</w:t>
      </w:r>
      <w:r w:rsidRPr="0093709F">
        <w:rPr>
          <w:rFonts w:hint="cs"/>
          <w:rtl/>
        </w:rPr>
        <w:t xml:space="preserve">. </w:t>
      </w:r>
    </w:p>
    <w:p w:rsidR="0099536C" w:rsidRPr="0093709F" w:rsidP="0099536C" w14:paraId="338D14A6" w14:textId="2BE7D66D">
      <w:pPr>
        <w:pStyle w:val="7392"/>
        <w:ind w:left="424"/>
      </w:pPr>
      <w:r w:rsidRPr="0099536C">
        <w:rPr>
          <w:rFonts w:hint="cs"/>
          <w:b/>
          <w:bCs/>
          <w:noProof/>
          <w:rtl/>
        </w:rPr>
        <w:drawing>
          <wp:anchor distT="0" distB="720090" distL="114300" distR="114300" simplePos="0" relativeHeight="25170022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315105110" name="תמונה 131510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0511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9536C">
        <w:rPr>
          <w:b/>
          <w:bCs/>
          <w:rtl/>
          <w:lang w:bidi="ar"/>
        </w:rPr>
        <w:t>تعليم اللغة العبرية في جهاز التعليم العربي</w:t>
      </w:r>
      <w:r w:rsidRPr="00BD1D9E">
        <w:rPr>
          <w:rtl/>
          <w:lang w:bidi="ar"/>
        </w:rPr>
        <w:t xml:space="preserve"> - تُشير نتائج الفحص إلى هذه الفجوات: البرنامج التعليمي "</w:t>
      </w:r>
      <w:r w:rsidRPr="00BD1D9E">
        <w:rPr>
          <w:rtl/>
          <w:lang w:bidi="ar"/>
        </w:rPr>
        <w:t>עברית</w:t>
      </w:r>
      <w:r w:rsidRPr="00BD1D9E">
        <w:rPr>
          <w:rtl/>
          <w:lang w:bidi="ar"/>
        </w:rPr>
        <w:t xml:space="preserve"> על </w:t>
      </w:r>
      <w:r w:rsidRPr="00BD1D9E">
        <w:rPr>
          <w:rtl/>
          <w:lang w:bidi="ar"/>
        </w:rPr>
        <w:t>הרצף</w:t>
      </w:r>
      <w:r w:rsidRPr="00BD1D9E">
        <w:rPr>
          <w:rtl/>
          <w:lang w:bidi="ar"/>
        </w:rPr>
        <w:t>" والذي يهدف إلى تقوية اللغة العبرية عند الطلاب العرب ليس برنامجا ناجحً</w:t>
      </w:r>
      <w:r w:rsidRPr="00BD1D9E">
        <w:rPr>
          <w:rFonts w:hint="cs"/>
          <w:rtl/>
          <w:lang w:bidi="ar"/>
        </w:rPr>
        <w:t>ا</w:t>
      </w:r>
      <w:r w:rsidRPr="00BD1D9E">
        <w:rPr>
          <w:rtl/>
          <w:lang w:bidi="ar"/>
        </w:rPr>
        <w:t xml:space="preserve">- في سنة 2018 حصل تراجع في الانجازات مقارنة بسنة 2016، أي قبل تفعيل البرنامج. تبين أيضًا أن نصف معلمي اللغة العبرية في جهاز التعليم العربي (نحو </w:t>
      </w:r>
      <w:r>
        <w:rPr>
          <w:rFonts w:hint="cs"/>
          <w:rtl/>
        </w:rPr>
        <w:t>50%</w:t>
      </w:r>
      <w:r w:rsidRPr="00BD1D9E">
        <w:rPr>
          <w:rtl/>
          <w:lang w:bidi="ar"/>
        </w:rPr>
        <w:t>) لا يحملون لقب أول في مجال المعرفة، والغالبية العظمى من المُرشحين لتعليم اللغة العبرية (</w:t>
      </w:r>
      <w:r>
        <w:rPr>
          <w:rFonts w:hint="cs"/>
          <w:rtl/>
        </w:rPr>
        <w:t>96%</w:t>
      </w:r>
      <w:r w:rsidRPr="00BD1D9E">
        <w:rPr>
          <w:rtl/>
          <w:lang w:bidi="ar"/>
        </w:rPr>
        <w:t>) لم ي</w:t>
      </w:r>
      <w:r w:rsidRPr="00BD1D9E">
        <w:rPr>
          <w:rFonts w:hint="cs"/>
          <w:rtl/>
          <w:lang w:bidi="ar"/>
        </w:rPr>
        <w:t>ت</w:t>
      </w:r>
      <w:r w:rsidRPr="00BD1D9E">
        <w:rPr>
          <w:rtl/>
          <w:lang w:bidi="ar"/>
        </w:rPr>
        <w:t xml:space="preserve">قدموا </w:t>
      </w:r>
      <w:r w:rsidRPr="00BD1D9E">
        <w:rPr>
          <w:rFonts w:hint="cs"/>
          <w:rtl/>
          <w:lang w:bidi="ar"/>
        </w:rPr>
        <w:t>ل</w:t>
      </w:r>
      <w:r w:rsidRPr="00BD1D9E">
        <w:rPr>
          <w:rtl/>
          <w:lang w:bidi="ar"/>
        </w:rPr>
        <w:t>امتحان التمكّن من اللغة العبرية؛ وبأن وزارة التربية والتعليم لا تجمع ولا تُحلل معطيات مستوى العبرية عند الطلاب العرب بصورة منهجية ولجميع الشرائح العمرية، ولهذا لا تتوفر صورة دقيقة للوضع لفهم وتحليل الفجوات في معرفة هذه اللغة</w:t>
      </w:r>
      <w:r w:rsidRPr="0093709F">
        <w:rPr>
          <w:rFonts w:hint="cs"/>
          <w:rtl/>
        </w:rPr>
        <w:t xml:space="preserve">. </w:t>
      </w:r>
    </w:p>
    <w:p w:rsidR="0099536C" w:rsidRPr="0093709F" w:rsidP="0099536C" w14:paraId="1A0F9B14" w14:textId="41E95019">
      <w:pPr>
        <w:pStyle w:val="7392"/>
        <w:ind w:left="424"/>
      </w:pPr>
      <w:r w:rsidRPr="0099536C">
        <w:rPr>
          <w:rFonts w:hint="cs"/>
          <w:b/>
          <w:bCs/>
          <w:noProof/>
          <w:rtl/>
        </w:rPr>
        <w:drawing>
          <wp:anchor distT="0" distB="720090" distL="114300" distR="114300" simplePos="0" relativeHeight="25170124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035317091" name="תמונה 1035317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1709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9536C">
        <w:rPr>
          <w:b/>
          <w:bCs/>
          <w:rtl/>
          <w:lang w:bidi="ar"/>
        </w:rPr>
        <w:t>الاستجابة لاحتياجات طلاب جهاز التعليم البدوي في النقب</w:t>
      </w:r>
      <w:r>
        <w:rPr>
          <w:rFonts w:hint="cs"/>
          <w:rtl/>
        </w:rPr>
        <w:t xml:space="preserve"> </w:t>
      </w:r>
      <w:r w:rsidRPr="00BD1D9E">
        <w:rPr>
          <w:rtl/>
          <w:lang w:bidi="ar"/>
        </w:rPr>
        <w:t>- تبين أن نسبة التعطّل بين خريجي جهاز التعليم البدوي أكبر من أي فئة من فئات المجتمع العربي بالنسبة للشباب الرجال (</w:t>
      </w:r>
      <w:r w:rsidR="00A50A87">
        <w:rPr>
          <w:rFonts w:hint="cs"/>
          <w:rtl/>
        </w:rPr>
        <w:t>32.6%</w:t>
      </w:r>
      <w:r w:rsidRPr="00BD1D9E">
        <w:rPr>
          <w:rtl/>
          <w:lang w:bidi="ar"/>
        </w:rPr>
        <w:t xml:space="preserve"> قبل أزمة </w:t>
      </w:r>
      <w:r w:rsidRPr="00BD1D9E">
        <w:rPr>
          <w:rtl/>
          <w:lang w:bidi="ar"/>
        </w:rPr>
        <w:t>الكورونا</w:t>
      </w:r>
      <w:r w:rsidRPr="00BD1D9E">
        <w:rPr>
          <w:rtl/>
          <w:lang w:bidi="ar"/>
        </w:rPr>
        <w:t>) والشابات (</w:t>
      </w:r>
      <w:r>
        <w:rPr>
          <w:rFonts w:hint="cs"/>
          <w:rtl/>
        </w:rPr>
        <w:t>54.7%</w:t>
      </w:r>
      <w:r w:rsidRPr="00BD1D9E">
        <w:rPr>
          <w:rtl/>
          <w:lang w:bidi="ar"/>
        </w:rPr>
        <w:t xml:space="preserve"> قبل أزمة </w:t>
      </w:r>
      <w:r w:rsidRPr="00BD1D9E">
        <w:rPr>
          <w:rtl/>
          <w:lang w:bidi="ar"/>
        </w:rPr>
        <w:t>الكورونا</w:t>
      </w:r>
      <w:r w:rsidRPr="00BD1D9E">
        <w:rPr>
          <w:rtl/>
          <w:lang w:bidi="ar"/>
        </w:rPr>
        <w:t xml:space="preserve">). هناك ظاهرة أخرى خطيرة في المجتمع البدوي وهي تسرّب الطلاب من أطر التعليم. في السنة التعليمية (2019-2020) بلغت نسبة التسرب بين الطلاب البدو </w:t>
      </w:r>
      <w:r w:rsidR="0033416A">
        <w:rPr>
          <w:rFonts w:hint="cs"/>
          <w:rtl/>
        </w:rPr>
        <w:t>1.4%</w:t>
      </w:r>
      <w:r w:rsidRPr="00BD1D9E">
        <w:rPr>
          <w:rtl/>
          <w:lang w:bidi="ar"/>
        </w:rPr>
        <w:t xml:space="preserve">، مقارنة بـ </w:t>
      </w:r>
      <w:r>
        <w:rPr>
          <w:rFonts w:hint="cs"/>
          <w:rtl/>
        </w:rPr>
        <w:t>0.6%</w:t>
      </w:r>
      <w:r w:rsidR="00A50A87">
        <w:rPr>
          <w:rFonts w:hint="cs"/>
          <w:rtl/>
        </w:rPr>
        <w:t xml:space="preserve"> </w:t>
      </w:r>
      <w:r w:rsidRPr="00BD1D9E">
        <w:rPr>
          <w:rtl/>
          <w:lang w:bidi="ar"/>
        </w:rPr>
        <w:t xml:space="preserve">في المجتمع العربي بشكل عام. تبين أيضا أن التحصيل الدراسي للطلاب من المجتمع البدوي أقل من المعدل في المجتمع العربي، وهذا الأمر ينعكس مثلًا في نسبة الاستحقاق للبجروت (نحو </w:t>
      </w:r>
      <w:r>
        <w:rPr>
          <w:rFonts w:hint="cs"/>
          <w:rtl/>
        </w:rPr>
        <w:t>59%</w:t>
      </w:r>
      <w:r w:rsidRPr="00BD1D9E">
        <w:rPr>
          <w:rtl/>
          <w:lang w:bidi="ar"/>
        </w:rPr>
        <w:t xml:space="preserve"> مقارنة بـ </w:t>
      </w:r>
      <w:r w:rsidR="0033416A">
        <w:rPr>
          <w:rFonts w:hint="cs"/>
          <w:rtl/>
        </w:rPr>
        <w:t>67%</w:t>
      </w:r>
      <w:r w:rsidRPr="00BD1D9E">
        <w:rPr>
          <w:rtl/>
          <w:lang w:bidi="ar"/>
        </w:rPr>
        <w:t xml:space="preserve"> على التوالي). تبين أيضا أن </w:t>
      </w:r>
      <w:r w:rsidRPr="00BD1D9E">
        <w:rPr>
          <w:rFonts w:hint="cs"/>
          <w:rtl/>
          <w:lang w:bidi="ar"/>
        </w:rPr>
        <w:t>منصب</w:t>
      </w:r>
      <w:r w:rsidRPr="00BD1D9E">
        <w:rPr>
          <w:rtl/>
          <w:lang w:bidi="ar"/>
        </w:rPr>
        <w:t xml:space="preserve"> المسؤول عن جهاز التعليم البدوي</w:t>
      </w:r>
      <w:r w:rsidRPr="00BD1D9E">
        <w:rPr>
          <w:rFonts w:hint="cs"/>
          <w:rtl/>
          <w:lang w:bidi="ar"/>
        </w:rPr>
        <w:t xml:space="preserve"> في وزارة التربية والتعليم</w:t>
      </w:r>
      <w:r w:rsidRPr="00BD1D9E">
        <w:rPr>
          <w:rtl/>
          <w:lang w:bidi="ar"/>
        </w:rPr>
        <w:t xml:space="preserve"> ظل شاغرًا منذ شهر أغسطس 2020، بعد أن خرج المسؤول الأخير إلى التقاعد. ومنذ ذلك الحين لم تقم أي جهة مهنية في الوزارة بتولي مهمة إدارة هذا الجهاز بشكل كامل. يُذكر أن لواء الجنوب في وزارة التربية والتعليم أخذ على عاتق</w:t>
      </w:r>
      <w:r w:rsidRPr="00BD1D9E">
        <w:rPr>
          <w:rFonts w:hint="cs"/>
          <w:rtl/>
          <w:lang w:bidi="ar"/>
        </w:rPr>
        <w:t>ه</w:t>
      </w:r>
      <w:r w:rsidRPr="00BD1D9E">
        <w:rPr>
          <w:rtl/>
          <w:lang w:bidi="ar"/>
        </w:rPr>
        <w:t xml:space="preserve"> مسؤولية الاهتمام بجميع القضايا المتعلقة بجهاز التعليم البدوي في الجنوب، وأنه في شهر مايو 2022 تم تعيين مديرة جديدة لقسم التعليم العربي في وزارة التربية والتعليم تتبع للمديرية التربوية، وهي التي تُعالج كل الخطط الخمسية الخاصة بجهاز التعليم العربي، باستثناء الوسط الدرزي</w:t>
      </w:r>
      <w:r w:rsidRPr="0093709F">
        <w:rPr>
          <w:rFonts w:hint="cs"/>
          <w:rtl/>
        </w:rPr>
        <w:t xml:space="preserve">. </w:t>
      </w:r>
    </w:p>
    <w:p w:rsidR="0099536C" w:rsidRPr="0093709F" w:rsidP="0099536C" w14:paraId="0DD6D8C2" w14:textId="5E3CBB45">
      <w:pPr>
        <w:pStyle w:val="7392"/>
        <w:ind w:left="424"/>
      </w:pPr>
      <w:r w:rsidRPr="00A50A87">
        <w:rPr>
          <w:rFonts w:hint="cs"/>
          <w:b/>
          <w:bCs/>
          <w:noProof/>
          <w:rtl/>
        </w:rPr>
        <w:drawing>
          <wp:anchor distT="0" distB="720090" distL="114300" distR="114300" simplePos="0" relativeHeight="25170227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893829321" name="תמונה 89382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2932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50A87" w:rsidR="00A50A87">
        <w:rPr>
          <w:b/>
          <w:bCs/>
          <w:rtl/>
          <w:lang w:bidi="ar"/>
        </w:rPr>
        <w:t>البرامج الحكومية للسنة الانتقالية</w:t>
      </w:r>
      <w:r w:rsidRPr="00052E91" w:rsidR="00A50A87">
        <w:rPr>
          <w:rtl/>
          <w:lang w:bidi="ar"/>
        </w:rPr>
        <w:t xml:space="preserve"> - أحد الحلول التي تم بلورتها لصالح الشباب في المجتمع العربي والذين ليسوا منخرطين في أي إطار منتظم بعد إنهاء التعليم المدرسي</w:t>
      </w:r>
      <w:r w:rsidRPr="00052E91" w:rsidR="00A50A87">
        <w:rPr>
          <w:rFonts w:hint="cs"/>
          <w:rtl/>
          <w:lang w:bidi="ar"/>
        </w:rPr>
        <w:t>،</w:t>
      </w:r>
      <w:r w:rsidRPr="00052E91" w:rsidR="00A50A87">
        <w:rPr>
          <w:rtl/>
          <w:lang w:bidi="ar"/>
        </w:rPr>
        <w:t xml:space="preserve"> هو برنامج "السنة الانتقالية" (</w:t>
      </w:r>
      <w:r w:rsidRPr="00052E91" w:rsidR="00A50A87">
        <w:rPr>
          <w:lang w:bidi="ar"/>
        </w:rPr>
        <w:t>Gap Year</w:t>
      </w:r>
      <w:r w:rsidRPr="00052E91" w:rsidR="00A50A87">
        <w:rPr>
          <w:rtl/>
          <w:lang w:bidi="ar"/>
        </w:rPr>
        <w:t>). في إطار هذا البرنامج، ينخرط الشباب والشابات العرب قبل البدء بالتعليم الأكاديمي أو قبل دخولهم لسوق العمل في نشاطات تطوعية وأكاديمية وتشغيلية ويشاركون في برامج تعليم تثقيفية وقيمية. برنامج السنة الانتقالية التابع لسلطة الشباب في وزارة المساواة الاجتماعية</w:t>
      </w:r>
      <w:r w:rsidRPr="00052E91" w:rsidR="00A50A87">
        <w:rPr>
          <w:rFonts w:hint="cs"/>
          <w:rtl/>
          <w:lang w:bidi="ar"/>
        </w:rPr>
        <w:t>،</w:t>
      </w:r>
      <w:r w:rsidRPr="00052E91" w:rsidR="00A50A87">
        <w:rPr>
          <w:rtl/>
          <w:lang w:bidi="ar"/>
        </w:rPr>
        <w:t xml:space="preserve"> وبرنامج السنة الانتقالية التابع لجناح العمل</w:t>
      </w:r>
      <w:r w:rsidRPr="00052E91" w:rsidR="00A50A87">
        <w:rPr>
          <w:rFonts w:hint="cs"/>
          <w:rtl/>
          <w:lang w:bidi="ar"/>
        </w:rPr>
        <w:t>،</w:t>
      </w:r>
      <w:r w:rsidRPr="00052E91" w:rsidR="00A50A87">
        <w:rPr>
          <w:rtl/>
          <w:lang w:bidi="ar"/>
        </w:rPr>
        <w:t xml:space="preserve"> مُخصصان لاستيعاب ما لا يزيد عن </w:t>
      </w:r>
      <w:r w:rsidR="0033416A">
        <w:rPr>
          <w:rFonts w:hint="cs"/>
          <w:rtl/>
        </w:rPr>
        <w:t>3%</w:t>
      </w:r>
      <w:r w:rsidRPr="00052E91" w:rsidR="00A50A87">
        <w:rPr>
          <w:rtl/>
          <w:lang w:bidi="ar"/>
        </w:rPr>
        <w:t xml:space="preserve"> من إجمالي الشباب المتعطّل في جيل 18-24 في المجتمع العربي، والتكلفة السنوية من ميزانية الدولة لكل مشارك </w:t>
      </w:r>
      <w:r w:rsidRPr="00052E91" w:rsidR="00A50A87">
        <w:rPr>
          <w:rFonts w:hint="cs"/>
          <w:rtl/>
          <w:lang w:bidi="ar"/>
        </w:rPr>
        <w:t>تصل إلى</w:t>
      </w:r>
      <w:r w:rsidRPr="00052E91" w:rsidR="00A50A87">
        <w:rPr>
          <w:rtl/>
          <w:lang w:bidi="ar"/>
        </w:rPr>
        <w:t xml:space="preserve"> 25,000 ألف شاقل. هذه البرامج لا تستجيب لاحتياجات مجمل جمهور الشباب المتعطّل، وتكلفتها العالية تُعتبر عائق أمام توسيع </w:t>
      </w:r>
      <w:r w:rsidRPr="00052E91" w:rsidR="00A50A87">
        <w:rPr>
          <w:rFonts w:hint="cs"/>
          <w:rtl/>
          <w:lang w:bidi="ar"/>
        </w:rPr>
        <w:t>نطاقها</w:t>
      </w:r>
      <w:r w:rsidRPr="0093709F">
        <w:rPr>
          <w:rFonts w:hint="cs"/>
          <w:rtl/>
        </w:rPr>
        <w:t xml:space="preserve">. </w:t>
      </w:r>
    </w:p>
    <w:p w:rsidR="0099536C" w:rsidRPr="0093709F" w:rsidP="0099536C" w14:paraId="727D735F" w14:textId="2891DD36">
      <w:pPr>
        <w:pStyle w:val="7392"/>
        <w:ind w:left="424"/>
      </w:pPr>
      <w:r w:rsidRPr="00A50A87">
        <w:rPr>
          <w:rFonts w:hint="cs"/>
          <w:b/>
          <w:bCs/>
          <w:noProof/>
          <w:rtl/>
        </w:rPr>
        <w:drawing>
          <wp:anchor distT="0" distB="720090" distL="114300" distR="114300" simplePos="0" relativeHeight="25170329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807949045" name="תמונה 80794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4904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50A87" w:rsidR="00A50A87">
        <w:rPr>
          <w:b/>
          <w:bCs/>
          <w:rtl/>
          <w:lang w:bidi="ar"/>
        </w:rPr>
        <w:t>مراكز ريان للتوجيه الدراسي في المجتمع العربي</w:t>
      </w:r>
      <w:r w:rsidRPr="00052E91" w:rsidR="00A50A87">
        <w:rPr>
          <w:rtl/>
          <w:lang w:bidi="ar"/>
        </w:rPr>
        <w:t xml:space="preserve"> - في سنة 2012، وفي أعقاب قرارات حكومية تتعلق بالمجتمع العربي، أقام جناح العمل</w:t>
      </w:r>
      <w:r w:rsidRPr="00052E91" w:rsidR="00A50A87">
        <w:rPr>
          <w:rFonts w:hint="cs"/>
          <w:rtl/>
          <w:lang w:bidi="ar"/>
        </w:rPr>
        <w:t xml:space="preserve"> مشروع</w:t>
      </w:r>
      <w:r w:rsidRPr="00052E91" w:rsidR="00A50A87">
        <w:rPr>
          <w:rtl/>
          <w:lang w:bidi="ar"/>
        </w:rPr>
        <w:t xml:space="preserve"> </w:t>
      </w:r>
      <w:r w:rsidRPr="00052E91" w:rsidR="00A50A87">
        <w:rPr>
          <w:rFonts w:hint="cs"/>
          <w:rtl/>
          <w:lang w:bidi="ar"/>
        </w:rPr>
        <w:t>"</w:t>
      </w:r>
      <w:r w:rsidRPr="00052E91" w:rsidR="00A50A87">
        <w:rPr>
          <w:rtl/>
          <w:lang w:bidi="ar"/>
        </w:rPr>
        <w:t>مراكز ريان</w:t>
      </w:r>
      <w:r w:rsidRPr="00052E91" w:rsidR="00A50A87">
        <w:rPr>
          <w:rFonts w:hint="cs"/>
          <w:rtl/>
          <w:lang w:bidi="ar"/>
        </w:rPr>
        <w:t>"</w:t>
      </w:r>
      <w:r w:rsidRPr="00052E91" w:rsidR="00A50A87">
        <w:rPr>
          <w:rtl/>
          <w:lang w:bidi="ar"/>
        </w:rPr>
        <w:t xml:space="preserve">- مراكز للتوجيه المهني </w:t>
      </w:r>
      <w:r w:rsidRPr="00052E91" w:rsidR="00A50A87">
        <w:rPr>
          <w:rtl/>
          <w:lang w:bidi="ar"/>
        </w:rPr>
        <w:t>للمجتمع العربي والتي تُقدم التوجيه، التأهيل، التوظيف والمرافقة التشغيلية بدون أي مقابل للشباب والبالغين الأكاديميين</w:t>
      </w:r>
      <w:r w:rsidRPr="00052E91" w:rsidR="00A50A87">
        <w:rPr>
          <w:rFonts w:hint="cs"/>
          <w:rtl/>
          <w:lang w:bidi="ar"/>
        </w:rPr>
        <w:t>،</w:t>
      </w:r>
      <w:r w:rsidRPr="00052E91" w:rsidR="00A50A87">
        <w:rPr>
          <w:rtl/>
          <w:lang w:bidi="ar"/>
        </w:rPr>
        <w:t xml:space="preserve"> وايضا لمن ليس لديهم أي تأهيل أو تجربة مهنية. بحسب تحليل المعطيات التي قام بها مكتب مراقب الدولة، لم يظهر وجود أي تأثير مُثبت لمشاركة الشباب العرب (نساء ورجال) في مراكز ريان على وجودهم في حالة </w:t>
      </w:r>
      <w:r w:rsidRPr="00052E91" w:rsidR="00A50A87">
        <w:rPr>
          <w:rFonts w:hint="cs"/>
          <w:rtl/>
          <w:lang w:bidi="ar"/>
        </w:rPr>
        <w:t>ال</w:t>
      </w:r>
      <w:r w:rsidRPr="00052E91" w:rsidR="00A50A87">
        <w:rPr>
          <w:rtl/>
          <w:lang w:bidi="ar"/>
        </w:rPr>
        <w:t>تعط</w:t>
      </w:r>
      <w:r w:rsidRPr="00052E91" w:rsidR="00A50A87">
        <w:rPr>
          <w:rFonts w:hint="cs"/>
          <w:rtl/>
          <w:lang w:bidi="ar"/>
        </w:rPr>
        <w:t>ّ</w:t>
      </w:r>
      <w:r w:rsidRPr="00052E91" w:rsidR="00A50A87">
        <w:rPr>
          <w:rtl/>
          <w:lang w:bidi="ar"/>
        </w:rPr>
        <w:t xml:space="preserve">ل. في المقابل، تبين بعد فحص متغيرات أخرى- مثل التاريخ التشغيلي للشاب في سنة 2019، العمر، دخل الوالدين، </w:t>
      </w:r>
      <w:r w:rsidRPr="00052E91" w:rsidR="00A50A87">
        <w:rPr>
          <w:rtl/>
          <w:lang w:bidi="ar"/>
        </w:rPr>
        <w:t>الجندر</w:t>
      </w:r>
      <w:r w:rsidRPr="00052E91" w:rsidR="00A50A87">
        <w:rPr>
          <w:rtl/>
          <w:lang w:bidi="ar"/>
        </w:rPr>
        <w:t>، الانتماء الطائفي، ومميزات بلد المسكن (العنقود الاجتماعي - الاقتصادي) - أن لها تأثير مُ</w:t>
      </w:r>
      <w:r w:rsidRPr="00052E91" w:rsidR="00A50A87">
        <w:rPr>
          <w:rFonts w:hint="cs"/>
          <w:rtl/>
          <w:lang w:bidi="ar"/>
        </w:rPr>
        <w:t>ث</w:t>
      </w:r>
      <w:r w:rsidRPr="00052E91" w:rsidR="00A50A87">
        <w:rPr>
          <w:rtl/>
          <w:lang w:bidi="ar"/>
        </w:rPr>
        <w:t>بت على احتمالية الوقوع في حالة التعطّل</w:t>
      </w:r>
      <w:r w:rsidRPr="0093709F">
        <w:rPr>
          <w:rFonts w:hint="cs"/>
          <w:rtl/>
        </w:rPr>
        <w:t xml:space="preserve">. </w:t>
      </w:r>
    </w:p>
    <w:p w:rsidR="0099536C" w:rsidRPr="0093709F" w:rsidP="0099536C" w14:paraId="3A24C682" w14:textId="662CF8AF">
      <w:pPr>
        <w:pStyle w:val="7392"/>
        <w:ind w:left="424"/>
      </w:pPr>
      <w:r w:rsidRPr="00A50A87">
        <w:rPr>
          <w:rFonts w:hint="cs"/>
          <w:b/>
          <w:bCs/>
          <w:noProof/>
          <w:rtl/>
        </w:rPr>
        <w:drawing>
          <wp:anchor distT="0" distB="720090" distL="114300" distR="114300" simplePos="0" relativeHeight="25170432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44580773" name="תמונה 24458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8077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50A87" w:rsidR="00A50A87">
        <w:rPr>
          <w:b/>
          <w:bCs/>
          <w:rtl/>
          <w:lang w:bidi="ar"/>
        </w:rPr>
        <w:t>عوائق انخراط الشباب العرب في مؤسسات التعليم العالي</w:t>
      </w:r>
      <w:r w:rsidRPr="00052E91" w:rsidR="00A50A87">
        <w:rPr>
          <w:rtl/>
          <w:lang w:bidi="ar"/>
        </w:rPr>
        <w:t xml:space="preserve"> - في سنة 2018 تعلّم نحو 15,000 طالب جامعي عربي إسرائيلي خارج إسرائيل، منهم نحو 8,000 في مناطق السلطة الوطنية الفلسطينية.  يتعلم في الجامعة الأمريكية في جنين 6,215 طالب عربي إسرائيلي، أي أكثر من عددهم في</w:t>
      </w:r>
      <w:r w:rsidRPr="00052E91" w:rsidR="00A50A87">
        <w:rPr>
          <w:rFonts w:hint="cs"/>
          <w:rtl/>
          <w:lang w:bidi="ar"/>
        </w:rPr>
        <w:t xml:space="preserve"> أي</w:t>
      </w:r>
      <w:r w:rsidRPr="00052E91" w:rsidR="00A50A87">
        <w:rPr>
          <w:rtl/>
          <w:lang w:bidi="ar"/>
        </w:rPr>
        <w:t xml:space="preserve"> جامعة في إسرائيل. للمقارنة، في جامعة حيفا، والتي يدرس فيها أكبر عدد من الطلاب العرب في إسرائيل، يتعلم نحو 5,000 طالب عربي. تبين أن الشباب في المجتمع العربي، وخاصة الرجال، الذين خططوا لمواصلة تعليميهم الأكاديمي، لكن لم يفعلوا ذلك في إسرائيل، يكونون في حالة تعطل بنسبة أكبر من الشباب الذين لم ينووا مواصلة تعليمهم. تبين ايضا أن امتحان "</w:t>
      </w:r>
      <w:r w:rsidRPr="00052E91" w:rsidR="00A50A87">
        <w:rPr>
          <w:rtl/>
          <w:lang w:bidi="ar"/>
        </w:rPr>
        <w:t>ياعيل</w:t>
      </w:r>
      <w:r w:rsidRPr="00052E91" w:rsidR="00A50A87">
        <w:rPr>
          <w:rtl/>
          <w:lang w:bidi="ar"/>
        </w:rPr>
        <w:t xml:space="preserve">" (امتحان معرفة اللغة العبرية للقادمين الجدد)، والذي يُعتبر شرط أساسي للقبول للجامعات، يُشكّل عائقا للقبول للجامعات. ومن هنا، حصل نحو 6,600 شاب عربي على علامة أعلى من 500 في امتحان </w:t>
      </w:r>
      <w:r w:rsidRPr="00052E91" w:rsidR="00A50A87">
        <w:rPr>
          <w:rtl/>
          <w:lang w:bidi="ar"/>
        </w:rPr>
        <w:t>البسيخومتري</w:t>
      </w:r>
      <w:r w:rsidRPr="00052E91" w:rsidR="00A50A87">
        <w:rPr>
          <w:rtl/>
          <w:lang w:bidi="ar"/>
        </w:rPr>
        <w:t>، وأقل من علامة 90 في امتحان "</w:t>
      </w:r>
      <w:r w:rsidRPr="00052E91" w:rsidR="00A50A87">
        <w:rPr>
          <w:rtl/>
          <w:lang w:bidi="ar"/>
        </w:rPr>
        <w:t>ياعيل</w:t>
      </w:r>
      <w:r w:rsidRPr="00052E91" w:rsidR="00A50A87">
        <w:rPr>
          <w:rtl/>
          <w:lang w:bidi="ar"/>
        </w:rPr>
        <w:t>"، لهذا تُغلق في وجههم إمكانية الدخول للجامعات في إسرائيل</w:t>
      </w:r>
      <w:r w:rsidRPr="0093709F">
        <w:rPr>
          <w:rFonts w:hint="cs"/>
          <w:rtl/>
        </w:rPr>
        <w:t xml:space="preserve">. </w:t>
      </w:r>
    </w:p>
    <w:p w:rsidR="0099536C" w:rsidRPr="0099536C" w:rsidP="00756B28" w14:paraId="00861981" w14:textId="664D39F3">
      <w:pPr>
        <w:pStyle w:val="7392"/>
        <w:spacing w:after="0"/>
        <w:ind w:left="424"/>
        <w:rPr>
          <w:noProof/>
          <w:rtl/>
        </w:rPr>
      </w:pPr>
      <w:r w:rsidRPr="00B4206F">
        <w:rPr>
          <w:rStyle w:val="7371"/>
          <w:rFonts w:hint="cs"/>
          <w:noProof/>
          <w:rtl/>
        </w:rPr>
        <w:drawing>
          <wp:anchor distT="0" distB="0" distL="114300" distR="114300" simplePos="0" relativeHeight="251683840" behindDoc="0" locked="0" layoutInCell="1" allowOverlap="1">
            <wp:simplePos x="0" y="0"/>
            <wp:positionH relativeFrom="column">
              <wp:posOffset>2488565</wp:posOffset>
            </wp:positionH>
            <wp:positionV relativeFrom="paragraph">
              <wp:posOffset>242207</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p>
    <w:p w:rsidR="00420374" w:rsidP="00756B28" w14:paraId="4A9F3764" w14:textId="2A4E63C3">
      <w:pPr>
        <w:pStyle w:val="7392"/>
        <w:spacing w:before="180"/>
        <w:ind w:left="397"/>
        <w:rPr>
          <w:rtl/>
        </w:rPr>
      </w:pPr>
      <w:r w:rsidRPr="00A50A87">
        <w:rPr>
          <w:b/>
          <w:bCs/>
          <w:rtl/>
          <w:lang w:bidi="ar"/>
        </w:rPr>
        <w:t>تجربة جامعة حيفا لقبول طلاب غير ناطقين بالعبرية</w:t>
      </w:r>
      <w:r w:rsidRPr="00052E91">
        <w:rPr>
          <w:rtl/>
          <w:lang w:bidi="ar"/>
        </w:rPr>
        <w:t xml:space="preserve"> - يشيد مكتب مراقب الدولة بالتجربة التي قامت بها جامعة حيفا، والتي تشمل دورة تعلّم اللغة العبرية خلال التعليم كبديل لامتحان "</w:t>
      </w:r>
      <w:r w:rsidRPr="00052E91">
        <w:rPr>
          <w:rtl/>
          <w:lang w:bidi="ar"/>
        </w:rPr>
        <w:t>ياعيل</w:t>
      </w:r>
      <w:r w:rsidRPr="00052E91">
        <w:rPr>
          <w:rtl/>
          <w:lang w:bidi="ar"/>
        </w:rPr>
        <w:t>". هذا الأمر يخفف عائق اللغة العبرية ويزيد نسبة الطلاب العرب المقبولين للجامعة ويبقون فيها</w:t>
      </w:r>
      <w:r w:rsidRPr="00411396">
        <w:rPr>
          <w:rFonts w:hint="cs"/>
          <w:rtl/>
        </w:rPr>
        <w:t>.</w:t>
      </w:r>
    </w:p>
    <w:p w:rsidR="002753C7" w:rsidRPr="00662020" w:rsidP="00F6243B" w14:paraId="7C748CCB" w14:textId="2E51B065">
      <w:pPr>
        <w:pStyle w:val="7327"/>
        <w:spacing w:before="480" w:after="240"/>
        <w:rPr>
          <w:rtl/>
        </w:rPr>
      </w:pPr>
      <w:r w:rsidRPr="00A50A87">
        <w:rPr>
          <w:rtl/>
          <w:lang w:bidi="ar-SA"/>
        </w:rPr>
        <w:t>أهم توصيات تقرير الرقابة</w:t>
      </w:r>
      <w:r>
        <w:rPr>
          <w:rFonts w:hint="cs"/>
          <w:rtl/>
        </w:rPr>
        <w:t xml:space="preserve"> </w:t>
      </w:r>
    </w:p>
    <w:p w:rsidR="0093709F" w:rsidRPr="007C7D40" w:rsidP="007C7D40" w14:paraId="0466320B" w14:textId="7A5575A1">
      <w:pPr>
        <w:pStyle w:val="7317"/>
      </w:pPr>
      <w:r w:rsidRPr="00A50A87">
        <w:rPr>
          <w:rFonts w:hint="cs"/>
          <w:b/>
          <w:bCs/>
          <w:noProof/>
          <w:rtl/>
        </w:rPr>
        <w:drawing>
          <wp:anchor distT="0" distB="1440180" distL="107950" distR="114300" simplePos="0" relativeHeight="25169408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50A87" w:rsidR="00A50A87">
        <w:rPr>
          <w:b/>
          <w:bCs/>
          <w:rtl/>
          <w:lang w:bidi="ar"/>
        </w:rPr>
        <w:t>نوصي المؤسسات الحكومية ذات العلاقة - وزارة التربية والتعليم، جناح العمل، وزارة المساواة الاجتماعية، مجلس التعليم العالي، وزارة الرفاه، وزارة المالية، مصلحة خدمات الدولة وديوان رئيس الحكومة</w:t>
      </w:r>
      <w:r w:rsidRPr="00052E91" w:rsidR="00A50A87">
        <w:rPr>
          <w:rFonts w:hint="cs"/>
          <w:rtl/>
        </w:rPr>
        <w:t xml:space="preserve"> </w:t>
      </w:r>
      <w:r w:rsidRPr="00052E91" w:rsidR="00A50A87">
        <w:rPr>
          <w:rtl/>
          <w:lang w:bidi="ar"/>
        </w:rPr>
        <w:t>- بمواصلة العمل لمعالجة ظاهرة التعطّل بين الشباب العرب، وأن يدرسوا احتياجات هذا الجمهور، والعمل على صياغة برنامج مُفصل يأخذ بالحسبان كل مميزات هذه الظاهرة وأ</w:t>
      </w:r>
      <w:r w:rsidRPr="00052E91" w:rsidR="00A50A87">
        <w:rPr>
          <w:rFonts w:hint="cs"/>
          <w:rtl/>
          <w:lang w:bidi="ar"/>
        </w:rPr>
        <w:t>ن</w:t>
      </w:r>
      <w:r w:rsidRPr="00052E91" w:rsidR="00A50A87">
        <w:rPr>
          <w:rtl/>
          <w:lang w:bidi="ar"/>
        </w:rPr>
        <w:t xml:space="preserve"> ت</w:t>
      </w:r>
      <w:r w:rsidRPr="00052E91" w:rsidR="00A50A87">
        <w:rPr>
          <w:rFonts w:hint="cs"/>
          <w:rtl/>
          <w:lang w:bidi="ar"/>
        </w:rPr>
        <w:t>ُ</w:t>
      </w:r>
      <w:r w:rsidRPr="00052E91" w:rsidR="00A50A87">
        <w:rPr>
          <w:rtl/>
          <w:lang w:bidi="ar"/>
        </w:rPr>
        <w:t xml:space="preserve">حدد أهدافًا قابلة للقياس من أجل تقليصها، وأن ترصد وتتابع مراحل تنفيذ البرامج </w:t>
      </w:r>
      <w:r w:rsidRPr="001E1CC8" w:rsidR="001E1CC8">
        <w:rPr>
          <w:rtl/>
          <w:lang w:bidi="ar"/>
        </w:rPr>
        <w:t>وتحقيق</w:t>
      </w:r>
      <w:r w:rsidR="001E1CC8">
        <w:rPr>
          <w:lang w:bidi="ar"/>
        </w:rPr>
        <w:t xml:space="preserve"> </w:t>
      </w:r>
      <w:r w:rsidRPr="00052E91" w:rsidR="00A50A87">
        <w:rPr>
          <w:rtl/>
          <w:lang w:bidi="ar"/>
        </w:rPr>
        <w:t>الأهداف. نوصي أيض</w:t>
      </w:r>
      <w:r w:rsidRPr="00052E91" w:rsidR="00A50A87">
        <w:rPr>
          <w:rFonts w:hint="cs"/>
          <w:rtl/>
          <w:lang w:bidi="ar"/>
        </w:rPr>
        <w:t>ً</w:t>
      </w:r>
      <w:r w:rsidRPr="00052E91" w:rsidR="00A50A87">
        <w:rPr>
          <w:rtl/>
          <w:lang w:bidi="ar"/>
        </w:rPr>
        <w:t xml:space="preserve">ا أن تتخذ الوزارات والمكاتب الحكومية ذات العلاقة قراراتها بناءً على تحليل </w:t>
      </w:r>
      <w:r w:rsidRPr="00052E91" w:rsidR="00A50A87">
        <w:rPr>
          <w:rFonts w:hint="cs"/>
          <w:rtl/>
          <w:lang w:bidi="ar"/>
        </w:rPr>
        <w:t>مُعمق</w:t>
      </w:r>
      <w:r w:rsidRPr="00052E91" w:rsidR="00A50A87">
        <w:rPr>
          <w:rtl/>
          <w:lang w:bidi="ar"/>
        </w:rPr>
        <w:t xml:space="preserve"> للمعطيات حول كل بلدة وكل مجتمع ومن خلال استخدام قاعدة بيانات موثوقة. وذلك من أجل الحصول على صورة كاملة وحقيقة لظاهرة التعطّل، من أجل تخصيص الموارد بالشكل الصحيح والناجع بين البلدات والمجتمعات المختلفة</w:t>
      </w:r>
      <w:r w:rsidRPr="007C7D40" w:rsidR="005D0F8C">
        <w:rPr>
          <w:rFonts w:hint="cs"/>
          <w:rtl/>
        </w:rPr>
        <w:t xml:space="preserve">. </w:t>
      </w:r>
    </w:p>
    <w:p w:rsidR="005D0F8C" w:rsidRPr="007C7D40" w:rsidP="007C7D40" w14:paraId="6C626C68" w14:textId="58E9A9A3">
      <w:pPr>
        <w:pStyle w:val="7317"/>
      </w:pPr>
      <w:r w:rsidRPr="007C7D40">
        <w:rPr>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52E91" w:rsidR="00A50A87">
        <w:rPr>
          <w:rFonts w:hint="cs"/>
          <w:rtl/>
          <w:lang w:bidi="ar"/>
        </w:rPr>
        <w:t>نوصي</w:t>
      </w:r>
      <w:r w:rsidRPr="00052E91" w:rsidR="00A50A87">
        <w:rPr>
          <w:rtl/>
          <w:lang w:bidi="ar"/>
        </w:rPr>
        <w:t xml:space="preserve"> أن تقوم وزارة الرفاه، بمشاركة وزارة المساواة الاجتماعية وجناح العمل، </w:t>
      </w:r>
      <w:r w:rsidRPr="00052E91" w:rsidR="00A50A87">
        <w:rPr>
          <w:rFonts w:hint="cs"/>
          <w:rtl/>
          <w:lang w:bidi="ar"/>
        </w:rPr>
        <w:t>بدراسة</w:t>
      </w:r>
      <w:r w:rsidRPr="00052E91" w:rsidR="00A50A87">
        <w:rPr>
          <w:rtl/>
          <w:lang w:bidi="ar"/>
        </w:rPr>
        <w:t xml:space="preserve">، في إطار البرامج المخصصة للمجتمع العربي والبدوي، إمكانية بلورة برنامج يتضمن تخصيص ميزانيات تفاضلية </w:t>
      </w:r>
      <w:r w:rsidRPr="00052E91" w:rsidR="00A50A87">
        <w:rPr>
          <w:rtl/>
          <w:lang w:bidi="ar"/>
        </w:rPr>
        <w:t>ومنح الأولوية لقضية الاستثمار في معالجة تحديات الشباب البدو وملاءمة الخطوات للمميزات والاحتياجات الخاصة بهذا الجمهور</w:t>
      </w:r>
      <w:r w:rsidRPr="007C7D40">
        <w:rPr>
          <w:rtl/>
        </w:rPr>
        <w:t xml:space="preserve">. </w:t>
      </w:r>
    </w:p>
    <w:p w:rsidR="005D0F8C" w:rsidRPr="007C7D40" w:rsidP="007C7D40" w14:paraId="16E5BFEE" w14:textId="02827BB6">
      <w:pPr>
        <w:pStyle w:val="7317"/>
        <w:rPr>
          <w:rtl/>
        </w:rPr>
      </w:pPr>
      <w:r w:rsidRPr="007C7D40">
        <w:rPr>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52E91" w:rsidR="00A50A87">
        <w:rPr>
          <w:rFonts w:hint="cs"/>
          <w:rtl/>
          <w:lang w:bidi="ar"/>
        </w:rPr>
        <w:t>نوصي</w:t>
      </w:r>
      <w:r w:rsidRPr="00052E91" w:rsidR="00A50A87">
        <w:rPr>
          <w:rtl/>
          <w:lang w:bidi="ar"/>
        </w:rPr>
        <w:t xml:space="preserve"> بأن تقوم وزارة التربية والتعليم ببلورة نموذج عمل لرصد وتشخيص الأطفال المُهددين بالوقوع في حالة التعطّل في جيل متقدم، وهذا أيضا سيختبر نموذج التنبؤ الذي تم تنفيذه في بريطانيا</w:t>
      </w:r>
      <w:r w:rsidRPr="007C7D40">
        <w:rPr>
          <w:rFonts w:hint="cs"/>
          <w:rtl/>
        </w:rPr>
        <w:t>.</w:t>
      </w:r>
    </w:p>
    <w:p w:rsidR="00706096" w:rsidRPr="007C7D40" w:rsidP="007C7D40" w14:paraId="3F6A2BE4" w14:textId="7AC59E21">
      <w:pPr>
        <w:pStyle w:val="7317"/>
        <w:rPr>
          <w:rtl/>
        </w:rPr>
      </w:pPr>
      <w:r w:rsidRPr="007C7D40">
        <w:rPr>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52E91" w:rsidR="00A50A87">
        <w:rPr>
          <w:rFonts w:hint="cs"/>
          <w:rtl/>
          <w:lang w:bidi="ar"/>
        </w:rPr>
        <w:t>نوصي</w:t>
      </w:r>
      <w:r w:rsidRPr="00052E91" w:rsidR="00A50A87">
        <w:rPr>
          <w:rtl/>
          <w:lang w:bidi="ar"/>
        </w:rPr>
        <w:t xml:space="preserve"> بأن تقوم وزارة التربية والتعليم بتحليل الأسباب التي تجعل مساعيها لرفع نسبة مُستحقي شهادة البجروت ولزيادة عدد وحدات التعليم عند الطلاب العرب الرجال الذين لم يواصلوا تعليمهم فوق الثانوي</w:t>
      </w:r>
      <w:r w:rsidRPr="00052E91" w:rsidR="00A50A87">
        <w:rPr>
          <w:rFonts w:hint="cs"/>
          <w:rtl/>
          <w:lang w:bidi="ar"/>
        </w:rPr>
        <w:t>،</w:t>
      </w:r>
      <w:r w:rsidRPr="00052E91" w:rsidR="00A50A87">
        <w:rPr>
          <w:rtl/>
          <w:lang w:bidi="ar"/>
        </w:rPr>
        <w:t xml:space="preserve"> لا تُساهم</w:t>
      </w:r>
      <w:r w:rsidRPr="00052E91" w:rsidR="00A50A87">
        <w:rPr>
          <w:rFonts w:hint="cs"/>
          <w:rtl/>
          <w:lang w:bidi="ar"/>
        </w:rPr>
        <w:t>،</w:t>
      </w:r>
      <w:r w:rsidRPr="00052E91" w:rsidR="00A50A87">
        <w:rPr>
          <w:rtl/>
          <w:lang w:bidi="ar"/>
        </w:rPr>
        <w:t xml:space="preserve"> بل تزيد احتمال وصول هؤلاء الشباب لحالة التعطّل. نوصي بشكل خاص </w:t>
      </w:r>
      <w:r w:rsidRPr="00052E91" w:rsidR="00A50A87">
        <w:rPr>
          <w:rFonts w:hint="cs"/>
          <w:rtl/>
          <w:lang w:bidi="ar"/>
        </w:rPr>
        <w:t>ب</w:t>
      </w:r>
      <w:r w:rsidRPr="00052E91" w:rsidR="00A50A87">
        <w:rPr>
          <w:rtl/>
          <w:lang w:bidi="ar"/>
        </w:rPr>
        <w:t>إعادة النظر بالحاجة لمواصلة التطوير الشخصي والإرشادي للشباب أصحاب شهادات البجروت المُوسعة والذين هم مُعرضون أكثر من غيرهم للوقوع في حالة التعطّل. يتوجب في هذا السياق أن يُبنى لهم مسار بديل مثل التأهيل المهني. نوصي أيضا أن تواصل وزارة التربية والتعليم جهودها لرفع نسبة الاستحقاق للبجروت ورفع جودته عند الطالبات العربيات، إذ تبين وجود علاقة إحصائية واضحة بين رفع نسبة الاستحقاق للبجروت وجودته وبين إمكانية تقليص ظاهرة التعطّل</w:t>
      </w:r>
      <w:r w:rsidRPr="007C7D40">
        <w:rPr>
          <w:rFonts w:hint="cs"/>
          <w:rtl/>
        </w:rPr>
        <w:t>.</w:t>
      </w:r>
    </w:p>
    <w:p w:rsidR="00706096" w:rsidRPr="007C7D40" w:rsidP="007C7D40" w14:paraId="36B4D251" w14:textId="7685E9FB">
      <w:pPr>
        <w:pStyle w:val="7317"/>
      </w:pPr>
      <w:r w:rsidRPr="007C7D40">
        <w:rPr>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52E91" w:rsidR="00A50A87">
        <w:rPr>
          <w:rtl/>
          <w:lang w:bidi="ar"/>
        </w:rPr>
        <w:t xml:space="preserve">نوصي أن تقوم وزارة التربية والتعليم بالتفكير بإمكانية زيادة عدد الشباب من المجتمع العربي في المسارات التي تمنح شهادة تقني، بالإضافة لشهادة البجروت، وأن </w:t>
      </w:r>
      <w:r w:rsidRPr="00052E91" w:rsidR="00A50A87">
        <w:rPr>
          <w:rFonts w:hint="cs"/>
          <w:rtl/>
          <w:lang w:bidi="ar"/>
        </w:rPr>
        <w:t>ت</w:t>
      </w:r>
      <w:r w:rsidRPr="00052E91" w:rsidR="00A50A87">
        <w:rPr>
          <w:rtl/>
          <w:lang w:bidi="ar"/>
        </w:rPr>
        <w:t>فحص إذا كانت هناك شهادات مهنية أخرى تُقلل احتمالية الوقوع في حالة تعطّل</w:t>
      </w:r>
      <w:r w:rsidRPr="007C7D40">
        <w:rPr>
          <w:rFonts w:hint="cs"/>
          <w:rtl/>
        </w:rPr>
        <w:t>.</w:t>
      </w:r>
    </w:p>
    <w:p w:rsidR="00706096" w:rsidP="007C7D40" w14:paraId="30F30DD7" w14:textId="23310197">
      <w:pPr>
        <w:pStyle w:val="7317"/>
        <w:rPr>
          <w:rtl/>
        </w:rPr>
      </w:pPr>
      <w:r w:rsidRPr="007C7D40">
        <w:rPr>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052E91" w:rsidR="00A50A87">
        <w:rPr>
          <w:rtl/>
          <w:lang w:bidi="ar"/>
        </w:rPr>
        <w:t>نوصي بأن تقوم وزارة التربية والتعليم ومجلس التعليم العالي ببلورة برنامج واضح ومكمّل للتوجيه المهني والتوجيه للتعليم الأكاديمي. يجب أن يشمل البرنامج مضامين تتعلق بدراسة سوق العمل</w:t>
      </w:r>
      <w:r w:rsidRPr="00052E91" w:rsidR="00A50A87">
        <w:rPr>
          <w:rFonts w:hint="cs"/>
          <w:rtl/>
          <w:lang w:bidi="ar-JO"/>
        </w:rPr>
        <w:t>،</w:t>
      </w:r>
      <w:r w:rsidRPr="00052E91" w:rsidR="00A50A87">
        <w:rPr>
          <w:rtl/>
          <w:lang w:bidi="ar"/>
        </w:rPr>
        <w:t xml:space="preserve"> المُتغيّر دومًا</w:t>
      </w:r>
      <w:r w:rsidRPr="00052E91" w:rsidR="00A50A87">
        <w:rPr>
          <w:rFonts w:hint="cs"/>
          <w:rtl/>
          <w:lang w:bidi="ar"/>
        </w:rPr>
        <w:t>،</w:t>
      </w:r>
      <w:r w:rsidRPr="00052E91" w:rsidR="00A50A87">
        <w:rPr>
          <w:rtl/>
          <w:lang w:bidi="ar"/>
        </w:rPr>
        <w:t xml:space="preserve"> والفرص الكامنة فيه، وأن يستجيب لاحتياجات كل طالب، وأن يشمل لقاءات مع مُشغلين وزيارات لمواقع عمل مُختارة، والتعرف على مسارات التعليم </w:t>
      </w:r>
      <w:r w:rsidRPr="00052E91" w:rsidR="00A50A87">
        <w:rPr>
          <w:rtl/>
          <w:lang w:bidi="ar"/>
        </w:rPr>
        <w:t>الاكاديمي</w:t>
      </w:r>
      <w:r w:rsidRPr="00052E91" w:rsidR="00A50A87">
        <w:rPr>
          <w:rtl/>
          <w:lang w:bidi="ar"/>
        </w:rPr>
        <w:t xml:space="preserve"> والفوق ثانوي، وعلى الكليات والمعاهد التكنولوجية ومؤسسات التأهيل المهني. وذلك من أجل منح الشباب العرب الأدوات الملائمة لمساعدتهم على تحقيق المساواة في الفرص وعلى الاندماج في المجتمع والاقتصاد. </w:t>
      </w:r>
      <w:r w:rsidRPr="00052E91" w:rsidR="00A50A87">
        <w:rPr>
          <w:rFonts w:hint="cs"/>
          <w:rtl/>
          <w:lang w:bidi="ar"/>
        </w:rPr>
        <w:t>و</w:t>
      </w:r>
      <w:r w:rsidRPr="00052E91" w:rsidR="00A50A87">
        <w:rPr>
          <w:rtl/>
          <w:lang w:bidi="ar"/>
        </w:rPr>
        <w:t>نوصي</w:t>
      </w:r>
      <w:r w:rsidRPr="00052E91" w:rsidR="00A50A87">
        <w:rPr>
          <w:rFonts w:hint="cs"/>
          <w:rtl/>
          <w:lang w:bidi="ar"/>
        </w:rPr>
        <w:t xml:space="preserve"> أيضا </w:t>
      </w:r>
      <w:r w:rsidRPr="00052E91" w:rsidR="00A50A87">
        <w:rPr>
          <w:rtl/>
          <w:lang w:bidi="ar"/>
        </w:rPr>
        <w:t xml:space="preserve">بأن </w:t>
      </w:r>
      <w:r w:rsidRPr="00052E91" w:rsidR="00A50A87">
        <w:rPr>
          <w:rFonts w:hint="cs"/>
          <w:rtl/>
          <w:lang w:bidi="ar"/>
        </w:rPr>
        <w:t xml:space="preserve">تُضيف </w:t>
      </w:r>
      <w:r w:rsidRPr="00052E91" w:rsidR="00A50A87">
        <w:rPr>
          <w:rtl/>
          <w:lang w:bidi="ar"/>
        </w:rPr>
        <w:t>وزارة التربية والتعليم لمؤشرات المكافآت للصفوف الثانوية في المجتمع العربي، في إطار منهاج التعليم القِيَمي- المجتمعي، مؤشر لقياس نسبة الخريجين الذين اندمجوا في سوق العمل، وفي برامج التأهيل المهني والتعليم العالي، بالإضافة إلى مؤشر الخدمة للدولة. إضافة هذا المُرك</w:t>
      </w:r>
      <w:r w:rsidRPr="00052E91" w:rsidR="00A50A87">
        <w:rPr>
          <w:rFonts w:hint="cs"/>
          <w:rtl/>
          <w:lang w:bidi="ar"/>
        </w:rPr>
        <w:t>ّ</w:t>
      </w:r>
      <w:r w:rsidRPr="00052E91" w:rsidR="00A50A87">
        <w:rPr>
          <w:rtl/>
          <w:lang w:bidi="ar"/>
        </w:rPr>
        <w:t xml:space="preserve">ب لمؤشرات المكافآت للصفوف الثانوية يُمكن أن </w:t>
      </w:r>
      <w:r w:rsidRPr="00052E91" w:rsidR="00A50A87">
        <w:rPr>
          <w:rFonts w:hint="cs"/>
          <w:rtl/>
          <w:lang w:bidi="ar"/>
        </w:rPr>
        <w:t>يُ</w:t>
      </w:r>
      <w:r w:rsidRPr="00052E91" w:rsidR="00A50A87">
        <w:rPr>
          <w:rtl/>
          <w:lang w:bidi="ar"/>
        </w:rPr>
        <w:t>ساهم في تشجيع وتحفيز الطواقم في المدارس في جهاز التربية العربي للتعامل مع التوجيه المهني ولملاءمة منهاج التعليم لموضوع بناء المسيرة المهنية</w:t>
      </w:r>
      <w:r w:rsidRPr="008E57FE">
        <w:rPr>
          <w:rFonts w:hint="cs"/>
          <w:rtl/>
        </w:rPr>
        <w:t>.</w:t>
      </w:r>
    </w:p>
    <w:p w:rsidR="00A50A87" w:rsidRPr="007C7D40" w:rsidP="00A50A87" w14:paraId="47DC8BB6" w14:textId="4760760C">
      <w:pPr>
        <w:pStyle w:val="7317"/>
      </w:pPr>
      <w:r w:rsidRPr="007C7D40">
        <w:rPr>
          <w:rFonts w:hint="cs"/>
          <w:noProof/>
          <w:rtl/>
        </w:rPr>
        <w:drawing>
          <wp:anchor distT="0" distB="1440180" distL="107950" distR="114300" simplePos="0" relativeHeight="251705344"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748664751" name="תמונה 74866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64751"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52E91">
        <w:rPr>
          <w:rtl/>
          <w:lang w:bidi="ar"/>
        </w:rPr>
        <w:t xml:space="preserve">نوصي بأن تعمل وزارة التربية والتعليم على تحسين جودة المُعلّمين الذين يُدرّسون </w:t>
      </w:r>
      <w:r w:rsidRPr="00052E91">
        <w:rPr>
          <w:rFonts w:hint="cs"/>
          <w:rtl/>
          <w:lang w:bidi="ar"/>
        </w:rPr>
        <w:t xml:space="preserve">اللغة </w:t>
      </w:r>
      <w:r w:rsidRPr="00052E91">
        <w:rPr>
          <w:rtl/>
          <w:lang w:bidi="ar"/>
        </w:rPr>
        <w:t xml:space="preserve">العبرية في جهاز التعليم العربي؛ وعلى وضع معايير وضوابط تضمن ملاءمة المُشتغلين في تعليم اللغة العبرية في المدارس العربية من أجل توفير أعلى مستوى من التعليم لتحسين </w:t>
      </w:r>
      <w:r w:rsidRPr="00052E91">
        <w:rPr>
          <w:rFonts w:hint="cs"/>
          <w:rtl/>
          <w:lang w:bidi="ar"/>
        </w:rPr>
        <w:t>معرفة</w:t>
      </w:r>
      <w:r w:rsidRPr="00052E91">
        <w:rPr>
          <w:rtl/>
          <w:lang w:bidi="ar"/>
        </w:rPr>
        <w:t xml:space="preserve"> الطلاب للغة العبرية؛ وأن يتم وضع هدف قابل للقياس لتحسين </w:t>
      </w:r>
      <w:r w:rsidRPr="00052E91">
        <w:rPr>
          <w:rFonts w:hint="cs"/>
          <w:rtl/>
          <w:lang w:bidi="ar"/>
        </w:rPr>
        <w:t>هذه المعرفة</w:t>
      </w:r>
      <w:r w:rsidRPr="00052E91">
        <w:rPr>
          <w:rtl/>
          <w:lang w:bidi="ar"/>
        </w:rPr>
        <w:t xml:space="preserve">؛ وأن </w:t>
      </w:r>
      <w:r w:rsidRPr="00052E91">
        <w:rPr>
          <w:rFonts w:hint="cs"/>
          <w:rtl/>
          <w:lang w:bidi="ar"/>
        </w:rPr>
        <w:t>تُحدد</w:t>
      </w:r>
      <w:r w:rsidRPr="00052E91">
        <w:rPr>
          <w:rtl/>
          <w:lang w:bidi="ar"/>
        </w:rPr>
        <w:t xml:space="preserve"> آلية رصد منهجية وموسعة حول معرفة اللغة العبرية بين الشباب العرب؛ وأن تُدر</w:t>
      </w:r>
      <w:r w:rsidRPr="00052E91">
        <w:rPr>
          <w:rFonts w:hint="cs"/>
          <w:rtl/>
          <w:lang w:bidi="ar"/>
        </w:rPr>
        <w:t>َ</w:t>
      </w:r>
      <w:r w:rsidRPr="00052E91">
        <w:rPr>
          <w:rtl/>
          <w:lang w:bidi="ar"/>
        </w:rPr>
        <w:t xml:space="preserve">س، بالتنسيق مع وزارة المالية، إمكانية تحفيز المعلمين الناطقين بالعبرية كلغة أم لتدريس </w:t>
      </w:r>
      <w:r w:rsidRPr="00052E91">
        <w:rPr>
          <w:rFonts w:hint="cs"/>
          <w:rtl/>
          <w:lang w:bidi="ar"/>
        </w:rPr>
        <w:t>العبرية للطلاب العرب</w:t>
      </w:r>
      <w:r w:rsidRPr="007C7D40">
        <w:rPr>
          <w:rFonts w:hint="cs"/>
          <w:rtl/>
        </w:rPr>
        <w:t>.</w:t>
      </w:r>
    </w:p>
    <w:p w:rsidR="00A50A87" w:rsidRPr="007C7D40" w:rsidP="00A50A87" w14:paraId="1D2CB20A" w14:textId="281EA7FD">
      <w:pPr>
        <w:pStyle w:val="7317"/>
      </w:pPr>
      <w:r w:rsidRPr="007C7D40">
        <w:rPr>
          <w:rFonts w:hint="cs"/>
          <w:noProof/>
          <w:rtl/>
        </w:rPr>
        <w:drawing>
          <wp:anchor distT="0" distB="1440180" distL="107950" distR="114300" simplePos="0" relativeHeight="251706368"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538171009" name="תמונה 153817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71009"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52E91">
        <w:rPr>
          <w:rtl/>
          <w:lang w:bidi="ar"/>
        </w:rPr>
        <w:t>على ضوء الاستثمار الحكومي الكبير في تشغيل وتوسيع مراكز ريان في المجتمع العربي؛ نوصي بأن يقوم جناح العمل بخطوات تكميلية لتوفير أفضل الحلول لهؤلاء الشباب، وأن يتم فحص تأثير هذه الحلول في تقليص ظاهرة التعطّل بينهم؛ وذلك على ضوء الاستثمارات المالية الحكومية التي بلغت 310 مليون شاقل للسنوات 2019 -2024 لتشغيل وتوسيع مراكز ريان. نوصي أن يتم فحص هذا التأثير بأساليب إحصائية متعارف عليها، وذلك بعد مرور فترة على تشغيل المراكز تسمح بتوسيع حجم قاعدة البيانات</w:t>
      </w:r>
      <w:r w:rsidRPr="007C7D40">
        <w:rPr>
          <w:rFonts w:hint="cs"/>
          <w:rtl/>
        </w:rPr>
        <w:t>.</w:t>
      </w:r>
    </w:p>
    <w:p w:rsidR="00A50A87" w:rsidRPr="007C7D40" w:rsidP="00A50A87" w14:paraId="6EA4E509" w14:textId="135D3869">
      <w:pPr>
        <w:pStyle w:val="7317"/>
      </w:pPr>
      <w:r w:rsidRPr="007C7D40">
        <w:rPr>
          <w:rFonts w:hint="cs"/>
          <w:noProof/>
          <w:rtl/>
        </w:rPr>
        <w:drawing>
          <wp:anchor distT="0" distB="1440180" distL="107950" distR="114300" simplePos="0" relativeHeight="25170739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730111377" name="תמונה 173011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111377"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052E91">
        <w:rPr>
          <w:rtl/>
          <w:lang w:bidi="ar"/>
        </w:rPr>
        <w:t>نتيجة التجربة التي تُطبقها جامعة حيفا تُبين ضرورة قيام مجلس التعليم العالي بتحفيز الجامعات على تنفيذ خطوات تزيد عدد الطلاب العرب، حتى وإن لم يستوفوا شروط الحد الأدنى لامتحان "</w:t>
      </w:r>
      <w:r w:rsidRPr="00052E91">
        <w:rPr>
          <w:rtl/>
          <w:lang w:bidi="ar"/>
        </w:rPr>
        <w:t>ياعيل</w:t>
      </w:r>
      <w:r w:rsidRPr="00052E91">
        <w:rPr>
          <w:rtl/>
          <w:lang w:bidi="ar"/>
        </w:rPr>
        <w:t>". نوصي أيضا أن تدر</w:t>
      </w:r>
      <w:r w:rsidRPr="00052E91">
        <w:rPr>
          <w:rFonts w:hint="cs"/>
          <w:rtl/>
          <w:lang w:bidi="ar"/>
        </w:rPr>
        <w:t>ُ</w:t>
      </w:r>
      <w:r w:rsidRPr="00052E91">
        <w:rPr>
          <w:rtl/>
          <w:lang w:bidi="ar"/>
        </w:rPr>
        <w:t>س جامعات وكلّيات أخرى إمكانية تطبيق التجربة التي بادرت إليها جامعة حيفا، أو ما يشبهها، بالنسبة لقبول الطلاب غير الناطقين بالعبرية كلغة أم. إلى جانب ذلك، نوصي مجلس التعليم العالي بتشجيع المؤسسات الأكاديمية لإطلاق دورة تحضيرية مخصصة لتعليم العبرية للطلاب العرب، وبمكافأتهم بحسب إنجازات الطلاب، بما في ذلك تحصيلهم في امتحان "</w:t>
      </w:r>
      <w:r w:rsidRPr="00052E91">
        <w:rPr>
          <w:rtl/>
          <w:lang w:bidi="ar"/>
        </w:rPr>
        <w:t>ياعيل</w:t>
      </w:r>
      <w:r w:rsidRPr="00052E91">
        <w:rPr>
          <w:rtl/>
          <w:lang w:bidi="ar"/>
        </w:rPr>
        <w:t>"</w:t>
      </w:r>
      <w:r w:rsidRPr="007C7D40">
        <w:rPr>
          <w:rFonts w:hint="cs"/>
          <w:rtl/>
        </w:rPr>
        <w:t>.</w:t>
      </w:r>
    </w:p>
    <w:p w:rsidR="004E71DD" w:rsidP="005D0F8C" w14:paraId="377E6FE3" w14:textId="37734384">
      <w:pPr>
        <w:pStyle w:val="7317"/>
        <w:rPr>
          <w:rtl/>
        </w:rPr>
      </w:pPr>
      <w:r w:rsidRPr="00D527BD">
        <w:rPr>
          <w:noProof/>
          <w:szCs w:val="20"/>
          <w:rtl/>
        </w:rPr>
        <w:drawing>
          <wp:anchor distT="0" distB="0" distL="114300" distR="114300" simplePos="0" relativeHeight="251678720" behindDoc="0" locked="0" layoutInCell="1" allowOverlap="1">
            <wp:simplePos x="0" y="0"/>
            <wp:positionH relativeFrom="column">
              <wp:posOffset>-32774</wp:posOffset>
            </wp:positionH>
            <wp:positionV relativeFrom="paragraph">
              <wp:posOffset>229235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p>
    <w:p w:rsidR="005D0F8C" w:rsidP="004E71DD" w14:paraId="6DC28C4F" w14:textId="7CD94D31">
      <w:pPr>
        <w:tabs>
          <w:tab w:val="right" w:pos="7370"/>
        </w:tabs>
        <w:bidi w:val="0"/>
        <w:spacing w:after="200" w:line="276" w:lineRule="auto"/>
        <w:rPr>
          <w:rtl/>
        </w:rPr>
      </w:pP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662020" w14:textId="603346D7">
                            <w:pPr>
                              <w:spacing w:line="240" w:lineRule="auto"/>
                              <w:ind w:right="113"/>
                              <w:suppressOverlap/>
                              <w:jc w:val="left"/>
                              <w:rPr>
                                <w:rFonts w:ascii="Tahoma" w:hAnsi="Tahoma" w:cs="Tahoma"/>
                                <w:b/>
                                <w:bCs/>
                                <w:color w:val="FFFFFF" w:themeColor="background1"/>
                                <w:spacing w:val="-4"/>
                                <w:sz w:val="22"/>
                                <w:szCs w:val="22"/>
                                <w:rtl/>
                              </w:rPr>
                            </w:pPr>
                            <w:r w:rsidRPr="00A50A87">
                              <w:rPr>
                                <w:rFonts w:ascii="Tahoma" w:hAnsi="Tahoma" w:cs="Tahoma"/>
                                <w:b/>
                                <w:bCs/>
                                <w:color w:val="FFFFFF" w:themeColor="background1"/>
                                <w:spacing w:val="-4"/>
                                <w:sz w:val="22"/>
                                <w:szCs w:val="22"/>
                                <w:rtl/>
                                <w:lang w:bidi="ar-SA"/>
                              </w:rPr>
                              <w:t>نسبة المتعطّلين بين الشباب في جيل 18-24، بحسب الجنس والوسط</w:t>
                            </w:r>
                            <w:r>
                              <w:rPr>
                                <w:rFonts w:ascii="Tahoma" w:hAnsi="Tahoma" w:cs="Tahoma" w:hint="cs"/>
                                <w:b/>
                                <w:bCs/>
                                <w:color w:val="FFFFFF" w:themeColor="background1"/>
                                <w:spacing w:val="-4"/>
                                <w:sz w:val="22"/>
                                <w:szCs w:val="22"/>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603346D7">
                      <w:pPr>
                        <w:spacing w:line="240" w:lineRule="auto"/>
                        <w:ind w:right="113"/>
                        <w:suppressOverlap/>
                        <w:jc w:val="left"/>
                        <w:rPr>
                          <w:rFonts w:ascii="Tahoma" w:hAnsi="Tahoma" w:cs="Tahoma"/>
                          <w:b/>
                          <w:bCs/>
                          <w:color w:val="FFFFFF" w:themeColor="background1"/>
                          <w:spacing w:val="-4"/>
                          <w:sz w:val="22"/>
                          <w:szCs w:val="22"/>
                          <w:rtl/>
                        </w:rPr>
                      </w:pPr>
                      <w:r w:rsidRPr="00A50A87">
                        <w:rPr>
                          <w:rFonts w:ascii="Tahoma" w:hAnsi="Tahoma" w:cs="Tahoma"/>
                          <w:b/>
                          <w:bCs/>
                          <w:color w:val="FFFFFF" w:themeColor="background1"/>
                          <w:spacing w:val="-4"/>
                          <w:sz w:val="22"/>
                          <w:szCs w:val="22"/>
                          <w:rtl/>
                          <w:lang w:bidi="ar-SA"/>
                        </w:rPr>
                        <w:t>نسبة المتعطّلين بين الشباب في جيل 18-24، بحسب الجنس والوسط</w:t>
                      </w:r>
                      <w:r>
                        <w:rPr>
                          <w:rFonts w:ascii="Tahoma" w:hAnsi="Tahoma" w:cs="Tahoma" w:hint="cs"/>
                          <w:b/>
                          <w:bCs/>
                          <w:color w:val="FFFFFF" w:themeColor="background1"/>
                          <w:spacing w:val="-4"/>
                          <w:sz w:val="22"/>
                          <w:szCs w:val="22"/>
                          <w:rtl/>
                        </w:rPr>
                        <w:t xml:space="preserve"> </w:t>
                      </w:r>
                    </w:p>
                  </w:txbxContent>
                </v:textbox>
              </v:shape>
            </w:pict>
          </mc:Fallback>
        </mc:AlternateContent>
      </w:r>
      <w:r>
        <w:rPr>
          <w:rtl/>
        </w:rPr>
        <w:t xml:space="preserve"> </w:t>
      </w:r>
    </w:p>
    <w:p w:rsidR="005D0F8C" w:rsidP="005D0F8C" w14:paraId="5B8DB107" w14:textId="66B9BCA7">
      <w:pPr>
        <w:pStyle w:val="7317"/>
        <w:rPr>
          <w:rtl/>
        </w:rPr>
      </w:pPr>
      <w:r>
        <w:rPr>
          <w:noProof/>
          <w:sz w:val="19"/>
          <w:szCs w:val="19"/>
        </w:rPr>
        <w:drawing>
          <wp:anchor distT="0" distB="0" distL="114300" distR="114300" simplePos="0" relativeHeight="251708416" behindDoc="0" locked="0" layoutInCell="1" allowOverlap="1">
            <wp:simplePos x="0" y="0"/>
            <wp:positionH relativeFrom="page">
              <wp:posOffset>1521460</wp:posOffset>
            </wp:positionH>
            <wp:positionV relativeFrom="paragraph">
              <wp:posOffset>492125</wp:posOffset>
            </wp:positionV>
            <wp:extent cx="4539615" cy="2783840"/>
            <wp:effectExtent l="0" t="0" r="0" b="0"/>
            <wp:wrapTopAndBottom/>
            <wp:docPr id="1500" name="תמונה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תמונה 1500"/>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539615" cy="2783840"/>
                    </a:xfrm>
                    <a:prstGeom prst="rect">
                      <a:avLst/>
                    </a:prstGeom>
                  </pic:spPr>
                </pic:pic>
              </a:graphicData>
            </a:graphic>
            <wp14:sizeRelH relativeFrom="margin">
              <wp14:pctWidth>0</wp14:pctWidth>
            </wp14:sizeRelH>
            <wp14:sizeRelV relativeFrom="margin">
              <wp14:pctHeight>0</wp14:pctHeight>
            </wp14:sizeRelV>
          </wp:anchor>
        </w:drawing>
      </w:r>
    </w:p>
    <w:p w:rsidR="005D0F8C" w:rsidP="00ED5111" w14:paraId="0DA8F7B9" w14:textId="3DBF15F2">
      <w:pPr>
        <w:pStyle w:val="7317"/>
        <w:spacing w:before="360"/>
        <w:rPr>
          <w:b/>
          <w:bCs/>
          <w:noProof/>
          <w:color w:val="FFFFFF" w:themeColor="background1"/>
          <w:sz w:val="22"/>
          <w:szCs w:val="22"/>
        </w:rPr>
      </w:pPr>
      <w:r w:rsidRPr="00A50A87">
        <w:rPr>
          <w:rtl/>
          <w:lang w:bidi="ar-SA"/>
        </w:rPr>
        <w:t>بحسب معطيات مؤسسة التأمين الوطني، معالجة مكتب مراقب الدولة</w:t>
      </w:r>
      <w:r w:rsidRPr="00BE0973">
        <w:rPr>
          <w:rFonts w:hint="cs"/>
          <w:rtl/>
        </w:rPr>
        <w:t>.</w:t>
      </w:r>
    </w:p>
    <w:p w:rsidR="000B31AA" w:rsidRPr="000B31AA" w:rsidP="00662020" w14:paraId="1001632A" w14:textId="427EE814">
      <w:pPr>
        <w:pStyle w:val="738"/>
        <w:spacing w:before="0" w:after="0"/>
        <w:rPr>
          <w:rtl/>
        </w:rPr>
      </w:pPr>
      <w:r>
        <w:rPr>
          <w:noProof/>
          <w:sz w:val="19"/>
          <w:szCs w:val="19"/>
        </w:rPr>
        <w:drawing>
          <wp:anchor distT="0" distB="0" distL="114300" distR="114300" simplePos="0" relativeHeight="251709440" behindDoc="0" locked="0" layoutInCell="1" allowOverlap="1">
            <wp:simplePos x="0" y="0"/>
            <wp:positionH relativeFrom="column">
              <wp:posOffset>101600</wp:posOffset>
            </wp:positionH>
            <wp:positionV relativeFrom="paragraph">
              <wp:posOffset>873760</wp:posOffset>
            </wp:positionV>
            <wp:extent cx="4424045" cy="5649595"/>
            <wp:effectExtent l="0" t="0" r="0" b="1905"/>
            <wp:wrapTopAndBottom/>
            <wp:docPr id="842006076" name="תמונה 842006076" descr="תמונה שמכילה טבל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06076" name="תמונה 842006076" descr="תמונה שמכילה טבלה&#10;&#10;התיאור נוצר באופן אוטומטי"/>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rcRect b="4235"/>
                    <a:stretch>
                      <a:fillRect/>
                    </a:stretch>
                  </pic:blipFill>
                  <pic:spPr bwMode="auto">
                    <a:xfrm>
                      <a:off x="0" y="0"/>
                      <a:ext cx="4424045" cy="564959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1D24" w:rsidR="00662020">
        <w:rPr>
          <w:noProof/>
          <w:rtl/>
        </w:rPr>
        <mc:AlternateContent>
          <mc:Choice Requires="wpg">
            <w:drawing>
              <wp:anchor distT="0" distB="0" distL="114300" distR="114300" simplePos="0" relativeHeight="251681792" behindDoc="0" locked="0" layoutInCell="1" allowOverlap="1">
                <wp:simplePos x="0" y="0"/>
                <wp:positionH relativeFrom="margin">
                  <wp:posOffset>-106680</wp:posOffset>
                </wp:positionH>
                <wp:positionV relativeFrom="paragraph">
                  <wp:posOffset>107560</wp:posOffset>
                </wp:positionV>
                <wp:extent cx="4787900" cy="76708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361C09" w:rsidP="00361C09" w14:textId="26C40686">
                              <w:pPr>
                                <w:spacing w:before="60" w:after="60" w:line="240" w:lineRule="auto"/>
                                <w:ind w:right="113"/>
                                <w:jc w:val="left"/>
                                <w:rPr>
                                  <w:b/>
                                  <w:bCs/>
                                </w:rPr>
                              </w:pPr>
                              <w:r w:rsidRPr="00A50A87">
                                <w:rPr>
                                  <w:rFonts w:ascii="Tahoma" w:hAnsi="Tahoma" w:cs="Tahoma"/>
                                  <w:b/>
                                  <w:bCs/>
                                  <w:color w:val="FFFFFF" w:themeColor="background1"/>
                                  <w:spacing w:val="-4"/>
                                  <w:sz w:val="22"/>
                                  <w:szCs w:val="22"/>
                                  <w:rtl/>
                                  <w:lang w:bidi="ar-SA"/>
                                </w:rPr>
                                <w:t>نسبة المتعطّلين بين الشباب بمقارنة دولية لسنة 2020</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style="width:377pt;height:60.4pt;margin-top:8.45pt;margin-left:-8.4pt;mso-height-relative:margin;mso-position-horizontal-relative:margin;mso-width-relative:margin;position:absolute;z-index:251682816"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7879;height:6148;mso-wrap-style:square;position:absolute;top:1815;visibility:visible">
                  <v:imagedata r:id="rId29" o:title=""/>
                </v:shape>
                <v:shape id="_x0000_s1037" type="#_x0000_t202" style="width:44284;height:3476;left:2028;mso-wrap-style:square;position:absolute;top:2665;visibility:visible;v-text-anchor:middle" fillcolor="#f05260" stroked="f">
                  <v:textbox>
                    <w:txbxContent>
                      <w:p w:rsidR="000B31AA" w:rsidRPr="00361C09" w:rsidP="00361C09" w14:paraId="64B50804" w14:textId="26C40686">
                        <w:pPr>
                          <w:spacing w:before="60" w:after="60" w:line="240" w:lineRule="auto"/>
                          <w:ind w:right="113"/>
                          <w:jc w:val="left"/>
                          <w:rPr>
                            <w:b/>
                            <w:bCs/>
                          </w:rPr>
                        </w:pPr>
                        <w:r w:rsidRPr="00A50A87">
                          <w:rPr>
                            <w:rFonts w:ascii="Tahoma" w:hAnsi="Tahoma" w:cs="Tahoma"/>
                            <w:b/>
                            <w:bCs/>
                            <w:color w:val="FFFFFF" w:themeColor="background1"/>
                            <w:spacing w:val="-4"/>
                            <w:sz w:val="22"/>
                            <w:szCs w:val="22"/>
                            <w:rtl/>
                            <w:lang w:bidi="ar-SA"/>
                          </w:rPr>
                          <w:t>نسبة المتعطّلين بين الشباب بمقارنة دولية لسنة 2020</w:t>
                        </w:r>
                      </w:p>
                    </w:txbxContent>
                  </v:textbox>
                </v:shape>
                <w10:wrap type="square"/>
              </v:group>
            </w:pict>
          </mc:Fallback>
        </mc:AlternateContent>
      </w:r>
    </w:p>
    <w:p w:rsidR="000B31AA" w:rsidP="00A50A87" w14:paraId="5C1AE375" w14:textId="7EBD5E19">
      <w:pPr>
        <w:pStyle w:val="73B"/>
        <w:spacing w:before="0"/>
        <w:jc w:val="center"/>
        <w:rPr>
          <w:sz w:val="18"/>
          <w:szCs w:val="18"/>
          <w:rtl/>
        </w:rPr>
      </w:pPr>
      <w:r w:rsidRPr="00A50A87">
        <w:rPr>
          <w:rFonts w:hint="cs"/>
          <w:sz w:val="18"/>
          <w:szCs w:val="18"/>
          <w:rtl/>
        </w:rPr>
        <w:t>نسبة</w:t>
      </w:r>
      <w:r w:rsidRPr="00A50A87">
        <w:rPr>
          <w:rFonts w:hint="cs"/>
          <w:sz w:val="18"/>
          <w:szCs w:val="18"/>
          <w:rtl/>
        </w:rPr>
        <w:t xml:space="preserve"> </w:t>
      </w:r>
      <w:r w:rsidRPr="00A50A87">
        <w:rPr>
          <w:sz w:val="18"/>
          <w:szCs w:val="18"/>
          <w:rtl/>
        </w:rPr>
        <w:t>الشباب</w:t>
      </w:r>
      <w:r w:rsidRPr="00A50A87">
        <w:rPr>
          <w:sz w:val="18"/>
          <w:szCs w:val="18"/>
          <w:rtl/>
        </w:rPr>
        <w:t xml:space="preserve"> </w:t>
      </w:r>
      <w:r w:rsidRPr="00A50A87">
        <w:rPr>
          <w:sz w:val="18"/>
          <w:szCs w:val="18"/>
          <w:rtl/>
        </w:rPr>
        <w:t>المتعطّل</w:t>
      </w:r>
    </w:p>
    <w:p w:rsidR="00A50A87" w:rsidRPr="00A50A87" w:rsidP="00A50A87" w14:paraId="0D9C4FF8" w14:textId="77777777">
      <w:pPr>
        <w:pStyle w:val="738"/>
        <w:spacing w:before="240"/>
        <w:rPr>
          <w:rtl/>
        </w:rPr>
      </w:pPr>
      <w:r w:rsidRPr="00A50A87">
        <w:rPr>
          <w:rtl/>
        </w:rPr>
        <w:t>بحسب</w:t>
      </w:r>
      <w:r w:rsidRPr="00A50A87">
        <w:rPr>
          <w:rtl/>
        </w:rPr>
        <w:t xml:space="preserve"> </w:t>
      </w:r>
      <w:r w:rsidRPr="00A50A87">
        <w:rPr>
          <w:rtl/>
        </w:rPr>
        <w:t>معطيات</w:t>
      </w:r>
      <w:r w:rsidRPr="00A50A87">
        <w:rPr>
          <w:rtl/>
        </w:rPr>
        <w:t xml:space="preserve"> </w:t>
      </w:r>
      <w:r w:rsidRPr="00A50A87">
        <w:rPr>
          <w:rtl/>
        </w:rPr>
        <w:t>ال</w:t>
      </w:r>
      <w:r w:rsidRPr="00A50A87">
        <w:rPr>
          <w:rtl/>
        </w:rPr>
        <w:t>ـ</w:t>
      </w:r>
      <w:r w:rsidRPr="00A50A87">
        <w:rPr>
          <w:rFonts w:hint="cs"/>
          <w:rtl/>
        </w:rPr>
        <w:t xml:space="preserve"> </w:t>
      </w:r>
      <w:r w:rsidRPr="00A50A87">
        <w:t>OECD</w:t>
      </w:r>
      <w:r w:rsidRPr="00A50A87">
        <w:rPr>
          <w:rFonts w:hint="cs"/>
          <w:rtl/>
        </w:rPr>
        <w:t xml:space="preserve"> </w:t>
      </w:r>
      <w:r w:rsidRPr="00A50A87">
        <w:rPr>
          <w:rtl/>
        </w:rPr>
        <w:t>ومؤسسة</w:t>
      </w:r>
      <w:r w:rsidRPr="00A50A87">
        <w:rPr>
          <w:rtl/>
        </w:rPr>
        <w:t xml:space="preserve"> </w:t>
      </w:r>
      <w:r w:rsidRPr="00A50A87">
        <w:rPr>
          <w:rtl/>
        </w:rPr>
        <w:t>التأمين</w:t>
      </w:r>
      <w:r w:rsidRPr="00A50A87">
        <w:rPr>
          <w:rtl/>
        </w:rPr>
        <w:t xml:space="preserve"> </w:t>
      </w:r>
      <w:r w:rsidRPr="00A50A87">
        <w:rPr>
          <w:rtl/>
        </w:rPr>
        <w:t>الوطني</w:t>
      </w:r>
      <w:r w:rsidRPr="00A50A87">
        <w:rPr>
          <w:rtl/>
        </w:rPr>
        <w:t xml:space="preserve">، </w:t>
      </w:r>
      <w:r w:rsidRPr="00A50A87">
        <w:rPr>
          <w:rtl/>
        </w:rPr>
        <w:t>معالجة</w:t>
      </w:r>
      <w:r w:rsidRPr="00A50A87">
        <w:rPr>
          <w:rtl/>
        </w:rPr>
        <w:t xml:space="preserve"> </w:t>
      </w:r>
      <w:r w:rsidRPr="00A50A87">
        <w:rPr>
          <w:rtl/>
        </w:rPr>
        <w:t>مكتب</w:t>
      </w:r>
      <w:r w:rsidRPr="00A50A87">
        <w:rPr>
          <w:rtl/>
        </w:rPr>
        <w:t xml:space="preserve"> </w:t>
      </w:r>
      <w:r w:rsidRPr="00A50A87">
        <w:rPr>
          <w:rtl/>
        </w:rPr>
        <w:t>مراقب</w:t>
      </w:r>
      <w:r w:rsidRPr="00A50A87">
        <w:rPr>
          <w:rtl/>
        </w:rPr>
        <w:t xml:space="preserve"> </w:t>
      </w:r>
      <w:r w:rsidRPr="00A50A87">
        <w:rPr>
          <w:rtl/>
        </w:rPr>
        <w:t>الدولة</w:t>
      </w:r>
      <w:r w:rsidRPr="00A50A87">
        <w:rPr>
          <w:rtl/>
        </w:rPr>
        <w:t>.</w:t>
      </w:r>
    </w:p>
    <w:p w:rsidR="00A50A87" w:rsidRPr="000B31AA" w:rsidP="00A50A87" w14:paraId="1023401F" w14:textId="2EE7538A">
      <w:pPr>
        <w:pStyle w:val="738"/>
        <w:spacing w:before="0" w:after="0"/>
        <w:rPr>
          <w:rtl/>
        </w:rPr>
      </w:pPr>
      <w:r>
        <w:rPr>
          <w:noProof/>
          <w:sz w:val="19"/>
          <w:szCs w:val="19"/>
          <w:rtl/>
          <w:lang w:bidi="ar"/>
        </w:rPr>
        <w:drawing>
          <wp:anchor distT="0" distB="0" distL="114300" distR="114300" simplePos="0" relativeHeight="251712512" behindDoc="0" locked="0" layoutInCell="1" allowOverlap="1">
            <wp:simplePos x="0" y="0"/>
            <wp:positionH relativeFrom="column">
              <wp:posOffset>40640</wp:posOffset>
            </wp:positionH>
            <wp:positionV relativeFrom="paragraph">
              <wp:posOffset>1042670</wp:posOffset>
            </wp:positionV>
            <wp:extent cx="4534535" cy="1390650"/>
            <wp:effectExtent l="0" t="0" r="0" b="0"/>
            <wp:wrapTopAndBottom/>
            <wp:docPr id="1959725318" name="תמונה 195972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25318" name="תמונה 1959725318"/>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4534535" cy="1390650"/>
                    </a:xfrm>
                    <a:prstGeom prst="rect">
                      <a:avLst/>
                    </a:prstGeom>
                  </pic:spPr>
                </pic:pic>
              </a:graphicData>
            </a:graphic>
            <wp14:sizeRelH relativeFrom="page">
              <wp14:pctWidth>0</wp14:pctWidth>
            </wp14:sizeRelH>
            <wp14:sizeRelV relativeFrom="page">
              <wp14:pctHeight>0</wp14:pctHeight>
            </wp14:sizeRelV>
          </wp:anchor>
        </w:drawing>
      </w:r>
      <w:r w:rsidRPr="00DC1D24" w:rsidR="003951EE">
        <w:rPr>
          <w:noProof/>
          <w:rtl/>
        </w:rPr>
        <mc:AlternateContent>
          <mc:Choice Requires="wpg">
            <w:drawing>
              <wp:anchor distT="0" distB="0" distL="114300" distR="114300" simplePos="0" relativeHeight="251710464" behindDoc="0" locked="0" layoutInCell="1" allowOverlap="1">
                <wp:simplePos x="0" y="0"/>
                <wp:positionH relativeFrom="margin">
                  <wp:posOffset>-102699</wp:posOffset>
                </wp:positionH>
                <wp:positionV relativeFrom="paragraph">
                  <wp:posOffset>130091</wp:posOffset>
                </wp:positionV>
                <wp:extent cx="4787900" cy="767080"/>
                <wp:effectExtent l="0" t="0" r="0" b="0"/>
                <wp:wrapSquare wrapText="bothSides"/>
                <wp:docPr id="1107967949"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97943"/>
                          <a:chExt cx="4787900" cy="614829"/>
                        </a:xfrm>
                      </wpg:grpSpPr>
                      <pic:pic xmlns:pic="http://schemas.openxmlformats.org/drawingml/2006/picture">
                        <pic:nvPicPr>
                          <pic:cNvPr id="588561554"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97943"/>
                            <a:ext cx="4787900" cy="614829"/>
                          </a:xfrm>
                          <a:prstGeom prst="rect">
                            <a:avLst/>
                          </a:prstGeom>
                        </pic:spPr>
                      </pic:pic>
                      <wps:wsp xmlns:wps="http://schemas.microsoft.com/office/word/2010/wordprocessingShape">
                        <wps:cNvPr id="427278410" name="Text Box 2"/>
                        <wps:cNvSpPr txBox="1">
                          <a:spLocks noChangeArrowheads="1"/>
                        </wps:cNvSpPr>
                        <wps:spPr bwMode="auto">
                          <a:xfrm>
                            <a:off x="202806" y="244069"/>
                            <a:ext cx="4428490" cy="401139"/>
                          </a:xfrm>
                          <a:prstGeom prst="rect">
                            <a:avLst/>
                          </a:prstGeom>
                          <a:solidFill>
                            <a:srgbClr val="F05260"/>
                          </a:solidFill>
                          <a:ln w="9525">
                            <a:noFill/>
                            <a:miter lim="800000"/>
                            <a:headEnd/>
                            <a:tailEnd/>
                          </a:ln>
                        </wps:spPr>
                        <wps:txbx>
                          <w:txbxContent>
                            <w:p w:rsidR="00A50A87" w:rsidRPr="00361C09" w:rsidP="00A50A87" w14:textId="1E9BD758">
                              <w:pPr>
                                <w:spacing w:before="60" w:after="60" w:line="240" w:lineRule="auto"/>
                                <w:ind w:right="113"/>
                                <w:jc w:val="left"/>
                                <w:rPr>
                                  <w:b/>
                                  <w:bCs/>
                                </w:rPr>
                              </w:pPr>
                              <w:r w:rsidRPr="0008137D">
                                <w:rPr>
                                  <w:rFonts w:ascii="Tahoma" w:hAnsi="Tahoma" w:cs="Tahoma"/>
                                  <w:b/>
                                  <w:bCs/>
                                  <w:color w:val="FFFFFF" w:themeColor="background1"/>
                                  <w:spacing w:val="-4"/>
                                  <w:sz w:val="22"/>
                                  <w:szCs w:val="22"/>
                                  <w:rtl/>
                                  <w:lang w:bidi="ar-SA"/>
                                </w:rPr>
                                <w:t>اقتباسات من إجراء مشاركة الجمهور الذي قام به طاقم الفحص مع شباب عرب</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_x0000_s1038" style="width:377pt;height:60.4pt;margin-top:10.25pt;margin-left:-8.1pt;mso-height-relative:margin;mso-position-horizontal-relative:margin;mso-width-relative:margin;position:absolute;z-index:251711488" coordorigin="0,1979" coordsize="47879,6148">
                <v:shape id="Picture 23" o:spid="_x0000_s1039" type="#_x0000_t75" style="width:47879;height:6148;mso-wrap-style:square;position:absolute;top:1979;visibility:visible">
                  <v:imagedata r:id="rId29" o:title=""/>
                </v:shape>
                <v:shape id="_x0000_s1040" type="#_x0000_t202" style="width:44284;height:4012;left:2028;mso-wrap-style:square;position:absolute;top:2440;visibility:visible;v-text-anchor:middle" fillcolor="#f05260" stroked="f">
                  <v:textbox>
                    <w:txbxContent>
                      <w:p w:rsidR="00A50A87" w:rsidRPr="00361C09" w:rsidP="00A50A87" w14:paraId="7FB3D394" w14:textId="1E9BD758">
                        <w:pPr>
                          <w:spacing w:before="60" w:after="60" w:line="240" w:lineRule="auto"/>
                          <w:ind w:right="113"/>
                          <w:jc w:val="left"/>
                          <w:rPr>
                            <w:b/>
                            <w:bCs/>
                          </w:rPr>
                        </w:pPr>
                        <w:r w:rsidRPr="0008137D">
                          <w:rPr>
                            <w:rFonts w:ascii="Tahoma" w:hAnsi="Tahoma" w:cs="Tahoma"/>
                            <w:b/>
                            <w:bCs/>
                            <w:color w:val="FFFFFF" w:themeColor="background1"/>
                            <w:spacing w:val="-4"/>
                            <w:sz w:val="22"/>
                            <w:szCs w:val="22"/>
                            <w:rtl/>
                            <w:lang w:bidi="ar-SA"/>
                          </w:rPr>
                          <w:t>اقتباسات من إجراء مشاركة الجمهور الذي قام به طاقم الفحص مع شباب عرب</w:t>
                        </w:r>
                      </w:p>
                    </w:txbxContent>
                  </v:textbox>
                </v:shape>
                <w10:wrap type="square"/>
              </v:group>
            </w:pict>
          </mc:Fallback>
        </mc:AlternateContent>
      </w:r>
      <w:r w:rsidRPr="0008137D" w:rsidR="0008137D">
        <w:rPr>
          <w:noProof/>
          <w:sz w:val="19"/>
          <w:szCs w:val="19"/>
          <w:rtl/>
          <w:lang w:bidi="ar"/>
        </w:rPr>
        <w:t xml:space="preserve"> </w:t>
      </w:r>
    </w:p>
    <w:p w:rsidR="004E71DD" w:rsidP="004E71DD" w14:paraId="7C33D7DD" w14:textId="226CF5A1">
      <w:pPr>
        <w:pStyle w:val="73"/>
        <w:rPr>
          <w:rtl/>
        </w:rPr>
      </w:pPr>
      <w:r w:rsidRPr="0008137D">
        <w:rPr>
          <w:rtl/>
          <w:lang w:bidi="ar-SA"/>
        </w:rPr>
        <w:t>خلاصىة</w:t>
      </w:r>
      <w:r>
        <w:rPr>
          <w:rFonts w:hint="cs"/>
          <w:rtl/>
        </w:rPr>
        <w:t xml:space="preserve"> </w:t>
      </w:r>
    </w:p>
    <w:p w:rsidR="0008137D" w:rsidRPr="00AF3A82" w:rsidP="0008137D" w14:paraId="6D2D1588" w14:textId="77777777">
      <w:pPr>
        <w:widowControl w:val="0"/>
        <w:tabs>
          <w:tab w:val="left" w:pos="9604"/>
        </w:tabs>
        <w:spacing w:before="240" w:line="276" w:lineRule="auto"/>
        <w:ind w:left="-1"/>
        <w:rPr>
          <w:rFonts w:ascii="Tahoma" w:hAnsi="Tahoma" w:cs="Tahoma"/>
          <w:sz w:val="18"/>
          <w:szCs w:val="18"/>
          <w:rtl/>
        </w:rPr>
      </w:pPr>
      <w:r w:rsidRPr="00AF3A82">
        <w:rPr>
          <w:rFonts w:ascii="Tahoma" w:hAnsi="Tahoma" w:cs="Tahoma"/>
          <w:sz w:val="18"/>
          <w:szCs w:val="18"/>
          <w:rtl/>
          <w:lang w:bidi="ar"/>
        </w:rPr>
        <w:t xml:space="preserve">الشباب المتعطّل هم الشباب الذين لا يتعلمون </w:t>
      </w:r>
      <w:r w:rsidRPr="00AF3A82">
        <w:rPr>
          <w:rFonts w:ascii="Tahoma" w:hAnsi="Tahoma" w:cs="Tahoma" w:hint="cs"/>
          <w:sz w:val="18"/>
          <w:szCs w:val="18"/>
          <w:rtl/>
          <w:lang w:bidi="ar"/>
        </w:rPr>
        <w:t>ولا يعملون وليس لديهم أي دخل</w:t>
      </w:r>
      <w:r w:rsidRPr="00AF3A82">
        <w:rPr>
          <w:rFonts w:ascii="Tahoma" w:hAnsi="Tahoma" w:cs="Tahoma"/>
          <w:sz w:val="18"/>
          <w:szCs w:val="18"/>
          <w:rtl/>
          <w:lang w:bidi="ar"/>
        </w:rPr>
        <w:t xml:space="preserve">. قرارات الحكومة من السنوات الأخيرة حوّلت </w:t>
      </w:r>
      <w:r w:rsidRPr="00AF3A82">
        <w:rPr>
          <w:rFonts w:ascii="Tahoma" w:hAnsi="Tahoma" w:cs="Tahoma" w:hint="cs"/>
          <w:sz w:val="18"/>
          <w:szCs w:val="18"/>
          <w:rtl/>
          <w:lang w:bidi="ar"/>
        </w:rPr>
        <w:t>الكثير</w:t>
      </w:r>
      <w:r w:rsidRPr="00AF3A82">
        <w:rPr>
          <w:rFonts w:ascii="Tahoma" w:hAnsi="Tahoma" w:cs="Tahoma"/>
          <w:sz w:val="18"/>
          <w:szCs w:val="18"/>
          <w:rtl/>
          <w:lang w:bidi="ar"/>
        </w:rPr>
        <w:t xml:space="preserve"> من الموارد المالية لتطوير المجتمع العربي ولتقليص الفجوات الاجتماعية بينه وبين المجتمع اليهودي. مع ذلك، بعد قيام مكتب مراقب الدولة بتحليل البيانات باستخدام </w:t>
      </w:r>
      <w:r w:rsidRPr="0008137D">
        <w:rPr>
          <w:rFonts w:ascii="Tahoma" w:hAnsi="Tahoma" w:cs="Tahoma"/>
          <w:b/>
          <w:bCs/>
          <w:sz w:val="18"/>
          <w:szCs w:val="18"/>
          <w:rtl/>
          <w:lang w:bidi="ar"/>
        </w:rPr>
        <w:t xml:space="preserve">أساليب وأدوات إحصائية متطورة </w:t>
      </w:r>
      <w:r w:rsidRPr="00AF3A82">
        <w:rPr>
          <w:rFonts w:ascii="Tahoma" w:hAnsi="Tahoma" w:cs="Tahoma"/>
          <w:sz w:val="18"/>
          <w:szCs w:val="18"/>
          <w:rtl/>
          <w:lang w:bidi="ar"/>
        </w:rPr>
        <w:t>يتبين أن جهاز التعليم، الذي يتوجب عليه تزويد الشباب بالأدوات التي تُساعدهم على الاندماج في سوق العمل عند بلوغهم السن الملائمة</w:t>
      </w:r>
      <w:r w:rsidRPr="00AF3A82">
        <w:rPr>
          <w:rFonts w:ascii="Tahoma" w:hAnsi="Tahoma" w:cs="Tahoma" w:hint="cs"/>
          <w:sz w:val="18"/>
          <w:szCs w:val="18"/>
          <w:rtl/>
          <w:lang w:bidi="ar"/>
        </w:rPr>
        <w:t>،</w:t>
      </w:r>
      <w:r w:rsidRPr="00AF3A82">
        <w:rPr>
          <w:rFonts w:ascii="Tahoma" w:hAnsi="Tahoma" w:cs="Tahoma"/>
          <w:sz w:val="18"/>
          <w:szCs w:val="18"/>
          <w:rtl/>
          <w:lang w:bidi="ar"/>
        </w:rPr>
        <w:t xml:space="preserve"> والحرص على تحقيق المساواة للأولاد </w:t>
      </w:r>
      <w:r w:rsidRPr="00AF3A82">
        <w:rPr>
          <w:rFonts w:ascii="Tahoma" w:hAnsi="Tahoma" w:cs="Tahoma" w:hint="cs"/>
          <w:sz w:val="18"/>
          <w:szCs w:val="18"/>
          <w:rtl/>
          <w:lang w:bidi="ar"/>
        </w:rPr>
        <w:t>التي تنتمي</w:t>
      </w:r>
      <w:r w:rsidRPr="00AF3A82">
        <w:rPr>
          <w:rFonts w:ascii="Tahoma" w:hAnsi="Tahoma" w:cs="Tahoma"/>
          <w:sz w:val="18"/>
          <w:szCs w:val="18"/>
          <w:rtl/>
          <w:lang w:bidi="ar"/>
        </w:rPr>
        <w:t xml:space="preserve"> غالبيتهم </w:t>
      </w:r>
      <w:r w:rsidRPr="00AF3A82">
        <w:rPr>
          <w:rFonts w:ascii="Tahoma" w:hAnsi="Tahoma" w:cs="Tahoma" w:hint="cs"/>
          <w:sz w:val="18"/>
          <w:szCs w:val="18"/>
          <w:rtl/>
          <w:lang w:bidi="ar"/>
        </w:rPr>
        <w:t xml:space="preserve">لطبقات </w:t>
      </w:r>
      <w:r w:rsidRPr="00AF3A82">
        <w:rPr>
          <w:rFonts w:ascii="Tahoma" w:hAnsi="Tahoma" w:cs="Tahoma"/>
          <w:sz w:val="18"/>
          <w:szCs w:val="18"/>
          <w:rtl/>
          <w:lang w:bidi="ar"/>
        </w:rPr>
        <w:t>اجتماعية - اقتصادية فقيرة، لا يُقدم لهم الأدوات والمهارات الضرورية للاندماج في سوق العمل والتعليم العالي. و</w:t>
      </w:r>
      <w:r w:rsidRPr="00AF3A82">
        <w:rPr>
          <w:rFonts w:ascii="Tahoma" w:hAnsi="Tahoma" w:cs="Tahoma" w:hint="cs"/>
          <w:sz w:val="18"/>
          <w:szCs w:val="18"/>
          <w:rtl/>
          <w:lang w:bidi="ar"/>
        </w:rPr>
        <w:t>أ</w:t>
      </w:r>
      <w:r w:rsidRPr="00AF3A82">
        <w:rPr>
          <w:rFonts w:ascii="Tahoma" w:hAnsi="Tahoma" w:cs="Tahoma"/>
          <w:sz w:val="18"/>
          <w:szCs w:val="18"/>
          <w:rtl/>
          <w:lang w:bidi="ar"/>
        </w:rPr>
        <w:t>يض</w:t>
      </w:r>
      <w:r w:rsidRPr="00AF3A82">
        <w:rPr>
          <w:rFonts w:ascii="Tahoma" w:hAnsi="Tahoma" w:cs="Tahoma" w:hint="cs"/>
          <w:sz w:val="18"/>
          <w:szCs w:val="18"/>
          <w:rtl/>
          <w:lang w:bidi="ar"/>
        </w:rPr>
        <w:t>ً</w:t>
      </w:r>
      <w:r w:rsidRPr="00AF3A82">
        <w:rPr>
          <w:rFonts w:ascii="Tahoma" w:hAnsi="Tahoma" w:cs="Tahoma"/>
          <w:sz w:val="18"/>
          <w:szCs w:val="18"/>
          <w:rtl/>
          <w:lang w:bidi="ar"/>
        </w:rPr>
        <w:t xml:space="preserve">ا، تبين أن الجهات الحكومية ذات العلاقة - وزارة التربية والتعليم، جناح العمل، وزارة المساواة الاجتماعية، مجلس التعليم العالي، وزارة المالية، مصلحة التشغيل، وديوان رئيس الحكومة - وهي التي يتوجب عليها تقليص الفجوات عند الشباب العرب في جيل 18 وما فوق، لا تقوم بعملها كما يجب. لم نجد خلال </w:t>
      </w:r>
      <w:r w:rsidRPr="00AF3A82">
        <w:rPr>
          <w:rFonts w:ascii="Tahoma" w:hAnsi="Tahoma" w:cs="Tahoma" w:hint="cs"/>
          <w:sz w:val="18"/>
          <w:szCs w:val="18"/>
          <w:rtl/>
          <w:lang w:bidi="ar"/>
        </w:rPr>
        <w:t>أعمال الرقابة</w:t>
      </w:r>
      <w:r w:rsidRPr="00AF3A82">
        <w:rPr>
          <w:rFonts w:ascii="Tahoma" w:hAnsi="Tahoma" w:cs="Tahoma"/>
          <w:sz w:val="18"/>
          <w:szCs w:val="18"/>
          <w:rtl/>
          <w:lang w:bidi="ar"/>
        </w:rPr>
        <w:t xml:space="preserve"> وجود أي تأثير واضح لمشاركة الشباب العرب في مراكز ريان، والتي يُشغ</w:t>
      </w:r>
      <w:r w:rsidRPr="00AF3A82">
        <w:rPr>
          <w:rFonts w:ascii="Tahoma" w:hAnsi="Tahoma" w:cs="Tahoma" w:hint="cs"/>
          <w:sz w:val="18"/>
          <w:szCs w:val="18"/>
          <w:rtl/>
          <w:lang w:bidi="ar"/>
        </w:rPr>
        <w:t>ّ</w:t>
      </w:r>
      <w:r w:rsidRPr="00AF3A82">
        <w:rPr>
          <w:rFonts w:ascii="Tahoma" w:hAnsi="Tahoma" w:cs="Tahoma"/>
          <w:sz w:val="18"/>
          <w:szCs w:val="18"/>
          <w:rtl/>
          <w:lang w:bidi="ar"/>
        </w:rPr>
        <w:t xml:space="preserve">لها جناح العمل، على حالة التعطّل التي يُعانون منها. برنامج السنة الانتقالية الذي طُوِرَ كبرنامج ريادي في وزارة المساواة الاجتماعية وفي جناح العمل يتوجه لشريحة صغيرة جدًا من الشباب وتكلفته للفرد عالية، ولهذا لم يكن بالإمكان توسيعه. تبين أن مستوى التمكن من اللغة العبرية الذي حددته الجامعات وبعض الكليات كشرط قبول للتعليم، يمنع الكثير من الشباب العرب من الاندماج في </w:t>
      </w:r>
      <w:r w:rsidRPr="00AF3A82">
        <w:rPr>
          <w:rFonts w:ascii="Tahoma" w:hAnsi="Tahoma" w:cs="Tahoma"/>
          <w:sz w:val="18"/>
          <w:szCs w:val="18"/>
          <w:rtl/>
          <w:lang w:bidi="ar"/>
        </w:rPr>
        <w:t>الأكاديميا</w:t>
      </w:r>
      <w:r w:rsidRPr="00AF3A82">
        <w:rPr>
          <w:rFonts w:ascii="Tahoma" w:hAnsi="Tahoma" w:cs="Tahoma"/>
          <w:sz w:val="18"/>
          <w:szCs w:val="18"/>
          <w:rtl/>
          <w:lang w:bidi="ar"/>
        </w:rPr>
        <w:t xml:space="preserve"> في إسرائيل، وذلك بسبب مستوى</w:t>
      </w:r>
      <w:r w:rsidRPr="00AF3A82">
        <w:rPr>
          <w:rFonts w:ascii="Tahoma" w:hAnsi="Tahoma" w:cs="Tahoma" w:hint="cs"/>
          <w:sz w:val="18"/>
          <w:szCs w:val="18"/>
          <w:rtl/>
          <w:lang w:bidi="ar"/>
        </w:rPr>
        <w:t xml:space="preserve"> اللغة</w:t>
      </w:r>
      <w:r w:rsidRPr="00AF3A82">
        <w:rPr>
          <w:rFonts w:ascii="Tahoma" w:hAnsi="Tahoma" w:cs="Tahoma"/>
          <w:sz w:val="18"/>
          <w:szCs w:val="18"/>
          <w:rtl/>
          <w:lang w:bidi="ar"/>
        </w:rPr>
        <w:t xml:space="preserve"> العبرية المنخفض</w:t>
      </w:r>
      <w:r w:rsidRPr="00AF3A82">
        <w:rPr>
          <w:rFonts w:ascii="Tahoma" w:hAnsi="Tahoma" w:cs="Tahoma" w:hint="cs"/>
          <w:sz w:val="18"/>
          <w:szCs w:val="18"/>
          <w:rtl/>
          <w:lang w:bidi="ar"/>
        </w:rPr>
        <w:t xml:space="preserve"> عند</w:t>
      </w:r>
      <w:r w:rsidRPr="00AF3A82">
        <w:rPr>
          <w:rFonts w:ascii="Tahoma" w:hAnsi="Tahoma" w:cs="Tahoma"/>
          <w:sz w:val="18"/>
          <w:szCs w:val="18"/>
          <w:rtl/>
          <w:lang w:bidi="ar"/>
        </w:rPr>
        <w:t xml:space="preserve"> </w:t>
      </w:r>
      <w:r w:rsidRPr="00AF3A82">
        <w:rPr>
          <w:rFonts w:ascii="Tahoma" w:hAnsi="Tahoma" w:cs="Tahoma" w:hint="cs"/>
          <w:sz w:val="18"/>
          <w:szCs w:val="18"/>
          <w:rtl/>
          <w:lang w:bidi="ar"/>
        </w:rPr>
        <w:t>ال</w:t>
      </w:r>
      <w:r w:rsidRPr="00AF3A82">
        <w:rPr>
          <w:rFonts w:ascii="Tahoma" w:hAnsi="Tahoma" w:cs="Tahoma"/>
          <w:sz w:val="18"/>
          <w:szCs w:val="18"/>
          <w:rtl/>
          <w:lang w:bidi="ar"/>
        </w:rPr>
        <w:t>شباب والشابات العرب الذين ينهون تعليمهم في جهاز التعليم العربي. العديد من هؤلاء الشباب أصبحوا متعطلين رغمًا عنهم، وآخرون وجدوا الحل في الدراسة بالجامعات الفلسطينية أو</w:t>
      </w:r>
      <w:r w:rsidRPr="00AF3A82">
        <w:rPr>
          <w:rFonts w:ascii="Tahoma" w:hAnsi="Tahoma" w:cs="Tahoma" w:hint="cs"/>
          <w:sz w:val="18"/>
          <w:szCs w:val="18"/>
          <w:rtl/>
          <w:lang w:bidi="ar"/>
        </w:rPr>
        <w:t xml:space="preserve"> في</w:t>
      </w:r>
      <w:r w:rsidRPr="00AF3A82">
        <w:rPr>
          <w:rFonts w:ascii="Tahoma" w:hAnsi="Tahoma" w:cs="Tahoma"/>
          <w:sz w:val="18"/>
          <w:szCs w:val="18"/>
          <w:rtl/>
          <w:lang w:bidi="ar"/>
        </w:rPr>
        <w:t xml:space="preserve"> السفر للتعل</w:t>
      </w:r>
      <w:r w:rsidRPr="00AF3A82">
        <w:rPr>
          <w:rFonts w:ascii="Tahoma" w:hAnsi="Tahoma" w:cs="Tahoma" w:hint="cs"/>
          <w:sz w:val="18"/>
          <w:szCs w:val="18"/>
          <w:rtl/>
          <w:lang w:bidi="ar"/>
        </w:rPr>
        <w:t>ّ</w:t>
      </w:r>
      <w:r w:rsidRPr="00AF3A82">
        <w:rPr>
          <w:rFonts w:ascii="Tahoma" w:hAnsi="Tahoma" w:cs="Tahoma"/>
          <w:sz w:val="18"/>
          <w:szCs w:val="18"/>
          <w:rtl/>
          <w:lang w:bidi="ar"/>
        </w:rPr>
        <w:t xml:space="preserve">م خارج البلاد. </w:t>
      </w:r>
    </w:p>
    <w:p w:rsidR="0008137D" w:rsidRPr="00AF3A82" w:rsidP="0008137D" w14:paraId="7930C4C6" w14:textId="35D2B882">
      <w:pPr>
        <w:widowControl w:val="0"/>
        <w:tabs>
          <w:tab w:val="left" w:pos="9604"/>
        </w:tabs>
        <w:spacing w:before="240" w:line="276" w:lineRule="auto"/>
        <w:ind w:left="-1"/>
        <w:rPr>
          <w:rFonts w:ascii="Tahoma" w:hAnsi="Tahoma" w:cs="Tahoma"/>
          <w:sz w:val="18"/>
          <w:szCs w:val="18"/>
          <w:rtl/>
        </w:rPr>
      </w:pPr>
      <w:r w:rsidRPr="00AF3A82">
        <w:rPr>
          <w:rFonts w:ascii="Tahoma" w:hAnsi="Tahoma" w:cs="Tahoma"/>
          <w:sz w:val="18"/>
          <w:szCs w:val="18"/>
          <w:rtl/>
          <w:lang w:bidi="ar"/>
        </w:rPr>
        <w:t>إن دمج الشباب العرب المتعطّل في المجتمع الإسرائيلي وفي سوق العمل هو التحدي المركزي والأكثر تعقيدا الذي يواجه حكومة إسرائيل، وخاصة عند الحديث عن الشباب البدو. مواجهة هذا التحدي س</w:t>
      </w:r>
      <w:r w:rsidRPr="00AF3A82">
        <w:rPr>
          <w:rFonts w:ascii="Tahoma" w:hAnsi="Tahoma" w:cs="Tahoma" w:hint="cs"/>
          <w:sz w:val="18"/>
          <w:szCs w:val="18"/>
          <w:rtl/>
          <w:lang w:bidi="ar"/>
        </w:rPr>
        <w:t>ت</w:t>
      </w:r>
      <w:r w:rsidRPr="00AF3A82">
        <w:rPr>
          <w:rFonts w:ascii="Tahoma" w:hAnsi="Tahoma" w:cs="Tahoma"/>
          <w:sz w:val="18"/>
          <w:szCs w:val="18"/>
          <w:rtl/>
          <w:lang w:bidi="ar"/>
        </w:rPr>
        <w:t>ساهم في تقليص الفجوات الاجتماعية - الاقتصادية، وفي تحسين إيمان هؤلاء الشباب بأنفسهم، وفي تقليص حجم ظاهرة الجريمة في صفوفهم و</w:t>
      </w:r>
      <w:r w:rsidRPr="00AF3A82">
        <w:rPr>
          <w:rFonts w:ascii="Tahoma" w:hAnsi="Tahoma" w:cs="Tahoma" w:hint="cs"/>
          <w:sz w:val="18"/>
          <w:szCs w:val="18"/>
          <w:rtl/>
          <w:lang w:bidi="ar"/>
        </w:rPr>
        <w:t xml:space="preserve">في </w:t>
      </w:r>
      <w:r w:rsidRPr="00AF3A82">
        <w:rPr>
          <w:rFonts w:ascii="Tahoma" w:hAnsi="Tahoma" w:cs="Tahoma"/>
          <w:sz w:val="18"/>
          <w:szCs w:val="18"/>
          <w:rtl/>
          <w:lang w:bidi="ar"/>
        </w:rPr>
        <w:t xml:space="preserve">رفع مستوى </w:t>
      </w:r>
      <w:r w:rsidRPr="00393713" w:rsidR="00393713">
        <w:rPr>
          <w:rFonts w:ascii="Tahoma" w:hAnsi="Tahoma" w:cs="Tahoma"/>
          <w:sz w:val="18"/>
          <w:szCs w:val="18"/>
          <w:rtl/>
          <w:lang w:bidi="ar"/>
        </w:rPr>
        <w:t>جودة</w:t>
      </w:r>
      <w:r w:rsidR="00393713">
        <w:rPr>
          <w:rFonts w:ascii="Tahoma" w:hAnsi="Tahoma" w:cs="Tahoma"/>
          <w:sz w:val="18"/>
          <w:szCs w:val="18"/>
          <w:lang w:bidi="ar"/>
        </w:rPr>
        <w:t xml:space="preserve"> </w:t>
      </w:r>
      <w:r w:rsidRPr="00AF3A82">
        <w:rPr>
          <w:rFonts w:ascii="Tahoma" w:hAnsi="Tahoma" w:cs="Tahoma"/>
          <w:sz w:val="18"/>
          <w:szCs w:val="18"/>
          <w:rtl/>
          <w:lang w:bidi="ar"/>
        </w:rPr>
        <w:t xml:space="preserve">حياتهم وانتاجيتهم، وبهذا </w:t>
      </w:r>
      <w:r w:rsidRPr="00AF3A82">
        <w:rPr>
          <w:rFonts w:ascii="Tahoma" w:hAnsi="Tahoma" w:cs="Tahoma" w:hint="cs"/>
          <w:sz w:val="18"/>
          <w:szCs w:val="18"/>
          <w:rtl/>
          <w:lang w:bidi="ar"/>
        </w:rPr>
        <w:t>س</w:t>
      </w:r>
      <w:r w:rsidRPr="00AF3A82">
        <w:rPr>
          <w:rFonts w:ascii="Tahoma" w:hAnsi="Tahoma" w:cs="Tahoma"/>
          <w:sz w:val="18"/>
          <w:szCs w:val="18"/>
          <w:rtl/>
          <w:lang w:bidi="ar"/>
        </w:rPr>
        <w:t xml:space="preserve">يمكنهم المساهمة في رفع انتاجية الاقتصاد الإسرائيلي بأسره.  نوصي الحكومة بالعمل من أجل دمج هؤلاء الشباب أيضا بحسب توصيات هذا التقرير. </w:t>
      </w: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A13DA3">
          <w:headerReference w:type="even" r:id="rId31"/>
          <w:footerReference w:type="even" r:id="rId32"/>
          <w:pgSz w:w="11906" w:h="16838" w:code="9"/>
          <w:pgMar w:top="3062" w:right="2268" w:bottom="2552" w:left="2268" w:header="1134" w:footer="1361" w:gutter="0"/>
          <w:pgNumType w:start="59"/>
          <w:cols w:space="708"/>
          <w:bidi/>
          <w:rtlGutter/>
          <w:docGrid w:linePitch="360"/>
        </w:sectPr>
      </w:pPr>
    </w:p>
    <w:p w:rsidR="005B2BF5" w:rsidP="00A3521C" w14:paraId="4E9E45BD" w14:textId="4D12E3EB">
      <w:pPr>
        <w:pStyle w:val="7392"/>
        <w:rPr>
          <w:rtl/>
        </w:rPr>
      </w:pPr>
      <w:r>
        <w:rPr>
          <w:noProof/>
          <w:rtl/>
          <w:lang w:val="he-IL"/>
        </w:rPr>
        <mc:AlternateContent>
          <mc:Choice Requires="wps">
            <w:drawing>
              <wp:anchor distT="0" distB="0" distL="114300" distR="114300" simplePos="0" relativeHeight="251715584" behindDoc="0" locked="0" layoutInCell="1" allowOverlap="1">
                <wp:simplePos x="0" y="0"/>
                <wp:positionH relativeFrom="column">
                  <wp:posOffset>3182620</wp:posOffset>
                </wp:positionH>
                <wp:positionV relativeFrom="paragraph">
                  <wp:posOffset>6923859</wp:posOffset>
                </wp:positionV>
                <wp:extent cx="2089694" cy="936172"/>
                <wp:effectExtent l="0" t="0" r="6350" b="3810"/>
                <wp:wrapNone/>
                <wp:docPr id="1499804852"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2089694" cy="93617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41" style="width:164.55pt;height:73.7pt;margin-top:545.2pt;margin-left:250.6pt;mso-width-percent:0;mso-width-relative:margin;mso-wrap-distance-bottom:0;mso-wrap-distance-left:9pt;mso-wrap-distance-right:9pt;mso-wrap-distance-top:0;mso-wrap-style:square;position:absolute;visibility:visible;v-text-anchor:middle;z-index:251716608" fillcolor="white" stroked="f" strokeweight="1.25pt"/>
            </w:pict>
          </mc:Fallback>
        </mc:AlternateContent>
      </w:r>
      <w:r>
        <w:rPr>
          <w:noProof/>
          <w:rtl/>
          <w:lang w:val="he-IL"/>
        </w:rPr>
        <mc:AlternateContent>
          <mc:Choice Requires="wps">
            <w:drawing>
              <wp:anchor distT="0" distB="0" distL="114300" distR="114300" simplePos="0" relativeHeight="251713536" behindDoc="0" locked="0" layoutInCell="1" allowOverlap="1">
                <wp:simplePos x="0" y="0"/>
                <wp:positionH relativeFrom="column">
                  <wp:posOffset>-1425666</wp:posOffset>
                </wp:positionH>
                <wp:positionV relativeFrom="paragraph">
                  <wp:posOffset>-761456</wp:posOffset>
                </wp:positionV>
                <wp:extent cx="6139543" cy="936172"/>
                <wp:effectExtent l="0" t="0" r="0" b="3810"/>
                <wp:wrapNone/>
                <wp:docPr id="192108252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39543" cy="93617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42" style="width:483.45pt;height:73.7pt;margin-top:-59.95pt;margin-left:-112.25pt;mso-wrap-distance-bottom:0;mso-wrap-distance-left:9pt;mso-wrap-distance-right:9pt;mso-wrap-distance-top:0;mso-wrap-style:square;position:absolute;visibility:visible;v-text-anchor:middle;z-index:251714560" fillcolor="white" stroked="f" strokeweight="1.25pt"/>
            </w:pict>
          </mc:Fallback>
        </mc:AlternateContent>
      </w:r>
    </w:p>
    <w:sectPr w:rsidSect="00F35B8C">
      <w:headerReference w:type="default" r:id="rId33"/>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0F243C" w14:paraId="5C90AC01" w14:textId="77777777">
      <w:pPr>
        <w:spacing w:line="240" w:lineRule="auto"/>
      </w:pPr>
      <w:r>
        <w:separator/>
      </w:r>
    </w:p>
    <w:p w:rsidR="000F243C" w14:paraId="35239981" w14:textId="77777777"/>
    <w:p w:rsidR="000F243C" w14:paraId="31C4AD00" w14:textId="77777777"/>
    <w:p w:rsidR="000F243C" w14:paraId="612DA93F" w14:textId="77777777"/>
  </w:endnote>
  <w:endnote w:type="continuationSeparator" w:id="1">
    <w:p w:rsidR="000F243C" w14:paraId="5DF2C0AD" w14:textId="77777777">
      <w:pPr>
        <w:spacing w:line="240" w:lineRule="auto"/>
      </w:pPr>
      <w:r>
        <w:continuationSeparator/>
      </w:r>
    </w:p>
    <w:p w:rsidR="000F243C" w14:paraId="44D697D8" w14:textId="77777777"/>
    <w:p w:rsidR="000F243C" w14:paraId="778C21FE" w14:textId="77777777"/>
    <w:p w:rsidR="000F243C" w14:paraId="5600F6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B28" w14:paraId="3342DC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B28" w14:paraId="47322AD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F243C" w:rsidP="00E7235E" w14:paraId="38420866" w14:textId="77777777">
      <w:pPr>
        <w:spacing w:line="240" w:lineRule="auto"/>
      </w:pPr>
      <w:r>
        <w:separator/>
      </w:r>
    </w:p>
  </w:footnote>
  <w:footnote w:type="continuationSeparator" w:id="1">
    <w:p w:rsidR="000F243C" w:rsidP="00C23CC9" w14:paraId="05730206" w14:textId="77777777">
      <w:pPr>
        <w:spacing w:line="240" w:lineRule="auto"/>
      </w:pPr>
      <w:r>
        <w:continuationSeparator/>
      </w:r>
    </w:p>
    <w:p w:rsidR="000F243C" w14:paraId="28214545" w14:textId="77777777"/>
    <w:p w:rsidR="000F243C" w14:paraId="1F6B3E89" w14:textId="77777777"/>
    <w:p w:rsidR="000F243C" w14:paraId="704AD8C5" w14:textId="77777777"/>
  </w:footnote>
  <w:footnote w:id="2">
    <w:p w:rsidR="00FD005E" w:rsidRPr="00FD005E" w:rsidP="00FD005E" w14:paraId="3471CE2F" w14:textId="126D4F45">
      <w:pPr>
        <w:pStyle w:val="712"/>
        <w:rPr>
          <w:rtl/>
        </w:rPr>
      </w:pPr>
      <w:r w:rsidRPr="00FD005E">
        <w:rPr>
          <w:rStyle w:val="FootnoteReference0"/>
          <w:vertAlign w:val="baseline"/>
        </w:rPr>
        <w:footnoteRef/>
      </w:r>
      <w:r w:rsidRPr="00FD005E">
        <w:rPr>
          <w:rtl/>
        </w:rPr>
        <w:t xml:space="preserve"> </w:t>
      </w:r>
      <w:r>
        <w:tab/>
      </w:r>
      <w:r w:rsidRPr="00FD005E">
        <w:rPr>
          <w:rtl/>
        </w:rPr>
        <w:t>في</w:t>
      </w:r>
      <w:r w:rsidRPr="00FD005E">
        <w:rPr>
          <w:rtl/>
        </w:rPr>
        <w:t xml:space="preserve"> </w:t>
      </w:r>
      <w:r w:rsidRPr="00FD005E">
        <w:rPr>
          <w:rtl/>
        </w:rPr>
        <w:t>كل</w:t>
      </w:r>
      <w:r w:rsidRPr="00FD005E">
        <w:rPr>
          <w:rtl/>
        </w:rPr>
        <w:t xml:space="preserve"> </w:t>
      </w:r>
      <w:r w:rsidRPr="00FD005E">
        <w:rPr>
          <w:rtl/>
        </w:rPr>
        <w:t>مرة</w:t>
      </w:r>
      <w:r w:rsidRPr="00FD005E">
        <w:rPr>
          <w:rtl/>
        </w:rPr>
        <w:t xml:space="preserve"> </w:t>
      </w:r>
      <w:r w:rsidRPr="00FD005E">
        <w:rPr>
          <w:rtl/>
        </w:rPr>
        <w:t>تُذكر</w:t>
      </w:r>
      <w:r w:rsidRPr="00FD005E">
        <w:rPr>
          <w:rtl/>
        </w:rPr>
        <w:t xml:space="preserve"> </w:t>
      </w:r>
      <w:r w:rsidRPr="00FD005E">
        <w:rPr>
          <w:rtl/>
        </w:rPr>
        <w:t>فيها</w:t>
      </w:r>
      <w:r w:rsidRPr="00FD005E">
        <w:rPr>
          <w:rtl/>
        </w:rPr>
        <w:t xml:space="preserve"> </w:t>
      </w:r>
      <w:r w:rsidRPr="00FD005E">
        <w:rPr>
          <w:rtl/>
        </w:rPr>
        <w:t>كلمة</w:t>
      </w:r>
      <w:r w:rsidRPr="00FD005E">
        <w:rPr>
          <w:rtl/>
        </w:rPr>
        <w:t xml:space="preserve"> "</w:t>
      </w:r>
      <w:r w:rsidRPr="00FD005E">
        <w:rPr>
          <w:rtl/>
        </w:rPr>
        <w:t>شباب</w:t>
      </w:r>
      <w:r w:rsidRPr="00FD005E">
        <w:rPr>
          <w:rtl/>
        </w:rPr>
        <w:t xml:space="preserve">" </w:t>
      </w:r>
      <w:r w:rsidRPr="00FD005E">
        <w:rPr>
          <w:rtl/>
        </w:rPr>
        <w:t>في</w:t>
      </w:r>
      <w:r w:rsidRPr="00FD005E">
        <w:rPr>
          <w:rtl/>
        </w:rPr>
        <w:t xml:space="preserve"> </w:t>
      </w:r>
      <w:r w:rsidRPr="00FD005E">
        <w:rPr>
          <w:rtl/>
        </w:rPr>
        <w:t>هذا</w:t>
      </w:r>
      <w:r w:rsidRPr="00FD005E">
        <w:rPr>
          <w:rtl/>
        </w:rPr>
        <w:t xml:space="preserve"> </w:t>
      </w:r>
      <w:r w:rsidRPr="00FD005E">
        <w:rPr>
          <w:rtl/>
        </w:rPr>
        <w:t>الملخص</w:t>
      </w:r>
      <w:r w:rsidRPr="00FD005E">
        <w:rPr>
          <w:rtl/>
        </w:rPr>
        <w:t xml:space="preserve"> </w:t>
      </w:r>
      <w:r w:rsidRPr="00FD005E">
        <w:rPr>
          <w:rtl/>
        </w:rPr>
        <w:t>يكون</w:t>
      </w:r>
      <w:r w:rsidRPr="00FD005E">
        <w:rPr>
          <w:rtl/>
        </w:rPr>
        <w:t xml:space="preserve"> </w:t>
      </w:r>
      <w:r w:rsidRPr="00FD005E">
        <w:rPr>
          <w:rtl/>
        </w:rPr>
        <w:t>القصد</w:t>
      </w:r>
      <w:r w:rsidRPr="00FD005E">
        <w:rPr>
          <w:rtl/>
        </w:rPr>
        <w:t xml:space="preserve"> </w:t>
      </w:r>
      <w:r w:rsidRPr="00FD005E">
        <w:rPr>
          <w:rtl/>
        </w:rPr>
        <w:t>للرجال</w:t>
      </w:r>
      <w:r w:rsidRPr="00FD005E">
        <w:rPr>
          <w:rtl/>
        </w:rPr>
        <w:t xml:space="preserve"> </w:t>
      </w:r>
      <w:r w:rsidRPr="00FD005E">
        <w:rPr>
          <w:rtl/>
        </w:rPr>
        <w:t>والنساء</w:t>
      </w:r>
      <w:r w:rsidRPr="00FD005E">
        <w:rPr>
          <w:rtl/>
        </w:rPr>
        <w:t xml:space="preserve"> </w:t>
      </w:r>
      <w:r w:rsidRPr="00FD005E">
        <w:rPr>
          <w:rtl/>
        </w:rPr>
        <w:t>على</w:t>
      </w:r>
      <w:r w:rsidRPr="00FD005E">
        <w:rPr>
          <w:rtl/>
        </w:rPr>
        <w:t xml:space="preserve"> </w:t>
      </w:r>
      <w:r w:rsidRPr="00FD005E">
        <w:rPr>
          <w:rtl/>
        </w:rPr>
        <w:t>حد</w:t>
      </w:r>
      <w:r w:rsidRPr="00FD005E">
        <w:rPr>
          <w:rtl/>
        </w:rPr>
        <w:t xml:space="preserve"> </w:t>
      </w:r>
      <w:r w:rsidRPr="00FD005E">
        <w:rPr>
          <w:rtl/>
        </w:rPr>
        <w:t>سواء</w:t>
      </w:r>
      <w:r w:rsidRPr="00FD005E">
        <w:rPr>
          <w:rtl/>
        </w:rPr>
        <w:t xml:space="preserve">. </w:t>
      </w:r>
      <w:r w:rsidRPr="00FD005E">
        <w:rPr>
          <w:rtl/>
        </w:rPr>
        <w:t>عندما</w:t>
      </w:r>
      <w:r w:rsidRPr="00FD005E">
        <w:rPr>
          <w:rtl/>
        </w:rPr>
        <w:t xml:space="preserve"> </w:t>
      </w:r>
      <w:r w:rsidRPr="00FD005E">
        <w:rPr>
          <w:rtl/>
        </w:rPr>
        <w:t>يكون</w:t>
      </w:r>
      <w:r w:rsidRPr="00FD005E">
        <w:rPr>
          <w:rtl/>
        </w:rPr>
        <w:t xml:space="preserve"> </w:t>
      </w:r>
      <w:r w:rsidRPr="00FD005E">
        <w:rPr>
          <w:rtl/>
        </w:rPr>
        <w:t>التطرق</w:t>
      </w:r>
      <w:r w:rsidRPr="00FD005E">
        <w:rPr>
          <w:rtl/>
        </w:rPr>
        <w:t xml:space="preserve"> </w:t>
      </w:r>
      <w:r w:rsidRPr="00FD005E">
        <w:rPr>
          <w:rtl/>
        </w:rPr>
        <w:t>لجنس</w:t>
      </w:r>
      <w:r w:rsidRPr="00FD005E">
        <w:rPr>
          <w:rtl/>
        </w:rPr>
        <w:t xml:space="preserve"> </w:t>
      </w:r>
      <w:r w:rsidRPr="00FD005E">
        <w:rPr>
          <w:rtl/>
        </w:rPr>
        <w:t>محدد،سيُكتب</w:t>
      </w:r>
      <w:r w:rsidRPr="00FD005E">
        <w:rPr>
          <w:rtl/>
        </w:rPr>
        <w:t xml:space="preserve"> </w:t>
      </w:r>
      <w:r w:rsidRPr="00FD005E">
        <w:rPr>
          <w:rtl/>
        </w:rPr>
        <w:t>المصطلح</w:t>
      </w:r>
      <w:r w:rsidRPr="00FD005E">
        <w:rPr>
          <w:rtl/>
        </w:rPr>
        <w:t xml:space="preserve"> </w:t>
      </w:r>
      <w:r w:rsidRPr="00FD005E">
        <w:rPr>
          <w:rtl/>
        </w:rPr>
        <w:t>الملائم</w:t>
      </w:r>
      <w:r w:rsidRPr="00FD005E">
        <w:rPr>
          <w:rtl/>
        </w:rPr>
        <w:t>.</w:t>
      </w:r>
      <w:r w:rsidRPr="00FD005E">
        <w:tab/>
      </w:r>
    </w:p>
  </w:footnote>
  <w:footnote w:id="3">
    <w:p w:rsidR="00FD005E" w:rsidRPr="00FD005E" w:rsidP="00FD005E" w14:paraId="0CFFA03E" w14:textId="5DE32181">
      <w:pPr>
        <w:pStyle w:val="712"/>
        <w:rPr>
          <w:rtl/>
        </w:rPr>
      </w:pPr>
      <w:r w:rsidRPr="00FD005E">
        <w:rPr>
          <w:rStyle w:val="FootnoteReference0"/>
          <w:vertAlign w:val="baseline"/>
        </w:rPr>
        <w:footnoteRef/>
      </w:r>
      <w:r w:rsidRPr="00FD005E">
        <w:rPr>
          <w:rtl/>
        </w:rPr>
        <w:t xml:space="preserve"> </w:t>
      </w:r>
      <w:r>
        <w:tab/>
      </w:r>
      <w:r w:rsidRPr="00FD005E">
        <w:rPr>
          <w:rtl/>
        </w:rPr>
        <w:t>في</w:t>
      </w:r>
      <w:r w:rsidRPr="00FD005E">
        <w:rPr>
          <w:rtl/>
        </w:rPr>
        <w:t xml:space="preserve"> </w:t>
      </w:r>
      <w:r w:rsidRPr="00FD005E">
        <w:rPr>
          <w:rtl/>
        </w:rPr>
        <w:t>الأدبيات</w:t>
      </w:r>
      <w:r w:rsidRPr="00FD005E">
        <w:rPr>
          <w:rtl/>
        </w:rPr>
        <w:t xml:space="preserve"> </w:t>
      </w:r>
      <w:r w:rsidRPr="00FD005E">
        <w:rPr>
          <w:rtl/>
        </w:rPr>
        <w:t>المهنية</w:t>
      </w:r>
      <w:r w:rsidRPr="00FD005E">
        <w:rPr>
          <w:rtl/>
        </w:rPr>
        <w:t xml:space="preserve"> </w:t>
      </w:r>
      <w:r w:rsidRPr="00FD005E">
        <w:rPr>
          <w:rtl/>
        </w:rPr>
        <w:t>باللغة</w:t>
      </w:r>
      <w:r w:rsidRPr="00FD005E">
        <w:rPr>
          <w:rtl/>
        </w:rPr>
        <w:t xml:space="preserve"> </w:t>
      </w:r>
      <w:r w:rsidRPr="00FD005E">
        <w:rPr>
          <w:rtl/>
        </w:rPr>
        <w:t>الإنجليزية</w:t>
      </w:r>
      <w:r w:rsidRPr="00FD005E">
        <w:rPr>
          <w:rtl/>
        </w:rPr>
        <w:t xml:space="preserve"> </w:t>
      </w:r>
      <w:r w:rsidRPr="00FD005E">
        <w:rPr>
          <w:rtl/>
        </w:rPr>
        <w:t>يُطلق</w:t>
      </w:r>
      <w:r w:rsidRPr="00FD005E">
        <w:rPr>
          <w:rtl/>
        </w:rPr>
        <w:t xml:space="preserve"> </w:t>
      </w:r>
      <w:r w:rsidRPr="00FD005E">
        <w:rPr>
          <w:rtl/>
        </w:rPr>
        <w:t>على</w:t>
      </w:r>
      <w:r w:rsidRPr="00FD005E">
        <w:rPr>
          <w:rtl/>
        </w:rPr>
        <w:t xml:space="preserve"> </w:t>
      </w:r>
      <w:r w:rsidRPr="00FD005E">
        <w:rPr>
          <w:rtl/>
        </w:rPr>
        <w:t>الشباب</w:t>
      </w:r>
      <w:r w:rsidRPr="00FD005E">
        <w:rPr>
          <w:rtl/>
        </w:rPr>
        <w:t xml:space="preserve"> </w:t>
      </w:r>
      <w:r w:rsidRPr="00FD005E">
        <w:rPr>
          <w:rtl/>
        </w:rPr>
        <w:t>الذين</w:t>
      </w:r>
      <w:r w:rsidRPr="00FD005E">
        <w:rPr>
          <w:rtl/>
        </w:rPr>
        <w:t xml:space="preserve"> </w:t>
      </w:r>
      <w:r w:rsidRPr="00FD005E">
        <w:rPr>
          <w:rtl/>
        </w:rPr>
        <w:t>لا</w:t>
      </w:r>
      <w:r w:rsidRPr="00FD005E">
        <w:rPr>
          <w:rtl/>
        </w:rPr>
        <w:t xml:space="preserve"> </w:t>
      </w:r>
      <w:r w:rsidRPr="00FD005E">
        <w:rPr>
          <w:rtl/>
        </w:rPr>
        <w:t>يعملون</w:t>
      </w:r>
      <w:r w:rsidRPr="00FD005E">
        <w:rPr>
          <w:rtl/>
        </w:rPr>
        <w:t xml:space="preserve"> </w:t>
      </w:r>
      <w:r w:rsidRPr="00FD005E">
        <w:rPr>
          <w:rtl/>
        </w:rPr>
        <w:t>ولا</w:t>
      </w:r>
      <w:r w:rsidRPr="00FD005E">
        <w:rPr>
          <w:rtl/>
        </w:rPr>
        <w:t xml:space="preserve"> </w:t>
      </w:r>
      <w:r w:rsidRPr="00FD005E">
        <w:rPr>
          <w:rtl/>
        </w:rPr>
        <w:t>يتعلمون</w:t>
      </w:r>
      <w:r w:rsidRPr="00FD005E">
        <w:rPr>
          <w:rtl/>
        </w:rPr>
        <w:t xml:space="preserve"> </w:t>
      </w:r>
      <w:r w:rsidRPr="00FD005E">
        <w:rPr>
          <w:rtl/>
        </w:rPr>
        <w:t>وليسوا</w:t>
      </w:r>
      <w:r w:rsidRPr="00FD005E">
        <w:rPr>
          <w:rtl/>
        </w:rPr>
        <w:t xml:space="preserve"> </w:t>
      </w:r>
      <w:r w:rsidRPr="00FD005E">
        <w:rPr>
          <w:rtl/>
        </w:rPr>
        <w:t>في</w:t>
      </w:r>
      <w:r w:rsidRPr="00FD005E">
        <w:rPr>
          <w:rtl/>
        </w:rPr>
        <w:t xml:space="preserve"> </w:t>
      </w:r>
      <w:r w:rsidRPr="00FD005E">
        <w:rPr>
          <w:rtl/>
        </w:rPr>
        <w:t>إي</w:t>
      </w:r>
      <w:r w:rsidRPr="00FD005E">
        <w:rPr>
          <w:rtl/>
        </w:rPr>
        <w:t xml:space="preserve"> </w:t>
      </w:r>
      <w:r w:rsidRPr="00FD005E">
        <w:rPr>
          <w:rtl/>
        </w:rPr>
        <w:t>إطار</w:t>
      </w:r>
      <w:r w:rsidRPr="00FD005E">
        <w:rPr>
          <w:rtl/>
        </w:rPr>
        <w:t xml:space="preserve"> </w:t>
      </w:r>
      <w:r w:rsidRPr="00FD005E">
        <w:rPr>
          <w:rtl/>
        </w:rPr>
        <w:t>تدريبي</w:t>
      </w:r>
      <w:r w:rsidRPr="00FD005E">
        <w:rPr>
          <w:rtl/>
        </w:rPr>
        <w:t xml:space="preserve"> </w:t>
      </w:r>
      <w:r w:rsidRPr="00FD005E">
        <w:rPr>
          <w:rtl/>
        </w:rPr>
        <w:t>مصطلح</w:t>
      </w:r>
      <w:r w:rsidRPr="00FD005E">
        <w:rPr>
          <w:rtl/>
        </w:rPr>
        <w:t xml:space="preserve"> "</w:t>
      </w:r>
      <w:r w:rsidRPr="00FD005E">
        <w:t>NEET" (Not in Education, Employment, or Training)</w:t>
      </w:r>
      <w:r w:rsidRPr="00FD005E">
        <w:rPr>
          <w:rtl/>
        </w:rPr>
        <w:t xml:space="preserve">، </w:t>
      </w:r>
      <w:r w:rsidRPr="00FD005E">
        <w:rPr>
          <w:rtl/>
        </w:rPr>
        <w:t>وبالعبرية</w:t>
      </w:r>
      <w:r w:rsidRPr="00FD005E">
        <w:rPr>
          <w:rtl/>
        </w:rPr>
        <w:t xml:space="preserve"> צעירים חסרי מעש. </w:t>
      </w:r>
      <w:r w:rsidRPr="00FD005E">
        <w:rPr>
          <w:rtl/>
        </w:rPr>
        <w:t>لم</w:t>
      </w:r>
      <w:r w:rsidRPr="00FD005E">
        <w:rPr>
          <w:rtl/>
        </w:rPr>
        <w:t xml:space="preserve"> </w:t>
      </w:r>
      <w:r w:rsidRPr="00FD005E">
        <w:rPr>
          <w:rtl/>
        </w:rPr>
        <w:t>نجد</w:t>
      </w:r>
      <w:r w:rsidRPr="00FD005E">
        <w:rPr>
          <w:rtl/>
        </w:rPr>
        <w:t xml:space="preserve"> </w:t>
      </w:r>
      <w:r w:rsidRPr="00FD005E">
        <w:rPr>
          <w:rtl/>
        </w:rPr>
        <w:t>في</w:t>
      </w:r>
      <w:r w:rsidRPr="00FD005E">
        <w:rPr>
          <w:rtl/>
        </w:rPr>
        <w:t xml:space="preserve"> </w:t>
      </w:r>
      <w:r w:rsidRPr="00FD005E">
        <w:rPr>
          <w:rtl/>
        </w:rPr>
        <w:t>الأدبيات</w:t>
      </w:r>
      <w:r w:rsidRPr="00FD005E">
        <w:rPr>
          <w:rtl/>
        </w:rPr>
        <w:t xml:space="preserve"> </w:t>
      </w:r>
      <w:r w:rsidRPr="00FD005E">
        <w:rPr>
          <w:rtl/>
        </w:rPr>
        <w:t>والأبحاث</w:t>
      </w:r>
      <w:r w:rsidRPr="00FD005E">
        <w:rPr>
          <w:rtl/>
        </w:rPr>
        <w:t xml:space="preserve"> </w:t>
      </w:r>
      <w:r w:rsidRPr="00FD005E">
        <w:rPr>
          <w:rtl/>
        </w:rPr>
        <w:t>الأكاديمية</w:t>
      </w:r>
      <w:r w:rsidRPr="00FD005E">
        <w:rPr>
          <w:rtl/>
        </w:rPr>
        <w:t xml:space="preserve"> </w:t>
      </w:r>
      <w:r w:rsidRPr="00FD005E">
        <w:rPr>
          <w:rtl/>
        </w:rPr>
        <w:t>العربية</w:t>
      </w:r>
      <w:r w:rsidRPr="00FD005E">
        <w:rPr>
          <w:rtl/>
        </w:rPr>
        <w:t xml:space="preserve"> </w:t>
      </w:r>
      <w:r w:rsidRPr="00FD005E">
        <w:rPr>
          <w:rtl/>
        </w:rPr>
        <w:t>تعريبًا</w:t>
      </w:r>
      <w:r w:rsidRPr="00FD005E">
        <w:rPr>
          <w:rtl/>
        </w:rPr>
        <w:t xml:space="preserve"> </w:t>
      </w:r>
      <w:r w:rsidRPr="00FD005E">
        <w:rPr>
          <w:rtl/>
        </w:rPr>
        <w:t>دقيقًا</w:t>
      </w:r>
      <w:r w:rsidRPr="00FD005E">
        <w:rPr>
          <w:rtl/>
        </w:rPr>
        <w:t xml:space="preserve"> </w:t>
      </w:r>
      <w:r w:rsidRPr="00FD005E">
        <w:rPr>
          <w:rtl/>
        </w:rPr>
        <w:t>ومعتمداً</w:t>
      </w:r>
      <w:r w:rsidRPr="00FD005E">
        <w:rPr>
          <w:rtl/>
        </w:rPr>
        <w:t xml:space="preserve"> </w:t>
      </w:r>
      <w:r w:rsidRPr="00FD005E">
        <w:rPr>
          <w:rtl/>
        </w:rPr>
        <w:t>لهذا</w:t>
      </w:r>
      <w:r w:rsidRPr="00FD005E">
        <w:rPr>
          <w:rtl/>
        </w:rPr>
        <w:t xml:space="preserve"> </w:t>
      </w:r>
      <w:r w:rsidRPr="00FD005E">
        <w:rPr>
          <w:rtl/>
        </w:rPr>
        <w:t>المصطلح</w:t>
      </w:r>
      <w:r w:rsidRPr="00FD005E">
        <w:rPr>
          <w:rtl/>
        </w:rPr>
        <w:t xml:space="preserve"> </w:t>
      </w:r>
      <w:r w:rsidRPr="00FD005E">
        <w:rPr>
          <w:rtl/>
        </w:rPr>
        <w:t>فاخترنا</w:t>
      </w:r>
      <w:r w:rsidRPr="00FD005E">
        <w:rPr>
          <w:rtl/>
        </w:rPr>
        <w:t xml:space="preserve"> </w:t>
      </w:r>
      <w:r w:rsidRPr="00FD005E">
        <w:rPr>
          <w:rtl/>
        </w:rPr>
        <w:t>تعريب</w:t>
      </w:r>
      <w:r w:rsidRPr="00FD005E">
        <w:rPr>
          <w:rtl/>
        </w:rPr>
        <w:t xml:space="preserve"> </w:t>
      </w:r>
      <w:r w:rsidRPr="00FD005E">
        <w:rPr>
          <w:rtl/>
        </w:rPr>
        <w:t>المصطلح</w:t>
      </w:r>
      <w:r w:rsidRPr="00FD005E">
        <w:rPr>
          <w:rtl/>
        </w:rPr>
        <w:t xml:space="preserve"> لـ "</w:t>
      </w:r>
      <w:r w:rsidRPr="00FD005E">
        <w:rPr>
          <w:rtl/>
        </w:rPr>
        <w:t>الشباب</w:t>
      </w:r>
      <w:r w:rsidRPr="00FD005E">
        <w:rPr>
          <w:rtl/>
        </w:rPr>
        <w:t xml:space="preserve"> </w:t>
      </w:r>
      <w:r w:rsidRPr="00FD005E">
        <w:rPr>
          <w:rtl/>
        </w:rPr>
        <w:t>المتعطّل</w:t>
      </w:r>
      <w:r w:rsidRPr="00FD005E">
        <w:rPr>
          <w:rtl/>
        </w:rPr>
        <w:t xml:space="preserve">"، </w:t>
      </w:r>
      <w:r w:rsidRPr="00FD005E">
        <w:rPr>
          <w:rtl/>
        </w:rPr>
        <w:t>أي</w:t>
      </w:r>
      <w:r w:rsidRPr="00FD005E">
        <w:rPr>
          <w:rtl/>
        </w:rPr>
        <w:t xml:space="preserve"> </w:t>
      </w:r>
      <w:r w:rsidRPr="00FD005E">
        <w:rPr>
          <w:rtl/>
        </w:rPr>
        <w:t>الذي</w:t>
      </w:r>
      <w:r w:rsidRPr="00FD005E">
        <w:rPr>
          <w:rtl/>
        </w:rPr>
        <w:t xml:space="preserve"> </w:t>
      </w:r>
      <w:r w:rsidRPr="00FD005E">
        <w:rPr>
          <w:rtl/>
        </w:rPr>
        <w:t>يعيش</w:t>
      </w:r>
      <w:r w:rsidRPr="00FD005E">
        <w:rPr>
          <w:rtl/>
        </w:rPr>
        <w:t xml:space="preserve"> </w:t>
      </w:r>
      <w:r w:rsidRPr="00FD005E">
        <w:rPr>
          <w:rtl/>
        </w:rPr>
        <w:t>في</w:t>
      </w:r>
      <w:r w:rsidRPr="00FD005E">
        <w:rPr>
          <w:rtl/>
        </w:rPr>
        <w:t xml:space="preserve"> </w:t>
      </w:r>
      <w:r w:rsidRPr="00FD005E">
        <w:rPr>
          <w:rtl/>
        </w:rPr>
        <w:t>حالة</w:t>
      </w:r>
      <w:r w:rsidRPr="00FD005E">
        <w:rPr>
          <w:rtl/>
        </w:rPr>
        <w:t xml:space="preserve"> </w:t>
      </w:r>
      <w:r w:rsidRPr="00FD005E">
        <w:rPr>
          <w:rtl/>
        </w:rPr>
        <w:t>عطالة</w:t>
      </w:r>
      <w:r w:rsidRPr="00FD005E">
        <w:rPr>
          <w:rtl/>
        </w:rPr>
        <w:t xml:space="preserve"> </w:t>
      </w:r>
      <w:r w:rsidRPr="00FD005E">
        <w:rPr>
          <w:rtl/>
        </w:rPr>
        <w:t>عن</w:t>
      </w:r>
      <w:r w:rsidRPr="00FD005E">
        <w:rPr>
          <w:rtl/>
        </w:rPr>
        <w:t xml:space="preserve"> </w:t>
      </w:r>
      <w:r w:rsidRPr="00FD005E">
        <w:rPr>
          <w:rtl/>
        </w:rPr>
        <w:t>العمل</w:t>
      </w:r>
      <w:r w:rsidRPr="00FD005E">
        <w:rPr>
          <w:rtl/>
        </w:rPr>
        <w:t xml:space="preserve"> </w:t>
      </w:r>
      <w:r w:rsidRPr="00FD005E">
        <w:rPr>
          <w:rtl/>
        </w:rPr>
        <w:t>أو</w:t>
      </w:r>
      <w:r w:rsidRPr="00FD005E">
        <w:rPr>
          <w:rtl/>
        </w:rPr>
        <w:t xml:space="preserve"> </w:t>
      </w:r>
      <w:r w:rsidRPr="00FD005E">
        <w:rPr>
          <w:rtl/>
        </w:rPr>
        <w:t>التعليم</w:t>
      </w:r>
      <w:r w:rsidRPr="00FD005E">
        <w:rPr>
          <w:rtl/>
        </w:rPr>
        <w:t xml:space="preserve"> </w:t>
      </w:r>
      <w:r w:rsidRPr="00FD005E">
        <w:rPr>
          <w:rtl/>
        </w:rPr>
        <w:t>وهو</w:t>
      </w:r>
      <w:r w:rsidRPr="00FD005E">
        <w:rPr>
          <w:rtl/>
        </w:rPr>
        <w:t xml:space="preserve"> </w:t>
      </w:r>
      <w:r w:rsidRPr="00FD005E">
        <w:rPr>
          <w:rtl/>
        </w:rPr>
        <w:t>قادر</w:t>
      </w:r>
      <w:r w:rsidRPr="00FD005E">
        <w:rPr>
          <w:rtl/>
        </w:rPr>
        <w:t xml:space="preserve"> </w:t>
      </w:r>
      <w:r w:rsidRPr="00FD005E">
        <w:rPr>
          <w:rtl/>
        </w:rPr>
        <w:t>على</w:t>
      </w:r>
      <w:r w:rsidRPr="00FD005E">
        <w:rPr>
          <w:rtl/>
        </w:rPr>
        <w:t xml:space="preserve"> </w:t>
      </w:r>
      <w:r w:rsidRPr="00FD005E">
        <w:rPr>
          <w:rtl/>
        </w:rPr>
        <w:t>القيام</w:t>
      </w:r>
      <w:r w:rsidRPr="00FD005E">
        <w:rPr>
          <w:rtl/>
        </w:rPr>
        <w:t xml:space="preserve"> </w:t>
      </w:r>
      <w:r w:rsidRPr="00FD005E">
        <w:rPr>
          <w:rtl/>
        </w:rPr>
        <w:t>بكليهما</w:t>
      </w:r>
      <w:r w:rsidRPr="00FD005E">
        <w:rPr>
          <w:rtl/>
        </w:rPr>
        <w:t>.</w:t>
      </w:r>
    </w:p>
  </w:footnote>
  <w:footnote w:id="4">
    <w:p w:rsidR="001673B3" w:rsidRPr="0099536C" w:rsidP="0099536C" w14:paraId="77699A41" w14:textId="698E27CA">
      <w:pPr>
        <w:pStyle w:val="733"/>
      </w:pPr>
      <w:r w:rsidRPr="0099536C">
        <w:rPr>
          <w:rStyle w:val="FootnoteReference0"/>
          <w:vertAlign w:val="baseline"/>
        </w:rPr>
        <w:footnoteRef/>
      </w:r>
      <w:r w:rsidRPr="0099536C">
        <w:tab/>
      </w:r>
      <w:r w:rsidRPr="0099536C">
        <w:rPr>
          <w:rtl/>
        </w:rPr>
        <w:t>بعد</w:t>
      </w:r>
      <w:r w:rsidRPr="0099536C">
        <w:rPr>
          <w:rtl/>
        </w:rPr>
        <w:t xml:space="preserve"> </w:t>
      </w:r>
      <w:r w:rsidRPr="0099536C">
        <w:rPr>
          <w:rtl/>
        </w:rPr>
        <w:t>انتهاء</w:t>
      </w:r>
      <w:r w:rsidRPr="0099536C">
        <w:rPr>
          <w:rtl/>
        </w:rPr>
        <w:t xml:space="preserve"> </w:t>
      </w:r>
      <w:r w:rsidRPr="0099536C">
        <w:rPr>
          <w:rtl/>
        </w:rPr>
        <w:t>موعد</w:t>
      </w:r>
      <w:r w:rsidRPr="0099536C">
        <w:rPr>
          <w:rtl/>
        </w:rPr>
        <w:t xml:space="preserve"> </w:t>
      </w:r>
      <w:r w:rsidRPr="0099536C">
        <w:rPr>
          <w:rFonts w:hint="cs"/>
          <w:rtl/>
        </w:rPr>
        <w:t>الرقابة</w:t>
      </w:r>
      <w:r w:rsidRPr="0099536C">
        <w:rPr>
          <w:rtl/>
        </w:rPr>
        <w:t>،</w:t>
      </w:r>
      <w:r w:rsidRPr="0099536C">
        <w:rPr>
          <w:rFonts w:hint="cs"/>
          <w:rtl/>
        </w:rPr>
        <w:t xml:space="preserve"> </w:t>
      </w:r>
      <w:r w:rsidRPr="0099536C">
        <w:rPr>
          <w:rtl/>
        </w:rPr>
        <w:t>قررت</w:t>
      </w:r>
      <w:r w:rsidRPr="0099536C">
        <w:rPr>
          <w:rtl/>
        </w:rPr>
        <w:t xml:space="preserve"> </w:t>
      </w:r>
      <w:r w:rsidRPr="0099536C">
        <w:rPr>
          <w:rtl/>
        </w:rPr>
        <w:t>الحكومة</w:t>
      </w:r>
      <w:r w:rsidRPr="0099536C">
        <w:rPr>
          <w:rtl/>
        </w:rPr>
        <w:t xml:space="preserve"> </w:t>
      </w:r>
      <w:r w:rsidRPr="0099536C">
        <w:rPr>
          <w:rtl/>
        </w:rPr>
        <w:t>يوم</w:t>
      </w:r>
      <w:r w:rsidRPr="0099536C">
        <w:rPr>
          <w:rtl/>
        </w:rPr>
        <w:t xml:space="preserve"> 29.1.23 (</w:t>
      </w:r>
      <w:r w:rsidRPr="0099536C">
        <w:rPr>
          <w:rtl/>
        </w:rPr>
        <w:t>قرار</w:t>
      </w:r>
      <w:r w:rsidRPr="0099536C">
        <w:rPr>
          <w:rtl/>
        </w:rPr>
        <w:t xml:space="preserve"> 93) </w:t>
      </w:r>
      <w:r w:rsidRPr="0099536C">
        <w:rPr>
          <w:rtl/>
        </w:rPr>
        <w:t>إقامة</w:t>
      </w:r>
      <w:r w:rsidRPr="0099536C">
        <w:rPr>
          <w:rtl/>
        </w:rPr>
        <w:t xml:space="preserve"> </w:t>
      </w:r>
      <w:r w:rsidRPr="0099536C">
        <w:rPr>
          <w:rtl/>
        </w:rPr>
        <w:t>وزارة</w:t>
      </w:r>
      <w:r w:rsidRPr="0099536C">
        <w:rPr>
          <w:rtl/>
        </w:rPr>
        <w:t xml:space="preserve"> </w:t>
      </w:r>
      <w:r w:rsidRPr="0099536C">
        <w:rPr>
          <w:rtl/>
        </w:rPr>
        <w:t>العمل</w:t>
      </w:r>
      <w:r w:rsidRPr="0099536C">
        <w:rPr>
          <w:rtl/>
        </w:rPr>
        <w:t xml:space="preserve"> </w:t>
      </w:r>
      <w:r w:rsidRPr="0099536C">
        <w:rPr>
          <w:rtl/>
        </w:rPr>
        <w:t>وأن</w:t>
      </w:r>
      <w:r w:rsidRPr="0099536C">
        <w:rPr>
          <w:rtl/>
        </w:rPr>
        <w:t xml:space="preserve"> </w:t>
      </w:r>
      <w:r w:rsidRPr="0099536C">
        <w:rPr>
          <w:rtl/>
        </w:rPr>
        <w:t>يُنقل</w:t>
      </w:r>
      <w:r w:rsidRPr="0099536C">
        <w:rPr>
          <w:rtl/>
        </w:rPr>
        <w:t xml:space="preserve"> </w:t>
      </w:r>
      <w:r w:rsidRPr="0099536C">
        <w:rPr>
          <w:rtl/>
        </w:rPr>
        <w:t>له</w:t>
      </w:r>
      <w:r w:rsidRPr="0099536C">
        <w:rPr>
          <w:rtl/>
        </w:rPr>
        <w:t xml:space="preserve"> </w:t>
      </w:r>
      <w:r w:rsidRPr="0099536C">
        <w:rPr>
          <w:rtl/>
        </w:rPr>
        <w:t>مجال</w:t>
      </w:r>
      <w:r w:rsidRPr="0099536C">
        <w:rPr>
          <w:rtl/>
        </w:rPr>
        <w:t xml:space="preserve"> </w:t>
      </w:r>
      <w:r w:rsidRPr="0099536C">
        <w:rPr>
          <w:rtl/>
        </w:rPr>
        <w:t>عمل</w:t>
      </w:r>
      <w:r w:rsidRPr="0099536C">
        <w:rPr>
          <w:rtl/>
        </w:rPr>
        <w:t xml:space="preserve"> </w:t>
      </w:r>
      <w:r w:rsidRPr="0099536C">
        <w:rPr>
          <w:rtl/>
        </w:rPr>
        <w:t>جناح</w:t>
      </w:r>
      <w:r w:rsidRPr="0099536C">
        <w:rPr>
          <w:rtl/>
        </w:rPr>
        <w:t xml:space="preserve"> </w:t>
      </w:r>
      <w:r w:rsidRPr="0099536C">
        <w:rPr>
          <w:rtl/>
        </w:rPr>
        <w:t>العمل</w:t>
      </w:r>
      <w:r w:rsidRPr="0099536C">
        <w:rPr>
          <w:rtl/>
        </w:rPr>
        <w:t xml:space="preserve"> </w:t>
      </w:r>
      <w:r w:rsidRPr="0099536C">
        <w:rPr>
          <w:rtl/>
        </w:rPr>
        <w:t>من</w:t>
      </w:r>
      <w:r w:rsidRPr="0099536C">
        <w:rPr>
          <w:rtl/>
        </w:rPr>
        <w:t xml:space="preserve"> </w:t>
      </w:r>
      <w:r w:rsidRPr="0099536C">
        <w:rPr>
          <w:rtl/>
        </w:rPr>
        <w:t>وزارة</w:t>
      </w:r>
      <w:r w:rsidRPr="0099536C">
        <w:rPr>
          <w:rtl/>
        </w:rPr>
        <w:t xml:space="preserve"> </w:t>
      </w:r>
      <w:r w:rsidRPr="0099536C">
        <w:rPr>
          <w:rtl/>
        </w:rPr>
        <w:t>الاقتصاد</w:t>
      </w:r>
      <w:r w:rsidRPr="0099536C">
        <w:rPr>
          <w:rtl/>
        </w:rPr>
        <w:t xml:space="preserve"> </w:t>
      </w:r>
      <w:r w:rsidRPr="0099536C">
        <w:rPr>
          <w:rtl/>
        </w:rPr>
        <w:t>والصناعة</w:t>
      </w:r>
      <w:r w:rsidRPr="0099536C">
        <w:rPr>
          <w:rtl/>
        </w:rPr>
        <w:t xml:space="preserve"> </w:t>
      </w:r>
      <w:r w:rsidRPr="0099536C">
        <w:rPr>
          <w:rtl/>
        </w:rPr>
        <w:t>إلى</w:t>
      </w:r>
      <w:r w:rsidRPr="0099536C">
        <w:rPr>
          <w:rtl/>
        </w:rPr>
        <w:t xml:space="preserve"> </w:t>
      </w:r>
      <w:r w:rsidRPr="0099536C">
        <w:rPr>
          <w:rtl/>
        </w:rPr>
        <w:t>وزارة</w:t>
      </w:r>
      <w:r w:rsidRPr="0099536C">
        <w:rPr>
          <w:rtl/>
        </w:rPr>
        <w:t xml:space="preserve"> </w:t>
      </w:r>
      <w:r w:rsidRPr="0099536C">
        <w:rPr>
          <w:rtl/>
        </w:rPr>
        <w:t>العمل</w:t>
      </w:r>
      <w:r w:rsidRPr="0099536C">
        <w:rPr>
          <w:rtl/>
        </w:rPr>
        <w:t xml:space="preserve">، </w:t>
      </w:r>
      <w:r w:rsidRPr="0099536C">
        <w:rPr>
          <w:rtl/>
        </w:rPr>
        <w:t>باستثناء</w:t>
      </w:r>
      <w:r w:rsidRPr="0099536C">
        <w:rPr>
          <w:rtl/>
        </w:rPr>
        <w:t xml:space="preserve"> </w:t>
      </w:r>
      <w:r w:rsidRPr="0099536C">
        <w:rPr>
          <w:rtl/>
        </w:rPr>
        <w:t>مجال</w:t>
      </w:r>
      <w:r w:rsidRPr="0099536C">
        <w:rPr>
          <w:rtl/>
        </w:rPr>
        <w:t xml:space="preserve"> </w:t>
      </w:r>
      <w:r w:rsidRPr="0099536C">
        <w:rPr>
          <w:rtl/>
        </w:rPr>
        <w:t>عمل</w:t>
      </w:r>
      <w:r w:rsidRPr="0099536C">
        <w:rPr>
          <w:rtl/>
        </w:rPr>
        <w:t xml:space="preserve"> </w:t>
      </w:r>
      <w:r w:rsidRPr="0099536C">
        <w:rPr>
          <w:rtl/>
        </w:rPr>
        <w:t>تأهيل</w:t>
      </w:r>
      <w:r w:rsidRPr="0099536C">
        <w:rPr>
          <w:rtl/>
        </w:rPr>
        <w:t xml:space="preserve"> </w:t>
      </w:r>
      <w:r w:rsidRPr="0099536C">
        <w:rPr>
          <w:rtl/>
        </w:rPr>
        <w:t>البالغين</w:t>
      </w:r>
      <w:r w:rsidRPr="0099536C">
        <w:rPr>
          <w:rtl/>
        </w:rPr>
        <w:t xml:space="preserve"> </w:t>
      </w:r>
      <w:r w:rsidRPr="0099536C">
        <w:rPr>
          <w:rtl/>
        </w:rPr>
        <w:t>والمُشغلين</w:t>
      </w:r>
      <w:r w:rsidRPr="0099536C">
        <w:rPr>
          <w:rtl/>
        </w:rPr>
        <w:t xml:space="preserve"> </w:t>
      </w:r>
      <w:r w:rsidRPr="0099536C">
        <w:rPr>
          <w:rtl/>
        </w:rPr>
        <w:t>في</w:t>
      </w:r>
      <w:r w:rsidRPr="0099536C">
        <w:rPr>
          <w:rtl/>
        </w:rPr>
        <w:t xml:space="preserve"> </w:t>
      </w:r>
      <w:r w:rsidRPr="0099536C">
        <w:rPr>
          <w:rtl/>
        </w:rPr>
        <w:t>قسم</w:t>
      </w:r>
      <w:r w:rsidRPr="0099536C">
        <w:rPr>
          <w:rtl/>
        </w:rPr>
        <w:t xml:space="preserve"> </w:t>
      </w:r>
      <w:r w:rsidRPr="0099536C">
        <w:rPr>
          <w:rtl/>
        </w:rPr>
        <w:t>الـتأهيل</w:t>
      </w:r>
      <w:r w:rsidRPr="0099536C">
        <w:rPr>
          <w:rtl/>
        </w:rPr>
        <w:t xml:space="preserve"> </w:t>
      </w:r>
      <w:r w:rsidRPr="0099536C">
        <w:rPr>
          <w:rtl/>
        </w:rPr>
        <w:t>المهني</w:t>
      </w:r>
      <w:r w:rsidRPr="0099536C">
        <w:rPr>
          <w:rtl/>
        </w:rPr>
        <w:t xml:space="preserve"> </w:t>
      </w:r>
      <w:r w:rsidRPr="0099536C">
        <w:rPr>
          <w:rtl/>
        </w:rPr>
        <w:t>وباستثناء</w:t>
      </w:r>
      <w:r w:rsidRPr="0099536C">
        <w:rPr>
          <w:rtl/>
        </w:rPr>
        <w:t xml:space="preserve"> </w:t>
      </w:r>
      <w:r w:rsidRPr="0099536C">
        <w:rPr>
          <w:rtl/>
        </w:rPr>
        <w:t>مفوضية</w:t>
      </w:r>
      <w:r w:rsidRPr="0099536C">
        <w:rPr>
          <w:rtl/>
        </w:rPr>
        <w:t xml:space="preserve"> </w:t>
      </w:r>
      <w:r w:rsidRPr="0099536C">
        <w:rPr>
          <w:rtl/>
        </w:rPr>
        <w:t>المساواة</w:t>
      </w:r>
      <w:r w:rsidRPr="0099536C">
        <w:rPr>
          <w:rtl/>
        </w:rPr>
        <w:t xml:space="preserve"> </w:t>
      </w:r>
      <w:r w:rsidRPr="0099536C">
        <w:rPr>
          <w:rtl/>
        </w:rPr>
        <w:t>في</w:t>
      </w:r>
      <w:r w:rsidRPr="0099536C">
        <w:rPr>
          <w:rtl/>
        </w:rPr>
        <w:t xml:space="preserve"> </w:t>
      </w:r>
      <w:r w:rsidRPr="0099536C">
        <w:rPr>
          <w:rtl/>
        </w:rPr>
        <w:t>الفرص</w:t>
      </w:r>
      <w:r w:rsidRPr="0099536C">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49B6BC35">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2336" behindDoc="0" locked="0" layoutInCell="1" allowOverlap="1">
              <wp:simplePos x="0" y="0"/>
              <wp:positionH relativeFrom="column">
                <wp:posOffset>-712470</wp:posOffset>
              </wp:positionH>
              <wp:positionV relativeFrom="paragraph">
                <wp:posOffset>-728980</wp:posOffset>
              </wp:positionV>
              <wp:extent cx="304800" cy="7943215"/>
              <wp:effectExtent l="0" t="0" r="12700" b="698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43215"/>
                      </a:xfrm>
                      <a:prstGeom prst="rect">
                        <a:avLst/>
                      </a:prstGeom>
                      <a:solidFill>
                        <a:srgbClr val="00305F"/>
                      </a:solidFill>
                      <a:ln>
                        <a:solidFill>
                          <a:srgbClr val="00305F"/>
                        </a:solidFill>
                      </a:ln>
                    </wps:spPr>
                    <wps:txbx>
                      <w:txbxContent>
                        <w:p w:rsidR="00F73EE0" w:rsidRPr="009B7D1B" w:rsidP="00FD005E" w14:textId="0A06239A">
                          <w:pPr>
                            <w:pStyle w:val="Bodytext70"/>
                            <w:shd w:val="clear" w:color="auto" w:fill="003060"/>
                            <w:rPr>
                              <w:rFonts w:ascii="Tahoma" w:hAnsi="Tahoma" w:cs="Tahoma"/>
                              <w:b/>
                              <w:bCs/>
                              <w:rtl/>
                              <w:lang w:bidi="ar-SA"/>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08137D" w:rsidR="0008137D">
                            <w:rPr>
                              <w:rFonts w:ascii="Tahoma" w:hAnsi="Tahoma" w:cs="Tahoma"/>
                              <w:sz w:val="24"/>
                              <w:szCs w:val="24"/>
                              <w:rtl/>
                              <w:lang w:bidi="ar-SA"/>
                            </w:rPr>
                            <w:t>مُلخّص</w:t>
                          </w:r>
                          <w:r w:rsidR="0033416A">
                            <w:rPr>
                              <w:rFonts w:ascii="Tahoma" w:hAnsi="Tahoma" w:cs="Tahoma" w:hint="cs"/>
                              <w:rtl/>
                            </w:rPr>
                            <w:t xml:space="preserve"> </w:t>
                          </w:r>
                          <w:r w:rsidRPr="00565F1B">
                            <w:rPr>
                              <w:rFonts w:ascii="Tahoma" w:hAnsi="Tahoma" w:cs="Tahoma" w:hint="cs"/>
                              <w:rtl/>
                            </w:rPr>
                            <w:t>|</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FD005E" w:rsidR="00FD005E">
                            <w:rPr>
                              <w:rFonts w:ascii="Tahoma" w:hAnsi="Tahoma" w:cs="Tahoma"/>
                              <w:b/>
                              <w:bCs/>
                              <w:sz w:val="20"/>
                              <w:szCs w:val="20"/>
                              <w:rtl/>
                              <w:lang w:bidi="ar-SA"/>
                            </w:rPr>
                            <w:t>معالجة الحكومة لمشكلة الشباب المتعطّل (الذين لا يعملون ولا يتعلمون) في المجتمع العربي</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2051" type="#_x0000_t202" style="width:24pt;height:625.45pt;margin-top:-57.4pt;margin-left:-56.1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FD005E" w14:paraId="77809697" w14:textId="0A06239A">
                    <w:pPr>
                      <w:pStyle w:val="Bodytext70"/>
                      <w:shd w:val="clear" w:color="auto" w:fill="003060"/>
                      <w:rPr>
                        <w:rFonts w:ascii="Tahoma" w:hAnsi="Tahoma" w:cs="Tahoma"/>
                        <w:b/>
                        <w:bCs/>
                        <w:rtl/>
                        <w:lang w:bidi="ar-SA"/>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08137D" w:rsidR="0008137D">
                      <w:rPr>
                        <w:rFonts w:ascii="Tahoma" w:hAnsi="Tahoma" w:cs="Tahoma"/>
                        <w:sz w:val="24"/>
                        <w:szCs w:val="24"/>
                        <w:rtl/>
                        <w:lang w:bidi="ar-SA"/>
                      </w:rPr>
                      <w:t>مُلخّص</w:t>
                    </w:r>
                    <w:r w:rsidR="0033416A">
                      <w:rPr>
                        <w:rFonts w:ascii="Tahoma" w:hAnsi="Tahoma" w:cs="Tahoma" w:hint="cs"/>
                        <w:rtl/>
                      </w:rPr>
                      <w:t xml:space="preserve"> </w:t>
                    </w:r>
                    <w:r w:rsidRPr="00565F1B">
                      <w:rPr>
                        <w:rFonts w:ascii="Tahoma" w:hAnsi="Tahoma" w:cs="Tahoma" w:hint="cs"/>
                        <w:rtl/>
                      </w:rPr>
                      <w:t>|</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FD005E" w:rsidR="00FD005E">
                      <w:rPr>
                        <w:rFonts w:ascii="Tahoma" w:hAnsi="Tahoma" w:cs="Tahoma"/>
                        <w:b/>
                        <w:bCs/>
                        <w:sz w:val="20"/>
                        <w:szCs w:val="20"/>
                        <w:rtl/>
                        <w:lang w:bidi="ar-SA"/>
                      </w:rPr>
                      <w:t>معالجة الحكومة لمشكلة الشباب المتعطّل (الذين لا يعملون ولا يتعلمون) في المجتمع العربي</w:t>
                    </w:r>
                  </w:p>
                </w:txbxContent>
              </v:textbox>
              <w10:wrap type="square"/>
            </v:shape>
          </w:pict>
        </mc:Fallback>
      </mc:AlternateContent>
    </w: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75F32AC9">
                          <w:pPr>
                            <w:jc w:val="right"/>
                            <w:rPr>
                              <w:color w:val="0D0D0D" w:themeColor="text1" w:themeTint="F2"/>
                              <w:sz w:val="16"/>
                              <w:szCs w:val="16"/>
                            </w:rPr>
                          </w:pPr>
                          <w:r w:rsidRPr="001E1CC8">
                            <w:rPr>
                              <w:rFonts w:ascii="Tahoma" w:hAnsi="Tahoma" w:cs="Tahoma"/>
                              <w:color w:val="0D0D0D"/>
                              <w:sz w:val="16"/>
                              <w:szCs w:val="16"/>
                              <w:rtl/>
                              <w:lang w:bidi="ar-SA"/>
                            </w:rPr>
                            <w:t>تقرير مراقب الدولة | أيّار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75F32AC9">
                    <w:pPr>
                      <w:jc w:val="right"/>
                      <w:rPr>
                        <w:color w:val="0D0D0D" w:themeColor="text1" w:themeTint="F2"/>
                        <w:sz w:val="16"/>
                        <w:szCs w:val="16"/>
                      </w:rPr>
                    </w:pPr>
                    <w:r w:rsidRPr="001E1CC8">
                      <w:rPr>
                        <w:rFonts w:ascii="Tahoma" w:hAnsi="Tahoma" w:cs="Tahoma"/>
                        <w:color w:val="0D0D0D"/>
                        <w:sz w:val="16"/>
                        <w:szCs w:val="16"/>
                        <w:rtl/>
                        <w:lang w:bidi="ar-SA"/>
                      </w:rPr>
                      <w:t>تقرير مراقب الدولة | أيّار 2023</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4D135487">
                          <w:pPr>
                            <w:pStyle w:val="Heading1"/>
                            <w:spacing w:line="269" w:lineRule="auto"/>
                            <w:jc w:val="left"/>
                            <w:rPr>
                              <w:rFonts w:ascii="Tahoma" w:hAnsi="Tahoma" w:eastAsiaTheme="minorHAnsi" w:cs="Tahoma"/>
                              <w:bCs w:val="0"/>
                              <w:color w:val="0D0D0D" w:themeColor="text1" w:themeTint="F2"/>
                              <w:sz w:val="16"/>
                              <w:szCs w:val="16"/>
                              <w:u w:val="none"/>
                            </w:rPr>
                          </w:pPr>
                          <w:r w:rsidRPr="00FD005E">
                            <w:rPr>
                              <w:rFonts w:ascii="Tahoma" w:hAnsi="Tahoma" w:eastAsiaTheme="minorHAnsi" w:cs="Tahoma"/>
                              <w:bCs w:val="0"/>
                              <w:color w:val="0D0D0D" w:themeColor="text1" w:themeTint="F2"/>
                              <w:sz w:val="16"/>
                              <w:szCs w:val="16"/>
                              <w:u w:val="none"/>
                              <w:rtl/>
                              <w:lang w:bidi="ar-SA"/>
                            </w:rPr>
                            <w:t>معالجة الحكومة لمشكلة الشباب المتعطّل (الذين لا يعملون ولا يتعلمون) في المجتمع العربي</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4D135487">
                    <w:pPr>
                      <w:pStyle w:val="Heading1"/>
                      <w:spacing w:line="269" w:lineRule="auto"/>
                      <w:jc w:val="left"/>
                      <w:rPr>
                        <w:rFonts w:ascii="Tahoma" w:hAnsi="Tahoma" w:eastAsiaTheme="minorHAnsi" w:cs="Tahoma"/>
                        <w:bCs w:val="0"/>
                        <w:color w:val="0D0D0D" w:themeColor="text1" w:themeTint="F2"/>
                        <w:sz w:val="16"/>
                        <w:szCs w:val="16"/>
                        <w:u w:val="none"/>
                      </w:rPr>
                    </w:pPr>
                    <w:r w:rsidRPr="00FD005E">
                      <w:rPr>
                        <w:rFonts w:ascii="Tahoma" w:hAnsi="Tahoma" w:eastAsiaTheme="minorHAnsi" w:cs="Tahoma"/>
                        <w:bCs w:val="0"/>
                        <w:color w:val="0D0D0D" w:themeColor="text1" w:themeTint="F2"/>
                        <w:sz w:val="16"/>
                        <w:szCs w:val="16"/>
                        <w:u w:val="none"/>
                        <w:rtl/>
                        <w:lang w:bidi="ar-SA"/>
                      </w:rPr>
                      <w:t>معالجة الحكومة لمشكلة الشباب المتعطّل (الذين لا يعملون ولا يتعلمون) في المجتمع العربي</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6A1B17" w14:textId="3B46548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6A1B17" w14:paraId="3B4CCAD6" w14:textId="3B46548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7CBBE38D">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9D4244">
                            <w:rPr>
                              <w:rFonts w:ascii="Tahoma" w:hAnsi="Tahoma" w:cs="Tahoma" w:hint="cs"/>
                              <w:color w:val="0D0D0D"/>
                              <w:sz w:val="16"/>
                              <w:szCs w:val="16"/>
                              <w:rtl/>
                            </w:rPr>
                            <w:t>סיוון</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C55DC9" w:rsidRPr="00136A3E" w:rsidP="00C55DC9" w14:paraId="1AB55108" w14:textId="7CBBE38D">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9D4244">
                      <w:rPr>
                        <w:rFonts w:ascii="Tahoma" w:hAnsi="Tahoma" w:cs="Tahoma" w:hint="cs"/>
                        <w:color w:val="0D0D0D"/>
                        <w:sz w:val="16"/>
                        <w:szCs w:val="16"/>
                        <w:rtl/>
                      </w:rPr>
                      <w:t>סיוון</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3D033AE"/>
    <w:lvl w:ilvl="0">
      <w:start w:val="1"/>
      <w:numFmt w:val="decimal"/>
      <w:lvlText w:val="%1."/>
      <w:lvlJc w:val="left"/>
      <w:pPr>
        <w:tabs>
          <w:tab w:val="num" w:pos="1492"/>
        </w:tabs>
        <w:ind w:left="1492" w:hanging="360"/>
      </w:pPr>
    </w:lvl>
  </w:abstractNum>
  <w:abstractNum w:abstractNumId="1">
    <w:nsid w:val="FFFFFF7D"/>
    <w:multiLevelType w:val="singleLevel"/>
    <w:tmpl w:val="82BA83AC"/>
    <w:lvl w:ilvl="0">
      <w:start w:val="1"/>
      <w:numFmt w:val="decimal"/>
      <w:lvlText w:val="%1."/>
      <w:lvlJc w:val="left"/>
      <w:pPr>
        <w:tabs>
          <w:tab w:val="num" w:pos="1209"/>
        </w:tabs>
        <w:ind w:left="1209" w:hanging="360"/>
      </w:pPr>
    </w:lvl>
  </w:abstractNum>
  <w:abstractNum w:abstractNumId="2">
    <w:nsid w:val="FFFFFF7F"/>
    <w:multiLevelType w:val="singleLevel"/>
    <w:tmpl w:val="06264A54"/>
    <w:lvl w:ilvl="0">
      <w:start w:val="1"/>
      <w:numFmt w:val="decimal"/>
      <w:lvlText w:val="%1."/>
      <w:lvlJc w:val="left"/>
      <w:pPr>
        <w:tabs>
          <w:tab w:val="num" w:pos="643"/>
        </w:tabs>
        <w:ind w:left="643" w:hanging="360"/>
      </w:pPr>
    </w:lvl>
  </w:abstractNum>
  <w:abstractNum w:abstractNumId="3">
    <w:nsid w:val="FFFFFF80"/>
    <w:multiLevelType w:val="singleLevel"/>
    <w:tmpl w:val="4D48186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A776EA4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FDA446CA"/>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776A925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99D62090"/>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24EA7DE2"/>
    <w:lvl w:ilvl="0">
      <w:start w:val="2"/>
      <w:numFmt w:val="decimal"/>
      <w:lvlText w:val="%1."/>
      <w:lvlJc w:val="left"/>
      <w:pPr>
        <w:ind w:left="794" w:hanging="5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0200DF"/>
    <w:multiLevelType w:val="hybridMultilevel"/>
    <w:tmpl w:val="4AFC29B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1103D43"/>
    <w:multiLevelType w:val="hybridMultilevel"/>
    <w:tmpl w:val="6F825804"/>
    <w:lvl w:ilvl="0">
      <w:start w:val="1"/>
      <w:numFmt w:val="bullet"/>
      <w:lvlText w:val=""/>
      <w:lvlJc w:val="left"/>
      <w:pPr>
        <w:ind w:left="720"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1">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3">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5">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193719F"/>
    <w:multiLevelType w:val="hybridMultilevel"/>
    <w:tmpl w:val="FF5AD226"/>
    <w:lvl w:ilvl="0">
      <w:start w:val="6"/>
      <w:numFmt w:val="decimal"/>
      <w:lvlText w:val="%1."/>
      <w:lvlJc w:val="left"/>
      <w:pPr>
        <w:ind w:left="680" w:hanging="39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2"/>
  </w:num>
  <w:num w:numId="2">
    <w:abstractNumId w:val="14"/>
  </w:num>
  <w:num w:numId="3">
    <w:abstractNumId w:val="17"/>
  </w:num>
  <w:num w:numId="4">
    <w:abstractNumId w:val="30"/>
  </w:num>
  <w:num w:numId="5">
    <w:abstractNumId w:val="9"/>
  </w:num>
  <w:num w:numId="6">
    <w:abstractNumId w:val="19"/>
  </w:num>
  <w:num w:numId="7">
    <w:abstractNumId w:val="24"/>
  </w:num>
  <w:num w:numId="8">
    <w:abstractNumId w:val="11"/>
  </w:num>
  <w:num w:numId="9">
    <w:abstractNumId w:val="10"/>
  </w:num>
  <w:num w:numId="10">
    <w:abstractNumId w:val="8"/>
  </w:num>
  <w:num w:numId="11">
    <w:abstractNumId w:val="20"/>
  </w:num>
  <w:num w:numId="12">
    <w:abstractNumId w:val="23"/>
  </w:num>
  <w:num w:numId="13">
    <w:abstractNumId w:val="27"/>
  </w:num>
  <w:num w:numId="14">
    <w:abstractNumId w:val="21"/>
  </w:num>
  <w:num w:numId="15">
    <w:abstractNumId w:val="28"/>
  </w:num>
  <w:num w:numId="16">
    <w:abstractNumId w:val="12"/>
  </w:num>
  <w:num w:numId="17">
    <w:abstractNumId w:val="29"/>
  </w:num>
  <w:num w:numId="18">
    <w:abstractNumId w:val="25"/>
  </w:num>
  <w:num w:numId="19">
    <w:abstractNumId w:val="16"/>
  </w:num>
  <w:num w:numId="20">
    <w:abstractNumId w:val="15"/>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0"/>
  </w:num>
  <w:num w:numId="51">
    <w:abstractNumId w:val="1"/>
  </w:num>
  <w:num w:numId="52">
    <w:abstractNumId w:val="2"/>
  </w:num>
  <w:num w:numId="53">
    <w:abstractNumId w:val="3"/>
  </w:num>
  <w:num w:numId="54">
    <w:abstractNumId w:val="4"/>
  </w:num>
  <w:num w:numId="55">
    <w:abstractNumId w:val="5"/>
  </w:num>
  <w:num w:numId="56">
    <w:abstractNumId w:val="6"/>
  </w:num>
  <w:num w:numId="57">
    <w:abstractNumId w:val="7"/>
  </w:num>
  <w:num w:numId="58">
    <w:abstractNumId w:val="0"/>
  </w:num>
  <w:num w:numId="59">
    <w:abstractNumId w:val="1"/>
  </w:num>
  <w:num w:numId="60">
    <w:abstractNumId w:val="2"/>
  </w:num>
  <w:num w:numId="61">
    <w:abstractNumId w:val="3"/>
  </w:num>
  <w:num w:numId="62">
    <w:abstractNumId w:val="4"/>
  </w:num>
  <w:num w:numId="63">
    <w:abstractNumId w:val="5"/>
  </w:num>
  <w:num w:numId="64">
    <w:abstractNumId w:val="6"/>
  </w:num>
  <w:num w:numId="65">
    <w:abstractNumId w:val="7"/>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7"/>
  </w:num>
  <w:num w:numId="74">
    <w:abstractNumId w:val="0"/>
  </w:num>
  <w:num w:numId="75">
    <w:abstractNumId w:val="1"/>
  </w:num>
  <w:num w:numId="76">
    <w:abstractNumId w:val="2"/>
  </w:num>
  <w:num w:numId="77">
    <w:abstractNumId w:val="3"/>
  </w:num>
  <w:num w:numId="78">
    <w:abstractNumId w:val="4"/>
  </w:num>
  <w:num w:numId="79">
    <w:abstractNumId w:val="5"/>
  </w:num>
  <w:num w:numId="80">
    <w:abstractNumId w:val="6"/>
  </w:num>
  <w:num w:numId="81">
    <w:abstractNumId w:val="7"/>
  </w:num>
  <w:num w:numId="82">
    <w:abstractNumId w:val="0"/>
  </w:num>
  <w:num w:numId="83">
    <w:abstractNumId w:val="1"/>
  </w:num>
  <w:num w:numId="84">
    <w:abstractNumId w:val="2"/>
  </w:num>
  <w:num w:numId="85">
    <w:abstractNumId w:val="3"/>
  </w:num>
  <w:num w:numId="86">
    <w:abstractNumId w:val="4"/>
  </w:num>
  <w:num w:numId="87">
    <w:abstractNumId w:val="5"/>
  </w:num>
  <w:num w:numId="88">
    <w:abstractNumId w:val="6"/>
  </w:num>
  <w:num w:numId="89">
    <w:abstractNumId w:val="7"/>
  </w:num>
  <w:num w:numId="90">
    <w:abstractNumId w:val="0"/>
  </w:num>
  <w:num w:numId="91">
    <w:abstractNumId w:val="1"/>
  </w:num>
  <w:num w:numId="92">
    <w:abstractNumId w:val="2"/>
  </w:num>
  <w:num w:numId="93">
    <w:abstractNumId w:val="3"/>
  </w:num>
  <w:num w:numId="94">
    <w:abstractNumId w:val="4"/>
  </w:num>
  <w:num w:numId="95">
    <w:abstractNumId w:val="5"/>
  </w:num>
  <w:num w:numId="96">
    <w:abstractNumId w:val="6"/>
  </w:num>
  <w:num w:numId="97">
    <w:abstractNumId w:val="7"/>
  </w:num>
  <w:num w:numId="98">
    <w:abstractNumId w:val="0"/>
  </w:num>
  <w:num w:numId="99">
    <w:abstractNumId w:val="1"/>
  </w:num>
  <w:num w:numId="100">
    <w:abstractNumId w:val="2"/>
  </w:num>
  <w:num w:numId="101">
    <w:abstractNumId w:val="3"/>
  </w:num>
  <w:num w:numId="102">
    <w:abstractNumId w:val="4"/>
  </w:num>
  <w:num w:numId="103">
    <w:abstractNumId w:val="5"/>
  </w:num>
  <w:num w:numId="104">
    <w:abstractNumId w:val="6"/>
  </w:num>
  <w:num w:numId="105">
    <w:abstractNumId w:val="7"/>
  </w:num>
  <w:num w:numId="106">
    <w:abstractNumId w:val="0"/>
  </w:num>
  <w:num w:numId="107">
    <w:abstractNumId w:val="1"/>
  </w:num>
  <w:num w:numId="108">
    <w:abstractNumId w:val="2"/>
  </w:num>
  <w:num w:numId="109">
    <w:abstractNumId w:val="3"/>
  </w:num>
  <w:num w:numId="110">
    <w:abstractNumId w:val="4"/>
  </w:num>
  <w:num w:numId="111">
    <w:abstractNumId w:val="5"/>
  </w:num>
  <w:num w:numId="112">
    <w:abstractNumId w:val="6"/>
  </w:num>
  <w:num w:numId="113">
    <w:abstractNumId w:val="7"/>
  </w:num>
  <w:num w:numId="114">
    <w:abstractNumId w:val="0"/>
  </w:num>
  <w:num w:numId="115">
    <w:abstractNumId w:val="1"/>
  </w:num>
  <w:num w:numId="116">
    <w:abstractNumId w:val="2"/>
  </w:num>
  <w:num w:numId="117">
    <w:abstractNumId w:val="3"/>
  </w:num>
  <w:num w:numId="118">
    <w:abstractNumId w:val="4"/>
  </w:num>
  <w:num w:numId="119">
    <w:abstractNumId w:val="5"/>
  </w:num>
  <w:num w:numId="120">
    <w:abstractNumId w:val="6"/>
  </w:num>
  <w:num w:numId="121">
    <w:abstractNumId w:val="7"/>
  </w:num>
  <w:num w:numId="122">
    <w:abstractNumId w:val="0"/>
  </w:num>
  <w:num w:numId="123">
    <w:abstractNumId w:val="1"/>
  </w:num>
  <w:num w:numId="124">
    <w:abstractNumId w:val="2"/>
  </w:num>
  <w:num w:numId="125">
    <w:abstractNumId w:val="3"/>
  </w:num>
  <w:num w:numId="126">
    <w:abstractNumId w:val="4"/>
  </w:num>
  <w:num w:numId="127">
    <w:abstractNumId w:val="5"/>
  </w:num>
  <w:num w:numId="128">
    <w:abstractNumId w:val="6"/>
  </w:num>
  <w:num w:numId="129">
    <w:abstractNumId w:val="7"/>
  </w:num>
  <w:num w:numId="130">
    <w:abstractNumId w:val="0"/>
  </w:num>
  <w:num w:numId="131">
    <w:abstractNumId w:val="1"/>
  </w:num>
  <w:num w:numId="132">
    <w:abstractNumId w:val="2"/>
  </w:num>
  <w:num w:numId="133">
    <w:abstractNumId w:val="3"/>
  </w:num>
  <w:num w:numId="134">
    <w:abstractNumId w:val="4"/>
  </w:num>
  <w:num w:numId="135">
    <w:abstractNumId w:val="5"/>
  </w:num>
  <w:num w:numId="136">
    <w:abstractNumId w:val="6"/>
  </w:num>
  <w:num w:numId="137">
    <w:abstractNumId w:val="7"/>
  </w:num>
  <w:num w:numId="138">
    <w:abstractNumId w:val="0"/>
  </w:num>
  <w:num w:numId="139">
    <w:abstractNumId w:val="1"/>
  </w:num>
  <w:num w:numId="140">
    <w:abstractNumId w:val="2"/>
  </w:num>
  <w:num w:numId="141">
    <w:abstractNumId w:val="3"/>
  </w:num>
  <w:num w:numId="142">
    <w:abstractNumId w:val="4"/>
  </w:num>
  <w:num w:numId="143">
    <w:abstractNumId w:val="5"/>
  </w:num>
  <w:num w:numId="144">
    <w:abstractNumId w:val="6"/>
  </w:num>
  <w:num w:numId="145">
    <w:abstractNumId w:val="7"/>
  </w:num>
  <w:num w:numId="146">
    <w:abstractNumId w:val="0"/>
  </w:num>
  <w:num w:numId="147">
    <w:abstractNumId w:val="1"/>
  </w:num>
  <w:num w:numId="148">
    <w:abstractNumId w:val="2"/>
  </w:num>
  <w:num w:numId="149">
    <w:abstractNumId w:val="3"/>
  </w:num>
  <w:num w:numId="150">
    <w:abstractNumId w:val="4"/>
  </w:num>
  <w:num w:numId="151">
    <w:abstractNumId w:val="5"/>
  </w:num>
  <w:num w:numId="152">
    <w:abstractNumId w:val="6"/>
  </w:num>
  <w:num w:numId="153">
    <w:abstractNumId w:val="7"/>
  </w:num>
  <w:num w:numId="154">
    <w:abstractNumId w:val="0"/>
  </w:num>
  <w:num w:numId="155">
    <w:abstractNumId w:val="1"/>
  </w:num>
  <w:num w:numId="156">
    <w:abstractNumId w:val="2"/>
  </w:num>
  <w:num w:numId="157">
    <w:abstractNumId w:val="3"/>
  </w:num>
  <w:num w:numId="158">
    <w:abstractNumId w:val="4"/>
  </w:num>
  <w:num w:numId="159">
    <w:abstractNumId w:val="5"/>
  </w:num>
  <w:num w:numId="160">
    <w:abstractNumId w:val="6"/>
  </w:num>
  <w:num w:numId="161">
    <w:abstractNumId w:val="7"/>
  </w:num>
  <w:num w:numId="162">
    <w:abstractNumId w:val="0"/>
  </w:num>
  <w:num w:numId="163">
    <w:abstractNumId w:val="1"/>
  </w:num>
  <w:num w:numId="164">
    <w:abstractNumId w:val="2"/>
  </w:num>
  <w:num w:numId="165">
    <w:abstractNumId w:val="3"/>
  </w:num>
  <w:num w:numId="166">
    <w:abstractNumId w:val="4"/>
  </w:num>
  <w:num w:numId="167">
    <w:abstractNumId w:val="5"/>
  </w:num>
  <w:num w:numId="168">
    <w:abstractNumId w:val="6"/>
  </w:num>
  <w:num w:numId="169">
    <w:abstractNumId w:val="7"/>
  </w:num>
  <w:num w:numId="170">
    <w:abstractNumId w:val="0"/>
  </w:num>
  <w:num w:numId="171">
    <w:abstractNumId w:val="1"/>
  </w:num>
  <w:num w:numId="172">
    <w:abstractNumId w:val="2"/>
  </w:num>
  <w:num w:numId="173">
    <w:abstractNumId w:val="3"/>
  </w:num>
  <w:num w:numId="174">
    <w:abstractNumId w:val="4"/>
  </w:num>
  <w:num w:numId="175">
    <w:abstractNumId w:val="5"/>
  </w:num>
  <w:num w:numId="176">
    <w:abstractNumId w:val="6"/>
  </w:num>
  <w:num w:numId="177">
    <w:abstractNumId w:val="7"/>
  </w:num>
  <w:num w:numId="178">
    <w:abstractNumId w:val="0"/>
  </w:num>
  <w:num w:numId="179">
    <w:abstractNumId w:val="1"/>
  </w:num>
  <w:num w:numId="180">
    <w:abstractNumId w:val="2"/>
  </w:num>
  <w:num w:numId="181">
    <w:abstractNumId w:val="3"/>
  </w:num>
  <w:num w:numId="182">
    <w:abstractNumId w:val="4"/>
  </w:num>
  <w:num w:numId="183">
    <w:abstractNumId w:val="5"/>
  </w:num>
  <w:num w:numId="184">
    <w:abstractNumId w:val="6"/>
  </w:num>
  <w:num w:numId="185">
    <w:abstractNumId w:val="7"/>
  </w:num>
  <w:num w:numId="186">
    <w:abstractNumId w:val="0"/>
  </w:num>
  <w:num w:numId="187">
    <w:abstractNumId w:val="1"/>
  </w:num>
  <w:num w:numId="188">
    <w:abstractNumId w:val="2"/>
  </w:num>
  <w:num w:numId="189">
    <w:abstractNumId w:val="3"/>
  </w:num>
  <w:num w:numId="190">
    <w:abstractNumId w:val="4"/>
  </w:num>
  <w:num w:numId="191">
    <w:abstractNumId w:val="5"/>
  </w:num>
  <w:num w:numId="192">
    <w:abstractNumId w:val="6"/>
  </w:num>
  <w:num w:numId="193">
    <w:abstractNumId w:val="7"/>
  </w:num>
  <w:num w:numId="194">
    <w:abstractNumId w:val="0"/>
  </w:num>
  <w:num w:numId="195">
    <w:abstractNumId w:val="1"/>
  </w:num>
  <w:num w:numId="196">
    <w:abstractNumId w:val="2"/>
  </w:num>
  <w:num w:numId="197">
    <w:abstractNumId w:val="3"/>
  </w:num>
  <w:num w:numId="198">
    <w:abstractNumId w:val="4"/>
  </w:num>
  <w:num w:numId="199">
    <w:abstractNumId w:val="5"/>
  </w:num>
  <w:num w:numId="200">
    <w:abstractNumId w:val="6"/>
  </w:num>
  <w:num w:numId="201">
    <w:abstractNumId w:val="7"/>
  </w:num>
  <w:num w:numId="202">
    <w:abstractNumId w:val="0"/>
  </w:num>
  <w:num w:numId="203">
    <w:abstractNumId w:val="1"/>
  </w:num>
  <w:num w:numId="204">
    <w:abstractNumId w:val="2"/>
  </w:num>
  <w:num w:numId="205">
    <w:abstractNumId w:val="3"/>
  </w:num>
  <w:num w:numId="206">
    <w:abstractNumId w:val="4"/>
  </w:num>
  <w:num w:numId="207">
    <w:abstractNumId w:val="5"/>
  </w:num>
  <w:num w:numId="208">
    <w:abstractNumId w:val="6"/>
  </w:num>
  <w:num w:numId="209">
    <w:abstractNumId w:val="7"/>
  </w:num>
  <w:num w:numId="210">
    <w:abstractNumId w:val="0"/>
  </w:num>
  <w:num w:numId="211">
    <w:abstractNumId w:val="1"/>
  </w:num>
  <w:num w:numId="212">
    <w:abstractNumId w:val="2"/>
  </w:num>
  <w:num w:numId="213">
    <w:abstractNumId w:val="3"/>
  </w:num>
  <w:num w:numId="214">
    <w:abstractNumId w:val="4"/>
  </w:num>
  <w:num w:numId="215">
    <w:abstractNumId w:val="5"/>
  </w:num>
  <w:num w:numId="216">
    <w:abstractNumId w:val="6"/>
  </w:num>
  <w:num w:numId="217">
    <w:abstractNumId w:val="7"/>
  </w:num>
  <w:num w:numId="218">
    <w:abstractNumId w:val="0"/>
  </w:num>
  <w:num w:numId="219">
    <w:abstractNumId w:val="1"/>
  </w:num>
  <w:num w:numId="220">
    <w:abstractNumId w:val="2"/>
  </w:num>
  <w:num w:numId="221">
    <w:abstractNumId w:val="3"/>
  </w:num>
  <w:num w:numId="222">
    <w:abstractNumId w:val="4"/>
  </w:num>
  <w:num w:numId="223">
    <w:abstractNumId w:val="5"/>
  </w:num>
  <w:num w:numId="224">
    <w:abstractNumId w:val="6"/>
  </w:num>
  <w:num w:numId="225">
    <w:abstractNumId w:val="7"/>
  </w:num>
  <w:num w:numId="226">
    <w:abstractNumId w:val="0"/>
  </w:num>
  <w:num w:numId="227">
    <w:abstractNumId w:val="1"/>
  </w:num>
  <w:num w:numId="228">
    <w:abstractNumId w:val="2"/>
  </w:num>
  <w:num w:numId="229">
    <w:abstractNumId w:val="3"/>
  </w:num>
  <w:num w:numId="230">
    <w:abstractNumId w:val="4"/>
  </w:num>
  <w:num w:numId="231">
    <w:abstractNumId w:val="5"/>
  </w:num>
  <w:num w:numId="232">
    <w:abstractNumId w:val="6"/>
  </w:num>
  <w:num w:numId="233">
    <w:abstractNumId w:val="7"/>
  </w:num>
  <w:num w:numId="234">
    <w:abstractNumId w:val="0"/>
  </w:num>
  <w:num w:numId="235">
    <w:abstractNumId w:val="1"/>
  </w:num>
  <w:num w:numId="236">
    <w:abstractNumId w:val="2"/>
  </w:num>
  <w:num w:numId="237">
    <w:abstractNumId w:val="26"/>
  </w:num>
  <w:num w:numId="238">
    <w:abstractNumId w:val="3"/>
  </w:num>
  <w:num w:numId="239">
    <w:abstractNumId w:val="4"/>
  </w:num>
  <w:num w:numId="240">
    <w:abstractNumId w:val="5"/>
  </w:num>
  <w:num w:numId="241">
    <w:abstractNumId w:val="6"/>
  </w:num>
  <w:num w:numId="242">
    <w:abstractNumId w:val="7"/>
  </w:num>
  <w:num w:numId="243">
    <w:abstractNumId w:val="0"/>
  </w:num>
  <w:num w:numId="244">
    <w:abstractNumId w:val="1"/>
  </w:num>
  <w:num w:numId="245">
    <w:abstractNumId w:val="2"/>
  </w:num>
  <w:num w:numId="246">
    <w:abstractNumId w:val="3"/>
  </w:num>
  <w:num w:numId="247">
    <w:abstractNumId w:val="4"/>
  </w:num>
  <w:num w:numId="248">
    <w:abstractNumId w:val="5"/>
  </w:num>
  <w:num w:numId="249">
    <w:abstractNumId w:val="6"/>
  </w:num>
  <w:num w:numId="250">
    <w:abstractNumId w:val="7"/>
  </w:num>
  <w:num w:numId="251">
    <w:abstractNumId w:val="0"/>
  </w:num>
  <w:num w:numId="252">
    <w:abstractNumId w:val="1"/>
  </w:num>
  <w:num w:numId="253">
    <w:abstractNumId w:val="2"/>
  </w:num>
  <w:num w:numId="254">
    <w:abstractNumId w:val="3"/>
  </w:num>
  <w:num w:numId="255">
    <w:abstractNumId w:val="4"/>
  </w:num>
  <w:num w:numId="256">
    <w:abstractNumId w:val="5"/>
  </w:num>
  <w:num w:numId="257">
    <w:abstractNumId w:val="6"/>
  </w:num>
  <w:num w:numId="258">
    <w:abstractNumId w:val="7"/>
  </w:num>
  <w:num w:numId="259">
    <w:abstractNumId w:val="0"/>
  </w:num>
  <w:num w:numId="260">
    <w:abstractNumId w:val="1"/>
  </w:num>
  <w:num w:numId="261">
    <w:abstractNumId w:val="2"/>
  </w:num>
  <w:num w:numId="262">
    <w:abstractNumId w:val="18"/>
  </w:num>
  <w:num w:numId="263">
    <w:abstractNumId w:val="3"/>
  </w:num>
  <w:num w:numId="264">
    <w:abstractNumId w:val="4"/>
  </w:num>
  <w:num w:numId="265">
    <w:abstractNumId w:val="5"/>
  </w:num>
  <w:num w:numId="266">
    <w:abstractNumId w:val="6"/>
  </w:num>
  <w:num w:numId="267">
    <w:abstractNumId w:val="7"/>
  </w:num>
  <w:num w:numId="268">
    <w:abstractNumId w:val="0"/>
  </w:num>
  <w:num w:numId="269">
    <w:abstractNumId w:val="1"/>
  </w:num>
  <w:num w:numId="270">
    <w:abstractNumId w:val="2"/>
  </w:num>
  <w:num w:numId="271">
    <w:abstractNumId w:val="3"/>
  </w:num>
  <w:num w:numId="272">
    <w:abstractNumId w:val="4"/>
  </w:num>
  <w:num w:numId="273">
    <w:abstractNumId w:val="5"/>
  </w:num>
  <w:num w:numId="274">
    <w:abstractNumId w:val="6"/>
  </w:num>
  <w:num w:numId="275">
    <w:abstractNumId w:val="7"/>
  </w:num>
  <w:num w:numId="276">
    <w:abstractNumId w:val="0"/>
  </w:num>
  <w:num w:numId="277">
    <w:abstractNumId w:val="1"/>
  </w:num>
  <w:num w:numId="278">
    <w:abstractNumId w:val="2"/>
  </w:num>
  <w:num w:numId="279">
    <w:abstractNumId w:val="3"/>
  </w:num>
  <w:num w:numId="280">
    <w:abstractNumId w:val="4"/>
  </w:num>
  <w:num w:numId="281">
    <w:abstractNumId w:val="5"/>
  </w:num>
  <w:num w:numId="282">
    <w:abstractNumId w:val="6"/>
  </w:num>
  <w:num w:numId="283">
    <w:abstractNumId w:val="7"/>
  </w:num>
  <w:num w:numId="284">
    <w:abstractNumId w:val="0"/>
  </w:num>
  <w:num w:numId="285">
    <w:abstractNumId w:val="1"/>
  </w:num>
  <w:num w:numId="286">
    <w:abstractNumId w:val="2"/>
  </w:num>
  <w:num w:numId="287">
    <w:abstractNumId w:val="3"/>
  </w:num>
  <w:num w:numId="288">
    <w:abstractNumId w:val="4"/>
  </w:num>
  <w:num w:numId="289">
    <w:abstractNumId w:val="5"/>
  </w:num>
  <w:num w:numId="290">
    <w:abstractNumId w:val="6"/>
  </w:num>
  <w:num w:numId="291">
    <w:abstractNumId w:val="7"/>
  </w:num>
  <w:num w:numId="292">
    <w:abstractNumId w:val="0"/>
  </w:num>
  <w:num w:numId="293">
    <w:abstractNumId w:val="1"/>
  </w:num>
  <w:num w:numId="294">
    <w:abstractNumId w:val="2"/>
  </w:num>
  <w:num w:numId="295">
    <w:abstractNumId w:val="3"/>
  </w:num>
  <w:num w:numId="296">
    <w:abstractNumId w:val="4"/>
  </w:num>
  <w:num w:numId="297">
    <w:abstractNumId w:val="5"/>
  </w:num>
  <w:num w:numId="298">
    <w:abstractNumId w:val="6"/>
  </w:num>
  <w:num w:numId="299">
    <w:abstractNumId w:val="7"/>
  </w:num>
  <w:num w:numId="300">
    <w:abstractNumId w:val="0"/>
  </w:num>
  <w:num w:numId="301">
    <w:abstractNumId w:val="1"/>
  </w:num>
  <w:num w:numId="302">
    <w:abstractNumId w:val="2"/>
  </w:num>
  <w:num w:numId="303">
    <w:abstractNumId w:val="3"/>
  </w:num>
  <w:num w:numId="304">
    <w:abstractNumId w:val="4"/>
  </w:num>
  <w:num w:numId="305">
    <w:abstractNumId w:val="5"/>
  </w:num>
  <w:num w:numId="306">
    <w:abstractNumId w:val="6"/>
  </w:num>
  <w:num w:numId="307">
    <w:abstractNumId w:val="7"/>
  </w:num>
  <w:num w:numId="308">
    <w:abstractNumId w:val="0"/>
  </w:num>
  <w:num w:numId="309">
    <w:abstractNumId w:val="1"/>
  </w:num>
  <w:num w:numId="310">
    <w:abstractNumId w:val="2"/>
  </w:num>
  <w:num w:numId="311">
    <w:abstractNumId w:val="3"/>
  </w:num>
  <w:num w:numId="312">
    <w:abstractNumId w:val="4"/>
  </w:num>
  <w:num w:numId="313">
    <w:abstractNumId w:val="5"/>
  </w:num>
  <w:num w:numId="314">
    <w:abstractNumId w:val="6"/>
  </w:num>
  <w:num w:numId="315">
    <w:abstractNumId w:val="7"/>
  </w:num>
  <w:num w:numId="316">
    <w:abstractNumId w:val="0"/>
  </w:num>
  <w:num w:numId="317">
    <w:abstractNumId w:val="1"/>
  </w:num>
  <w:num w:numId="318">
    <w:abstractNumId w:val="2"/>
  </w:num>
  <w:num w:numId="319">
    <w:abstractNumId w:val="3"/>
  </w:num>
  <w:num w:numId="320">
    <w:abstractNumId w:val="4"/>
  </w:num>
  <w:num w:numId="321">
    <w:abstractNumId w:val="5"/>
  </w:num>
  <w:num w:numId="322">
    <w:abstractNumId w:val="6"/>
  </w:num>
  <w:num w:numId="323">
    <w:abstractNumId w:val="7"/>
  </w:num>
  <w:num w:numId="324">
    <w:abstractNumId w:val="0"/>
  </w:num>
  <w:num w:numId="325">
    <w:abstractNumId w:val="1"/>
  </w:num>
  <w:num w:numId="326">
    <w:abstractNumId w:val="2"/>
  </w:num>
  <w:num w:numId="327">
    <w:abstractNumId w:val="3"/>
  </w:num>
  <w:num w:numId="328">
    <w:abstractNumId w:val="4"/>
  </w:num>
  <w:num w:numId="329">
    <w:abstractNumId w:val="5"/>
  </w:num>
  <w:num w:numId="330">
    <w:abstractNumId w:val="6"/>
  </w:num>
  <w:num w:numId="331">
    <w:abstractNumId w:val="7"/>
  </w:num>
  <w:num w:numId="332">
    <w:abstractNumId w:val="0"/>
  </w:num>
  <w:num w:numId="333">
    <w:abstractNumId w:val="1"/>
  </w:num>
  <w:num w:numId="334">
    <w:abstractNumId w:val="2"/>
  </w:num>
  <w:num w:numId="335">
    <w:abstractNumId w:val="3"/>
  </w:num>
  <w:num w:numId="336">
    <w:abstractNumId w:val="4"/>
  </w:num>
  <w:num w:numId="337">
    <w:abstractNumId w:val="5"/>
  </w:num>
  <w:num w:numId="338">
    <w:abstractNumId w:val="6"/>
  </w:num>
  <w:num w:numId="339">
    <w:abstractNumId w:val="7"/>
  </w:num>
  <w:num w:numId="340">
    <w:abstractNumId w:val="0"/>
  </w:num>
  <w:num w:numId="341">
    <w:abstractNumId w:val="1"/>
  </w:num>
  <w:num w:numId="342">
    <w:abstractNumId w:val="2"/>
  </w:num>
  <w:num w:numId="343">
    <w:abstractNumId w:val="3"/>
  </w:num>
  <w:num w:numId="344">
    <w:abstractNumId w:val="4"/>
  </w:num>
  <w:num w:numId="345">
    <w:abstractNumId w:val="5"/>
  </w:num>
  <w:num w:numId="346">
    <w:abstractNumId w:val="6"/>
  </w:num>
  <w:num w:numId="347">
    <w:abstractNumId w:val="7"/>
  </w:num>
  <w:num w:numId="348">
    <w:abstractNumId w:val="0"/>
  </w:num>
  <w:num w:numId="349">
    <w:abstractNumId w:val="1"/>
  </w:num>
  <w:num w:numId="350">
    <w:abstractNumId w:val="2"/>
  </w:num>
  <w:num w:numId="351">
    <w:abstractNumId w:val="3"/>
  </w:num>
  <w:num w:numId="352">
    <w:abstractNumId w:val="4"/>
  </w:num>
  <w:num w:numId="353">
    <w:abstractNumId w:val="5"/>
  </w:num>
  <w:num w:numId="354">
    <w:abstractNumId w:val="6"/>
  </w:num>
  <w:num w:numId="355">
    <w:abstractNumId w:val="7"/>
  </w:num>
  <w:num w:numId="356">
    <w:abstractNumId w:val="0"/>
  </w:num>
  <w:num w:numId="357">
    <w:abstractNumId w:val="1"/>
  </w:num>
  <w:num w:numId="358">
    <w:abstractNumId w:val="2"/>
  </w:num>
  <w:num w:numId="359">
    <w:abstractNumId w:val="3"/>
  </w:num>
  <w:num w:numId="360">
    <w:abstractNumId w:val="4"/>
  </w:num>
  <w:num w:numId="361">
    <w:abstractNumId w:val="5"/>
  </w:num>
  <w:num w:numId="362">
    <w:abstractNumId w:val="6"/>
  </w:num>
  <w:num w:numId="363">
    <w:abstractNumId w:val="7"/>
  </w:num>
  <w:num w:numId="364">
    <w:abstractNumId w:val="0"/>
  </w:num>
  <w:num w:numId="365">
    <w:abstractNumId w:val="1"/>
  </w:num>
  <w:num w:numId="366">
    <w:abstractNumId w:val="2"/>
  </w:num>
  <w:num w:numId="367">
    <w:abstractNumId w:val="3"/>
  </w:num>
  <w:num w:numId="368">
    <w:abstractNumId w:val="4"/>
  </w:num>
  <w:num w:numId="369">
    <w:abstractNumId w:val="5"/>
  </w:num>
  <w:num w:numId="370">
    <w:abstractNumId w:val="6"/>
  </w:num>
  <w:num w:numId="371">
    <w:abstractNumId w:val="7"/>
  </w:num>
  <w:num w:numId="372">
    <w:abstractNumId w:val="0"/>
  </w:num>
  <w:num w:numId="373">
    <w:abstractNumId w:val="1"/>
  </w:num>
  <w:num w:numId="374">
    <w:abstractNumId w:val="2"/>
  </w:num>
  <w:num w:numId="375">
    <w:abstractNumId w:val="3"/>
  </w:num>
  <w:num w:numId="376">
    <w:abstractNumId w:val="4"/>
  </w:num>
  <w:num w:numId="377">
    <w:abstractNumId w:val="5"/>
  </w:num>
  <w:num w:numId="378">
    <w:abstractNumId w:val="6"/>
  </w:num>
  <w:num w:numId="379">
    <w:abstractNumId w:val="7"/>
  </w:num>
  <w:num w:numId="380">
    <w:abstractNumId w:val="0"/>
  </w:num>
  <w:num w:numId="381">
    <w:abstractNumId w:val="1"/>
  </w:num>
  <w:num w:numId="382">
    <w:abstractNumId w:val="2"/>
  </w:num>
  <w:num w:numId="383">
    <w:abstractNumId w:val="3"/>
  </w:num>
  <w:num w:numId="384">
    <w:abstractNumId w:val="4"/>
  </w:num>
  <w:num w:numId="385">
    <w:abstractNumId w:val="5"/>
  </w:num>
  <w:num w:numId="386">
    <w:abstractNumId w:val="6"/>
  </w:num>
  <w:num w:numId="387">
    <w:abstractNumId w:val="7"/>
  </w:num>
  <w:num w:numId="388">
    <w:abstractNumId w:val="0"/>
  </w:num>
  <w:num w:numId="389">
    <w:abstractNumId w:val="1"/>
  </w:num>
  <w:num w:numId="390">
    <w:abstractNumId w:val="2"/>
  </w:num>
  <w:num w:numId="391">
    <w:abstractNumId w:val="3"/>
  </w:num>
  <w:num w:numId="392">
    <w:abstractNumId w:val="4"/>
  </w:num>
  <w:num w:numId="393">
    <w:abstractNumId w:val="5"/>
  </w:num>
  <w:num w:numId="394">
    <w:abstractNumId w:val="6"/>
  </w:num>
  <w:num w:numId="395">
    <w:abstractNumId w:val="7"/>
  </w:num>
  <w:num w:numId="396">
    <w:abstractNumId w:val="0"/>
  </w:num>
  <w:num w:numId="397">
    <w:abstractNumId w:val="1"/>
  </w:num>
  <w:num w:numId="398">
    <w:abstractNumId w:val="2"/>
  </w:num>
  <w:num w:numId="399">
    <w:abstractNumId w:val="3"/>
  </w:num>
  <w:num w:numId="400">
    <w:abstractNumId w:val="4"/>
  </w:num>
  <w:num w:numId="401">
    <w:abstractNumId w:val="5"/>
  </w:num>
  <w:num w:numId="402">
    <w:abstractNumId w:val="6"/>
  </w:num>
  <w:num w:numId="403">
    <w:abstractNumId w:val="7"/>
  </w:num>
  <w:num w:numId="404">
    <w:abstractNumId w:val="0"/>
  </w:num>
  <w:num w:numId="405">
    <w:abstractNumId w:val="1"/>
  </w:num>
  <w:num w:numId="406">
    <w:abstractNumId w:val="2"/>
  </w:num>
  <w:num w:numId="407">
    <w:abstractNumId w:val="3"/>
  </w:num>
  <w:num w:numId="408">
    <w:abstractNumId w:val="4"/>
  </w:num>
  <w:num w:numId="409">
    <w:abstractNumId w:val="5"/>
  </w:num>
  <w:num w:numId="410">
    <w:abstractNumId w:val="6"/>
  </w:num>
  <w:num w:numId="411">
    <w:abstractNumId w:val="7"/>
  </w:num>
  <w:num w:numId="412">
    <w:abstractNumId w:val="0"/>
  </w:num>
  <w:num w:numId="413">
    <w:abstractNumId w:val="1"/>
  </w:num>
  <w:num w:numId="414">
    <w:abstractNumId w:val="2"/>
  </w:num>
  <w:num w:numId="415">
    <w:abstractNumId w:val="3"/>
  </w:num>
  <w:num w:numId="416">
    <w:abstractNumId w:val="4"/>
  </w:num>
  <w:num w:numId="417">
    <w:abstractNumId w:val="5"/>
  </w:num>
  <w:num w:numId="418">
    <w:abstractNumId w:val="6"/>
  </w:num>
  <w:num w:numId="419">
    <w:abstractNumId w:val="7"/>
  </w:num>
  <w:num w:numId="420">
    <w:abstractNumId w:val="0"/>
  </w:num>
  <w:num w:numId="421">
    <w:abstractNumId w:val="1"/>
  </w:num>
  <w:num w:numId="422">
    <w:abstractNumId w:val="2"/>
  </w:num>
  <w:num w:numId="423">
    <w:abstractNumId w:val="3"/>
  </w:num>
  <w:num w:numId="424">
    <w:abstractNumId w:val="4"/>
  </w:num>
  <w:num w:numId="425">
    <w:abstractNumId w:val="5"/>
  </w:num>
  <w:num w:numId="426">
    <w:abstractNumId w:val="6"/>
  </w:num>
  <w:num w:numId="427">
    <w:abstractNumId w:val="7"/>
  </w:num>
  <w:num w:numId="428">
    <w:abstractNumId w:val="0"/>
  </w:num>
  <w:num w:numId="429">
    <w:abstractNumId w:val="1"/>
  </w:num>
  <w:num w:numId="430">
    <w:abstractNumId w:val="2"/>
  </w:num>
  <w:num w:numId="431">
    <w:abstractNumId w:val="3"/>
  </w:num>
  <w:num w:numId="432">
    <w:abstractNumId w:val="4"/>
  </w:num>
  <w:num w:numId="433">
    <w:abstractNumId w:val="5"/>
  </w:num>
  <w:num w:numId="434">
    <w:abstractNumId w:val="6"/>
  </w:num>
  <w:num w:numId="435">
    <w:abstractNumId w:val="7"/>
  </w:num>
  <w:num w:numId="436">
    <w:abstractNumId w:val="0"/>
  </w:num>
  <w:num w:numId="437">
    <w:abstractNumId w:val="1"/>
  </w:num>
  <w:num w:numId="438">
    <w:abstractNumId w:val="2"/>
  </w:num>
  <w:num w:numId="439">
    <w:abstractNumId w:val="3"/>
  </w:num>
  <w:num w:numId="440">
    <w:abstractNumId w:val="4"/>
  </w:num>
  <w:num w:numId="441">
    <w:abstractNumId w:val="5"/>
  </w:num>
  <w:num w:numId="442">
    <w:abstractNumId w:val="6"/>
  </w:num>
  <w:num w:numId="443">
    <w:abstractNumId w:val="7"/>
  </w:num>
  <w:num w:numId="444">
    <w:abstractNumId w:val="0"/>
  </w:num>
  <w:num w:numId="445">
    <w:abstractNumId w:val="1"/>
  </w:num>
  <w:num w:numId="446">
    <w:abstractNumId w:val="2"/>
  </w:num>
  <w:num w:numId="447">
    <w:abstractNumId w:val="3"/>
  </w:num>
  <w:num w:numId="448">
    <w:abstractNumId w:val="4"/>
  </w:num>
  <w:num w:numId="449">
    <w:abstractNumId w:val="5"/>
  </w:num>
  <w:num w:numId="450">
    <w:abstractNumId w:val="6"/>
  </w:num>
  <w:num w:numId="451">
    <w:abstractNumId w:val="7"/>
  </w:num>
  <w:num w:numId="452">
    <w:abstractNumId w:val="0"/>
  </w:num>
  <w:num w:numId="453">
    <w:abstractNumId w:val="1"/>
  </w:num>
  <w:num w:numId="454">
    <w:abstractNumId w:val="2"/>
  </w:num>
  <w:num w:numId="455">
    <w:abstractNumId w:val="3"/>
  </w:num>
  <w:num w:numId="456">
    <w:abstractNumId w:val="4"/>
  </w:num>
  <w:num w:numId="457">
    <w:abstractNumId w:val="5"/>
  </w:num>
  <w:num w:numId="458">
    <w:abstractNumId w:val="6"/>
  </w:num>
  <w:num w:numId="459">
    <w:abstractNumId w:val="7"/>
  </w:num>
  <w:num w:numId="460">
    <w:abstractNumId w:val="0"/>
  </w:num>
  <w:num w:numId="461">
    <w:abstractNumId w:val="1"/>
  </w:num>
  <w:num w:numId="462">
    <w:abstractNumId w:val="2"/>
  </w:num>
  <w:num w:numId="463">
    <w:abstractNumId w:val="3"/>
  </w:num>
  <w:num w:numId="464">
    <w:abstractNumId w:val="4"/>
  </w:num>
  <w:num w:numId="465">
    <w:abstractNumId w:val="5"/>
  </w:num>
  <w:num w:numId="466">
    <w:abstractNumId w:val="6"/>
  </w:num>
  <w:num w:numId="467">
    <w:abstractNumId w:val="7"/>
  </w:num>
  <w:num w:numId="468">
    <w:abstractNumId w:val="0"/>
  </w:num>
  <w:num w:numId="469">
    <w:abstractNumId w:val="1"/>
  </w:num>
  <w:num w:numId="470">
    <w:abstractNumId w:val="2"/>
  </w:num>
  <w:num w:numId="471">
    <w:abstractNumId w:val="3"/>
  </w:num>
  <w:num w:numId="472">
    <w:abstractNumId w:val="4"/>
  </w:num>
  <w:num w:numId="473">
    <w:abstractNumId w:val="5"/>
  </w:num>
  <w:num w:numId="474">
    <w:abstractNumId w:val="6"/>
  </w:num>
  <w:num w:numId="475">
    <w:abstractNumId w:val="7"/>
  </w:num>
  <w:num w:numId="476">
    <w:abstractNumId w:val="0"/>
  </w:num>
  <w:num w:numId="477">
    <w:abstractNumId w:val="1"/>
  </w:num>
  <w:num w:numId="478">
    <w:abstractNumId w:val="2"/>
  </w:num>
  <w:num w:numId="479">
    <w:abstractNumId w:val="3"/>
  </w:num>
  <w:num w:numId="480">
    <w:abstractNumId w:val="4"/>
  </w:num>
  <w:num w:numId="481">
    <w:abstractNumId w:val="5"/>
  </w:num>
  <w:num w:numId="482">
    <w:abstractNumId w:val="6"/>
  </w:num>
  <w:num w:numId="483">
    <w:abstractNumId w:val="7"/>
  </w:num>
  <w:num w:numId="484">
    <w:abstractNumId w:val="0"/>
  </w:num>
  <w:num w:numId="485">
    <w:abstractNumId w:val="1"/>
  </w:num>
  <w:num w:numId="486">
    <w:abstractNumId w:val="2"/>
  </w:num>
  <w:num w:numId="487">
    <w:abstractNumId w:val="3"/>
  </w:num>
  <w:num w:numId="488">
    <w:abstractNumId w:val="4"/>
  </w:num>
  <w:num w:numId="489">
    <w:abstractNumId w:val="5"/>
  </w:num>
  <w:num w:numId="490">
    <w:abstractNumId w:val="6"/>
  </w:num>
  <w:num w:numId="491">
    <w:abstractNumId w:val="7"/>
  </w:num>
  <w:num w:numId="492">
    <w:abstractNumId w:val="0"/>
  </w:num>
  <w:num w:numId="493">
    <w:abstractNumId w:val="1"/>
  </w:num>
  <w:num w:numId="494">
    <w:abstractNumId w:val="2"/>
  </w:num>
  <w:num w:numId="495">
    <w:abstractNumId w:val="3"/>
  </w:num>
  <w:num w:numId="496">
    <w:abstractNumId w:val="4"/>
  </w:num>
  <w:num w:numId="497">
    <w:abstractNumId w:val="5"/>
  </w:num>
  <w:num w:numId="498">
    <w:abstractNumId w:val="6"/>
  </w:num>
  <w:num w:numId="499">
    <w:abstractNumId w:val="7"/>
  </w:num>
  <w:num w:numId="500">
    <w:abstractNumId w:val="0"/>
  </w:num>
  <w:num w:numId="501">
    <w:abstractNumId w:val="1"/>
  </w:num>
  <w:num w:numId="502">
    <w:abstractNumId w:val="2"/>
  </w:num>
  <w:num w:numId="503">
    <w:abstractNumId w:val="3"/>
  </w:num>
  <w:num w:numId="504">
    <w:abstractNumId w:val="4"/>
  </w:num>
  <w:num w:numId="505">
    <w:abstractNumId w:val="5"/>
  </w:num>
  <w:num w:numId="506">
    <w:abstractNumId w:val="6"/>
  </w:num>
  <w:num w:numId="507">
    <w:abstractNumId w:val="7"/>
  </w:num>
  <w:num w:numId="508">
    <w:abstractNumId w:val="0"/>
  </w:num>
  <w:num w:numId="509">
    <w:abstractNumId w:val="1"/>
  </w:num>
  <w:num w:numId="510">
    <w:abstractNumId w:val="2"/>
  </w:num>
  <w:num w:numId="511">
    <w:abstractNumId w:val="3"/>
  </w:num>
  <w:num w:numId="512">
    <w:abstractNumId w:val="4"/>
  </w:num>
  <w:num w:numId="513">
    <w:abstractNumId w:val="5"/>
  </w:num>
  <w:num w:numId="514">
    <w:abstractNumId w:val="6"/>
  </w:num>
  <w:num w:numId="515">
    <w:abstractNumId w:val="7"/>
  </w:num>
  <w:num w:numId="516">
    <w:abstractNumId w:val="0"/>
  </w:num>
  <w:num w:numId="517">
    <w:abstractNumId w:val="1"/>
  </w:num>
  <w:num w:numId="518">
    <w:abstractNumId w:val="2"/>
  </w:num>
  <w:num w:numId="519">
    <w:abstractNumId w:val="3"/>
  </w:num>
  <w:num w:numId="520">
    <w:abstractNumId w:val="4"/>
  </w:num>
  <w:num w:numId="521">
    <w:abstractNumId w:val="5"/>
  </w:num>
  <w:num w:numId="522">
    <w:abstractNumId w:val="6"/>
  </w:num>
  <w:num w:numId="523">
    <w:abstractNumId w:val="7"/>
  </w:num>
  <w:num w:numId="524">
    <w:abstractNumId w:val="0"/>
  </w:num>
  <w:num w:numId="525">
    <w:abstractNumId w:val="1"/>
  </w:num>
  <w:num w:numId="526">
    <w:abstractNumId w:val="2"/>
  </w:num>
  <w:num w:numId="527">
    <w:abstractNumId w:val="3"/>
  </w:num>
  <w:num w:numId="528">
    <w:abstractNumId w:val="4"/>
  </w:num>
  <w:num w:numId="529">
    <w:abstractNumId w:val="5"/>
  </w:num>
  <w:num w:numId="530">
    <w:abstractNumId w:val="6"/>
  </w:num>
  <w:num w:numId="531">
    <w:abstractNumId w:val="7"/>
  </w:num>
  <w:num w:numId="532">
    <w:abstractNumId w:val="0"/>
  </w:num>
  <w:num w:numId="533">
    <w:abstractNumId w:val="1"/>
  </w:num>
  <w:num w:numId="534">
    <w:abstractNumId w:val="2"/>
  </w:num>
  <w:num w:numId="53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82"/>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1"/>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37D"/>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C7EE1"/>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43C"/>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2F0"/>
    <w:rsid w:val="001637C1"/>
    <w:rsid w:val="001639FB"/>
    <w:rsid w:val="00163D00"/>
    <w:rsid w:val="001643E4"/>
    <w:rsid w:val="00164534"/>
    <w:rsid w:val="001648F4"/>
    <w:rsid w:val="00164B64"/>
    <w:rsid w:val="00164C99"/>
    <w:rsid w:val="00165294"/>
    <w:rsid w:val="001658DD"/>
    <w:rsid w:val="00166364"/>
    <w:rsid w:val="00166477"/>
    <w:rsid w:val="0016692C"/>
    <w:rsid w:val="00166D27"/>
    <w:rsid w:val="001672B6"/>
    <w:rsid w:val="001673B3"/>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CC8"/>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B21"/>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3917"/>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16A"/>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713"/>
    <w:rsid w:val="00393D67"/>
    <w:rsid w:val="003941E1"/>
    <w:rsid w:val="0039455B"/>
    <w:rsid w:val="00394BB1"/>
    <w:rsid w:val="003951EE"/>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87E"/>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BFE"/>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6DA"/>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308"/>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68B"/>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BA3"/>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988"/>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6D0"/>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B28"/>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7A4"/>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44F"/>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1855"/>
    <w:rsid w:val="009120C5"/>
    <w:rsid w:val="00912796"/>
    <w:rsid w:val="0091293D"/>
    <w:rsid w:val="00912CB8"/>
    <w:rsid w:val="00912D42"/>
    <w:rsid w:val="00912D5E"/>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034"/>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536C"/>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3DA3"/>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0A87"/>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A82"/>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0D94"/>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1D9E"/>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973"/>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4F"/>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111"/>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52DD"/>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43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05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42">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image" Target="media/image13.jpeg" /><Relationship Id="rId29" Type="http://schemas.openxmlformats.org/officeDocument/2006/relationships/image" Target="media/image14.png" /><Relationship Id="rId3" Type="http://schemas.openxmlformats.org/officeDocument/2006/relationships/settings" Target="settings.xml" /><Relationship Id="rId30" Type="http://schemas.openxmlformats.org/officeDocument/2006/relationships/image" Target="media/image15.emf" /><Relationship Id="rId31" Type="http://schemas.openxmlformats.org/officeDocument/2006/relationships/header" Target="header5.xml" /><Relationship Id="rId32" Type="http://schemas.openxmlformats.org/officeDocument/2006/relationships/footer" Target="footer4.xml" /><Relationship Id="rId33" Type="http://schemas.openxmlformats.org/officeDocument/2006/relationships/header" Target="header6.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4ED1C9-08C8-4093-9FC0-FD5ADFFC3F5B}"/>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