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72E8E39D" w:rsidR="003C32FE" w:rsidRDefault="00AD2BA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A5DCDA2">
                <wp:simplePos x="0" y="0"/>
                <wp:positionH relativeFrom="column">
                  <wp:posOffset>413112</wp:posOffset>
                </wp:positionH>
                <wp:positionV relativeFrom="paragraph">
                  <wp:posOffset>1934845</wp:posOffset>
                </wp:positionV>
                <wp:extent cx="2532652"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53265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5D468"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52.35pt" to="231.95pt,1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" strokecolor="white [3212]" strokeweight="1.5pt"/>
            </w:pict>
          </mc:Fallback>
        </mc:AlternateContent>
      </w:r>
      <w:r w:rsidR="006A1B17">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6D0151AF">
                <wp:simplePos x="0" y="0"/>
                <wp:positionH relativeFrom="column">
                  <wp:posOffset>3067413</wp:posOffset>
                </wp:positionH>
                <wp:positionV relativeFrom="paragraph">
                  <wp:posOffset>264795</wp:posOffset>
                </wp:positionV>
                <wp:extent cx="0" cy="32004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32004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484BB"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27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CDBF07A">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25B819A8"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E48DF">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51C3C168" w:rsidR="005D0F8C" w:rsidRPr="000A3ED4" w:rsidRDefault="00C30482" w:rsidP="000F5023">
                            <w:pPr>
                              <w:pStyle w:val="-2"/>
                              <w:rPr>
                                <w:rtl/>
                              </w:rPr>
                            </w:pPr>
                            <w:r>
                              <w:rPr>
                                <w:rFonts w:hint="cs"/>
                                <w:rtl/>
                              </w:rPr>
                              <w:t xml:space="preserve">משרד </w:t>
                            </w:r>
                            <w:r w:rsidR="007E55F8">
                              <w:rPr>
                                <w:rFonts w:hint="cs"/>
                                <w:rtl/>
                              </w:rPr>
                              <w:t>ראש הממשלה</w:t>
                            </w:r>
                          </w:p>
                          <w:p w14:paraId="5BE5E625" w14:textId="0B995911" w:rsidR="00C30482" w:rsidRDefault="00AD2BAB" w:rsidP="00F07B87">
                            <w:pPr>
                              <w:pStyle w:val="affff5"/>
                              <w:bidi/>
                              <w:spacing w:before="120"/>
                              <w:rPr>
                                <w:rtl/>
                              </w:rPr>
                            </w:pPr>
                            <w:r w:rsidRPr="00AD2BAB">
                              <w:rPr>
                                <w:rtl/>
                              </w:rPr>
                              <w:t>המועצה הלאומית לכלכלה</w:t>
                            </w:r>
                          </w:p>
                          <w:p w14:paraId="14FA90C2" w14:textId="77777777" w:rsidR="00AD2BAB" w:rsidRPr="000F5023" w:rsidRDefault="00AD2BAB" w:rsidP="00AD2BAB">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25B819A8"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E48DF">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51C3C168" w:rsidR="005D0F8C" w:rsidRPr="000A3ED4" w:rsidRDefault="00C30482" w:rsidP="000F5023">
                      <w:pPr>
                        <w:pStyle w:val="-2"/>
                        <w:rPr>
                          <w:rtl/>
                        </w:rPr>
                      </w:pPr>
                      <w:r>
                        <w:rPr>
                          <w:rFonts w:hint="cs"/>
                          <w:rtl/>
                        </w:rPr>
                        <w:t xml:space="preserve">משרד </w:t>
                      </w:r>
                      <w:r w:rsidR="007E55F8">
                        <w:rPr>
                          <w:rFonts w:hint="cs"/>
                          <w:rtl/>
                        </w:rPr>
                        <w:t>ראש הממשלה</w:t>
                      </w:r>
                    </w:p>
                    <w:p w14:paraId="5BE5E625" w14:textId="0B995911" w:rsidR="00C30482" w:rsidRDefault="00AD2BAB" w:rsidP="00F07B87">
                      <w:pPr>
                        <w:pStyle w:val="affff5"/>
                        <w:bidi/>
                        <w:spacing w:before="120"/>
                        <w:rPr>
                          <w:rtl/>
                        </w:rPr>
                      </w:pPr>
                      <w:r w:rsidRPr="00AD2BAB">
                        <w:rPr>
                          <w:rtl/>
                        </w:rPr>
                        <w:t>המועצה הלאומית לכלכלה</w:t>
                      </w:r>
                    </w:p>
                    <w:p w14:paraId="14FA90C2" w14:textId="77777777" w:rsidR="00AD2BAB" w:rsidRPr="000F5023" w:rsidRDefault="00AD2BAB" w:rsidP="00AD2BAB">
                      <w:pPr>
                        <w:pStyle w:val="affff5"/>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276385CA">
                <wp:simplePos x="0" y="0"/>
                <wp:positionH relativeFrom="column">
                  <wp:posOffset>-1605643</wp:posOffset>
                </wp:positionH>
                <wp:positionV relativeFrom="paragraph">
                  <wp:posOffset>-1700531</wp:posOffset>
                </wp:positionV>
                <wp:extent cx="7601578" cy="10232571"/>
                <wp:effectExtent l="0" t="0" r="6350" b="3810"/>
                <wp:wrapNone/>
                <wp:docPr id="24" name="Rectangle 24"/>
                <wp:cNvGraphicFramePr/>
                <a:graphic xmlns:a="http://schemas.openxmlformats.org/drawingml/2006/main">
                  <a:graphicData uri="http://schemas.microsoft.com/office/word/2010/wordprocessingShape">
                    <wps:wsp>
                      <wps:cNvSpPr/>
                      <wps:spPr>
                        <a:xfrm flipV="1">
                          <a:off x="0" y="0"/>
                          <a:ext cx="7601578" cy="102325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9DFA" id="Rectangle 24" o:spid="_x0000_s1026" style="position:absolute;left:0;text-align:left;margin-left:-126.45pt;margin-top:-133.9pt;width:598.55pt;height:805.7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02B729BA" w:rsidR="00B93C72" w:rsidRPr="001F3363" w:rsidRDefault="00AD2BAB" w:rsidP="00BB0517">
      <w:pPr>
        <w:pStyle w:val="7320"/>
        <w:rPr>
          <w:rtl/>
        </w:rPr>
      </w:pPr>
      <w:r w:rsidRPr="001F3363">
        <w:rPr>
          <w:noProof/>
          <w:rtl/>
        </w:rPr>
        <w:lastRenderedPageBreak/>
        <w:drawing>
          <wp:anchor distT="0" distB="0" distL="114300" distR="114300" simplePos="0" relativeHeight="252080640" behindDoc="0" locked="0" layoutInCell="1" allowOverlap="1" wp14:anchorId="675D1E1E" wp14:editId="333BEFD8">
            <wp:simplePos x="0" y="0"/>
            <wp:positionH relativeFrom="column">
              <wp:posOffset>3298190</wp:posOffset>
            </wp:positionH>
            <wp:positionV relativeFrom="paragraph">
              <wp:posOffset>658404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2137984" behindDoc="0" locked="0" layoutInCell="1" allowOverlap="1" wp14:anchorId="6CC2D5FA" wp14:editId="5DA29B3F">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CD6B2"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Pr="00AD2BAB">
        <w:rPr>
          <w:noProof/>
          <w:rtl/>
        </w:rPr>
        <w:t>המועצה הלאומית לכלכלה</w:t>
      </w:r>
    </w:p>
    <w:p w14:paraId="0B41EED6" w14:textId="3770864E" w:rsidR="007F4A20" w:rsidRDefault="005B399A" w:rsidP="007F4A20">
      <w:pPr>
        <w:pStyle w:val="7392"/>
        <w:spacing w:before="360"/>
        <w:rPr>
          <w:rtl/>
        </w:rPr>
      </w:pPr>
      <w:r w:rsidRPr="00834FA7">
        <w:rPr>
          <w:rtl/>
        </w:rPr>
        <w:t>המועצה הלאומית לכלכלה (המועצה) החלה לפעול במשרד ראש הממשלה בשנת 2006, ובראשה עמד היועץ הכלכלי לראש הממשלה. המועצה נועדה לשמש גוף מטה לראש הממשלה בנושאים כלכליים, המסייע בקבלת החלטות בנושאים אלו בהתבסס על נתונים עדכניים, על ניתוחים מקצועיים ועל תכנון שיטתי ארוך טווח.</w:t>
      </w:r>
      <w:r w:rsidRPr="003F52E1">
        <w:rPr>
          <w:rtl/>
        </w:rPr>
        <w:t xml:space="preserve"> </w:t>
      </w:r>
      <w:r w:rsidRPr="00834FA7">
        <w:rPr>
          <w:rtl/>
        </w:rPr>
        <w:t>תפקידי המועצה, שנקבעו בידי הממשלה בהחלטותיה הם: לגבש יוזמות בעניין צעדי מדיניות לעידוד הצמיחה במשק בד בבד עם צמצום הפערים הכלכליים בין אוכלוסיות שונות בישראל; להכין חוות דעת בנושא הצעת תקציב המדינה ולהציע חלופות, לפי הצורך, בנוגע למסגרת התקציב ולהיבטים מסוימים שלו; להכין חווֹת דעת מקצועיות לגבי הצעות החלטה בתחום הכלכלה העומדות על סדר היום של הממשלה ושל ועדותיה; ולשמש מוקד העבודה המקצועית בתחום האסטרטגיה הכלכלית-חברתית של הממשלה</w:t>
      </w:r>
      <w:r w:rsidR="0036097F" w:rsidRPr="001F3363">
        <w:rPr>
          <w:rFonts w:hint="cs"/>
          <w:rtl/>
        </w:rPr>
        <w:t>.</w:t>
      </w:r>
      <w:r w:rsidR="00B61DE7" w:rsidRPr="001F3363">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41"/>
        <w:gridCol w:w="1928"/>
        <w:gridCol w:w="241"/>
        <w:gridCol w:w="1530"/>
        <w:gridCol w:w="267"/>
        <w:gridCol w:w="1521"/>
      </w:tblGrid>
      <w:tr w:rsidR="005B399A" w14:paraId="58B4726B" w14:textId="77777777" w:rsidTr="005B399A">
        <w:tc>
          <w:tcPr>
            <w:tcW w:w="1054" w:type="pct"/>
            <w:tcBorders>
              <w:bottom w:val="single" w:sz="12" w:space="0" w:color="000000" w:themeColor="text1"/>
            </w:tcBorders>
            <w:vAlign w:val="bottom"/>
          </w:tcPr>
          <w:p w14:paraId="23EB689E" w14:textId="6003C011" w:rsidR="00420374" w:rsidRPr="004562F8" w:rsidRDefault="005B399A"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16</w:t>
            </w:r>
            <w:r w:rsidR="00420374">
              <w:rPr>
                <w:rFonts w:ascii="Tahoma" w:eastAsiaTheme="minorEastAsia" w:hAnsi="Tahoma" w:cs="Tahoma" w:hint="cs"/>
                <w:b/>
                <w:bCs/>
                <w:color w:val="0D0D0D" w:themeColor="text1" w:themeTint="F2"/>
                <w:spacing w:val="-10"/>
                <w:sz w:val="36"/>
                <w:szCs w:val="36"/>
                <w:rtl/>
              </w:rPr>
              <w:t xml:space="preserve"> </w:t>
            </w:r>
            <w:r>
              <w:rPr>
                <w:rFonts w:ascii="Tahoma" w:eastAsiaTheme="minorEastAsia" w:hAnsi="Tahoma" w:cs="Tahoma" w:hint="cs"/>
                <w:b/>
                <w:bCs/>
                <w:color w:val="0D0D0D" w:themeColor="text1" w:themeTint="F2"/>
                <w:spacing w:val="-10"/>
                <w:sz w:val="26"/>
                <w:szCs w:val="26"/>
                <w:rtl/>
              </w:rPr>
              <w:t>שנים</w:t>
            </w:r>
          </w:p>
        </w:tc>
        <w:tc>
          <w:tcPr>
            <w:tcW w:w="166" w:type="pct"/>
            <w:vAlign w:val="bottom"/>
          </w:tcPr>
          <w:p w14:paraId="19192EA5" w14:textId="77777777" w:rsidR="00420374" w:rsidRDefault="00420374" w:rsidP="00937056">
            <w:pPr>
              <w:spacing w:before="120" w:after="60" w:line="240" w:lineRule="auto"/>
              <w:rPr>
                <w:rtl/>
              </w:rPr>
            </w:pPr>
          </w:p>
        </w:tc>
        <w:tc>
          <w:tcPr>
            <w:tcW w:w="1328" w:type="pct"/>
            <w:tcBorders>
              <w:bottom w:val="single" w:sz="12" w:space="0" w:color="000000" w:themeColor="text1"/>
            </w:tcBorders>
            <w:vAlign w:val="bottom"/>
          </w:tcPr>
          <w:p w14:paraId="761F4116" w14:textId="0A40C43B" w:rsidR="00420374" w:rsidRPr="005C7ABF" w:rsidRDefault="005B399A" w:rsidP="00937056">
            <w:pPr>
              <w:pStyle w:val="2021"/>
              <w:spacing w:before="0" w:after="60"/>
              <w:rPr>
                <w:spacing w:val="-10"/>
                <w:rtl/>
              </w:rPr>
            </w:pPr>
            <w:r>
              <w:rPr>
                <w:rFonts w:hint="cs"/>
                <w:spacing w:val="-10"/>
                <w:sz w:val="26"/>
                <w:szCs w:val="26"/>
                <w:rtl/>
              </w:rPr>
              <w:t xml:space="preserve">יוני </w:t>
            </w:r>
            <w:r w:rsidRPr="005B399A">
              <w:rPr>
                <w:rFonts w:hint="cs"/>
                <w:spacing w:val="-10"/>
                <w:rtl/>
              </w:rPr>
              <w:t>2015</w:t>
            </w:r>
          </w:p>
        </w:tc>
        <w:tc>
          <w:tcPr>
            <w:tcW w:w="166" w:type="pct"/>
            <w:vAlign w:val="bottom"/>
          </w:tcPr>
          <w:p w14:paraId="2810DE55" w14:textId="77777777" w:rsidR="00420374" w:rsidRDefault="00420374" w:rsidP="00937056">
            <w:pPr>
              <w:spacing w:before="120" w:after="60" w:line="240" w:lineRule="auto"/>
              <w:rPr>
                <w:rtl/>
              </w:rPr>
            </w:pPr>
          </w:p>
        </w:tc>
        <w:tc>
          <w:tcPr>
            <w:tcW w:w="1054" w:type="pct"/>
            <w:tcBorders>
              <w:bottom w:val="single" w:sz="12" w:space="0" w:color="000000" w:themeColor="text1"/>
            </w:tcBorders>
            <w:vAlign w:val="bottom"/>
          </w:tcPr>
          <w:p w14:paraId="2A2E27BD" w14:textId="2669BF24" w:rsidR="00420374" w:rsidRPr="00340353" w:rsidRDefault="005B399A" w:rsidP="00937056">
            <w:pPr>
              <w:pStyle w:val="2021"/>
              <w:spacing w:before="0" w:after="60"/>
              <w:rPr>
                <w:b w:val="0"/>
                <w:bCs w:val="0"/>
                <w:spacing w:val="-20"/>
                <w:sz w:val="24"/>
                <w:rtl/>
              </w:rPr>
            </w:pPr>
            <w:r>
              <w:rPr>
                <w:rFonts w:hint="cs"/>
                <w:spacing w:val="-10"/>
                <w:rtl/>
              </w:rPr>
              <w:t>כשנה וחצי</w:t>
            </w:r>
            <w:r w:rsidR="00420374">
              <w:rPr>
                <w:rFonts w:hint="cs"/>
                <w:spacing w:val="-10"/>
                <w:rtl/>
              </w:rPr>
              <w:t xml:space="preserve"> </w:t>
            </w:r>
          </w:p>
        </w:tc>
        <w:tc>
          <w:tcPr>
            <w:tcW w:w="184" w:type="pct"/>
          </w:tcPr>
          <w:p w14:paraId="47B754BA" w14:textId="77777777" w:rsidR="00420374" w:rsidRDefault="00420374" w:rsidP="00937056">
            <w:pPr>
              <w:pStyle w:val="2021"/>
              <w:spacing w:before="0" w:after="60"/>
              <w:rPr>
                <w:spacing w:val="-10"/>
                <w:rtl/>
              </w:rPr>
            </w:pPr>
          </w:p>
        </w:tc>
        <w:tc>
          <w:tcPr>
            <w:tcW w:w="1048" w:type="pct"/>
            <w:tcBorders>
              <w:bottom w:val="single" w:sz="12" w:space="0" w:color="000000" w:themeColor="text1"/>
            </w:tcBorders>
            <w:vAlign w:val="bottom"/>
          </w:tcPr>
          <w:p w14:paraId="5F3A3FF5" w14:textId="70851156" w:rsidR="00420374" w:rsidRDefault="005B399A" w:rsidP="00937056">
            <w:pPr>
              <w:pStyle w:val="2021"/>
              <w:spacing w:before="0" w:after="60"/>
              <w:rPr>
                <w:spacing w:val="-10"/>
                <w:rtl/>
              </w:rPr>
            </w:pPr>
            <w:r>
              <w:rPr>
                <w:rFonts w:hint="cs"/>
                <w:spacing w:val="-10"/>
                <w:rtl/>
              </w:rPr>
              <w:t>3</w:t>
            </w:r>
            <w:r w:rsidR="00420374">
              <w:rPr>
                <w:rFonts w:hint="cs"/>
                <w:spacing w:val="-10"/>
                <w:rtl/>
              </w:rPr>
              <w:t xml:space="preserve"> </w:t>
            </w:r>
          </w:p>
        </w:tc>
      </w:tr>
      <w:tr w:rsidR="005B399A" w14:paraId="6DFAF81C" w14:textId="77777777" w:rsidTr="005B399A">
        <w:tc>
          <w:tcPr>
            <w:tcW w:w="1054" w:type="pct"/>
            <w:tcBorders>
              <w:top w:val="single" w:sz="12" w:space="0" w:color="000000" w:themeColor="text1"/>
            </w:tcBorders>
          </w:tcPr>
          <w:p w14:paraId="6B9E83B0" w14:textId="77777777" w:rsidR="005B399A" w:rsidRDefault="005B399A" w:rsidP="005B399A">
            <w:pPr>
              <w:pStyle w:val="732021"/>
              <w:spacing w:before="0"/>
              <w:rPr>
                <w:rtl/>
              </w:rPr>
            </w:pPr>
            <w:r w:rsidRPr="00834FA7">
              <w:rPr>
                <w:rtl/>
              </w:rPr>
              <w:t>מאז הקמתה לא עוגנו מעמדה וסמכויותיה של המועצה בחקיקה כנדרש בהחלטת הממשלה</w:t>
            </w:r>
          </w:p>
          <w:p w14:paraId="1D96599A" w14:textId="169BA1E5" w:rsidR="005B399A" w:rsidRPr="00E52143" w:rsidRDefault="005B399A" w:rsidP="005B399A">
            <w:pPr>
              <w:pStyle w:val="732021"/>
              <w:spacing w:before="0"/>
              <w:rPr>
                <w:rtl/>
              </w:rPr>
            </w:pPr>
          </w:p>
        </w:tc>
        <w:tc>
          <w:tcPr>
            <w:tcW w:w="166" w:type="pct"/>
          </w:tcPr>
          <w:p w14:paraId="2BF81D8C" w14:textId="77777777" w:rsidR="005B399A" w:rsidRPr="00E52143" w:rsidRDefault="005B399A" w:rsidP="005B399A">
            <w:pPr>
              <w:pStyle w:val="732021"/>
              <w:spacing w:before="0"/>
              <w:rPr>
                <w:rtl/>
              </w:rPr>
            </w:pPr>
          </w:p>
        </w:tc>
        <w:tc>
          <w:tcPr>
            <w:tcW w:w="1328" w:type="pct"/>
            <w:tcBorders>
              <w:top w:val="single" w:sz="12" w:space="0" w:color="000000" w:themeColor="text1"/>
            </w:tcBorders>
          </w:tcPr>
          <w:p w14:paraId="68924AF7" w14:textId="71FA48B2" w:rsidR="005B399A" w:rsidRPr="00E52143" w:rsidRDefault="005B399A" w:rsidP="005B399A">
            <w:pPr>
              <w:pStyle w:val="732021"/>
              <w:spacing w:before="0"/>
              <w:rPr>
                <w:rtl/>
              </w:rPr>
            </w:pPr>
            <w:r w:rsidRPr="00834FA7">
              <w:rPr>
                <w:rtl/>
              </w:rPr>
              <w:t>המועד האחרון שבו נדונה בממשלה הערכת המצב האסטרטגית</w:t>
            </w:r>
          </w:p>
        </w:tc>
        <w:tc>
          <w:tcPr>
            <w:tcW w:w="166" w:type="pct"/>
          </w:tcPr>
          <w:p w14:paraId="4F52CE08" w14:textId="77777777" w:rsidR="005B399A" w:rsidRPr="00E52143" w:rsidRDefault="005B399A" w:rsidP="005B399A">
            <w:pPr>
              <w:pStyle w:val="732021"/>
              <w:spacing w:before="0"/>
              <w:rPr>
                <w:rtl/>
              </w:rPr>
            </w:pPr>
          </w:p>
        </w:tc>
        <w:tc>
          <w:tcPr>
            <w:tcW w:w="1054" w:type="pct"/>
            <w:tcBorders>
              <w:top w:val="single" w:sz="12" w:space="0" w:color="000000" w:themeColor="text1"/>
            </w:tcBorders>
          </w:tcPr>
          <w:p w14:paraId="203F9568" w14:textId="29C3BBFE" w:rsidR="005B399A" w:rsidRPr="00E52143" w:rsidRDefault="005B399A" w:rsidP="005B399A">
            <w:pPr>
              <w:pStyle w:val="732021"/>
              <w:spacing w:before="0"/>
              <w:rPr>
                <w:rtl/>
              </w:rPr>
            </w:pPr>
            <w:r w:rsidRPr="00834FA7">
              <w:rPr>
                <w:rtl/>
              </w:rPr>
              <w:t>פרק הזמן שבו לא אויש תפקיד ראש המועצה</w:t>
            </w:r>
          </w:p>
        </w:tc>
        <w:tc>
          <w:tcPr>
            <w:tcW w:w="184" w:type="pct"/>
          </w:tcPr>
          <w:p w14:paraId="42538096" w14:textId="77777777" w:rsidR="005B399A" w:rsidRPr="00E52143" w:rsidRDefault="005B399A" w:rsidP="005B399A">
            <w:pPr>
              <w:pStyle w:val="732021"/>
              <w:spacing w:before="0"/>
              <w:rPr>
                <w:rtl/>
              </w:rPr>
            </w:pPr>
          </w:p>
        </w:tc>
        <w:tc>
          <w:tcPr>
            <w:tcW w:w="1048" w:type="pct"/>
            <w:tcBorders>
              <w:top w:val="single" w:sz="12" w:space="0" w:color="000000" w:themeColor="text1"/>
            </w:tcBorders>
          </w:tcPr>
          <w:p w14:paraId="1878D11D" w14:textId="59122159" w:rsidR="005B399A" w:rsidRPr="00E52143" w:rsidRDefault="005B399A" w:rsidP="005B399A">
            <w:pPr>
              <w:pStyle w:val="732021"/>
              <w:spacing w:before="0"/>
              <w:rPr>
                <w:rtl/>
              </w:rPr>
            </w:pPr>
            <w:r w:rsidRPr="00834FA7">
              <w:rPr>
                <w:rtl/>
              </w:rPr>
              <w:t>מ-11 משרות הכלכלנים שבמועצה לא היו מאוישות</w:t>
            </w:r>
          </w:p>
        </w:tc>
      </w:tr>
      <w:tr w:rsidR="005B399A" w14:paraId="1BD5A20C" w14:textId="77777777" w:rsidTr="005B399A">
        <w:tc>
          <w:tcPr>
            <w:tcW w:w="1054" w:type="pct"/>
            <w:tcBorders>
              <w:bottom w:val="single" w:sz="12" w:space="0" w:color="000000" w:themeColor="text1"/>
            </w:tcBorders>
            <w:vAlign w:val="bottom"/>
          </w:tcPr>
          <w:p w14:paraId="500D3B50" w14:textId="195C6D2B" w:rsidR="00420374" w:rsidRPr="00411396" w:rsidRDefault="005B399A" w:rsidP="005B399A">
            <w:pPr>
              <w:spacing w:line="240"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70% - 92%</w:t>
            </w:r>
          </w:p>
        </w:tc>
        <w:tc>
          <w:tcPr>
            <w:tcW w:w="166" w:type="pct"/>
            <w:vAlign w:val="bottom"/>
          </w:tcPr>
          <w:p w14:paraId="26A950B1" w14:textId="77777777" w:rsidR="00420374" w:rsidRPr="00E52143" w:rsidRDefault="00420374" w:rsidP="005B399A">
            <w:pPr>
              <w:spacing w:after="120"/>
              <w:jc w:val="left"/>
              <w:rPr>
                <w:rFonts w:ascii="Tahoma" w:eastAsiaTheme="minorEastAsia" w:hAnsi="Tahoma" w:cs="Tahoma"/>
                <w:b/>
                <w:bCs/>
                <w:color w:val="0D0D0D" w:themeColor="text1" w:themeTint="F2"/>
                <w:spacing w:val="-10"/>
                <w:sz w:val="36"/>
                <w:szCs w:val="36"/>
                <w:rtl/>
              </w:rPr>
            </w:pPr>
          </w:p>
        </w:tc>
        <w:tc>
          <w:tcPr>
            <w:tcW w:w="1328" w:type="pct"/>
            <w:tcBorders>
              <w:bottom w:val="single" w:sz="12" w:space="0" w:color="000000" w:themeColor="text1"/>
            </w:tcBorders>
            <w:vAlign w:val="bottom"/>
          </w:tcPr>
          <w:p w14:paraId="48896DF7" w14:textId="296E7EA9" w:rsidR="00420374" w:rsidRPr="008D750B" w:rsidRDefault="005B399A" w:rsidP="005B399A">
            <w:pPr>
              <w:pStyle w:val="2021"/>
              <w:spacing w:before="0" w:after="60"/>
              <w:rPr>
                <w:spacing w:val="-10"/>
                <w:rtl/>
              </w:rPr>
            </w:pPr>
            <w:r>
              <w:rPr>
                <w:rFonts w:hint="cs"/>
                <w:spacing w:val="-10"/>
                <w:rtl/>
              </w:rPr>
              <w:t>47</w:t>
            </w:r>
            <w:r w:rsidR="00420374" w:rsidRPr="008D750B">
              <w:rPr>
                <w:spacing w:val="-10"/>
                <w:rtl/>
              </w:rPr>
              <w:t>%</w:t>
            </w:r>
          </w:p>
        </w:tc>
        <w:tc>
          <w:tcPr>
            <w:tcW w:w="166" w:type="pct"/>
            <w:vAlign w:val="bottom"/>
          </w:tcPr>
          <w:p w14:paraId="5B4C8A80" w14:textId="77777777" w:rsidR="00420374" w:rsidRDefault="00420374" w:rsidP="005B399A">
            <w:pPr>
              <w:spacing w:after="120" w:line="240" w:lineRule="auto"/>
              <w:jc w:val="left"/>
              <w:rPr>
                <w:rtl/>
              </w:rPr>
            </w:pPr>
          </w:p>
        </w:tc>
        <w:tc>
          <w:tcPr>
            <w:tcW w:w="1054" w:type="pct"/>
            <w:tcBorders>
              <w:bottom w:val="single" w:sz="12" w:space="0" w:color="000000" w:themeColor="text1"/>
            </w:tcBorders>
            <w:vAlign w:val="bottom"/>
          </w:tcPr>
          <w:p w14:paraId="226A2E50" w14:textId="18BCBF88" w:rsidR="00420374" w:rsidRPr="0062456C" w:rsidRDefault="005B399A" w:rsidP="005B399A">
            <w:pPr>
              <w:spacing w:after="60" w:line="192"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3</w:t>
            </w:r>
          </w:p>
        </w:tc>
        <w:tc>
          <w:tcPr>
            <w:tcW w:w="184" w:type="pct"/>
          </w:tcPr>
          <w:p w14:paraId="5E7F766C" w14:textId="77777777" w:rsidR="00420374" w:rsidRDefault="00420374" w:rsidP="005B399A">
            <w:pPr>
              <w:spacing w:after="60" w:line="240" w:lineRule="auto"/>
              <w:jc w:val="left"/>
              <w:rPr>
                <w:rFonts w:ascii="Tahoma" w:eastAsiaTheme="minorEastAsia" w:hAnsi="Tahoma" w:cs="Tahoma"/>
                <w:b/>
                <w:bCs/>
                <w:color w:val="0D0D0D" w:themeColor="text1" w:themeTint="F2"/>
                <w:spacing w:val="-10"/>
                <w:sz w:val="36"/>
                <w:szCs w:val="36"/>
                <w:rtl/>
              </w:rPr>
            </w:pPr>
          </w:p>
        </w:tc>
        <w:tc>
          <w:tcPr>
            <w:tcW w:w="1048" w:type="pct"/>
            <w:tcBorders>
              <w:bottom w:val="single" w:sz="12" w:space="0" w:color="000000" w:themeColor="text1"/>
            </w:tcBorders>
            <w:vAlign w:val="bottom"/>
          </w:tcPr>
          <w:p w14:paraId="5AEEF263" w14:textId="17377C1F" w:rsidR="00420374" w:rsidRDefault="005B399A" w:rsidP="005B399A">
            <w:pPr>
              <w:spacing w:after="60" w:line="240"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22%</w:t>
            </w:r>
          </w:p>
        </w:tc>
      </w:tr>
      <w:tr w:rsidR="005B399A" w14:paraId="54154FA5" w14:textId="77777777" w:rsidTr="005B399A">
        <w:tc>
          <w:tcPr>
            <w:tcW w:w="1054" w:type="pct"/>
            <w:tcBorders>
              <w:top w:val="single" w:sz="12" w:space="0" w:color="000000" w:themeColor="text1"/>
            </w:tcBorders>
          </w:tcPr>
          <w:p w14:paraId="6DB67748" w14:textId="485674DB" w:rsidR="005B399A" w:rsidRPr="004562F8" w:rsidRDefault="005B399A" w:rsidP="005B399A">
            <w:pPr>
              <w:pStyle w:val="732021"/>
              <w:spacing w:before="0" w:after="0"/>
              <w:rPr>
                <w:rtl/>
              </w:rPr>
            </w:pPr>
            <w:r w:rsidRPr="00834FA7">
              <w:rPr>
                <w:rtl/>
              </w:rPr>
              <w:t>שיעור הפרויקטים שהמועצה ביצעה באופן מלא בשנים 2021-2014</w:t>
            </w:r>
          </w:p>
        </w:tc>
        <w:tc>
          <w:tcPr>
            <w:tcW w:w="166" w:type="pct"/>
          </w:tcPr>
          <w:p w14:paraId="0C0AE598" w14:textId="77777777" w:rsidR="005B399A" w:rsidRPr="008D750B" w:rsidRDefault="005B399A" w:rsidP="005B399A">
            <w:pPr>
              <w:pStyle w:val="732021"/>
              <w:spacing w:before="0" w:after="0"/>
              <w:rPr>
                <w:rtl/>
              </w:rPr>
            </w:pPr>
          </w:p>
        </w:tc>
        <w:tc>
          <w:tcPr>
            <w:tcW w:w="1328" w:type="pct"/>
            <w:tcBorders>
              <w:top w:val="single" w:sz="12" w:space="0" w:color="000000" w:themeColor="text1"/>
            </w:tcBorders>
          </w:tcPr>
          <w:p w14:paraId="1916A301" w14:textId="6D3E6040" w:rsidR="005B399A" w:rsidRPr="004562F8" w:rsidRDefault="005B399A" w:rsidP="005B399A">
            <w:pPr>
              <w:pStyle w:val="732021"/>
              <w:spacing w:before="0" w:after="0"/>
              <w:rPr>
                <w:rtl/>
              </w:rPr>
            </w:pPr>
            <w:r w:rsidRPr="00834FA7">
              <w:rPr>
                <w:rtl/>
              </w:rPr>
              <w:t>הירידה  בשיעור הפרויקטים שהמועצה הייתה גורם מרכזי בגיבוש תוצריהם  (מכלל הפרויקטים שהניבו תוצר), בשנים  2018 - 2021 (מ-72% ל-38% בהתאמה). קדמה לכך עלייה של כ-36% בשיעור הפרויקטים בשנים 2014 - 2018 (53% ו-72% בהתאמה)</w:t>
            </w:r>
          </w:p>
        </w:tc>
        <w:tc>
          <w:tcPr>
            <w:tcW w:w="166" w:type="pct"/>
          </w:tcPr>
          <w:p w14:paraId="14782C57" w14:textId="77777777" w:rsidR="005B399A" w:rsidRDefault="005B399A" w:rsidP="005B399A">
            <w:pPr>
              <w:pStyle w:val="732021"/>
              <w:spacing w:before="0" w:after="0"/>
              <w:rPr>
                <w:rtl/>
              </w:rPr>
            </w:pPr>
          </w:p>
        </w:tc>
        <w:tc>
          <w:tcPr>
            <w:tcW w:w="1054" w:type="pct"/>
            <w:tcBorders>
              <w:top w:val="single" w:sz="12" w:space="0" w:color="000000" w:themeColor="text1"/>
            </w:tcBorders>
          </w:tcPr>
          <w:p w14:paraId="6149CA50" w14:textId="3B915D30" w:rsidR="005B399A" w:rsidRPr="0062456C" w:rsidRDefault="005B399A" w:rsidP="005B399A">
            <w:pPr>
              <w:pStyle w:val="732021"/>
              <w:spacing w:before="0" w:after="0"/>
              <w:rPr>
                <w:rtl/>
              </w:rPr>
            </w:pPr>
            <w:r w:rsidRPr="00834FA7">
              <w:rPr>
                <w:rtl/>
              </w:rPr>
              <w:t>הצעות תקציב מדינה לשנים  2015 - 2016, לשנים  2017 - 2018 ולשנים 2021 - 2022 שהמועצה לא חיוותה את דעתה עליהן כנדרש</w:t>
            </w:r>
          </w:p>
        </w:tc>
        <w:tc>
          <w:tcPr>
            <w:tcW w:w="184" w:type="pct"/>
          </w:tcPr>
          <w:p w14:paraId="66E34E8E" w14:textId="77777777" w:rsidR="005B399A" w:rsidRPr="00C92141" w:rsidRDefault="005B399A" w:rsidP="005B399A">
            <w:pPr>
              <w:pStyle w:val="732021"/>
              <w:spacing w:before="0" w:after="0"/>
              <w:rPr>
                <w:rtl/>
              </w:rPr>
            </w:pPr>
          </w:p>
        </w:tc>
        <w:tc>
          <w:tcPr>
            <w:tcW w:w="1048" w:type="pct"/>
            <w:tcBorders>
              <w:top w:val="single" w:sz="12" w:space="0" w:color="000000" w:themeColor="text1"/>
            </w:tcBorders>
          </w:tcPr>
          <w:p w14:paraId="39498237" w14:textId="46D6A9EA" w:rsidR="005B399A" w:rsidRPr="00C92141" w:rsidRDefault="005B399A" w:rsidP="005B399A">
            <w:pPr>
              <w:pStyle w:val="732021"/>
              <w:spacing w:before="0" w:after="0"/>
              <w:rPr>
                <w:rtl/>
              </w:rPr>
            </w:pPr>
            <w:r w:rsidRPr="00834FA7">
              <w:rPr>
                <w:rtl/>
              </w:rPr>
              <w:t xml:space="preserve">שיעור הירידה במספר הפרויקטים שהמועצה עסקה בהם משנת 2014 (46 פרויקטים) ועד שנת 2021 </w:t>
            </w:r>
            <w:r w:rsidR="009E7D94">
              <w:rPr>
                <w:rtl/>
              </w:rPr>
              <w:br/>
            </w:r>
            <w:r w:rsidRPr="00834FA7">
              <w:rPr>
                <w:rtl/>
              </w:rPr>
              <w:t xml:space="preserve">(36 פרויקטים) </w:t>
            </w:r>
          </w:p>
        </w:tc>
      </w:tr>
    </w:tbl>
    <w:p w14:paraId="3FADD5EE" w14:textId="77777777" w:rsidR="00420374" w:rsidRPr="00C62692" w:rsidRDefault="00420374" w:rsidP="00420374">
      <w:pPr>
        <w:pStyle w:val="732"/>
        <w:rPr>
          <w:rtl/>
        </w:rPr>
      </w:pPr>
      <w:r w:rsidRPr="00C62692">
        <w:rPr>
          <w:rtl/>
        </w:rPr>
        <w:t>פעולות הביקורת</w:t>
      </w:r>
    </w:p>
    <w:p w14:paraId="0AF4CED3" w14:textId="08E8D28D"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99A" w:rsidRPr="00834FA7">
        <w:rPr>
          <w:rtl/>
        </w:rPr>
        <w:t>בשנת 2014 ביצע משרד מבקר המדינה ביקורת בנושא סדרי עבודתה של המועצה הלאומית לכלכלה, וממצאיה פורסמו בדוח ביקורת במאי 2015</w:t>
      </w:r>
      <w:r w:rsidR="005B399A" w:rsidRPr="005B399A">
        <w:rPr>
          <w:vertAlign w:val="superscript"/>
          <w:rtl/>
        </w:rPr>
        <w:footnoteReference w:id="1"/>
      </w:r>
      <w:r w:rsidR="005B399A" w:rsidRPr="00834FA7">
        <w:rPr>
          <w:rtl/>
        </w:rPr>
        <w:t xml:space="preserve">. בחודשים פברואר - יולי 2022 בדק משרד מבקר המדינה את אופן הסדרת עבודת המועצה; האופן שבו היא מגבשת את האסטרטגיה הכלכלית-חברתית של הממשלה; תרומת המועצה לעבודת הממשלה; </w:t>
      </w:r>
      <w:r w:rsidR="005B399A" w:rsidRPr="00834FA7">
        <w:rPr>
          <w:rtl/>
        </w:rPr>
        <w:lastRenderedPageBreak/>
        <w:t>ואופן הכנת חוות דעתה בנושא תקציב המדינה. הבדיקה נעשתה במשרד ראש הממשלה, ובדיקת השלמה נעשתה באגף התקציבים במשרד האוצר</w:t>
      </w:r>
      <w:r>
        <w:rPr>
          <w:rFonts w:hint="cs"/>
          <w:rtl/>
        </w:rPr>
        <w:t>.</w:t>
      </w:r>
      <w:r w:rsidRPr="001F3363">
        <w:rPr>
          <w:rFonts w:hint="cs"/>
          <w:rtl/>
        </w:rPr>
        <w:t xml:space="preserve"> </w:t>
      </w:r>
    </w:p>
    <w:p w14:paraId="690F076D" w14:textId="5252E5F6" w:rsidR="002753C7" w:rsidRPr="00662020" w:rsidRDefault="002753C7" w:rsidP="002753C7">
      <w:pPr>
        <w:pStyle w:val="73fd"/>
        <w:rPr>
          <w:rtl/>
        </w:rPr>
      </w:pPr>
      <w:r w:rsidRPr="00662020">
        <w:rPr>
          <w:rFonts w:hint="cs"/>
          <w:rtl/>
        </w:rPr>
        <w:t>תמונת המצב העולה מן הביקורת</w:t>
      </w:r>
    </w:p>
    <w:p w14:paraId="0B2F822B" w14:textId="514CF924" w:rsidR="002753C7" w:rsidRPr="001F3363" w:rsidRDefault="005B399A" w:rsidP="00420374">
      <w:pPr>
        <w:pStyle w:val="73f7"/>
        <w:rPr>
          <w:rtl/>
        </w:rPr>
      </w:pPr>
      <w:r w:rsidRPr="00362C00">
        <w:rPr>
          <w:noProof/>
          <w:rtl/>
        </w:rPr>
        <w:drawing>
          <wp:anchor distT="0" distB="0" distL="114300" distR="114300" simplePos="0" relativeHeight="252391936" behindDoc="0" locked="0" layoutInCell="1" allowOverlap="1" wp14:anchorId="03EB0A10" wp14:editId="5EECB13F">
            <wp:simplePos x="0" y="0"/>
            <wp:positionH relativeFrom="column">
              <wp:posOffset>2548164</wp:posOffset>
            </wp:positionH>
            <wp:positionV relativeFrom="paragraph">
              <wp:posOffset>6985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74C7498B" w:rsidR="00420374" w:rsidRPr="0093709F" w:rsidRDefault="00DA022A" w:rsidP="00DA022A">
      <w:pPr>
        <w:pStyle w:val="7392"/>
        <w:ind w:left="424"/>
        <w:rPr>
          <w:rtl/>
        </w:rPr>
      </w:pPr>
      <w:r w:rsidRPr="005B399A">
        <w:rPr>
          <w:rFonts w:hint="cs"/>
          <w:b/>
          <w:bCs/>
          <w:noProof/>
          <w:rtl/>
        </w:rPr>
        <w:drawing>
          <wp:anchor distT="0" distB="720090" distL="114300" distR="114300" simplePos="0" relativeHeight="252393984" behindDoc="1" locked="0" layoutInCell="1" allowOverlap="1" wp14:anchorId="52880821" wp14:editId="03984EE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5B399A">
        <w:rPr>
          <w:b/>
          <w:bCs/>
          <w:rtl/>
        </w:rPr>
        <w:t>הסדרת מעמד המועצה בחקיקה</w:t>
      </w:r>
      <w:r w:rsidR="005B399A" w:rsidRPr="00834FA7">
        <w:rPr>
          <w:rFonts w:hint="cs"/>
          <w:rtl/>
        </w:rPr>
        <w:t xml:space="preserve"> </w:t>
      </w:r>
      <w:r w:rsidR="005B399A" w:rsidRPr="00834FA7">
        <w:rPr>
          <w:rtl/>
        </w:rPr>
        <w:t xml:space="preserve">- מעמד המועצה נקבע בהחלטות הממשלה. בהחלטות האלה לא נקבע, למשל כי המועצה מוסמכת לקבל מידע, לרבות ממשרד האוצר, ואף לא נקבע כי בסמכותה לזמן בעלי תפקידים בגופי הממשלה או בזרועותיה לצורך קיום דיונים ולא נקבעו כללים למינוי ראש המועצה.  נמצא כי אף שבשנת 2013 הוכנה במשרד </w:t>
      </w:r>
      <w:proofErr w:type="spellStart"/>
      <w:r w:rsidR="005B399A" w:rsidRPr="00834FA7">
        <w:rPr>
          <w:rtl/>
        </w:rPr>
        <w:t>רה"ם</w:t>
      </w:r>
      <w:proofErr w:type="spellEnd"/>
      <w:r w:rsidR="005B399A" w:rsidRPr="00834FA7">
        <w:rPr>
          <w:rtl/>
        </w:rPr>
        <w:t xml:space="preserve"> טיוטת הצעת חוק להסדרת מעמד המועצה, סמכויותיה ותפקידיה, עד דצמבר 2022, לאחר סיום ביקורת זו, משרד </w:t>
      </w:r>
      <w:proofErr w:type="spellStart"/>
      <w:r w:rsidR="005B399A" w:rsidRPr="00834FA7">
        <w:rPr>
          <w:rtl/>
        </w:rPr>
        <w:t>רה"ם</w:t>
      </w:r>
      <w:proofErr w:type="spellEnd"/>
      <w:r w:rsidR="005B399A" w:rsidRPr="00834FA7">
        <w:rPr>
          <w:rtl/>
        </w:rPr>
        <w:t xml:space="preserve"> לא קידם את הצעת החוק כנדרש בהחלטת הממשלה משנת </w:t>
      </w:r>
      <w:r w:rsidR="005B399A">
        <w:rPr>
          <w:rFonts w:hint="cs"/>
          <w:rtl/>
        </w:rPr>
        <w:t>2006.</w:t>
      </w:r>
    </w:p>
    <w:p w14:paraId="1D22E15A" w14:textId="703432CC" w:rsidR="00420374" w:rsidRPr="0093709F" w:rsidRDefault="00DA022A" w:rsidP="00DA022A">
      <w:pPr>
        <w:pStyle w:val="7392"/>
        <w:ind w:left="424"/>
      </w:pPr>
      <w:r w:rsidRPr="005B399A">
        <w:rPr>
          <w:rFonts w:hint="cs"/>
          <w:b/>
          <w:bCs/>
          <w:noProof/>
          <w:rtl/>
        </w:rPr>
        <w:drawing>
          <wp:anchor distT="0" distB="720090" distL="114300" distR="114300" simplePos="0" relativeHeight="252396032" behindDoc="1" locked="0" layoutInCell="1" allowOverlap="1" wp14:anchorId="118BCCDA" wp14:editId="46FDABE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5B399A">
        <w:rPr>
          <w:b/>
          <w:bCs/>
          <w:rtl/>
        </w:rPr>
        <w:t>איוש תפקיד ראש המועצה</w:t>
      </w:r>
      <w:r w:rsidR="005B399A" w:rsidRPr="00834FA7">
        <w:rPr>
          <w:rFonts w:hint="cs"/>
          <w:rtl/>
        </w:rPr>
        <w:t xml:space="preserve"> </w:t>
      </w:r>
      <w:r w:rsidR="005B399A" w:rsidRPr="00834FA7">
        <w:rPr>
          <w:rtl/>
        </w:rPr>
        <w:t xml:space="preserve">- ביוני 2021 פרש ראש המועצה הלאומית לכלכלה מתפקידו, ובסוף ינואר 2023 מונה ראש המועצה. במשך שנה וחצי, מאז פרישתו של ראש המועצה האחרון ועד למינוי ראש המועצה, המועצה הייתה כפופה במישרין למנכ"ל משרד </w:t>
      </w:r>
      <w:proofErr w:type="spellStart"/>
      <w:r w:rsidR="005B399A" w:rsidRPr="00834FA7">
        <w:rPr>
          <w:rtl/>
        </w:rPr>
        <w:t>רה"ם</w:t>
      </w:r>
      <w:proofErr w:type="spellEnd"/>
      <w:r w:rsidR="005B399A" w:rsidRPr="00834FA7">
        <w:rPr>
          <w:rtl/>
        </w:rPr>
        <w:t>, לצד יחידה כלכלית אחרת של המשרד - אגף שעוסק בנושאים כלכליים במטה מנכ"ל המשרד. אי-איוש תפקיד ראש המועצה במשך כשנה וחצי הקשה על המועצה למלא את ייעודה על פי החלטת הממשלה - הגשת תוצרי פעילותה לראש הממשלה והטמעתם בקרב החוגים הרלוונטיים של מקבלי ההחלטות</w:t>
      </w:r>
      <w:r w:rsidR="00420374" w:rsidRPr="0093709F">
        <w:rPr>
          <w:rFonts w:hint="cs"/>
          <w:rtl/>
        </w:rPr>
        <w:t xml:space="preserve">. </w:t>
      </w:r>
    </w:p>
    <w:p w14:paraId="0CDD6D85" w14:textId="77777777" w:rsidR="005B399A" w:rsidRDefault="00DA022A" w:rsidP="005B399A">
      <w:pPr>
        <w:pStyle w:val="7392"/>
        <w:ind w:left="424"/>
        <w:rPr>
          <w:rtl/>
        </w:rPr>
      </w:pPr>
      <w:r w:rsidRPr="005B399A">
        <w:rPr>
          <w:rFonts w:hint="cs"/>
          <w:b/>
          <w:bCs/>
          <w:noProof/>
          <w:rtl/>
        </w:rPr>
        <w:drawing>
          <wp:anchor distT="0" distB="720090" distL="114300" distR="114300" simplePos="0" relativeHeight="252398080" behindDoc="1" locked="0" layoutInCell="1" allowOverlap="1" wp14:anchorId="3B128F97" wp14:editId="2071F78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5B399A">
        <w:rPr>
          <w:b/>
          <w:bCs/>
          <w:rtl/>
        </w:rPr>
        <w:t>גיבוש האסטרטגיה הכלכלית-חברתית של הממשלה</w:t>
      </w:r>
      <w:r w:rsidR="005B399A" w:rsidRPr="00834FA7">
        <w:rPr>
          <w:rFonts w:hint="cs"/>
          <w:rtl/>
        </w:rPr>
        <w:t xml:space="preserve"> </w:t>
      </w:r>
      <w:r w:rsidR="005B399A" w:rsidRPr="00834FA7">
        <w:rPr>
          <w:rtl/>
        </w:rPr>
        <w:t xml:space="preserve">- בשנת 2012 החליטה הממשלה למסד תהליכים כלל-ממשלתיים מעמיקים, מבוססי מחקר, לצורך התמודדות מבעוד מועד עם אתגרים ארוכי טווח במישור החברתי-כלכלי שבתחום אחריותם של משרדים שונים ולהקים גופים לצורך מיסוד וביצוע של התהליכים האלה. ואולם פעולות של חלק מהגופים האלו להשלמת התהליכים האלה הלכו ופחתו עם השנים: יוני 2015 היה המועד האחרון שבו המועצה הלאומית לכלכלה והפורום לתכנון אסטרטגי הגישו לממשלה הערכת מצב אסטרטגית מלאה, וההערכה נדונה בממשלה; פעמיים גובשו הערכות מצב בשנים 2020 ו-2022, והמועצה לא קיבלה ממשרד </w:t>
      </w:r>
      <w:proofErr w:type="spellStart"/>
      <w:r w:rsidR="005B399A" w:rsidRPr="00834FA7">
        <w:rPr>
          <w:rtl/>
        </w:rPr>
        <w:t>רה"ם</w:t>
      </w:r>
      <w:proofErr w:type="spellEnd"/>
      <w:r w:rsidR="005B399A" w:rsidRPr="00834FA7">
        <w:rPr>
          <w:rtl/>
        </w:rPr>
        <w:t xml:space="preserve"> אישור להציגן לממשלה. משכך, הערכת המצב האסטרטגית האחרונה שנדונה בממשלה הייתה אפוא ביוני 2015; הצוות לניהול אסטרטגיה בראשות מנכ"ל משרד </w:t>
      </w:r>
      <w:proofErr w:type="spellStart"/>
      <w:r w:rsidR="005B399A" w:rsidRPr="00834FA7">
        <w:rPr>
          <w:rtl/>
        </w:rPr>
        <w:t>רה"ם</w:t>
      </w:r>
      <w:proofErr w:type="spellEnd"/>
      <w:r w:rsidR="005B399A" w:rsidRPr="00834FA7">
        <w:rPr>
          <w:rtl/>
        </w:rPr>
        <w:t xml:space="preserve"> ובהשתתפות ראש המועצה לא פעל משנת 2017, ומיולי 2018 לא בוצע אחד מתפקידיו העיקריים - מעקב אחר החלטות ממשלה שהתקבלו בנוגע להערכת המצב האסטרטגית</w:t>
      </w:r>
      <w:r w:rsidR="00420374" w:rsidRPr="0093709F">
        <w:rPr>
          <w:rFonts w:hint="cs"/>
          <w:rtl/>
        </w:rPr>
        <w:t>.</w:t>
      </w:r>
    </w:p>
    <w:p w14:paraId="583ECB3F" w14:textId="25BF4A87" w:rsidR="00420374" w:rsidRPr="0093709F" w:rsidRDefault="005B399A" w:rsidP="005B399A">
      <w:pPr>
        <w:pStyle w:val="7392"/>
        <w:ind w:left="424"/>
      </w:pPr>
      <w:r w:rsidRPr="00834FA7">
        <w:rPr>
          <w:rtl/>
        </w:rPr>
        <w:t xml:space="preserve">עלה כי בטיוטת הערכת המצב שגובשה בידי המועצה והפורום לתכנון אסטרטגי בינואר 2022 פורטו שש הסוגיות האסטרטגיות שנכללו בעיקרי מדיניותה של הממשלה מספטמבר 2021. עם זאת, מסמך עיקרי מדיניות הממשלה לא היה תחליף להערכת מצב אסטרטגית ולא כלל שני מרכיבים הנדרשים כאמור בהערכת המצב האסטרטגית על פי החלטת הממשלה משנת 2012: ניתוח מגמות עולמיות בתחום הכלכלי-חברתי, שהן בעלות השפעה מהותית על החברה והמשק בישראל, וכן ניתוח מגמות מקומיות ומאפיינים עיקריים במשק </w:t>
      </w:r>
      <w:r w:rsidRPr="00834FA7">
        <w:rPr>
          <w:rtl/>
        </w:rPr>
        <w:lastRenderedPageBreak/>
        <w:t>ובחברה בישראל. יצוין כי טיוטת הערכת המצב לא עסקה בחשש להתפרצות אינפלציונית בישראל, אשר עלה בדיוני הפורום לתכנון אסטרטגי בשנת 2021</w:t>
      </w:r>
      <w:r w:rsidR="00420374" w:rsidRPr="0093709F">
        <w:rPr>
          <w:rFonts w:hint="cs"/>
          <w:rtl/>
        </w:rPr>
        <w:t xml:space="preserve">. </w:t>
      </w:r>
    </w:p>
    <w:p w14:paraId="7C081EA1" w14:textId="349C2546" w:rsidR="00420374" w:rsidRPr="0093709F" w:rsidRDefault="00DA022A" w:rsidP="00DA022A">
      <w:pPr>
        <w:pStyle w:val="7392"/>
        <w:ind w:left="424"/>
      </w:pPr>
      <w:r w:rsidRPr="005B399A">
        <w:rPr>
          <w:rFonts w:hint="cs"/>
          <w:b/>
          <w:bCs/>
          <w:noProof/>
          <w:rtl/>
        </w:rPr>
        <w:drawing>
          <wp:anchor distT="0" distB="720090" distL="114300" distR="114300" simplePos="0" relativeHeight="252402176" behindDoc="1" locked="0" layoutInCell="1" allowOverlap="1" wp14:anchorId="3C379D12" wp14:editId="244BBCFC">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5B399A">
        <w:rPr>
          <w:b/>
          <w:bCs/>
          <w:rtl/>
        </w:rPr>
        <w:t>תרומת המועצה הלאומית לכלכלה לעבודת הממשלה</w:t>
      </w:r>
      <w:r w:rsidR="005B399A" w:rsidRPr="00834FA7">
        <w:rPr>
          <w:rFonts w:hint="cs"/>
          <w:rtl/>
        </w:rPr>
        <w:t xml:space="preserve"> </w:t>
      </w:r>
      <w:r w:rsidR="005B399A" w:rsidRPr="00834FA7">
        <w:rPr>
          <w:rtl/>
        </w:rPr>
        <w:t>- במשך חמש שנים (2016 - 2020) בוצעו 99 פרויקטים שהמועצה הובילה ואף שימשה גורם מרכזי בגיבוש תוצריהם; במסגרת 36 מהפרויקטים האלה (36%) הוגשו הצעות החלטה לממשלה</w:t>
      </w:r>
      <w:r w:rsidR="00420374" w:rsidRPr="0093709F">
        <w:rPr>
          <w:rFonts w:hint="cs"/>
          <w:rtl/>
        </w:rPr>
        <w:t xml:space="preserve">. </w:t>
      </w:r>
    </w:p>
    <w:p w14:paraId="5E8BF229" w14:textId="369AF443" w:rsidR="00420374" w:rsidRPr="0093709F" w:rsidRDefault="005B399A" w:rsidP="00DA022A">
      <w:pPr>
        <w:pStyle w:val="7392"/>
        <w:ind w:left="424"/>
        <w:rPr>
          <w:rtl/>
        </w:rPr>
      </w:pPr>
      <w:r w:rsidRPr="00834FA7">
        <w:rPr>
          <w:rtl/>
        </w:rPr>
        <w:t xml:space="preserve">נמצא כי פעילות המועצה הלכה והצטמצמה משנת 2018: היקף הפרויקטים שהיא עסקה בהם פחת (מ-56 פרויקטים בשנת 2018 ל-36 פרויקטים בשנת 2021); וכמו כן פחת שיעור הפרויקטים שהמועצה הייתה גורם מרכזי בגיבוש תוצריהם מכלל הפרויקטים שהניבו תוצר, כגון הצעות להחלטות ממשלה ותזכירי חוק (מ-72% בשנת 2018 ל-38% בשנת 2021). מתשובת משרד </w:t>
      </w:r>
      <w:proofErr w:type="spellStart"/>
      <w:r w:rsidRPr="00834FA7">
        <w:rPr>
          <w:rtl/>
        </w:rPr>
        <w:t>רה"ם</w:t>
      </w:r>
      <w:proofErr w:type="spellEnd"/>
      <w:r w:rsidRPr="00834FA7">
        <w:rPr>
          <w:rtl/>
        </w:rPr>
        <w:t xml:space="preserve"> עולה כי היקף פעילות המועצה בשנים 2019 - 2021 הושפע גם מחילופים תכופים של ממשלות ומעיסוקה במשבר מגפת הקורונה</w:t>
      </w:r>
      <w:r w:rsidR="00420374" w:rsidRPr="0093709F">
        <w:rPr>
          <w:rFonts w:hint="cs"/>
          <w:rtl/>
        </w:rPr>
        <w:t>.</w:t>
      </w:r>
    </w:p>
    <w:p w14:paraId="39D5E97C" w14:textId="7199724C" w:rsidR="00420374" w:rsidRDefault="00A87A64" w:rsidP="00DA022A">
      <w:pPr>
        <w:pStyle w:val="7392"/>
        <w:ind w:left="424"/>
        <w:rPr>
          <w:noProof/>
          <w:rtl/>
        </w:rPr>
      </w:pPr>
      <w:r w:rsidRPr="005B399A">
        <w:rPr>
          <w:rStyle w:val="7371"/>
          <w:rFonts w:hint="cs"/>
          <w:noProof/>
          <w:rtl/>
        </w:rPr>
        <w:drawing>
          <wp:anchor distT="0" distB="0" distL="114300" distR="114300" simplePos="0" relativeHeight="252388864" behindDoc="0" locked="0" layoutInCell="1" allowOverlap="1" wp14:anchorId="387F57B2" wp14:editId="1CB0992D">
            <wp:simplePos x="0" y="0"/>
            <wp:positionH relativeFrom="column">
              <wp:posOffset>2396490</wp:posOffset>
            </wp:positionH>
            <wp:positionV relativeFrom="paragraph">
              <wp:posOffset>2521585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DA022A" w:rsidRPr="005B399A">
        <w:rPr>
          <w:rStyle w:val="7371"/>
          <w:rFonts w:hint="cs"/>
          <w:noProof/>
          <w:rtl/>
        </w:rPr>
        <w:drawing>
          <wp:anchor distT="0" distB="720090" distL="114300" distR="114300" simplePos="0" relativeHeight="252406272" behindDoc="1" locked="0" layoutInCell="1" allowOverlap="1" wp14:anchorId="7A322FA4" wp14:editId="0B32151E">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399A" w:rsidRPr="005B399A">
        <w:rPr>
          <w:rStyle w:val="7371"/>
          <w:rtl/>
        </w:rPr>
        <w:t>הכנת חוות דעת על תקציב המדינה והצעת חלופות</w:t>
      </w:r>
      <w:r w:rsidR="005B399A" w:rsidRPr="00834FA7">
        <w:rPr>
          <w:rFonts w:hint="cs"/>
          <w:rtl/>
        </w:rPr>
        <w:t xml:space="preserve"> </w:t>
      </w:r>
      <w:r w:rsidR="005B399A" w:rsidRPr="00834FA7">
        <w:rPr>
          <w:rtl/>
        </w:rPr>
        <w:t xml:space="preserve">- במסגרת שלושה תהליכים לגיבוש תקציב המדינה (לשנים 2015 - 2016, לשנים 2017 - 2018 ולשנים 2021 - 2022) המועצה לא הכינה חוות דעת כנדרש, בנוגע להצעת תקציב המדינה לפני הגשתה לממשלה, בנוגע למסגרת התקציב ובנוגע לנושאים המרכזיים הכלולים בו, ולא הציעה חלופות בנושאים אלו לפי הצורך כנדרש בהחלטת הממשלה משנת 2006. כך, למשל חוות הדעת של המועצה על תקציב המדינה לשנים 2018-2017 כללה התייחסות כללית למרכיבי הכנסה מסוימים בהצעת התקציב (כגון להפרשות עובדים בעלי פנסיה תקציבית לגמלאות - רכיב תקציבי בהיקף של כ-0.3 מיליארד ש"ח, ולהגדלה של מס רכוש - רכיב תקציבי בהיקף של כ-0.4 מיליארד ש"ח). עם זאת, המועצה לא חיוותה את דעתה על הצעת תקציב המדינה לפני הגשתה לממשלה בנוגע למסגרת התקציב ולא הציעה חלופות. הדבר הועלה בדוח מבקר המדינה משנת 2015, ושב והועלה בביקורת הנוכחית. לדברי המועצה </w:t>
      </w:r>
      <w:proofErr w:type="spellStart"/>
      <w:r w:rsidR="005B399A" w:rsidRPr="00834FA7">
        <w:rPr>
          <w:rtl/>
        </w:rPr>
        <w:t>ואג"ת</w:t>
      </w:r>
      <w:proofErr w:type="spellEnd"/>
      <w:r w:rsidR="005B399A" w:rsidRPr="00834FA7">
        <w:rPr>
          <w:rtl/>
        </w:rPr>
        <w:t>, הסיבה לכך היא לוח זמנים קצר לגיבוש הצעת התקציב, ובעקבות כך - הקצאת פרק זמן קצר מהנדרש למועצה לבחינת ההצעה. יצוין כי המועצה הגישה חוות דעת בנוגע להצעת תקציב המדינה לשנת 2023</w:t>
      </w:r>
      <w:r w:rsidR="00420374" w:rsidRPr="0093709F">
        <w:rPr>
          <w:rFonts w:hint="cs"/>
          <w:rtl/>
        </w:rPr>
        <w:t xml:space="preserve">. </w:t>
      </w:r>
    </w:p>
    <w:p w14:paraId="5E6B04AD" w14:textId="5EE64D31" w:rsidR="005B399A" w:rsidRDefault="005B399A" w:rsidP="005B399A">
      <w:pPr>
        <w:pStyle w:val="73f7"/>
        <w:spacing w:before="360"/>
        <w:rPr>
          <w:rtl/>
        </w:rPr>
      </w:pPr>
      <w:r w:rsidRPr="00834FA7">
        <w:rPr>
          <w:rtl/>
        </w:rPr>
        <w:t>רוב הפרויקטים של המועצה בשנים 20</w:t>
      </w:r>
      <w:r w:rsidRPr="00834FA7">
        <w:rPr>
          <w:rFonts w:hint="cs"/>
          <w:rtl/>
        </w:rPr>
        <w:t xml:space="preserve">14 </w:t>
      </w:r>
      <w:r w:rsidRPr="00834FA7">
        <w:rPr>
          <w:rtl/>
        </w:rPr>
        <w:t>-</w:t>
      </w:r>
      <w:r w:rsidRPr="00834FA7">
        <w:rPr>
          <w:rFonts w:hint="cs"/>
          <w:rtl/>
        </w:rPr>
        <w:t xml:space="preserve"> </w:t>
      </w:r>
      <w:r w:rsidRPr="00834FA7">
        <w:rPr>
          <w:rtl/>
        </w:rPr>
        <w:t>20</w:t>
      </w:r>
      <w:r w:rsidRPr="00834FA7">
        <w:rPr>
          <w:rFonts w:hint="cs"/>
          <w:rtl/>
        </w:rPr>
        <w:t>21</w:t>
      </w:r>
      <w:r w:rsidRPr="00834FA7">
        <w:rPr>
          <w:rtl/>
        </w:rPr>
        <w:t xml:space="preserve"> (70% - 92% מהם) בוצעו באופן מלא</w:t>
      </w:r>
      <w:r w:rsidR="00420374" w:rsidRPr="005B399A">
        <w:rPr>
          <w:rtl/>
        </w:rPr>
        <w:t>.</w:t>
      </w:r>
    </w:p>
    <w:p w14:paraId="442C4025" w14:textId="77777777" w:rsidR="005B399A" w:rsidRDefault="005B399A">
      <w:pPr>
        <w:bidi w:val="0"/>
        <w:spacing w:after="200" w:line="276" w:lineRule="auto"/>
        <w:rPr>
          <w:rFonts w:ascii="Tahoma" w:hAnsi="Tahoma" w:cs="Tahoma"/>
          <w:color w:val="0D0D0D" w:themeColor="text1" w:themeTint="F2"/>
          <w:sz w:val="18"/>
          <w:szCs w:val="18"/>
          <w:rtl/>
        </w:rPr>
      </w:pPr>
      <w:r>
        <w:rPr>
          <w:rtl/>
        </w:rPr>
        <w:br w:type="page"/>
      </w:r>
    </w:p>
    <w:p w14:paraId="7C748CCB" w14:textId="7A75E04D" w:rsidR="002753C7" w:rsidRPr="00662020" w:rsidRDefault="002753C7" w:rsidP="002753C7">
      <w:pPr>
        <w:pStyle w:val="73fd"/>
        <w:spacing w:before="480"/>
        <w:rPr>
          <w:rtl/>
        </w:rPr>
      </w:pPr>
      <w:r w:rsidRPr="00662020">
        <w:rPr>
          <w:rFonts w:hint="cs"/>
          <w:rtl/>
        </w:rPr>
        <w:lastRenderedPageBreak/>
        <w:t>עיקרי המלצות הביקורת</w:t>
      </w:r>
    </w:p>
    <w:p w14:paraId="0466320B" w14:textId="17BB0B8A"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5B399A" w:rsidRPr="00834FA7">
        <w:rPr>
          <w:rtl/>
        </w:rPr>
        <w:t xml:space="preserve">על משרד </w:t>
      </w:r>
      <w:proofErr w:type="spellStart"/>
      <w:r w:rsidR="005B399A" w:rsidRPr="00834FA7">
        <w:rPr>
          <w:rtl/>
        </w:rPr>
        <w:t>רה"ם</w:t>
      </w:r>
      <w:proofErr w:type="spellEnd"/>
      <w:r w:rsidR="005B399A" w:rsidRPr="00834FA7">
        <w:rPr>
          <w:rtl/>
        </w:rPr>
        <w:t xml:space="preserve"> לפעול להשלמת הצעת החוק לשם חיזוק מעמד המועצה והסדרת סמכויותיה ובכלל זה לקבל מידע מגופים ממשלתיים ולקיים דיונים בהשתתפות נציגיהם. מומלץ כי ראש הממשלה יפעל לקיום דיון עיתי בממשלה או בוועדת שרים לאסטרטגיה כלכלית-חברתית, בהתאם להחלטת הממשלה משנת 2012. כמו כן על משרד </w:t>
      </w:r>
      <w:proofErr w:type="spellStart"/>
      <w:r w:rsidR="005B399A" w:rsidRPr="00834FA7">
        <w:rPr>
          <w:rtl/>
        </w:rPr>
        <w:t>רה"ם</w:t>
      </w:r>
      <w:proofErr w:type="spellEnd"/>
      <w:r w:rsidR="005B399A" w:rsidRPr="00834FA7">
        <w:rPr>
          <w:rtl/>
        </w:rPr>
        <w:t xml:space="preserve"> לפעול להקמה מחדש של הצוות לניהול האסטרטגיה ולוודא כי הצוות מבצע את תפקידיו על פי החלטת הממשלה ובכלל זה הגשת דוח מעקב כולל אחר יישום הערכת המצב האסטרטגית. פעולות אלה נדרשות כדי לאפשר לממשלה להתמודד עם האתגרים הניצבים לפניה בתחום החברתי-כלכלי</w:t>
      </w:r>
      <w:r w:rsidR="005D0F8C" w:rsidRPr="007C7D40">
        <w:rPr>
          <w:rFonts w:hint="cs"/>
          <w:rtl/>
        </w:rPr>
        <w:t xml:space="preserve">. </w:t>
      </w:r>
    </w:p>
    <w:p w14:paraId="6C626C68" w14:textId="4B1F8E48" w:rsidR="005D0F8C" w:rsidRPr="007C7D40" w:rsidRDefault="0072357A" w:rsidP="007C7D40">
      <w:pPr>
        <w:pStyle w:val="73f7"/>
      </w:pPr>
      <w:r w:rsidRPr="007C7D40">
        <w:rPr>
          <w:rFonts w:hint="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834FA7">
        <w:rPr>
          <w:rtl/>
        </w:rPr>
        <w:t xml:space="preserve">מומלץ כי משרד </w:t>
      </w:r>
      <w:proofErr w:type="spellStart"/>
      <w:r w:rsidR="005B399A" w:rsidRPr="00834FA7">
        <w:rPr>
          <w:rtl/>
        </w:rPr>
        <w:t>רה"ם</w:t>
      </w:r>
      <w:proofErr w:type="spellEnd"/>
      <w:r w:rsidR="005B399A" w:rsidRPr="00834FA7">
        <w:rPr>
          <w:rtl/>
        </w:rPr>
        <w:t xml:space="preserve"> יגבש את תוכניות העבודה של המועצה הלאומית לכלכלה גם על סמך התפוקות הנדרשות ממנה לנוכח תפקידיה, סמכויותיה והיקף המשאבים שלרשותה, וכי הוא יוודא שהתוכניות מאפשרות למצות את פוטנציאל הפעילות של המועצה</w:t>
      </w:r>
      <w:r w:rsidR="005D0F8C" w:rsidRPr="007C7D40">
        <w:rPr>
          <w:rtl/>
        </w:rPr>
        <w:t xml:space="preserve">. </w:t>
      </w:r>
    </w:p>
    <w:p w14:paraId="16E5BFEE" w14:textId="797EE088" w:rsidR="005D0F8C" w:rsidRPr="007C7D40" w:rsidRDefault="0072357A" w:rsidP="007C7D40">
      <w:pPr>
        <w:pStyle w:val="73f7"/>
        <w:rPr>
          <w:rtl/>
        </w:rPr>
      </w:pPr>
      <w:r w:rsidRPr="007C7D40">
        <w:rPr>
          <w:rFonts w:hint="cs"/>
          <w:noProof/>
          <w:rtl/>
        </w:rPr>
        <w:drawing>
          <wp:anchor distT="0" distB="1440180" distL="107950" distR="114300" simplePos="0" relativeHeight="252414464" behindDoc="1" locked="0" layoutInCell="1" allowOverlap="1" wp14:anchorId="22707BD2" wp14:editId="08D1CD48">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834FA7">
        <w:rPr>
          <w:rtl/>
        </w:rPr>
        <w:t xml:space="preserve">מומלץ כי משרד </w:t>
      </w:r>
      <w:proofErr w:type="spellStart"/>
      <w:r w:rsidR="005B399A" w:rsidRPr="00834FA7">
        <w:rPr>
          <w:rtl/>
        </w:rPr>
        <w:t>רה"ם</w:t>
      </w:r>
      <w:proofErr w:type="spellEnd"/>
      <w:r w:rsidR="005B399A" w:rsidRPr="00834FA7">
        <w:rPr>
          <w:rtl/>
        </w:rPr>
        <w:t xml:space="preserve"> יקבע את היקף המשימות המוטלות על המועצה בהתאם למידת מעורבותה בהם ולתוצרים הנדרשים בפרויקטים השונים, בהתחשב בהיקף כוח האדם שלה, וכי הוא יוודא שהמשימות האלה הולמות את תפקידי המועצה שנקבעו על פי החלטות הממשלה. עוד מומלץ כי המועצה הלאומית לכלכלה תשלים את הכנת התוצרים של כלל הפרויקטים שבהם עסקה ותרחיב את עיסוקה בנושאים הנוגעים להתפרצות האינפלציה בישראל ולסוגיית מחירי האנרגיה</w:t>
      </w:r>
      <w:r w:rsidR="005D0F8C" w:rsidRPr="007C7D40">
        <w:rPr>
          <w:rFonts w:hint="cs"/>
          <w:rtl/>
        </w:rPr>
        <w:t>.</w:t>
      </w:r>
    </w:p>
    <w:p w14:paraId="3F6A2BE4" w14:textId="16BC066A"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5B399A" w:rsidRPr="00834FA7">
        <w:rPr>
          <w:rtl/>
        </w:rPr>
        <w:t xml:space="preserve">על המועצה להקפיד לגבש חוות דעת מקיפה בנוגע להצעת התקציב לפני הגשתה לממשלה, בנוגע למסגרת התקציב ובנוגע לנושאים המרכזיים הכלולים בו, ולהציע חלופות בנושאים אלו לפי הצורך. עוד מומלץ כי משרד </w:t>
      </w:r>
      <w:proofErr w:type="spellStart"/>
      <w:r w:rsidR="005B399A" w:rsidRPr="00834FA7">
        <w:rPr>
          <w:rtl/>
        </w:rPr>
        <w:t>רה"ם</w:t>
      </w:r>
      <w:proofErr w:type="spellEnd"/>
      <w:r w:rsidR="005B399A" w:rsidRPr="00834FA7">
        <w:rPr>
          <w:rtl/>
        </w:rPr>
        <w:t xml:space="preserve"> ומשרד האוצר יפעלו לגיבוש מתכונת עבודה שתאפשר יישום של החלטת הממשלה האמורה</w:t>
      </w:r>
      <w:r w:rsidR="00706096" w:rsidRPr="007C7D40">
        <w:rPr>
          <w:rFonts w:hint="cs"/>
          <w:rtl/>
        </w:rPr>
        <w:t>.</w:t>
      </w:r>
    </w:p>
    <w:p w14:paraId="377E6FE3" w14:textId="065E343F" w:rsidR="00C34E69" w:rsidRDefault="00C34E69">
      <w:pPr>
        <w:bidi w:val="0"/>
        <w:spacing w:after="200" w:line="276" w:lineRule="auto"/>
        <w:rPr>
          <w:rFonts w:ascii="Tahoma" w:hAnsi="Tahoma" w:cs="Tahoma"/>
          <w:color w:val="0D0D0D" w:themeColor="text1" w:themeTint="F2"/>
          <w:sz w:val="18"/>
          <w:szCs w:val="18"/>
          <w:rtl/>
        </w:rPr>
      </w:pPr>
      <w:r>
        <w:rPr>
          <w:rtl/>
        </w:rPr>
        <w:br w:type="page"/>
      </w:r>
    </w:p>
    <w:p w14:paraId="6DC28C4F" w14:textId="44545617" w:rsidR="005D0F8C" w:rsidRDefault="004E71DD" w:rsidP="004E71DD">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191232" behindDoc="0" locked="0" layoutInCell="1" allowOverlap="1" wp14:anchorId="29327287" wp14:editId="462AC855">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323B55A8">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14:paraId="1D5D7976" w14:textId="555110B0" w:rsidR="005D0F8C" w:rsidRPr="005C7ABF" w:rsidRDefault="00C34E69" w:rsidP="00662020">
                            <w:pPr>
                              <w:spacing w:line="240" w:lineRule="auto"/>
                              <w:ind w:right="113"/>
                              <w:suppressOverlap/>
                              <w:jc w:val="left"/>
                              <w:rPr>
                                <w:rFonts w:ascii="Tahoma" w:hAnsi="Tahoma" w:cs="Tahoma"/>
                                <w:b/>
                                <w:bCs/>
                                <w:color w:val="FFFFFF" w:themeColor="background1"/>
                                <w:spacing w:val="-4"/>
                                <w:sz w:val="22"/>
                                <w:szCs w:val="22"/>
                                <w:rtl/>
                              </w:rPr>
                            </w:pPr>
                            <w:r w:rsidRPr="00C34E69">
                              <w:rPr>
                                <w:rFonts w:ascii="Tahoma" w:hAnsi="Tahoma" w:cs="Tahoma"/>
                                <w:b/>
                                <w:bCs/>
                                <w:color w:val="FFFFFF" w:themeColor="background1"/>
                                <w:spacing w:val="-4"/>
                                <w:sz w:val="22"/>
                                <w:szCs w:val="22"/>
                                <w:rtl/>
                              </w:rPr>
                              <w:t>מספר הפרויקטים שבהם עסקה המועצה הלאומית לכלכלה, 2014 - 2021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85pt;margin-top:3.55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" fillcolor="#f05260" stroked="f">
                <v:textbox>
                  <w:txbxContent>
                    <w:p w14:paraId="1D5D7976" w14:textId="555110B0" w:rsidR="005D0F8C" w:rsidRPr="005C7ABF" w:rsidRDefault="00C34E69" w:rsidP="00662020">
                      <w:pPr>
                        <w:spacing w:line="240" w:lineRule="auto"/>
                        <w:ind w:right="113"/>
                        <w:suppressOverlap/>
                        <w:jc w:val="left"/>
                        <w:rPr>
                          <w:rFonts w:ascii="Tahoma" w:hAnsi="Tahoma" w:cs="Tahoma"/>
                          <w:b/>
                          <w:bCs/>
                          <w:color w:val="FFFFFF" w:themeColor="background1"/>
                          <w:spacing w:val="-4"/>
                          <w:sz w:val="22"/>
                          <w:szCs w:val="22"/>
                          <w:rtl/>
                        </w:rPr>
                      </w:pPr>
                      <w:r w:rsidRPr="00C34E69">
                        <w:rPr>
                          <w:rFonts w:ascii="Tahoma" w:hAnsi="Tahoma" w:cs="Tahoma"/>
                          <w:b/>
                          <w:bCs/>
                          <w:color w:val="FFFFFF" w:themeColor="background1"/>
                          <w:spacing w:val="-4"/>
                          <w:sz w:val="22"/>
                          <w:szCs w:val="22"/>
                          <w:rtl/>
                        </w:rPr>
                        <w:t>מספר הפרויקטים שבהם עסקה המועצה הלאומית לכלכלה, 2014 - 2021</w:t>
                      </w:r>
                    </w:p>
                  </w:txbxContent>
                </v:textbox>
              </v:shape>
            </w:pict>
          </mc:Fallback>
        </mc:AlternateContent>
      </w:r>
      <w:r w:rsidR="005D0F8C">
        <w:rPr>
          <w:rtl/>
        </w:rPr>
        <w:t xml:space="preserve"> </w:t>
      </w:r>
    </w:p>
    <w:p w14:paraId="5B8DB107" w14:textId="20FFFE4E" w:rsidR="005D0F8C" w:rsidRDefault="005D0F8C" w:rsidP="005D0F8C">
      <w:pPr>
        <w:pStyle w:val="73f7"/>
        <w:rPr>
          <w:rtl/>
        </w:rPr>
      </w:pPr>
    </w:p>
    <w:p w14:paraId="65CD3CF9" w14:textId="2024D111" w:rsidR="005D0F8C" w:rsidRDefault="000B31AA" w:rsidP="005D0F8C">
      <w:pPr>
        <w:pStyle w:val="73f7"/>
        <w:rPr>
          <w:rtl/>
        </w:rPr>
      </w:pPr>
      <w:r>
        <w:rPr>
          <w:noProof/>
          <w:sz w:val="19"/>
          <w:szCs w:val="19"/>
        </w:rPr>
        <w:drawing>
          <wp:anchor distT="0" distB="0" distL="114300" distR="114300" simplePos="0" relativeHeight="252193280" behindDoc="0" locked="0" layoutInCell="1" allowOverlap="1" wp14:anchorId="2E8D0B99" wp14:editId="3585103C">
            <wp:simplePos x="0" y="0"/>
            <wp:positionH relativeFrom="column">
              <wp:posOffset>-38735</wp:posOffset>
            </wp:positionH>
            <wp:positionV relativeFrom="paragraph">
              <wp:posOffset>490855</wp:posOffset>
            </wp:positionV>
            <wp:extent cx="4669155" cy="2353310"/>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69155" cy="2353310"/>
                    </a:xfrm>
                    <a:prstGeom prst="rect">
                      <a:avLst/>
                    </a:prstGeom>
                    <a:noFill/>
                  </pic:spPr>
                </pic:pic>
              </a:graphicData>
            </a:graphic>
            <wp14:sizeRelH relativeFrom="page">
              <wp14:pctWidth>0</wp14:pctWidth>
            </wp14:sizeRelH>
            <wp14:sizeRelV relativeFrom="page">
              <wp14:pctHeight>0</wp14:pctHeight>
            </wp14:sizeRelV>
          </wp:anchor>
        </w:drawing>
      </w:r>
    </w:p>
    <w:p w14:paraId="0DA8F7B9" w14:textId="5932106C" w:rsidR="005D0F8C" w:rsidRDefault="00C34E69" w:rsidP="005D0F8C">
      <w:pPr>
        <w:pStyle w:val="73e"/>
        <w:spacing w:before="360" w:after="0"/>
        <w:rPr>
          <w:b/>
          <w:bCs/>
          <w:noProof/>
          <w:color w:val="FFFFFF" w:themeColor="background1"/>
          <w:sz w:val="22"/>
          <w:szCs w:val="22"/>
        </w:rPr>
      </w:pPr>
      <w:r w:rsidRPr="003F52E1">
        <w:rPr>
          <w:rtl/>
        </w:rPr>
        <w:t>על פי נתוני המועצה הלאומית לכלכלה,</w:t>
      </w:r>
      <w:r w:rsidRPr="003F52E1">
        <w:rPr>
          <w:color w:val="000000" w:themeColor="text1"/>
          <w:rtl/>
        </w:rPr>
        <w:t xml:space="preserve"> בעיבוד של משרד מבקר המדינה</w:t>
      </w:r>
      <w:r w:rsidR="005D0F8C" w:rsidRPr="00BE0973">
        <w:rPr>
          <w:rFonts w:hint="cs"/>
          <w:rtl/>
        </w:rPr>
        <w:t>.</w:t>
      </w:r>
    </w:p>
    <w:p w14:paraId="7C33D7DD" w14:textId="77777777" w:rsidR="004E71DD" w:rsidRDefault="004E71DD" w:rsidP="004E71DD">
      <w:pPr>
        <w:pStyle w:val="732"/>
        <w:rPr>
          <w:rtl/>
        </w:rPr>
      </w:pPr>
      <w:r w:rsidRPr="00EF3061">
        <w:rPr>
          <w:rFonts w:hint="cs"/>
          <w:rtl/>
        </w:rPr>
        <w:t>סיכום</w:t>
      </w:r>
    </w:p>
    <w:p w14:paraId="1C2A4AA6" w14:textId="77777777" w:rsidR="009E179E" w:rsidRDefault="00C34E69" w:rsidP="004E71DD">
      <w:pPr>
        <w:widowControl w:val="0"/>
        <w:tabs>
          <w:tab w:val="left" w:pos="9604"/>
        </w:tabs>
        <w:spacing w:before="240" w:line="276" w:lineRule="auto"/>
        <w:ind w:left="-1"/>
        <w:rPr>
          <w:rFonts w:ascii="Tahoma" w:hAnsi="Tahoma" w:cs="Tahoma"/>
          <w:sz w:val="18"/>
          <w:szCs w:val="18"/>
          <w:rtl/>
        </w:rPr>
      </w:pPr>
      <w:r w:rsidRPr="002F57A0">
        <w:rPr>
          <w:rFonts w:ascii="Tahoma" w:hAnsi="Tahoma" w:cs="Tahoma"/>
          <w:sz w:val="18"/>
          <w:szCs w:val="18"/>
          <w:rtl/>
        </w:rPr>
        <w:t xml:space="preserve">ממצאי הביקורת העלו פערים וליקויים בעבודת המועצה: מספר הפרויקטים שבהם המועצה הייתה גורם מרכזי בגיבוש התוצר מכלל הפרויקטים שהניבו תוצר פחת מכ-72% בשנת 2018 לכ-38% מהפרויקטים בשנת 2021. אף שבשנים האמורות לא חל שינוי בהיקף משאביה; המועצה לא הכינה חוות דעת מקיפה בעניין הצעת תקציב המדינה לשנים 2015 - 2016, 2017 - 2018 ולשנים 2021 - 2022, אף שמתפקידה לעשות זאת, ובכך לא מילאה את ייעודה - לשמש מערכת המאזנת את זו של משרד האוצר, המציגה דעות בלתי תלויות בתחומי הכלכלה והחברה, בדגש על ראייה אסטרטגית וארוכת טווח; משנת 2012 הוקמו גופים אשר נדרשו לבצע תהליכים אסטרטגיים ארוכי טווח. במשך השנים הלכו ופחתו הפעולות של חלק מהגופים האלו להשלמת ביצועם של אותם תהליכים. המשך פעילות המועצה למילוי ייעודה טעון עיגון של תפקידיה וסמכויותיה, לרבות קביעת סמכויותיה לקבל מידע ממשרדי הממשלה ומיחידות הביצוע; ופעילות סדירה ושוטפת של המוסדות והתהליכים שנקבעו בהחלטת הממשלה משנת 2012 לצורך הבטחת בסיס איתן לתכנון אסטרטגי לממשלה בתחום הכלכלי והחברתי. האחריות לביצוע כל אלה מוטלת על משרד </w:t>
      </w:r>
      <w:proofErr w:type="spellStart"/>
      <w:r w:rsidRPr="002F57A0">
        <w:rPr>
          <w:rFonts w:ascii="Tahoma" w:hAnsi="Tahoma" w:cs="Tahoma"/>
          <w:sz w:val="18"/>
          <w:szCs w:val="18"/>
          <w:rtl/>
        </w:rPr>
        <w:t>רה"ם</w:t>
      </w:r>
      <w:proofErr w:type="spellEnd"/>
      <w:r w:rsidRPr="002F57A0">
        <w:rPr>
          <w:rFonts w:ascii="Tahoma" w:hAnsi="Tahoma" w:cs="Tahoma"/>
          <w:sz w:val="18"/>
          <w:szCs w:val="18"/>
          <w:rtl/>
        </w:rPr>
        <w:t>, ומומלץ שהוא יפעל לעיגון פעילות המועצה בחוק</w:t>
      </w:r>
      <w:r w:rsidR="004E71DD" w:rsidRPr="006615C6">
        <w:rPr>
          <w:rFonts w:ascii="Tahoma" w:hAnsi="Tahoma" w:cs="Tahoma" w:hint="cs"/>
          <w:sz w:val="18"/>
          <w:szCs w:val="18"/>
          <w:rtl/>
        </w:rPr>
        <w:t>.</w:t>
      </w:r>
    </w:p>
    <w:sectPr w:rsidR="009E179E" w:rsidSect="009E179E">
      <w:headerReference w:type="default" r:id="rId29"/>
      <w:pgSz w:w="11906" w:h="16838" w:code="9"/>
      <w:pgMar w:top="3062" w:right="2268" w:bottom="2552" w:left="2268" w:header="1134" w:footer="1361" w:gutter="0"/>
      <w:pgNumType w:start="10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708B" w14:textId="77777777" w:rsidR="00672564" w:rsidRDefault="00672564">
      <w:pPr>
        <w:spacing w:line="240" w:lineRule="auto"/>
      </w:pPr>
      <w:r>
        <w:separator/>
      </w:r>
    </w:p>
    <w:p w14:paraId="79776620" w14:textId="77777777" w:rsidR="00672564" w:rsidRDefault="00672564"/>
    <w:p w14:paraId="7495CD89" w14:textId="77777777" w:rsidR="00672564" w:rsidRDefault="00672564"/>
    <w:p w14:paraId="31FB00F9" w14:textId="77777777" w:rsidR="00672564" w:rsidRDefault="00672564"/>
  </w:endnote>
  <w:endnote w:type="continuationSeparator" w:id="0">
    <w:p w14:paraId="7A6A053F" w14:textId="77777777" w:rsidR="00672564" w:rsidRDefault="00672564">
      <w:pPr>
        <w:spacing w:line="240" w:lineRule="auto"/>
      </w:pPr>
      <w:r>
        <w:continuationSeparator/>
      </w:r>
    </w:p>
    <w:p w14:paraId="5058325A" w14:textId="77777777" w:rsidR="00672564" w:rsidRDefault="00672564"/>
    <w:p w14:paraId="62909942" w14:textId="77777777" w:rsidR="00672564" w:rsidRDefault="00672564"/>
    <w:p w14:paraId="60546EC3" w14:textId="77777777" w:rsidR="00672564" w:rsidRDefault="00672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29A1" w14:textId="77777777" w:rsidR="009E179E" w:rsidRDefault="009E179E" w:rsidP="009E179E">
    <w:pPr>
      <w:pStyle w:val="a5"/>
      <w:spacing w:after="120" w:line="312" w:lineRule="auto"/>
      <w:ind w:left="-510"/>
      <w:jc w:val="left"/>
      <w:rPr>
        <w:rFonts w:ascii="Tahoma" w:hAnsi="Tahoma" w:cs="Tahoma"/>
        <w:sz w:val="18"/>
        <w:szCs w:val="18"/>
        <w:rtl/>
      </w:rPr>
    </w:pPr>
  </w:p>
  <w:p w14:paraId="6AC8FB80" w14:textId="77777777" w:rsidR="009E179E" w:rsidRDefault="009E179E" w:rsidP="009E179E">
    <w:pPr>
      <w:pStyle w:val="a5"/>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7DB27975" w14:textId="77777777" w:rsidR="009E179E" w:rsidRPr="009E179E" w:rsidRDefault="009E179E" w:rsidP="009E17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7A40" w14:textId="77777777" w:rsidR="0000366F" w:rsidRDefault="00003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61EA" w14:textId="77777777" w:rsidR="00672564" w:rsidRDefault="00672564" w:rsidP="00E7235E">
      <w:pPr>
        <w:spacing w:line="240" w:lineRule="auto"/>
      </w:pPr>
      <w:r>
        <w:separator/>
      </w:r>
    </w:p>
  </w:footnote>
  <w:footnote w:type="continuationSeparator" w:id="0">
    <w:p w14:paraId="46EF2B76" w14:textId="77777777" w:rsidR="00672564" w:rsidRDefault="00672564" w:rsidP="00C23CC9">
      <w:pPr>
        <w:spacing w:line="240" w:lineRule="auto"/>
      </w:pPr>
      <w:r>
        <w:continuationSeparator/>
      </w:r>
    </w:p>
    <w:p w14:paraId="606331AC" w14:textId="77777777" w:rsidR="00672564" w:rsidRDefault="00672564"/>
    <w:p w14:paraId="58756B39" w14:textId="77777777" w:rsidR="00672564" w:rsidRDefault="00672564"/>
    <w:p w14:paraId="2B9F5E72" w14:textId="77777777" w:rsidR="00672564" w:rsidRDefault="00672564"/>
  </w:footnote>
  <w:footnote w:id="1">
    <w:p w14:paraId="66E2260A" w14:textId="77777777" w:rsidR="005B399A" w:rsidRPr="00C34E69" w:rsidRDefault="005B399A" w:rsidP="00C34E69">
      <w:pPr>
        <w:pStyle w:val="712"/>
      </w:pPr>
      <w:r w:rsidRPr="00C34E69">
        <w:rPr>
          <w:rStyle w:val="a8"/>
          <w:vertAlign w:val="baseline"/>
        </w:rPr>
        <w:footnoteRef/>
      </w:r>
      <w:r w:rsidRPr="00C34E69">
        <w:rPr>
          <w:rtl/>
        </w:rPr>
        <w:t xml:space="preserve"> </w:t>
      </w:r>
      <w:r w:rsidRPr="00C34E69">
        <w:rPr>
          <w:rtl/>
        </w:rPr>
        <w:tab/>
        <w:t xml:space="preserve">מבקר המדינה, </w:t>
      </w:r>
      <w:r w:rsidRPr="000938CF">
        <w:rPr>
          <w:b/>
          <w:bCs/>
          <w:rtl/>
        </w:rPr>
        <w:t>דוח שנתי 65ג</w:t>
      </w:r>
      <w:r w:rsidRPr="00C34E69">
        <w:rPr>
          <w:rtl/>
        </w:rPr>
        <w:t xml:space="preserve"> (2015), "סדרי עבודתה של המועצה הלאומית לכלכלה".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309F60A" w:rsidR="00F73EE0" w:rsidRPr="009B7D1B" w:rsidRDefault="00F73EE0" w:rsidP="00AD2BA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D2BAB" w:rsidRPr="00AD2BAB">
                            <w:rPr>
                              <w:rFonts w:ascii="Tahoma" w:hAnsi="Tahoma" w:cs="Tahoma"/>
                              <w:b/>
                              <w:bCs/>
                              <w:rtl/>
                            </w:rPr>
                            <w:t>המועצה הלאומית לכלכלה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7309F60A" w:rsidR="00F73EE0" w:rsidRPr="009B7D1B" w:rsidRDefault="00F73EE0" w:rsidP="00AD2BA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D2BAB" w:rsidRPr="00AD2BAB">
                      <w:rPr>
                        <w:rFonts w:ascii="Tahoma" w:hAnsi="Tahoma" w:cs="Tahoma"/>
                        <w:b/>
                        <w:bCs/>
                        <w:rtl/>
                      </w:rPr>
                      <w:t>המועצה הלאומית לכלכלה</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49118C25"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E48D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49118C25"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E48D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34B391A" w:rsidR="00F73EE0" w:rsidRPr="003D62C4" w:rsidRDefault="009E179E"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המועצה הלאומית לכלכלה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3"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634B391A" w:rsidR="00F73EE0" w:rsidRPr="003D62C4" w:rsidRDefault="009E179E"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המועצה הלאומית לכלכלה</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6"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8D8D3C6" w14:textId="77777777" w:rsidR="003D0B1D" w:rsidRPr="009B7D1B" w:rsidRDefault="003D0B1D" w:rsidP="003D0B1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AD2BAB">
                            <w:rPr>
                              <w:rFonts w:ascii="Tahoma" w:hAnsi="Tahoma" w:cs="Tahoma"/>
                              <w:b/>
                              <w:bCs/>
                              <w:rtl/>
                            </w:rPr>
                            <w:t>המועצה הלאומית לכלכלה</w:t>
                          </w:r>
                        </w:p>
                        <w:p w14:paraId="3B4CCAD6" w14:textId="11DA2562" w:rsidR="00E56721" w:rsidRPr="009B7D1B" w:rsidRDefault="00E56721" w:rsidP="00AD2BA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5F392" id="_x0000_t202" coordsize="21600,21600" o:spt="202" path="m,l,21600r21600,l21600,xe">
              <v:stroke joinstyle="miter"/>
              <v:path gradientshapeok="t" o:connecttype="rect"/>
            </v:shapetype>
            <v:shape id="_x0000_s1035"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8D8D3C6" w14:textId="77777777" w:rsidR="003D0B1D" w:rsidRPr="009B7D1B" w:rsidRDefault="003D0B1D" w:rsidP="003D0B1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AD2BAB">
                      <w:rPr>
                        <w:rFonts w:ascii="Tahoma" w:hAnsi="Tahoma" w:cs="Tahoma"/>
                        <w:b/>
                        <w:bCs/>
                        <w:rtl/>
                      </w:rPr>
                      <w:t>המועצה הלאומית לכלכלה</w:t>
                    </w:r>
                  </w:p>
                  <w:p w14:paraId="3B4CCAD6" w14:textId="11DA2562" w:rsidR="00E56721" w:rsidRPr="009B7D1B" w:rsidRDefault="00E56721" w:rsidP="00AD2BAB">
                    <w:pPr>
                      <w:pStyle w:val="Bodytext70"/>
                      <w:shd w:val="clear" w:color="auto" w:fill="003060"/>
                      <w:rPr>
                        <w:rFonts w:ascii="Tahoma" w:hAnsi="Tahoma" w:cs="Tahoma"/>
                        <w:b/>
                        <w:bCs/>
                        <w:rtl/>
                      </w:rPr>
                    </w:pP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729F5C0F"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E48D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38"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729F5C0F"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E48DF">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50D"/>
    <w:multiLevelType w:val="multilevel"/>
    <w:tmpl w:val="8E2A6D6E"/>
    <w:lvl w:ilvl="0">
      <w:start w:val="1"/>
      <w:numFmt w:val="decimal"/>
      <w:lvlText w:val="%1."/>
      <w:lvlJc w:val="left"/>
      <w:pPr>
        <w:ind w:left="340" w:hanging="340"/>
      </w:p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E96525F"/>
    <w:multiLevelType w:val="hybridMultilevel"/>
    <w:tmpl w:val="986E412C"/>
    <w:lvl w:ilvl="0" w:tplc="DF3EE110">
      <w:start w:val="1"/>
      <w:numFmt w:val="hebrew1"/>
      <w:lvlText w:val="%1."/>
      <w:lvlJc w:val="left"/>
      <w:pPr>
        <w:ind w:left="794" w:hanging="397"/>
      </w:pPr>
      <w:rPr>
        <w:rFonts w:ascii="Tahoma" w:eastAsiaTheme="majorEastAsia" w:hAnsi="Tahoma" w:cs="Tahoma" w:hint="default"/>
        <w:b/>
        <w:bCs/>
        <w:i w:val="0"/>
        <w:i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15:restartNumberingAfterBreak="0">
    <w:nsid w:val="14774F1F"/>
    <w:multiLevelType w:val="hybridMultilevel"/>
    <w:tmpl w:val="70643E30"/>
    <w:lvl w:ilvl="0" w:tplc="CA92FEF0">
      <w:start w:val="1"/>
      <w:numFmt w:val="decimal"/>
      <w:lvlText w:val="%1."/>
      <w:lvlJc w:val="left"/>
      <w:pPr>
        <w:ind w:left="397" w:hanging="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 w15:restartNumberingAfterBreak="0">
    <w:nsid w:val="1BCE5149"/>
    <w:multiLevelType w:val="multilevel"/>
    <w:tmpl w:val="E31AE520"/>
    <w:lvl w:ilvl="0">
      <w:start w:val="3"/>
      <w:numFmt w:val="decimal"/>
      <w:lvlText w:val="%1."/>
      <w:lvlJc w:val="left"/>
      <w:pPr>
        <w:ind w:left="680" w:hanging="396"/>
      </w:pPr>
      <w:rPr>
        <w:rFonts w:hint="default"/>
        <w:b w:val="0"/>
        <w:bCs w:val="0"/>
        <w:sz w:val="18"/>
        <w:szCs w:val="1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29DC0A83"/>
    <w:multiLevelType w:val="hybridMultilevel"/>
    <w:tmpl w:val="B28AF80E"/>
    <w:lvl w:ilvl="0" w:tplc="43A47594">
      <w:start w:val="1"/>
      <w:numFmt w:val="decimal"/>
      <w:lvlText w:val="%1."/>
      <w:lvlJc w:val="left"/>
      <w:pPr>
        <w:ind w:left="397" w:hanging="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 w15:restartNumberingAfterBreak="0">
    <w:nsid w:val="2B25783B"/>
    <w:multiLevelType w:val="multilevel"/>
    <w:tmpl w:val="4412CBC0"/>
    <w:lvl w:ilvl="0">
      <w:start w:val="4"/>
      <w:numFmt w:val="decimal"/>
      <w:lvlText w:val="%1."/>
      <w:lvlJc w:val="left"/>
      <w:pPr>
        <w:ind w:left="397" w:hanging="397"/>
      </w:pPr>
      <w:rPr>
        <w:rFonts w:hint="default"/>
        <w:b w:val="0"/>
        <w:bCs w:val="0"/>
        <w:sz w:val="18"/>
        <w:szCs w:val="1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75A3016"/>
    <w:multiLevelType w:val="hybridMultilevel"/>
    <w:tmpl w:val="B1B4EDB6"/>
    <w:lvl w:ilvl="0" w:tplc="95462B52">
      <w:start w:val="2"/>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C7F7212"/>
    <w:multiLevelType w:val="hybridMultilevel"/>
    <w:tmpl w:val="ADD09248"/>
    <w:lvl w:ilvl="0" w:tplc="BB1EEB4A">
      <w:start w:val="1"/>
      <w:numFmt w:val="decimal"/>
      <w:lvlText w:val="%1."/>
      <w:lvlJc w:val="left"/>
      <w:pPr>
        <w:ind w:left="397" w:hanging="397"/>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15:restartNumberingAfterBreak="0">
    <w:nsid w:val="57A217A4"/>
    <w:multiLevelType w:val="multilevel"/>
    <w:tmpl w:val="61EE562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15:restartNumberingAfterBreak="0">
    <w:nsid w:val="750060D7"/>
    <w:multiLevelType w:val="hybridMultilevel"/>
    <w:tmpl w:val="41803246"/>
    <w:lvl w:ilvl="0" w:tplc="963C2378">
      <w:start w:val="3"/>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9" w15:restartNumberingAfterBreak="0">
    <w:nsid w:val="7E5C7321"/>
    <w:multiLevelType w:val="hybridMultilevel"/>
    <w:tmpl w:val="8C64580E"/>
    <w:lvl w:ilvl="0" w:tplc="3F90F7D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511313">
    <w:abstractNumId w:val="14"/>
  </w:num>
  <w:num w:numId="2" w16cid:durableId="159808484">
    <w:abstractNumId w:val="8"/>
  </w:num>
  <w:num w:numId="3" w16cid:durableId="2074310673">
    <w:abstractNumId w:val="10"/>
  </w:num>
  <w:num w:numId="4" w16cid:durableId="1596554476">
    <w:abstractNumId w:val="18"/>
  </w:num>
  <w:num w:numId="5" w16cid:durableId="781269690">
    <w:abstractNumId w:val="1"/>
  </w:num>
  <w:num w:numId="6" w16cid:durableId="1087919862">
    <w:abstractNumId w:val="11"/>
  </w:num>
  <w:num w:numId="7" w16cid:durableId="1266497691">
    <w:abstractNumId w:val="16"/>
  </w:num>
  <w:num w:numId="8" w16cid:durableId="1873692319">
    <w:abstractNumId w:val="2"/>
  </w:num>
  <w:num w:numId="9" w16cid:durableId="1057507424">
    <w:abstractNumId w:val="15"/>
  </w:num>
  <w:num w:numId="10" w16cid:durableId="980115515">
    <w:abstractNumId w:val="0"/>
  </w:num>
  <w:num w:numId="11" w16cid:durableId="1013216967">
    <w:abstractNumId w:val="13"/>
  </w:num>
  <w:num w:numId="12" w16cid:durableId="1231429011">
    <w:abstractNumId w:val="5"/>
  </w:num>
  <w:num w:numId="13" w16cid:durableId="535434787">
    <w:abstractNumId w:val="19"/>
  </w:num>
  <w:num w:numId="14" w16cid:durableId="1873879919">
    <w:abstractNumId w:val="3"/>
  </w:num>
  <w:num w:numId="15" w16cid:durableId="834686245">
    <w:abstractNumId w:val="12"/>
  </w:num>
  <w:num w:numId="16" w16cid:durableId="753821237">
    <w:abstractNumId w:val="4"/>
  </w:num>
  <w:num w:numId="17" w16cid:durableId="1808812522">
    <w:abstractNumId w:val="6"/>
  </w:num>
  <w:num w:numId="18" w16cid:durableId="1296519411">
    <w:abstractNumId w:val="7"/>
  </w:num>
  <w:num w:numId="19" w16cid:durableId="20128246">
    <w:abstractNumId w:val="9"/>
  </w:num>
  <w:num w:numId="20" w16cid:durableId="174707177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66F"/>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8CF"/>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26C"/>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71F"/>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A45"/>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0599"/>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97FE2"/>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1C9"/>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18"/>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B1D"/>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176"/>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66E"/>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5E2"/>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423"/>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0A61"/>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666"/>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99A"/>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8DF"/>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93A"/>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564"/>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7BC"/>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0D18"/>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3C6C"/>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055"/>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3D3"/>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5F8"/>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648"/>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7BE"/>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79E"/>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E7D94"/>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2BAB"/>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1C2"/>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69F"/>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1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BE0"/>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E69"/>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542"/>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6E0E"/>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1E4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892"/>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B87"/>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character" w:customStyle="1" w:styleId="main">
    <w:name w:val="main"/>
    <w:basedOn w:val="a1"/>
    <w:rsid w:val="00C34E69"/>
  </w:style>
  <w:style w:type="character" w:customStyle="1" w:styleId="example">
    <w:name w:val="example"/>
    <w:basedOn w:val="a1"/>
    <w:rsid w:val="00C3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42BEEB-5B80-4833-A99C-6177FC88380A}"/>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40</TotalTime>
  <Pages>8</Pages>
  <Words>1413</Words>
  <Characters>7069</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9</cp:revision>
  <cp:lastPrinted>2023-04-16T14:09:00Z</cp:lastPrinted>
  <dcterms:created xsi:type="dcterms:W3CDTF">2023-04-16T14:09:00Z</dcterms:created>
  <dcterms:modified xsi:type="dcterms:W3CDTF">2023-04-20T08:27:00Z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