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58FFB5CC">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C62C8E">
        <w:rPr>
          <w:rtl/>
        </w:rPr>
        <w:softHyphen/>
      </w:r>
      <w:r w:rsidR="00C62C8E">
        <w:rPr>
          <w:rtl/>
        </w:rPr>
        <w:softHyphen/>
      </w:r>
      <w:r w:rsidR="00C62C8E">
        <w:rPr>
          <w:rtl/>
        </w:rPr>
        <w:softHyphen/>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3AAFE660">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3067413</wp:posOffset>
                </wp:positionH>
                <wp:positionV relativeFrom="paragraph">
                  <wp:posOffset>264794</wp:posOffset>
                </wp:positionV>
                <wp:extent cx="0" cy="3404507"/>
                <wp:effectExtent l="25400" t="0" r="25400" b="2476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04507"/>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55pt,20.85pt" to="241.55pt,288.9pt" strokecolor="white" strokeweight="4pt"/>
            </w:pict>
          </mc:Fallback>
        </mc:AlternateContent>
      </w:r>
      <w:r w:rsidRPr="0030415A" w:rsidR="00C55DC9">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2540</wp:posOffset>
                </wp:positionH>
                <wp:positionV relativeFrom="paragraph">
                  <wp:posOffset>345440</wp:posOffset>
                </wp:positionV>
                <wp:extent cx="4465955" cy="4273550"/>
                <wp:effectExtent l="0" t="0" r="4445"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6595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0F5023" w14:textId="4AAEC039">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EB37C4">
                              <w:rPr>
                                <w:rFonts w:hint="cs"/>
                                <w:rtl/>
                              </w:rPr>
                              <w:t>אייר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7E6EE5BB">
                            <w:pPr>
                              <w:pStyle w:val="-2"/>
                              <w:rPr>
                                <w:rtl/>
                              </w:rPr>
                            </w:pPr>
                            <w:r>
                              <w:rPr>
                                <w:rFonts w:hint="cs"/>
                                <w:rtl/>
                              </w:rPr>
                              <w:t>רשות האכיפה והגבייה</w:t>
                            </w:r>
                          </w:p>
                          <w:p w:rsidR="00F73EE0" w:rsidRPr="000F5023" w:rsidP="0072357A" w14:textId="64B56EE4">
                            <w:pPr>
                              <w:pStyle w:val="a35"/>
                              <w:bidi/>
                              <w:spacing w:before="120"/>
                              <w:rPr>
                                <w:rtl/>
                              </w:rPr>
                            </w:pPr>
                            <w:r w:rsidRPr="008611D6">
                              <w:rPr>
                                <w:rtl/>
                              </w:rPr>
                              <w:t>המרכז לגביית קנסות ברשות האכיפה והגבייה</w:t>
                            </w:r>
                            <w:r>
                              <w:t xml:space="preserve"> </w:t>
                            </w:r>
                          </w:p>
                          <w:p w:rsidR="00C30482" w:rsidRPr="000F5023" w:rsidP="000F5023" w14:textId="77777777">
                            <w:pPr>
                              <w:pStyle w:val="a3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351.65pt;height:336.5pt;margin-top:27.2pt;margin-left:0.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0F5023" w14:paraId="6680A7A9" w14:textId="4AAEC039">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EB37C4">
                        <w:rPr>
                          <w:rFonts w:hint="cs"/>
                          <w:rtl/>
                        </w:rPr>
                        <w:t>אייר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7E6EE5BB">
                      <w:pPr>
                        <w:pStyle w:val="-2"/>
                        <w:rPr>
                          <w:rtl/>
                        </w:rPr>
                      </w:pPr>
                      <w:r>
                        <w:rPr>
                          <w:rFonts w:hint="cs"/>
                          <w:rtl/>
                        </w:rPr>
                        <w:t>רשות האכיפה והגבייה</w:t>
                      </w:r>
                    </w:p>
                    <w:p w:rsidR="00F73EE0" w:rsidRPr="000F5023" w:rsidP="0072357A" w14:paraId="5464BE8D" w14:textId="64B56EE4">
                      <w:pPr>
                        <w:pStyle w:val="a35"/>
                        <w:bidi/>
                        <w:spacing w:before="120"/>
                        <w:rPr>
                          <w:rtl/>
                        </w:rPr>
                      </w:pPr>
                      <w:r w:rsidRPr="008611D6">
                        <w:rPr>
                          <w:rtl/>
                        </w:rPr>
                        <w:t>המרכז לגביית קנסות ברשות האכיפה והגבייה</w:t>
                      </w:r>
                      <w:r>
                        <w:t xml:space="preserve"> </w:t>
                      </w:r>
                    </w:p>
                    <w:p w:rsidR="00C30482" w:rsidRPr="000F5023" w:rsidP="000F5023" w14:paraId="5BE5E625" w14:textId="77777777">
                      <w:pPr>
                        <w:pStyle w:val="a35"/>
                        <w:bidi/>
                        <w:rPr>
                          <w:rtl/>
                        </w:rPr>
                      </w:pPr>
                    </w:p>
                  </w:txbxContent>
                </v:textbox>
                <w10:wrap type="square"/>
              </v:shape>
            </w:pict>
          </mc:Fallback>
        </mc:AlternateContent>
      </w:r>
      <w:r w:rsidR="00A947D6">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171336</wp:posOffset>
                </wp:positionH>
                <wp:positionV relativeFrom="paragraph">
                  <wp:posOffset>1935977</wp:posOffset>
                </wp:positionV>
                <wp:extent cx="2773083" cy="0"/>
                <wp:effectExtent l="12700" t="12700" r="825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7308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13.5pt,152.45pt" to="231.85pt,152.45pt" strokecolor="white" strokeweight="1.5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-1605643</wp:posOffset>
                </wp:positionH>
                <wp:positionV relativeFrom="paragraph">
                  <wp:posOffset>-1717948</wp:posOffset>
                </wp:positionV>
                <wp:extent cx="7601578" cy="10128068"/>
                <wp:effectExtent l="0" t="0" r="635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012806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797.5pt;margin-top:-135.25pt;margin-left:-126.45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RPr="001F3363" w:rsidP="00BB0517" w14:paraId="4ED3AA37" w14:textId="72FA4C8F">
      <w:pPr>
        <w:pStyle w:val="7329"/>
        <w:rPr>
          <w:rtl/>
        </w:rPr>
      </w:pPr>
      <w:r w:rsidRPr="001F3363">
        <w:rPr>
          <w:noProof/>
          <w:rtl/>
        </w:rPr>
        <mc:AlternateContent>
          <mc:Choice Requires="wps">
            <w:drawing>
              <wp:anchor distT="0" distB="0" distL="114300" distR="114300" simplePos="0" relativeHeight="251675648"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1F3363" w:rsid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879084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611D6" w:rsidR="008611D6">
        <w:rPr>
          <w:noProof/>
          <w:rtl/>
        </w:rPr>
        <w:t xml:space="preserve">המרכז לגביית קנסות ברשות </w:t>
      </w:r>
      <w:r w:rsidR="008611D6">
        <w:rPr>
          <w:noProof/>
        </w:rPr>
        <w:br/>
      </w:r>
      <w:r w:rsidRPr="008611D6" w:rsidR="008611D6">
        <w:rPr>
          <w:noProof/>
          <w:rtl/>
        </w:rPr>
        <w:t>האכיפה והגבייה</w:t>
      </w:r>
      <w:r w:rsidR="008611D6">
        <w:t xml:space="preserve"> </w:t>
      </w:r>
    </w:p>
    <w:p w:rsidR="007F4A20" w:rsidP="007F4A20" w14:paraId="0B41EED6" w14:textId="01458F87">
      <w:pPr>
        <w:pStyle w:val="7392"/>
        <w:spacing w:before="360"/>
        <w:rPr>
          <w:rtl/>
        </w:rPr>
      </w:pPr>
      <w:r w:rsidRPr="005F4760">
        <w:rPr>
          <w:rtl/>
        </w:rPr>
        <w:t>המרכז לגביית קנסות, אגרות והוצאות ברשות האכיפה והגבייה (</w:t>
      </w:r>
      <w:r w:rsidRPr="005F4760">
        <w:rPr>
          <w:rtl/>
        </w:rPr>
        <w:t>המג"ק</w:t>
      </w:r>
      <w:r w:rsidRPr="005F4760">
        <w:rPr>
          <w:rtl/>
        </w:rPr>
        <w:t xml:space="preserve">) הוא הגוף שתפקידו לגבות חובות לטובתם של אוצר המדינה וגופים ציבוריים וכן לגבות פיצויים שנפסקו לנפגעי עבירה בהליכים פליליים. החובות </w:t>
      </w:r>
      <w:r w:rsidRPr="005F4760">
        <w:rPr>
          <w:rtl/>
        </w:rPr>
        <w:t>שהמג"ק</w:t>
      </w:r>
      <w:r w:rsidRPr="005F4760">
        <w:rPr>
          <w:rtl/>
        </w:rPr>
        <w:t xml:space="preserve"> גובה הם מסוג קנסות (כגון קנסות תעבורה וקנסות </w:t>
      </w:r>
      <w:r w:rsidRPr="005F4760">
        <w:rPr>
          <w:rtl/>
        </w:rPr>
        <w:t>מינהליים</w:t>
      </w:r>
      <w:r w:rsidRPr="005F4760">
        <w:rPr>
          <w:rtl/>
        </w:rPr>
        <w:t>)</w:t>
      </w:r>
      <w:r w:rsidR="00F37B40">
        <w:rPr>
          <w:rFonts w:hint="cs"/>
          <w:rtl/>
        </w:rPr>
        <w:t>,</w:t>
      </w:r>
      <w:r w:rsidRPr="005F4760">
        <w:rPr>
          <w:rtl/>
        </w:rPr>
        <w:t xml:space="preserve"> אגרות (כגון אגרות רשות התאגידים) והוצאות (כגון הוצאות הנפסקות על ידי בתי משפט). לצורך גביית החובות הוענקו </w:t>
      </w:r>
      <w:r w:rsidRPr="005F4760">
        <w:rPr>
          <w:rtl/>
        </w:rPr>
        <w:t>למג"ק</w:t>
      </w:r>
      <w:r w:rsidRPr="005F4760">
        <w:rPr>
          <w:rtl/>
        </w:rPr>
        <w:t xml:space="preserve"> סמכויות גבייה, ובין היתר אלו: הטלת עיקולים בגופים שונים</w:t>
      </w:r>
      <w:r w:rsidRPr="005F4760">
        <w:t>;</w:t>
      </w:r>
      <w:r w:rsidRPr="005F4760">
        <w:rPr>
          <w:rtl/>
        </w:rPr>
        <w:t xml:space="preserve"> פריסה או דחייה של תשלומים; מתן פטור מתוספת פיגורים; דרישת מידע על החייב מגוף ציבורי לצורך גביית חוב</w:t>
      </w:r>
      <w:r w:rsidRPr="001F3363" w:rsidR="0036097F">
        <w:rPr>
          <w:rFonts w:hint="cs"/>
          <w:rtl/>
        </w:rPr>
        <w:t>.</w:t>
      </w:r>
      <w:r w:rsidRPr="001F3363"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6"/>
        <w:gridCol w:w="237"/>
        <w:gridCol w:w="1530"/>
        <w:gridCol w:w="237"/>
        <w:gridCol w:w="1697"/>
        <w:gridCol w:w="268"/>
        <w:gridCol w:w="1685"/>
      </w:tblGrid>
      <w:tr w14:paraId="58B4726B" w14:textId="77777777" w:rsidTr="008611D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4" w:type="pct"/>
            <w:tcBorders>
              <w:bottom w:val="single" w:sz="12" w:space="0" w:color="000000" w:themeColor="text1"/>
            </w:tcBorders>
            <w:vAlign w:val="bottom"/>
          </w:tcPr>
          <w:p w:rsidR="00420374" w:rsidRPr="004562F8" w:rsidP="00937056" w14:paraId="23EB689E" w14:textId="3563BED1">
            <w:pPr>
              <w:spacing w:after="60" w:line="240" w:lineRule="auto"/>
              <w:rPr>
                <w:b/>
                <w:bCs/>
                <w:spacing w:val="-28"/>
                <w:rtl/>
              </w:rPr>
            </w:pPr>
            <w:r w:rsidRPr="008611D6">
              <w:rPr>
                <w:rFonts w:ascii="Tahoma" w:hAnsi="Tahoma" w:eastAsiaTheme="minorEastAsia" w:cs="Tahoma" w:hint="cs"/>
                <w:b/>
                <w:bCs/>
                <w:color w:val="0D0D0D" w:themeColor="text1" w:themeTint="F2"/>
                <w:spacing w:val="-10"/>
                <w:sz w:val="26"/>
                <w:szCs w:val="26"/>
                <w:rtl/>
              </w:rPr>
              <w:t>כ-</w:t>
            </w:r>
            <w:r>
              <w:rPr>
                <w:rFonts w:ascii="Tahoma" w:hAnsi="Tahoma" w:eastAsiaTheme="minorEastAsia" w:cs="Tahoma" w:hint="cs"/>
                <w:b/>
                <w:bCs/>
                <w:color w:val="0D0D0D" w:themeColor="text1" w:themeTint="F2"/>
                <w:spacing w:val="-10"/>
                <w:sz w:val="36"/>
                <w:szCs w:val="36"/>
                <w:rtl/>
              </w:rPr>
              <w:t>2.3</w:t>
            </w:r>
            <w:r>
              <w:rPr>
                <w:rFonts w:ascii="Tahoma" w:hAnsi="Tahoma" w:eastAsiaTheme="minorEastAsia" w:cs="Tahoma"/>
                <w:b/>
                <w:bCs/>
                <w:color w:val="0D0D0D" w:themeColor="text1" w:themeTint="F2"/>
                <w:spacing w:val="-10"/>
                <w:sz w:val="36"/>
                <w:szCs w:val="36"/>
              </w:rPr>
              <w:t xml:space="preserve"> </w:t>
            </w:r>
            <w:r>
              <w:rPr>
                <w:rFonts w:ascii="Tahoma" w:hAnsi="Tahoma" w:eastAsiaTheme="minorEastAsia" w:cs="Tahoma" w:hint="cs"/>
                <w:b/>
                <w:bCs/>
                <w:color w:val="0D0D0D" w:themeColor="text1" w:themeTint="F2"/>
                <w:spacing w:val="-10"/>
                <w:sz w:val="26"/>
                <w:szCs w:val="26"/>
                <w:rtl/>
              </w:rPr>
              <w:t>מיליארד ש״ח</w:t>
            </w:r>
          </w:p>
        </w:tc>
        <w:tc>
          <w:tcPr>
            <w:tcW w:w="161" w:type="pct"/>
            <w:vAlign w:val="bottom"/>
          </w:tcPr>
          <w:p w:rsidR="00420374" w:rsidP="00937056" w14:paraId="19192EA5" w14:textId="77777777">
            <w:pPr>
              <w:spacing w:before="120" w:after="60" w:line="240" w:lineRule="auto"/>
              <w:rPr>
                <w:rtl/>
              </w:rPr>
            </w:pPr>
          </w:p>
        </w:tc>
        <w:tc>
          <w:tcPr>
            <w:tcW w:w="1038" w:type="pct"/>
            <w:tcBorders>
              <w:bottom w:val="single" w:sz="12" w:space="0" w:color="000000" w:themeColor="text1"/>
            </w:tcBorders>
            <w:vAlign w:val="bottom"/>
          </w:tcPr>
          <w:p w:rsidR="00420374" w:rsidRPr="005C7ABF" w:rsidP="00937056" w14:paraId="761F4116" w14:textId="2EEF297B">
            <w:pPr>
              <w:pStyle w:val="2021"/>
              <w:spacing w:before="0" w:after="60"/>
              <w:rPr>
                <w:spacing w:val="-10"/>
                <w:rtl/>
              </w:rPr>
            </w:pPr>
            <w:r w:rsidRPr="008611D6">
              <w:rPr>
                <w:rFonts w:hint="cs"/>
                <w:spacing w:val="-10"/>
                <w:sz w:val="26"/>
                <w:szCs w:val="26"/>
                <w:rtl/>
              </w:rPr>
              <w:t>כ-</w:t>
            </w:r>
            <w:r>
              <w:rPr>
                <w:rFonts w:hint="cs"/>
                <w:spacing w:val="-10"/>
                <w:rtl/>
              </w:rPr>
              <w:t>2.6</w:t>
            </w:r>
            <w:r>
              <w:rPr>
                <w:rFonts w:hint="cs"/>
                <w:spacing w:val="-10"/>
                <w:rtl/>
              </w:rPr>
              <w:t xml:space="preserve"> </w:t>
            </w:r>
            <w:r w:rsidRPr="00411396">
              <w:rPr>
                <w:rFonts w:hint="cs"/>
                <w:spacing w:val="-10"/>
                <w:sz w:val="26"/>
                <w:szCs w:val="26"/>
                <w:rtl/>
              </w:rPr>
              <w:t>מיליארד ש״ח</w:t>
            </w:r>
          </w:p>
        </w:tc>
        <w:tc>
          <w:tcPr>
            <w:tcW w:w="161" w:type="pct"/>
            <w:vAlign w:val="bottom"/>
          </w:tcPr>
          <w:p w:rsidR="00420374" w:rsidP="00937056" w14:paraId="2810DE55" w14:textId="77777777">
            <w:pPr>
              <w:spacing w:before="120" w:after="60" w:line="240" w:lineRule="auto"/>
              <w:rPr>
                <w:rtl/>
              </w:rPr>
            </w:pPr>
          </w:p>
        </w:tc>
        <w:tc>
          <w:tcPr>
            <w:tcW w:w="1151" w:type="pct"/>
            <w:tcBorders>
              <w:bottom w:val="single" w:sz="12" w:space="0" w:color="000000" w:themeColor="text1"/>
            </w:tcBorders>
            <w:vAlign w:val="bottom"/>
          </w:tcPr>
          <w:p w:rsidR="00420374" w:rsidRPr="00340353" w:rsidP="00937056" w14:paraId="2A2E27BD" w14:textId="44FB5E41">
            <w:pPr>
              <w:pStyle w:val="2021"/>
              <w:spacing w:before="0" w:after="60"/>
              <w:rPr>
                <w:b w:val="0"/>
                <w:bCs w:val="0"/>
                <w:spacing w:val="-20"/>
                <w:sz w:val="24"/>
                <w:rtl/>
              </w:rPr>
            </w:pPr>
            <w:r>
              <w:rPr>
                <w:rFonts w:hint="cs"/>
                <w:spacing w:val="-10"/>
                <w:rtl/>
              </w:rPr>
              <w:t>472</w:t>
            </w:r>
            <w:r w:rsidRPr="008611D6">
              <w:rPr>
                <w:rFonts w:hint="cs"/>
                <w:spacing w:val="-10"/>
                <w:sz w:val="26"/>
                <w:szCs w:val="26"/>
                <w:rtl/>
              </w:rPr>
              <w:t xml:space="preserve"> ימים</w:t>
            </w:r>
          </w:p>
        </w:tc>
        <w:tc>
          <w:tcPr>
            <w:tcW w:w="182" w:type="pct"/>
          </w:tcPr>
          <w:p w:rsidR="00420374" w:rsidP="00937056" w14:paraId="47B754BA" w14:textId="77777777">
            <w:pPr>
              <w:pStyle w:val="2021"/>
              <w:spacing w:before="0" w:after="60"/>
              <w:rPr>
                <w:spacing w:val="-10"/>
                <w:rtl/>
              </w:rPr>
            </w:pPr>
          </w:p>
        </w:tc>
        <w:tc>
          <w:tcPr>
            <w:tcW w:w="1143" w:type="pct"/>
            <w:tcBorders>
              <w:bottom w:val="single" w:sz="12" w:space="0" w:color="000000" w:themeColor="text1"/>
            </w:tcBorders>
            <w:vAlign w:val="bottom"/>
          </w:tcPr>
          <w:p w:rsidR="00420374" w:rsidP="00937056" w14:paraId="5F3A3FF5" w14:textId="715A62C9">
            <w:pPr>
              <w:pStyle w:val="2021"/>
              <w:spacing w:before="0" w:after="60"/>
              <w:rPr>
                <w:spacing w:val="-10"/>
                <w:rtl/>
              </w:rPr>
            </w:pPr>
            <w:r w:rsidRPr="008611D6">
              <w:rPr>
                <w:rFonts w:hint="cs"/>
                <w:spacing w:val="-10"/>
                <w:sz w:val="26"/>
                <w:szCs w:val="26"/>
                <w:rtl/>
              </w:rPr>
              <w:t>כ</w:t>
            </w:r>
            <w:r>
              <w:rPr>
                <w:rFonts w:hint="cs"/>
                <w:spacing w:val="-10"/>
                <w:rtl/>
              </w:rPr>
              <w:t>-3</w:t>
            </w:r>
            <w:r w:rsidRPr="008611D6">
              <w:rPr>
                <w:rFonts w:hint="cs"/>
                <w:spacing w:val="-10"/>
                <w:sz w:val="26"/>
                <w:szCs w:val="26"/>
                <w:rtl/>
              </w:rPr>
              <w:t xml:space="preserve"> מיליון</w:t>
            </w:r>
            <w:r w:rsidRPr="008611D6">
              <w:rPr>
                <w:rFonts w:hint="cs"/>
                <w:spacing w:val="-10"/>
                <w:sz w:val="26"/>
                <w:szCs w:val="26"/>
                <w:rtl/>
              </w:rPr>
              <w:t xml:space="preserve"> </w:t>
            </w:r>
          </w:p>
        </w:tc>
      </w:tr>
      <w:tr w14:paraId="6DFAF81C" w14:textId="77777777" w:rsidTr="008611D6">
        <w:tblPrEx>
          <w:tblW w:w="5000" w:type="pct"/>
          <w:tblLook w:val="04A0"/>
        </w:tblPrEx>
        <w:tc>
          <w:tcPr>
            <w:tcW w:w="1164" w:type="pct"/>
            <w:tcBorders>
              <w:top w:val="single" w:sz="12" w:space="0" w:color="000000" w:themeColor="text1"/>
            </w:tcBorders>
          </w:tcPr>
          <w:p w:rsidR="008611D6" w:rsidRPr="00E52143" w:rsidP="008611D6" w14:paraId="1D96599A" w14:textId="6DD80DBF">
            <w:pPr>
              <w:pStyle w:val="732021"/>
              <w:spacing w:before="0"/>
              <w:rPr>
                <w:rtl/>
              </w:rPr>
            </w:pPr>
            <w:r w:rsidRPr="005F4760">
              <w:rPr>
                <w:rtl/>
              </w:rPr>
              <w:t xml:space="preserve">סך החוב שגבה </w:t>
            </w:r>
            <w:r w:rsidRPr="005F4760">
              <w:rPr>
                <w:rtl/>
              </w:rPr>
              <w:t>המג"ק</w:t>
            </w:r>
            <w:r w:rsidRPr="005F4760">
              <w:rPr>
                <w:rtl/>
              </w:rPr>
              <w:t xml:space="preserve"> בתיקים שהתקבלו לטיפולו בשנים 2017 - 2021, מתוך סך חוב כולל של כ-5 מיליארד </w:t>
            </w:r>
            <w:r w:rsidRPr="005F4760">
              <w:rPr>
                <w:rFonts w:hint="cs"/>
                <w:rtl/>
              </w:rPr>
              <w:t>ש</w:t>
            </w:r>
            <w:r w:rsidRPr="005F4760">
              <w:rPr>
                <w:rtl/>
              </w:rPr>
              <w:t>"ח</w:t>
            </w:r>
          </w:p>
        </w:tc>
        <w:tc>
          <w:tcPr>
            <w:tcW w:w="161" w:type="pct"/>
          </w:tcPr>
          <w:p w:rsidR="008611D6" w:rsidRPr="00E52143" w:rsidP="008611D6" w14:paraId="2BF81D8C" w14:textId="77777777">
            <w:pPr>
              <w:pStyle w:val="732021"/>
              <w:spacing w:before="0"/>
              <w:rPr>
                <w:rtl/>
              </w:rPr>
            </w:pPr>
          </w:p>
        </w:tc>
        <w:tc>
          <w:tcPr>
            <w:tcW w:w="1038" w:type="pct"/>
            <w:tcBorders>
              <w:top w:val="single" w:sz="12" w:space="0" w:color="000000" w:themeColor="text1"/>
            </w:tcBorders>
          </w:tcPr>
          <w:p w:rsidR="008611D6" w:rsidRPr="00E52143" w:rsidP="008611D6" w14:paraId="68924AF7" w14:textId="16A7D22E">
            <w:pPr>
              <w:pStyle w:val="732021"/>
              <w:spacing w:before="0"/>
              <w:rPr>
                <w:rtl/>
              </w:rPr>
            </w:pPr>
            <w:r w:rsidRPr="005F4760">
              <w:rPr>
                <w:rtl/>
              </w:rPr>
              <w:t xml:space="preserve">סך תוספות הפיגורים, הפרשי הצמדה וריבית והוצאות הגבייה מסך יתרת החוב בתיקים הפתוחים </w:t>
            </w:r>
            <w:r w:rsidRPr="005F4760">
              <w:rPr>
                <w:rtl/>
              </w:rPr>
              <w:t>במג"ק</w:t>
            </w:r>
            <w:r w:rsidRPr="005F4760">
              <w:rPr>
                <w:rFonts w:hint="cs"/>
                <w:rtl/>
              </w:rPr>
              <w:t xml:space="preserve"> </w:t>
            </w:r>
            <w:r w:rsidRPr="005F4760">
              <w:rPr>
                <w:rtl/>
              </w:rPr>
              <w:t>המסתכמת בכ-6</w:t>
            </w:r>
            <w:r w:rsidRPr="005F4760">
              <w:rPr>
                <w:rFonts w:hint="cs"/>
                <w:rtl/>
              </w:rPr>
              <w:t>.8</w:t>
            </w:r>
            <w:r w:rsidRPr="005F4760">
              <w:rPr>
                <w:rtl/>
              </w:rPr>
              <w:t xml:space="preserve"> מיליארד ש"ח (נכון ל</w:t>
            </w:r>
            <w:r w:rsidRPr="005F4760">
              <w:rPr>
                <w:rFonts w:hint="cs"/>
                <w:rtl/>
              </w:rPr>
              <w:t>פברואר</w:t>
            </w:r>
            <w:r w:rsidRPr="005F4760">
              <w:rPr>
                <w:rtl/>
              </w:rPr>
              <w:t xml:space="preserve"> 2023)</w:t>
            </w:r>
          </w:p>
        </w:tc>
        <w:tc>
          <w:tcPr>
            <w:tcW w:w="161" w:type="pct"/>
          </w:tcPr>
          <w:p w:rsidR="008611D6" w:rsidRPr="00E52143" w:rsidP="008611D6" w14:paraId="4F52CE08" w14:textId="77777777">
            <w:pPr>
              <w:pStyle w:val="732021"/>
              <w:spacing w:before="0"/>
              <w:rPr>
                <w:rtl/>
              </w:rPr>
            </w:pPr>
          </w:p>
        </w:tc>
        <w:tc>
          <w:tcPr>
            <w:tcW w:w="1151" w:type="pct"/>
            <w:tcBorders>
              <w:top w:val="single" w:sz="12" w:space="0" w:color="000000" w:themeColor="text1"/>
            </w:tcBorders>
          </w:tcPr>
          <w:p w:rsidR="008611D6" w:rsidRPr="00E52143" w:rsidP="008611D6" w14:paraId="203F9568" w14:textId="3F36E3C3">
            <w:pPr>
              <w:pStyle w:val="732021"/>
              <w:spacing w:before="0"/>
              <w:rPr>
                <w:rtl/>
              </w:rPr>
            </w:pPr>
            <w:r w:rsidRPr="005F4760">
              <w:rPr>
                <w:rtl/>
              </w:rPr>
              <w:t xml:space="preserve">חלפו בממוצע ממועד קליטת התיק </w:t>
            </w:r>
            <w:r w:rsidRPr="005F4760">
              <w:rPr>
                <w:rtl/>
              </w:rPr>
              <w:t>במג"ק</w:t>
            </w:r>
            <w:r w:rsidRPr="005F4760">
              <w:rPr>
                <w:rtl/>
              </w:rPr>
              <w:t xml:space="preserve"> ועד לביצוע הליך הגבייה הראשון בתיק. בתקופה זו החוב צובר הפרשי הצמדה, ריבית ותוספת פיגורים לפי סוג החוב</w:t>
            </w:r>
          </w:p>
        </w:tc>
        <w:tc>
          <w:tcPr>
            <w:tcW w:w="182" w:type="pct"/>
          </w:tcPr>
          <w:p w:rsidR="008611D6" w:rsidRPr="00E52143" w:rsidP="008611D6" w14:paraId="42538096" w14:textId="77777777">
            <w:pPr>
              <w:pStyle w:val="732021"/>
              <w:spacing w:before="0"/>
              <w:rPr>
                <w:rtl/>
              </w:rPr>
            </w:pPr>
          </w:p>
        </w:tc>
        <w:tc>
          <w:tcPr>
            <w:tcW w:w="1143" w:type="pct"/>
            <w:tcBorders>
              <w:top w:val="single" w:sz="12" w:space="0" w:color="000000" w:themeColor="text1"/>
            </w:tcBorders>
          </w:tcPr>
          <w:p w:rsidR="008611D6" w:rsidRPr="00E52143" w:rsidP="008611D6" w14:paraId="1878D11D" w14:textId="3A804444">
            <w:pPr>
              <w:pStyle w:val="732021"/>
              <w:spacing w:before="0"/>
              <w:rPr>
                <w:rtl/>
              </w:rPr>
            </w:pPr>
            <w:r w:rsidRPr="005F4760">
              <w:rPr>
                <w:rtl/>
              </w:rPr>
              <w:t xml:space="preserve">חייבים </w:t>
            </w:r>
            <w:r w:rsidRPr="005F4760">
              <w:rPr>
                <w:rtl/>
              </w:rPr>
              <w:t>במג"ק</w:t>
            </w:r>
            <w:r w:rsidRPr="005F4760">
              <w:rPr>
                <w:rtl/>
              </w:rPr>
              <w:t xml:space="preserve"> לאורך השנים</w:t>
            </w:r>
          </w:p>
        </w:tc>
      </w:tr>
      <w:tr w14:paraId="1BD5A20C" w14:textId="77777777" w:rsidTr="008611D6">
        <w:tblPrEx>
          <w:tblW w:w="5000" w:type="pct"/>
          <w:tblLook w:val="04A0"/>
        </w:tblPrEx>
        <w:tc>
          <w:tcPr>
            <w:tcW w:w="1164" w:type="pct"/>
            <w:tcBorders>
              <w:bottom w:val="single" w:sz="12" w:space="0" w:color="000000" w:themeColor="text1"/>
            </w:tcBorders>
            <w:vAlign w:val="bottom"/>
          </w:tcPr>
          <w:p w:rsidR="00420374" w:rsidRPr="00411396" w:rsidP="008611D6" w14:paraId="500D3B50" w14:textId="2E3CEB18">
            <w:pPr>
              <w:spacing w:after="60" w:line="240" w:lineRule="auto"/>
              <w:rPr>
                <w:rFonts w:ascii="Tahoma" w:hAnsi="Tahoma" w:eastAsiaTheme="minorEastAsia" w:cs="Tahoma"/>
                <w:b/>
                <w:bCs/>
                <w:color w:val="0D0D0D" w:themeColor="text1" w:themeTint="F2"/>
                <w:spacing w:val="-10"/>
                <w:sz w:val="36"/>
                <w:szCs w:val="36"/>
                <w:rtl/>
              </w:rPr>
            </w:pPr>
            <w:r w:rsidRPr="008611D6">
              <w:rPr>
                <w:rFonts w:ascii="Tahoma" w:hAnsi="Tahoma" w:eastAsiaTheme="minorEastAsia" w:cs="Tahoma" w:hint="cs"/>
                <w:b/>
                <w:bCs/>
                <w:color w:val="0D0D0D" w:themeColor="text1" w:themeTint="F2"/>
                <w:spacing w:val="-10"/>
                <w:sz w:val="26"/>
                <w:szCs w:val="26"/>
                <w:rtl/>
              </w:rPr>
              <w:t>כ-</w:t>
            </w:r>
            <w:r>
              <w:rPr>
                <w:rFonts w:ascii="Tahoma" w:hAnsi="Tahoma" w:eastAsiaTheme="minorEastAsia" w:cs="Tahoma" w:hint="cs"/>
                <w:b/>
                <w:bCs/>
                <w:color w:val="0D0D0D" w:themeColor="text1" w:themeTint="F2"/>
                <w:spacing w:val="-10"/>
                <w:sz w:val="36"/>
                <w:szCs w:val="36"/>
                <w:rtl/>
              </w:rPr>
              <w:t xml:space="preserve">600,000 </w:t>
            </w:r>
            <w:r w:rsidRPr="008611D6">
              <w:rPr>
                <w:rFonts w:ascii="Tahoma" w:hAnsi="Tahoma" w:eastAsiaTheme="minorEastAsia" w:cs="Tahoma" w:hint="cs"/>
                <w:b/>
                <w:bCs/>
                <w:color w:val="0D0D0D" w:themeColor="text1" w:themeTint="F2"/>
                <w:spacing w:val="-10"/>
                <w:sz w:val="26"/>
                <w:szCs w:val="26"/>
                <w:rtl/>
              </w:rPr>
              <w:t>צווי עיקול</w:t>
            </w:r>
          </w:p>
        </w:tc>
        <w:tc>
          <w:tcPr>
            <w:tcW w:w="161" w:type="pct"/>
            <w:vAlign w:val="bottom"/>
          </w:tcPr>
          <w:p w:rsidR="00420374" w:rsidRPr="00E52143" w:rsidP="00937056" w14:paraId="26A950B1" w14:textId="77777777">
            <w:pPr>
              <w:spacing w:after="12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420374" w:rsidP="00937056" w14:paraId="5E611D23" w14:textId="77777777">
            <w:pPr>
              <w:pStyle w:val="2021"/>
              <w:spacing w:before="0" w:after="60"/>
              <w:rPr>
                <w:spacing w:val="-10"/>
                <w:rtl/>
              </w:rPr>
            </w:pPr>
            <w:r w:rsidRPr="008611D6">
              <w:rPr>
                <w:rFonts w:hint="cs"/>
                <w:spacing w:val="-10"/>
                <w:sz w:val="26"/>
                <w:szCs w:val="26"/>
                <w:rtl/>
              </w:rPr>
              <w:t>כ-</w:t>
            </w:r>
            <w:r>
              <w:rPr>
                <w:rFonts w:hint="cs"/>
                <w:spacing w:val="-10"/>
                <w:rtl/>
              </w:rPr>
              <w:t xml:space="preserve">350 </w:t>
            </w:r>
            <w:r w:rsidRPr="008611D6">
              <w:rPr>
                <w:rFonts w:hint="cs"/>
                <w:spacing w:val="-10"/>
                <w:sz w:val="26"/>
                <w:szCs w:val="26"/>
                <w:rtl/>
              </w:rPr>
              <w:t>מיליון ש״ח</w:t>
            </w:r>
          </w:p>
          <w:p w:rsidR="008611D6" w:rsidRPr="008D750B" w:rsidP="00937056" w14:paraId="48896DF7" w14:textId="2D1A1E3B">
            <w:pPr>
              <w:pStyle w:val="2021"/>
              <w:spacing w:before="0" w:after="60"/>
              <w:rPr>
                <w:spacing w:val="-10"/>
                <w:rtl/>
              </w:rPr>
            </w:pPr>
            <w:r w:rsidRPr="008611D6">
              <w:rPr>
                <w:rFonts w:hint="cs"/>
                <w:spacing w:val="-10"/>
                <w:sz w:val="26"/>
                <w:szCs w:val="26"/>
                <w:rtl/>
              </w:rPr>
              <w:t>כ-</w:t>
            </w:r>
            <w:r>
              <w:rPr>
                <w:rFonts w:hint="cs"/>
                <w:spacing w:val="-10"/>
                <w:rtl/>
              </w:rPr>
              <w:t xml:space="preserve">102 </w:t>
            </w:r>
            <w:r w:rsidRPr="008611D6">
              <w:rPr>
                <w:rFonts w:hint="cs"/>
                <w:spacing w:val="-10"/>
                <w:sz w:val="26"/>
                <w:szCs w:val="26"/>
                <w:rtl/>
              </w:rPr>
              <w:t>מיליון ש״ח</w:t>
            </w:r>
          </w:p>
        </w:tc>
        <w:tc>
          <w:tcPr>
            <w:tcW w:w="161" w:type="pct"/>
            <w:vAlign w:val="bottom"/>
          </w:tcPr>
          <w:p w:rsidR="00420374" w:rsidP="00937056" w14:paraId="5B4C8A80" w14:textId="77777777">
            <w:pPr>
              <w:spacing w:after="120" w:line="240" w:lineRule="auto"/>
              <w:jc w:val="left"/>
              <w:rPr>
                <w:rtl/>
              </w:rPr>
            </w:pPr>
          </w:p>
        </w:tc>
        <w:tc>
          <w:tcPr>
            <w:tcW w:w="1151" w:type="pct"/>
            <w:tcBorders>
              <w:bottom w:val="single" w:sz="12" w:space="0" w:color="000000" w:themeColor="text1"/>
            </w:tcBorders>
            <w:vAlign w:val="bottom"/>
          </w:tcPr>
          <w:p w:rsidR="00420374" w:rsidRPr="0062456C" w:rsidP="00937056" w14:paraId="226A2E50" w14:textId="6E87FF86">
            <w:pPr>
              <w:spacing w:after="60" w:line="192"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22</w:t>
            </w:r>
            <w:r>
              <w:rPr>
                <w:rFonts w:ascii="Tahoma" w:hAnsi="Tahoma" w:eastAsiaTheme="minorEastAsia" w:cs="Tahoma" w:hint="cs"/>
                <w:b/>
                <w:bCs/>
                <w:color w:val="0D0D0D" w:themeColor="text1" w:themeTint="F2"/>
                <w:spacing w:val="-10"/>
                <w:sz w:val="36"/>
                <w:szCs w:val="36"/>
                <w:rtl/>
              </w:rPr>
              <w:t>%</w:t>
            </w:r>
          </w:p>
        </w:tc>
        <w:tc>
          <w:tcPr>
            <w:tcW w:w="182" w:type="pct"/>
          </w:tcPr>
          <w:p w:rsidR="00420374" w:rsidP="00937056" w14:paraId="5E7F766C" w14:textId="77777777">
            <w:pPr>
              <w:spacing w:after="60" w:line="240" w:lineRule="auto"/>
              <w:rPr>
                <w:rFonts w:ascii="Tahoma" w:hAnsi="Tahoma" w:eastAsiaTheme="minorEastAsia" w:cs="Tahoma"/>
                <w:b/>
                <w:bCs/>
                <w:color w:val="0D0D0D" w:themeColor="text1" w:themeTint="F2"/>
                <w:spacing w:val="-10"/>
                <w:sz w:val="36"/>
                <w:szCs w:val="36"/>
                <w:rtl/>
              </w:rPr>
            </w:pPr>
          </w:p>
        </w:tc>
        <w:tc>
          <w:tcPr>
            <w:tcW w:w="1143" w:type="pct"/>
            <w:tcBorders>
              <w:bottom w:val="single" w:sz="12" w:space="0" w:color="000000" w:themeColor="text1"/>
            </w:tcBorders>
            <w:vAlign w:val="bottom"/>
          </w:tcPr>
          <w:p w:rsidR="00420374" w:rsidP="00937056" w14:paraId="5AEEF263" w14:textId="0948F0D6">
            <w:pPr>
              <w:spacing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39%</w:t>
            </w:r>
          </w:p>
        </w:tc>
      </w:tr>
      <w:tr w14:paraId="54154FA5" w14:textId="77777777" w:rsidTr="008611D6">
        <w:tblPrEx>
          <w:tblW w:w="5000" w:type="pct"/>
          <w:tblLook w:val="04A0"/>
        </w:tblPrEx>
        <w:tc>
          <w:tcPr>
            <w:tcW w:w="1164" w:type="pct"/>
            <w:tcBorders>
              <w:top w:val="single" w:sz="12" w:space="0" w:color="000000" w:themeColor="text1"/>
            </w:tcBorders>
          </w:tcPr>
          <w:p w:rsidR="008611D6" w:rsidRPr="004562F8" w:rsidP="008611D6" w14:paraId="6DB67748" w14:textId="1C8C5E46">
            <w:pPr>
              <w:pStyle w:val="732021"/>
              <w:spacing w:before="0" w:after="0"/>
              <w:rPr>
                <w:rtl/>
              </w:rPr>
            </w:pPr>
            <w:r w:rsidRPr="005F4760">
              <w:rPr>
                <w:rtl/>
              </w:rPr>
              <w:t xml:space="preserve">ששלחה ההוצאה לפועל לרשות המיסים בשנים 2019 - 2021 לא טופלו על ידי רשות </w:t>
            </w:r>
            <w:r w:rsidRPr="005F4760">
              <w:rPr>
                <w:rtl/>
              </w:rPr>
              <w:t>המסים</w:t>
            </w:r>
            <w:r w:rsidRPr="005F4760">
              <w:rPr>
                <w:rtl/>
              </w:rPr>
              <w:t xml:space="preserve"> (מדובר בכ-85% מהצווים שנשלחו לרשות המיסים)</w:t>
            </w:r>
          </w:p>
        </w:tc>
        <w:tc>
          <w:tcPr>
            <w:tcW w:w="161" w:type="pct"/>
          </w:tcPr>
          <w:p w:rsidR="008611D6" w:rsidRPr="008D750B" w:rsidP="008611D6" w14:paraId="0C0AE598" w14:textId="77777777">
            <w:pPr>
              <w:pStyle w:val="732021"/>
              <w:spacing w:before="0" w:after="0"/>
              <w:rPr>
                <w:rtl/>
              </w:rPr>
            </w:pPr>
          </w:p>
        </w:tc>
        <w:tc>
          <w:tcPr>
            <w:tcW w:w="1038" w:type="pct"/>
            <w:tcBorders>
              <w:top w:val="single" w:sz="12" w:space="0" w:color="000000" w:themeColor="text1"/>
            </w:tcBorders>
          </w:tcPr>
          <w:p w:rsidR="008611D6" w:rsidRPr="004562F8" w:rsidP="008611D6" w14:paraId="1916A301" w14:textId="13297F01">
            <w:pPr>
              <w:pStyle w:val="732021"/>
              <w:spacing w:before="0" w:after="0"/>
              <w:rPr>
                <w:rtl/>
              </w:rPr>
            </w:pPr>
            <w:r w:rsidRPr="005F4760">
              <w:rPr>
                <w:rtl/>
              </w:rPr>
              <w:t xml:space="preserve">סך תוספות הפיגורים שמחק </w:t>
            </w:r>
            <w:r w:rsidRPr="005F4760">
              <w:rPr>
                <w:rtl/>
              </w:rPr>
              <w:t>המג"ק</w:t>
            </w:r>
            <w:r w:rsidRPr="005F4760">
              <w:rPr>
                <w:rtl/>
              </w:rPr>
              <w:t xml:space="preserve"> לחייבים בשנים 2019 - 2021, וסך החובות שנמחקו על ידי הוועדה העליונה לפשרות, מחיקות והסדרים במשרד האוצר בשנת 2022, בהתאמה</w:t>
            </w:r>
          </w:p>
        </w:tc>
        <w:tc>
          <w:tcPr>
            <w:tcW w:w="161" w:type="pct"/>
          </w:tcPr>
          <w:p w:rsidR="008611D6" w:rsidP="008611D6" w14:paraId="14782C57" w14:textId="77777777">
            <w:pPr>
              <w:pStyle w:val="732021"/>
              <w:spacing w:before="0" w:after="0"/>
              <w:rPr>
                <w:rtl/>
              </w:rPr>
            </w:pPr>
          </w:p>
        </w:tc>
        <w:tc>
          <w:tcPr>
            <w:tcW w:w="1151" w:type="pct"/>
            <w:tcBorders>
              <w:top w:val="single" w:sz="12" w:space="0" w:color="000000" w:themeColor="text1"/>
            </w:tcBorders>
          </w:tcPr>
          <w:p w:rsidR="008611D6" w:rsidRPr="0062456C" w:rsidP="008611D6" w14:paraId="6149CA50" w14:textId="49C3EEFB">
            <w:pPr>
              <w:pStyle w:val="732021"/>
              <w:spacing w:before="0" w:after="0"/>
              <w:rPr>
                <w:rtl/>
              </w:rPr>
            </w:pPr>
            <w:r w:rsidRPr="005F4760">
              <w:rPr>
                <w:rtl/>
              </w:rPr>
              <w:t>שיעור הגבייה בתיקי פיצויים</w:t>
            </w:r>
            <w:r w:rsidRPr="005F4760">
              <w:rPr>
                <w:rFonts w:hint="cs"/>
                <w:rtl/>
              </w:rPr>
              <w:t xml:space="preserve"> </w:t>
            </w:r>
            <w:r w:rsidRPr="005F4760">
              <w:rPr>
                <w:rtl/>
              </w:rPr>
              <w:t>לנפגעי עבירה (84 מיליון ש"ח מתוך 382 מיליון ש"ח), שהוא פחות ממחצית מזה של יתר החובות (המסתכם ב-49%, שהם כ-2.24 מיליארד ש"ח מתוך כ-4.57 מיליארד ש"ח)</w:t>
            </w:r>
          </w:p>
        </w:tc>
        <w:tc>
          <w:tcPr>
            <w:tcW w:w="182" w:type="pct"/>
          </w:tcPr>
          <w:p w:rsidR="008611D6" w:rsidRPr="00C92141" w:rsidP="008611D6" w14:paraId="66E34E8E" w14:textId="77777777">
            <w:pPr>
              <w:pStyle w:val="732021"/>
              <w:spacing w:before="0" w:after="0"/>
              <w:rPr>
                <w:rtl/>
              </w:rPr>
            </w:pPr>
          </w:p>
        </w:tc>
        <w:tc>
          <w:tcPr>
            <w:tcW w:w="1143" w:type="pct"/>
            <w:tcBorders>
              <w:top w:val="single" w:sz="12" w:space="0" w:color="000000" w:themeColor="text1"/>
            </w:tcBorders>
          </w:tcPr>
          <w:p w:rsidR="008611D6" w:rsidRPr="00C92141" w:rsidP="008611D6" w14:paraId="39498237" w14:textId="649FD9A6">
            <w:pPr>
              <w:pStyle w:val="732021"/>
              <w:spacing w:before="0" w:after="0"/>
              <w:rPr>
                <w:rtl/>
              </w:rPr>
            </w:pPr>
            <w:r w:rsidRPr="005F4760">
              <w:rPr>
                <w:rtl/>
              </w:rPr>
              <w:t>אחוז תשלומי החייבים (896,969 ש"ח מתוך 2,294 מיליון ש"ח) שבחודשים נובמבר 2020 - דצמבר 2021 לא הועברו לנפגעי עבירה על</w:t>
            </w:r>
            <w:r w:rsidRPr="005F4760">
              <w:rPr>
                <w:rFonts w:hint="cs"/>
                <w:rtl/>
              </w:rPr>
              <w:t xml:space="preserve"> פי דין הקדימה הקבוע בחוק אלא נותבו לאוצר המדינה</w:t>
            </w:r>
          </w:p>
        </w:tc>
      </w:tr>
    </w:tbl>
    <w:p w:rsidR="008611D6" w:rsidP="00420374" w14:paraId="509D5AB6" w14:textId="5EAF97BA">
      <w:pPr>
        <w:pStyle w:val="7317"/>
        <w:spacing w:after="0"/>
        <w:rPr>
          <w:sz w:val="10"/>
          <w:szCs w:val="10"/>
          <w:rtl/>
        </w:rPr>
      </w:pPr>
    </w:p>
    <w:p w:rsidR="008611D6" w14:paraId="115CA8B8" w14:textId="77777777">
      <w:pPr>
        <w:bidi w:val="0"/>
        <w:spacing w:after="200" w:line="276" w:lineRule="auto"/>
        <w:rPr>
          <w:rFonts w:ascii="Tahoma" w:hAnsi="Tahoma" w:cs="Tahoma"/>
          <w:color w:val="0D0D0D" w:themeColor="text1" w:themeTint="F2"/>
          <w:sz w:val="10"/>
          <w:szCs w:val="10"/>
          <w:rtl/>
        </w:rPr>
      </w:pPr>
      <w:r>
        <w:rPr>
          <w:sz w:val="10"/>
          <w:szCs w:val="10"/>
          <w:rtl/>
        </w:rPr>
        <w:br w:type="page"/>
      </w:r>
    </w:p>
    <w:p w:rsidR="00420374" w:rsidRPr="00C62692" w:rsidP="00420374" w14:paraId="3FADD5EE" w14:textId="77777777">
      <w:pPr>
        <w:pStyle w:val="73"/>
        <w:rPr>
          <w:rtl/>
        </w:rPr>
      </w:pPr>
      <w:r w:rsidRPr="00C62692">
        <w:rPr>
          <w:rtl/>
        </w:rPr>
        <w:t>פעולות הביקורת</w:t>
      </w:r>
    </w:p>
    <w:p w:rsidR="008611D6" w:rsidP="00420374" w14:paraId="10C2614B" w14:textId="51EFACB6">
      <w:pPr>
        <w:pStyle w:val="7317"/>
        <w:rPr>
          <w:rtl/>
        </w:rPr>
      </w:pPr>
      <w:r w:rsidRPr="001F3363">
        <w:rPr>
          <w:noProof/>
        </w:rPr>
        <w:drawing>
          <wp:anchor distT="0" distB="0" distL="114300" distR="114300" simplePos="0" relativeHeight="251684864"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4760">
        <w:rPr>
          <w:rtl/>
        </w:rPr>
        <w:t xml:space="preserve">בחודשים ספטמבר 2021 - אוקטובר 2022 בדק משרד מבקר המדינה היבטים שונים בעבודת </w:t>
      </w:r>
      <w:r w:rsidRPr="005F4760">
        <w:rPr>
          <w:rtl/>
        </w:rPr>
        <w:t>המג"ק</w:t>
      </w:r>
      <w:r w:rsidRPr="005F4760">
        <w:rPr>
          <w:rtl/>
        </w:rPr>
        <w:t>, ובכללם: ניהול תהליך גביית החוב החל בשלב קליטת התיק, המשך במשלוח דרישות תשלום וכלה בנקיטת הליכי גבייה שונים</w:t>
      </w:r>
      <w:r w:rsidRPr="005F4760">
        <w:t>;</w:t>
      </w:r>
      <w:r w:rsidRPr="005F4760">
        <w:rPr>
          <w:rtl/>
        </w:rPr>
        <w:t xml:space="preserve"> מנגנוני פריסת החוב, הפחתות תוספות הפיגורים ומחיקת חובות </w:t>
      </w:r>
      <w:r w:rsidRPr="005F4760">
        <w:rPr>
          <w:rtl/>
        </w:rPr>
        <w:t>במג"ק</w:t>
      </w:r>
      <w:r w:rsidRPr="005F4760">
        <w:t>;</w:t>
      </w:r>
      <w:r w:rsidRPr="005F4760">
        <w:rPr>
          <w:rtl/>
        </w:rPr>
        <w:t xml:space="preserve"> </w:t>
      </w:r>
      <w:r w:rsidRPr="005F4760">
        <w:rPr>
          <w:rFonts w:hint="cs"/>
          <w:rtl/>
        </w:rPr>
        <w:t xml:space="preserve">וכן </w:t>
      </w:r>
      <w:r w:rsidRPr="005F4760">
        <w:rPr>
          <w:rtl/>
        </w:rPr>
        <w:t>ניהול תהליך גביית חובות מסוג פיצויים לנפגעי עבירה והקשר עם נפגעי העבירה. בדיקות השלמה בוצעו בחודשים ינואר ופברואר 2023</w:t>
      </w:r>
      <w:r>
        <w:rPr>
          <w:rFonts w:hint="cs"/>
          <w:rtl/>
        </w:rPr>
        <w:t>.</w:t>
      </w:r>
    </w:p>
    <w:p w:rsidR="008611D6" w:rsidRPr="005F4760" w:rsidP="008611D6" w14:paraId="3EB7DCC5" w14:textId="77777777">
      <w:pPr>
        <w:pStyle w:val="7317"/>
        <w:rPr>
          <w:rtl/>
        </w:rPr>
      </w:pPr>
      <w:r w:rsidRPr="005F4760">
        <w:rPr>
          <w:rtl/>
        </w:rPr>
        <w:t>הביקורת נערכה ב</w:t>
      </w:r>
      <w:r w:rsidRPr="005F4760">
        <w:rPr>
          <w:rFonts w:hint="cs"/>
          <w:rtl/>
        </w:rPr>
        <w:t>מרכז לגביית קנסות שב</w:t>
      </w:r>
      <w:r w:rsidRPr="005F4760">
        <w:rPr>
          <w:rtl/>
        </w:rPr>
        <w:t xml:space="preserve">רשות האכיפה והגבייה </w:t>
      </w:r>
      <w:r w:rsidRPr="005F4760">
        <w:rPr>
          <w:rFonts w:hint="cs"/>
          <w:rtl/>
        </w:rPr>
        <w:t>ובמטה הרשות</w:t>
      </w:r>
      <w:r w:rsidRPr="005F4760">
        <w:rPr>
          <w:rtl/>
        </w:rPr>
        <w:t>. בדיקות השלמה נערכו במשרד האוצר, בהנהלת בתי המשפט (</w:t>
      </w:r>
      <w:r w:rsidRPr="005F4760">
        <w:rPr>
          <w:rtl/>
        </w:rPr>
        <w:t>הב"ה</w:t>
      </w:r>
      <w:r w:rsidRPr="005F4760">
        <w:rPr>
          <w:rtl/>
        </w:rPr>
        <w:t xml:space="preserve">), ברשות המיסים בישראל </w:t>
      </w:r>
      <w:r w:rsidRPr="005F4760">
        <w:rPr>
          <w:rFonts w:hint="cs"/>
          <w:rtl/>
        </w:rPr>
        <w:t>ו</w:t>
      </w:r>
      <w:r w:rsidRPr="005F4760">
        <w:rPr>
          <w:rtl/>
        </w:rPr>
        <w:t xml:space="preserve">בשירות בתי הסוהר. ביקורת קודמת </w:t>
      </w:r>
      <w:r w:rsidRPr="005F4760">
        <w:rPr>
          <w:rtl/>
        </w:rPr>
        <w:t>במג"ק</w:t>
      </w:r>
      <w:r w:rsidRPr="005F4760">
        <w:rPr>
          <w:rtl/>
        </w:rPr>
        <w:t xml:space="preserve"> נעשתה בשנת 2012</w:t>
      </w:r>
      <w:r>
        <w:rPr>
          <w:vertAlign w:val="superscript"/>
          <w:rtl/>
        </w:rPr>
        <w:footnoteReference w:id="2"/>
      </w:r>
      <w:r w:rsidRPr="005F4760">
        <w:rPr>
          <w:rtl/>
        </w:rPr>
        <w:t>.</w:t>
      </w:r>
    </w:p>
    <w:p w:rsidR="002753C7" w:rsidRPr="00662020" w:rsidP="002753C7" w14:paraId="690F076D" w14:textId="3B070EE9">
      <w:pPr>
        <w:pStyle w:val="7327"/>
        <w:rPr>
          <w:rtl/>
        </w:rPr>
      </w:pPr>
      <w:r w:rsidRPr="00662020">
        <w:rPr>
          <w:rFonts w:hint="cs"/>
          <w:rtl/>
        </w:rPr>
        <w:t>תמונת המצב העולה מן הביקורת</w:t>
      </w:r>
    </w:p>
    <w:p w:rsidR="002753C7" w:rsidRPr="001F3363" w:rsidP="00420374" w14:paraId="0B2F822B" w14:textId="18D3D025">
      <w:pPr>
        <w:pStyle w:val="7317"/>
        <w:rPr>
          <w:rtl/>
        </w:rPr>
      </w:pPr>
      <w:r w:rsidRPr="00362C00">
        <w:rPr>
          <w:noProof/>
          <w:rtl/>
        </w:rPr>
        <w:drawing>
          <wp:anchor distT="0" distB="0" distL="114300" distR="114300" simplePos="0" relativeHeight="251685888" behindDoc="0" locked="0" layoutInCell="1" allowOverlap="1">
            <wp:simplePos x="0" y="0"/>
            <wp:positionH relativeFrom="column">
              <wp:posOffset>2540000</wp:posOffset>
            </wp:positionH>
            <wp:positionV relativeFrom="paragraph">
              <wp:posOffset>56515</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8611D6" w:rsidP="008611D6" w14:paraId="336A92BF" w14:textId="77777777">
      <w:pPr>
        <w:pStyle w:val="73512"/>
        <w:rPr>
          <w:noProof/>
          <w:rtl/>
        </w:rPr>
      </w:pPr>
      <w:r>
        <w:rPr>
          <w:noProof/>
          <w:rtl/>
        </w:rPr>
        <w:t>הליך גביית החובות במג"ק</w:t>
      </w:r>
    </w:p>
    <w:p w:rsidR="00420374" w:rsidRPr="0093709F" w:rsidP="00DA022A" w14:paraId="18555822" w14:textId="763B94F0">
      <w:pPr>
        <w:pStyle w:val="7392"/>
        <w:ind w:left="424"/>
        <w:rPr>
          <w:rtl/>
        </w:rPr>
      </w:pPr>
      <w:r w:rsidRPr="008611D6">
        <w:rPr>
          <w:rFonts w:hint="cs"/>
          <w:b/>
          <w:bCs/>
          <w:noProof/>
          <w:rtl/>
        </w:rPr>
        <w:drawing>
          <wp:anchor distT="0" distB="720090" distL="114300" distR="114300" simplePos="0" relativeHeight="251686912"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611D6" w:rsidR="008611D6">
        <w:rPr>
          <w:b/>
          <w:bCs/>
          <w:rtl/>
        </w:rPr>
        <w:t xml:space="preserve">היקף גביית החובות </w:t>
      </w:r>
      <w:r w:rsidRPr="008611D6" w:rsidR="008611D6">
        <w:rPr>
          <w:b/>
          <w:bCs/>
          <w:rtl/>
        </w:rPr>
        <w:t>במג"ק</w:t>
      </w:r>
      <w:r w:rsidRPr="005F4760" w:rsidR="008611D6">
        <w:rPr>
          <w:rtl/>
        </w:rPr>
        <w:t xml:space="preserve"> - מאז הוקם </w:t>
      </w:r>
      <w:r w:rsidRPr="005F4760" w:rsidR="008611D6">
        <w:rPr>
          <w:rtl/>
        </w:rPr>
        <w:t>המג"ק</w:t>
      </w:r>
      <w:r w:rsidRPr="005F4760" w:rsidR="008611D6">
        <w:rPr>
          <w:rtl/>
        </w:rPr>
        <w:t xml:space="preserve"> בשנת 1995 ועד סוף שנת 2021 הועברו </w:t>
      </w:r>
      <w:r w:rsidRPr="005F4760" w:rsidR="008611D6">
        <w:rPr>
          <w:rtl/>
        </w:rPr>
        <w:t>למג"ק</w:t>
      </w:r>
      <w:r w:rsidRPr="005F4760" w:rsidR="008611D6">
        <w:rPr>
          <w:rtl/>
        </w:rPr>
        <w:t xml:space="preserve"> תיקים בהיקף קרן חוב של כ-8.4 מיליארד ש"ח. עד ינואר 2023 נגבה בתיקים אלה סך של כ-6.9 מיליארד ש"ח, סכום הכולל תוספות פיגורים, הפרשי הצמדה וריבית והוצאות. יתרת החוב </w:t>
      </w:r>
      <w:r w:rsidRPr="005F4760" w:rsidR="008611D6">
        <w:rPr>
          <w:rtl/>
        </w:rPr>
        <w:t>במג"ק</w:t>
      </w:r>
      <w:r w:rsidRPr="005F4760" w:rsidR="008611D6">
        <w:rPr>
          <w:rtl/>
        </w:rPr>
        <w:t>, נכון ל</w:t>
      </w:r>
      <w:r w:rsidRPr="005F4760" w:rsidR="008611D6">
        <w:rPr>
          <w:rFonts w:hint="cs"/>
          <w:rtl/>
        </w:rPr>
        <w:t>פברואר</w:t>
      </w:r>
      <w:r w:rsidRPr="005F4760" w:rsidR="008611D6">
        <w:rPr>
          <w:rtl/>
        </w:rPr>
        <w:t xml:space="preserve"> 2023, היא כ-6.</w:t>
      </w:r>
      <w:r w:rsidRPr="005F4760" w:rsidR="008611D6">
        <w:rPr>
          <w:rFonts w:hint="cs"/>
          <w:rtl/>
        </w:rPr>
        <w:t>8</w:t>
      </w:r>
      <w:r w:rsidRPr="005F4760" w:rsidR="008611D6">
        <w:rPr>
          <w:rtl/>
        </w:rPr>
        <w:t xml:space="preserve"> מיליארד ש"ח, מתוכה כ-2.6 מיליארד ש"ח בגין תוספות פיגורים, הפרשי הצמדה וריבית והוצאות</w:t>
      </w:r>
      <w:r w:rsidR="00C94703">
        <w:rPr>
          <w:rFonts w:hint="cs"/>
          <w:rtl/>
        </w:rPr>
        <w:t>.</w:t>
      </w:r>
    </w:p>
    <w:p w:rsidR="00420374" w:rsidRPr="0093709F" w:rsidP="00DA022A" w14:paraId="1D22E15A" w14:textId="1EEA9CE5">
      <w:pPr>
        <w:pStyle w:val="7392"/>
        <w:ind w:left="424"/>
      </w:pPr>
      <w:r w:rsidRPr="008611D6">
        <w:rPr>
          <w:rFonts w:hint="cs"/>
          <w:b/>
          <w:bCs/>
          <w:noProof/>
          <w:rtl/>
        </w:rPr>
        <w:drawing>
          <wp:anchor distT="0" distB="720090" distL="114300" distR="114300" simplePos="0" relativeHeight="251687936"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611D6" w:rsidR="008611D6">
        <w:rPr>
          <w:b/>
          <w:bCs/>
          <w:rtl/>
        </w:rPr>
        <w:t>תפיסת חוב בהתאם למאפייני החייב והחוב</w:t>
      </w:r>
      <w:r w:rsidRPr="005F4760" w:rsidR="008611D6">
        <w:rPr>
          <w:rtl/>
        </w:rPr>
        <w:t xml:space="preserve"> - </w:t>
      </w:r>
      <w:r w:rsidRPr="005F4760" w:rsidR="008611D6">
        <w:rPr>
          <w:rtl/>
        </w:rPr>
        <w:t>המג"ק</w:t>
      </w:r>
      <w:r w:rsidRPr="005F4760" w:rsidR="008611D6">
        <w:rPr>
          <w:rtl/>
        </w:rPr>
        <w:t xml:space="preserve"> אינו מיישם תפיסת גבייה המבוססת על סוג החוב, על גובהו ועל פרופיל החייב, והוא נוקט הליכים דומים לגבי כלל החייבים באופן הפוגע ביעילות הגבייה. בהקשר זה נמצא כי ככל שגובה החוב בתיק עולה, שיעור גביית החובות קטן</w:t>
      </w:r>
      <w:r w:rsidRPr="005F4760" w:rsidR="008611D6">
        <w:rPr>
          <w:rFonts w:hint="cs"/>
          <w:rtl/>
        </w:rPr>
        <w:t>. כך בממוצע</w:t>
      </w:r>
      <w:r w:rsidRPr="005F4760" w:rsidR="008611D6">
        <w:rPr>
          <w:rtl/>
        </w:rPr>
        <w:t xml:space="preserve">: שיעורי הגבייה בתיקים שבהם גובה החוב הוא עד 1,000 ש"ח הם 58%; שיעור הגבייה בתיקים שבהם גובה החוב הוא בין 1,000 </w:t>
      </w:r>
      <w:r w:rsidRPr="005F4760" w:rsidR="008611D6">
        <w:rPr>
          <w:rFonts w:hint="cs"/>
          <w:rtl/>
        </w:rPr>
        <w:t xml:space="preserve">ש"ח </w:t>
      </w:r>
      <w:r w:rsidR="007E2211">
        <w:rPr>
          <w:rtl/>
        </w:rPr>
        <w:br/>
      </w:r>
      <w:r w:rsidRPr="005F4760" w:rsidR="008611D6">
        <w:rPr>
          <w:rtl/>
        </w:rPr>
        <w:t>ל-10,000 ש"ח יורד לכ-34%; שיעור הגבייה בתיקים שבהם גובה החוב הוא בין 10,000 ש"ח ל-100,000 ש"ח הוא 33%; ואילו בתיקים של יותר מ-100,000 ש"ח שיעור הגבייה הוא 10% בלבד</w:t>
      </w:r>
      <w:r w:rsidRPr="0093709F">
        <w:rPr>
          <w:rFonts w:hint="cs"/>
          <w:rtl/>
        </w:rPr>
        <w:t xml:space="preserve">. </w:t>
      </w:r>
    </w:p>
    <w:p w:rsidR="00420374" w:rsidRPr="0093709F" w:rsidP="00DA022A" w14:paraId="5E2BFABB" w14:textId="42C5194A">
      <w:pPr>
        <w:pStyle w:val="7392"/>
        <w:ind w:left="424"/>
        <w:rPr>
          <w:rtl/>
        </w:rPr>
      </w:pPr>
      <w:r w:rsidRPr="008611D6">
        <w:rPr>
          <w:rFonts w:hint="cs"/>
          <w:b/>
          <w:bCs/>
          <w:noProof/>
          <w:rtl/>
        </w:rPr>
        <w:drawing>
          <wp:anchor distT="0" distB="720090" distL="114300" distR="114300" simplePos="0" relativeHeight="251688960"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611D6" w:rsidR="008611D6">
        <w:rPr>
          <w:b/>
          <w:bCs/>
          <w:rtl/>
        </w:rPr>
        <w:t>קבלת חיובים שטרם חלף המועד לתשלומם (תיקי טרום-חוב)</w:t>
      </w:r>
      <w:r w:rsidRPr="005F4760" w:rsidR="008611D6">
        <w:rPr>
          <w:rtl/>
        </w:rPr>
        <w:t xml:space="preserve"> - בשנת 2016 החל </w:t>
      </w:r>
      <w:r w:rsidRPr="005F4760" w:rsidR="008611D6">
        <w:rPr>
          <w:rtl/>
        </w:rPr>
        <w:t>המג"ק</w:t>
      </w:r>
      <w:r w:rsidRPr="005F4760" w:rsidR="008611D6">
        <w:rPr>
          <w:rtl/>
        </w:rPr>
        <w:t xml:space="preserve"> לקבל תיקי טרום-חוב לגבייה. עד ינואר 2023 התקבלו </w:t>
      </w:r>
      <w:r w:rsidRPr="005F4760" w:rsidR="008611D6">
        <w:rPr>
          <w:rtl/>
        </w:rPr>
        <w:t>במג"ק</w:t>
      </w:r>
      <w:r w:rsidRPr="005F4760" w:rsidR="008611D6">
        <w:rPr>
          <w:rtl/>
        </w:rPr>
        <w:t xml:space="preserve"> כ-6.9 מיליון תיקי טרום-חוב, בהיקף חוב של כ-4.2 מיליארד ש"ח, מתוכם כ-3.9 מיליון תיקים (56%) נסגרו בתשלום בשלב טרום-החוב, כ-2.8 מיליון תיקים (40%) לא שולמו על ידי חייבים במועד ועל כן נקלטו כתיקי חוב לגבייה </w:t>
      </w:r>
      <w:r w:rsidRPr="005F4760" w:rsidR="008611D6">
        <w:rPr>
          <w:rtl/>
        </w:rPr>
        <w:t>במג"ק</w:t>
      </w:r>
      <w:r w:rsidRPr="005F4760" w:rsidR="008611D6">
        <w:rPr>
          <w:rtl/>
        </w:rPr>
        <w:t xml:space="preserve"> וב-278,941 תיקים (4%) טרם חלף המועד הקובע </w:t>
      </w:r>
      <w:r w:rsidRPr="005F4760" w:rsidR="008611D6">
        <w:rPr>
          <w:rtl/>
        </w:rPr>
        <w:t>לתשלום, נכון למועד הביקורת. חייב המבקש להסדיר תשלום חוב בשלב טרום-החוב אינו זכאי לפריסת חוב</w:t>
      </w:r>
      <w:r w:rsidRPr="0093709F">
        <w:rPr>
          <w:rFonts w:hint="cs"/>
          <w:rtl/>
        </w:rPr>
        <w:t>.</w:t>
      </w:r>
    </w:p>
    <w:p w:rsidR="00420374" w:rsidRPr="0093709F" w:rsidP="00DA022A" w14:paraId="583ECB3F" w14:textId="4E2067C1">
      <w:pPr>
        <w:pStyle w:val="7392"/>
        <w:ind w:left="424"/>
      </w:pPr>
      <w:r w:rsidRPr="008611D6">
        <w:rPr>
          <w:rFonts w:hint="cs"/>
          <w:b/>
          <w:bCs/>
          <w:noProof/>
          <w:rtl/>
        </w:rPr>
        <w:drawing>
          <wp:anchor distT="0" distB="720090" distL="114300" distR="114300" simplePos="0" relativeHeight="251689984"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611D6" w:rsidR="008611D6">
        <w:rPr>
          <w:b/>
          <w:bCs/>
          <w:rtl/>
        </w:rPr>
        <w:t>מסירת דרישת תשלום לחייב כדין (מסירה כדין)</w:t>
      </w:r>
      <w:r w:rsidRPr="005F4760" w:rsidR="008611D6">
        <w:rPr>
          <w:rtl/>
        </w:rPr>
        <w:t xml:space="preserve"> - בדיקה רוחבית שביצע משרד מבקר המדינה לגבי התיקים שנפתחו </w:t>
      </w:r>
      <w:r w:rsidRPr="005F4760" w:rsidR="008611D6">
        <w:rPr>
          <w:rtl/>
        </w:rPr>
        <w:t>במג"ק</w:t>
      </w:r>
      <w:r w:rsidRPr="005F4760" w:rsidR="008611D6">
        <w:rPr>
          <w:rtl/>
        </w:rPr>
        <w:t xml:space="preserve"> בחודשים מאי-יוני בשנים 2017 - 2021 העלתה כי פרק הזמן הממוצע שחלף מתאריך הקליטה של התיק </w:t>
      </w:r>
      <w:r w:rsidRPr="005F4760" w:rsidR="008611D6">
        <w:rPr>
          <w:rtl/>
        </w:rPr>
        <w:t>במג"ק</w:t>
      </w:r>
      <w:r w:rsidRPr="005F4760" w:rsidR="008611D6">
        <w:rPr>
          <w:rtl/>
        </w:rPr>
        <w:t xml:space="preserve"> ועד המסירה כדין של דרישת התשלום השנייה היה ארוך ונמשך קרוב לשנה (344 ימים). בתקופה זו נצברים תוספות פיגורים והפרשי הצמדה וריבית, בהתאם לסוג החוב. נכון למועד הביקורת, במאות אלפי תיקים פעילים </w:t>
      </w:r>
      <w:r w:rsidRPr="005F4760" w:rsidR="008611D6">
        <w:rPr>
          <w:rtl/>
        </w:rPr>
        <w:t>במג"ק</w:t>
      </w:r>
      <w:r w:rsidRPr="005F4760" w:rsidR="008611D6">
        <w:rPr>
          <w:rtl/>
        </w:rPr>
        <w:t xml:space="preserve"> לא התבצעה מסירה כדין</w:t>
      </w:r>
      <w:r w:rsidRPr="0093709F">
        <w:rPr>
          <w:rFonts w:hint="cs"/>
          <w:rtl/>
        </w:rPr>
        <w:t xml:space="preserve">. </w:t>
      </w:r>
    </w:p>
    <w:p w:rsidR="00420374" w:rsidRPr="0093709F" w:rsidP="00DA022A" w14:paraId="7C081EA1" w14:textId="025F21E9">
      <w:pPr>
        <w:pStyle w:val="7392"/>
        <w:ind w:left="424"/>
      </w:pPr>
      <w:r w:rsidRPr="008611D6">
        <w:rPr>
          <w:rFonts w:hint="cs"/>
          <w:b/>
          <w:bCs/>
          <w:noProof/>
          <w:rtl/>
        </w:rPr>
        <w:drawing>
          <wp:anchor distT="0" distB="720090" distL="114300" distR="114300" simplePos="0" relativeHeight="251691008"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611D6" w:rsidR="008611D6">
        <w:rPr>
          <w:b/>
          <w:bCs/>
          <w:rtl/>
        </w:rPr>
        <w:t>נקיטת הליכים לפני משלוח דרישת תשלום</w:t>
      </w:r>
      <w:r w:rsidRPr="005F4760" w:rsidR="008611D6">
        <w:rPr>
          <w:rtl/>
        </w:rPr>
        <w:t xml:space="preserve"> - בשנים 2020 - 2021 פנה </w:t>
      </w:r>
      <w:r w:rsidRPr="005F4760" w:rsidR="008611D6">
        <w:rPr>
          <w:rtl/>
        </w:rPr>
        <w:t>המג"ק</w:t>
      </w:r>
      <w:r w:rsidRPr="005F4760" w:rsidR="008611D6">
        <w:rPr>
          <w:rtl/>
        </w:rPr>
        <w:t xml:space="preserve"> לרשם לענייני </w:t>
      </w:r>
      <w:r w:rsidRPr="005F4760" w:rsidR="008611D6">
        <w:rPr>
          <w:rtl/>
        </w:rPr>
        <w:t>המג"ק</w:t>
      </w:r>
      <w:r w:rsidRPr="005F4760" w:rsidR="008611D6">
        <w:rPr>
          <w:rtl/>
        </w:rPr>
        <w:t xml:space="preserve"> בעניינם של שישה חייבים בלבד (כאשר בשנים אלו היו 623,360 תיקים פעילים שבהם טרם בוצעה מסירה כדין וטרם ננקטו הליכים), בבקשה לנקוט הליכים לגביית חוב קודם לשליחת דרישות התשלום, בשל חשש סביר כי החייב יעלים נכסים או יברח מהארץ</w:t>
      </w:r>
      <w:r w:rsidRPr="0093709F">
        <w:rPr>
          <w:rFonts w:hint="cs"/>
          <w:rtl/>
        </w:rPr>
        <w:t xml:space="preserve">. </w:t>
      </w:r>
    </w:p>
    <w:p w:rsidR="00420374" w:rsidRPr="0093709F" w:rsidP="00DA022A" w14:paraId="5E8BF229" w14:textId="35D4E2CF">
      <w:pPr>
        <w:pStyle w:val="7392"/>
        <w:ind w:left="424"/>
        <w:rPr>
          <w:rtl/>
        </w:rPr>
      </w:pPr>
      <w:r w:rsidRPr="008611D6">
        <w:rPr>
          <w:rFonts w:hint="cs"/>
          <w:b/>
          <w:bCs/>
          <w:noProof/>
          <w:rtl/>
        </w:rPr>
        <w:drawing>
          <wp:anchor distT="0" distB="720090" distL="114300" distR="114300" simplePos="0" relativeHeight="251692032"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611D6" w:rsidR="008611D6">
        <w:rPr>
          <w:b/>
          <w:bCs/>
          <w:rtl/>
        </w:rPr>
        <w:t>מידע על חייבים</w:t>
      </w:r>
      <w:r w:rsidRPr="005F4760" w:rsidR="008611D6">
        <w:rPr>
          <w:rtl/>
        </w:rPr>
        <w:t xml:space="preserve"> - על אף הסמכויות שהעניק החוק </w:t>
      </w:r>
      <w:r w:rsidRPr="005F4760" w:rsidR="008611D6">
        <w:rPr>
          <w:rtl/>
        </w:rPr>
        <w:t>למג"ק</w:t>
      </w:r>
      <w:r w:rsidRPr="005F4760" w:rsidR="008611D6">
        <w:rPr>
          <w:rtl/>
        </w:rPr>
        <w:t xml:space="preserve"> לקבל מידע על החייב לצורך גביית החוב, בתחילת הליכי הגבייה מצוי בידי </w:t>
      </w:r>
      <w:r w:rsidRPr="005F4760" w:rsidR="008611D6">
        <w:rPr>
          <w:rtl/>
        </w:rPr>
        <w:t>המג"ק</w:t>
      </w:r>
      <w:r w:rsidRPr="005F4760" w:rsidR="008611D6">
        <w:rPr>
          <w:rtl/>
        </w:rPr>
        <w:t xml:space="preserve"> מידע מצומצם הכולל את פרטי החייב ממרשם האוכלוסין בלבד. היעדר מידע על נכסי החייב מקשה את ניהול תהליך הגבייה. כך למשל, בהעדר מידע על חשבונות הבנק של החייב </w:t>
      </w:r>
      <w:r w:rsidRPr="005F4760" w:rsidR="008611D6">
        <w:rPr>
          <w:rtl/>
        </w:rPr>
        <w:t>המג"ק</w:t>
      </w:r>
      <w:r w:rsidRPr="005F4760" w:rsidR="008611D6">
        <w:rPr>
          <w:rtl/>
        </w:rPr>
        <w:t xml:space="preserve"> שולח צווי עיקול בעלות של 3 ש"ח לצו לכתשעה בנקים שונים כדי לאתר את אלה שבהם אכן מתנהלים חשבונות החייב. עלות ביצוע העיקולים מושתת על החייב. בהתאם לנתוני </w:t>
      </w:r>
      <w:r w:rsidRPr="005F4760" w:rsidR="008611D6">
        <w:rPr>
          <w:rtl/>
        </w:rPr>
        <w:t>המג"ק</w:t>
      </w:r>
      <w:r w:rsidRPr="005F4760" w:rsidR="008611D6">
        <w:rPr>
          <w:rtl/>
        </w:rPr>
        <w:t xml:space="preserve"> בשנים</w:t>
      </w:r>
      <w:r w:rsidR="007E2211">
        <w:rPr>
          <w:rtl/>
        </w:rPr>
        <w:br/>
      </w:r>
      <w:r w:rsidR="00F37B40">
        <w:rPr>
          <w:rFonts w:hint="cs"/>
          <w:rtl/>
        </w:rPr>
        <w:t>2017</w:t>
      </w:r>
      <w:r w:rsidRPr="005F4760" w:rsidR="008611D6">
        <w:rPr>
          <w:rtl/>
        </w:rPr>
        <w:t xml:space="preserve"> - 2021 הסתכמה עלות עיקולי חשבונות הבנק שבוצעו בכ-27 מיליון ש"ח</w:t>
      </w:r>
      <w:r w:rsidRPr="0093709F">
        <w:rPr>
          <w:rFonts w:hint="cs"/>
          <w:rtl/>
        </w:rPr>
        <w:t>.</w:t>
      </w:r>
    </w:p>
    <w:p w:rsidR="00420374" w:rsidP="00DA022A" w14:paraId="39D5E97C" w14:textId="5A274C21">
      <w:pPr>
        <w:pStyle w:val="7392"/>
        <w:ind w:left="424"/>
        <w:rPr>
          <w:noProof/>
          <w:rtl/>
        </w:rPr>
      </w:pPr>
      <w:r w:rsidRPr="008611D6">
        <w:rPr>
          <w:rFonts w:hint="cs"/>
          <w:b/>
          <w:bCs/>
          <w:noProof/>
          <w:rtl/>
        </w:rPr>
        <w:drawing>
          <wp:anchor distT="0" distB="720090" distL="114300" distR="114300" simplePos="0" relativeHeight="251693056"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8611D6" w:rsidR="008611D6">
        <w:rPr>
          <w:b/>
          <w:bCs/>
          <w:rtl/>
        </w:rPr>
        <w:t>עיקולים</w:t>
      </w:r>
      <w:r w:rsidRPr="005F4760" w:rsidR="008611D6">
        <w:rPr>
          <w:rtl/>
        </w:rPr>
        <w:t xml:space="preserve"> - פרק הזמן הממוצע אשר חלף ממועד ביצוע המסירה כדין (המועד שממנו ניתן להתחיל בנקיטת הליכי עיקול) עד אשר </w:t>
      </w:r>
      <w:r w:rsidRPr="005F4760" w:rsidR="008611D6">
        <w:rPr>
          <w:rtl/>
        </w:rPr>
        <w:t>המג"ק</w:t>
      </w:r>
      <w:r w:rsidRPr="005F4760" w:rsidR="008611D6">
        <w:rPr>
          <w:rtl/>
        </w:rPr>
        <w:t xml:space="preserve"> נקט בפועל הליכי עיקול לגביית החוב היה 128 ימים (מעל ארבעה חודשים). פרק זמן זה מגדיל את הסיכון להברחת נכסים על ידי החייבים או להעברתם לאחר, מקטין את סיכויי </w:t>
      </w:r>
      <w:r w:rsidRPr="005F4760" w:rsidR="008611D6">
        <w:rPr>
          <w:rtl/>
        </w:rPr>
        <w:t>המג"ק</w:t>
      </w:r>
      <w:r w:rsidRPr="005F4760" w:rsidR="008611D6">
        <w:rPr>
          <w:rtl/>
        </w:rPr>
        <w:t xml:space="preserve"> לגבות את החוב ובמקרים מסוימים מגדיל את החוב עקב עלויות הצמדה, ריבית ותוספת פיגורים. כך למשל, קנס תעבורה בסך של 1</w:t>
      </w:r>
      <w:r w:rsidR="00F37B40">
        <w:rPr>
          <w:rFonts w:hint="cs"/>
          <w:rtl/>
        </w:rPr>
        <w:t>,</w:t>
      </w:r>
      <w:r w:rsidRPr="005F4760" w:rsidR="008611D6">
        <w:rPr>
          <w:rtl/>
        </w:rPr>
        <w:t xml:space="preserve">000 ש"ח, שצבר עם חלוף המועד הקובע לתשלום 500 ש"ח בגין תוספת פיגורים, צובר בתקופה של 472 ימים (344 ימים מהמועד הקובע לתשלום ועד למסירה כדין ו-128 ימים נוספים כאמור) תוספת פיגורים בשיעור של </w:t>
      </w:r>
      <w:r w:rsidR="00F37B40">
        <w:rPr>
          <w:rFonts w:hint="cs"/>
          <w:rtl/>
        </w:rPr>
        <w:t>100</w:t>
      </w:r>
      <w:r w:rsidRPr="005F4760" w:rsidR="008611D6">
        <w:rPr>
          <w:rtl/>
        </w:rPr>
        <w:t xml:space="preserve"> ש"ח נוספים, כך שבתום תקופה זו עומד סך כל החוב על 1,600 ש"ח</w:t>
      </w:r>
      <w:r w:rsidRPr="0093709F">
        <w:rPr>
          <w:rFonts w:hint="cs"/>
          <w:rtl/>
        </w:rPr>
        <w:t xml:space="preserve">. </w:t>
      </w:r>
    </w:p>
    <w:p w:rsidR="008611D6" w:rsidRPr="0093709F" w:rsidP="008611D6" w14:paraId="310F6A21" w14:textId="0FBEA849">
      <w:pPr>
        <w:pStyle w:val="7392"/>
        <w:ind w:left="424"/>
        <w:rPr>
          <w:rtl/>
        </w:rPr>
      </w:pPr>
      <w:r w:rsidRPr="008611D6">
        <w:rPr>
          <w:rFonts w:hint="cs"/>
          <w:b/>
          <w:bCs/>
          <w:noProof/>
          <w:rtl/>
        </w:rPr>
        <w:drawing>
          <wp:anchor distT="0" distB="720090" distL="114300" distR="114300" simplePos="0" relativeHeight="251699200"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611D6">
        <w:rPr>
          <w:b/>
          <w:bCs/>
          <w:rtl/>
        </w:rPr>
        <w:t>עיקול ברשות המיסים</w:t>
      </w:r>
      <w:r w:rsidRPr="005F4760">
        <w:rPr>
          <w:rtl/>
        </w:rPr>
        <w:t xml:space="preserve"> - בשנים 2019 - 2021 שלחה ההוצל"פ לרשות המיסים 717,257 צווי עיקול, אך 85% מהצווים (608,206) לא טופלו על ידי רשות המיסים. עוד הועלה כי צווי העיקול שאינם נקלטים במערכות רשות המיסים מועברים על ידי הרשות בחלוף תקופה מסוימת לביעור ובפועל אינם מטופלים. בתיקי החייבים שנגדם נשלחו צווי העיקול וטופלו על ידי רשות המיסים נמצאו יתרות זכות בסך של כ-8.48 מיליון ש"ח, והם הועברו להוצל"פ. בהתבסס על נתוני רשות המיסים, לא מן הנמנע כי אילו טיפלה רשות המיסים בכלל צווי העיקול ששלחה אליה ההוצל"פ (ולא רק ב-15% מהם, שהניבו כ-8.5 מיליון ש"ח), הרי שסכום הכספים שהייתה מעבירה בשנים 2019 - 2021 היה צפוי להיות עשרות מיליוני ש"ח</w:t>
      </w:r>
      <w:r w:rsidRPr="0093709F">
        <w:rPr>
          <w:rFonts w:hint="cs"/>
          <w:rtl/>
        </w:rPr>
        <w:t>.</w:t>
      </w:r>
    </w:p>
    <w:p w:rsidR="008611D6" w:rsidP="00F37B40" w14:paraId="6937726D" w14:textId="1291089D">
      <w:pPr>
        <w:pStyle w:val="ListParagraph"/>
        <w:spacing w:after="240" w:line="288" w:lineRule="auto"/>
        <w:ind w:left="424" w:hanging="425"/>
        <w:rPr>
          <w:rFonts w:ascii="Tahoma" w:hAnsi="Tahoma" w:cs="Tahoma"/>
          <w:color w:val="0D0D0D" w:themeColor="text1" w:themeTint="F2"/>
          <w:sz w:val="18"/>
          <w:szCs w:val="18"/>
          <w:rtl/>
        </w:rPr>
      </w:pPr>
      <w:r w:rsidRPr="008611D6">
        <w:rPr>
          <w:rFonts w:hint="cs"/>
          <w:b/>
          <w:bCs/>
          <w:noProof/>
          <w:rtl/>
        </w:rPr>
        <w:drawing>
          <wp:anchor distT="0" distB="1080135" distL="114300" distR="114300" simplePos="0" relativeHeight="251700224"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1" name="תמונה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611D6">
        <w:rPr>
          <w:rFonts w:ascii="Tahoma" w:hAnsi="Tahoma" w:cs="Tahoma"/>
          <w:b/>
          <w:bCs/>
          <w:color w:val="0D0D0D" w:themeColor="text1" w:themeTint="F2"/>
          <w:sz w:val="18"/>
          <w:szCs w:val="18"/>
          <w:rtl/>
        </w:rPr>
        <w:t>שיעור התוספות לחוב על פי גובה החוב</w:t>
      </w:r>
      <w:r w:rsidRPr="005F4760">
        <w:rPr>
          <w:rFonts w:ascii="Tahoma" w:hAnsi="Tahoma" w:cs="Tahoma"/>
          <w:color w:val="0D0D0D" w:themeColor="text1" w:themeTint="F2"/>
          <w:sz w:val="18"/>
          <w:szCs w:val="18"/>
          <w:rtl/>
        </w:rPr>
        <w:t xml:space="preserve"> - שיעור סכומי ההצמדה, הריבית ותוספת הפיגורים בחובות של עד 1,000 ש"ח הוא כ-35% מסך החוב הכולל (סך של כ-486 מיליון </w:t>
      </w:r>
      <w:r w:rsidRPr="005F4760">
        <w:rPr>
          <w:rFonts w:ascii="Tahoma" w:hAnsi="Tahoma" w:cs="Tahoma"/>
          <w:color w:val="0D0D0D" w:themeColor="text1" w:themeTint="F2"/>
          <w:sz w:val="18"/>
          <w:szCs w:val="18"/>
          <w:rtl/>
        </w:rPr>
        <w:t>ש"ח שנוספו לקרן חוב בסך של כ-870 מיליון ש"ח), לעומת 17% בחובות שסכומם 100,000 ש"ח ומעלה (סך של כ-87 מיליון ש"ח שנוספו לקרן חוב בסך של כ-416 מיליון ש"ח)</w:t>
      </w:r>
      <w:r>
        <w:rPr>
          <w:rFonts w:ascii="Tahoma" w:hAnsi="Tahoma" w:cs="Tahoma"/>
          <w:color w:val="0D0D0D" w:themeColor="text1" w:themeTint="F2"/>
          <w:sz w:val="18"/>
          <w:szCs w:val="18"/>
          <w:vertAlign w:val="superscript"/>
          <w:rtl/>
        </w:rPr>
        <w:footnoteReference w:id="3"/>
      </w:r>
      <w:r w:rsidRPr="005F4760">
        <w:rPr>
          <w:rFonts w:ascii="Tahoma" w:hAnsi="Tahoma" w:cs="Tahoma"/>
          <w:color w:val="0D0D0D" w:themeColor="text1" w:themeTint="F2"/>
          <w:sz w:val="18"/>
          <w:szCs w:val="18"/>
          <w:rtl/>
        </w:rPr>
        <w:t>.</w:t>
      </w:r>
    </w:p>
    <w:p w:rsidR="008611D6" w:rsidRPr="005F4760" w:rsidP="008611D6" w14:paraId="29FEFEF4" w14:textId="77777777">
      <w:pPr>
        <w:pStyle w:val="73512"/>
        <w:rPr>
          <w:noProof/>
        </w:rPr>
      </w:pPr>
      <w:r>
        <w:rPr>
          <w:noProof/>
          <w:rtl/>
        </w:rPr>
        <w:t>הסדרי חוב - מחיקות, הפחתות ופריסות חוב</w:t>
      </w:r>
    </w:p>
    <w:p w:rsidR="008611D6" w:rsidRPr="0093709F" w:rsidP="008611D6" w14:paraId="76031EE8" w14:textId="368827D3">
      <w:pPr>
        <w:pStyle w:val="7392"/>
        <w:ind w:left="424"/>
        <w:rPr>
          <w:rtl/>
        </w:rPr>
      </w:pPr>
      <w:r w:rsidRPr="008611D6">
        <w:rPr>
          <w:rFonts w:hint="cs"/>
          <w:b/>
          <w:bCs/>
          <w:noProof/>
          <w:rtl/>
        </w:rPr>
        <w:drawing>
          <wp:anchor distT="0" distB="720090" distL="114300" distR="114300" simplePos="0" relativeHeight="251701248"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451066630" name="תמונה 145106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611D6">
        <w:rPr>
          <w:b/>
          <w:bCs/>
          <w:rtl/>
        </w:rPr>
        <w:t xml:space="preserve">החלטות ועדות </w:t>
      </w:r>
      <w:r w:rsidRPr="008611D6">
        <w:rPr>
          <w:b/>
          <w:bCs/>
          <w:rtl/>
        </w:rPr>
        <w:t>המג"ק</w:t>
      </w:r>
      <w:r w:rsidRPr="008611D6">
        <w:rPr>
          <w:b/>
          <w:bCs/>
          <w:rtl/>
        </w:rPr>
        <w:t xml:space="preserve"> בדבר מחיקת קרן החוב בחובות אזרחיים</w:t>
      </w:r>
      <w:r w:rsidRPr="005F4760">
        <w:rPr>
          <w:rtl/>
        </w:rPr>
        <w:t xml:space="preserve"> - לפני דיון בוועדות המחיקות </w:t>
      </w:r>
      <w:r w:rsidRPr="005F4760">
        <w:rPr>
          <w:rtl/>
        </w:rPr>
        <w:t>במג"ק</w:t>
      </w:r>
      <w:r w:rsidRPr="005F4760">
        <w:rPr>
          <w:rtl/>
        </w:rPr>
        <w:t xml:space="preserve">, </w:t>
      </w:r>
      <w:r w:rsidRPr="005F4760">
        <w:rPr>
          <w:rtl/>
        </w:rPr>
        <w:t>המג"ק</w:t>
      </w:r>
      <w:r w:rsidRPr="005F4760">
        <w:rPr>
          <w:rtl/>
        </w:rPr>
        <w:t xml:space="preserve"> אינו אוסף נתונים בדבר היכולת לגבות את החוב. משום כך אין בפני ועדות </w:t>
      </w:r>
      <w:r w:rsidRPr="005F4760">
        <w:rPr>
          <w:rtl/>
        </w:rPr>
        <w:t>המג"ק</w:t>
      </w:r>
      <w:r w:rsidRPr="005F4760">
        <w:rPr>
          <w:rtl/>
        </w:rPr>
        <w:t xml:space="preserve"> המחליטות בדבר מחיקת חובות מידע המאפשר להן לבחון אם נעשו ניסיונות מספקים לגבות את החוב ובכלל זה לבחון את יכולת המימוש של בטוחות ושעבודים</w:t>
      </w:r>
      <w:r>
        <w:rPr>
          <w:rFonts w:hint="cs"/>
          <w:rtl/>
        </w:rPr>
        <w:t>.</w:t>
      </w:r>
    </w:p>
    <w:p w:rsidR="008611D6" w:rsidRPr="0093709F" w:rsidP="008611D6" w14:paraId="70C5A9BB" w14:textId="3068388D">
      <w:pPr>
        <w:pStyle w:val="7392"/>
        <w:ind w:left="424"/>
      </w:pPr>
      <w:r w:rsidRPr="008611D6">
        <w:rPr>
          <w:rFonts w:hint="cs"/>
          <w:b/>
          <w:bCs/>
          <w:noProof/>
          <w:rtl/>
        </w:rPr>
        <w:drawing>
          <wp:anchor distT="0" distB="720090" distL="114300" distR="114300" simplePos="0" relativeHeight="251702272"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451066631" name="תמונה 145106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611D6">
        <w:rPr>
          <w:b/>
          <w:bCs/>
          <w:rtl/>
        </w:rPr>
        <w:t xml:space="preserve">אמות המידה למחיקת חוב ולהפחתת תוספת פיגורים על ידי </w:t>
      </w:r>
      <w:r w:rsidRPr="008611D6">
        <w:rPr>
          <w:b/>
          <w:bCs/>
          <w:rtl/>
        </w:rPr>
        <w:t>המג"ק</w:t>
      </w:r>
      <w:r w:rsidRPr="005F4760">
        <w:rPr>
          <w:rtl/>
        </w:rPr>
        <w:t xml:space="preserve"> - נמצא כי חלק מהקריטריונים שהוגדרו בנוהל </w:t>
      </w:r>
      <w:r w:rsidRPr="005F4760">
        <w:rPr>
          <w:rtl/>
        </w:rPr>
        <w:t>המג"ק</w:t>
      </w:r>
      <w:r w:rsidRPr="005F4760">
        <w:rPr>
          <w:rtl/>
        </w:rPr>
        <w:t xml:space="preserve"> לבחינת בקשה למחיקת חוב ולהפחתת תוספת פיגורים אינם מעידים באופן המיטבי על יכולתו הכלכלית של החייב לפרוע את חובו, שכן הם מקנים לחייב ניקוד גם אם יכולתו הכלכלית של החייב אינה עומדת בתבחין הכנסה נמוכה. לדוגמה: בין הנימוקים הכלכליים הקבועים בנוהל נכללים נימוקים כגון "ארבעה ילדים ומעלה עד גיל 21" ו"תושב שטחים", זאת ללא תלות במבחן הכנסה</w:t>
      </w:r>
      <w:r w:rsidRPr="0093709F">
        <w:rPr>
          <w:rFonts w:hint="cs"/>
          <w:rtl/>
        </w:rPr>
        <w:t xml:space="preserve">. </w:t>
      </w:r>
    </w:p>
    <w:p w:rsidR="008611D6" w:rsidRPr="0093709F" w:rsidP="008611D6" w14:paraId="6A0D6A16" w14:textId="78129C50">
      <w:pPr>
        <w:pStyle w:val="7392"/>
        <w:ind w:left="424"/>
        <w:rPr>
          <w:rtl/>
        </w:rPr>
      </w:pPr>
      <w:r w:rsidRPr="008611D6">
        <w:rPr>
          <w:rFonts w:hint="cs"/>
          <w:b/>
          <w:bCs/>
          <w:noProof/>
          <w:rtl/>
        </w:rPr>
        <w:drawing>
          <wp:anchor distT="0" distB="720090" distL="114300" distR="114300" simplePos="0" relativeHeight="251703296"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451066632" name="תמונה 145106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2"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611D6">
        <w:rPr>
          <w:b/>
          <w:bCs/>
          <w:rtl/>
        </w:rPr>
        <w:t>העברת חובות פליליים ואזרחיים שהתיישנו או שחל בהם שיהוי למחיקה בוועדת המחיקות במשרד האוצר</w:t>
      </w:r>
      <w:r w:rsidRPr="005F4760">
        <w:rPr>
          <w:rtl/>
        </w:rPr>
        <w:t xml:space="preserve"> - בינואר 2022 מחקה הוועדה העליונה לפשרות, מחיקות והסדרים במשרד האוצר, בהמלצת </w:t>
      </w:r>
      <w:r w:rsidRPr="005F4760">
        <w:rPr>
          <w:rtl/>
        </w:rPr>
        <w:t>המג"ק</w:t>
      </w:r>
      <w:r w:rsidRPr="005F4760">
        <w:rPr>
          <w:rtl/>
        </w:rPr>
        <w:t>, חובות בסך של כ-102.5 מיליון ש"ח, בגין התיישנות החובות ובשל חוסר הצלחה בביצוע מסירה כדין לחייבים</w:t>
      </w:r>
      <w:r w:rsidRPr="0093709F">
        <w:rPr>
          <w:rFonts w:hint="cs"/>
          <w:rtl/>
        </w:rPr>
        <w:t>.</w:t>
      </w:r>
    </w:p>
    <w:p w:rsidR="008611D6" w:rsidRPr="0093709F" w:rsidP="008611D6" w14:paraId="1FABB146" w14:textId="7C224C71">
      <w:pPr>
        <w:pStyle w:val="7392"/>
        <w:ind w:left="424"/>
      </w:pPr>
      <w:r w:rsidRPr="008611D6">
        <w:rPr>
          <w:rFonts w:hint="cs"/>
          <w:b/>
          <w:bCs/>
          <w:noProof/>
          <w:rtl/>
        </w:rPr>
        <w:drawing>
          <wp:anchor distT="0" distB="720090" distL="114300" distR="114300" simplePos="0" relativeHeight="251704320"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451066633" name="תמונה 145106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611D6">
        <w:rPr>
          <w:b/>
          <w:bCs/>
          <w:rtl/>
        </w:rPr>
        <w:t>שימוש במידע מגופים ציבוריים לצורך הכרעה בבקשות להפחתת תוספת פיגורים</w:t>
      </w:r>
      <w:r w:rsidRPr="005F4760">
        <w:rPr>
          <w:rtl/>
        </w:rPr>
        <w:t xml:space="preserve"> - ההחלטה בדבר הפחתת תוספת פיגורים מתקבלת </w:t>
      </w:r>
      <w:r w:rsidRPr="005F4760">
        <w:rPr>
          <w:rtl/>
        </w:rPr>
        <w:t>במג"ק</w:t>
      </w:r>
      <w:r w:rsidRPr="005F4760">
        <w:rPr>
          <w:rtl/>
        </w:rPr>
        <w:t xml:space="preserve"> אך ורק בהתבסס על הנתונים שצירף החייב לבקשתו, ללא בדיקה במאגרי מידע לאימות הנטען בבקשה, ואף </w:t>
      </w:r>
      <w:r w:rsidRPr="005F4760">
        <w:rPr>
          <w:rtl/>
        </w:rPr>
        <w:t>שלמג"ק</w:t>
      </w:r>
      <w:r w:rsidRPr="005F4760">
        <w:rPr>
          <w:rtl/>
        </w:rPr>
        <w:t xml:space="preserve"> יש ממשק ממוחשב זמין עם מאגרים אלה</w:t>
      </w:r>
      <w:r w:rsidRPr="0093709F">
        <w:rPr>
          <w:rFonts w:hint="cs"/>
          <w:rtl/>
        </w:rPr>
        <w:t xml:space="preserve">. </w:t>
      </w:r>
    </w:p>
    <w:p w:rsidR="008611D6" w:rsidP="008611D6" w14:paraId="4206524B" w14:textId="77777777">
      <w:pPr>
        <w:pStyle w:val="7392"/>
        <w:ind w:left="424"/>
        <w:rPr>
          <w:rtl/>
        </w:rPr>
      </w:pPr>
      <w:r w:rsidRPr="008611D6">
        <w:rPr>
          <w:rFonts w:hint="cs"/>
          <w:b/>
          <w:bCs/>
          <w:noProof/>
          <w:rtl/>
        </w:rPr>
        <w:drawing>
          <wp:anchor distT="0" distB="720090" distL="114300" distR="114300" simplePos="0" relativeHeight="251705344"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451066634" name="תמונה 1451066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611D6">
        <w:rPr>
          <w:b/>
          <w:bCs/>
          <w:rtl/>
        </w:rPr>
        <w:t xml:space="preserve">פרסום האפשרות לעריכת הסדר חוב </w:t>
      </w:r>
      <w:r w:rsidRPr="008611D6">
        <w:rPr>
          <w:b/>
          <w:bCs/>
          <w:rtl/>
        </w:rPr>
        <w:t>במג"ק</w:t>
      </w:r>
      <w:r w:rsidRPr="005F4760">
        <w:rPr>
          <w:rtl/>
        </w:rPr>
        <w:t xml:space="preserve"> - הקריטריונים שלפיהם </w:t>
      </w:r>
      <w:r w:rsidRPr="005F4760">
        <w:rPr>
          <w:rtl/>
        </w:rPr>
        <w:t>המג"ק</w:t>
      </w:r>
      <w:r w:rsidRPr="005F4760">
        <w:rPr>
          <w:rtl/>
        </w:rPr>
        <w:t xml:space="preserve"> דן בפועל בבקשות להפחתת תוספת הפיגורים הנסמכות על נסיבות מיוחדות לא פורסמו לציבור ואינם מובאים לידיעת המעוניינים להגיש בקשה. זאת אף שהם בבחינת הנחיות </w:t>
      </w:r>
      <w:r w:rsidRPr="005F4760">
        <w:rPr>
          <w:rtl/>
        </w:rPr>
        <w:t>מינהליות</w:t>
      </w:r>
      <w:r w:rsidRPr="005F4760">
        <w:rPr>
          <w:rtl/>
        </w:rPr>
        <w:t xml:space="preserve">. מנהל </w:t>
      </w:r>
      <w:r w:rsidRPr="005F4760">
        <w:rPr>
          <w:rtl/>
        </w:rPr>
        <w:t>המג"ק</w:t>
      </w:r>
      <w:r w:rsidRPr="005F4760">
        <w:rPr>
          <w:rtl/>
        </w:rPr>
        <w:t xml:space="preserve"> גם לא פרסם לציבור את ההנחיות בדבר אפשרויות פריסות החוב כפי שהן מבוצעות בפועל </w:t>
      </w:r>
      <w:r w:rsidRPr="005F4760">
        <w:rPr>
          <w:rtl/>
        </w:rPr>
        <w:t>במג"ק</w:t>
      </w:r>
      <w:r w:rsidRPr="0093709F">
        <w:rPr>
          <w:rFonts w:hint="cs"/>
          <w:rtl/>
        </w:rPr>
        <w:t>.</w:t>
      </w:r>
    </w:p>
    <w:p w:rsidR="008611D6" w:rsidRPr="005F4760" w:rsidP="008611D6" w14:paraId="5935F76F" w14:textId="77777777">
      <w:pPr>
        <w:pStyle w:val="73512"/>
        <w:rPr>
          <w:noProof/>
        </w:rPr>
      </w:pPr>
      <w:r>
        <w:rPr>
          <w:noProof/>
          <w:rtl/>
        </w:rPr>
        <w:t>גביית פיצויים לנפגעי עבירה</w:t>
      </w:r>
    </w:p>
    <w:p w:rsidR="008611D6" w:rsidRPr="0093709F" w:rsidP="008611D6" w14:paraId="35E318DB" w14:textId="0C33603F">
      <w:pPr>
        <w:pStyle w:val="7392"/>
        <w:ind w:left="424"/>
        <w:rPr>
          <w:rtl/>
        </w:rPr>
      </w:pPr>
      <w:r w:rsidRPr="00C94703">
        <w:rPr>
          <w:rFonts w:hint="cs"/>
          <w:b/>
          <w:bCs/>
          <w:noProof/>
          <w:rtl/>
        </w:rPr>
        <w:drawing>
          <wp:anchor distT="0" distB="720090" distL="114300" distR="114300" simplePos="0" relativeHeight="251706368"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451066635" name="תמונה 145106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94703">
        <w:rPr>
          <w:b/>
          <w:bCs/>
          <w:rtl/>
        </w:rPr>
        <w:t>שיעור גביית פיצויים לנפגעי עבירה</w:t>
      </w:r>
      <w:r w:rsidRPr="005F4760">
        <w:rPr>
          <w:rtl/>
        </w:rPr>
        <w:t xml:space="preserve"> - בשנים 2017 - 2021 הסתכם שיעור הגבייה השנתי בתיקי פיצויים לנפגעי עבירה ב-22% בממוצע (נגבו כ-84 מיליון ש"ח מתוך 382 מיליון ש"ח), זאת שעה ששיעור גביית החובות לאוצר המדינה בשנים אלו הסתכם ב-49% </w:t>
      </w:r>
      <w:r w:rsidRPr="005F4760">
        <w:rPr>
          <w:rtl/>
        </w:rPr>
        <w:t xml:space="preserve">בממוצע (נגבו כ-2.24 מיליארד ש"ח מתוך כ-4.57 מיליארד ש"ח). דהיינו, שיעור הגבייה בתיקי פיצויים הוא פחות ממחצית משיעור הגבייה של יתר החובות </w:t>
      </w:r>
      <w:r w:rsidRPr="005F4760">
        <w:rPr>
          <w:rtl/>
        </w:rPr>
        <w:t>במג"ק</w:t>
      </w:r>
      <w:r w:rsidR="00F37B40">
        <w:rPr>
          <w:rFonts w:hint="cs"/>
          <w:rtl/>
        </w:rPr>
        <w:t>.</w:t>
      </w:r>
    </w:p>
    <w:p w:rsidR="008611D6" w:rsidRPr="0093709F" w:rsidP="008611D6" w14:paraId="643D4F9D" w14:textId="46878D43">
      <w:pPr>
        <w:pStyle w:val="7392"/>
        <w:ind w:left="424"/>
      </w:pPr>
      <w:r w:rsidRPr="00C94703">
        <w:rPr>
          <w:rFonts w:hint="cs"/>
          <w:b/>
          <w:bCs/>
          <w:noProof/>
          <w:rtl/>
        </w:rPr>
        <w:drawing>
          <wp:anchor distT="0" distB="720090" distL="114300" distR="114300" simplePos="0" relativeHeight="251707392"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451066636" name="תמונה 145106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6"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94703">
        <w:rPr>
          <w:b/>
          <w:bCs/>
          <w:rtl/>
        </w:rPr>
        <w:t>תפיסת נכסים של חייבים קודם למשלוח דרישות תשלום</w:t>
      </w:r>
      <w:r w:rsidRPr="005F4760">
        <w:rPr>
          <w:rtl/>
        </w:rPr>
        <w:t xml:space="preserve"> - לא קיימים </w:t>
      </w:r>
      <w:r w:rsidRPr="005F4760">
        <w:rPr>
          <w:rtl/>
        </w:rPr>
        <w:t>במג"ק</w:t>
      </w:r>
      <w:r w:rsidRPr="005F4760">
        <w:rPr>
          <w:rtl/>
        </w:rPr>
        <w:t xml:space="preserve"> קווים מנחים לאיתור מראש של מקרים שבהם קיים חשש להברחת נכסים על ידי החייב. כמו כן, הפנייה לרשם לענייני </w:t>
      </w:r>
      <w:r w:rsidRPr="005F4760">
        <w:rPr>
          <w:rtl/>
        </w:rPr>
        <w:t>המג"ק</w:t>
      </w:r>
      <w:r w:rsidRPr="005F4760">
        <w:rPr>
          <w:rtl/>
        </w:rPr>
        <w:t xml:space="preserve"> בבקשה לתפיסת נכסים בשלב מוקדם של פתיחת התיק </w:t>
      </w:r>
      <w:r w:rsidRPr="005F4760">
        <w:rPr>
          <w:rtl/>
        </w:rPr>
        <w:t>במג"ק</w:t>
      </w:r>
      <w:r w:rsidRPr="005F4760">
        <w:rPr>
          <w:rtl/>
        </w:rPr>
        <w:t xml:space="preserve"> נעשית באופן נקודתי, וזאת רק אם מתקבל ממשטרת ישראל או מגורמי אכיפה אחרים מידע ולפיו נתפסו כספים וקיים חשש שאם יושבו לחייב הוא יבריח אותם</w:t>
      </w:r>
      <w:r w:rsidRPr="0093709F">
        <w:rPr>
          <w:rFonts w:hint="cs"/>
          <w:rtl/>
        </w:rPr>
        <w:t xml:space="preserve">. </w:t>
      </w:r>
    </w:p>
    <w:p w:rsidR="008611D6" w:rsidP="008611D6" w14:paraId="1F2433DF" w14:textId="4B996012">
      <w:pPr>
        <w:pStyle w:val="7392"/>
        <w:ind w:left="424"/>
        <w:rPr>
          <w:rtl/>
        </w:rPr>
      </w:pPr>
      <w:r w:rsidRPr="00C94703">
        <w:rPr>
          <w:rFonts w:hint="cs"/>
          <w:b/>
          <w:bCs/>
          <w:noProof/>
          <w:rtl/>
        </w:rPr>
        <w:drawing>
          <wp:anchor distT="0" distB="720090" distL="114300" distR="114300" simplePos="0" relativeHeight="251708416"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451066637" name="תמונה 145106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94703">
        <w:rPr>
          <w:b/>
          <w:bCs/>
          <w:rtl/>
        </w:rPr>
        <w:t>נקיטת הליך גבייה ראשון בתיקי פיצויים לנפגעי עבירה</w:t>
      </w:r>
      <w:r w:rsidRPr="005F4760">
        <w:rPr>
          <w:rtl/>
        </w:rPr>
        <w:t xml:space="preserve"> - ב-2,818 תיקי פיצויים לנפגעי עבירה שנפתחו </w:t>
      </w:r>
      <w:r w:rsidRPr="005F4760">
        <w:rPr>
          <w:rtl/>
        </w:rPr>
        <w:t>במג"ק</w:t>
      </w:r>
      <w:r w:rsidRPr="005F4760">
        <w:rPr>
          <w:rtl/>
        </w:rPr>
        <w:t xml:space="preserve"> בשנים 2017 - 2021 (31%) לא בוצעו הליכי גבייה עד ספטמבר 2022 (מועד סיום הביקורת). בתיקים בהם בוצעו הליכי גבייה, התבצע הליך הגבייה הראשון לאחר 368 ימים בממוצע ממועד פתיחת התיק </w:t>
      </w:r>
      <w:r w:rsidRPr="005F4760">
        <w:rPr>
          <w:rtl/>
        </w:rPr>
        <w:t>במג"ק</w:t>
      </w:r>
      <w:r w:rsidRPr="005F4760">
        <w:rPr>
          <w:rtl/>
        </w:rPr>
        <w:t xml:space="preserve"> (251 ימים למסירה כדין ו-117 ימים נוספים לביצוע הליך גבייה ראשון), ולא בהתאם לכלל </w:t>
      </w:r>
      <w:r w:rsidRPr="005F4760">
        <w:rPr>
          <w:rtl/>
        </w:rPr>
        <w:t>במג"ק</w:t>
      </w:r>
      <w:r w:rsidRPr="005F4760">
        <w:rPr>
          <w:rtl/>
        </w:rPr>
        <w:t xml:space="preserve"> המחייב ביצוע הליכי גבייה בתוך 30 ימים ממועד המסירה כדין של דרישת התשלום השנייה</w:t>
      </w:r>
      <w:r w:rsidRPr="0093709F">
        <w:rPr>
          <w:rFonts w:hint="cs"/>
          <w:rtl/>
        </w:rPr>
        <w:t>.</w:t>
      </w:r>
    </w:p>
    <w:p w:rsidR="008611D6" w:rsidRPr="008611D6" w:rsidP="008611D6" w14:paraId="76E98A7E" w14:textId="77777777">
      <w:pPr>
        <w:pStyle w:val="7339"/>
        <w:ind w:left="397"/>
        <w:rPr>
          <w:rtl/>
        </w:rPr>
      </w:pPr>
      <w:r w:rsidRPr="008611D6">
        <w:rPr>
          <w:rtl/>
        </w:rPr>
        <w:t>דוגמאות לתיקים שהליכי הגבייה בהם התעכבו שנים:</w:t>
      </w:r>
    </w:p>
    <w:p w:rsidR="008611D6" w:rsidRPr="005F4760" w14:paraId="7872F789" w14:textId="77777777">
      <w:pPr>
        <w:pStyle w:val="ListParagraph"/>
        <w:numPr>
          <w:ilvl w:val="0"/>
          <w:numId w:val="10"/>
        </w:numPr>
        <w:spacing w:after="60"/>
        <w:contextualSpacing w:val="0"/>
        <w:rPr>
          <w:rFonts w:ascii="Tahoma" w:hAnsi="Tahoma" w:cs="Tahoma"/>
          <w:color w:val="0D0D0D" w:themeColor="text1" w:themeTint="F2"/>
          <w:sz w:val="18"/>
          <w:szCs w:val="18"/>
          <w:rtl/>
        </w:rPr>
      </w:pPr>
      <w:r w:rsidRPr="005F4760">
        <w:rPr>
          <w:rFonts w:ascii="Tahoma" w:hAnsi="Tahoma" w:cs="Tahoma"/>
          <w:color w:val="0D0D0D" w:themeColor="text1" w:themeTint="F2"/>
          <w:sz w:val="18"/>
          <w:szCs w:val="18"/>
          <w:rtl/>
        </w:rPr>
        <w:t xml:space="preserve">בתיק פיצויים נפסקו פיצויים לקטינה בסך של 200,000 ש"ח בגין עבירות מין מרובות שביצע בה אביה: גזר הדין באותו עניין ניתן בינואר 2019 ובמסגרתו הוראה לתשלום הפיצויים עד מרץ 2019. תיק הפיצויים התקבל </w:t>
      </w:r>
      <w:r w:rsidRPr="005F4760">
        <w:rPr>
          <w:rFonts w:ascii="Tahoma" w:hAnsi="Tahoma" w:cs="Tahoma"/>
          <w:color w:val="0D0D0D" w:themeColor="text1" w:themeTint="F2"/>
          <w:sz w:val="18"/>
          <w:szCs w:val="18"/>
          <w:rtl/>
        </w:rPr>
        <w:t>במג"ק</w:t>
      </w:r>
      <w:r w:rsidRPr="005F4760">
        <w:rPr>
          <w:rFonts w:ascii="Tahoma" w:hAnsi="Tahoma" w:cs="Tahoma"/>
          <w:color w:val="0D0D0D" w:themeColor="text1" w:themeTint="F2"/>
          <w:sz w:val="18"/>
          <w:szCs w:val="18"/>
          <w:rtl/>
        </w:rPr>
        <w:t xml:space="preserve"> כבר למוחרת גזר הדין, ברם פעולת הגבייה הראשונה בתיק בוצעה רק שנה ושמונה חודשים לאחר חלוף המועד הקובע לתשלום. עד מועד עריכת הביקורת נגבו בתיק 5,435 ש"ח בלבד. </w:t>
      </w:r>
    </w:p>
    <w:p w:rsidR="008611D6" w:rsidRPr="005F4760" w14:paraId="6D8F3508" w14:textId="77777777">
      <w:pPr>
        <w:pStyle w:val="ListParagraph"/>
        <w:numPr>
          <w:ilvl w:val="0"/>
          <w:numId w:val="10"/>
        </w:numPr>
        <w:spacing w:after="180"/>
        <w:rPr>
          <w:rFonts w:ascii="Tahoma" w:hAnsi="Tahoma" w:cs="Tahoma"/>
          <w:color w:val="0D0D0D" w:themeColor="text1" w:themeTint="F2"/>
          <w:sz w:val="18"/>
          <w:szCs w:val="18"/>
        </w:rPr>
      </w:pPr>
      <w:r w:rsidRPr="005F4760">
        <w:rPr>
          <w:rFonts w:ascii="Tahoma" w:hAnsi="Tahoma" w:cs="Tahoma"/>
          <w:color w:val="0D0D0D" w:themeColor="text1" w:themeTint="F2"/>
          <w:sz w:val="18"/>
          <w:szCs w:val="18"/>
          <w:rtl/>
        </w:rPr>
        <w:t xml:space="preserve">בתיק שבו נפסקו לארבעה ילדים, אחד מהם קטין, פיצויים בסך של 258,000 ש"ח, בגין רצח אימם על ידי אביהם ניתן גזר הדין בדצמבר 2018 ונכללה בו הוראה לתשלום החוב עד מרץ 2019. תיק הפיצויים התקבל </w:t>
      </w:r>
      <w:r w:rsidRPr="005F4760">
        <w:rPr>
          <w:rFonts w:ascii="Tahoma" w:hAnsi="Tahoma" w:cs="Tahoma"/>
          <w:color w:val="0D0D0D" w:themeColor="text1" w:themeTint="F2"/>
          <w:sz w:val="18"/>
          <w:szCs w:val="18"/>
          <w:rtl/>
        </w:rPr>
        <w:t>במג"ק</w:t>
      </w:r>
      <w:r w:rsidRPr="005F4760">
        <w:rPr>
          <w:rFonts w:ascii="Tahoma" w:hAnsi="Tahoma" w:cs="Tahoma"/>
          <w:color w:val="0D0D0D" w:themeColor="text1" w:themeTint="F2"/>
          <w:sz w:val="18"/>
          <w:szCs w:val="18"/>
          <w:rtl/>
        </w:rPr>
        <w:t xml:space="preserve"> בינואר 2019. פעולת הגבייה הראשונה בתיק בוצעה יותר משנה וחודשיים לאחר חלוף המועד הקובע לתשלום. עד מועד הביקורת נגבו בתיק 3,846 ש"ח בלבד. </w:t>
      </w:r>
    </w:p>
    <w:p w:rsidR="008611D6" w:rsidRPr="0093709F" w:rsidP="008611D6" w14:paraId="4AE6B2D3" w14:textId="0926C337">
      <w:pPr>
        <w:pStyle w:val="7392"/>
        <w:ind w:left="424"/>
      </w:pPr>
      <w:r w:rsidRPr="00C94703">
        <w:rPr>
          <w:rFonts w:hint="cs"/>
          <w:b/>
          <w:bCs/>
          <w:noProof/>
          <w:rtl/>
        </w:rPr>
        <w:drawing>
          <wp:anchor distT="0" distB="720090" distL="114300" distR="114300" simplePos="0" relativeHeight="251709440"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451066638" name="תמונה 1451066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94703" w:rsidR="00C94703">
        <w:rPr>
          <w:b/>
          <w:bCs/>
          <w:rtl/>
        </w:rPr>
        <w:t xml:space="preserve">יישום הוראת </w:t>
      </w:r>
      <w:r w:rsidRPr="00C94703" w:rsidR="00C94703">
        <w:rPr>
          <w:rFonts w:hint="cs"/>
          <w:b/>
          <w:bCs/>
          <w:rtl/>
        </w:rPr>
        <w:t>ה</w:t>
      </w:r>
      <w:r w:rsidRPr="00C94703" w:rsidR="00C94703">
        <w:rPr>
          <w:b/>
          <w:bCs/>
          <w:rtl/>
        </w:rPr>
        <w:t>דין בדבר סדר זקיפת תשלום פיצויים (דין קדימה)</w:t>
      </w:r>
      <w:r w:rsidRPr="00B17481" w:rsidR="00C94703">
        <w:rPr>
          <w:rtl/>
        </w:rPr>
        <w:t xml:space="preserve"> - בחודשים נובמבר 2020 - דצמבר 2021 התקבלו </w:t>
      </w:r>
      <w:r w:rsidRPr="00B17481" w:rsidR="00C94703">
        <w:rPr>
          <w:rtl/>
        </w:rPr>
        <w:t>במג"ק</w:t>
      </w:r>
      <w:r w:rsidRPr="00B17481" w:rsidR="00C94703">
        <w:rPr>
          <w:rtl/>
        </w:rPr>
        <w:t xml:space="preserve"> תשלומים בסך כ-2,294 מיליון ש"ח של חייבים שיש להם גם תיק פעיל בגין פיצויים לנפגעי עבירה. מתוכם - 896,969 ש"ח </w:t>
      </w:r>
      <w:r w:rsidR="007E2211">
        <w:rPr>
          <w:rtl/>
        </w:rPr>
        <w:br/>
      </w:r>
      <w:r w:rsidRPr="00B17481" w:rsidR="00C94703">
        <w:rPr>
          <w:rtl/>
        </w:rPr>
        <w:t>(כ-39%) לא הועברו על פי דין הקדימה לנפגעי העבירה בתיק הפיצויים, אלא נותבו לטובת חובות לאוצר המדינה</w:t>
      </w:r>
      <w:r w:rsidRPr="0093709F">
        <w:rPr>
          <w:rFonts w:hint="cs"/>
          <w:rtl/>
        </w:rPr>
        <w:t xml:space="preserve">. </w:t>
      </w:r>
    </w:p>
    <w:p w:rsidR="008611D6" w:rsidP="00DA022A" w14:paraId="487E51A8" w14:textId="07C12B6D">
      <w:pPr>
        <w:pStyle w:val="7392"/>
        <w:ind w:left="424"/>
        <w:rPr>
          <w:noProof/>
          <w:rtl/>
        </w:rPr>
      </w:pPr>
      <w:r w:rsidRPr="00B4206F">
        <w:rPr>
          <w:rStyle w:val="7371"/>
          <w:rFonts w:hint="cs"/>
          <w:noProof/>
          <w:rtl/>
        </w:rPr>
        <w:drawing>
          <wp:anchor distT="0" distB="0" distL="114300" distR="114300" simplePos="0" relativeHeight="251683840" behindDoc="0" locked="0" layoutInCell="1" allowOverlap="1">
            <wp:simplePos x="0" y="0"/>
            <wp:positionH relativeFrom="column">
              <wp:posOffset>2417082</wp:posOffset>
            </wp:positionH>
            <wp:positionV relativeFrom="paragraph">
              <wp:posOffset>177165</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p>
    <w:p w:rsidR="00C94703" w:rsidRPr="00B17481" w:rsidP="00C94703" w14:paraId="10EF77E0" w14:textId="77777777">
      <w:pPr>
        <w:pStyle w:val="7317"/>
        <w:spacing w:before="360"/>
      </w:pPr>
      <w:r w:rsidRPr="00B17481">
        <w:rPr>
          <w:b/>
          <w:bCs/>
          <w:rtl/>
        </w:rPr>
        <w:t>תיקי טרום-חוב</w:t>
      </w:r>
      <w:r w:rsidRPr="00B17481">
        <w:rPr>
          <w:rtl/>
        </w:rPr>
        <w:t xml:space="preserve"> - משנת 2016 ועד ינואר 2023 התקבלו </w:t>
      </w:r>
      <w:r w:rsidRPr="00B17481">
        <w:rPr>
          <w:rtl/>
        </w:rPr>
        <w:t>במג"ק</w:t>
      </w:r>
      <w:r w:rsidRPr="00B17481">
        <w:rPr>
          <w:rtl/>
        </w:rPr>
        <w:t xml:space="preserve"> כ-6.9 מיליון תיקי טרום-חוב, בהיקף חוב של כ-4.2 מיליארד ש"ח. </w:t>
      </w:r>
      <w:r w:rsidRPr="00B17481">
        <w:rPr>
          <w:rtl/>
        </w:rPr>
        <w:t>המג"ק</w:t>
      </w:r>
      <w:r w:rsidRPr="00B17481">
        <w:rPr>
          <w:rtl/>
        </w:rPr>
        <w:t xml:space="preserve"> מעדכן את החייבים באמצעות משלוח מסרונים בדבר תיקי טרום-חוב שהתקבלו, אף שאינו מחויב לכך על פי דין, כדי לייעל את ההליך ולקצרו ולחסוך מהחייבים את הוצאות הגבייה.</w:t>
      </w:r>
    </w:p>
    <w:p w:rsidR="00C94703" w:rsidRPr="00B17481" w:rsidP="00C94703" w14:paraId="4DD6931B" w14:textId="77777777">
      <w:pPr>
        <w:pStyle w:val="7317"/>
        <w:rPr>
          <w:rtl/>
        </w:rPr>
      </w:pPr>
      <w:r w:rsidRPr="00B17481">
        <w:rPr>
          <w:b/>
          <w:bCs/>
          <w:rtl/>
        </w:rPr>
        <w:t>עיקולים ממוחשבים</w:t>
      </w:r>
      <w:r w:rsidRPr="00B17481">
        <w:rPr>
          <w:rtl/>
        </w:rPr>
        <w:t xml:space="preserve"> - קיימת עלייה עקבית בשימוש </w:t>
      </w:r>
      <w:r w:rsidRPr="00B17481">
        <w:rPr>
          <w:rtl/>
        </w:rPr>
        <w:t>המג"ק</w:t>
      </w:r>
      <w:r w:rsidRPr="00B17481">
        <w:rPr>
          <w:rtl/>
        </w:rPr>
        <w:t xml:space="preserve"> בממשקים מקוונים לצורך הייעול והמיצוי של פעולות הגבייה במשרדים ממשלתיים - יותר מפי ארבעה בתוך חמש שנים (מ-</w:t>
      </w:r>
      <w:r w:rsidRPr="00B17481">
        <w:rPr>
          <w:rFonts w:hint="cs"/>
          <w:rtl/>
        </w:rPr>
        <w:t>296,048</w:t>
      </w:r>
      <w:r w:rsidRPr="00B17481">
        <w:rPr>
          <w:rtl/>
        </w:rPr>
        <w:t xml:space="preserve"> צווי עיקול ממוחשבים שהוטלו בשנת 2017, </w:t>
      </w:r>
      <w:r w:rsidRPr="00B17481">
        <w:rPr>
          <w:rFonts w:hint="cs"/>
          <w:rtl/>
        </w:rPr>
        <w:t>ל-1,230,686 צווי עיקול ממוחשבים ש</w:t>
      </w:r>
      <w:r w:rsidRPr="00B17481">
        <w:rPr>
          <w:rtl/>
        </w:rPr>
        <w:t xml:space="preserve">הוטלו בשנת 2021). </w:t>
      </w:r>
    </w:p>
    <w:p w:rsidR="00420374" w:rsidRPr="00C94703" w:rsidP="00C94703" w14:paraId="4A9F3764" w14:textId="3BD65EA2">
      <w:pPr>
        <w:pStyle w:val="7317"/>
        <w:rPr>
          <w:rtl/>
        </w:rPr>
      </w:pPr>
      <w:r w:rsidRPr="00B17481">
        <w:rPr>
          <w:b/>
          <w:bCs/>
          <w:rtl/>
        </w:rPr>
        <w:t xml:space="preserve">ממשקים ממוחשבים להעברת תיקים </w:t>
      </w:r>
      <w:r w:rsidRPr="00B17481">
        <w:rPr>
          <w:b/>
          <w:bCs/>
          <w:rtl/>
        </w:rPr>
        <w:t>למג"ק</w:t>
      </w:r>
      <w:r w:rsidRPr="00B17481">
        <w:rPr>
          <w:rtl/>
        </w:rPr>
        <w:t xml:space="preserve"> - הממשק הממוחשב שפותח בין </w:t>
      </w:r>
      <w:r w:rsidRPr="00B17481">
        <w:rPr>
          <w:rtl/>
        </w:rPr>
        <w:t>המג"ק</w:t>
      </w:r>
      <w:r w:rsidRPr="00B17481">
        <w:rPr>
          <w:rtl/>
        </w:rPr>
        <w:t xml:space="preserve"> לגופים מטילי החיוב ובהם </w:t>
      </w:r>
      <w:r w:rsidRPr="00B17481">
        <w:rPr>
          <w:rtl/>
        </w:rPr>
        <w:t>הב"ה</w:t>
      </w:r>
      <w:r w:rsidRPr="00B17481">
        <w:rPr>
          <w:rtl/>
        </w:rPr>
        <w:t xml:space="preserve"> מזהה שגיאות בפתיחת התיק </w:t>
      </w:r>
      <w:r w:rsidRPr="00B17481">
        <w:rPr>
          <w:rtl/>
        </w:rPr>
        <w:t>במג"ק</w:t>
      </w:r>
      <w:r w:rsidRPr="00B17481">
        <w:rPr>
          <w:rtl/>
        </w:rPr>
        <w:t>, מתריע לפני מטיל החיוב על השגיאה ובכך מאפשר למטיל החיוב לפעול לתיקונה ללא שהות</w:t>
      </w:r>
      <w:r w:rsidRPr="00C94703">
        <w:rPr>
          <w:rFonts w:hint="cs"/>
          <w:rtl/>
        </w:rPr>
        <w:t>.</w:t>
      </w:r>
    </w:p>
    <w:p w:rsidR="002753C7" w:rsidP="002753C7" w14:paraId="7C748CCB" w14:textId="70256836">
      <w:pPr>
        <w:pStyle w:val="7327"/>
        <w:spacing w:before="480"/>
        <w:rPr>
          <w:rtl/>
        </w:rPr>
      </w:pPr>
      <w:r w:rsidRPr="00662020">
        <w:rPr>
          <w:rFonts w:hint="cs"/>
          <w:rtl/>
        </w:rPr>
        <w:t>עיקרי המלצות הביקורת</w:t>
      </w:r>
    </w:p>
    <w:p w:rsidR="00C94703" w:rsidRPr="00662020" w:rsidP="00C94703" w14:paraId="661BDDDF" w14:textId="3838CD3F">
      <w:pPr>
        <w:pStyle w:val="73512"/>
        <w:rPr>
          <w:noProof/>
          <w:rtl/>
        </w:rPr>
      </w:pPr>
      <w:r w:rsidRPr="00B17481">
        <w:rPr>
          <w:noProof/>
          <w:rtl/>
        </w:rPr>
        <w:t>הליך גביית החובות במג"ק</w:t>
      </w:r>
    </w:p>
    <w:p w:rsidR="0093709F" w:rsidRPr="007C7D40" w:rsidP="007C7D40" w14:paraId="0466320B" w14:textId="533836DA">
      <w:pPr>
        <w:pStyle w:val="7317"/>
      </w:pPr>
      <w:r w:rsidRPr="007C7D40">
        <w:rPr>
          <w:rFonts w:hint="cs"/>
          <w:noProof/>
          <w:rtl/>
        </w:rPr>
        <w:drawing>
          <wp:anchor distT="0" distB="1440180" distL="107950" distR="114300" simplePos="0" relativeHeight="251694080"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B17481" w:rsidR="00C94703">
        <w:rPr>
          <w:rtl/>
        </w:rPr>
        <w:t xml:space="preserve">מומלץ כי </w:t>
      </w:r>
      <w:r w:rsidRPr="00B17481" w:rsidR="00C94703">
        <w:rPr>
          <w:rtl/>
        </w:rPr>
        <w:t>המג"ק</w:t>
      </w:r>
      <w:r w:rsidRPr="00B17481" w:rsidR="00C94703">
        <w:rPr>
          <w:rtl/>
        </w:rPr>
        <w:t xml:space="preserve"> ימשיך לבחון את משך תהליך הגבייה על שלביו השונים ואת האפשרות לקצרם, ובכלל זה יבחן כיצד ניתן לשפר את פעולות איתור החייבים ומסירת הדרישות להם, או אם ניתן לפעול בדרכים נוספות שהותרו לו על פי דין כדי להביא לקיצור משך הליכי גבייה</w:t>
      </w:r>
      <w:r w:rsidRPr="007C7D40" w:rsidR="005D0F8C">
        <w:rPr>
          <w:rFonts w:hint="cs"/>
          <w:rtl/>
        </w:rPr>
        <w:t xml:space="preserve">. </w:t>
      </w:r>
    </w:p>
    <w:p w:rsidR="005D0F8C" w:rsidRPr="007C7D40" w:rsidP="007C7D40" w14:paraId="6C626C68" w14:textId="00BCC161">
      <w:pPr>
        <w:pStyle w:val="7317"/>
      </w:pPr>
      <w:r w:rsidRPr="007C7D40">
        <w:rPr>
          <w:rFonts w:hint="cs"/>
          <w:noProof/>
          <w:rtl/>
        </w:rPr>
        <w:drawing>
          <wp:anchor distT="0" distB="1440180" distL="107950" distR="114300" simplePos="0" relativeHeight="251695104"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17481" w:rsidR="00C94703">
        <w:rPr>
          <w:rtl/>
        </w:rPr>
        <w:t xml:space="preserve">מומלץ ללמוד ממאות אלפי התיקים הפעילים </w:t>
      </w:r>
      <w:r w:rsidRPr="00B17481" w:rsidR="00C94703">
        <w:rPr>
          <w:rtl/>
        </w:rPr>
        <w:t>במג"ק</w:t>
      </w:r>
      <w:r w:rsidRPr="00B17481" w:rsidR="00C94703">
        <w:rPr>
          <w:rtl/>
        </w:rPr>
        <w:t xml:space="preserve"> שבהם לא התבצעה מסירה כדין (בחלקם לאחר כמה שנים של ניסיונות) על נורות אזהרה שיכולות לסייע לאתר כבר בשלבים הראשונים של הטיפול בכל תיק כי קיים חשש סביר להעלמת נכסים על ידי החייב או לעזיבתו את הארץ. לפיכך, מוצע כי </w:t>
      </w:r>
      <w:r w:rsidRPr="00B17481" w:rsidR="00C94703">
        <w:rPr>
          <w:rtl/>
        </w:rPr>
        <w:t>המג"ק</w:t>
      </w:r>
      <w:r w:rsidRPr="00B17481" w:rsidR="00C94703">
        <w:rPr>
          <w:rtl/>
        </w:rPr>
        <w:t xml:space="preserve"> יבחן הבניה של מאפיינים כאמור, </w:t>
      </w:r>
      <w:r w:rsidRPr="00B17481" w:rsidR="00C94703">
        <w:rPr>
          <w:rtl/>
        </w:rPr>
        <w:t>שבהתקיימם</w:t>
      </w:r>
      <w:r w:rsidRPr="00B17481" w:rsidR="00C94703">
        <w:rPr>
          <w:rtl/>
        </w:rPr>
        <w:t xml:space="preserve"> יהיה מקום לפנות לרשם לענייני </w:t>
      </w:r>
      <w:r w:rsidRPr="00B17481" w:rsidR="00C94703">
        <w:rPr>
          <w:rtl/>
        </w:rPr>
        <w:t>המג"ק</w:t>
      </w:r>
      <w:r w:rsidRPr="00B17481" w:rsidR="00C94703">
        <w:rPr>
          <w:rtl/>
        </w:rPr>
        <w:t xml:space="preserve"> לשם פתיחה בהליכי גבייה לפני מסירת דרישת תשלום</w:t>
      </w:r>
      <w:r w:rsidRPr="007C7D40">
        <w:rPr>
          <w:rtl/>
        </w:rPr>
        <w:t xml:space="preserve">. </w:t>
      </w:r>
    </w:p>
    <w:p w:rsidR="005D0F8C" w:rsidRPr="007C7D40" w:rsidP="007C7D40" w14:paraId="16E5BFEE" w14:textId="60D913AD">
      <w:pPr>
        <w:pStyle w:val="7317"/>
        <w:rPr>
          <w:rtl/>
        </w:rPr>
      </w:pPr>
      <w:r w:rsidRPr="007C7D40">
        <w:rPr>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17481" w:rsidR="00C94703">
        <w:rPr>
          <w:rtl/>
        </w:rPr>
        <w:t xml:space="preserve">מומלץ כי </w:t>
      </w:r>
      <w:r w:rsidRPr="00B17481" w:rsidR="00C94703">
        <w:rPr>
          <w:rtl/>
        </w:rPr>
        <w:t>המג"ק</w:t>
      </w:r>
      <w:r w:rsidRPr="00B17481" w:rsidR="00C94703">
        <w:rPr>
          <w:rtl/>
        </w:rPr>
        <w:t xml:space="preserve"> יבצע מפעם לפעם בחינה מקיפה של הגופים הציבוריים המחזיקים במידע רלוונטי ושל סוגי המידע אשר יכולים לשמש לצורך איתור נכסי חייבים ביעילות ובדרך שתמזער הטלת הוצאות נוספות על קופת המדינה ועל החייבים שתיקיהם מנוהלים </w:t>
      </w:r>
      <w:r w:rsidRPr="00B17481" w:rsidR="00C94703">
        <w:rPr>
          <w:rtl/>
        </w:rPr>
        <w:t>במג"ק</w:t>
      </w:r>
      <w:r w:rsidRPr="00B17481" w:rsidR="00C94703">
        <w:rPr>
          <w:rtl/>
        </w:rPr>
        <w:t xml:space="preserve"> וכן תמזער את הפגיעה בפרטיות החייבים. אם יתקבל מידע כאמור, הרי שלאחר בחינת האיזון הנדרש בין הצורך בו לבין החובה לנהוג במידתיות כלפי החייב תוך פגיעה מזערית בפרטיותו, הוא עשוי לשמש גם את אגף החקירות הכלכליות </w:t>
      </w:r>
      <w:r w:rsidRPr="00B17481" w:rsidR="00C94703">
        <w:rPr>
          <w:rtl/>
        </w:rPr>
        <w:t>במג"ק</w:t>
      </w:r>
      <w:r w:rsidRPr="00B17481" w:rsidR="00C94703">
        <w:rPr>
          <w:rtl/>
        </w:rPr>
        <w:t xml:space="preserve"> בפעולותיו לאיתור חייבים המסתירים נכסים</w:t>
      </w:r>
      <w:r w:rsidRPr="007C7D40">
        <w:rPr>
          <w:rFonts w:hint="cs"/>
          <w:rtl/>
        </w:rPr>
        <w:t>.</w:t>
      </w:r>
    </w:p>
    <w:p w:rsidR="00706096" w:rsidRPr="007C7D40" w:rsidP="007C7D40" w14:paraId="3F6A2BE4" w14:textId="108B787C">
      <w:pPr>
        <w:pStyle w:val="7317"/>
        <w:rPr>
          <w:rtl/>
        </w:rPr>
      </w:pPr>
      <w:r w:rsidRPr="007C7D40">
        <w:rPr>
          <w:rFonts w:hint="cs"/>
          <w:noProof/>
          <w:rtl/>
        </w:rPr>
        <w:drawing>
          <wp:anchor distT="0" distB="360045" distL="107950" distR="114300" simplePos="0" relativeHeight="25169715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17481" w:rsidR="00C94703">
        <w:rPr>
          <w:rtl/>
        </w:rPr>
        <w:t xml:space="preserve">על רשות המיסים לוודא שכלל צווי העיקול שמועברים אליה מקבלים מענה. במסגרת זו, על רשות האכיפה והגבייה ורשות המיסים לפעול יחד על מנת למסד את ממשקי העבודה ביניהן ולמנוע מצב שבו רשות המיסים מעבירה כספי מדינה למי שעומד לחובתו חוב פעיל למדינה במערכת ההוצאה לפועל או </w:t>
      </w:r>
      <w:r w:rsidRPr="00B17481" w:rsidR="00C94703">
        <w:rPr>
          <w:rtl/>
        </w:rPr>
        <w:t>במג"ק</w:t>
      </w:r>
      <w:r w:rsidRPr="00B17481" w:rsidR="00C94703">
        <w:rPr>
          <w:rtl/>
        </w:rPr>
        <w:t>, ובכלל זה להשלים את הקמת הממשק הממוחשב ביניהן בשנת 2023 על פי תוכנית העבודה שנקבעה</w:t>
      </w:r>
      <w:r w:rsidRPr="007C7D40">
        <w:rPr>
          <w:rFonts w:hint="cs"/>
          <w:rtl/>
        </w:rPr>
        <w:t>.</w:t>
      </w:r>
    </w:p>
    <w:p w:rsidR="00706096" w:rsidP="007C7D40" w14:paraId="36B4D251" w14:textId="162CD843">
      <w:pPr>
        <w:pStyle w:val="7317"/>
        <w:rPr>
          <w:rtl/>
        </w:rPr>
      </w:pPr>
      <w:r w:rsidRPr="007C7D40">
        <w:rPr>
          <w:rFonts w:hint="cs"/>
          <w:noProof/>
          <w:rtl/>
        </w:rPr>
        <w:drawing>
          <wp:anchor distT="0" distB="180340" distL="107950" distR="114300" simplePos="0" relativeHeight="251698176" behindDoc="1" locked="0" layoutInCell="1" allowOverlap="1">
            <wp:simplePos x="0" y="0"/>
            <wp:positionH relativeFrom="column">
              <wp:posOffset>4521200</wp:posOffset>
            </wp:positionH>
            <wp:positionV relativeFrom="paragraph">
              <wp:posOffset>21719</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17481" w:rsidR="00C94703">
        <w:rPr>
          <w:rtl/>
        </w:rPr>
        <w:t xml:space="preserve">מומלץ כי </w:t>
      </w:r>
      <w:r w:rsidRPr="00B17481" w:rsidR="00C94703">
        <w:rPr>
          <w:rtl/>
        </w:rPr>
        <w:t>המג"ק</w:t>
      </w:r>
      <w:r w:rsidRPr="00B17481" w:rsidR="00C94703">
        <w:rPr>
          <w:rtl/>
        </w:rPr>
        <w:t xml:space="preserve"> יבחן את הצורך בביצוע התאמות בהליך הגבייה תוך הבחנה בין סוגי התיקים והחייבים השונים, זאת על בסיס מיפוי נתונים רחב וניתוחם</w:t>
      </w:r>
      <w:r w:rsidRPr="007C7D40">
        <w:rPr>
          <w:rFonts w:hint="cs"/>
          <w:rtl/>
        </w:rPr>
        <w:t>.</w:t>
      </w:r>
    </w:p>
    <w:p w:rsidR="00C94703" w:rsidRPr="00B17481" w:rsidP="00C94703" w14:paraId="0FF9EF66" w14:textId="77777777">
      <w:pPr>
        <w:pStyle w:val="73512"/>
        <w:rPr>
          <w:noProof/>
        </w:rPr>
      </w:pPr>
      <w:r w:rsidRPr="00B17481">
        <w:rPr>
          <w:noProof/>
          <w:rtl/>
        </w:rPr>
        <w:t>הסדרי חוב - מחיקות, הפחתות ופריסות חוב</w:t>
      </w:r>
    </w:p>
    <w:p w:rsidR="00C94703" w:rsidRPr="007C7D40" w:rsidP="00C94703" w14:paraId="3340CE15" w14:textId="69EECC14">
      <w:pPr>
        <w:pStyle w:val="7317"/>
      </w:pPr>
      <w:r w:rsidRPr="007C7D40">
        <w:rPr>
          <w:rFonts w:hint="cs"/>
          <w:noProof/>
          <w:rtl/>
        </w:rPr>
        <w:drawing>
          <wp:anchor distT="0" distB="1440180" distL="107950" distR="114300" simplePos="0" relativeHeight="25171046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40" name="תמונה 145106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0"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B17481">
        <w:rPr>
          <w:rtl/>
        </w:rPr>
        <w:t xml:space="preserve">בעת קבלת החלטות בנוגע למחיקת חובות על </w:t>
      </w:r>
      <w:r w:rsidRPr="00B17481">
        <w:rPr>
          <w:rtl/>
        </w:rPr>
        <w:t>המג"ק</w:t>
      </w:r>
      <w:r w:rsidRPr="00B17481">
        <w:rPr>
          <w:rtl/>
        </w:rPr>
        <w:t xml:space="preserve"> לייחס חשיבות לפעולות שנעשו כדי לגבות את החוב ולאפשרויות גבייתו בהליכי גבייה נוספים</w:t>
      </w:r>
      <w:r w:rsidRPr="007C7D40">
        <w:rPr>
          <w:rFonts w:hint="cs"/>
          <w:rtl/>
        </w:rPr>
        <w:t xml:space="preserve">. </w:t>
      </w:r>
    </w:p>
    <w:p w:rsidR="00C94703" w:rsidRPr="007C7D40" w:rsidP="00C94703" w14:paraId="582EBC84" w14:textId="2E9B4B3A">
      <w:pPr>
        <w:pStyle w:val="7317"/>
      </w:pPr>
      <w:r w:rsidRPr="007C7D40">
        <w:rPr>
          <w:rFonts w:hint="cs"/>
          <w:noProof/>
          <w:rtl/>
        </w:rPr>
        <w:drawing>
          <wp:anchor distT="0" distB="1440180" distL="107950" distR="114300" simplePos="0" relativeHeight="25171148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41" name="תמונה 145106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1"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17481">
        <w:rPr>
          <w:rtl/>
        </w:rPr>
        <w:t xml:space="preserve">מומלץ </w:t>
      </w:r>
      <w:r w:rsidRPr="00B17481">
        <w:rPr>
          <w:rtl/>
        </w:rPr>
        <w:t>שהמג"ק</w:t>
      </w:r>
      <w:r w:rsidRPr="00B17481">
        <w:rPr>
          <w:rtl/>
        </w:rPr>
        <w:t xml:space="preserve"> יקבע מדרג חובות וסוגי בדיקות עצמאיות ואוטומטיות שעליו לבצע בכל מדרג חוב בהתאם למידע שהוא מקבל מגופים ציבוריים אחרים בממשקים מקוונים עימם, ויעמיד גם מידע זה לפני מקבלי ההחלטות </w:t>
      </w:r>
      <w:r w:rsidRPr="00B17481">
        <w:rPr>
          <w:rtl/>
        </w:rPr>
        <w:t>במג"ק</w:t>
      </w:r>
      <w:r w:rsidRPr="00B17481">
        <w:rPr>
          <w:rtl/>
        </w:rPr>
        <w:t xml:space="preserve"> לפני קבלת ההחלטה על פריסת חובות או על מחיקת תוספות הפיגורים</w:t>
      </w:r>
      <w:r w:rsidRPr="007C7D40">
        <w:rPr>
          <w:rtl/>
        </w:rPr>
        <w:t xml:space="preserve">. </w:t>
      </w:r>
    </w:p>
    <w:p w:rsidR="00C94703" w:rsidRPr="007C7D40" w:rsidP="00C94703" w14:paraId="1402F956" w14:textId="102F29A2">
      <w:pPr>
        <w:pStyle w:val="7317"/>
        <w:rPr>
          <w:rtl/>
        </w:rPr>
      </w:pPr>
      <w:r w:rsidRPr="007C7D40">
        <w:rPr>
          <w:rFonts w:hint="cs"/>
          <w:noProof/>
          <w:rtl/>
        </w:rPr>
        <w:drawing>
          <wp:anchor distT="0" distB="360045" distL="107950" distR="114300" simplePos="0" relativeHeight="2517125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42" name="תמונה 1451066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2"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17481">
        <w:rPr>
          <w:rtl/>
        </w:rPr>
        <w:t xml:space="preserve">מומלץ כי </w:t>
      </w:r>
      <w:r w:rsidRPr="00B17481">
        <w:rPr>
          <w:rtl/>
        </w:rPr>
        <w:t>המג"ק</w:t>
      </w:r>
      <w:r w:rsidRPr="00B17481">
        <w:rPr>
          <w:rtl/>
        </w:rPr>
        <w:t xml:space="preserve"> יגבש רשימת קריטריונים מפורטים להחלטה בבקשות למחיקת חוב ולהפחתת תוספות הפיגורים, אשר יתייחסו באופן מדיד בין היתר ליכולתו הכלכלית של החייב לשלם את החוב כקבוע בחוק</w:t>
      </w:r>
      <w:r w:rsidRPr="007C7D40">
        <w:rPr>
          <w:rFonts w:hint="cs"/>
          <w:rtl/>
        </w:rPr>
        <w:t>.</w:t>
      </w:r>
    </w:p>
    <w:p w:rsidR="00C94703" w:rsidRPr="007C7D40" w:rsidP="00C94703" w14:paraId="51240280" w14:textId="6A7D0605">
      <w:pPr>
        <w:pStyle w:val="7317"/>
        <w:rPr>
          <w:rtl/>
        </w:rPr>
      </w:pPr>
      <w:r w:rsidRPr="007C7D40">
        <w:rPr>
          <w:rFonts w:hint="cs"/>
          <w:noProof/>
          <w:rtl/>
        </w:rPr>
        <w:drawing>
          <wp:anchor distT="0" distB="144145" distL="107950" distR="114300" simplePos="0" relativeHeight="2517135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43" name="תמונה 1451066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3"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17481">
        <w:rPr>
          <w:rtl/>
        </w:rPr>
        <w:t xml:space="preserve">מומלץ כי </w:t>
      </w:r>
      <w:r w:rsidRPr="00B17481">
        <w:rPr>
          <w:rtl/>
        </w:rPr>
        <w:t>המג"ק</w:t>
      </w:r>
      <w:r w:rsidRPr="00B17481">
        <w:rPr>
          <w:rtl/>
        </w:rPr>
        <w:t xml:space="preserve"> יביא לידיעת ציבור החייבים את הקריטריונים בעניין בחינת הבקשות להפחתת תוספות הפיגורים והאפשרויות לפרוס את החוב</w:t>
      </w:r>
      <w:r w:rsidRPr="007C7D40">
        <w:rPr>
          <w:rFonts w:hint="cs"/>
          <w:rtl/>
        </w:rPr>
        <w:t>.</w:t>
      </w:r>
    </w:p>
    <w:p w:rsidR="00C94703" w:rsidRPr="00B17481" w:rsidP="00C94703" w14:paraId="71D04130" w14:textId="77777777">
      <w:pPr>
        <w:pStyle w:val="73512"/>
        <w:rPr>
          <w:noProof/>
        </w:rPr>
      </w:pPr>
      <w:r w:rsidRPr="00B17481">
        <w:rPr>
          <w:noProof/>
          <w:rtl/>
        </w:rPr>
        <w:t>גביית פיצויים לנפגעי עבירה</w:t>
      </w:r>
    </w:p>
    <w:p w:rsidR="00C94703" w:rsidRPr="007C7D40" w:rsidP="00C94703" w14:paraId="4230D012" w14:textId="5BA6ECEE">
      <w:pPr>
        <w:pStyle w:val="7317"/>
      </w:pPr>
      <w:r w:rsidRPr="007C7D40">
        <w:rPr>
          <w:rFonts w:hint="cs"/>
          <w:noProof/>
          <w:rtl/>
        </w:rPr>
        <w:drawing>
          <wp:anchor distT="0" distB="1440180" distL="107950" distR="114300" simplePos="0" relativeHeight="251714560"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45" name="תמונה 145106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5"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B17481">
        <w:rPr>
          <w:rtl/>
        </w:rPr>
        <w:t xml:space="preserve">מומלץ כי </w:t>
      </w:r>
      <w:r w:rsidRPr="00B17481">
        <w:rPr>
          <w:rtl/>
        </w:rPr>
        <w:t>המג"ק</w:t>
      </w:r>
      <w:r w:rsidRPr="00B17481">
        <w:rPr>
          <w:rtl/>
        </w:rPr>
        <w:t xml:space="preserve"> יבחן את הסיבות שבגינן לא בוצעו הליכי גבייה ב-31% מהתיקים שבהם בוצעה מסירה כדין, כי יבחן את משכי הזמן עד לנקיטת הליכי גבייה בפועל ואת שיעורי הגבייה הנמוכים בתיקי פיצויים, וכי יפעל לתיקון המצב</w:t>
      </w:r>
      <w:r w:rsidRPr="007C7D40">
        <w:rPr>
          <w:rFonts w:hint="cs"/>
          <w:rtl/>
        </w:rPr>
        <w:t xml:space="preserve">. </w:t>
      </w:r>
    </w:p>
    <w:p w:rsidR="00C94703" w:rsidRPr="007C7D40" w:rsidP="00C94703" w14:paraId="65AB1555" w14:textId="20D442E0">
      <w:pPr>
        <w:pStyle w:val="7317"/>
      </w:pPr>
      <w:r w:rsidRPr="007C7D40">
        <w:rPr>
          <w:rFonts w:hint="cs"/>
          <w:noProof/>
          <w:rtl/>
        </w:rPr>
        <w:drawing>
          <wp:anchor distT="0" distB="1440180" distL="107950" distR="114300" simplePos="0" relativeHeight="251715584"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47" name="תמונה 145106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7"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17481">
        <w:rPr>
          <w:rtl/>
        </w:rPr>
        <w:t xml:space="preserve">מומלץ כי מנהל </w:t>
      </w:r>
      <w:r w:rsidRPr="00B17481">
        <w:rPr>
          <w:rtl/>
        </w:rPr>
        <w:t>המג"ק</w:t>
      </w:r>
      <w:r w:rsidRPr="00B17481">
        <w:rPr>
          <w:rtl/>
        </w:rPr>
        <w:t xml:space="preserve"> ישלים גיבוש נוהל בדבר תהליך בחינת הצורך בהגשת בקשה לרשם לענייני </w:t>
      </w:r>
      <w:r w:rsidRPr="00B17481">
        <w:rPr>
          <w:rtl/>
        </w:rPr>
        <w:t>המג"ק</w:t>
      </w:r>
      <w:r w:rsidRPr="00B17481">
        <w:rPr>
          <w:rtl/>
        </w:rPr>
        <w:t xml:space="preserve">, ובכלל זה בדיקות שיש לבצע בעת קליטת התיק על מנת לאתר תיקים שבהם קיים חשש להברחת נכסים על ידי חייב וליזום פנייה בעניינם לרשם לענייני </w:t>
      </w:r>
      <w:r w:rsidRPr="00B17481">
        <w:rPr>
          <w:rtl/>
        </w:rPr>
        <w:t>המג"ק</w:t>
      </w:r>
      <w:r w:rsidRPr="00B17481">
        <w:rPr>
          <w:rtl/>
        </w:rPr>
        <w:t xml:space="preserve">. כמו כן, מומלץ כי </w:t>
      </w:r>
      <w:r w:rsidRPr="00B17481">
        <w:rPr>
          <w:rtl/>
        </w:rPr>
        <w:t>המג"ק</w:t>
      </w:r>
      <w:r w:rsidRPr="00B17481">
        <w:rPr>
          <w:rtl/>
        </w:rPr>
        <w:t xml:space="preserve"> יביא לידיעת נפגעי העבירה את האפשרות שהוא יגיש בקשה לרשם לענייני </w:t>
      </w:r>
      <w:r w:rsidRPr="00B17481">
        <w:rPr>
          <w:rtl/>
        </w:rPr>
        <w:t>המג"ק</w:t>
      </w:r>
      <w:r w:rsidRPr="00B17481">
        <w:rPr>
          <w:rtl/>
        </w:rPr>
        <w:t xml:space="preserve"> לתפיסת נכסי החייב קודם למשלוח דרישת תשלום</w:t>
      </w:r>
      <w:r w:rsidRPr="007C7D40">
        <w:rPr>
          <w:rtl/>
        </w:rPr>
        <w:t xml:space="preserve">. </w:t>
      </w:r>
    </w:p>
    <w:p w:rsidR="00C94703" w:rsidRPr="007C7D40" w:rsidP="00C94703" w14:paraId="6F5E5310" w14:textId="68F384A0">
      <w:pPr>
        <w:pStyle w:val="7317"/>
        <w:rPr>
          <w:rtl/>
        </w:rPr>
      </w:pPr>
      <w:r w:rsidRPr="007C7D40">
        <w:rPr>
          <w:rFonts w:hint="cs"/>
          <w:noProof/>
          <w:rtl/>
        </w:rPr>
        <w:drawing>
          <wp:anchor distT="0" distB="1440180" distL="107950" distR="114300" simplePos="0" relativeHeight="25171660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48" name="תמונה 145106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8"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17481">
        <w:rPr>
          <w:rtl/>
        </w:rPr>
        <w:t xml:space="preserve">על </w:t>
      </w:r>
      <w:r w:rsidRPr="00B17481">
        <w:rPr>
          <w:rtl/>
        </w:rPr>
        <w:t>המג"ק</w:t>
      </w:r>
      <w:r w:rsidRPr="00B17481">
        <w:rPr>
          <w:rtl/>
        </w:rPr>
        <w:t xml:space="preserve"> לפעול בהתאם לדין הקדימה ולהעביר לתיקי הפיצויים את הכספים שנגבו מהחייבים והועברו שלא כדין לתיקי חוב פתוחים אחרים שלהם, ולנקוט פעולות שיבטיחו שההפרות לא יישנו</w:t>
      </w:r>
      <w:r w:rsidRPr="007C7D40">
        <w:rPr>
          <w:rFonts w:hint="cs"/>
          <w:rtl/>
        </w:rPr>
        <w:t>.</w:t>
      </w:r>
    </w:p>
    <w:p w:rsidR="00C94703" w14:paraId="517151D7" w14:textId="250D4D28">
      <w:pPr>
        <w:bidi w:val="0"/>
        <w:spacing w:after="200" w:line="276" w:lineRule="auto"/>
        <w:rPr>
          <w:rFonts w:ascii="Tahoma" w:hAnsi="Tahoma" w:cs="Tahoma"/>
          <w:color w:val="0D0D0D" w:themeColor="text1" w:themeTint="F2"/>
          <w:sz w:val="18"/>
          <w:szCs w:val="18"/>
          <w:rtl/>
        </w:rPr>
      </w:pPr>
      <w:r>
        <w:rPr>
          <w:rtl/>
        </w:rPr>
        <w:br w:type="page"/>
      </w:r>
    </w:p>
    <w:p w:rsidR="005D0F8C" w:rsidP="004E71DD" w14:paraId="6DC28C4F" w14:textId="0CDAA72E">
      <w:pPr>
        <w:tabs>
          <w:tab w:val="right" w:pos="7370"/>
        </w:tabs>
        <w:bidi w:val="0"/>
        <w:spacing w:after="200" w:line="276" w:lineRule="auto"/>
        <w:rPr>
          <w:rtl/>
        </w:rPr>
      </w:pPr>
      <w:r w:rsidRPr="00D527BD">
        <w:rPr>
          <w:noProof/>
          <w:szCs w:val="20"/>
          <w:rtl/>
        </w:rPr>
        <w:drawing>
          <wp:anchor distT="0" distB="0" distL="114300" distR="114300" simplePos="0" relativeHeight="251678720" behindDoc="0" locked="0" layoutInCell="1" allowOverlap="1">
            <wp:simplePos x="0" y="0"/>
            <wp:positionH relativeFrom="column">
              <wp:posOffset>-107950</wp:posOffset>
            </wp:positionH>
            <wp:positionV relativeFrom="paragraph">
              <wp:posOffset>-50165</wp:posOffset>
            </wp:positionV>
            <wp:extent cx="4731385" cy="762635"/>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31385" cy="762635"/>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1679744"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662020" w14:textId="01BC122E">
                            <w:pPr>
                              <w:spacing w:line="240" w:lineRule="auto"/>
                              <w:ind w:right="113"/>
                              <w:suppressOverlap/>
                              <w:jc w:val="left"/>
                              <w:rPr>
                                <w:rFonts w:ascii="Tahoma" w:hAnsi="Tahoma" w:cs="Tahoma"/>
                                <w:b/>
                                <w:bCs/>
                                <w:color w:val="FFFFFF" w:themeColor="background1"/>
                                <w:spacing w:val="-4"/>
                                <w:sz w:val="22"/>
                                <w:szCs w:val="22"/>
                                <w:rtl/>
                              </w:rPr>
                            </w:pPr>
                            <w:r w:rsidRPr="00C94703">
                              <w:rPr>
                                <w:rFonts w:ascii="Tahoma" w:hAnsi="Tahoma" w:cs="Tahoma"/>
                                <w:b/>
                                <w:bCs/>
                                <w:color w:val="FFFFFF" w:themeColor="background1"/>
                                <w:spacing w:val="-4"/>
                                <w:sz w:val="22"/>
                                <w:szCs w:val="22"/>
                                <w:rtl/>
                              </w:rPr>
                              <w:t>פירוט מרכיבי יתרת החוב בתיקים הפתוחים שאינם מוקפאים במג"ק, פברואר 2023</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680768" fillcolor="#f05260" stroked="f">
                <v:textbox>
                  <w:txbxContent>
                    <w:p w:rsidR="005D0F8C" w:rsidRPr="005C7ABF" w:rsidP="00662020" w14:paraId="1D5D7976" w14:textId="01BC122E">
                      <w:pPr>
                        <w:spacing w:line="240" w:lineRule="auto"/>
                        <w:ind w:right="113"/>
                        <w:suppressOverlap/>
                        <w:jc w:val="left"/>
                        <w:rPr>
                          <w:rFonts w:ascii="Tahoma" w:hAnsi="Tahoma" w:cs="Tahoma"/>
                          <w:b/>
                          <w:bCs/>
                          <w:color w:val="FFFFFF" w:themeColor="background1"/>
                          <w:spacing w:val="-4"/>
                          <w:sz w:val="22"/>
                          <w:szCs w:val="22"/>
                          <w:rtl/>
                        </w:rPr>
                      </w:pPr>
                      <w:r w:rsidRPr="00C94703">
                        <w:rPr>
                          <w:rFonts w:ascii="Tahoma" w:hAnsi="Tahoma" w:cs="Tahoma"/>
                          <w:b/>
                          <w:bCs/>
                          <w:color w:val="FFFFFF" w:themeColor="background1"/>
                          <w:spacing w:val="-4"/>
                          <w:sz w:val="22"/>
                          <w:szCs w:val="22"/>
                          <w:rtl/>
                        </w:rPr>
                        <w:t>פירוט מרכיבי יתרת החוב בתיקים הפתוחים שאינם מוקפאים במג"ק, פברואר 2023</w:t>
                      </w:r>
                    </w:p>
                  </w:txbxContent>
                </v:textbox>
              </v:shape>
            </w:pict>
          </mc:Fallback>
        </mc:AlternateContent>
      </w:r>
      <w:r>
        <w:rPr>
          <w:rtl/>
        </w:rPr>
        <w:t xml:space="preserve"> </w:t>
      </w:r>
    </w:p>
    <w:p w:rsidR="005D0F8C" w:rsidP="005D0F8C" w14:paraId="5B8DB107" w14:textId="3F3BDEDE">
      <w:pPr>
        <w:pStyle w:val="7317"/>
        <w:rPr>
          <w:rtl/>
        </w:rPr>
      </w:pPr>
    </w:p>
    <w:p w:rsidR="005D0F8C" w:rsidP="005D0F8C" w14:paraId="65CD3CF9" w14:textId="61AFA53E">
      <w:pPr>
        <w:pStyle w:val="7317"/>
        <w:rPr>
          <w:rtl/>
        </w:rPr>
      </w:pPr>
      <w:r>
        <w:rPr>
          <w:noProof/>
          <w:sz w:val="16"/>
          <w:szCs w:val="16"/>
        </w:rPr>
        <w:drawing>
          <wp:anchor distT="0" distB="0" distL="114300" distR="114300" simplePos="0" relativeHeight="251721728" behindDoc="0" locked="0" layoutInCell="1" allowOverlap="1">
            <wp:simplePos x="0" y="0"/>
            <wp:positionH relativeFrom="column">
              <wp:posOffset>477520</wp:posOffset>
            </wp:positionH>
            <wp:positionV relativeFrom="paragraph">
              <wp:posOffset>188595</wp:posOffset>
            </wp:positionV>
            <wp:extent cx="3808730" cy="4126865"/>
            <wp:effectExtent l="0" t="0" r="1270" b="635"/>
            <wp:wrapTopAndBottom/>
            <wp:docPr id="29"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תמונה 29"/>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808730" cy="4126865"/>
                    </a:xfrm>
                    <a:prstGeom prst="rect">
                      <a:avLst/>
                    </a:prstGeom>
                  </pic:spPr>
                </pic:pic>
              </a:graphicData>
            </a:graphic>
            <wp14:sizeRelH relativeFrom="page">
              <wp14:pctWidth>0</wp14:pctWidth>
            </wp14:sizeRelH>
            <wp14:sizeRelV relativeFrom="page">
              <wp14:pctHeight>0</wp14:pctHeight>
            </wp14:sizeRelV>
          </wp:anchor>
        </w:drawing>
      </w:r>
    </w:p>
    <w:p w:rsidR="005D0F8C" w:rsidRPr="00C94703" w:rsidP="00C94703" w14:paraId="0DA8F7B9" w14:textId="5C55C692">
      <w:pPr>
        <w:pStyle w:val="738"/>
      </w:pPr>
      <w:r w:rsidRPr="00C94703">
        <w:rPr>
          <w:rtl/>
        </w:rPr>
        <w:t xml:space="preserve">על פי נתוני </w:t>
      </w:r>
      <w:r w:rsidRPr="00C94703">
        <w:rPr>
          <w:rtl/>
        </w:rPr>
        <w:t>המג"ק</w:t>
      </w:r>
      <w:r w:rsidRPr="00C94703">
        <w:rPr>
          <w:rtl/>
        </w:rPr>
        <w:t>, בעיבוד משרד מבקר המדינה</w:t>
      </w:r>
      <w:r w:rsidRPr="00C94703">
        <w:rPr>
          <w:rFonts w:hint="cs"/>
          <w:rtl/>
        </w:rPr>
        <w:t>.</w:t>
      </w:r>
    </w:p>
    <w:p w:rsidR="00C94703" w14:paraId="70881590" w14:textId="6B32FE8E">
      <w:pPr>
        <w:bidi w:val="0"/>
        <w:spacing w:after="200" w:line="276" w:lineRule="auto"/>
        <w:rPr>
          <w:rFonts w:ascii="Tahoma" w:hAnsi="Tahoma" w:cs="Tahoma"/>
          <w:b/>
          <w:bCs/>
          <w:noProof/>
          <w:color w:val="FFFFFF" w:themeColor="background1"/>
          <w:sz w:val="22"/>
          <w:szCs w:val="22"/>
          <w:rtl/>
        </w:rPr>
      </w:pPr>
      <w:r>
        <w:rPr>
          <w:b/>
          <w:bCs/>
          <w:noProof/>
          <w:color w:val="FFFFFF" w:themeColor="background1"/>
          <w:sz w:val="22"/>
          <w:szCs w:val="22"/>
          <w:rtl/>
        </w:rPr>
        <w:br w:type="page"/>
      </w:r>
    </w:p>
    <w:p w:rsidR="00C94703" w:rsidRPr="00C94703" w:rsidP="00C94703" w14:paraId="5C1AE375" w14:textId="76BD5ED7">
      <w:pPr>
        <w:pStyle w:val="738"/>
        <w:rPr>
          <w:rtl/>
        </w:rPr>
      </w:pPr>
      <w:r w:rsidRPr="00C94703">
        <w:rPr>
          <w:noProof/>
          <w:rtl/>
        </w:rPr>
        <w:drawing>
          <wp:anchor distT="0" distB="0" distL="114300" distR="114300" simplePos="0" relativeHeight="251717632" behindDoc="0" locked="0" layoutInCell="1" allowOverlap="1">
            <wp:simplePos x="0" y="0"/>
            <wp:positionH relativeFrom="column">
              <wp:posOffset>-29210</wp:posOffset>
            </wp:positionH>
            <wp:positionV relativeFrom="paragraph">
              <wp:posOffset>981256</wp:posOffset>
            </wp:positionV>
            <wp:extent cx="4598670" cy="4244975"/>
            <wp:effectExtent l="0" t="0" r="0" b="0"/>
            <wp:wrapTopAndBottom/>
            <wp:docPr id="1451066651" name="תמונה 145106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1" name="תמונה 145106665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98670" cy="4244975"/>
                    </a:xfrm>
                    <a:prstGeom prst="rect">
                      <a:avLst/>
                    </a:prstGeom>
                  </pic:spPr>
                </pic:pic>
              </a:graphicData>
            </a:graphic>
            <wp14:sizeRelH relativeFrom="page">
              <wp14:pctWidth>0</wp14:pctWidth>
            </wp14:sizeRelH>
            <wp14:sizeRelV relativeFrom="page">
              <wp14:pctHeight>0</wp14:pctHeight>
            </wp14:sizeRelV>
          </wp:anchor>
        </w:drawing>
      </w:r>
      <w:r w:rsidRPr="00C94703" w:rsidR="00C62C8E">
        <w:rPr>
          <w:noProof/>
          <w:rtl/>
        </w:rPr>
        <mc:AlternateContent>
          <mc:Choice Requires="wpg">
            <w:drawing>
              <wp:anchor distT="0" distB="0" distL="114300" distR="114300" simplePos="0" relativeHeight="251681792" behindDoc="0" locked="0" layoutInCell="1" allowOverlap="1">
                <wp:simplePos x="0" y="0"/>
                <wp:positionH relativeFrom="margin">
                  <wp:posOffset>-111760</wp:posOffset>
                </wp:positionH>
                <wp:positionV relativeFrom="paragraph">
                  <wp:posOffset>0</wp:posOffset>
                </wp:positionV>
                <wp:extent cx="4787900" cy="1052830"/>
                <wp:effectExtent l="0" t="0" r="0" b="0"/>
                <wp:wrapSquare wrapText="bothSides"/>
                <wp:docPr id="1113575890"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1052830"/>
                          <a:chOff x="0" y="181532"/>
                          <a:chExt cx="4787900" cy="844154"/>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181532"/>
                            <a:ext cx="4787900" cy="844154"/>
                          </a:xfrm>
                          <a:prstGeom prst="rect">
                            <a:avLst/>
                          </a:prstGeom>
                        </pic:spPr>
                      </pic:pic>
                      <wps:wsp xmlns:wps="http://schemas.microsoft.com/office/word/2010/wordprocessingShape">
                        <wps:cNvPr id="1113575892" name="Text Box 2"/>
                        <wps:cNvSpPr txBox="1">
                          <a:spLocks noChangeArrowheads="1"/>
                        </wps:cNvSpPr>
                        <wps:spPr bwMode="auto">
                          <a:xfrm>
                            <a:off x="202806" y="259590"/>
                            <a:ext cx="4428490" cy="537522"/>
                          </a:xfrm>
                          <a:prstGeom prst="rect">
                            <a:avLst/>
                          </a:prstGeom>
                          <a:solidFill>
                            <a:srgbClr val="F05260"/>
                          </a:solidFill>
                          <a:ln w="9525">
                            <a:noFill/>
                            <a:miter lim="800000"/>
                            <a:headEnd/>
                            <a:tailEnd/>
                          </a:ln>
                        </wps:spPr>
                        <wps:txbx>
                          <w:txbxContent>
                            <w:p w:rsidR="000B31AA" w:rsidRPr="00361C09" w:rsidP="00361C09" w14:textId="0BACB335">
                              <w:pPr>
                                <w:spacing w:before="60" w:after="60" w:line="240" w:lineRule="auto"/>
                                <w:ind w:right="113"/>
                                <w:jc w:val="left"/>
                                <w:rPr>
                                  <w:b/>
                                  <w:bCs/>
                                </w:rPr>
                              </w:pPr>
                              <w:r w:rsidRPr="00C94703">
                                <w:rPr>
                                  <w:rFonts w:ascii="Tahoma" w:hAnsi="Tahoma" w:cs="Tahoma"/>
                                  <w:b/>
                                  <w:bCs/>
                                  <w:color w:val="FFFFFF" w:themeColor="background1"/>
                                  <w:spacing w:val="-4"/>
                                  <w:sz w:val="22"/>
                                  <w:szCs w:val="22"/>
                                  <w:rtl/>
                                </w:rPr>
                                <w:t>שיעור התיקים הפתוחים והסגורים במועד הביקורת במג"ק ומספרם הכולל של התיקים (באלפים), לפי שנת קליטת התיק, 2012 - 2021</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5" style="width:377pt;height:82.9pt;margin-top:0;margin-left:-8.8pt;mso-height-relative:margin;mso-position-horizontal-relative:margin;mso-width-relative:margin;position:absolute;z-index:251682816" coordorigin="0,1815" coordsize="47879,8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6" type="#_x0000_t75" style="width:47879;height:8441;mso-wrap-style:square;position:absolute;top:1815;visibility:visible">
                  <v:imagedata r:id="rId29" o:title=""/>
                </v:shape>
                <v:shape id="_x0000_s1037" type="#_x0000_t202" style="width:44284;height:5376;left:2028;mso-wrap-style:square;position:absolute;top:2595;visibility:visible;v-text-anchor:middle" fillcolor="#f05260" stroked="f">
                  <v:textbox>
                    <w:txbxContent>
                      <w:p w:rsidR="000B31AA" w:rsidRPr="00361C09" w:rsidP="00361C09" w14:paraId="64B50804" w14:textId="0BACB335">
                        <w:pPr>
                          <w:spacing w:before="60" w:after="60" w:line="240" w:lineRule="auto"/>
                          <w:ind w:right="113"/>
                          <w:jc w:val="left"/>
                          <w:rPr>
                            <w:b/>
                            <w:bCs/>
                          </w:rPr>
                        </w:pPr>
                        <w:r w:rsidRPr="00C94703">
                          <w:rPr>
                            <w:rFonts w:ascii="Tahoma" w:hAnsi="Tahoma" w:cs="Tahoma"/>
                            <w:b/>
                            <w:bCs/>
                            <w:color w:val="FFFFFF" w:themeColor="background1"/>
                            <w:spacing w:val="-4"/>
                            <w:sz w:val="22"/>
                            <w:szCs w:val="22"/>
                            <w:rtl/>
                          </w:rPr>
                          <w:t>שיעור התיקים הפתוחים והסגורים במועד הביקורת במג"ק ומספרם הכולל של התיקים (באלפים), לפי שנת קליטת התיק, 2012 - 2021</w:t>
                        </w:r>
                      </w:p>
                    </w:txbxContent>
                  </v:textbox>
                </v:shape>
                <w10:wrap type="square"/>
              </v:group>
            </w:pict>
          </mc:Fallback>
        </mc:AlternateContent>
      </w:r>
      <w:r w:rsidRPr="00C94703" w:rsidR="00C94703">
        <w:rPr>
          <w:rtl/>
        </w:rPr>
        <w:t xml:space="preserve">על פי נתוני </w:t>
      </w:r>
      <w:r w:rsidRPr="00C94703" w:rsidR="00C94703">
        <w:rPr>
          <w:rtl/>
        </w:rPr>
        <w:t>המג"ק</w:t>
      </w:r>
      <w:r w:rsidRPr="00C94703" w:rsidR="00C94703">
        <w:rPr>
          <w:rtl/>
        </w:rPr>
        <w:t>, בעיבוד משרד מבקר המדינה</w:t>
      </w:r>
      <w:r w:rsidRPr="00C94703" w:rsidR="00C94703">
        <w:rPr>
          <w:rFonts w:hint="cs"/>
          <w:rtl/>
        </w:rPr>
        <w:t>.</w:t>
      </w:r>
    </w:p>
    <w:p w:rsidR="00C94703" w:rsidP="00C94703" w14:paraId="40680B31" w14:textId="77777777">
      <w:pPr>
        <w:bidi w:val="0"/>
        <w:spacing w:after="200" w:line="276" w:lineRule="auto"/>
        <w:rPr>
          <w:rFonts w:ascii="Tahoma" w:hAnsi="Tahoma" w:cs="Tahoma"/>
          <w:color w:val="0D0D0D" w:themeColor="text1" w:themeTint="F2"/>
          <w:sz w:val="18"/>
          <w:szCs w:val="18"/>
          <w:rtl/>
        </w:rPr>
      </w:pPr>
    </w:p>
    <w:p w:rsidR="00C94703" w14:paraId="3A1AD6AD" w14:textId="6B65D721">
      <w:pPr>
        <w:bidi w:val="0"/>
        <w:spacing w:after="200" w:line="276" w:lineRule="auto"/>
        <w:rPr>
          <w:rFonts w:ascii="Tahoma" w:hAnsi="Tahoma" w:cs="Tahoma"/>
          <w:b/>
          <w:bCs/>
          <w:noProof/>
          <w:color w:val="FFFFFF" w:themeColor="background1"/>
          <w:sz w:val="22"/>
          <w:szCs w:val="22"/>
          <w:rtl/>
        </w:rPr>
      </w:pPr>
      <w:r>
        <w:rPr>
          <w:b/>
          <w:bCs/>
          <w:noProof/>
          <w:color w:val="FFFFFF" w:themeColor="background1"/>
          <w:sz w:val="22"/>
          <w:szCs w:val="22"/>
          <w:rtl/>
        </w:rPr>
        <w:br w:type="page"/>
      </w:r>
    </w:p>
    <w:p w:rsidR="00C94703" w:rsidRPr="00C94703" w:rsidP="00EF29C7" w14:paraId="2BEE218A" w14:textId="3AC71868">
      <w:pPr>
        <w:pStyle w:val="738"/>
        <w:spacing w:before="0" w:after="0"/>
        <w:rPr>
          <w:rtl/>
        </w:rPr>
      </w:pPr>
      <w:r>
        <w:rPr>
          <w:noProof/>
          <w:rtl/>
          <w:lang w:val="he-IL"/>
        </w:rPr>
        <w:drawing>
          <wp:anchor distT="0" distB="0" distL="114300" distR="114300" simplePos="0" relativeHeight="251720704" behindDoc="0" locked="0" layoutInCell="1" allowOverlap="1">
            <wp:simplePos x="0" y="0"/>
            <wp:positionH relativeFrom="column">
              <wp:posOffset>-55698</wp:posOffset>
            </wp:positionH>
            <wp:positionV relativeFrom="paragraph">
              <wp:posOffset>1032419</wp:posOffset>
            </wp:positionV>
            <wp:extent cx="4662805" cy="4450080"/>
            <wp:effectExtent l="0" t="0" r="0" b="0"/>
            <wp:wrapTopAndBottom/>
            <wp:docPr id="1451066655" name="תמונה 1451066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5" name="תמונה 1451066655"/>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rcRect t="6751"/>
                    <a:stretch>
                      <a:fillRect/>
                    </a:stretch>
                  </pic:blipFill>
                  <pic:spPr bwMode="auto">
                    <a:xfrm>
                      <a:off x="0" y="0"/>
                      <a:ext cx="4662805" cy="445008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1D24" w:rsidR="00C62C8E">
        <w:rPr>
          <w:noProof/>
          <w:rtl/>
        </w:rPr>
        <mc:AlternateContent>
          <mc:Choice Requires="wpg">
            <w:drawing>
              <wp:anchor distT="0" distB="0" distL="114300" distR="114300" simplePos="0" relativeHeight="251718656" behindDoc="0" locked="0" layoutInCell="1" allowOverlap="1">
                <wp:simplePos x="0" y="0"/>
                <wp:positionH relativeFrom="margin">
                  <wp:posOffset>-103505</wp:posOffset>
                </wp:positionH>
                <wp:positionV relativeFrom="paragraph">
                  <wp:posOffset>0</wp:posOffset>
                </wp:positionV>
                <wp:extent cx="4787900" cy="1035050"/>
                <wp:effectExtent l="0" t="0" r="0" b="0"/>
                <wp:wrapSquare wrapText="bothSides"/>
                <wp:docPr id="1451066652"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1035050"/>
                          <a:chOff x="0" y="181533"/>
                          <a:chExt cx="4787900" cy="829708"/>
                        </a:xfrm>
                      </wpg:grpSpPr>
                      <pic:pic xmlns:pic="http://schemas.openxmlformats.org/drawingml/2006/picture">
                        <pic:nvPicPr>
                          <pic:cNvPr id="1451066653" name="Picture 23"/>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829708"/>
                          </a:xfrm>
                          <a:prstGeom prst="rect">
                            <a:avLst/>
                          </a:prstGeom>
                        </pic:spPr>
                      </pic:pic>
                      <wps:wsp xmlns:wps="http://schemas.microsoft.com/office/word/2010/wordprocessingShape">
                        <wps:cNvPr id="1451066654" name="Text Box 2"/>
                        <wps:cNvSpPr txBox="1">
                          <a:spLocks noChangeArrowheads="1"/>
                        </wps:cNvSpPr>
                        <wps:spPr bwMode="auto">
                          <a:xfrm>
                            <a:off x="202806" y="266505"/>
                            <a:ext cx="4428490" cy="529856"/>
                          </a:xfrm>
                          <a:prstGeom prst="rect">
                            <a:avLst/>
                          </a:prstGeom>
                          <a:solidFill>
                            <a:srgbClr val="F05260"/>
                          </a:solidFill>
                          <a:ln w="9525">
                            <a:noFill/>
                            <a:miter lim="800000"/>
                            <a:headEnd/>
                            <a:tailEnd/>
                          </a:ln>
                        </wps:spPr>
                        <wps:txbx>
                          <w:txbxContent>
                            <w:p w:rsidR="00C94703" w:rsidRPr="00361C09" w:rsidP="00C94703" w14:textId="7F9CD39F">
                              <w:pPr>
                                <w:spacing w:before="60" w:after="60" w:line="240" w:lineRule="auto"/>
                                <w:ind w:right="113"/>
                                <w:jc w:val="left"/>
                                <w:rPr>
                                  <w:b/>
                                  <w:bCs/>
                                </w:rPr>
                              </w:pPr>
                              <w:r w:rsidRPr="00C62C8E">
                                <w:rPr>
                                  <w:rFonts w:ascii="Tahoma" w:hAnsi="Tahoma" w:cs="Tahoma"/>
                                  <w:b/>
                                  <w:bCs/>
                                  <w:color w:val="FFFFFF" w:themeColor="background1"/>
                                  <w:spacing w:val="-4"/>
                                  <w:sz w:val="22"/>
                                  <w:szCs w:val="22"/>
                                  <w:rtl/>
                                </w:rPr>
                                <w:t>התפלגות התיקים שנקלטו במג"ק בשנים 2017 - 2021, על פי סכום קרן החוב, שיעור סגירת התיקים מכלל התיקים שנקלטו ושיעור הגבייה בתיקים (פתוחים וסגורים)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_x0000_s1038" style="width:377pt;height:81.5pt;margin-top:0;margin-left:-8.15pt;mso-height-relative:margin;mso-position-horizontal-relative:margin;mso-width-relative:margin;position:absolute;z-index:251719680" coordorigin="0,1815" coordsize="47879,8297">
                <v:shape id="Picture 23" o:spid="_x0000_s1039" type="#_x0000_t75" style="width:47879;height:8297;mso-wrap-style:square;position:absolute;top:1815;visibility:visible">
                  <v:imagedata r:id="rId29" o:title=""/>
                </v:shape>
                <v:shape id="_x0000_s1040" type="#_x0000_t202" style="width:44284;height:5298;left:2028;mso-wrap-style:square;position:absolute;top:2665;visibility:visible;v-text-anchor:middle" fillcolor="#f05260" stroked="f">
                  <v:textbox>
                    <w:txbxContent>
                      <w:p w:rsidR="00C94703" w:rsidRPr="00361C09" w:rsidP="00C94703" w14:paraId="55BDF692" w14:textId="7F9CD39F">
                        <w:pPr>
                          <w:spacing w:before="60" w:after="60" w:line="240" w:lineRule="auto"/>
                          <w:ind w:right="113"/>
                          <w:jc w:val="left"/>
                          <w:rPr>
                            <w:b/>
                            <w:bCs/>
                          </w:rPr>
                        </w:pPr>
                        <w:r w:rsidRPr="00C62C8E">
                          <w:rPr>
                            <w:rFonts w:ascii="Tahoma" w:hAnsi="Tahoma" w:cs="Tahoma"/>
                            <w:b/>
                            <w:bCs/>
                            <w:color w:val="FFFFFF" w:themeColor="background1"/>
                            <w:spacing w:val="-4"/>
                            <w:sz w:val="22"/>
                            <w:szCs w:val="22"/>
                            <w:rtl/>
                          </w:rPr>
                          <w:t>התפלגות התיקים שנקלטו במג"ק בשנים 2017 - 2021, על פי סכום קרן החוב, שיעור סגירת התיקים מכלל התיקים שנקלטו ושיעור הגבייה בתיקים (פתוחים וסגורים)</w:t>
                        </w:r>
                      </w:p>
                    </w:txbxContent>
                  </v:textbox>
                </v:shape>
                <w10:wrap type="square"/>
              </v:group>
            </w:pict>
          </mc:Fallback>
        </mc:AlternateContent>
      </w:r>
      <w:r w:rsidRPr="00C94703">
        <w:rPr>
          <w:rtl/>
        </w:rPr>
        <w:t xml:space="preserve">על פי נתוני </w:t>
      </w:r>
      <w:r w:rsidRPr="00C94703">
        <w:rPr>
          <w:rtl/>
        </w:rPr>
        <w:t>המג"ק</w:t>
      </w:r>
      <w:r w:rsidRPr="00C94703">
        <w:rPr>
          <w:rtl/>
        </w:rPr>
        <w:t>, בעיבוד משרד מבקר המדינה</w:t>
      </w:r>
      <w:r w:rsidRPr="00C94703">
        <w:rPr>
          <w:rFonts w:hint="cs"/>
          <w:rtl/>
        </w:rPr>
        <w:t>.</w:t>
      </w:r>
    </w:p>
    <w:p w:rsidR="004E71DD" w14:paraId="7757BE7E" w14:textId="7E19B1CE">
      <w:pPr>
        <w:bidi w:val="0"/>
        <w:spacing w:after="200" w:line="276" w:lineRule="auto"/>
        <w:rPr>
          <w:rFonts w:ascii="Tahoma" w:hAnsi="Tahoma" w:cs="Tahoma"/>
          <w:color w:val="0D0D0D" w:themeColor="text1" w:themeTint="F2"/>
          <w:sz w:val="18"/>
          <w:szCs w:val="18"/>
          <w:rtl/>
        </w:rPr>
      </w:pPr>
      <w:r>
        <w:rPr>
          <w:rtl/>
        </w:rPr>
        <w:br w:type="page"/>
      </w:r>
    </w:p>
    <w:p w:rsidR="004E71DD" w:rsidP="004E71DD" w14:paraId="7C33D7DD" w14:textId="77777777">
      <w:pPr>
        <w:pStyle w:val="73"/>
        <w:rPr>
          <w:rtl/>
        </w:rPr>
      </w:pPr>
      <w:r w:rsidRPr="00EF3061">
        <w:rPr>
          <w:rFonts w:hint="cs"/>
          <w:rtl/>
        </w:rPr>
        <w:t>סיכום</w:t>
      </w:r>
    </w:p>
    <w:p w:rsidR="00EF29C7" w:rsidRPr="00B17481" w:rsidP="00EF29C7" w14:paraId="7CBB4B11" w14:textId="0368796C">
      <w:pPr>
        <w:widowControl w:val="0"/>
        <w:spacing w:before="240" w:line="276" w:lineRule="auto"/>
        <w:ind w:left="-1"/>
        <w:rPr>
          <w:rFonts w:ascii="Tahoma" w:hAnsi="Tahoma" w:cs="Tahoma"/>
          <w:sz w:val="18"/>
          <w:szCs w:val="18"/>
          <w:rtl/>
        </w:rPr>
      </w:pPr>
      <w:r w:rsidRPr="00B17481">
        <w:rPr>
          <w:rFonts w:ascii="Tahoma" w:hAnsi="Tahoma" w:cs="Tahoma"/>
          <w:sz w:val="18"/>
          <w:szCs w:val="18"/>
          <w:rtl/>
        </w:rPr>
        <w:t xml:space="preserve">גבייתם של אגרות, קנסות והוצאות עבור אוצר המדינה ושל פיצויים הנפסקים לנפגעי עבירות היא יסוד חשוב בשמירה על </w:t>
      </w:r>
      <w:r w:rsidRPr="00B17481">
        <w:rPr>
          <w:rFonts w:ascii="Tahoma" w:hAnsi="Tahoma" w:cs="Tahoma"/>
          <w:sz w:val="18"/>
          <w:szCs w:val="18"/>
          <w:rtl/>
        </w:rPr>
        <w:t>מינהל</w:t>
      </w:r>
      <w:r w:rsidRPr="00B17481">
        <w:rPr>
          <w:rFonts w:ascii="Tahoma" w:hAnsi="Tahoma" w:cs="Tahoma"/>
          <w:sz w:val="18"/>
          <w:szCs w:val="18"/>
          <w:rtl/>
        </w:rPr>
        <w:t xml:space="preserve"> תקין ובהבטחת השוויון. </w:t>
      </w:r>
      <w:r w:rsidRPr="00B17481">
        <w:rPr>
          <w:rFonts w:ascii="Tahoma" w:hAnsi="Tahoma" w:cs="Tahoma"/>
          <w:sz w:val="18"/>
          <w:szCs w:val="18"/>
          <w:rtl/>
        </w:rPr>
        <w:t>המג"ק</w:t>
      </w:r>
      <w:r w:rsidRPr="00B17481">
        <w:rPr>
          <w:rFonts w:ascii="Tahoma" w:hAnsi="Tahoma" w:cs="Tahoma"/>
          <w:sz w:val="18"/>
          <w:szCs w:val="18"/>
          <w:rtl/>
        </w:rPr>
        <w:t xml:space="preserve"> הוקם כדי להעלות את שיעורי הגבייה ולייעל אותה נוכח אי-הצלחתם של מנגנוני הגבייה שקדמו לו. בשנים 2012 - 2021 גדל פי שניים וחצי מספר תיקי החוב שהועברו </w:t>
      </w:r>
      <w:r w:rsidRPr="00B17481">
        <w:rPr>
          <w:rFonts w:ascii="Tahoma" w:hAnsi="Tahoma" w:cs="Tahoma"/>
          <w:sz w:val="18"/>
          <w:szCs w:val="18"/>
          <w:rtl/>
        </w:rPr>
        <w:t>למג"ק</w:t>
      </w:r>
      <w:r w:rsidRPr="00B17481">
        <w:rPr>
          <w:rFonts w:ascii="Tahoma" w:hAnsi="Tahoma" w:cs="Tahoma"/>
          <w:sz w:val="18"/>
          <w:szCs w:val="18"/>
          <w:rtl/>
        </w:rPr>
        <w:t xml:space="preserve">. בשנים 2017 - 2021 קיבל </w:t>
      </w:r>
      <w:r w:rsidRPr="00B17481">
        <w:rPr>
          <w:rFonts w:ascii="Tahoma" w:hAnsi="Tahoma" w:cs="Tahoma"/>
          <w:sz w:val="18"/>
          <w:szCs w:val="18"/>
          <w:rtl/>
        </w:rPr>
        <w:t>המג"ק</w:t>
      </w:r>
      <w:r w:rsidRPr="00B17481">
        <w:rPr>
          <w:rFonts w:ascii="Tahoma" w:hAnsi="Tahoma" w:cs="Tahoma"/>
          <w:sz w:val="18"/>
          <w:szCs w:val="18"/>
          <w:rtl/>
        </w:rPr>
        <w:t xml:space="preserve"> לטיפולו </w:t>
      </w:r>
      <w:r w:rsidR="007E2211">
        <w:rPr>
          <w:rFonts w:ascii="Tahoma" w:hAnsi="Tahoma" w:cs="Tahoma"/>
          <w:sz w:val="18"/>
          <w:szCs w:val="18"/>
          <w:rtl/>
        </w:rPr>
        <w:br/>
      </w:r>
      <w:r w:rsidRPr="00B17481">
        <w:rPr>
          <w:rFonts w:ascii="Tahoma" w:hAnsi="Tahoma" w:cs="Tahoma"/>
          <w:sz w:val="18"/>
          <w:szCs w:val="18"/>
          <w:rtl/>
        </w:rPr>
        <w:t xml:space="preserve">כ-3.9 מיליון תיקים בהיקף חוב של כ-5 מיליארד ש"ח (כולל תוספות פיגורים, הצמדה וריבית והוצאות), ומתוכם גבה סכום של כ-2.3 מיליארד ש"ח (כ-47%). כדי להתמודד עם הגידול בנפח הפעילות, הפך </w:t>
      </w:r>
      <w:r w:rsidRPr="00B17481">
        <w:rPr>
          <w:rFonts w:ascii="Tahoma" w:hAnsi="Tahoma" w:cs="Tahoma"/>
          <w:sz w:val="18"/>
          <w:szCs w:val="18"/>
          <w:rtl/>
        </w:rPr>
        <w:t>המג"ק</w:t>
      </w:r>
      <w:r w:rsidRPr="00B17481">
        <w:rPr>
          <w:rFonts w:ascii="Tahoma" w:hAnsi="Tahoma" w:cs="Tahoma"/>
          <w:sz w:val="18"/>
          <w:szCs w:val="18"/>
          <w:rtl/>
        </w:rPr>
        <w:t xml:space="preserve"> את מרבית שלבי הטיפול בתיקים לממוחשבים ואוטומטיים. </w:t>
      </w:r>
    </w:p>
    <w:p w:rsidR="00EF29C7" w:rsidRPr="00B17481" w:rsidP="00EF29C7" w14:paraId="383BC5C2" w14:textId="77777777">
      <w:pPr>
        <w:widowControl w:val="0"/>
        <w:spacing w:before="240" w:after="180" w:line="276" w:lineRule="auto"/>
        <w:ind w:left="-1"/>
        <w:rPr>
          <w:rFonts w:ascii="Tahoma" w:hAnsi="Tahoma" w:cs="Tahoma"/>
          <w:sz w:val="18"/>
          <w:szCs w:val="18"/>
          <w:rtl/>
        </w:rPr>
      </w:pPr>
      <w:r w:rsidRPr="00B17481">
        <w:rPr>
          <w:rFonts w:ascii="Tahoma" w:hAnsi="Tahoma" w:cs="Tahoma"/>
          <w:sz w:val="18"/>
          <w:szCs w:val="18"/>
          <w:rtl/>
        </w:rPr>
        <w:t xml:space="preserve">דוח זה מעלה ליקויים </w:t>
      </w:r>
      <w:r w:rsidRPr="00B17481">
        <w:rPr>
          <w:rFonts w:ascii="Tahoma" w:hAnsi="Tahoma" w:cs="Tahoma" w:hint="cs"/>
          <w:sz w:val="18"/>
          <w:szCs w:val="18"/>
          <w:rtl/>
        </w:rPr>
        <w:t>בשלושה</w:t>
      </w:r>
      <w:r w:rsidRPr="00B17481">
        <w:rPr>
          <w:rFonts w:ascii="Tahoma" w:hAnsi="Tahoma" w:cs="Tahoma"/>
          <w:sz w:val="18"/>
          <w:szCs w:val="18"/>
          <w:rtl/>
        </w:rPr>
        <w:t xml:space="preserve"> תחומי פעולה משמעותיים הנוגעים להליך גביית החובות על ידי </w:t>
      </w:r>
      <w:r w:rsidRPr="00B17481">
        <w:rPr>
          <w:rFonts w:ascii="Tahoma" w:hAnsi="Tahoma" w:cs="Tahoma"/>
          <w:sz w:val="18"/>
          <w:szCs w:val="18"/>
          <w:rtl/>
        </w:rPr>
        <w:t>המג"ק</w:t>
      </w:r>
      <w:r w:rsidRPr="00B17481">
        <w:rPr>
          <w:rFonts w:ascii="Tahoma" w:hAnsi="Tahoma" w:cs="Tahoma"/>
          <w:sz w:val="18"/>
          <w:szCs w:val="18"/>
          <w:rtl/>
        </w:rPr>
        <w:t xml:space="preserve"> אשר פוגעים ביעילות הגבייה: </w:t>
      </w:r>
    </w:p>
    <w:p w:rsidR="00EF29C7" w:rsidRPr="0099006A" w:rsidP="0099006A" w14:paraId="681E839C" w14:textId="77777777">
      <w:pPr>
        <w:pStyle w:val="735"/>
        <w:numPr>
          <w:ilvl w:val="0"/>
          <w:numId w:val="17"/>
        </w:numPr>
        <w:rPr>
          <w:rtl/>
        </w:rPr>
      </w:pPr>
      <w:r w:rsidRPr="0099006A">
        <w:rPr>
          <w:rtl/>
        </w:rPr>
        <w:t xml:space="preserve">ניהול תהליך גביית החוב משלב קליטת התיק, עבור דרך משלוח דרישות תשלום וכלה בנקיטת הליכי גבייה שונים; </w:t>
      </w:r>
    </w:p>
    <w:p w:rsidR="00EF29C7" w:rsidRPr="0099006A" w:rsidP="0099006A" w14:paraId="75ABD33B" w14:textId="77777777">
      <w:pPr>
        <w:pStyle w:val="735"/>
        <w:numPr>
          <w:ilvl w:val="0"/>
          <w:numId w:val="17"/>
        </w:numPr>
        <w:rPr>
          <w:rtl/>
        </w:rPr>
      </w:pPr>
      <w:r w:rsidRPr="0099006A">
        <w:rPr>
          <w:rtl/>
        </w:rPr>
        <w:t xml:space="preserve">מנגנוני פריסת החוב, הפחתות תוספות הפיגורים ומחיקת חובות </w:t>
      </w:r>
      <w:r w:rsidRPr="0099006A">
        <w:rPr>
          <w:rtl/>
        </w:rPr>
        <w:t>במג"ק</w:t>
      </w:r>
      <w:r w:rsidRPr="0099006A">
        <w:rPr>
          <w:rtl/>
        </w:rPr>
        <w:t xml:space="preserve">; </w:t>
      </w:r>
    </w:p>
    <w:p w:rsidR="00EF29C7" w:rsidRPr="0099006A" w:rsidP="0099006A" w14:paraId="5BD37D49" w14:textId="77777777">
      <w:pPr>
        <w:pStyle w:val="735"/>
        <w:numPr>
          <w:ilvl w:val="0"/>
          <w:numId w:val="17"/>
        </w:numPr>
      </w:pPr>
      <w:r w:rsidRPr="0099006A">
        <w:rPr>
          <w:rtl/>
        </w:rPr>
        <w:t>ניהול תהליך גביית חובות מסוג פיצויים לנפגעי עבירה והקשר עם נפגעי העבירה</w:t>
      </w:r>
      <w:r w:rsidRPr="0099006A">
        <w:rPr>
          <w:rFonts w:hint="cs"/>
          <w:rtl/>
        </w:rPr>
        <w:t>.</w:t>
      </w:r>
      <w:r w:rsidRPr="0099006A">
        <w:rPr>
          <w:rtl/>
        </w:rPr>
        <w:t xml:space="preserve"> </w:t>
      </w:r>
    </w:p>
    <w:p w:rsidR="00EF29C7" w:rsidRPr="00B17481" w:rsidP="00EF29C7" w14:paraId="5B7A474A" w14:textId="77777777">
      <w:pPr>
        <w:widowControl w:val="0"/>
        <w:spacing w:before="240" w:line="276" w:lineRule="auto"/>
        <w:ind w:left="-1"/>
        <w:rPr>
          <w:rFonts w:ascii="Tahoma" w:hAnsi="Tahoma" w:cs="Tahoma"/>
          <w:sz w:val="18"/>
          <w:szCs w:val="18"/>
        </w:rPr>
      </w:pPr>
      <w:r w:rsidRPr="00B17481">
        <w:rPr>
          <w:rFonts w:ascii="Tahoma" w:hAnsi="Tahoma" w:cs="Tahoma"/>
          <w:sz w:val="18"/>
          <w:szCs w:val="18"/>
          <w:rtl/>
        </w:rPr>
        <w:t xml:space="preserve">בין היתר הועלו ליקויים בנוגע למשכי זמן הטיפול בשלבים השונים של הליך הגבייה, לתהליכי עבודה ידניים ולממשקים ממוחשבים עם גורמי חוץ. בהיעדר שיתוף פעולה מיטבי בין הגורמים השונים, המדינה עשויה להחזיר כספים לאזרחים מסיבות שונות, ובה בעת לנהל נגדם הליכי גביית חובות </w:t>
      </w:r>
      <w:r w:rsidRPr="00B17481">
        <w:rPr>
          <w:rFonts w:ascii="Tahoma" w:hAnsi="Tahoma" w:cs="Tahoma"/>
          <w:sz w:val="18"/>
          <w:szCs w:val="18"/>
          <w:rtl/>
        </w:rPr>
        <w:t>במג"ק</w:t>
      </w:r>
      <w:r w:rsidRPr="00B17481">
        <w:rPr>
          <w:rFonts w:ascii="Tahoma" w:hAnsi="Tahoma" w:cs="Tahoma"/>
          <w:sz w:val="18"/>
          <w:szCs w:val="18"/>
          <w:rtl/>
        </w:rPr>
        <w:t>. כמו כן נמצאו ליקויים בתהליכי מחיקת חובות או תוספות פיגורים</w:t>
      </w:r>
      <w:r w:rsidRPr="00B17481">
        <w:rPr>
          <w:rFonts w:ascii="Tahoma" w:hAnsi="Tahoma" w:cs="Tahoma" w:hint="cs"/>
          <w:sz w:val="18"/>
          <w:szCs w:val="18"/>
          <w:rtl/>
        </w:rPr>
        <w:t xml:space="preserve"> ובנוגע</w:t>
      </w:r>
      <w:r w:rsidRPr="00B17481">
        <w:rPr>
          <w:rFonts w:ascii="Tahoma" w:hAnsi="Tahoma" w:cs="Tahoma"/>
          <w:sz w:val="18"/>
          <w:szCs w:val="18"/>
          <w:rtl/>
        </w:rPr>
        <w:t xml:space="preserve"> </w:t>
      </w:r>
      <w:r w:rsidRPr="00B17481">
        <w:rPr>
          <w:rFonts w:ascii="Tahoma" w:hAnsi="Tahoma" w:cs="Tahoma" w:hint="cs"/>
          <w:sz w:val="18"/>
          <w:szCs w:val="18"/>
          <w:rtl/>
        </w:rPr>
        <w:t>ל</w:t>
      </w:r>
      <w:r w:rsidRPr="00B17481">
        <w:rPr>
          <w:rFonts w:ascii="Tahoma" w:hAnsi="Tahoma" w:cs="Tahoma"/>
          <w:sz w:val="18"/>
          <w:szCs w:val="18"/>
          <w:rtl/>
        </w:rPr>
        <w:t>אפקטיביות גביית פיצויים לנפגעי עבירה</w:t>
      </w:r>
      <w:r w:rsidRPr="00B17481">
        <w:rPr>
          <w:rFonts w:ascii="Tahoma" w:hAnsi="Tahoma" w:cs="Tahoma" w:hint="cs"/>
          <w:sz w:val="18"/>
          <w:szCs w:val="18"/>
          <w:rtl/>
        </w:rPr>
        <w:t>.</w:t>
      </w:r>
      <w:r w:rsidRPr="00B17481">
        <w:rPr>
          <w:rFonts w:ascii="Tahoma" w:hAnsi="Tahoma" w:cs="Tahoma"/>
          <w:sz w:val="18"/>
          <w:szCs w:val="18"/>
          <w:rtl/>
        </w:rPr>
        <w:t xml:space="preserve"> </w:t>
      </w:r>
    </w:p>
    <w:p w:rsidR="00EF29C7" w:rsidRPr="00EF29C7" w:rsidP="00EF29C7" w14:paraId="7D0DBFB1" w14:textId="19CB7A99">
      <w:pPr>
        <w:widowControl w:val="0"/>
        <w:spacing w:before="240" w:line="276" w:lineRule="auto"/>
        <w:ind w:left="-1"/>
        <w:rPr>
          <w:rFonts w:ascii="Tahoma" w:hAnsi="Tahoma" w:cs="Tahoma"/>
          <w:spacing w:val="-4"/>
          <w:sz w:val="18"/>
          <w:szCs w:val="18"/>
        </w:rPr>
      </w:pPr>
      <w:r w:rsidRPr="00EF29C7">
        <w:rPr>
          <w:rFonts w:ascii="Tahoma" w:hAnsi="Tahoma" w:cs="Tahoma"/>
          <w:spacing w:val="-4"/>
          <w:sz w:val="18"/>
          <w:szCs w:val="18"/>
          <w:rtl/>
        </w:rPr>
        <w:t xml:space="preserve">כמו כן, </w:t>
      </w:r>
      <w:r w:rsidRPr="00EF29C7">
        <w:rPr>
          <w:rFonts w:ascii="Tahoma" w:hAnsi="Tahoma" w:cs="Tahoma"/>
          <w:spacing w:val="-4"/>
          <w:sz w:val="18"/>
          <w:szCs w:val="18"/>
          <w:rtl/>
        </w:rPr>
        <w:t>המג"ק</w:t>
      </w:r>
      <w:r w:rsidRPr="00EF29C7">
        <w:rPr>
          <w:rFonts w:ascii="Tahoma" w:hAnsi="Tahoma" w:cs="Tahoma"/>
          <w:spacing w:val="-4"/>
          <w:sz w:val="18"/>
          <w:szCs w:val="18"/>
          <w:rtl/>
        </w:rPr>
        <w:t xml:space="preserve"> אינו מיישם תפיסת גבייה המבוססת על סוג החוב, על גובהו ועל פרופיל החייב, והוא נוקט הליכים דומים כלפי כלל החייבים באופן הפוגע ביעילות הגבייה. בהקשר זה נמצא כי ככל שגובה החוב בתיק עולה, שיעור גביית החובות קטן</w:t>
      </w:r>
      <w:r w:rsidRPr="00EF29C7">
        <w:rPr>
          <w:rFonts w:ascii="Tahoma" w:hAnsi="Tahoma" w:cs="Tahoma" w:hint="cs"/>
          <w:spacing w:val="-4"/>
          <w:sz w:val="18"/>
          <w:szCs w:val="18"/>
          <w:rtl/>
        </w:rPr>
        <w:t>. כך בממוצע</w:t>
      </w:r>
      <w:r w:rsidRPr="00EF29C7">
        <w:rPr>
          <w:rFonts w:ascii="Tahoma" w:hAnsi="Tahoma" w:cs="Tahoma"/>
          <w:spacing w:val="-4"/>
          <w:sz w:val="18"/>
          <w:szCs w:val="18"/>
          <w:rtl/>
        </w:rPr>
        <w:t xml:space="preserve">: שיעורי הגבייה בתיקים שבהם גובה החוב הוא עד 1,000 ש"ח הם 58%; שיעור הגבייה בתיקים שבהם גובה החוב הוא בין 1,000 </w:t>
      </w:r>
      <w:r w:rsidR="007E2211">
        <w:rPr>
          <w:rFonts w:ascii="Tahoma" w:hAnsi="Tahoma" w:cs="Tahoma"/>
          <w:spacing w:val="-4"/>
          <w:sz w:val="18"/>
          <w:szCs w:val="18"/>
          <w:rtl/>
        </w:rPr>
        <w:br/>
      </w:r>
      <w:r w:rsidRPr="00EF29C7">
        <w:rPr>
          <w:rFonts w:ascii="Tahoma" w:hAnsi="Tahoma" w:cs="Tahoma"/>
          <w:spacing w:val="-4"/>
          <w:sz w:val="18"/>
          <w:szCs w:val="18"/>
          <w:rtl/>
        </w:rPr>
        <w:t xml:space="preserve">ל-10,000 ש"ח יורד לכ-34%; שיעור הגבייה בתיקים שבהם גובה החוב הוא בין 10,000 ש"ח </w:t>
      </w:r>
      <w:r w:rsidR="00C62C8E">
        <w:rPr>
          <w:rFonts w:ascii="Tahoma" w:hAnsi="Tahoma" w:cs="Tahoma"/>
          <w:spacing w:val="-4"/>
          <w:sz w:val="18"/>
          <w:szCs w:val="18"/>
          <w:rtl/>
        </w:rPr>
        <w:br/>
      </w:r>
      <w:r w:rsidRPr="00EF29C7">
        <w:rPr>
          <w:rFonts w:ascii="Tahoma" w:hAnsi="Tahoma" w:cs="Tahoma"/>
          <w:spacing w:val="-4"/>
          <w:sz w:val="18"/>
          <w:szCs w:val="18"/>
          <w:rtl/>
        </w:rPr>
        <w:t>ל-100,000 ש"ח הוא 33%; ואילו בתיקים של יותר מ-100,000 ש"ח שיעור הגבייה הוא כ-10% בלבד.</w:t>
      </w:r>
    </w:p>
    <w:p w:rsidR="005B2BF5" w:rsidRPr="00F5320F" w:rsidP="003A0F74" w14:paraId="4E9E45BD" w14:textId="23F47473">
      <w:pPr>
        <w:widowControl w:val="0"/>
        <w:tabs>
          <w:tab w:val="left" w:pos="9604"/>
        </w:tabs>
        <w:spacing w:before="240" w:line="276" w:lineRule="auto"/>
        <w:ind w:left="-1"/>
        <w:rPr>
          <w:rtl/>
        </w:rPr>
      </w:pPr>
      <w:r w:rsidRPr="00B17481">
        <w:rPr>
          <w:rFonts w:ascii="Tahoma" w:hAnsi="Tahoma" w:cs="Tahoma"/>
          <w:sz w:val="18"/>
          <w:szCs w:val="18"/>
          <w:rtl/>
        </w:rPr>
        <w:t xml:space="preserve">על </w:t>
      </w:r>
      <w:r w:rsidRPr="00B17481">
        <w:rPr>
          <w:rFonts w:ascii="Tahoma" w:hAnsi="Tahoma" w:cs="Tahoma"/>
          <w:sz w:val="18"/>
          <w:szCs w:val="18"/>
          <w:rtl/>
        </w:rPr>
        <w:t>המג"ק</w:t>
      </w:r>
      <w:r w:rsidRPr="00B17481">
        <w:rPr>
          <w:rFonts w:ascii="Tahoma" w:hAnsi="Tahoma" w:cs="Tahoma"/>
          <w:sz w:val="18"/>
          <w:szCs w:val="18"/>
          <w:rtl/>
        </w:rPr>
        <w:t xml:space="preserve"> לפעול לייעול הליך גביית החובות ולקיצור משך הזמן לגבייתם כדי להקטין את ההוצאות המושתות על הקופה הציבורית ועל החייב. בין היתר, מוצע כי </w:t>
      </w:r>
      <w:r w:rsidRPr="00B17481">
        <w:rPr>
          <w:rFonts w:ascii="Tahoma" w:hAnsi="Tahoma" w:cs="Tahoma"/>
          <w:sz w:val="18"/>
          <w:szCs w:val="18"/>
          <w:rtl/>
        </w:rPr>
        <w:t>המג"ק</w:t>
      </w:r>
      <w:r w:rsidRPr="00B17481">
        <w:rPr>
          <w:rFonts w:ascii="Tahoma" w:hAnsi="Tahoma" w:cs="Tahoma"/>
          <w:sz w:val="18"/>
          <w:szCs w:val="18"/>
          <w:rtl/>
        </w:rPr>
        <w:t xml:space="preserve"> יבצע אפיון של פעולות נוספות שראוי שיתבצעו באופן אוטומטי על ידי המערכת הממוחשבת ויבחן גם את האפשרות להרחיב את מנגנון קבלת תיקים בשלב טרום-חוב, המייעלים את הגבייה. נוסף על כך, על </w:t>
      </w:r>
      <w:r w:rsidRPr="00B17481">
        <w:rPr>
          <w:rFonts w:ascii="Tahoma" w:hAnsi="Tahoma" w:cs="Tahoma"/>
          <w:sz w:val="18"/>
          <w:szCs w:val="18"/>
          <w:rtl/>
        </w:rPr>
        <w:t>המג"ק</w:t>
      </w:r>
      <w:r w:rsidRPr="00B17481">
        <w:rPr>
          <w:rFonts w:ascii="Tahoma" w:hAnsi="Tahoma" w:cs="Tahoma"/>
          <w:sz w:val="18"/>
          <w:szCs w:val="18"/>
          <w:rtl/>
        </w:rPr>
        <w:t xml:space="preserve">, משרדי הממשלה השונים </w:t>
      </w:r>
      <w:r w:rsidRPr="00B17481">
        <w:rPr>
          <w:rFonts w:ascii="Tahoma" w:hAnsi="Tahoma" w:cs="Tahoma"/>
          <w:sz w:val="18"/>
          <w:szCs w:val="18"/>
          <w:rtl/>
        </w:rPr>
        <w:t>והחשכ"ל</w:t>
      </w:r>
      <w:r w:rsidRPr="00B17481">
        <w:rPr>
          <w:rFonts w:ascii="Tahoma" w:hAnsi="Tahoma" w:cs="Tahoma"/>
          <w:sz w:val="18"/>
          <w:szCs w:val="18"/>
          <w:rtl/>
        </w:rPr>
        <w:t xml:space="preserve"> לפעול להסדרת ממשקי העבודה ביניהם ולהתאים את מערכי החזרי הכספים וגביית החובות באופן שיובטחו יעילות בהליכי הגבייה וחיסכון בהוצאות המדינה, בד בבד עם הבטחת העיקרון ש"חובות יש לשלם" ותוך הקפדה על שמירת פרטיות החייבים. עוד מוצע כי </w:t>
      </w:r>
      <w:r w:rsidRPr="00B17481">
        <w:rPr>
          <w:rFonts w:ascii="Tahoma" w:hAnsi="Tahoma" w:cs="Tahoma"/>
          <w:sz w:val="18"/>
          <w:szCs w:val="18"/>
          <w:rtl/>
        </w:rPr>
        <w:t>המג"ק</w:t>
      </w:r>
      <w:r w:rsidRPr="00B17481">
        <w:rPr>
          <w:rFonts w:ascii="Tahoma" w:hAnsi="Tahoma" w:cs="Tahoma"/>
          <w:sz w:val="18"/>
          <w:szCs w:val="18"/>
          <w:rtl/>
        </w:rPr>
        <w:t xml:space="preserve"> ישתמש במלוא הכלים העומדים לרשותו לצורך מניעת הברחת נכסים על ידי חייבים ולצורך איתורם, ובין היתר יבצע אפיון של הליכי הגבייה בהתאם לסוג החוב, לגובהו ולפרופיל החייב. זאת ועוד, על </w:t>
      </w:r>
      <w:r w:rsidRPr="00B17481">
        <w:rPr>
          <w:rFonts w:ascii="Tahoma" w:hAnsi="Tahoma" w:cs="Tahoma"/>
          <w:sz w:val="18"/>
          <w:szCs w:val="18"/>
          <w:rtl/>
        </w:rPr>
        <w:t>המג"ק</w:t>
      </w:r>
      <w:r w:rsidRPr="00B17481">
        <w:rPr>
          <w:rFonts w:ascii="Tahoma" w:hAnsi="Tahoma" w:cs="Tahoma"/>
          <w:sz w:val="18"/>
          <w:szCs w:val="18"/>
          <w:rtl/>
        </w:rPr>
        <w:t xml:space="preserve"> להבטיח ככל הניתן את זכויותיהם של נפגעי עבירה לקבלת פיצויים בגין הפגיעה כפי שנפסקו להם ובמהירות הראוי</w:t>
      </w:r>
      <w:r w:rsidR="00C62C8E">
        <w:rPr>
          <w:rFonts w:ascii="Tahoma" w:hAnsi="Tahoma" w:cs="Tahoma" w:hint="cs"/>
          <w:sz w:val="18"/>
          <w:szCs w:val="18"/>
          <w:rtl/>
        </w:rPr>
        <w:t>ה</w:t>
      </w:r>
      <w:r w:rsidRPr="006615C6" w:rsidR="004E71DD">
        <w:rPr>
          <w:rFonts w:ascii="Tahoma" w:hAnsi="Tahoma" w:cs="Tahoma" w:hint="cs"/>
          <w:sz w:val="18"/>
          <w:szCs w:val="18"/>
          <w:rtl/>
        </w:rPr>
        <w:t xml:space="preserve">. </w:t>
      </w:r>
    </w:p>
    <w:sectPr w:rsidSect="003A0F74">
      <w:headerReference w:type="default" r:id="rId31"/>
      <w:pgSz w:w="11906" w:h="16838" w:code="9"/>
      <w:pgMar w:top="3062" w:right="2268" w:bottom="2552" w:left="2268" w:header="1134" w:footer="1361" w:gutter="0"/>
      <w:pgNumType w:start="2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185BC8" w14:paraId="11B4DBA5" w14:textId="77777777">
      <w:pPr>
        <w:spacing w:line="240" w:lineRule="auto"/>
      </w:pPr>
      <w:r>
        <w:separator/>
      </w:r>
    </w:p>
    <w:p w:rsidR="00185BC8" w14:paraId="625AFB24" w14:textId="77777777"/>
    <w:p w:rsidR="00185BC8" w14:paraId="576188BE" w14:textId="77777777"/>
    <w:p w:rsidR="00185BC8" w14:paraId="53C7B3BE" w14:textId="77777777"/>
  </w:endnote>
  <w:endnote w:type="continuationSeparator" w:id="1">
    <w:p w:rsidR="00185BC8" w14:paraId="625D21C7" w14:textId="77777777">
      <w:pPr>
        <w:spacing w:line="240" w:lineRule="auto"/>
      </w:pPr>
      <w:r>
        <w:continuationSeparator/>
      </w:r>
    </w:p>
    <w:p w:rsidR="00185BC8" w14:paraId="29E5C6A8" w14:textId="77777777"/>
    <w:p w:rsidR="00185BC8" w14:paraId="6F02DC11" w14:textId="77777777"/>
    <w:p w:rsidR="00185BC8" w14:paraId="5BC16B7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0F74" w:rsidP="003A0F74" w14:paraId="728CF569" w14:textId="77777777">
    <w:pPr>
      <w:pStyle w:val="Footer"/>
      <w:spacing w:after="120" w:line="312" w:lineRule="auto"/>
      <w:ind w:left="-510"/>
      <w:jc w:val="left"/>
      <w:rPr>
        <w:rFonts w:ascii="Tahoma" w:hAnsi="Tahoma" w:cs="Tahoma"/>
        <w:sz w:val="18"/>
        <w:szCs w:val="18"/>
        <w:rtl/>
      </w:rPr>
    </w:pPr>
  </w:p>
  <w:p w:rsidR="003A0F74" w:rsidP="003A0F74" w14:paraId="24AFBA5A" w14:textId="77777777">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6</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3A0F74" w:rsidRPr="003A0F74" w:rsidP="003A0F74" w14:paraId="4289CC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3294" w14:paraId="206BE6B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85BC8" w:rsidP="00E7235E" w14:paraId="5787400D" w14:textId="77777777">
      <w:pPr>
        <w:spacing w:line="240" w:lineRule="auto"/>
      </w:pPr>
      <w:r>
        <w:separator/>
      </w:r>
    </w:p>
  </w:footnote>
  <w:footnote w:type="continuationSeparator" w:id="1">
    <w:p w:rsidR="00185BC8" w:rsidP="00C23CC9" w14:paraId="74362DC0" w14:textId="77777777">
      <w:pPr>
        <w:spacing w:line="240" w:lineRule="auto"/>
      </w:pPr>
      <w:r>
        <w:continuationSeparator/>
      </w:r>
    </w:p>
    <w:p w:rsidR="00185BC8" w14:paraId="5D8615F6" w14:textId="77777777"/>
    <w:p w:rsidR="00185BC8" w14:paraId="7C0557E7" w14:textId="77777777"/>
    <w:p w:rsidR="00185BC8" w14:paraId="740A3B71" w14:textId="77777777"/>
  </w:footnote>
  <w:footnote w:id="2">
    <w:p w:rsidR="008611D6" w:rsidP="00B439C8" w14:paraId="2E9D4DF4" w14:textId="77777777">
      <w:pPr>
        <w:pStyle w:val="733"/>
      </w:pPr>
      <w:r w:rsidRPr="007E2211">
        <w:footnoteRef/>
      </w:r>
      <w:r w:rsidRPr="007E2211">
        <w:rPr>
          <w:rtl/>
        </w:rPr>
        <w:t xml:space="preserve"> </w:t>
      </w:r>
      <w:r w:rsidRPr="00F46613">
        <w:rPr>
          <w:sz w:val="19"/>
          <w:szCs w:val="19"/>
          <w:rtl/>
        </w:rPr>
        <w:tab/>
      </w:r>
      <w:r w:rsidRPr="00F46613">
        <w:rPr>
          <w:rtl/>
        </w:rPr>
        <w:t xml:space="preserve">מבקר המדינה, </w:t>
      </w:r>
      <w:r w:rsidRPr="00F46613">
        <w:rPr>
          <w:b/>
          <w:bCs/>
          <w:rtl/>
        </w:rPr>
        <w:t>דוח שנתי 63ג</w:t>
      </w:r>
      <w:r w:rsidRPr="00F46613">
        <w:rPr>
          <w:rtl/>
        </w:rPr>
        <w:t xml:space="preserve"> (2012), "היבטים בעבודת רשות האכיפה והגבייה מול ציבור הזוכים והחייבים", עמ' 1161 - 1187.</w:t>
      </w:r>
    </w:p>
  </w:footnote>
  <w:footnote w:id="3">
    <w:p w:rsidR="008611D6" w:rsidRPr="00F46613" w:rsidP="00B439C8" w14:paraId="66CB282C" w14:textId="77777777">
      <w:pPr>
        <w:pStyle w:val="733"/>
      </w:pPr>
      <w:r w:rsidRPr="00F46613">
        <w:footnoteRef/>
      </w:r>
      <w:r w:rsidRPr="00F46613">
        <w:rPr>
          <w:rtl/>
        </w:rPr>
        <w:t xml:space="preserve"> </w:t>
      </w:r>
      <w:bookmarkStart w:id="1" w:name="_Hlk126751568"/>
      <w:r>
        <w:rPr>
          <w:rtl/>
        </w:rPr>
        <w:tab/>
      </w:r>
      <w:r w:rsidRPr="00F46613">
        <w:rPr>
          <w:rFonts w:hint="cs"/>
          <w:rtl/>
        </w:rPr>
        <w:t>יש לציין כי רבים מהחובות בסך של עד 1,000 ש"ח הם קנסות תעבורה להם מתווספת תוספת פיגורים בשיעור של 50% מיד בחלוף המועד הקובע לתשלום וללא תלות בהליכי גבייה, וייתכן שזוהי הסיבה לשיעור הגבוה של התוספות לחוב בחובות בסכום זה.</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2B286DD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8611D6" w:rsidR="008611D6">
                            <w:rPr>
                              <w:rFonts w:ascii="Tahoma" w:hAnsi="Tahoma" w:cs="Tahoma"/>
                              <w:b/>
                              <w:bCs/>
                              <w:rtl/>
                            </w:rPr>
                            <w:t>המרכז לגביית קנסות ברשות האכיפה והגבייה</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2B286DD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8611D6" w:rsidR="008611D6">
                      <w:rPr>
                        <w:rFonts w:ascii="Tahoma" w:hAnsi="Tahoma" w:cs="Tahoma"/>
                        <w:b/>
                        <w:bCs/>
                        <w:rtl/>
                      </w:rPr>
                      <w:t>המרכז לגביית קנסות ברשות האכיפה והגבייה</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08548246">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EB37C4">
                            <w:rPr>
                              <w:rFonts w:ascii="Tahoma" w:hAnsi="Tahoma" w:cs="Tahoma" w:hint="cs"/>
                              <w:color w:val="0D0D0D"/>
                              <w:sz w:val="16"/>
                              <w:szCs w:val="16"/>
                              <w:rtl/>
                            </w:rPr>
                            <w:t>אייר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textId="34B6912D">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C55DC9" w:rsidRPr="00136A3E" w:rsidP="00C55DC9" w14:paraId="5AEC4C14" w14:textId="08548246">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EB37C4">
                      <w:rPr>
                        <w:rFonts w:ascii="Tahoma" w:hAnsi="Tahoma" w:cs="Tahoma" w:hint="cs"/>
                        <w:color w:val="0D0D0D"/>
                        <w:sz w:val="16"/>
                        <w:szCs w:val="16"/>
                        <w:rtl/>
                      </w:rPr>
                      <w:t>אייר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paraId="1CF273F4" w14:textId="34B6912D">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4A4E4A87">
                          <w:pPr>
                            <w:pStyle w:val="Heading1"/>
                            <w:spacing w:line="269" w:lineRule="auto"/>
                            <w:jc w:val="left"/>
                            <w:rPr>
                              <w:rFonts w:ascii="Tahoma" w:hAnsi="Tahoma" w:eastAsiaTheme="minorHAnsi" w:cs="Tahoma"/>
                              <w:bCs w:val="0"/>
                              <w:color w:val="0D0D0D" w:themeColor="text1" w:themeTint="F2"/>
                              <w:sz w:val="16"/>
                              <w:szCs w:val="16"/>
                              <w:u w:val="none"/>
                            </w:rPr>
                          </w:pPr>
                          <w:r w:rsidRPr="003A0F74">
                            <w:rPr>
                              <w:rFonts w:ascii="Tahoma" w:hAnsi="Tahoma" w:eastAsiaTheme="minorHAnsi" w:cs="Tahoma"/>
                              <w:bCs w:val="0"/>
                              <w:color w:val="0D0D0D" w:themeColor="text1" w:themeTint="F2"/>
                              <w:sz w:val="16"/>
                              <w:szCs w:val="16"/>
                              <w:u w:val="none"/>
                              <w:rtl/>
                            </w:rPr>
                            <w:t xml:space="preserve">המרכז לגביית קנסות ברשות  האכיפה והגבייה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4A4E4A87">
                    <w:pPr>
                      <w:pStyle w:val="Heading1"/>
                      <w:spacing w:line="269" w:lineRule="auto"/>
                      <w:jc w:val="left"/>
                      <w:rPr>
                        <w:rFonts w:ascii="Tahoma" w:hAnsi="Tahoma" w:eastAsiaTheme="minorHAnsi" w:cs="Tahoma"/>
                        <w:bCs w:val="0"/>
                        <w:color w:val="0D0D0D" w:themeColor="text1" w:themeTint="F2"/>
                        <w:sz w:val="16"/>
                        <w:szCs w:val="16"/>
                        <w:u w:val="none"/>
                      </w:rPr>
                    </w:pPr>
                    <w:r w:rsidRPr="003A0F74">
                      <w:rPr>
                        <w:rFonts w:ascii="Tahoma" w:hAnsi="Tahoma" w:eastAsiaTheme="minorHAnsi" w:cs="Tahoma"/>
                        <w:bCs w:val="0"/>
                        <w:color w:val="0D0D0D" w:themeColor="text1" w:themeTint="F2"/>
                        <w:sz w:val="16"/>
                        <w:szCs w:val="16"/>
                        <w:u w:val="none"/>
                        <w:rtl/>
                      </w:rPr>
                      <w:t xml:space="preserve">המרכז לגביית קנסות ברשות  האכיפה והגבייה  </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3A0F74" w:rsidRPr="009B7D1B" w:rsidP="003A0F74"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8611D6">
                            <w:rPr>
                              <w:rFonts w:ascii="Tahoma" w:hAnsi="Tahoma" w:cs="Tahoma"/>
                              <w:b/>
                              <w:bCs/>
                              <w:rtl/>
                            </w:rPr>
                            <w:t>המרכז לגביית קנסות ברשות האכיפה והגבייה</w:t>
                          </w:r>
                        </w:p>
                        <w:p w:rsidR="00E56721" w:rsidRPr="009B7D1B" w:rsidP="008611D6" w14:textId="44E007F4">
                          <w:pPr>
                            <w:pStyle w:val="Bodytext70"/>
                            <w:shd w:val="clear" w:color="auto" w:fill="003060"/>
                            <w:rPr>
                              <w:rFonts w:ascii="Tahoma" w:hAnsi="Tahoma" w:cs="Tahoma"/>
                              <w:b/>
                              <w:bCs/>
                              <w:rtl/>
                            </w:rPr>
                          </w:pP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3A0F74" w:rsidRPr="009B7D1B" w:rsidP="003A0F74" w14:paraId="619DFF38"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8611D6">
                      <w:rPr>
                        <w:rFonts w:ascii="Tahoma" w:hAnsi="Tahoma" w:cs="Tahoma"/>
                        <w:b/>
                        <w:bCs/>
                        <w:rtl/>
                      </w:rPr>
                      <w:t>המרכז לגביית קנסות ברשות האכיפה והגבייה</w:t>
                    </w:r>
                  </w:p>
                  <w:p w:rsidR="00E56721" w:rsidRPr="009B7D1B" w:rsidP="008611D6" w14:paraId="3B4CCAD6" w14:textId="44E007F4">
                    <w:pPr>
                      <w:pStyle w:val="Bodytext70"/>
                      <w:shd w:val="clear" w:color="auto" w:fill="003060"/>
                      <w:rPr>
                        <w:rFonts w:ascii="Tahoma" w:hAnsi="Tahoma" w:cs="Tahoma"/>
                        <w:b/>
                        <w:bCs/>
                        <w:rtl/>
                      </w:rPr>
                    </w:pP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4F35A1C8">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EB37C4">
                            <w:rPr>
                              <w:rFonts w:ascii="Tahoma" w:hAnsi="Tahoma" w:cs="Tahoma" w:hint="cs"/>
                              <w:color w:val="0D0D0D"/>
                              <w:sz w:val="16"/>
                              <w:szCs w:val="16"/>
                              <w:rtl/>
                            </w:rPr>
                            <w:t>אייר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textId="7A51444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C55DC9" w:rsidRPr="00136A3E" w:rsidP="00C55DC9" w14:paraId="1AB55108" w14:textId="4F35A1C8">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EB37C4">
                      <w:rPr>
                        <w:rFonts w:ascii="Tahoma" w:hAnsi="Tahoma" w:cs="Tahoma" w:hint="cs"/>
                        <w:color w:val="0D0D0D"/>
                        <w:sz w:val="16"/>
                        <w:szCs w:val="16"/>
                        <w:rtl/>
                      </w:rPr>
                      <w:t>אייר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paraId="0C0E463E" w14:textId="7A51444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6AE729C"/>
    <w:lvl w:ilvl="0">
      <w:start w:val="1"/>
      <w:numFmt w:val="decimal"/>
      <w:lvlText w:val="%1."/>
      <w:lvlJc w:val="left"/>
      <w:pPr>
        <w:tabs>
          <w:tab w:val="num" w:pos="1492"/>
        </w:tabs>
        <w:ind w:left="1492" w:hanging="360"/>
      </w:pPr>
    </w:lvl>
  </w:abstractNum>
  <w:abstractNum w:abstractNumId="1">
    <w:nsid w:val="FFFFFF7D"/>
    <w:multiLevelType w:val="singleLevel"/>
    <w:tmpl w:val="1CA67346"/>
    <w:lvl w:ilvl="0">
      <w:start w:val="1"/>
      <w:numFmt w:val="decimal"/>
      <w:lvlText w:val="%1."/>
      <w:lvlJc w:val="left"/>
      <w:pPr>
        <w:tabs>
          <w:tab w:val="num" w:pos="1209"/>
        </w:tabs>
        <w:ind w:left="1209" w:hanging="360"/>
      </w:pPr>
    </w:lvl>
  </w:abstractNum>
  <w:abstractNum w:abstractNumId="2">
    <w:nsid w:val="FFFFFF7F"/>
    <w:multiLevelType w:val="singleLevel"/>
    <w:tmpl w:val="CB0C3C36"/>
    <w:lvl w:ilvl="0">
      <w:start w:val="1"/>
      <w:numFmt w:val="decimal"/>
      <w:lvlText w:val="%1."/>
      <w:lvlJc w:val="left"/>
      <w:pPr>
        <w:tabs>
          <w:tab w:val="num" w:pos="643"/>
        </w:tabs>
        <w:ind w:left="643" w:hanging="360"/>
      </w:pPr>
    </w:lvl>
  </w:abstractNum>
  <w:abstractNum w:abstractNumId="3">
    <w:nsid w:val="FFFFFF80"/>
    <w:multiLevelType w:val="singleLevel"/>
    <w:tmpl w:val="E6D0640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2152B682"/>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F1A4B37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B270215A"/>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5A944B58"/>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D687B35"/>
    <w:multiLevelType w:val="multilevel"/>
    <w:tmpl w:val="B4F6D85A"/>
    <w:lvl w:ilvl="0">
      <w:start w:val="2"/>
      <w:numFmt w:val="decimal"/>
      <w:lvlText w:val="%1."/>
      <w:lvlJc w:val="left"/>
      <w:pPr>
        <w:ind w:left="397" w:hanging="397"/>
      </w:pPr>
      <w:rPr>
        <w:rFonts w:hint="default"/>
      </w:rPr>
    </w:lvl>
    <w:lvl w:ilvl="1">
      <w:start w:val="1"/>
      <w:numFmt w:val="decimal"/>
      <w:lvlText w:val="%2."/>
      <w:lvlJc w:val="left"/>
      <w:pPr>
        <w:ind w:left="360" w:hanging="360"/>
      </w:pPr>
      <w:rPr>
        <w:rFonts w:hint="default"/>
        <w:b w:val="0"/>
        <w:i w:val="0"/>
        <w:sz w:val="18"/>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73052CD"/>
    <w:multiLevelType w:val="hybridMultilevel"/>
    <w:tmpl w:val="15CA6676"/>
    <w:lvl w:ilvl="0">
      <w:start w:val="1"/>
      <w:numFmt w:val="decimal"/>
      <w:lvlText w:val="%1."/>
      <w:lvlJc w:val="left"/>
      <w:pPr>
        <w:ind w:left="397" w:hanging="397"/>
      </w:pPr>
      <w:rPr>
        <w:rFonts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CB75F0B"/>
    <w:multiLevelType w:val="hybridMultilevel"/>
    <w:tmpl w:val="D2D4AFFA"/>
    <w:lvl w:ilvl="0">
      <w:start w:val="1"/>
      <w:numFmt w:val="decimal"/>
      <w:lvlText w:val="%1."/>
      <w:lvlJc w:val="left"/>
      <w:pPr>
        <w:ind w:left="397" w:hanging="397"/>
      </w:pPr>
      <w:rPr>
        <w:rFonts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82C6422"/>
    <w:multiLevelType w:val="multilevel"/>
    <w:tmpl w:val="4824F488"/>
    <w:lvl w:ilvl="0">
      <w:start w:val="1"/>
      <w:numFmt w:val="decimal"/>
      <w:lvlText w:val="%1."/>
      <w:lvlJc w:val="left"/>
      <w:pPr>
        <w:ind w:left="340" w:hanging="340"/>
      </w:pPr>
    </w:lvl>
    <w:lvl w:ilvl="1">
      <w:start w:val="1"/>
      <w:numFmt w:val="decimal"/>
      <w:lvlText w:val="%2."/>
      <w:lvlJc w:val="left"/>
      <w:pPr>
        <w:ind w:left="360" w:hanging="360"/>
      </w:pPr>
      <w:rPr>
        <w:rFonts w:hint="default"/>
        <w:b w:val="0"/>
        <w:i w:val="0"/>
        <w:sz w:val="18"/>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0">
    <w:nsid w:val="651224D8"/>
    <w:multiLevelType w:val="hybridMultilevel"/>
    <w:tmpl w:val="057A8258"/>
    <w:lvl w:ilvl="0">
      <w:start w:val="1"/>
      <w:numFmt w:val="decimal"/>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0066FE9"/>
    <w:multiLevelType w:val="hybridMultilevel"/>
    <w:tmpl w:val="DDD2442E"/>
    <w:lvl w:ilvl="0">
      <w:start w:val="1"/>
      <w:numFmt w:val="decimal"/>
      <w:lvlText w:val="%1."/>
      <w:lvlJc w:val="left"/>
      <w:pPr>
        <w:ind w:left="397" w:hanging="397"/>
      </w:pPr>
      <w:rPr>
        <w:rFonts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13260BD"/>
    <w:multiLevelType w:val="hybridMultilevel"/>
    <w:tmpl w:val="47A057FE"/>
    <w:lvl w:ilvl="0">
      <w:start w:val="1"/>
      <w:numFmt w:val="hebrew1"/>
      <w:lvlText w:val="%1."/>
      <w:lvlJc w:val="left"/>
      <w:pPr>
        <w:ind w:left="717" w:hanging="360"/>
      </w:pPr>
      <w:rPr>
        <w:rFonts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23">
    <w:nsid w:val="737E68D6"/>
    <w:multiLevelType w:val="hybridMultilevel"/>
    <w:tmpl w:val="B33CA0B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7"/>
  </w:num>
  <w:num w:numId="2">
    <w:abstractNumId w:val="10"/>
  </w:num>
  <w:num w:numId="3">
    <w:abstractNumId w:val="11"/>
  </w:num>
  <w:num w:numId="4">
    <w:abstractNumId w:val="24"/>
  </w:num>
  <w:num w:numId="5">
    <w:abstractNumId w:val="8"/>
  </w:num>
  <w:num w:numId="6">
    <w:abstractNumId w:val="13"/>
  </w:num>
  <w:num w:numId="7">
    <w:abstractNumId w:val="19"/>
  </w:num>
  <w:num w:numId="8">
    <w:abstractNumId w:val="9"/>
  </w:num>
  <w:num w:numId="9">
    <w:abstractNumId w:val="18"/>
  </w:num>
  <w:num w:numId="10">
    <w:abstractNumId w:val="20"/>
  </w:num>
  <w:num w:numId="11">
    <w:abstractNumId w:val="22"/>
  </w:num>
  <w:num w:numId="12">
    <w:abstractNumId w:val="14"/>
  </w:num>
  <w:num w:numId="13">
    <w:abstractNumId w:val="15"/>
  </w:num>
  <w:num w:numId="14">
    <w:abstractNumId w:val="21"/>
  </w:num>
  <w:num w:numId="15">
    <w:abstractNumId w:val="16"/>
  </w:num>
  <w:num w:numId="16">
    <w:abstractNumId w:val="12"/>
  </w:num>
  <w:num w:numId="17">
    <w:abstractNumId w:val="23"/>
  </w:num>
  <w:num w:numId="18">
    <w:abstractNumId w:val="3"/>
  </w:num>
  <w:num w:numId="19">
    <w:abstractNumId w:val="4"/>
  </w:num>
  <w:num w:numId="20">
    <w:abstractNumId w:val="5"/>
  </w:num>
  <w:num w:numId="21">
    <w:abstractNumId w:val="6"/>
  </w:num>
  <w:num w:numId="22">
    <w:abstractNumId w:val="7"/>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0"/>
  </w:num>
  <w:num w:numId="32">
    <w:abstractNumId w:val="1"/>
  </w:num>
  <w:num w:numId="3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4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07D"/>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2EAB"/>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270"/>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744"/>
    <w:rsid w:val="00141853"/>
    <w:rsid w:val="00141BD6"/>
    <w:rsid w:val="00141E09"/>
    <w:rsid w:val="00141F98"/>
    <w:rsid w:val="00142206"/>
    <w:rsid w:val="00143176"/>
    <w:rsid w:val="001431D6"/>
    <w:rsid w:val="001433A5"/>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0E09"/>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BC8"/>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7B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37E"/>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2BBF"/>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00"/>
    <w:rsid w:val="00315624"/>
    <w:rsid w:val="00315BD6"/>
    <w:rsid w:val="00315D7F"/>
    <w:rsid w:val="00315FF2"/>
    <w:rsid w:val="00316385"/>
    <w:rsid w:val="00316C57"/>
    <w:rsid w:val="00316F0F"/>
    <w:rsid w:val="003177E2"/>
    <w:rsid w:val="0032022E"/>
    <w:rsid w:val="00321066"/>
    <w:rsid w:val="0032110F"/>
    <w:rsid w:val="00321208"/>
    <w:rsid w:val="0032289E"/>
    <w:rsid w:val="003228CE"/>
    <w:rsid w:val="00322998"/>
    <w:rsid w:val="00322A81"/>
    <w:rsid w:val="00322CC6"/>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2F6"/>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660B"/>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0F74"/>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0DEB"/>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4D95"/>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228"/>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760"/>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336"/>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17"/>
    <w:rsid w:val="006E08BF"/>
    <w:rsid w:val="006E123A"/>
    <w:rsid w:val="006E1372"/>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583"/>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6EB1"/>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44B"/>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211"/>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1"/>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1D6"/>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1E4"/>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3D43"/>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06A"/>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BD8"/>
    <w:rsid w:val="009B1FD6"/>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D7F0E"/>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2F6"/>
    <w:rsid w:val="00A0287D"/>
    <w:rsid w:val="00A03332"/>
    <w:rsid w:val="00A0369C"/>
    <w:rsid w:val="00A03771"/>
    <w:rsid w:val="00A04024"/>
    <w:rsid w:val="00A04595"/>
    <w:rsid w:val="00A04836"/>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6B"/>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776"/>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03D"/>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20F"/>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481"/>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45F0"/>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9C8"/>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051"/>
    <w:rsid w:val="00B5445A"/>
    <w:rsid w:val="00B555A9"/>
    <w:rsid w:val="00B55A15"/>
    <w:rsid w:val="00B55A1E"/>
    <w:rsid w:val="00B55E82"/>
    <w:rsid w:val="00B563AF"/>
    <w:rsid w:val="00B563E9"/>
    <w:rsid w:val="00B56902"/>
    <w:rsid w:val="00B56922"/>
    <w:rsid w:val="00B56B70"/>
    <w:rsid w:val="00B5745A"/>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5E7"/>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274E"/>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398"/>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6D2C"/>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C8E"/>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4B67"/>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294"/>
    <w:rsid w:val="00C93941"/>
    <w:rsid w:val="00C94703"/>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585"/>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300"/>
    <w:rsid w:val="00E56721"/>
    <w:rsid w:val="00E5703B"/>
    <w:rsid w:val="00E577EC"/>
    <w:rsid w:val="00E57C4D"/>
    <w:rsid w:val="00E602BD"/>
    <w:rsid w:val="00E61A8D"/>
    <w:rsid w:val="00E62337"/>
    <w:rsid w:val="00E62809"/>
    <w:rsid w:val="00E63321"/>
    <w:rsid w:val="00E634AD"/>
    <w:rsid w:val="00E635BD"/>
    <w:rsid w:val="00E63675"/>
    <w:rsid w:val="00E638A7"/>
    <w:rsid w:val="00E63BC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3FA"/>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7C4"/>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6B8E"/>
    <w:rsid w:val="00EC73C2"/>
    <w:rsid w:val="00EC749B"/>
    <w:rsid w:val="00EC760C"/>
    <w:rsid w:val="00EC7CED"/>
    <w:rsid w:val="00ED025B"/>
    <w:rsid w:val="00ED0541"/>
    <w:rsid w:val="00ED079F"/>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4AFE"/>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29C7"/>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87F"/>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37B40"/>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613"/>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20F"/>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C50"/>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2FD"/>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99"/>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F07E70"/>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uiPriority w:val="99"/>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aliases w:val="רשימת תרשימים"/>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B039B"/>
    <w:pPr>
      <w:widowControl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99"/>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Char תו1,Sharp - Footnote Text1 Char תו"/>
    <w:uiPriority w:val="99"/>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uiPriority w:val="99"/>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6"/>
    <w:link w:val="7328"/>
    <w:qFormat/>
    <w:rsid w:val="00F07E70"/>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F07E70"/>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78358A"/>
    <w:rPr>
      <w:color w:val="0D0D0D" w:themeColor="text1" w:themeTint="F2"/>
      <w:sz w:val="18"/>
    </w:rPr>
  </w:style>
  <w:style w:type="character" w:customStyle="1" w:styleId="7393">
    <w:name w:val="73א טקסט רץ 9 תו"/>
    <w:basedOn w:val="Char4"/>
    <w:link w:val="7392"/>
    <w:rsid w:val="0078358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uiPriority w:val="99"/>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6">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437586"/>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42">
    <w:name w:val="73 הביקורת הנוכחית"/>
    <w:qFormat/>
    <w:rsid w:val="009B1FD6"/>
    <w:pPr>
      <w:spacing w:before="240" w:after="180" w:line="240" w:lineRule="atLeast"/>
      <w:outlineLvl w:val="4"/>
    </w:pPr>
    <w:rPr>
      <w:rFonts w:ascii="Tahoma" w:eastAsia="Times New Roman" w:hAnsi="Tahoma" w:cs="Tahoma"/>
      <w:b/>
      <w:bCs/>
      <w:color w:val="00305F"/>
      <w:spacing w:val="20"/>
      <w:sz w:val="26"/>
      <w:szCs w:val="26"/>
    </w:rPr>
  </w:style>
  <w:style w:type="table" w:styleId="ListTable4Accent1">
    <w:name w:val="List Table 4 Accent 1"/>
    <w:basedOn w:val="TableNormal"/>
    <w:uiPriority w:val="49"/>
    <w:rsid w:val="00FE42FD"/>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7">
    <w:name w:val="אזכור לא מזוהה1"/>
    <w:basedOn w:val="DefaultParagraphFont"/>
    <w:uiPriority w:val="99"/>
    <w:semiHidden/>
    <w:unhideWhenUsed/>
    <w:rsid w:val="00FE42FD"/>
    <w:rPr>
      <w:color w:val="605E5C"/>
      <w:shd w:val="clear" w:color="auto" w:fill="E1DFDD"/>
    </w:rPr>
  </w:style>
  <w:style w:type="character" w:customStyle="1" w:styleId="219">
    <w:name w:val="אזכור לא מזוהה2"/>
    <w:basedOn w:val="DefaultParagraphFont"/>
    <w:uiPriority w:val="99"/>
    <w:semiHidden/>
    <w:unhideWhenUsed/>
    <w:rsid w:val="00FE42FD"/>
    <w:rPr>
      <w:color w:val="605E5C"/>
      <w:shd w:val="clear" w:color="auto" w:fill="E1DFDD"/>
    </w:rPr>
  </w:style>
  <w:style w:type="character" w:customStyle="1" w:styleId="35">
    <w:name w:val="אזכור לא מזוהה3"/>
    <w:basedOn w:val="DefaultParagraphFont"/>
    <w:uiPriority w:val="99"/>
    <w:semiHidden/>
    <w:unhideWhenUsed/>
    <w:rsid w:val="00FE42FD"/>
    <w:rPr>
      <w:color w:val="605E5C"/>
      <w:shd w:val="clear" w:color="auto" w:fill="E1DFDD"/>
    </w:rPr>
  </w:style>
  <w:style w:type="character" w:customStyle="1" w:styleId="42">
    <w:name w:val="אזכור לא מזוהה4"/>
    <w:basedOn w:val="DefaultParagraphFont"/>
    <w:uiPriority w:val="99"/>
    <w:semiHidden/>
    <w:unhideWhenUsed/>
    <w:rsid w:val="00FE42FD"/>
    <w:rPr>
      <w:color w:val="605E5C"/>
      <w:shd w:val="clear" w:color="auto" w:fill="E1DFDD"/>
    </w:rPr>
  </w:style>
  <w:style w:type="character" w:customStyle="1" w:styleId="52">
    <w:name w:val="אזכור לא מזוהה5"/>
    <w:basedOn w:val="DefaultParagraphFont"/>
    <w:uiPriority w:val="99"/>
    <w:semiHidden/>
    <w:unhideWhenUsed/>
    <w:rsid w:val="00FE42FD"/>
    <w:rPr>
      <w:color w:val="605E5C"/>
      <w:shd w:val="clear" w:color="auto" w:fill="E1DFDD"/>
    </w:rPr>
  </w:style>
  <w:style w:type="character" w:customStyle="1" w:styleId="62">
    <w:name w:val="אזכור לא מזוהה6"/>
    <w:basedOn w:val="DefaultParagraphFont"/>
    <w:uiPriority w:val="99"/>
    <w:semiHidden/>
    <w:unhideWhenUsed/>
    <w:rsid w:val="00FE42FD"/>
    <w:rPr>
      <w:color w:val="605E5C"/>
      <w:shd w:val="clear" w:color="auto" w:fill="E1DFDD"/>
    </w:rPr>
  </w:style>
  <w:style w:type="character" w:customStyle="1" w:styleId="72">
    <w:name w:val="אזכור לא מזוהה7"/>
    <w:basedOn w:val="DefaultParagraphFont"/>
    <w:uiPriority w:val="99"/>
    <w:semiHidden/>
    <w:unhideWhenUsed/>
    <w:rsid w:val="00FE42FD"/>
    <w:rPr>
      <w:color w:val="605E5C"/>
      <w:shd w:val="clear" w:color="auto" w:fill="E1DFDD"/>
    </w:rPr>
  </w:style>
  <w:style w:type="character" w:customStyle="1" w:styleId="80">
    <w:name w:val="אזכור לא מזוהה8"/>
    <w:basedOn w:val="DefaultParagraphFont"/>
    <w:uiPriority w:val="99"/>
    <w:semiHidden/>
    <w:unhideWhenUsed/>
    <w:rsid w:val="00FE42FD"/>
    <w:rPr>
      <w:color w:val="605E5C"/>
      <w:shd w:val="clear" w:color="auto" w:fill="E1DFDD"/>
    </w:rPr>
  </w:style>
  <w:style w:type="paragraph" w:customStyle="1" w:styleId="p330">
    <w:name w:val="p33"/>
    <w:basedOn w:val="Normal"/>
    <w:uiPriority w:val="99"/>
    <w:rsid w:val="00FE42FD"/>
    <w:pPr>
      <w:bidi w:val="0"/>
      <w:spacing w:before="100" w:beforeAutospacing="1" w:after="100" w:afterAutospacing="1" w:line="240" w:lineRule="auto"/>
      <w:jc w:val="left"/>
    </w:pPr>
    <w:rPr>
      <w:rFonts w:eastAsia="Times New Roman" w:cs="Times New Roman"/>
      <w:sz w:val="24"/>
    </w:rPr>
  </w:style>
  <w:style w:type="character" w:customStyle="1" w:styleId="719Char">
    <w:name w:val="71ג טקסט רץ 9 Char"/>
    <w:basedOn w:val="DefaultParagraphFont"/>
    <w:link w:val="719"/>
    <w:locked/>
    <w:rsid w:val="00FE42FD"/>
    <w:rPr>
      <w:rFonts w:ascii="Tahoma" w:hAnsi="Tahoma" w:cs="Tahoma"/>
      <w:color w:val="0D0D0D"/>
      <w:sz w:val="18"/>
      <w:szCs w:val="18"/>
    </w:rPr>
  </w:style>
  <w:style w:type="paragraph" w:customStyle="1" w:styleId="719">
    <w:name w:val="71ג טקסט רץ 9"/>
    <w:basedOn w:val="Normal"/>
    <w:link w:val="719Char"/>
    <w:qFormat/>
    <w:rsid w:val="00FE42FD"/>
    <w:pPr>
      <w:spacing w:after="180" w:line="260" w:lineRule="exact"/>
      <w:outlineLvl w:val="3"/>
    </w:pPr>
    <w:rPr>
      <w:rFonts w:ascii="Tahoma" w:hAnsi="Tahoma" w:cs="Tahoma"/>
      <w:color w:val="0D0D0D"/>
      <w:sz w:val="18"/>
      <w:szCs w:val="18"/>
    </w:rPr>
  </w:style>
  <w:style w:type="character" w:customStyle="1" w:styleId="93">
    <w:name w:val="אזכור לא מזוהה9"/>
    <w:basedOn w:val="DefaultParagraphFont"/>
    <w:uiPriority w:val="99"/>
    <w:semiHidden/>
    <w:unhideWhenUsed/>
    <w:rsid w:val="00FE42FD"/>
    <w:rPr>
      <w:color w:val="605E5C"/>
      <w:shd w:val="clear" w:color="auto" w:fill="E1DFDD"/>
    </w:rPr>
  </w:style>
  <w:style w:type="character" w:customStyle="1" w:styleId="101">
    <w:name w:val="אזכור לא מזוהה10"/>
    <w:basedOn w:val="DefaultParagraphFont"/>
    <w:uiPriority w:val="99"/>
    <w:semiHidden/>
    <w:unhideWhenUsed/>
    <w:rsid w:val="00FE42FD"/>
    <w:rPr>
      <w:color w:val="605E5C"/>
      <w:shd w:val="clear" w:color="auto" w:fill="E1DFDD"/>
    </w:rPr>
  </w:style>
  <w:style w:type="character" w:customStyle="1" w:styleId="1111">
    <w:name w:val="אזכור לא מזוהה11"/>
    <w:basedOn w:val="DefaultParagraphFont"/>
    <w:uiPriority w:val="99"/>
    <w:semiHidden/>
    <w:unhideWhenUsed/>
    <w:rsid w:val="00FE42FD"/>
    <w:rPr>
      <w:color w:val="605E5C"/>
      <w:shd w:val="clear" w:color="auto" w:fill="E1DFDD"/>
    </w:rPr>
  </w:style>
  <w:style w:type="character" w:customStyle="1" w:styleId="128">
    <w:name w:val="אזכור לא מזוהה12"/>
    <w:basedOn w:val="DefaultParagraphFont"/>
    <w:uiPriority w:val="99"/>
    <w:semiHidden/>
    <w:unhideWhenUsed/>
    <w:rsid w:val="00FE42FD"/>
    <w:rPr>
      <w:color w:val="605E5C"/>
      <w:shd w:val="clear" w:color="auto" w:fill="E1DFDD"/>
    </w:rPr>
  </w:style>
  <w:style w:type="numbering" w:customStyle="1" w:styleId="129">
    <w:name w:val="ללא רשימה1"/>
    <w:next w:val="NoList"/>
    <w:uiPriority w:val="99"/>
    <w:semiHidden/>
    <w:unhideWhenUsed/>
    <w:rsid w:val="00FE42FD"/>
  </w:style>
  <w:style w:type="paragraph" w:customStyle="1" w:styleId="220">
    <w:name w:val="סעיף רמה 2"/>
    <w:basedOn w:val="Normal"/>
    <w:uiPriority w:val="99"/>
    <w:semiHidden/>
    <w:qFormat/>
    <w:rsid w:val="00FE42FD"/>
    <w:pPr>
      <w:spacing w:line="360" w:lineRule="auto"/>
      <w:ind w:left="567" w:hanging="567"/>
    </w:pPr>
    <w:rPr>
      <w:rFonts w:ascii="Arial" w:eastAsia="Times New Roman" w:hAnsi="Arial" w:cs="Arial"/>
      <w:sz w:val="22"/>
      <w:szCs w:val="22"/>
    </w:rPr>
  </w:style>
  <w:style w:type="paragraph" w:customStyle="1" w:styleId="36">
    <w:name w:val="סעיף רמה 3"/>
    <w:basedOn w:val="Normal"/>
    <w:uiPriority w:val="99"/>
    <w:semiHidden/>
    <w:qFormat/>
    <w:rsid w:val="00FE42FD"/>
    <w:pPr>
      <w:tabs>
        <w:tab w:val="left" w:pos="1371"/>
      </w:tabs>
      <w:spacing w:line="360" w:lineRule="auto"/>
      <w:ind w:left="1371" w:hanging="804"/>
    </w:pPr>
    <w:rPr>
      <w:rFonts w:ascii="Arial" w:eastAsia="Times New Roman" w:hAnsi="Arial" w:cs="Arial"/>
      <w:sz w:val="22"/>
      <w:szCs w:val="22"/>
    </w:rPr>
  </w:style>
  <w:style w:type="paragraph" w:customStyle="1" w:styleId="43">
    <w:name w:val="סעיף רמה 4"/>
    <w:basedOn w:val="36"/>
    <w:uiPriority w:val="99"/>
    <w:semiHidden/>
    <w:qFormat/>
    <w:rsid w:val="00FE42FD"/>
    <w:pPr>
      <w:tabs>
        <w:tab w:val="clear" w:pos="1371"/>
        <w:tab w:val="left" w:pos="1513"/>
        <w:tab w:val="left" w:pos="2268"/>
      </w:tabs>
      <w:ind w:left="2268" w:hanging="897"/>
    </w:pPr>
  </w:style>
  <w:style w:type="character" w:customStyle="1" w:styleId="53">
    <w:name w:val="סעיף רמה 5 תו"/>
    <w:basedOn w:val="DefaultParagraphFont"/>
    <w:link w:val="54"/>
    <w:uiPriority w:val="99"/>
    <w:semiHidden/>
    <w:locked/>
    <w:rsid w:val="00FE42FD"/>
    <w:rPr>
      <w:rFonts w:ascii="Arial" w:eastAsia="Times New Roman" w:hAnsi="Arial" w:cs="Arial"/>
      <w:sz w:val="22"/>
      <w:szCs w:val="22"/>
    </w:rPr>
  </w:style>
  <w:style w:type="paragraph" w:customStyle="1" w:styleId="54">
    <w:name w:val="סעיף רמה 5"/>
    <w:basedOn w:val="43"/>
    <w:link w:val="53"/>
    <w:uiPriority w:val="99"/>
    <w:semiHidden/>
    <w:qFormat/>
    <w:rsid w:val="00FE42FD"/>
    <w:pPr>
      <w:tabs>
        <w:tab w:val="clear" w:pos="2268"/>
        <w:tab w:val="left" w:pos="3402"/>
      </w:tabs>
      <w:ind w:left="3402" w:hanging="1134"/>
    </w:pPr>
  </w:style>
  <w:style w:type="paragraph" w:customStyle="1" w:styleId="63">
    <w:name w:val="סעיף רמה 6"/>
    <w:basedOn w:val="54"/>
    <w:uiPriority w:val="99"/>
    <w:semiHidden/>
    <w:qFormat/>
    <w:rsid w:val="00FE42FD"/>
    <w:pPr>
      <w:ind w:left="4820" w:hanging="1418"/>
    </w:pPr>
  </w:style>
  <w:style w:type="character" w:customStyle="1" w:styleId="130">
    <w:name w:val="אזכור לא מזוהה13"/>
    <w:basedOn w:val="DefaultParagraphFont"/>
    <w:uiPriority w:val="99"/>
    <w:semiHidden/>
    <w:rsid w:val="00FE42FD"/>
    <w:rPr>
      <w:color w:val="605E5C"/>
      <w:shd w:val="clear" w:color="auto" w:fill="E1DFDD"/>
    </w:rPr>
  </w:style>
  <w:style w:type="character" w:customStyle="1" w:styleId="140">
    <w:name w:val="אזכור לא מזוהה14"/>
    <w:basedOn w:val="DefaultParagraphFont"/>
    <w:uiPriority w:val="99"/>
    <w:semiHidden/>
    <w:rsid w:val="00FE42FD"/>
    <w:rPr>
      <w:color w:val="605E5C"/>
      <w:shd w:val="clear" w:color="auto" w:fill="E1DFDD"/>
    </w:rPr>
  </w:style>
  <w:style w:type="character" w:customStyle="1" w:styleId="150">
    <w:name w:val="אזכור לא מזוהה15"/>
    <w:basedOn w:val="DefaultParagraphFont"/>
    <w:uiPriority w:val="99"/>
    <w:semiHidden/>
    <w:rsid w:val="00FE42FD"/>
    <w:rPr>
      <w:color w:val="605E5C"/>
      <w:shd w:val="clear" w:color="auto" w:fill="E1DFDD"/>
    </w:rPr>
  </w:style>
  <w:style w:type="table" w:customStyle="1" w:styleId="4-12">
    <w:name w:val="טבלת רשת 4 - הדגשה 12"/>
    <w:basedOn w:val="TableNormal"/>
    <w:next w:val="GridTable4Accent1"/>
    <w:uiPriority w:val="49"/>
    <w:rsid w:val="00FE42FD"/>
    <w:pPr>
      <w:spacing w:after="0" w:line="240" w:lineRule="auto"/>
    </w:pPr>
    <w:rPr>
      <w:rFonts w:eastAsia="Calibri"/>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5-12">
    <w:name w:val="טבלת רשת 5 כהה - הדגשה 12"/>
    <w:basedOn w:val="TableNormal"/>
    <w:next w:val="GridTable5DarkAccent1"/>
    <w:uiPriority w:val="50"/>
    <w:rsid w:val="00FE42FD"/>
    <w:pPr>
      <w:spacing w:after="0" w:line="240" w:lineRule="auto"/>
    </w:pPr>
    <w:rPr>
      <w:rFonts w:eastAsia="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table" w:customStyle="1" w:styleId="5-52">
    <w:name w:val="טבלת רשת 5 כהה - הדגשה 52"/>
    <w:basedOn w:val="TableNormal"/>
    <w:next w:val="GridTable5DarkAccent5"/>
    <w:uiPriority w:val="50"/>
    <w:rsid w:val="00FE42FD"/>
    <w:pPr>
      <w:spacing w:after="0" w:line="240" w:lineRule="auto"/>
    </w:pPr>
    <w:rPr>
      <w:rFonts w:eastAsia="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customStyle="1" w:styleId="4-120">
    <w:name w:val="טבלת רשימה 4 - הדגשה 12"/>
    <w:basedOn w:val="TableNormal"/>
    <w:next w:val="ListTable4Accent1"/>
    <w:uiPriority w:val="49"/>
    <w:rsid w:val="00FE42FD"/>
    <w:pPr>
      <w:spacing w:after="0" w:line="240" w:lineRule="auto"/>
    </w:pPr>
    <w:rPr>
      <w:rFonts w:eastAsia="Calibri"/>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1">
    <w:name w:val="טבלת רשת 4 - הדגשה 111"/>
    <w:basedOn w:val="TableNormal"/>
    <w:uiPriority w:val="49"/>
    <w:rsid w:val="00FE42FD"/>
    <w:pPr>
      <w:spacing w:after="0" w:line="240" w:lineRule="auto"/>
    </w:pPr>
    <w:rPr>
      <w:rFonts w:eastAsia="Calibri"/>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5-511">
    <w:name w:val="טבלת רשת 5 כהה - הדגשה 511"/>
    <w:basedOn w:val="TableNormal"/>
    <w:uiPriority w:val="50"/>
    <w:rsid w:val="00FE42FD"/>
    <w:pPr>
      <w:spacing w:after="0" w:line="240" w:lineRule="auto"/>
    </w:pPr>
    <w:rPr>
      <w:rFonts w:eastAsia="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customStyle="1" w:styleId="4-1110">
    <w:name w:val="טבלת רשימה 4 - הדגשה 111"/>
    <w:basedOn w:val="TableNormal"/>
    <w:uiPriority w:val="49"/>
    <w:rsid w:val="00FE42FD"/>
    <w:pPr>
      <w:spacing w:after="0" w:line="240" w:lineRule="auto"/>
    </w:pPr>
    <w:rPr>
      <w:rFonts w:eastAsia="Calibri"/>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5-111">
    <w:name w:val="טבלת רשת 5 כהה - הדגשה 111"/>
    <w:basedOn w:val="TableNormal"/>
    <w:uiPriority w:val="50"/>
    <w:rsid w:val="00FE42FD"/>
    <w:pPr>
      <w:spacing w:after="0" w:line="240" w:lineRule="auto"/>
    </w:pPr>
    <w:rPr>
      <w:rFonts w:eastAsia="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customStyle="1" w:styleId="160">
    <w:name w:val="אזכור לא מזוהה16"/>
    <w:basedOn w:val="DefaultParagraphFont"/>
    <w:uiPriority w:val="99"/>
    <w:semiHidden/>
    <w:unhideWhenUsed/>
    <w:rsid w:val="00FE42FD"/>
    <w:rPr>
      <w:color w:val="605E5C"/>
      <w:shd w:val="clear" w:color="auto" w:fill="E1DFDD"/>
    </w:rPr>
  </w:style>
  <w:style w:type="character" w:customStyle="1" w:styleId="171">
    <w:name w:val="אזכור לא מזוהה17"/>
    <w:basedOn w:val="DefaultParagraphFont"/>
    <w:uiPriority w:val="99"/>
    <w:semiHidden/>
    <w:unhideWhenUsed/>
    <w:rsid w:val="00FE42FD"/>
    <w:rPr>
      <w:color w:val="605E5C"/>
      <w:shd w:val="clear" w:color="auto" w:fill="E1DFDD"/>
    </w:rPr>
  </w:style>
  <w:style w:type="character" w:customStyle="1" w:styleId="180">
    <w:name w:val="אזכור לא מזוהה18"/>
    <w:basedOn w:val="DefaultParagraphFont"/>
    <w:uiPriority w:val="99"/>
    <w:semiHidden/>
    <w:unhideWhenUsed/>
    <w:rsid w:val="00FE4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image" Target="media/image13.jpeg" /><Relationship Id="rId29" Type="http://schemas.openxmlformats.org/officeDocument/2006/relationships/image" Target="media/image14.png" /><Relationship Id="rId3" Type="http://schemas.openxmlformats.org/officeDocument/2006/relationships/settings" Target="settings.xml" /><Relationship Id="rId30" Type="http://schemas.openxmlformats.org/officeDocument/2006/relationships/image" Target="media/image15.jpeg" /><Relationship Id="rId31" Type="http://schemas.openxmlformats.org/officeDocument/2006/relationships/header" Target="header5.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5.0963eb3a-2843-4a6c-8f1d-9a1f2be7ff5b.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875B35ED-5C4A-4464-B0D9-91A726A871C0}"/>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