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6E4866" w:rsidRPr="004B4DC3" w:rsidP="006E4866">
      <w:pPr>
        <w:pStyle w:val="7125"/>
        <w:spacing w:before="0" w:after="0"/>
        <w:ind w:left="4082"/>
        <w:rPr>
          <w:spacing w:val="16"/>
          <w:sz w:val="44"/>
          <w:szCs w:val="44"/>
          <w:rtl/>
        </w:rPr>
      </w:pPr>
      <w:r w:rsidRPr="004B4DC3">
        <w:rPr>
          <w:rFonts w:hint="cs"/>
          <w:spacing w:val="16"/>
          <w:sz w:val="44"/>
          <w:szCs w:val="44"/>
          <w:rtl/>
        </w:rPr>
        <w:t>מבקר המדינה</w:t>
      </w:r>
    </w:p>
    <w:p w:rsidR="006E4866" w:rsidRPr="006D40FB" w:rsidP="006E4866">
      <w:pPr>
        <w:pStyle w:val="7125"/>
        <w:spacing w:before="0" w:after="0"/>
        <w:ind w:left="4083" w:hanging="1"/>
        <w:rPr>
          <w:b w:val="0"/>
          <w:bCs w:val="0"/>
          <w:spacing w:val="18"/>
          <w:sz w:val="25"/>
          <w:szCs w:val="25"/>
          <w:rtl/>
        </w:rPr>
      </w:pPr>
      <w:r>
        <w:rPr>
          <w:rFonts w:hint="cs"/>
          <w:b w:val="0"/>
          <w:bCs w:val="0"/>
          <w:spacing w:val="18"/>
          <w:sz w:val="25"/>
          <w:szCs w:val="25"/>
          <w:rtl/>
        </w:rPr>
        <w:t>אדר</w:t>
      </w:r>
      <w:r w:rsidRPr="006D40FB">
        <w:rPr>
          <w:rFonts w:hint="cs"/>
          <w:b w:val="0"/>
          <w:bCs w:val="0"/>
          <w:spacing w:val="18"/>
          <w:sz w:val="25"/>
          <w:szCs w:val="25"/>
          <w:rtl/>
        </w:rPr>
        <w:t xml:space="preserve"> התשפ״ג | </w:t>
      </w:r>
      <w:r>
        <w:rPr>
          <w:rFonts w:hint="cs"/>
          <w:b w:val="0"/>
          <w:bCs w:val="0"/>
          <w:spacing w:val="18"/>
          <w:sz w:val="25"/>
          <w:szCs w:val="25"/>
          <w:rtl/>
        </w:rPr>
        <w:t>מרץ</w:t>
      </w:r>
      <w:r w:rsidRPr="006D40FB">
        <w:rPr>
          <w:rFonts w:hint="cs"/>
          <w:b w:val="0"/>
          <w:bCs w:val="0"/>
          <w:spacing w:val="18"/>
          <w:sz w:val="25"/>
          <w:szCs w:val="25"/>
          <w:rtl/>
        </w:rPr>
        <w:t xml:space="preserve"> 2023</w:t>
      </w:r>
    </w:p>
    <w:p w:rsidR="0047129E" w:rsidRPr="004B4DC3" w:rsidP="006E4866">
      <w:pPr>
        <w:pStyle w:val="7125"/>
        <w:spacing w:before="80" w:after="0"/>
        <w:ind w:left="4083" w:hanging="1"/>
        <w:rPr>
          <w:b w:val="0"/>
          <w:bCs w:val="0"/>
          <w:spacing w:val="14"/>
          <w:sz w:val="32"/>
          <w:szCs w:val="32"/>
          <w:rtl/>
        </w:rPr>
      </w:pPr>
      <w:r w:rsidRPr="004B4DC3">
        <w:rPr>
          <w:rFonts w:hint="cs"/>
          <w:b w:val="0"/>
          <w:bCs w:val="0"/>
          <w:noProof/>
          <w:spacing w:val="14"/>
          <w:sz w:val="32"/>
          <w:szCs w:val="32"/>
          <w:rtl/>
          <w:lang w:val="he-IL"/>
        </w:rPr>
        <mc:AlternateContent>
          <mc:Choice Requires="wps">
            <w:drawing>
              <wp:anchor distT="0" distB="0" distL="114300" distR="114300" simplePos="0" relativeHeight="251668480" behindDoc="0" locked="0" layoutInCell="1" allowOverlap="1">
                <wp:simplePos x="0" y="0"/>
                <wp:positionH relativeFrom="column">
                  <wp:posOffset>141585</wp:posOffset>
                </wp:positionH>
                <wp:positionV relativeFrom="paragraph">
                  <wp:posOffset>45606</wp:posOffset>
                </wp:positionV>
                <wp:extent cx="2015728" cy="0"/>
                <wp:effectExtent l="0" t="0" r="16510" b="12700"/>
                <wp:wrapNone/>
                <wp:docPr id="20"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1572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69504" from="11.15pt,3.6pt" to="169.85pt,3.6pt" strokecolor="#00305f" strokeweight="1pt"/>
            </w:pict>
          </mc:Fallback>
        </mc:AlternateContent>
      </w:r>
      <w:r w:rsidRPr="004B4DC3" w:rsidR="00E3092A">
        <w:rPr>
          <w:b w:val="0"/>
          <w:bCs w:val="0"/>
          <w:noProof/>
          <w:spacing w:val="14"/>
          <w:sz w:val="32"/>
          <w:szCs w:val="32"/>
          <w:rtl/>
          <w:lang w:val="he-IL"/>
        </w:rPr>
        <w:t>מקבץ דוחות מיוחדים</w:t>
      </w:r>
    </w:p>
    <w:p w:rsidR="000304A1" w:rsidRPr="0047129E" w:rsidP="002B39F7">
      <w:pPr>
        <w:pStyle w:val="7125"/>
        <w:spacing w:before="120" w:after="0"/>
        <w:rPr>
          <w:spacing w:val="194"/>
          <w:rtl/>
        </w:rPr>
      </w:pPr>
    </w:p>
    <w:p w:rsidR="00E82EA3" w:rsidRPr="00A76A67" w:rsidP="000304A1">
      <w:pPr>
        <w:pStyle w:val="7125"/>
        <w:spacing w:before="120" w:after="0"/>
        <w:ind w:left="4536" w:right="142" w:hanging="1"/>
        <w:rPr>
          <w:spacing w:val="274"/>
        </w:rPr>
      </w:pPr>
      <w:r w:rsidRPr="00A76A67">
        <w:rPr>
          <w:spacing w:val="274"/>
          <w:rtl/>
        </w:rPr>
        <w:br w:type="page"/>
      </w:r>
    </w:p>
    <w:p w:rsidR="0019167B">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62336"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8" style="width:583.75pt;height:70.5pt;margin-top:-62.5pt;margin-left:-196.7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P="00B535DF">
      <w:pPr>
        <w:pStyle w:val="7125"/>
        <w:spacing w:before="120"/>
        <w:ind w:hanging="1"/>
        <w:jc w:val="right"/>
        <w:rPr>
          <w:b w:val="0"/>
          <w:bCs w:val="0"/>
          <w:spacing w:val="86"/>
          <w:rtl/>
        </w:rPr>
        <w:sectPr w:rsidSect="00A76A67">
          <w:headerReference w:type="even" r:id="rId10"/>
          <w:headerReference w:type="default" r:id="rId11"/>
          <w:footerReference w:type="even" r:id="rId12"/>
          <w:footerReference w:type="default" r:id="rId13"/>
          <w:headerReference w:type="first" r:id="rId14"/>
          <w:footnotePr>
            <w:numRestart w:val="eachSect"/>
          </w:footnotePr>
          <w:pgSz w:w="11906" w:h="16838" w:code="9"/>
          <w:pgMar w:top="3062" w:right="2268" w:bottom="2552" w:left="2126" w:header="1134" w:footer="1361" w:gutter="0"/>
          <w:cols w:space="720"/>
          <w:titlePg/>
          <w:bidi/>
          <w:rtlGutter/>
          <w:docGrid w:linePitch="272"/>
        </w:sectPr>
      </w:pPr>
    </w:p>
    <w:p w:rsidR="00E82EA3" w:rsidP="00B535DF">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5"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P="00B535DF">
      <w:pPr>
        <w:pStyle w:val="7125"/>
        <w:spacing w:before="120"/>
        <w:ind w:hanging="1"/>
        <w:jc w:val="right"/>
        <w:rPr>
          <w:b w:val="0"/>
          <w:bCs w:val="0"/>
          <w:spacing w:val="86"/>
          <w:rtl/>
        </w:rPr>
      </w:pPr>
    </w:p>
    <w:p w:rsidR="000F0FAA" w:rsidP="000F0FAA">
      <w:pPr>
        <w:pStyle w:val="12021"/>
        <w:spacing w:before="480"/>
        <w:rPr>
          <w:sz w:val="52"/>
          <w:szCs w:val="52"/>
          <w:rtl/>
        </w:rPr>
      </w:pPr>
    </w:p>
    <w:p w:rsidR="005414ED" w:rsidP="000F0FAA">
      <w:pPr>
        <w:pStyle w:val="12021"/>
        <w:spacing w:before="480"/>
        <w:rPr>
          <w:sz w:val="52"/>
          <w:szCs w:val="52"/>
          <w:rtl/>
        </w:rPr>
      </w:pPr>
    </w:p>
    <w:p w:rsidR="006E4866" w:rsidRPr="004B4DC3" w:rsidP="006E4866">
      <w:pPr>
        <w:pStyle w:val="12021"/>
        <w:spacing w:before="480"/>
        <w:rPr>
          <w:spacing w:val="18"/>
          <w:sz w:val="64"/>
          <w:szCs w:val="64"/>
          <w:rtl/>
        </w:rPr>
      </w:pPr>
      <w:r w:rsidRPr="004B4DC3">
        <w:rPr>
          <w:rFonts w:hint="cs"/>
          <w:spacing w:val="18"/>
          <w:sz w:val="64"/>
          <w:szCs w:val="64"/>
          <w:rtl/>
        </w:rPr>
        <w:t>מבקר המדינה</w:t>
      </w:r>
    </w:p>
    <w:p w:rsidR="006E4866" w:rsidRPr="006D40FB" w:rsidP="006E4866">
      <w:pPr>
        <w:pStyle w:val="7125"/>
        <w:spacing w:before="0" w:after="120"/>
        <w:ind w:left="1" w:hanging="1"/>
        <w:jc w:val="center"/>
        <w:rPr>
          <w:b w:val="0"/>
          <w:bCs w:val="0"/>
          <w:spacing w:val="38"/>
          <w:sz w:val="34"/>
          <w:rtl/>
        </w:rPr>
      </w:pPr>
      <w:r>
        <w:rPr>
          <w:rFonts w:hint="cs"/>
          <w:b w:val="0"/>
          <w:bCs w:val="0"/>
          <w:noProof/>
          <w:spacing w:val="38"/>
          <w:sz w:val="34"/>
          <w:rtl/>
        </w:rPr>
        <w:t>אדר</w:t>
      </w:r>
      <w:r w:rsidRPr="006D40FB">
        <w:rPr>
          <w:b w:val="0"/>
          <w:bCs w:val="0"/>
          <w:noProof/>
          <w:spacing w:val="38"/>
          <w:sz w:val="34"/>
          <w:rtl/>
        </w:rPr>
        <w:t xml:space="preserve"> התשפ״ג | </w:t>
      </w:r>
      <w:r>
        <w:rPr>
          <w:rFonts w:hint="cs"/>
          <w:b w:val="0"/>
          <w:bCs w:val="0"/>
          <w:noProof/>
          <w:spacing w:val="38"/>
          <w:sz w:val="34"/>
          <w:rtl/>
        </w:rPr>
        <w:t>מרץ</w:t>
      </w:r>
      <w:r w:rsidRPr="006D40FB">
        <w:rPr>
          <w:b w:val="0"/>
          <w:bCs w:val="0"/>
          <w:noProof/>
          <w:spacing w:val="38"/>
          <w:sz w:val="34"/>
          <w:rtl/>
        </w:rPr>
        <w:t xml:space="preserve"> 2023</w:t>
      </w:r>
    </w:p>
    <w:p w:rsidR="003D3B44" w:rsidRPr="00E3092A" w:rsidP="00E3092A">
      <w:pPr>
        <w:pStyle w:val="7125"/>
        <w:ind w:left="58" w:hanging="1"/>
        <w:jc w:val="center"/>
        <w:rPr>
          <w:b w:val="0"/>
          <w:bCs w:val="0"/>
          <w:spacing w:val="60"/>
          <w:szCs w:val="40"/>
          <w:rtl/>
        </w:rPr>
      </w:pPr>
      <w:r w:rsidRPr="00E3092A">
        <w:rPr>
          <w:rFonts w:hint="cs"/>
          <w:b w:val="0"/>
          <w:bCs w:val="0"/>
          <w:noProof/>
          <w:spacing w:val="60"/>
          <w:szCs w:val="40"/>
          <w:rtl/>
        </w:rPr>
        <mc:AlternateContent>
          <mc:Choice Requires="wps">
            <w:drawing>
              <wp:anchor distT="0" distB="0" distL="114300" distR="114300" simplePos="0" relativeHeight="251670528" behindDoc="0" locked="0" layoutInCell="1" allowOverlap="1">
                <wp:simplePos x="0" y="0"/>
                <wp:positionH relativeFrom="column">
                  <wp:posOffset>862330</wp:posOffset>
                </wp:positionH>
                <wp:positionV relativeFrom="paragraph">
                  <wp:posOffset>44994</wp:posOffset>
                </wp:positionV>
                <wp:extent cx="2934970" cy="0"/>
                <wp:effectExtent l="12700" t="12700" r="1143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3497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9" style="flip:x;mso-width-percent:0;mso-width-relative:margin;mso-wrap-distance-bottom:0;mso-wrap-distance-left:9pt;mso-wrap-distance-right:9pt;mso-wrap-distance-top:0;mso-wrap-style:square;position:absolute;visibility:visible;z-index:251671552" from="67.9pt,3.55pt" to="299pt,3.55pt" strokecolor="#00305f" strokeweight="1.5pt"/>
            </w:pict>
          </mc:Fallback>
        </mc:AlternateContent>
      </w:r>
      <w:r w:rsidRPr="00E3092A" w:rsidR="00E3092A">
        <w:rPr>
          <w:b w:val="0"/>
          <w:bCs w:val="0"/>
          <w:noProof/>
          <w:spacing w:val="60"/>
          <w:szCs w:val="40"/>
          <w:rtl/>
        </w:rPr>
        <w:t>מקבץ דוחות מיוחדים</w:t>
      </w:r>
    </w:p>
    <w:p w:rsidR="005414ED"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0F1AFB" w:rsidP="00BA14FE">
      <w:pPr>
        <w:spacing w:line="240" w:lineRule="atLeast"/>
        <w:rPr>
          <w:rFonts w:ascii="Tahoma" w:hAnsi="Tahoma" w:cs="Tahoma"/>
          <w:sz w:val="22"/>
          <w:szCs w:val="22"/>
          <w:rtl/>
        </w:rPr>
      </w:pPr>
    </w:p>
    <w:p w:rsidR="001309F2" w:rsidP="00BA14FE">
      <w:pPr>
        <w:spacing w:line="240" w:lineRule="atLeast"/>
        <w:rPr>
          <w:rFonts w:ascii="Tahoma" w:hAnsi="Tahoma" w:cs="Tahoma"/>
          <w:sz w:val="22"/>
          <w:szCs w:val="22"/>
          <w:rtl/>
        </w:rPr>
      </w:pPr>
    </w:p>
    <w:p w:rsidR="000F1AFB" w:rsidP="00BA14FE">
      <w:pPr>
        <w:spacing w:line="240" w:lineRule="atLeast"/>
        <w:rPr>
          <w:rFonts w:ascii="Tahoma" w:hAnsi="Tahoma" w:cs="Tahoma"/>
          <w:sz w:val="22"/>
          <w:szCs w:val="22"/>
          <w:rtl/>
        </w:rPr>
      </w:pPr>
    </w:p>
    <w:p w:rsidR="000F1AFB" w:rsidP="00BA14FE">
      <w:pPr>
        <w:spacing w:line="240" w:lineRule="atLeast"/>
        <w:rPr>
          <w:rFonts w:ascii="Tahoma" w:hAnsi="Tahoma" w:cs="Tahoma"/>
          <w:sz w:val="22"/>
          <w:szCs w:val="22"/>
          <w:rtl/>
        </w:rPr>
      </w:pPr>
    </w:p>
    <w:p w:rsidR="005414ED" w:rsidP="00BA14FE">
      <w:pPr>
        <w:spacing w:line="240" w:lineRule="atLeast"/>
        <w:rPr>
          <w:rFonts w:ascii="Tahoma" w:hAnsi="Tahoma" w:cs="Tahoma"/>
          <w:sz w:val="22"/>
          <w:szCs w:val="22"/>
          <w:rtl/>
        </w:rPr>
      </w:pPr>
    </w:p>
    <w:p w:rsidR="005414ED" w:rsidP="00BA14FE">
      <w:pPr>
        <w:spacing w:line="240" w:lineRule="atLeast"/>
        <w:rPr>
          <w:rFonts w:ascii="Tahoma" w:hAnsi="Tahoma" w:cs="Tahoma"/>
          <w:sz w:val="22"/>
          <w:szCs w:val="22"/>
          <w:rtl/>
        </w:rPr>
      </w:pPr>
    </w:p>
    <w:p w:rsidR="00A76A67" w:rsidP="00BA14FE">
      <w:pPr>
        <w:spacing w:line="240" w:lineRule="atLeast"/>
        <w:rPr>
          <w:rFonts w:ascii="Tahoma" w:hAnsi="Tahoma" w:cs="Tahoma"/>
          <w:sz w:val="22"/>
          <w:szCs w:val="22"/>
          <w:rtl/>
        </w:rPr>
      </w:pPr>
    </w:p>
    <w:p w:rsidR="00496A6C" w:rsidP="00BA14FE">
      <w:pPr>
        <w:spacing w:line="240" w:lineRule="atLeast"/>
        <w:rPr>
          <w:rFonts w:ascii="Tahoma" w:hAnsi="Tahoma" w:cs="Tahoma"/>
          <w:sz w:val="22"/>
          <w:szCs w:val="22"/>
          <w:rtl/>
        </w:rPr>
      </w:pPr>
    </w:p>
    <w:p w:rsidR="00496A6C"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C0D3F" w:rsidP="00BA14FE">
      <w:pPr>
        <w:spacing w:line="240" w:lineRule="atLeast"/>
        <w:rPr>
          <w:rFonts w:ascii="Tahoma" w:hAnsi="Tahoma" w:cs="Tahoma"/>
          <w:sz w:val="22"/>
          <w:szCs w:val="22"/>
          <w:rtl/>
        </w:rPr>
      </w:pPr>
    </w:p>
    <w:p w:rsidR="00977579" w:rsidRPr="00112923" w:rsidP="00112923">
      <w:pPr>
        <w:spacing w:line="240" w:lineRule="atLeast"/>
        <w:jc w:val="center"/>
        <w:rPr>
          <w:rFonts w:ascii="Tahoma" w:hAnsi="Tahoma" w:cs="Tahoma"/>
          <w:sz w:val="24"/>
          <w:rtl/>
        </w:rPr>
      </w:pPr>
      <w:r>
        <w:rPr>
          <w:rFonts w:ascii="Tahoma" w:hAnsi="Tahoma" w:cs="Tahoma" w:hint="cs"/>
          <w:sz w:val="24"/>
          <w:rtl/>
        </w:rPr>
        <w:t xml:space="preserve">משרד מבקר המדינה ונציב תלונות הציבור | </w:t>
      </w:r>
      <w:r w:rsidRPr="009C0D3F" w:rsidR="009C0D3F">
        <w:rPr>
          <w:rFonts w:ascii="Tahoma" w:hAnsi="Tahoma" w:cs="Tahoma" w:hint="cs"/>
          <w:sz w:val="24"/>
          <w:rtl/>
        </w:rPr>
        <w:t>ירושלים</w:t>
      </w:r>
      <w:r w:rsidR="00D6278C">
        <w:rPr>
          <w:rFonts w:ascii="Tahoma" w:hAnsi="Tahoma" w:cs="Tahoma"/>
          <w:sz w:val="24"/>
        </w:rPr>
        <w:t xml:space="preserve"> </w:t>
      </w:r>
    </w:p>
    <w:p w:rsidR="00112923" w:rsidP="00977579">
      <w:pPr>
        <w:pStyle w:val="7190"/>
        <w:jc w:val="center"/>
        <w:rPr>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0F1AFB" w:rsidP="00977579">
      <w:pPr>
        <w:pStyle w:val="7190"/>
        <w:jc w:val="center"/>
        <w:rPr>
          <w:rtl/>
        </w:rPr>
      </w:pPr>
    </w:p>
    <w:p w:rsidR="000F1AFB" w:rsidP="00977579">
      <w:pPr>
        <w:pStyle w:val="7190"/>
        <w:jc w:val="center"/>
        <w:rPr>
          <w:rtl/>
        </w:rPr>
      </w:pPr>
    </w:p>
    <w:p w:rsidR="000F1AFB"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977579" w:rsidP="00977579">
      <w:pPr>
        <w:pStyle w:val="7190"/>
        <w:jc w:val="center"/>
        <w:rPr>
          <w:rtl/>
        </w:rPr>
      </w:pPr>
    </w:p>
    <w:p w:rsidR="00064016" w:rsidP="00064016">
      <w:pPr>
        <w:pStyle w:val="7190"/>
        <w:spacing w:after="120"/>
        <w:jc w:val="center"/>
        <w:rPr>
          <w:rtl/>
        </w:rPr>
      </w:pPr>
    </w:p>
    <w:p w:rsidR="00064016" w:rsidP="00064016">
      <w:pPr>
        <w:pStyle w:val="7190"/>
        <w:spacing w:after="120"/>
        <w:jc w:val="center"/>
        <w:rPr>
          <w:rtl/>
        </w:rPr>
      </w:pPr>
    </w:p>
    <w:p w:rsidR="00064016" w:rsidRPr="00064016" w:rsidP="00064016">
      <w:pPr>
        <w:pStyle w:val="7190"/>
        <w:spacing w:after="120"/>
        <w:jc w:val="center"/>
      </w:pPr>
      <w:r w:rsidRPr="00064016">
        <w:rPr>
          <w:rtl/>
        </w:rPr>
        <w:t xml:space="preserve">מס' קטלוגי </w:t>
      </w:r>
      <w:r w:rsidR="00E3092A">
        <w:t>S</w:t>
      </w:r>
      <w:r w:rsidR="00D6278C">
        <w:t>-</w:t>
      </w:r>
      <w:r w:rsidR="006F45A4">
        <w:t>00</w:t>
      </w:r>
      <w:r w:rsidR="006D40FB">
        <w:t>2</w:t>
      </w:r>
      <w:r w:rsidRPr="00064016">
        <w:rPr>
          <w:rtl/>
        </w:rPr>
        <w:t>-</w:t>
      </w:r>
      <w:r w:rsidR="006F45A4">
        <w:t>2023</w:t>
      </w:r>
    </w:p>
    <w:p w:rsidR="00064016" w:rsidRPr="00064016" w:rsidP="00064016">
      <w:pPr>
        <w:pStyle w:val="7190"/>
        <w:jc w:val="center"/>
        <w:rPr>
          <w:rtl/>
        </w:rPr>
      </w:pPr>
      <w:r w:rsidRPr="00064016">
        <w:t xml:space="preserve">ISSN </w:t>
      </w:r>
      <w:r w:rsidR="00E3092A">
        <w:t>0793</w:t>
      </w:r>
      <w:r w:rsidRPr="00064016">
        <w:t>-</w:t>
      </w:r>
      <w:r w:rsidR="00E3092A">
        <w:t>1943</w:t>
      </w:r>
    </w:p>
    <w:p w:rsidR="00064016" w:rsidP="00064016">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pPr>
        <w:pStyle w:val="7190"/>
        <w:jc w:val="center"/>
        <w:rPr>
          <w:rtl/>
        </w:rPr>
      </w:pPr>
      <w:hyperlink r:id="rId17" w:history="1">
        <w:r w:rsidRPr="00064016">
          <w:t>www.mevaker.gov.il</w:t>
        </w:r>
      </w:hyperlink>
    </w:p>
    <w:p w:rsidR="00064016" w:rsidP="00064016">
      <w:pPr>
        <w:pStyle w:val="7190"/>
        <w:jc w:val="center"/>
        <w:rPr>
          <w:rtl/>
        </w:rPr>
      </w:pPr>
    </w:p>
    <w:p w:rsidR="009C0D3F" w:rsidP="00064016">
      <w:pPr>
        <w:pStyle w:val="7190"/>
        <w:jc w:val="center"/>
        <w:rPr>
          <w:rtl/>
        </w:rPr>
      </w:pPr>
      <w:r>
        <w:rPr>
          <w:rFonts w:hint="cs"/>
          <w:rtl/>
        </w:rPr>
        <w:t xml:space="preserve">עיצוב גרפי: </w:t>
      </w:r>
      <w:r w:rsidR="00DB5E51">
        <w:rPr>
          <w:rFonts w:hint="cs"/>
          <w:rtl/>
        </w:rPr>
        <w:t xml:space="preserve">צוות אי.אר דיזיין </w:t>
      </w:r>
    </w:p>
    <w:p w:rsidR="00421B27" w:rsidRPr="009C0D3F" w:rsidP="00064016">
      <w:pPr>
        <w:pStyle w:val="7190"/>
        <w:jc w:val="center"/>
        <w:rPr>
          <w:sz w:val="24"/>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AA5AC3">
      <w:pPr>
        <w:pStyle w:val="71316"/>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64384" behindDoc="0" locked="0" layoutInCell="1" allowOverlap="1">
                <wp:simplePos x="0" y="0"/>
                <wp:positionH relativeFrom="column">
                  <wp:posOffset>3116580</wp:posOffset>
                </wp:positionH>
                <wp:positionV relativeFrom="paragraph">
                  <wp:posOffset>489322</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0" style="flip:x;mso-width-percent:0;mso-width-relative:margin;mso-wrap-distance-bottom:0;mso-wrap-distance-left:9pt;mso-wrap-distance-right:9pt;mso-wrap-distance-top:0;mso-wrap-style:square;position:absolute;visibility:visible;z-index:251665408" from="245.4pt,38.55pt" to="366pt,38.55pt" strokecolor="#00305f" strokeweight="1pt"/>
            </w:pict>
          </mc:Fallback>
        </mc:AlternateContent>
      </w:r>
      <w:r w:rsidRPr="00C04B74">
        <w:rPr>
          <w:rFonts w:hint="cs"/>
          <w:sz w:val="36"/>
          <w:szCs w:val="36"/>
          <w:rtl/>
        </w:rPr>
        <w:t>תוכן העניינים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9"/>
        <w:gridCol w:w="1121"/>
      </w:tblGrid>
      <w:tr w:rsidTr="00B6233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9" w:type="dxa"/>
          </w:tcPr>
          <w:p w:rsidR="00AA5AC3" w:rsidRPr="00C237BB" w:rsidP="007B5C51">
            <w:pPr>
              <w:pStyle w:val="7190"/>
              <w:spacing w:before="720" w:after="100"/>
              <w:rPr>
                <w:b/>
                <w:bCs/>
                <w:rtl/>
              </w:rPr>
            </w:pPr>
            <w:r w:rsidRPr="00C237BB">
              <w:rPr>
                <w:rFonts w:hint="cs"/>
                <w:b/>
                <w:bCs/>
                <w:color w:val="00305F"/>
                <w:sz w:val="22"/>
                <w:szCs w:val="22"/>
                <w:rtl/>
              </w:rPr>
              <w:t>פתח דבר</w:t>
            </w:r>
          </w:p>
        </w:tc>
        <w:tc>
          <w:tcPr>
            <w:tcW w:w="1121" w:type="dxa"/>
          </w:tcPr>
          <w:p w:rsidR="00AA5AC3" w:rsidRPr="003A4571" w:rsidP="007B5C51">
            <w:pPr>
              <w:widowControl w:val="0"/>
              <w:spacing w:before="720" w:after="100" w:line="260" w:lineRule="exact"/>
              <w:rPr>
                <w:rFonts w:ascii="Arial" w:hAnsi="Arial" w:cs="Tahoma"/>
                <w:color w:val="000000"/>
                <w:sz w:val="24"/>
                <w:szCs w:val="18"/>
                <w:rtl/>
              </w:rPr>
            </w:pPr>
            <w:r>
              <w:rPr>
                <w:rFonts w:ascii="Arial" w:hAnsi="Arial" w:cs="Tahoma" w:hint="cs"/>
                <w:color w:val="000000"/>
                <w:sz w:val="24"/>
                <w:szCs w:val="18"/>
                <w:rtl/>
              </w:rPr>
              <w:t>7</w:t>
            </w:r>
          </w:p>
        </w:tc>
      </w:tr>
      <w:tr w:rsidTr="00B6233D">
        <w:tblPrEx>
          <w:tblW w:w="0" w:type="auto"/>
          <w:tblLook w:val="04A0"/>
        </w:tblPrEx>
        <w:tc>
          <w:tcPr>
            <w:tcW w:w="6239" w:type="dxa"/>
          </w:tcPr>
          <w:p w:rsidR="00AA5AC3" w:rsidRPr="00C237BB" w:rsidP="007B5C51">
            <w:pPr>
              <w:pStyle w:val="7190"/>
              <w:spacing w:before="240" w:after="100"/>
              <w:rPr>
                <w:b/>
                <w:bCs/>
                <w:rtl/>
              </w:rPr>
            </w:pPr>
            <w:r w:rsidRPr="00C237BB">
              <w:rPr>
                <w:rFonts w:hint="eastAsia"/>
                <w:b/>
                <w:bCs/>
                <w:color w:val="00305F"/>
                <w:sz w:val="22"/>
                <w:szCs w:val="22"/>
                <w:rtl/>
                <w:lang w:bidi="ar-SA"/>
              </w:rPr>
              <w:t>المقدمة</w:t>
            </w:r>
            <w:r w:rsidR="00A81021">
              <w:rPr>
                <w:rFonts w:hint="cs"/>
                <w:b/>
                <w:bCs/>
                <w:rtl/>
              </w:rPr>
              <w:t xml:space="preserve"> </w:t>
            </w:r>
          </w:p>
        </w:tc>
        <w:tc>
          <w:tcPr>
            <w:tcW w:w="1121" w:type="dxa"/>
          </w:tcPr>
          <w:p w:rsidR="00AA5AC3" w:rsidRPr="003A4571" w:rsidP="007B5C51">
            <w:pPr>
              <w:widowControl w:val="0"/>
              <w:spacing w:before="240" w:after="100" w:line="260" w:lineRule="exact"/>
              <w:rPr>
                <w:rFonts w:ascii="Arial" w:hAnsi="Arial" w:cs="Tahoma"/>
                <w:color w:val="000000"/>
                <w:sz w:val="24"/>
                <w:szCs w:val="18"/>
                <w:rtl/>
              </w:rPr>
            </w:pPr>
            <w:r>
              <w:rPr>
                <w:rFonts w:ascii="Arial" w:hAnsi="Arial" w:cs="Tahoma" w:hint="cs"/>
                <w:color w:val="000000"/>
                <w:sz w:val="24"/>
                <w:szCs w:val="18"/>
                <w:rtl/>
              </w:rPr>
              <w:t>11</w:t>
            </w:r>
          </w:p>
        </w:tc>
      </w:tr>
      <w:tr w:rsidTr="00B6233D">
        <w:tblPrEx>
          <w:tblW w:w="0" w:type="auto"/>
          <w:tblLook w:val="04A0"/>
        </w:tblPrEx>
        <w:tc>
          <w:tcPr>
            <w:tcW w:w="6239" w:type="dxa"/>
          </w:tcPr>
          <w:p w:rsidR="00AA5AC3" w:rsidRPr="00C237BB" w:rsidP="007B5C51">
            <w:pPr>
              <w:pStyle w:val="7190"/>
              <w:spacing w:before="240" w:after="100"/>
              <w:rPr>
                <w:b/>
                <w:bCs/>
                <w:color w:val="00305F"/>
                <w:sz w:val="22"/>
                <w:szCs w:val="22"/>
                <w:lang w:bidi="ar-SA"/>
              </w:rPr>
            </w:pPr>
            <w:r w:rsidRPr="00C237BB">
              <w:rPr>
                <w:b/>
                <w:bCs/>
                <w:color w:val="00305F"/>
                <w:sz w:val="22"/>
                <w:szCs w:val="22"/>
                <w:lang w:bidi="ar-SA"/>
              </w:rPr>
              <w:t>Foreword</w:t>
            </w:r>
          </w:p>
        </w:tc>
        <w:tc>
          <w:tcPr>
            <w:tcW w:w="1121" w:type="dxa"/>
          </w:tcPr>
          <w:p w:rsidR="00AA5AC3" w:rsidP="007B5C51">
            <w:pPr>
              <w:widowControl w:val="0"/>
              <w:spacing w:before="240" w:after="100" w:line="260" w:lineRule="exact"/>
              <w:rPr>
                <w:rFonts w:ascii="Arial" w:hAnsi="Arial" w:cs="Tahoma"/>
                <w:color w:val="000000"/>
                <w:sz w:val="24"/>
                <w:szCs w:val="18"/>
              </w:rPr>
            </w:pPr>
            <w:r>
              <w:rPr>
                <w:rFonts w:ascii="Arial" w:hAnsi="Arial" w:cs="Tahoma" w:hint="cs"/>
                <w:color w:val="000000"/>
                <w:sz w:val="24"/>
                <w:szCs w:val="18"/>
                <w:rtl/>
              </w:rPr>
              <w:t>370</w:t>
            </w:r>
          </w:p>
        </w:tc>
      </w:tr>
      <w:tr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AA5AC3" w:rsidRPr="00924D92" w:rsidP="007B5C51">
            <w:pPr>
              <w:spacing w:before="720" w:after="80" w:line="260" w:lineRule="exact"/>
              <w:rPr>
                <w:rFonts w:ascii="Arial" w:hAnsi="Arial" w:cs="Tahoma"/>
                <w:color w:val="000000"/>
                <w:sz w:val="24"/>
                <w:szCs w:val="18"/>
                <w:rtl/>
              </w:rPr>
            </w:pPr>
            <w:r w:rsidRPr="004F63AF">
              <w:rPr>
                <w:rFonts w:ascii="Arial" w:hAnsi="Arial" w:cs="Tahoma"/>
                <w:color w:val="000000"/>
                <w:sz w:val="24"/>
                <w:szCs w:val="18"/>
                <w:rtl/>
              </w:rPr>
              <w:t>היערכות הרשויות המקומיות לרעידות אדמה</w:t>
            </w:r>
          </w:p>
        </w:tc>
        <w:tc>
          <w:tcPr>
            <w:tcW w:w="1121" w:type="dxa"/>
            <w:tcBorders>
              <w:top w:val="nil"/>
              <w:left w:val="nil"/>
              <w:bottom w:val="nil"/>
              <w:right w:val="nil"/>
            </w:tcBorders>
          </w:tcPr>
          <w:p w:rsidR="00AA5AC3" w:rsidRPr="00136CC3" w:rsidP="007B5C51">
            <w:pPr>
              <w:pStyle w:val="7190"/>
              <w:widowControl w:val="0"/>
              <w:spacing w:before="720" w:after="80"/>
              <w:rPr>
                <w:rFonts w:ascii="Arial" w:hAnsi="Arial"/>
                <w:color w:val="000000"/>
                <w:sz w:val="24"/>
                <w:rtl/>
              </w:rPr>
            </w:pPr>
            <w:r>
              <w:rPr>
                <w:rFonts w:ascii="Arial" w:hAnsi="Arial" w:hint="cs"/>
                <w:color w:val="000000"/>
                <w:sz w:val="24"/>
                <w:rtl/>
              </w:rPr>
              <w:t>17</w:t>
            </w:r>
          </w:p>
        </w:tc>
      </w:tr>
      <w:tr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924D92" w:rsidP="007B5C51">
            <w:pPr>
              <w:spacing w:before="240" w:after="80" w:line="260" w:lineRule="exact"/>
              <w:rPr>
                <w:rFonts w:ascii="Arial" w:hAnsi="Arial" w:cs="Tahoma"/>
                <w:color w:val="000000"/>
                <w:sz w:val="24"/>
                <w:szCs w:val="18"/>
                <w:rtl/>
              </w:rPr>
            </w:pPr>
            <w:r w:rsidRPr="004F63AF">
              <w:rPr>
                <w:rFonts w:ascii="Arial" w:hAnsi="Arial" w:cs="Tahoma"/>
                <w:color w:val="000000"/>
                <w:sz w:val="24"/>
                <w:szCs w:val="18"/>
                <w:rtl/>
              </w:rPr>
              <w:t>פיתוח חיסון ונוגדנים נגד נגיף הקורונה במכון למחקר ביולוגי בישראל</w:t>
            </w:r>
          </w:p>
        </w:tc>
        <w:tc>
          <w:tcPr>
            <w:tcW w:w="1121" w:type="dxa"/>
            <w:tcBorders>
              <w:top w:val="nil"/>
              <w:left w:val="nil"/>
              <w:bottom w:val="nil"/>
              <w:right w:val="nil"/>
            </w:tcBorders>
          </w:tcPr>
          <w:p w:rsidR="00AA5AC3" w:rsidP="007B5C51">
            <w:pPr>
              <w:pStyle w:val="71316"/>
              <w:spacing w:before="240" w:after="80" w:line="240" w:lineRule="auto"/>
              <w:rPr>
                <w:rFonts w:ascii="Arial" w:hAnsi="Arial"/>
                <w:b w:val="0"/>
                <w:bCs w:val="0"/>
                <w:color w:val="000000"/>
                <w:sz w:val="18"/>
                <w:szCs w:val="18"/>
                <w:rtl/>
              </w:rPr>
            </w:pPr>
            <w:r>
              <w:rPr>
                <w:rFonts w:ascii="Arial" w:hAnsi="Arial" w:hint="cs"/>
                <w:b w:val="0"/>
                <w:bCs w:val="0"/>
                <w:color w:val="000000"/>
                <w:sz w:val="18"/>
                <w:szCs w:val="18"/>
                <w:rtl/>
              </w:rPr>
              <w:t>139</w:t>
            </w:r>
          </w:p>
        </w:tc>
      </w:tr>
      <w:tr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7B5C51" w:rsidP="007B5C51">
            <w:pPr>
              <w:spacing w:before="240" w:after="80" w:line="260" w:lineRule="exact"/>
              <w:rPr>
                <w:rFonts w:ascii="Arial" w:hAnsi="Arial" w:cs="Tahoma"/>
                <w:color w:val="000000"/>
                <w:sz w:val="24"/>
                <w:szCs w:val="18"/>
                <w:rtl/>
              </w:rPr>
            </w:pPr>
            <w:r w:rsidRPr="004F63AF">
              <w:rPr>
                <w:rFonts w:ascii="Arial" w:hAnsi="Arial" w:cs="Tahoma"/>
                <w:color w:val="000000"/>
                <w:sz w:val="24"/>
                <w:szCs w:val="18"/>
                <w:rtl/>
              </w:rPr>
              <w:t>הסיוע הייחודי לתעשיית התיירות במשבר הקורונה</w:t>
            </w:r>
          </w:p>
        </w:tc>
        <w:tc>
          <w:tcPr>
            <w:tcW w:w="1121" w:type="dxa"/>
            <w:tcBorders>
              <w:top w:val="nil"/>
              <w:left w:val="nil"/>
              <w:bottom w:val="nil"/>
              <w:right w:val="nil"/>
            </w:tcBorders>
          </w:tcPr>
          <w:p w:rsidR="005F2377" w:rsidP="007B5C51">
            <w:pPr>
              <w:pStyle w:val="71316"/>
              <w:spacing w:before="240" w:after="80" w:line="240" w:lineRule="auto"/>
              <w:rPr>
                <w:rFonts w:ascii="Arial" w:hAnsi="Arial"/>
                <w:b w:val="0"/>
                <w:bCs w:val="0"/>
                <w:color w:val="000000"/>
                <w:sz w:val="18"/>
                <w:szCs w:val="18"/>
                <w:rtl/>
              </w:rPr>
            </w:pPr>
            <w:r>
              <w:rPr>
                <w:rFonts w:ascii="Arial" w:hAnsi="Arial" w:hint="cs"/>
                <w:b w:val="0"/>
                <w:bCs w:val="0"/>
                <w:color w:val="000000"/>
                <w:sz w:val="18"/>
                <w:szCs w:val="18"/>
                <w:rtl/>
              </w:rPr>
              <w:t>207</w:t>
            </w:r>
          </w:p>
        </w:tc>
      </w:tr>
      <w:tr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F2377" w:rsidRPr="007B5C51" w:rsidP="007B5C51">
            <w:pPr>
              <w:spacing w:before="240" w:after="80" w:line="260" w:lineRule="exact"/>
              <w:rPr>
                <w:rFonts w:ascii="Arial" w:hAnsi="Arial" w:cs="Tahoma"/>
                <w:color w:val="000000"/>
                <w:sz w:val="24"/>
                <w:szCs w:val="18"/>
                <w:rtl/>
              </w:rPr>
            </w:pPr>
            <w:r w:rsidRPr="004F63AF">
              <w:rPr>
                <w:rFonts w:ascii="Arial" w:hAnsi="Arial" w:cs="Tahoma"/>
                <w:color w:val="000000"/>
                <w:sz w:val="24"/>
                <w:szCs w:val="18"/>
                <w:rtl/>
              </w:rPr>
              <w:t xml:space="preserve">דוח </w:t>
            </w:r>
            <w:r w:rsidRPr="004F63AF">
              <w:rPr>
                <w:rFonts w:ascii="Arial" w:hAnsi="Arial" w:cs="Tahoma"/>
                <w:color w:val="000000"/>
                <w:sz w:val="24"/>
                <w:szCs w:val="18"/>
                <w:rtl/>
              </w:rPr>
              <w:t>ביניים:</w:t>
            </w:r>
            <w:r w:rsidRPr="004F63AF">
              <w:rPr>
                <w:rFonts w:ascii="Arial" w:hAnsi="Arial" w:cs="Tahoma" w:hint="cs"/>
                <w:color w:val="000000"/>
                <w:sz w:val="24"/>
                <w:szCs w:val="18"/>
                <w:rtl/>
              </w:rPr>
              <w:t xml:space="preserve"> </w:t>
            </w:r>
            <w:r w:rsidRPr="004F63AF">
              <w:rPr>
                <w:rFonts w:ascii="Arial" w:hAnsi="Arial" w:cs="Tahoma"/>
                <w:color w:val="000000"/>
                <w:sz w:val="24"/>
                <w:szCs w:val="18"/>
                <w:rtl/>
              </w:rPr>
              <w:t xml:space="preserve">אשפוז ילדים בבתי חולים </w:t>
            </w:r>
            <w:r w:rsidRPr="004F63AF">
              <w:rPr>
                <w:rFonts w:ascii="Arial" w:hAnsi="Arial" w:cs="Tahoma" w:hint="cs"/>
                <w:color w:val="000000"/>
                <w:sz w:val="24"/>
                <w:szCs w:val="18"/>
                <w:rtl/>
              </w:rPr>
              <w:t xml:space="preserve">- </w:t>
            </w:r>
            <w:r w:rsidRPr="004F63AF">
              <w:rPr>
                <w:rFonts w:ascii="Arial" w:hAnsi="Arial" w:cs="Tahoma"/>
                <w:color w:val="000000"/>
                <w:sz w:val="24"/>
                <w:szCs w:val="18"/>
                <w:rtl/>
              </w:rPr>
              <w:t>ביקור מבקר המדינה במרכז הרפואי ת</w:t>
            </w:r>
            <w:r w:rsidRPr="004F63AF">
              <w:rPr>
                <w:rFonts w:ascii="Arial" w:hAnsi="Arial" w:cs="Tahoma" w:hint="cs"/>
                <w:color w:val="000000"/>
                <w:sz w:val="24"/>
                <w:szCs w:val="18"/>
                <w:rtl/>
              </w:rPr>
              <w:t>ל אביב</w:t>
            </w:r>
            <w:r w:rsidRPr="004F63AF">
              <w:rPr>
                <w:rFonts w:ascii="Arial" w:hAnsi="Arial" w:cs="Tahoma"/>
                <w:color w:val="000000"/>
                <w:sz w:val="24"/>
                <w:szCs w:val="18"/>
                <w:rtl/>
              </w:rPr>
              <w:t xml:space="preserve"> ע"ש סוראסקי (איכילוב) ובמרכז הרפואי ברזילי באשקלון</w:t>
            </w:r>
          </w:p>
        </w:tc>
        <w:tc>
          <w:tcPr>
            <w:tcW w:w="1121" w:type="dxa"/>
            <w:tcBorders>
              <w:top w:val="nil"/>
              <w:left w:val="nil"/>
              <w:bottom w:val="nil"/>
              <w:right w:val="nil"/>
            </w:tcBorders>
          </w:tcPr>
          <w:p w:rsidR="005F2377" w:rsidP="007B5C51">
            <w:pPr>
              <w:pStyle w:val="71316"/>
              <w:spacing w:before="240" w:after="80" w:line="240" w:lineRule="auto"/>
              <w:rPr>
                <w:rFonts w:ascii="Arial" w:hAnsi="Arial"/>
                <w:b w:val="0"/>
                <w:bCs w:val="0"/>
                <w:color w:val="000000"/>
                <w:sz w:val="18"/>
                <w:szCs w:val="18"/>
                <w:rtl/>
              </w:rPr>
            </w:pPr>
            <w:r>
              <w:rPr>
                <w:rFonts w:ascii="Arial" w:hAnsi="Arial" w:hint="cs"/>
                <w:b w:val="0"/>
                <w:bCs w:val="0"/>
                <w:color w:val="000000"/>
                <w:sz w:val="18"/>
                <w:szCs w:val="18"/>
                <w:rtl/>
              </w:rPr>
              <w:t>333</w:t>
            </w:r>
          </w:p>
        </w:tc>
      </w:tr>
    </w:tbl>
    <w:p w:rsidR="007B5C51">
      <w:pPr>
        <w:bidi w:val="0"/>
        <w:spacing w:after="200" w:line="276" w:lineRule="auto"/>
      </w:pPr>
    </w:p>
    <w:p w:rsidR="007B5C51">
      <w:pPr>
        <w:bidi w:val="0"/>
        <w:spacing w:after="200" w:line="276" w:lineRule="auto"/>
      </w:pPr>
      <w:r>
        <w:rPr>
          <w:noProof/>
        </w:rPr>
        <mc:AlternateContent>
          <mc:Choice Requires="wps">
            <w:drawing>
              <wp:anchor distT="0" distB="0" distL="114300" distR="114300" simplePos="0" relativeHeight="251674624" behindDoc="0" locked="0" layoutInCell="1" allowOverlap="1">
                <wp:simplePos x="0" y="0"/>
                <wp:positionH relativeFrom="column">
                  <wp:posOffset>-693420</wp:posOffset>
                </wp:positionH>
                <wp:positionV relativeFrom="paragraph">
                  <wp:posOffset>3154045</wp:posOffset>
                </wp:positionV>
                <wp:extent cx="1028700" cy="441960"/>
                <wp:effectExtent l="0" t="0" r="0" b="2540"/>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1028700" cy="441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5" o:spid="_x0000_s1031" style="width:81pt;height:34.8pt;margin-top:248.35pt;margin-left:-54.6pt;mso-wrap-distance-bottom:0;mso-wrap-distance-left:9pt;mso-wrap-distance-right:9pt;mso-wrap-distance-top:0;mso-wrap-style:square;position:absolute;visibility:visible;v-text-anchor:middle;z-index:251675648" fillcolor="white" stroked="f" strokeweight="2pt"/>
            </w:pict>
          </mc:Fallback>
        </mc:AlternateContent>
      </w:r>
      <w:r>
        <w:br w:type="page"/>
      </w:r>
    </w:p>
    <w:p w:rsidR="00C32F9F">
      <w:pPr>
        <w:bidi w:val="0"/>
        <w:spacing w:after="200" w:line="276" w:lineRule="auto"/>
        <w:rPr>
          <w:rFonts w:ascii="Tahoma" w:eastAsia="Times New Roman" w:hAnsi="Tahoma" w:cs="Tahoma"/>
          <w:b/>
          <w:bCs/>
          <w:color w:val="00305F"/>
          <w:sz w:val="32"/>
          <w:szCs w:val="32"/>
          <w:rtl/>
        </w:rPr>
        <w:sectPr w:rsidSect="00A8428C">
          <w:headerReference w:type="default" r:id="rId18"/>
          <w:footnotePr>
            <w:numRestart w:val="eachSect"/>
          </w:footnotePr>
          <w:type w:val="continuous"/>
          <w:pgSz w:w="11906" w:h="16838" w:code="9"/>
          <w:pgMar w:top="3062" w:right="2268" w:bottom="2552" w:left="2268" w:header="1134" w:footer="1361" w:gutter="0"/>
          <w:cols w:space="708"/>
          <w:bidi/>
          <w:rtlGutter/>
          <w:docGrid w:linePitch="360"/>
        </w:sectPr>
      </w:pPr>
      <w:r>
        <w:rPr>
          <w:noProof/>
          <w:rtl/>
          <w:lang w:val="he-IL"/>
        </w:rPr>
        <mc:AlternateContent>
          <mc:Choice Requires="wps">
            <w:drawing>
              <wp:anchor distT="0" distB="0" distL="114300" distR="114300" simplePos="0" relativeHeight="251666432" behindDoc="0" locked="0" layoutInCell="1" allowOverlap="1">
                <wp:simplePos x="0" y="0"/>
                <wp:positionH relativeFrom="column">
                  <wp:posOffset>2146300</wp:posOffset>
                </wp:positionH>
                <wp:positionV relativeFrom="paragraph">
                  <wp:posOffset>7098030</wp:posOffset>
                </wp:positionV>
                <wp:extent cx="3166110" cy="779780"/>
                <wp:effectExtent l="12700" t="12700" r="8890" b="7620"/>
                <wp:wrapNone/>
                <wp:docPr id="11" name="מלבן 11"/>
                <wp:cNvGraphicFramePr/>
                <a:graphic xmlns:a="http://schemas.openxmlformats.org/drawingml/2006/main">
                  <a:graphicData uri="http://schemas.microsoft.com/office/word/2010/wordprocessingShape">
                    <wps:wsp xmlns:wps="http://schemas.microsoft.com/office/word/2010/wordprocessingShape">
                      <wps:cNvSpPr/>
                      <wps:spPr>
                        <a:xfrm>
                          <a:off x="0" y="0"/>
                          <a:ext cx="3166110" cy="779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11" o:spid="_x0000_s1032" style="width:249.3pt;height:61.4pt;margin-top:558.9pt;margin-left:169pt;mso-height-percent:0;mso-height-relative:margin;mso-width-percent:0;mso-width-relative:margin;mso-wrap-distance-bottom:0;mso-wrap-distance-left:9pt;mso-wrap-distance-right:9pt;mso-wrap-distance-top:0;mso-wrap-style:square;position:absolute;visibility:visible;v-text-anchor:middle;z-index:251667456" fillcolor="white" strokecolor="white" strokeweight="2pt"/>
            </w:pict>
          </mc:Fallback>
        </mc:AlternateContent>
      </w:r>
      <w:r>
        <w:rPr>
          <w:noProof/>
          <w:rtl/>
          <w:lang w:val="he-IL"/>
        </w:rPr>
        <mc:AlternateContent>
          <mc:Choice Requires="wps">
            <w:drawing>
              <wp:anchor distT="0" distB="0" distL="114300" distR="114300" simplePos="0" relativeHeight="251672576" behindDoc="0" locked="0" layoutInCell="1" allowOverlap="1">
                <wp:simplePos x="0" y="0"/>
                <wp:positionH relativeFrom="column">
                  <wp:posOffset>-1417320</wp:posOffset>
                </wp:positionH>
                <wp:positionV relativeFrom="paragraph">
                  <wp:posOffset>-679450</wp:posOffset>
                </wp:positionV>
                <wp:extent cx="6141720" cy="1043940"/>
                <wp:effectExtent l="0" t="0" r="5080" b="0"/>
                <wp:wrapNone/>
                <wp:docPr id="3"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6141720" cy="1043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3" style="width:483.6pt;height:82.2pt;margin-top:-53.5pt;margin-left:-111.6pt;mso-wrap-distance-bottom:0;mso-wrap-distance-left:9pt;mso-wrap-distance-right:9pt;mso-wrap-distance-top:0;mso-wrap-style:square;position:absolute;visibility:visible;v-text-anchor:middle;z-index:251673600" fillcolor="white" stroked="f" strokeweight="2pt"/>
            </w:pict>
          </mc:Fallback>
        </mc:AlternateContent>
      </w:r>
      <w:r w:rsidR="004D01DF">
        <w:rPr>
          <w:rtl/>
        </w:rPr>
        <w:br w:type="page"/>
      </w:r>
    </w:p>
    <w:p w:rsidR="00047E7B" w:rsidP="00047E7B">
      <w:pPr>
        <w:pStyle w:val="71316"/>
        <w:rPr>
          <w:rtl/>
        </w:rPr>
      </w:pPr>
      <w:r>
        <w:rPr>
          <w:rFonts w:hint="cs"/>
          <w:rtl/>
        </w:rPr>
        <w:t>פתח דבר</w:t>
      </w:r>
    </w:p>
    <w:p w:rsidR="006D40FB" w:rsidRPr="00AF3FF9" w:rsidP="006D40FB">
      <w:pPr>
        <w:pStyle w:val="7191"/>
        <w:rPr>
          <w:rtl/>
        </w:rPr>
      </w:pPr>
      <w:r w:rsidRPr="004B4DC3">
        <w:rPr>
          <w:rtl/>
        </w:rPr>
        <w:t xml:space="preserve">מקבץ דוחות מיוחדים </w:t>
      </w:r>
      <w:r w:rsidR="009E5C5E">
        <w:rPr>
          <w:rFonts w:hint="cs"/>
          <w:rtl/>
        </w:rPr>
        <w:t>זה</w:t>
      </w:r>
      <w:r w:rsidRPr="004B4DC3">
        <w:rPr>
          <w:rtl/>
        </w:rPr>
        <w:t xml:space="preserve">, המונח על שולחן הכנסת ומתפרסם לציבור מציג ממצאים של ארבע </w:t>
      </w:r>
      <w:r w:rsidRPr="004B4DC3">
        <w:rPr>
          <w:rtl/>
        </w:rPr>
        <w:t>ביקורות בתחומים שונים, כמפורט להלן</w:t>
      </w:r>
      <w:r w:rsidRPr="00AF3FF9">
        <w:rPr>
          <w:rFonts w:hint="cs"/>
          <w:rtl/>
        </w:rPr>
        <w:t>:</w:t>
      </w:r>
    </w:p>
    <w:p w:rsidR="006D40FB" w:rsidRPr="00AF3FF9" w:rsidP="006D40FB">
      <w:pPr>
        <w:pStyle w:val="712"/>
        <w:numPr>
          <w:ilvl w:val="0"/>
          <w:numId w:val="45"/>
        </w:numPr>
        <w:rPr>
          <w:b/>
          <w:bCs/>
          <w:rtl/>
        </w:rPr>
      </w:pPr>
      <w:r w:rsidRPr="00AF3FF9">
        <w:rPr>
          <w:b/>
          <w:bCs/>
          <w:rtl/>
        </w:rPr>
        <w:t>היערכות הרשויות המקומיות לרעידות אדמה</w:t>
      </w:r>
    </w:p>
    <w:p w:rsidR="006D40FB" w:rsidRPr="00AF3FF9" w:rsidP="006D40FB">
      <w:pPr>
        <w:pStyle w:val="7112"/>
        <w:rPr>
          <w:rtl/>
        </w:rPr>
      </w:pPr>
      <w:r w:rsidRPr="00AF3FF9">
        <w:rPr>
          <w:rtl/>
        </w:rPr>
        <w:t xml:space="preserve">מדינת ישראל שוכנת בסמוך לשבר הסורי-אפריקאי, </w:t>
      </w:r>
      <w:r w:rsidRPr="00AF3FF9">
        <w:rPr>
          <w:rFonts w:hint="cs"/>
          <w:rtl/>
        </w:rPr>
        <w:t xml:space="preserve">ומשכך </w:t>
      </w:r>
      <w:r w:rsidRPr="00AF3FF9">
        <w:rPr>
          <w:rtl/>
        </w:rPr>
        <w:t xml:space="preserve">גובר הסיכון לכך שתתרחש בה רעידת אדמה </w:t>
      </w:r>
      <w:r w:rsidRPr="00AF3FF9">
        <w:rPr>
          <w:rFonts w:hint="cs"/>
          <w:rtl/>
        </w:rPr>
        <w:t>בעוצמה</w:t>
      </w:r>
      <w:r w:rsidRPr="00AF3FF9">
        <w:rPr>
          <w:rtl/>
        </w:rPr>
        <w:t xml:space="preserve"> גבוהה.</w:t>
      </w:r>
      <w:r w:rsidRPr="00AF3FF9">
        <w:rPr>
          <w:rFonts w:hint="cs"/>
          <w:rtl/>
        </w:rPr>
        <w:t xml:space="preserve"> </w:t>
      </w:r>
      <w:r w:rsidRPr="00AF3FF9">
        <w:rPr>
          <w:rtl/>
        </w:rPr>
        <w:t xml:space="preserve">ההנחה הרווחת היא </w:t>
      </w:r>
      <w:r w:rsidRPr="00AF3FF9">
        <w:rPr>
          <w:rFonts w:hint="cs"/>
          <w:rtl/>
        </w:rPr>
        <w:t xml:space="preserve">כי </w:t>
      </w:r>
      <w:r w:rsidRPr="00AF3FF9">
        <w:rPr>
          <w:rtl/>
        </w:rPr>
        <w:t>יש סבירות גבוהה שבתוך חמישים השנים הקרובות תתרחש רעידת אדמה ח</w:t>
      </w:r>
      <w:r w:rsidRPr="00AF3FF9">
        <w:rPr>
          <w:rtl/>
        </w:rPr>
        <w:t>זקה במרחב שבין דרום לבנון לדרום ים המלח.</w:t>
      </w:r>
    </w:p>
    <w:p w:rsidR="006D40FB" w:rsidRPr="00AF3FF9" w:rsidP="006D40FB">
      <w:pPr>
        <w:pStyle w:val="7112"/>
        <w:rPr>
          <w:b/>
          <w:bCs/>
          <w:rtl/>
        </w:rPr>
      </w:pPr>
      <w:r w:rsidRPr="00E3092A">
        <w:rPr>
          <w:b/>
          <w:bCs/>
          <w:spacing w:val="-2"/>
          <w:rtl/>
        </w:rPr>
        <w:t>דוח זה</w:t>
      </w:r>
      <w:r w:rsidRPr="00E3092A">
        <w:rPr>
          <w:rFonts w:hint="cs"/>
          <w:b/>
          <w:bCs/>
          <w:spacing w:val="-2"/>
          <w:rtl/>
        </w:rPr>
        <w:t>,</w:t>
      </w:r>
      <w:r w:rsidRPr="00E3092A">
        <w:rPr>
          <w:b/>
          <w:bCs/>
          <w:spacing w:val="-2"/>
          <w:rtl/>
        </w:rPr>
        <w:t xml:space="preserve"> נוסף על הדוחות הקודמים של מבקר המדינה העוסקים במוכנות מדינת ישראל לרעידות אדמה, מציג תמונה של כשל רב</w:t>
      </w:r>
      <w:r w:rsidRPr="00E3092A">
        <w:rPr>
          <w:rFonts w:hint="cs"/>
          <w:b/>
          <w:bCs/>
          <w:spacing w:val="-2"/>
          <w:rtl/>
        </w:rPr>
        <w:t>-</w:t>
      </w:r>
      <w:r w:rsidRPr="00E3092A">
        <w:rPr>
          <w:b/>
          <w:bCs/>
          <w:spacing w:val="-2"/>
          <w:rtl/>
        </w:rPr>
        <w:t xml:space="preserve">שנים בהיערכות המדינה </w:t>
      </w:r>
      <w:r w:rsidR="00E3092A">
        <w:rPr>
          <w:b/>
          <w:bCs/>
          <w:spacing w:val="-2"/>
        </w:rPr>
        <w:br/>
      </w:r>
      <w:r w:rsidRPr="00E3092A">
        <w:rPr>
          <w:b/>
          <w:bCs/>
          <w:spacing w:val="-2"/>
          <w:rtl/>
        </w:rPr>
        <w:t>לאירוע של רעידת אדמה</w:t>
      </w:r>
      <w:r w:rsidRPr="00E3092A">
        <w:rPr>
          <w:rFonts w:hint="cs"/>
          <w:b/>
          <w:bCs/>
          <w:spacing w:val="-2"/>
          <w:rtl/>
        </w:rPr>
        <w:t>,</w:t>
      </w:r>
      <w:r w:rsidRPr="00E3092A">
        <w:rPr>
          <w:b/>
          <w:bCs/>
          <w:spacing w:val="-2"/>
          <w:rtl/>
        </w:rPr>
        <w:t xml:space="preserve"> בפרט </w:t>
      </w:r>
      <w:r w:rsidRPr="00E3092A">
        <w:rPr>
          <w:rFonts w:hint="cs"/>
          <w:b/>
          <w:bCs/>
          <w:spacing w:val="-2"/>
          <w:rtl/>
        </w:rPr>
        <w:t>ביישובי</w:t>
      </w:r>
      <w:r w:rsidRPr="00E3092A">
        <w:rPr>
          <w:b/>
          <w:bCs/>
          <w:spacing w:val="-2"/>
          <w:rtl/>
        </w:rPr>
        <w:t xml:space="preserve"> הפריפריה השוכנ</w:t>
      </w:r>
      <w:r w:rsidRPr="00E3092A">
        <w:rPr>
          <w:rFonts w:hint="cs"/>
          <w:b/>
          <w:bCs/>
          <w:spacing w:val="-2"/>
          <w:rtl/>
        </w:rPr>
        <w:t>ים</w:t>
      </w:r>
      <w:r w:rsidRPr="00E3092A">
        <w:rPr>
          <w:b/>
          <w:bCs/>
          <w:spacing w:val="-2"/>
          <w:rtl/>
        </w:rPr>
        <w:t xml:space="preserve"> לאורך קו השבר </w:t>
      </w:r>
      <w:r w:rsidR="00E3092A">
        <w:rPr>
          <w:b/>
          <w:bCs/>
          <w:spacing w:val="-2"/>
        </w:rPr>
        <w:br/>
      </w:r>
      <w:r w:rsidRPr="00E3092A">
        <w:rPr>
          <w:b/>
          <w:bCs/>
          <w:spacing w:val="-2"/>
          <w:rtl/>
        </w:rPr>
        <w:t xml:space="preserve">הסורי-אפריקאי. ממצאי הדוח מדגישים את נחיצותה של פעילות רבה המשלבת ראייה ארוכת טווח </w:t>
      </w:r>
      <w:r w:rsidRPr="00E3092A">
        <w:rPr>
          <w:rFonts w:hint="cs"/>
          <w:b/>
          <w:bCs/>
          <w:spacing w:val="-2"/>
          <w:rtl/>
        </w:rPr>
        <w:t>כדי</w:t>
      </w:r>
      <w:r w:rsidRPr="00E3092A">
        <w:rPr>
          <w:b/>
          <w:bCs/>
          <w:spacing w:val="-2"/>
          <w:rtl/>
        </w:rPr>
        <w:t xml:space="preserve"> לטייב את היערכות המדינה לרעידת אדמה </w:t>
      </w:r>
      <w:r w:rsidRPr="00E3092A">
        <w:rPr>
          <w:rFonts w:hint="cs"/>
          <w:b/>
          <w:bCs/>
          <w:spacing w:val="-2"/>
          <w:rtl/>
        </w:rPr>
        <w:t>בעוצמה</w:t>
      </w:r>
      <w:r w:rsidRPr="00E3092A">
        <w:rPr>
          <w:b/>
          <w:bCs/>
          <w:spacing w:val="-2"/>
          <w:rtl/>
        </w:rPr>
        <w:t xml:space="preserve"> גבוהה</w:t>
      </w:r>
      <w:r w:rsidRPr="00AF3FF9">
        <w:rPr>
          <w:b/>
          <w:bCs/>
          <w:rtl/>
        </w:rPr>
        <w:t>.</w:t>
      </w:r>
    </w:p>
    <w:p w:rsidR="006D40FB" w:rsidRPr="00AF3FF9" w:rsidP="006D40FB">
      <w:pPr>
        <w:pStyle w:val="7112"/>
        <w:rPr>
          <w:rtl/>
        </w:rPr>
      </w:pPr>
      <w:r w:rsidRPr="00AF3FF9">
        <w:rPr>
          <w:rtl/>
        </w:rPr>
        <w:t xml:space="preserve">בתחילת פברואר 2023 קיבלנו התרעה מוחשית על התוצאות ההרסניות העשויות </w:t>
      </w:r>
      <w:r w:rsidR="00E3092A">
        <w:br/>
      </w:r>
      <w:r w:rsidRPr="00AF3FF9">
        <w:rPr>
          <w:rtl/>
        </w:rPr>
        <w:t xml:space="preserve">לפקוד את מדינת ישראל </w:t>
      </w:r>
      <w:r w:rsidRPr="00AF3FF9">
        <w:rPr>
          <w:rFonts w:hint="cs"/>
          <w:rtl/>
        </w:rPr>
        <w:t>ביום שבו תתרחש בה</w:t>
      </w:r>
      <w:r w:rsidRPr="00AF3FF9">
        <w:rPr>
          <w:rtl/>
        </w:rPr>
        <w:t xml:space="preserve"> רעידת אדמה </w:t>
      </w:r>
      <w:r w:rsidRPr="00AF3FF9">
        <w:rPr>
          <w:rFonts w:hint="cs"/>
          <w:rtl/>
        </w:rPr>
        <w:t>ב</w:t>
      </w:r>
      <w:r w:rsidRPr="00AF3FF9">
        <w:rPr>
          <w:rFonts w:hint="cs"/>
          <w:rtl/>
        </w:rPr>
        <w:t>עוצמה</w:t>
      </w:r>
      <w:r w:rsidRPr="00AF3FF9">
        <w:rPr>
          <w:rtl/>
        </w:rPr>
        <w:t xml:space="preserve"> גבוהה, כאשר רעידות אדמה </w:t>
      </w:r>
      <w:r w:rsidRPr="00AF3FF9">
        <w:rPr>
          <w:rFonts w:hint="cs"/>
          <w:rtl/>
        </w:rPr>
        <w:t>בעוצמה</w:t>
      </w:r>
      <w:r w:rsidRPr="00AF3FF9">
        <w:rPr>
          <w:rtl/>
        </w:rPr>
        <w:t xml:space="preserve"> כזאת, שמוקדן היה בדרום טורקי</w:t>
      </w:r>
      <w:r w:rsidRPr="00AF3FF9">
        <w:rPr>
          <w:rFonts w:hint="cs"/>
          <w:rtl/>
        </w:rPr>
        <w:t>י</w:t>
      </w:r>
      <w:r w:rsidRPr="00AF3FF9">
        <w:rPr>
          <w:rtl/>
        </w:rPr>
        <w:t>ה</w:t>
      </w:r>
      <w:r w:rsidRPr="00AF3FF9">
        <w:rPr>
          <w:rFonts w:hint="cs"/>
          <w:rtl/>
        </w:rPr>
        <w:t>,</w:t>
      </w:r>
      <w:r w:rsidRPr="00AF3FF9">
        <w:rPr>
          <w:rtl/>
        </w:rPr>
        <w:t xml:space="preserve"> בקצהו הצפוני של השבר </w:t>
      </w:r>
      <w:r w:rsidR="00E3092A">
        <w:br/>
      </w:r>
      <w:r w:rsidRPr="00AF3FF9">
        <w:rPr>
          <w:rtl/>
        </w:rPr>
        <w:t>הסורי-אפריקאי, הביאו למותם של עשרות אלפי בני אדם ולפציעתם של עשרות אלפים נוספים, לקריס</w:t>
      </w:r>
      <w:r w:rsidRPr="00AF3FF9">
        <w:rPr>
          <w:rFonts w:hint="cs"/>
          <w:rtl/>
        </w:rPr>
        <w:t>ה</w:t>
      </w:r>
      <w:r w:rsidRPr="00AF3FF9">
        <w:rPr>
          <w:rtl/>
        </w:rPr>
        <w:t xml:space="preserve"> של יותר מ-12,000 מבנים ולכך שיותר מ-500,000 בני אדם נותרו מחוסרי כול וללא קור</w:t>
      </w:r>
      <w:r w:rsidRPr="00AF3FF9">
        <w:rPr>
          <w:rtl/>
        </w:rPr>
        <w:t>ת גג.</w:t>
      </w:r>
      <w:r w:rsidRPr="00AF3FF9">
        <w:rPr>
          <w:rFonts w:hint="cs"/>
          <w:rtl/>
        </w:rPr>
        <w:t xml:space="preserve"> </w:t>
      </w:r>
      <w:r w:rsidRPr="00AF3FF9">
        <w:rPr>
          <w:rtl/>
        </w:rPr>
        <w:t>מאז</w:t>
      </w:r>
      <w:r w:rsidRPr="00AF3FF9">
        <w:rPr>
          <w:rFonts w:hint="cs"/>
          <w:rtl/>
        </w:rPr>
        <w:t xml:space="preserve">, </w:t>
      </w:r>
      <w:r w:rsidRPr="00AF3FF9">
        <w:rPr>
          <w:rtl/>
        </w:rPr>
        <w:t>ממשיכות לפקוד את אזורנו</w:t>
      </w:r>
      <w:r w:rsidRPr="00AF3FF9">
        <w:rPr>
          <w:rFonts w:hint="cs"/>
          <w:rtl/>
        </w:rPr>
        <w:t xml:space="preserve"> רעידות משנה</w:t>
      </w:r>
      <w:r w:rsidRPr="00AF3FF9">
        <w:rPr>
          <w:rtl/>
        </w:rPr>
        <w:t xml:space="preserve"> בתדירות גבוהה</w:t>
      </w:r>
      <w:r w:rsidRPr="00AF3FF9">
        <w:rPr>
          <w:rFonts w:hint="cs"/>
          <w:rtl/>
        </w:rPr>
        <w:t>, והן</w:t>
      </w:r>
      <w:r w:rsidRPr="00AF3FF9">
        <w:rPr>
          <w:rtl/>
        </w:rPr>
        <w:t xml:space="preserve"> מורגש</w:t>
      </w:r>
      <w:r w:rsidRPr="00AF3FF9">
        <w:rPr>
          <w:rFonts w:hint="cs"/>
          <w:rtl/>
        </w:rPr>
        <w:t>ו</w:t>
      </w:r>
      <w:r w:rsidRPr="00AF3FF9">
        <w:rPr>
          <w:rtl/>
        </w:rPr>
        <w:t xml:space="preserve">ת היטב במדינת ישראל. </w:t>
      </w:r>
    </w:p>
    <w:p w:rsidR="006D40FB" w:rsidRPr="00AF3FF9" w:rsidP="006D40FB">
      <w:pPr>
        <w:pStyle w:val="7112"/>
        <w:rPr>
          <w:rtl/>
        </w:rPr>
      </w:pPr>
      <w:r w:rsidRPr="00AF3FF9">
        <w:rPr>
          <w:rFonts w:hint="cs"/>
          <w:rtl/>
        </w:rPr>
        <w:t>הביקורת העלתה</w:t>
      </w:r>
      <w:r w:rsidRPr="00AF3FF9">
        <w:rPr>
          <w:rtl/>
        </w:rPr>
        <w:t xml:space="preserve"> כי תמ"א 38 לא יושמה בעיריות בית שאן, טבריה, צפת וקריית שמונה ובמועצה המקומית חצור הגלילית, אף שכולן נמצאות באזורים המועדים להיפגע קשות מרעידת אדמה, </w:t>
      </w:r>
      <w:r w:rsidRPr="00AF3FF9">
        <w:rPr>
          <w:rtl/>
        </w:rPr>
        <w:t>ואף שתמ"א 38 הייתה התוכנית העיקרית ליישום מדיניות הממשלה לחיזוק מבנים.</w:t>
      </w:r>
      <w:r w:rsidRPr="00AF3FF9">
        <w:rPr>
          <w:rFonts w:hint="cs"/>
          <w:rtl/>
        </w:rPr>
        <w:t xml:space="preserve"> עוד הועלה כי </w:t>
      </w:r>
      <w:r w:rsidRPr="00AF3FF9">
        <w:rPr>
          <w:rtl/>
        </w:rPr>
        <w:t xml:space="preserve">במועד הביקורת עדיין לא חוזקו 1,124 (93%) מהמבנים שנקבע שיש לחזקם </w:t>
      </w:r>
      <w:r w:rsidRPr="00AF3FF9">
        <w:rPr>
          <w:rFonts w:hint="cs"/>
          <w:rtl/>
        </w:rPr>
        <w:t>ברשויות המקומיות האלה, אשר עלות חיזוקם בתוספת מיגון היא 2.34 מיליארד ש"ח</w:t>
      </w:r>
      <w:r w:rsidRPr="00AF3FF9">
        <w:rPr>
          <w:rtl/>
        </w:rPr>
        <w:t>. כמו כן עלה בביקורת כי טרם בוצע חי</w:t>
      </w:r>
      <w:r w:rsidRPr="00AF3FF9">
        <w:rPr>
          <w:rtl/>
        </w:rPr>
        <w:t>זוק בכ-70% מבתי הספר שנקבע כי הם טעונים חיזוק, ומכאן שבפועל לא חוזקו 38 מתוך 54 בתי הספר שנקבע שיש לחזקם.</w:t>
      </w:r>
      <w:r w:rsidRPr="004B6BEB">
        <w:rPr>
          <w:rtl/>
        </w:rPr>
        <w:t xml:space="preserve"> </w:t>
      </w:r>
      <w:r w:rsidRPr="00AF3FF9">
        <w:rPr>
          <w:rFonts w:hint="cs"/>
          <w:rtl/>
        </w:rPr>
        <w:t>נוסף על כך הביקורת העלתה</w:t>
      </w:r>
      <w:r w:rsidRPr="00AF3FF9">
        <w:rPr>
          <w:rtl/>
        </w:rPr>
        <w:t xml:space="preserve"> כי ביקורות שביצע </w:t>
      </w:r>
      <w:r w:rsidRPr="00AF3FF9">
        <w:rPr>
          <w:rFonts w:hint="cs"/>
          <w:rtl/>
        </w:rPr>
        <w:t>פיקוד העורף</w:t>
      </w:r>
      <w:r w:rsidRPr="00AF3FF9">
        <w:rPr>
          <w:rtl/>
        </w:rPr>
        <w:t xml:space="preserve"> מעידות כי רמת מוכנותן של עיריית בית שאן והמועצה המקומית חצור הגלילית להתמודדות עם אירועי חירום נ</w:t>
      </w:r>
      <w:r w:rsidRPr="00AF3FF9">
        <w:rPr>
          <w:rtl/>
        </w:rPr>
        <w:t>מוכה</w:t>
      </w:r>
      <w:r w:rsidRPr="00AF3FF9">
        <w:rPr>
          <w:rFonts w:hint="cs"/>
          <w:rtl/>
        </w:rPr>
        <w:t>,</w:t>
      </w:r>
      <w:r w:rsidRPr="00AF3FF9">
        <w:rPr>
          <w:rtl/>
        </w:rPr>
        <w:t xml:space="preserve"> רמת מוכנותן של עיריות טבריה וצפת טובה, ורק מוכנותה של עיריית קריית שמונה היא טובה מאוד. עוד עלה בביקורות אלה כי אין תקן מחייב לגבי ציוד החירום שעל הרשויות המקומיות להחזיק ולתחזק במחסני החירום שלהן במסגרת התארגנותן להתמודדות עם אירועי חירום, לרבות עם </w:t>
      </w:r>
      <w:r w:rsidRPr="00AF3FF9">
        <w:rPr>
          <w:rtl/>
        </w:rPr>
        <w:t>אירוע של רעידת אדמה.</w:t>
      </w:r>
    </w:p>
    <w:p w:rsidR="006D40FB" w:rsidRPr="00AF3FF9" w:rsidP="006D40FB">
      <w:pPr>
        <w:pStyle w:val="7112"/>
        <w:rPr>
          <w:rtl/>
        </w:rPr>
      </w:pPr>
      <w:r w:rsidRPr="00AF3FF9">
        <w:rPr>
          <w:rtl/>
        </w:rPr>
        <w:t xml:space="preserve">הניסיון הבין-לאומי מראה שהשקעה מוקדמת בהיערכות לרעידת אדמה מצמצמת באופן ניכר פגיעות בנפש ונזקים לרכוש עם התרחשותה, </w:t>
      </w:r>
      <w:r w:rsidRPr="00AF3FF9">
        <w:rPr>
          <w:rFonts w:hint="cs"/>
          <w:rtl/>
        </w:rPr>
        <w:t xml:space="preserve">ומכאן כי </w:t>
      </w:r>
      <w:r w:rsidRPr="00AF3FF9">
        <w:rPr>
          <w:rtl/>
        </w:rPr>
        <w:t xml:space="preserve">הדרך הטובה ביותר למזעור </w:t>
      </w:r>
      <w:r w:rsidRPr="00AF3FF9">
        <w:rPr>
          <w:rtl/>
        </w:rPr>
        <w:t>נזקים ולמניעת התרחשותו של אסון כבד עקב רעידת אדמה היא שיפור עמידות המבנים - מבני מגורים</w:t>
      </w:r>
      <w:r w:rsidRPr="00AF3FF9">
        <w:rPr>
          <w:rtl/>
        </w:rPr>
        <w:t>, מבני ציבור ותשתיות - בפני רעידת אדמה.</w:t>
      </w:r>
    </w:p>
    <w:p w:rsidR="006D40FB" w:rsidRPr="00AF3FF9" w:rsidP="006D40FB">
      <w:pPr>
        <w:pStyle w:val="7112"/>
        <w:rPr>
          <w:rtl/>
        </w:rPr>
      </w:pPr>
      <w:r w:rsidRPr="00AF3FF9">
        <w:rPr>
          <w:rtl/>
        </w:rPr>
        <w:t>על ראש הממשלה, שר הביטחון, שר הבינוי והשיכון, שר הפנים ושר האוצר וכן ועדת ההיגוי הבין-משרדית להיערכות לרעידות אדמה לפעול לקידום המוכנות של מדינת ישראל והשלטון המקומי להתמודדות עם רעידות אדמה, בפרט בעניין הרשויות המקו</w:t>
      </w:r>
      <w:r w:rsidRPr="00AF3FF9">
        <w:rPr>
          <w:rtl/>
        </w:rPr>
        <w:t xml:space="preserve">מיות הפריפריאליות השוכנות לאורך קו השבר הסורי-אפריקאי. </w:t>
      </w:r>
    </w:p>
    <w:p w:rsidR="006D40FB" w:rsidRPr="00AF3FF9" w:rsidP="006D40FB">
      <w:pPr>
        <w:pStyle w:val="7112"/>
        <w:rPr>
          <w:rtl/>
        </w:rPr>
      </w:pPr>
      <w:r w:rsidRPr="00AF3FF9">
        <w:rPr>
          <w:rtl/>
        </w:rPr>
        <w:t>משרד מבקר המדינה ממליץ כי משרדי הממשלה הרלוונטיים</w:t>
      </w:r>
      <w:r w:rsidRPr="00AF3FF9">
        <w:rPr>
          <w:rFonts w:hint="cs"/>
          <w:rtl/>
        </w:rPr>
        <w:t xml:space="preserve"> -</w:t>
      </w:r>
      <w:r w:rsidRPr="00AF3FF9">
        <w:rPr>
          <w:rtl/>
        </w:rPr>
        <w:t xml:space="preserve"> משרד האוצר, משרד הביטחון, משרד הפנים ומשרד הבינוי והשיכון</w:t>
      </w:r>
      <w:r w:rsidRPr="00AF3FF9">
        <w:rPr>
          <w:rFonts w:hint="cs"/>
          <w:rtl/>
        </w:rPr>
        <w:t xml:space="preserve"> -</w:t>
      </w:r>
      <w:r w:rsidRPr="00AF3FF9">
        <w:rPr>
          <w:rtl/>
        </w:rPr>
        <w:t xml:space="preserve"> וכן ועדת ההיגוי הבין-משרדית להיערכות לרעידות אדמה, יפעלו בשיתוף עיריות בית שאן, טבריה, צ</w:t>
      </w:r>
      <w:r w:rsidRPr="00AF3FF9">
        <w:rPr>
          <w:rtl/>
        </w:rPr>
        <w:t xml:space="preserve">פת וקריית שמונה והמועצה המקומית חצור הגלילית, רשויות מקומיות פריפריאליות השוכנות לאורך קו השבר </w:t>
      </w:r>
      <w:r w:rsidR="00E3092A">
        <w:br/>
      </w:r>
      <w:r w:rsidRPr="00AF3FF9">
        <w:rPr>
          <w:rtl/>
        </w:rPr>
        <w:t xml:space="preserve">הסורי-אפריקאי, לגיבוש מנגנון לחיזוק המבנים באותן רשויות ולאיתור המשאבים הדרושים לכך. נוכח המשאבים התקציביים הגדולים הנדרשים לחיזוק המבנים והתשתיות ביישובי </w:t>
      </w:r>
      <w:r w:rsidRPr="00AF3FF9">
        <w:rPr>
          <w:rtl/>
        </w:rPr>
        <w:t>הפריפריה, שרובם במעמד חברתי-כלכלי נמוך, הדבר מחייב הירתמות של כל הגורמים המקצועיים והקצאת משאבים מתאימה.</w:t>
      </w:r>
    </w:p>
    <w:p w:rsidR="006D40FB" w:rsidRPr="00AF3FF9" w:rsidP="006D40FB">
      <w:pPr>
        <w:pStyle w:val="7112"/>
        <w:rPr>
          <w:b/>
          <w:bCs/>
          <w:rtl/>
        </w:rPr>
      </w:pPr>
      <w:r w:rsidRPr="00AF3FF9">
        <w:rPr>
          <w:b/>
          <w:bCs/>
          <w:rtl/>
        </w:rPr>
        <w:t>על הממשלה והשלטון המקומי לפעול במהירות ובנחרצות לטיפול בנושא, ויפה שעה אחת קודם.</w:t>
      </w:r>
    </w:p>
    <w:p w:rsidR="006D40FB" w:rsidRPr="00AF3FF9" w:rsidP="006D40FB">
      <w:pPr>
        <w:pStyle w:val="712"/>
        <w:numPr>
          <w:ilvl w:val="0"/>
          <w:numId w:val="45"/>
        </w:numPr>
        <w:rPr>
          <w:b/>
          <w:bCs/>
        </w:rPr>
      </w:pPr>
      <w:r w:rsidRPr="00AF3FF9">
        <w:rPr>
          <w:b/>
          <w:bCs/>
          <w:rtl/>
        </w:rPr>
        <w:t xml:space="preserve">פיתוח חיסון ונוגדנים נגד נגיף הקורונה במכון למחקר ביולוגי בישראל </w:t>
      </w:r>
    </w:p>
    <w:p w:rsidR="006D40FB" w:rsidRPr="00AF3FF9" w:rsidP="006D40FB">
      <w:pPr>
        <w:pStyle w:val="7112"/>
        <w:rPr>
          <w:rtl/>
        </w:rPr>
      </w:pPr>
      <w:r w:rsidRPr="00AF3FF9">
        <w:rPr>
          <w:rFonts w:hint="cs"/>
          <w:rtl/>
        </w:rPr>
        <w:t>כזכו</w:t>
      </w:r>
      <w:r w:rsidRPr="00AF3FF9">
        <w:rPr>
          <w:rFonts w:hint="cs"/>
          <w:rtl/>
        </w:rPr>
        <w:t xml:space="preserve">ר, </w:t>
      </w:r>
      <w:r w:rsidRPr="00AF3FF9">
        <w:rPr>
          <w:rtl/>
        </w:rPr>
        <w:t>מגפת הקורונה</w:t>
      </w:r>
      <w:r w:rsidRPr="00AF3FF9">
        <w:rPr>
          <w:rFonts w:hint="cs"/>
          <w:rtl/>
        </w:rPr>
        <w:t xml:space="preserve"> פרצה </w:t>
      </w:r>
      <w:r w:rsidRPr="00AF3FF9">
        <w:rPr>
          <w:rtl/>
        </w:rPr>
        <w:t>בישראל במרץ 2020</w:t>
      </w:r>
      <w:r w:rsidRPr="00AF3FF9">
        <w:rPr>
          <w:rFonts w:hint="cs"/>
          <w:rtl/>
        </w:rPr>
        <w:t>.</w:t>
      </w:r>
      <w:r w:rsidRPr="00AF3FF9">
        <w:rPr>
          <w:rtl/>
        </w:rPr>
        <w:t xml:space="preserve"> בעקבות הנחיית רה"ם </w:t>
      </w:r>
      <w:r w:rsidRPr="00AF3FF9">
        <w:rPr>
          <w:rFonts w:hint="cs"/>
          <w:rtl/>
        </w:rPr>
        <w:t xml:space="preserve">מפברואר 2020 </w:t>
      </w:r>
      <w:r w:rsidRPr="00AF3FF9">
        <w:rPr>
          <w:rtl/>
        </w:rPr>
        <w:t xml:space="preserve">החל המכון בתהליכי פיתוח חיסון ונוגדנים נגד נגיף הקורונה החדש, שכללו בין היתר הכשרת קו ייצור לחיסון, ניסויים פרה-קליניים בבעלי חיים וניסויים קליניים בבני אדם. </w:t>
      </w:r>
    </w:p>
    <w:p w:rsidR="006D40FB" w:rsidRPr="00AF3FF9" w:rsidP="006D40FB">
      <w:pPr>
        <w:pStyle w:val="7112"/>
        <w:rPr>
          <w:rtl/>
        </w:rPr>
      </w:pPr>
      <w:r w:rsidRPr="00AF3FF9">
        <w:rPr>
          <w:rtl/>
        </w:rPr>
        <w:t>בביקורת עלה כי הצעת מנהל ה</w:t>
      </w:r>
      <w:r w:rsidRPr="00AF3FF9">
        <w:rPr>
          <w:rtl/>
        </w:rPr>
        <w:t xml:space="preserve">מכון </w:t>
      </w:r>
      <w:r w:rsidRPr="00AF3FF9">
        <w:rPr>
          <w:rFonts w:hint="cs"/>
          <w:rtl/>
        </w:rPr>
        <w:t xml:space="preserve">לרה"ם להתחיל בפרויקט זה, הצעה שבעקבותיה ניתנה הנחיית רה"ם, </w:t>
      </w:r>
      <w:r w:rsidRPr="00AF3FF9">
        <w:rPr>
          <w:rtl/>
        </w:rPr>
        <w:t>לא עלתה בקנה אחד עם היכולות המוגבלות של המכון בתחום הייצור לפני התפרצות מגפת הקורונה</w:t>
      </w:r>
      <w:r w:rsidRPr="00AF3FF9">
        <w:rPr>
          <w:rFonts w:hint="cs"/>
          <w:rtl/>
        </w:rPr>
        <w:t>,</w:t>
      </w:r>
      <w:r w:rsidRPr="00AF3FF9">
        <w:rPr>
          <w:rtl/>
        </w:rPr>
        <w:t xml:space="preserve"> וכי המל"ל איפשר להעלות לדיון את נושא החיסון ולהציג את ההצעה לרה"ם, אף שהיה מודע לכך שמטה עוזר שר הביטחון ל</w:t>
      </w:r>
      <w:r w:rsidRPr="00AF3FF9">
        <w:rPr>
          <w:rtl/>
        </w:rPr>
        <w:t>א ידע בעוד מועד על מכתב מנהל המכון ולא קיים תהליך בקרה בנושא. נוסף על כך, הפרויקט נוהל שלא בהתאם לנהלים התקפים במכון, ומטה עוזר שר הביטחון איפשר את התנהלות הפרויקט בלי שהתקיימו תהליכי הבקרה הנדרשים. לוח הזמנים הצפוי</w:t>
      </w:r>
      <w:r w:rsidRPr="00AF3FF9">
        <w:rPr>
          <w:rFonts w:hint="cs"/>
          <w:rtl/>
        </w:rPr>
        <w:t xml:space="preserve"> לביצוע הפרויקט </w:t>
      </w:r>
      <w:r w:rsidRPr="00AF3FF9">
        <w:rPr>
          <w:rtl/>
        </w:rPr>
        <w:t xml:space="preserve">התארך </w:t>
      </w:r>
      <w:r w:rsidR="00E3092A">
        <w:br/>
      </w:r>
      <w:r w:rsidRPr="00AF3FF9">
        <w:rPr>
          <w:rtl/>
        </w:rPr>
        <w:t>מכ-11 חודשים לכ-36</w:t>
      </w:r>
      <w:r w:rsidRPr="00AF3FF9">
        <w:rPr>
          <w:rtl/>
        </w:rPr>
        <w:t xml:space="preserve"> חודשים, והתוספות התקציביות הוצגו בחלקים ולא כתמונת מצב מלאה (עלייה מכ-63 מיליון ש"ח לכ-1.4 מיליארד ש"ח). כך נמנע שיקוף מלא של לוח הזמנים הצפוי</w:t>
      </w:r>
      <w:r w:rsidRPr="00AF3FF9">
        <w:rPr>
          <w:rFonts w:hint="cs"/>
          <w:rtl/>
        </w:rPr>
        <w:t>.</w:t>
      </w:r>
    </w:p>
    <w:p w:rsidR="006D40FB" w:rsidRPr="00AF3FF9" w:rsidP="006D40FB">
      <w:pPr>
        <w:pStyle w:val="7112"/>
        <w:rPr>
          <w:rtl/>
        </w:rPr>
      </w:pPr>
      <w:r w:rsidRPr="00AF3FF9">
        <w:rPr>
          <w:rtl/>
        </w:rPr>
        <w:t>במועד סיום הביקורת, יולי 2022, פרויקט החיסון והנוגדנים במכון, שהוגדר כמשימה לאומית והושקע בו תקציב של כ-230 מיל</w:t>
      </w:r>
      <w:r w:rsidRPr="00AF3FF9">
        <w:rPr>
          <w:rtl/>
        </w:rPr>
        <w:t>יון ש"ח, נסגר</w:t>
      </w:r>
      <w:r w:rsidRPr="00AF3FF9">
        <w:rPr>
          <w:rFonts w:hint="cs"/>
          <w:rtl/>
        </w:rPr>
        <w:t xml:space="preserve"> הפרויקט,</w:t>
      </w:r>
      <w:r w:rsidRPr="00AF3FF9">
        <w:rPr>
          <w:rtl/>
        </w:rPr>
        <w:t xml:space="preserve"> בלי שפיתוחם וייצורם של החיסונים והנוגדנים הושלם ובלי שהם אושרו לשימוש בבני אדם.</w:t>
      </w:r>
    </w:p>
    <w:p w:rsidR="006D40FB" w:rsidRPr="006D40FB" w:rsidP="006D40FB">
      <w:pPr>
        <w:pStyle w:val="7112"/>
        <w:rPr>
          <w:spacing w:val="-2"/>
          <w:rtl/>
        </w:rPr>
      </w:pPr>
      <w:r w:rsidRPr="006D40FB">
        <w:rPr>
          <w:spacing w:val="-2"/>
          <w:rtl/>
        </w:rPr>
        <w:t xml:space="preserve">ניהול משברים, בייחוד משברים לא צפויים, מחייב קבלת החלטות וביצוע מהיר של פעולות בתנאי לחץ ואי-ודאות. עם זאת, הדחיפות שהייתה בתחילת המגפה אינה יכולה להיות </w:t>
      </w:r>
      <w:r w:rsidRPr="006D40FB">
        <w:rPr>
          <w:spacing w:val="-2"/>
          <w:rtl/>
        </w:rPr>
        <w:t xml:space="preserve">נימוק לליקויים </w:t>
      </w:r>
      <w:r w:rsidRPr="006D40FB">
        <w:rPr>
          <w:rFonts w:hint="cs"/>
          <w:spacing w:val="-2"/>
          <w:rtl/>
        </w:rPr>
        <w:t>שהצטברו</w:t>
      </w:r>
      <w:r w:rsidRPr="006D40FB">
        <w:rPr>
          <w:spacing w:val="-2"/>
          <w:rtl/>
        </w:rPr>
        <w:t xml:space="preserve"> </w:t>
      </w:r>
      <w:r w:rsidRPr="006D40FB">
        <w:rPr>
          <w:rFonts w:hint="cs"/>
          <w:spacing w:val="-2"/>
          <w:rtl/>
        </w:rPr>
        <w:t>מ</w:t>
      </w:r>
      <w:r w:rsidRPr="006D40FB">
        <w:rPr>
          <w:spacing w:val="-2"/>
          <w:rtl/>
        </w:rPr>
        <w:t>מועד הטלת משימת הפיתוח על המכון</w:t>
      </w:r>
      <w:r w:rsidRPr="006D40FB">
        <w:rPr>
          <w:rFonts w:hint="cs"/>
          <w:spacing w:val="-2"/>
          <w:rtl/>
        </w:rPr>
        <w:t xml:space="preserve"> - פברואר 2020</w:t>
      </w:r>
      <w:r w:rsidRPr="006D40FB">
        <w:rPr>
          <w:spacing w:val="-2"/>
          <w:rtl/>
        </w:rPr>
        <w:t xml:space="preserve">. בראייה צופה פני עתיד ממליץ משרד מבקר המדינה כי מטה עוזר שר הביטחון והמכון יערכו תהליך להפקת </w:t>
      </w:r>
      <w:r w:rsidRPr="006D40FB">
        <w:rPr>
          <w:spacing w:val="-2"/>
          <w:rtl/>
        </w:rPr>
        <w:t>לקחים לגבי הליך פיתוח החיסון על ידי המכון, בפרט לשם חידוד מנגנוני הבקרה בתהליכי הפיתוח והייצו</w:t>
      </w:r>
      <w:r w:rsidRPr="006D40FB">
        <w:rPr>
          <w:spacing w:val="-2"/>
          <w:rtl/>
        </w:rPr>
        <w:t>ר המבוצעים במכון. כן מומלץ כי מטה עוזר שר הביטחון יבחן אם קיימת תרומה אפשרית למכון בהתמודדות מדינת ישראל עם פנדמיה בעתיד, זאת בהתייחס לשלבים השונים של פיתוח תכשירים רפואיים, ובכלל זה הייצור והרגולציה המתחייבת במסגרתם.</w:t>
      </w:r>
    </w:p>
    <w:p w:rsidR="006D40FB" w:rsidRPr="00AF3FF9" w:rsidP="006D40FB">
      <w:pPr>
        <w:pStyle w:val="712"/>
        <w:numPr>
          <w:ilvl w:val="0"/>
          <w:numId w:val="45"/>
        </w:numPr>
        <w:rPr>
          <w:b/>
          <w:bCs/>
          <w:rtl/>
        </w:rPr>
      </w:pPr>
      <w:r w:rsidRPr="00AF3FF9">
        <w:rPr>
          <w:rFonts w:hint="cs"/>
          <w:b/>
          <w:bCs/>
          <w:rtl/>
        </w:rPr>
        <w:t>ה</w:t>
      </w:r>
      <w:r w:rsidRPr="00AF3FF9">
        <w:rPr>
          <w:b/>
          <w:bCs/>
          <w:rtl/>
        </w:rPr>
        <w:t>סיוע הייחודי לתעשיית התיירות במשבר הק</w:t>
      </w:r>
      <w:r w:rsidRPr="00AF3FF9">
        <w:rPr>
          <w:b/>
          <w:bCs/>
          <w:rtl/>
        </w:rPr>
        <w:t xml:space="preserve">ורונה </w:t>
      </w:r>
    </w:p>
    <w:p w:rsidR="006D40FB" w:rsidRPr="00AF3FF9" w:rsidP="006D40FB">
      <w:pPr>
        <w:pStyle w:val="7112"/>
        <w:rPr>
          <w:rtl/>
        </w:rPr>
      </w:pPr>
      <w:r w:rsidRPr="00AF3FF9">
        <w:rPr>
          <w:rtl/>
        </w:rPr>
        <w:t xml:space="preserve">בעקבות פרוץ מגפת הקורונה בישראל במרץ 2020 נקטה הממשלה צעדים לצמצום התחלואה והתמותה, ובראשם - הטלת הגבלות על תנועה והתקהלות במדינה וסגירת השמיים לתיירים זרים. הגבלות אלו פגעו קשות בתעשיית התיירות בשלב מוקדם יחסית של המגפה, </w:t>
      </w:r>
      <w:r w:rsidRPr="00AF3FF9">
        <w:rPr>
          <w:rFonts w:hint="cs"/>
          <w:rtl/>
        </w:rPr>
        <w:t>וממספר</w:t>
      </w:r>
      <w:r w:rsidRPr="00AF3FF9">
        <w:rPr>
          <w:rtl/>
        </w:rPr>
        <w:t xml:space="preserve"> של כ-4.5 מיליון תייר</w:t>
      </w:r>
      <w:r w:rsidRPr="00AF3FF9">
        <w:rPr>
          <w:rtl/>
        </w:rPr>
        <w:t xml:space="preserve">ים שנכנסו לישראל בשנת 2019 ירד מספרם לשפל חסר תקדים של כ-832,000 תיירים בשנת 2020. הכנסות המשק הישראלי מתיירות בשנת 2021 </w:t>
      </w:r>
      <w:r w:rsidRPr="00AF3FF9">
        <w:rPr>
          <w:rFonts w:hint="cs"/>
          <w:rtl/>
        </w:rPr>
        <w:t>היו</w:t>
      </w:r>
      <w:r w:rsidRPr="00AF3FF9">
        <w:rPr>
          <w:rtl/>
        </w:rPr>
        <w:t xml:space="preserve"> כ-14 מיליארד</w:t>
      </w:r>
      <w:r w:rsidRPr="00AF3FF9">
        <w:rPr>
          <w:rFonts w:hint="cs"/>
          <w:rtl/>
        </w:rPr>
        <w:t xml:space="preserve"> ש"ח,</w:t>
      </w:r>
      <w:r w:rsidRPr="00AF3FF9">
        <w:rPr>
          <w:rtl/>
        </w:rPr>
        <w:t xml:space="preserve"> לעומת ההכנסות טרום משבר הקורונה בשנת 2019 </w:t>
      </w:r>
      <w:r w:rsidRPr="00AF3FF9">
        <w:rPr>
          <w:rFonts w:hint="cs"/>
          <w:rtl/>
        </w:rPr>
        <w:t>שהיו</w:t>
      </w:r>
      <w:r w:rsidRPr="00AF3FF9">
        <w:rPr>
          <w:rtl/>
        </w:rPr>
        <w:t xml:space="preserve"> כ-43 מיליארד</w:t>
      </w:r>
      <w:r w:rsidRPr="00AF3FF9">
        <w:rPr>
          <w:rFonts w:hint="cs"/>
          <w:rtl/>
        </w:rPr>
        <w:t xml:space="preserve"> ש"ח</w:t>
      </w:r>
      <w:r w:rsidRPr="00AF3FF9">
        <w:rPr>
          <w:rtl/>
        </w:rPr>
        <w:t xml:space="preserve">. </w:t>
      </w:r>
    </w:p>
    <w:p w:rsidR="006D40FB" w:rsidRPr="00AF3FF9" w:rsidP="006D40FB">
      <w:pPr>
        <w:pStyle w:val="7112"/>
        <w:rPr>
          <w:rtl/>
        </w:rPr>
      </w:pPr>
      <w:r>
        <w:rPr>
          <w:rFonts w:hint="cs"/>
          <w:rtl/>
        </w:rPr>
        <w:t>דוח</w:t>
      </w:r>
      <w:r w:rsidRPr="00AF3FF9">
        <w:rPr>
          <w:rtl/>
        </w:rPr>
        <w:t xml:space="preserve"> זה בחן את הסיוע הייחודי לתעשיית התיירות בשנ</w:t>
      </w:r>
      <w:r w:rsidRPr="00AF3FF9">
        <w:rPr>
          <w:rtl/>
        </w:rPr>
        <w:t xml:space="preserve">י מישורים: האחד, בכל הנוגע להיערכות משרד </w:t>
      </w:r>
      <w:r w:rsidRPr="00AF3FF9">
        <w:rPr>
          <w:rFonts w:hint="cs"/>
          <w:rtl/>
        </w:rPr>
        <w:t xml:space="preserve">התיירות </w:t>
      </w:r>
      <w:r w:rsidRPr="00AF3FF9">
        <w:rPr>
          <w:rtl/>
        </w:rPr>
        <w:t>לאירועי חירום בעת שגרה, ובמיוחד בהיבטים הנוגעים לריכוז מידע הנחוץ להפעלת הסיוע בעת חירום ולהגדרת מושאי הסיוע; והשני, בחינת היבטים שונים הנוגעים לסיוע הייחודי שניתן בשנים 2021 ו-2022 לתעשיית התיירות ולאופן מי</w:t>
      </w:r>
      <w:r w:rsidRPr="00AF3FF9">
        <w:rPr>
          <w:rtl/>
        </w:rPr>
        <w:t xml:space="preserve">מושו. </w:t>
      </w:r>
    </w:p>
    <w:p w:rsidR="006D40FB" w:rsidRPr="00AF3FF9" w:rsidP="006D40FB">
      <w:pPr>
        <w:pStyle w:val="7112"/>
        <w:rPr>
          <w:rtl/>
        </w:rPr>
      </w:pPr>
      <w:r w:rsidRPr="00AF3FF9">
        <w:rPr>
          <w:rtl/>
        </w:rPr>
        <w:t>הביקורת הצביעה על פערים בפעילותו של משרד התיירות בעת שגרה בתחום איסוף המידע הנוגע לתעשיית התיירות ועדכונו העיתי, היערכות המשרד למצבי חירום והתייחסות המשרד רק לחלק מהענפים בתיירות. פערים אלה פגעו במועילות וביעילות הסיוע לתעשיית התיירות במשבר הקורונה</w:t>
      </w:r>
      <w:r w:rsidRPr="00AF3FF9">
        <w:rPr>
          <w:rFonts w:hint="cs"/>
          <w:rtl/>
        </w:rPr>
        <w:t>,</w:t>
      </w:r>
      <w:r w:rsidRPr="00AF3FF9">
        <w:rPr>
          <w:rtl/>
        </w:rPr>
        <w:t xml:space="preserve"> משום שהם הגבילו את יכולת המשרד לאמוד את הנזקים שנגרמו לענפים שונים המרכיבים את תעשיית התיירות ולהעריך את היקף הסיוע וסוג הסיוע שנדרשו כדי להתמודד עם המשבר. אשר לסיוע הייחודי שניתן בשנים 2021 </w:t>
      </w:r>
      <w:r w:rsidR="00E3092A">
        <w:br/>
      </w:r>
      <w:r w:rsidRPr="00AF3FF9">
        <w:rPr>
          <w:rtl/>
        </w:rPr>
        <w:t xml:space="preserve">ו-2022 לכמה ענפים בתעשיית התיירות ולאופן מימושו </w:t>
      </w:r>
      <w:r w:rsidRPr="00AF3FF9">
        <w:rPr>
          <w:rFonts w:hint="cs"/>
          <w:rtl/>
        </w:rPr>
        <w:t>-</w:t>
      </w:r>
      <w:r w:rsidRPr="00AF3FF9">
        <w:rPr>
          <w:rtl/>
        </w:rPr>
        <w:t xml:space="preserve"> הביקורת </w:t>
      </w:r>
      <w:r w:rsidRPr="00AF3FF9">
        <w:rPr>
          <w:rFonts w:hint="cs"/>
          <w:rtl/>
        </w:rPr>
        <w:t xml:space="preserve">העלתה </w:t>
      </w:r>
      <w:r w:rsidRPr="00AF3FF9">
        <w:rPr>
          <w:rtl/>
        </w:rPr>
        <w:t>שורה של ממצאים המחייבים בחינה והפקת לקחים</w:t>
      </w:r>
      <w:r w:rsidRPr="00AF3FF9">
        <w:rPr>
          <w:rFonts w:hint="cs"/>
          <w:rtl/>
        </w:rPr>
        <w:t>,</w:t>
      </w:r>
      <w:r w:rsidRPr="00AF3FF9">
        <w:rPr>
          <w:rtl/>
        </w:rPr>
        <w:t xml:space="preserve"> לרבות קביעת אמות מידה לזיהוי עסקי התיירות</w:t>
      </w:r>
      <w:r w:rsidRPr="00AF3FF9">
        <w:rPr>
          <w:rFonts w:hint="cs"/>
          <w:rtl/>
        </w:rPr>
        <w:t>,</w:t>
      </w:r>
      <w:r w:rsidRPr="00AF3FF9">
        <w:rPr>
          <w:rtl/>
        </w:rPr>
        <w:t xml:space="preserve"> מאפייניהם וצורכיהם</w:t>
      </w:r>
      <w:r w:rsidRPr="00AF3FF9">
        <w:rPr>
          <w:rFonts w:hint="cs"/>
          <w:rtl/>
        </w:rPr>
        <w:t>;</w:t>
      </w:r>
      <w:r w:rsidRPr="00AF3FF9">
        <w:rPr>
          <w:rtl/>
        </w:rPr>
        <w:t xml:space="preserve"> בחינת היכולת האופרטיבית של משרד התיירות להפעיל מערך סיוע</w:t>
      </w:r>
      <w:r w:rsidRPr="00AF3FF9">
        <w:rPr>
          <w:rFonts w:hint="cs"/>
          <w:rtl/>
        </w:rPr>
        <w:t>;</w:t>
      </w:r>
      <w:r w:rsidRPr="00AF3FF9">
        <w:rPr>
          <w:rtl/>
        </w:rPr>
        <w:t xml:space="preserve"> </w:t>
      </w:r>
      <w:r w:rsidRPr="00AF3FF9">
        <w:rPr>
          <w:rFonts w:hint="cs"/>
          <w:rtl/>
        </w:rPr>
        <w:t>ה</w:t>
      </w:r>
      <w:r w:rsidRPr="00AF3FF9">
        <w:rPr>
          <w:rtl/>
        </w:rPr>
        <w:t>צורך בהצגת תמונת מצב פיננסית מלאה על אודות תוצאות הסיוע ומצבם הפיננסי של מושאי הסיוע</w:t>
      </w:r>
      <w:r w:rsidRPr="00AF3FF9">
        <w:rPr>
          <w:rFonts w:hint="cs"/>
          <w:rtl/>
        </w:rPr>
        <w:t>;</w:t>
      </w:r>
      <w:r w:rsidRPr="00AF3FF9">
        <w:rPr>
          <w:rtl/>
        </w:rPr>
        <w:t xml:space="preserve"> וקביעת מנגנוני בקרה על מתן סיוע לענפים שונים בתעשיית התיירות. </w:t>
      </w:r>
    </w:p>
    <w:p w:rsidR="006D40FB" w:rsidRPr="00AF3FF9" w:rsidP="006D40FB">
      <w:pPr>
        <w:pStyle w:val="7112"/>
        <w:rPr>
          <w:rtl/>
        </w:rPr>
      </w:pPr>
      <w:r w:rsidRPr="00AF3FF9">
        <w:rPr>
          <w:rtl/>
        </w:rPr>
        <w:t xml:space="preserve">בהינתן שהכספים שמדינת ישראל יכולה לייעד לסיוע הם לעולם מוגבלים ושמדובר בסיוע ייחודי המחייב רף הצדקה גבוה לעומת הסיוע הכלל-משקי, מומלץ כי תונח בשלב גיבוש הסיוע תשתית </w:t>
      </w:r>
      <w:r w:rsidRPr="00AF3FF9">
        <w:rPr>
          <w:rFonts w:hint="cs"/>
          <w:rtl/>
        </w:rPr>
        <w:t xml:space="preserve">אשר </w:t>
      </w:r>
      <w:r w:rsidRPr="00AF3FF9">
        <w:rPr>
          <w:rtl/>
        </w:rPr>
        <w:t xml:space="preserve">תגדיל את הסיכוי שהסיוע </w:t>
      </w:r>
      <w:r w:rsidRPr="00AF3FF9">
        <w:rPr>
          <w:rtl/>
        </w:rPr>
        <w:t>יינתן בצורה יעילה ומועילה ו</w:t>
      </w:r>
      <w:r w:rsidRPr="00AF3FF9">
        <w:rPr>
          <w:rFonts w:hint="cs"/>
          <w:rtl/>
        </w:rPr>
        <w:t xml:space="preserve">אשר </w:t>
      </w:r>
      <w:r w:rsidRPr="00AF3FF9">
        <w:rPr>
          <w:rtl/>
        </w:rPr>
        <w:t>תוכל להגשים את תכליתו הן מבחינת מהירות חלוקתו והן מבחינת זהות הגופים שיקבלו סיוע.</w:t>
      </w:r>
    </w:p>
    <w:p w:rsidR="00E3092A" w:rsidP="00E3092A">
      <w:pPr>
        <w:pStyle w:val="7112"/>
        <w:spacing w:after="240"/>
        <w:rPr>
          <w:rtl/>
        </w:rPr>
      </w:pPr>
      <w:r w:rsidRPr="00AF3FF9">
        <w:rPr>
          <w:rtl/>
        </w:rPr>
        <w:t xml:space="preserve">יישום ההמלצות על ידי משרד התיירות ויתר הגורמים הרלוונטיים יסייע בידם להשתמש במשבר כהזדמנות ולהשיג שתי מטרות משמעותיות: האחת, להגדיל את מוכנותה </w:t>
      </w:r>
      <w:r w:rsidRPr="00AF3FF9">
        <w:rPr>
          <w:rtl/>
        </w:rPr>
        <w:t>ויכולתה של תעשיית התיירות בארץ להתמודד עם מצבי חירום בעתיד ובתוך כך לוודא שכספי סיוע יוענקו לענפים הזקוקים לכך לשם הישרדות כלכלית</w:t>
      </w:r>
      <w:r w:rsidRPr="00AF3FF9">
        <w:rPr>
          <w:rFonts w:hint="cs"/>
          <w:rtl/>
        </w:rPr>
        <w:t>;</w:t>
      </w:r>
      <w:r w:rsidRPr="00AF3FF9">
        <w:rPr>
          <w:rtl/>
        </w:rPr>
        <w:t xml:space="preserve"> והשנייה, למקסם את תרומתה של תעשיית התיירות למשק הישראלי.</w:t>
      </w:r>
    </w:p>
    <w:p w:rsidR="00E3092A">
      <w:pPr>
        <w:bidi w:val="0"/>
        <w:spacing w:after="200" w:line="276" w:lineRule="auto"/>
        <w:rPr>
          <w:rFonts w:ascii="Tahoma" w:hAnsi="Tahoma" w:cs="Tahoma"/>
          <w:color w:val="0D0D0D" w:themeColor="text1" w:themeTint="F2"/>
          <w:sz w:val="18"/>
          <w:szCs w:val="18"/>
          <w:rtl/>
        </w:rPr>
      </w:pPr>
      <w:r>
        <w:rPr>
          <w:rtl/>
        </w:rPr>
        <w:br w:type="page"/>
      </w:r>
    </w:p>
    <w:p w:rsidR="006D40FB" w:rsidRPr="00AF3FF9" w:rsidP="006D40FB">
      <w:pPr>
        <w:pStyle w:val="712"/>
        <w:numPr>
          <w:ilvl w:val="0"/>
          <w:numId w:val="45"/>
        </w:numPr>
        <w:rPr>
          <w:b/>
          <w:bCs/>
        </w:rPr>
      </w:pPr>
      <w:r w:rsidRPr="00AF3FF9">
        <w:rPr>
          <w:b/>
          <w:bCs/>
          <w:rtl/>
        </w:rPr>
        <w:t>דוח ביניים:</w:t>
      </w:r>
      <w:r w:rsidRPr="00AF3FF9">
        <w:rPr>
          <w:rFonts w:hint="cs"/>
          <w:b/>
          <w:bCs/>
          <w:rtl/>
        </w:rPr>
        <w:t xml:space="preserve"> </w:t>
      </w:r>
      <w:r w:rsidRPr="00AF3FF9">
        <w:rPr>
          <w:b/>
          <w:bCs/>
          <w:rtl/>
        </w:rPr>
        <w:t xml:space="preserve">אשפוז ילדים בבתי חולים </w:t>
      </w:r>
      <w:r w:rsidRPr="00AF3FF9">
        <w:rPr>
          <w:rFonts w:hint="cs"/>
          <w:b/>
          <w:bCs/>
          <w:rtl/>
        </w:rPr>
        <w:t xml:space="preserve">- </w:t>
      </w:r>
      <w:r w:rsidRPr="00AF3FF9">
        <w:rPr>
          <w:b/>
          <w:bCs/>
          <w:rtl/>
        </w:rPr>
        <w:t>ביקור מבקר המדינה במרכז הרפוא</w:t>
      </w:r>
      <w:r w:rsidRPr="00AF3FF9">
        <w:rPr>
          <w:b/>
          <w:bCs/>
          <w:rtl/>
        </w:rPr>
        <w:t>י ת</w:t>
      </w:r>
      <w:r w:rsidRPr="00AF3FF9">
        <w:rPr>
          <w:rFonts w:hint="cs"/>
          <w:b/>
          <w:bCs/>
          <w:rtl/>
        </w:rPr>
        <w:t>ל אביב</w:t>
      </w:r>
      <w:r w:rsidRPr="00AF3FF9">
        <w:rPr>
          <w:b/>
          <w:bCs/>
          <w:rtl/>
        </w:rPr>
        <w:t xml:space="preserve"> ע"ש סוראסקי (איכילוב) ובמרכז הרפואי ברזילי באשקלון</w:t>
      </w:r>
    </w:p>
    <w:p w:rsidR="006D40FB" w:rsidRPr="00AF3FF9" w:rsidP="006D40FB">
      <w:pPr>
        <w:pStyle w:val="7112"/>
        <w:rPr>
          <w:rtl/>
        </w:rPr>
      </w:pPr>
      <w:r w:rsidRPr="00AF3FF9">
        <w:rPr>
          <w:rFonts w:hint="cs"/>
          <w:rtl/>
        </w:rPr>
        <w:t>בדצמבר 2022</w:t>
      </w:r>
      <w:r w:rsidRPr="00AF3FF9">
        <w:rPr>
          <w:rtl/>
        </w:rPr>
        <w:t xml:space="preserve"> קיי</w:t>
      </w:r>
      <w:r w:rsidRPr="00AF3FF9">
        <w:rPr>
          <w:rFonts w:hint="cs"/>
          <w:rtl/>
        </w:rPr>
        <w:t>מתי עם</w:t>
      </w:r>
      <w:r w:rsidRPr="00AF3FF9">
        <w:rPr>
          <w:rtl/>
        </w:rPr>
        <w:t xml:space="preserve"> מנכ"ל משרד</w:t>
      </w:r>
      <w:r w:rsidRPr="00AF3FF9">
        <w:rPr>
          <w:rFonts w:hint="cs"/>
          <w:rtl/>
        </w:rPr>
        <w:t>י וצוותי הביקורת</w:t>
      </w:r>
      <w:r w:rsidRPr="00AF3FF9">
        <w:rPr>
          <w:rtl/>
        </w:rPr>
        <w:t xml:space="preserve"> </w:t>
      </w:r>
      <w:r w:rsidRPr="00AF3FF9">
        <w:rPr>
          <w:rFonts w:hint="cs"/>
          <w:rtl/>
        </w:rPr>
        <w:t xml:space="preserve">ביקור </w:t>
      </w:r>
      <w:r w:rsidRPr="00AF3FF9">
        <w:rPr>
          <w:rtl/>
        </w:rPr>
        <w:t>בבית החולים לילדים איכילוב-דנה</w:t>
      </w:r>
      <w:r w:rsidRPr="00AF3FF9">
        <w:rPr>
          <w:rFonts w:hint="cs"/>
          <w:rtl/>
        </w:rPr>
        <w:t xml:space="preserve"> דואק</w:t>
      </w:r>
      <w:r w:rsidRPr="00AF3FF9">
        <w:rPr>
          <w:rtl/>
        </w:rPr>
        <w:t xml:space="preserve"> ובברזילי באשקלון</w:t>
      </w:r>
      <w:r w:rsidRPr="00AF3FF9">
        <w:rPr>
          <w:rFonts w:hint="cs"/>
          <w:rtl/>
        </w:rPr>
        <w:t>.</w:t>
      </w:r>
      <w:r w:rsidRPr="00AF3FF9">
        <w:rPr>
          <w:rtl/>
        </w:rPr>
        <w:t xml:space="preserve"> במסגרת</w:t>
      </w:r>
      <w:r w:rsidRPr="00AF3FF9">
        <w:rPr>
          <w:rFonts w:hint="cs"/>
          <w:rtl/>
        </w:rPr>
        <w:t xml:space="preserve"> הביקורים</w:t>
      </w:r>
      <w:r w:rsidRPr="00AF3FF9">
        <w:rPr>
          <w:rtl/>
        </w:rPr>
        <w:t xml:space="preserve"> </w:t>
      </w:r>
      <w:r w:rsidRPr="00AF3FF9">
        <w:rPr>
          <w:rFonts w:hint="cs"/>
          <w:rtl/>
        </w:rPr>
        <w:t>סיירנו</w:t>
      </w:r>
      <w:r w:rsidRPr="00AF3FF9">
        <w:rPr>
          <w:rtl/>
        </w:rPr>
        <w:t xml:space="preserve"> במחלקות הילדים השונות ובחדרי האשפוז, בחללים המשותפים, ביחידות ל</w:t>
      </w:r>
      <w:r w:rsidRPr="00AF3FF9">
        <w:rPr>
          <w:rtl/>
        </w:rPr>
        <w:t>טיפול נמרץ, במחלקה לרפואה דחופה ילדים, במחלקה ההמטואונקולוגית וכן בחדרים המשמשים ללמידת הילדים. במהלך הביקורים נסקרו תנאי האשפוז והתשתיות במחלקות וכן התקיימו שיחות עם ההורים וילדיהם המאושפזים כדי לעמוד על מהלך האשפוז ותנאיו, כפי שהם חוו אותם. כן נפגשו הצוו</w:t>
      </w:r>
      <w:r w:rsidRPr="00AF3FF9">
        <w:rPr>
          <w:rtl/>
        </w:rPr>
        <w:t>תים עם הנהלות בתי</w:t>
      </w:r>
      <w:r w:rsidRPr="00AF3FF9">
        <w:rPr>
          <w:rFonts w:hint="cs"/>
          <w:rtl/>
        </w:rPr>
        <w:t xml:space="preserve"> החולים</w:t>
      </w:r>
      <w:r w:rsidRPr="00AF3FF9">
        <w:rPr>
          <w:rtl/>
        </w:rPr>
        <w:t>, עם הצוותים הרפואיים והסיעודיים ועם הצוותים הפָּר</w:t>
      </w:r>
      <w:r w:rsidRPr="00AF3FF9">
        <w:rPr>
          <w:rFonts w:hint="cs"/>
          <w:rtl/>
        </w:rPr>
        <w:t>ה</w:t>
      </w:r>
      <w:r w:rsidRPr="00AF3FF9">
        <w:rPr>
          <w:rtl/>
        </w:rPr>
        <w:t>-רפואיים - עובדת סוציאלית ומורים.</w:t>
      </w:r>
      <w:r w:rsidRPr="00AF3FF9">
        <w:rPr>
          <w:rFonts w:hint="cs"/>
          <w:rtl/>
        </w:rPr>
        <w:t xml:space="preserve"> </w:t>
      </w:r>
    </w:p>
    <w:p w:rsidR="006D40FB" w:rsidRPr="00AF3FF9" w:rsidP="006D40FB">
      <w:pPr>
        <w:pStyle w:val="7112"/>
        <w:rPr>
          <w:rtl/>
        </w:rPr>
      </w:pPr>
      <w:r w:rsidRPr="00AF3FF9">
        <w:rPr>
          <w:rFonts w:hint="cs"/>
          <w:rtl/>
        </w:rPr>
        <w:t xml:space="preserve">בביקור </w:t>
      </w:r>
      <w:r w:rsidRPr="00AF3FF9">
        <w:rPr>
          <w:rtl/>
        </w:rPr>
        <w:t>העלו המנהלים והצוותים הרפואיים והסיעודיים נושאים מהותיים</w:t>
      </w:r>
      <w:r w:rsidRPr="00AF3FF9">
        <w:rPr>
          <w:rFonts w:hint="cs"/>
          <w:rtl/>
        </w:rPr>
        <w:t>,</w:t>
      </w:r>
      <w:r w:rsidRPr="00AF3FF9">
        <w:rPr>
          <w:rtl/>
        </w:rPr>
        <w:t xml:space="preserve"> ובהם החוסר בתוכנית רב-שנתית המפרטת את המיטות הנדרשות לאגפים השונים במערך האשפוז ל</w:t>
      </w:r>
      <w:r w:rsidRPr="00AF3FF9">
        <w:rPr>
          <w:rtl/>
        </w:rPr>
        <w:t>רבות אגפי הילדים, שיעור התפוסה הרצוי בבתי החולים וחוסר משמעותי בכוח אדם רפואי, סיעודי ופר</w:t>
      </w:r>
      <w:r w:rsidRPr="00AF3FF9">
        <w:rPr>
          <w:rFonts w:hint="cs"/>
          <w:rtl/>
        </w:rPr>
        <w:t>ה</w:t>
      </w:r>
      <w:r w:rsidRPr="00AF3FF9">
        <w:rPr>
          <w:rtl/>
        </w:rPr>
        <w:t xml:space="preserve">-רפואי. </w:t>
      </w:r>
      <w:r w:rsidRPr="00AF3FF9">
        <w:rPr>
          <w:rFonts w:hint="cs"/>
          <w:rtl/>
        </w:rPr>
        <w:t xml:space="preserve">כך למשל, </w:t>
      </w:r>
      <w:r w:rsidRPr="00AF3FF9">
        <w:rPr>
          <w:rtl/>
        </w:rPr>
        <w:t>מנהל</w:t>
      </w:r>
      <w:r w:rsidR="004B4DC3">
        <w:rPr>
          <w:rFonts w:hint="cs"/>
          <w:rtl/>
        </w:rPr>
        <w:t xml:space="preserve"> </w:t>
      </w:r>
      <w:r w:rsidRPr="004B4DC3" w:rsidR="004B4DC3">
        <w:rPr>
          <w:rtl/>
        </w:rPr>
        <w:t>ביה"ח</w:t>
      </w:r>
      <w:r w:rsidRPr="00AF3FF9">
        <w:rPr>
          <w:rtl/>
        </w:rPr>
        <w:t xml:space="preserve"> </w:t>
      </w:r>
      <w:r w:rsidRPr="004B4DC3" w:rsidR="004B4DC3">
        <w:rPr>
          <w:rtl/>
        </w:rPr>
        <w:t>איכילוב-דנה</w:t>
      </w:r>
      <w:r w:rsidR="004B4DC3">
        <w:rPr>
          <w:rFonts w:hint="cs"/>
          <w:rtl/>
        </w:rPr>
        <w:t xml:space="preserve"> </w:t>
      </w:r>
      <w:r w:rsidRPr="00AF3FF9">
        <w:rPr>
          <w:rtl/>
        </w:rPr>
        <w:t xml:space="preserve">ציין שכ-20% מהילדים החולים במחלות ממאירות והמאושפזים במחלקה </w:t>
      </w:r>
      <w:r w:rsidRPr="00AF3FF9">
        <w:rPr>
          <w:rFonts w:hint="cs"/>
          <w:rtl/>
        </w:rPr>
        <w:t>ה</w:t>
      </w:r>
      <w:r w:rsidRPr="00AF3FF9">
        <w:rPr>
          <w:rtl/>
        </w:rPr>
        <w:t xml:space="preserve">המטואונקולוגית ילדים נדרשים לטיפול פליאטיבי, אך מצוקת כוח האדם </w:t>
      </w:r>
      <w:r w:rsidRPr="00AF3FF9">
        <w:rPr>
          <w:rtl/>
        </w:rPr>
        <w:t>הסיעודי והחוסר בתקנים ייעודיים אינם מאפשרים מתן טיפול כזה; חוסר התקינה בכוח אדם פר</w:t>
      </w:r>
      <w:r w:rsidRPr="00AF3FF9">
        <w:rPr>
          <w:rFonts w:hint="cs"/>
          <w:rtl/>
        </w:rPr>
        <w:t>ה</w:t>
      </w:r>
      <w:r w:rsidRPr="00AF3FF9">
        <w:rPr>
          <w:rtl/>
        </w:rPr>
        <w:t>-רפואי עלול לגרום לכך שבתי</w:t>
      </w:r>
      <w:r w:rsidRPr="00AF3FF9">
        <w:rPr>
          <w:rFonts w:hint="cs"/>
          <w:rtl/>
        </w:rPr>
        <w:t xml:space="preserve"> החולים</w:t>
      </w:r>
      <w:r w:rsidRPr="00AF3FF9">
        <w:rPr>
          <w:rtl/>
        </w:rPr>
        <w:t xml:space="preserve"> לא יוכלו להעסיק כוח אדם מקצועי זה, דבר שעלול לפגוע בטיפול בילדים ובבני משפחותיהם. משרד מבקר המדינה מציין כי ניכר שהצוותים הרפואיים, הסיעודי</w:t>
      </w:r>
      <w:r w:rsidRPr="00AF3FF9">
        <w:rPr>
          <w:rtl/>
        </w:rPr>
        <w:t>ים והאחרים נוקטים מאמצים לשפר את חוויית האשפוז של ילדים ולהקל על משפחותיהם. גם ההורים ציינו לחיוב את חוויית האשפוז במחלקות הילדים, אם כי הצביעו על זמני המתנה ממושכים במלר"ד ילדים.</w:t>
      </w:r>
      <w:r w:rsidRPr="00AF3FF9">
        <w:rPr>
          <w:rFonts w:hint="cs"/>
          <w:rtl/>
        </w:rPr>
        <w:t xml:space="preserve"> </w:t>
      </w:r>
      <w:r w:rsidRPr="00AF3FF9">
        <w:rPr>
          <w:rtl/>
        </w:rPr>
        <w:t>מומלץ כי משרד הבריאות, איכילוב-דנה וברזילי יבחנו את האמור</w:t>
      </w:r>
      <w:r w:rsidRPr="00AF3FF9">
        <w:rPr>
          <w:rFonts w:hint="cs"/>
          <w:rtl/>
        </w:rPr>
        <w:t xml:space="preserve"> </w:t>
      </w:r>
      <w:r w:rsidRPr="00AF3FF9">
        <w:rPr>
          <w:rtl/>
        </w:rPr>
        <w:t>ויתקנו את הנדרש.</w:t>
      </w:r>
    </w:p>
    <w:p w:rsidR="006D40FB" w:rsidP="004B4DC3">
      <w:pPr>
        <w:pStyle w:val="7190"/>
        <w:rPr>
          <w:rtl/>
        </w:rPr>
      </w:pPr>
      <w:r>
        <w:rPr>
          <w:rFonts w:hint="cs"/>
          <w:rtl/>
        </w:rPr>
        <w:t>ע</w:t>
      </w:r>
      <w:r>
        <w:rPr>
          <w:rFonts w:hint="cs"/>
          <w:rtl/>
        </w:rPr>
        <w:t>ל</w:t>
      </w:r>
      <w:r w:rsidRPr="001664FD">
        <w:rPr>
          <w:rtl/>
        </w:rPr>
        <w:t xml:space="preserve"> הגופים המבוקרים מוטלת החובה לפעול בדרך מהירה ויעילה לתיקון הליקויים שהועלו </w:t>
      </w:r>
      <w:r w:rsidRPr="004B4DC3" w:rsidR="004B4DC3">
        <w:rPr>
          <w:rtl/>
        </w:rPr>
        <w:t>במקבץ הדוחות הזה</w:t>
      </w:r>
      <w:r>
        <w:rPr>
          <w:rFonts w:hint="cs"/>
          <w:rtl/>
        </w:rPr>
        <w:t>.</w:t>
      </w:r>
    </w:p>
    <w:p w:rsidR="006D40FB" w:rsidRPr="00AF3FF9" w:rsidP="006D40FB">
      <w:pPr>
        <w:pStyle w:val="7191"/>
        <w:rPr>
          <w:b/>
          <w:bCs/>
          <w:rtl/>
        </w:rPr>
      </w:pPr>
      <w:r w:rsidRPr="00AF3FF9">
        <w:rPr>
          <w:rFonts w:hint="cs"/>
          <w:b/>
          <w:bCs/>
          <w:rtl/>
        </w:rPr>
        <w:t>לס</w:t>
      </w:r>
      <w:r w:rsidRPr="00AF3FF9">
        <w:rPr>
          <w:rFonts w:hint="eastAsia"/>
          <w:b/>
          <w:bCs/>
          <w:rtl/>
        </w:rPr>
        <w:t>יום</w:t>
      </w:r>
      <w:r w:rsidRPr="00AF3FF9">
        <w:rPr>
          <w:b/>
          <w:bCs/>
          <w:rtl/>
        </w:rPr>
        <w:t xml:space="preserve">, חובה נעימה היא לי להודות לעובדי משרד מבקר המדינה, הפועלים במסירות לביצוע ביקורת באופן מקצועי, מעמיק, יסודי והוגן ולפרסום דוחות ביקורת אובייקטיביים, אפקטיביים </w:t>
      </w:r>
      <w:r w:rsidRPr="00AF3FF9">
        <w:rPr>
          <w:rFonts w:hint="cs"/>
          <w:b/>
          <w:bCs/>
          <w:rtl/>
        </w:rPr>
        <w:t>ו</w:t>
      </w:r>
      <w:r w:rsidRPr="00AF3FF9">
        <w:rPr>
          <w:b/>
          <w:bCs/>
          <w:rtl/>
        </w:rPr>
        <w:t>רלוונטיים</w:t>
      </w:r>
      <w:r w:rsidRPr="00AF3FF9">
        <w:rPr>
          <w:rFonts w:hint="cs"/>
          <w:b/>
          <w:bCs/>
          <w:rtl/>
        </w:rPr>
        <w:t>.</w:t>
      </w:r>
    </w:p>
    <w:p w:rsidR="006D40FB" w:rsidP="00A0272B">
      <w:pPr>
        <w:spacing w:line="240" w:lineRule="exact"/>
        <w:rPr>
          <w:rFonts w:ascii="Tahoma" w:eastAsia="Calibri" w:hAnsi="Tahoma" w:cs="Tahoma"/>
          <w:sz w:val="18"/>
          <w:szCs w:val="18"/>
        </w:rPr>
      </w:pPr>
    </w:p>
    <w:p w:rsidR="00E3092A" w:rsidRPr="006613B0" w:rsidP="00A0272B">
      <w:pPr>
        <w:spacing w:line="240" w:lineRule="exact"/>
        <w:rPr>
          <w:rFonts w:ascii="Tahoma" w:eastAsia="Calibri" w:hAnsi="Tahoma" w:cs="Tahoma"/>
          <w:sz w:val="18"/>
          <w:szCs w:val="18"/>
          <w:rtl/>
        </w:rPr>
      </w:pPr>
    </w:p>
    <w:p w:rsidR="00A0272B" w:rsidRPr="00D70CA7" w:rsidP="00A0272B">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A0272B" w:rsidRPr="001A7FEE" w:rsidP="00A0272B">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A0272B" w:rsidRPr="001A7FEE" w:rsidP="00CA1F53">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D947CE" w:rsidRPr="006D40FB" w:rsidP="006D40FB">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E3092A" w:rsidP="00E3092A">
      <w:pPr>
        <w:pStyle w:val="7190"/>
        <w:spacing w:after="0" w:line="360" w:lineRule="auto"/>
        <w:rPr>
          <w:rtl/>
        </w:rPr>
      </w:pPr>
    </w:p>
    <w:p w:rsidR="004B4DC3" w:rsidP="00E3092A">
      <w:pPr>
        <w:pStyle w:val="7190"/>
        <w:spacing w:after="0" w:line="360" w:lineRule="auto"/>
      </w:pPr>
    </w:p>
    <w:p w:rsidR="006D40FB" w:rsidRPr="006D40FB" w:rsidP="000E675C">
      <w:pPr>
        <w:pStyle w:val="7190"/>
        <w:spacing w:after="0" w:line="360" w:lineRule="auto"/>
        <w:rPr>
          <w:rtl/>
        </w:rPr>
      </w:pPr>
      <w:r w:rsidRPr="00720CC7">
        <w:rPr>
          <w:rFonts w:hint="cs"/>
          <w:rtl/>
        </w:rPr>
        <w:t xml:space="preserve">ירושלים, </w:t>
      </w:r>
      <w:r w:rsidR="004B4DC3">
        <w:rPr>
          <w:rFonts w:hint="cs"/>
          <w:rtl/>
        </w:rPr>
        <w:t>אדר</w:t>
      </w:r>
      <w:r w:rsidRPr="00720CC7">
        <w:rPr>
          <w:rFonts w:hint="cs"/>
          <w:rtl/>
        </w:rPr>
        <w:t xml:space="preserve"> התש</w:t>
      </w:r>
      <w:r w:rsidR="00F347C5">
        <w:rPr>
          <w:rFonts w:hint="cs"/>
          <w:rtl/>
        </w:rPr>
        <w:t>פ</w:t>
      </w:r>
      <w:r w:rsidRPr="00720CC7">
        <w:rPr>
          <w:rFonts w:hint="cs"/>
          <w:rtl/>
        </w:rPr>
        <w:t>"</w:t>
      </w:r>
      <w:r w:rsidR="00F347C5">
        <w:rPr>
          <w:rFonts w:hint="cs"/>
          <w:rtl/>
        </w:rPr>
        <w:t>ג</w:t>
      </w:r>
      <w:r w:rsidRPr="00720CC7">
        <w:rPr>
          <w:rFonts w:hint="cs"/>
          <w:rtl/>
        </w:rPr>
        <w:t xml:space="preserve">, </w:t>
      </w:r>
      <w:r w:rsidR="00E3092A">
        <w:rPr>
          <w:rFonts w:hint="cs"/>
          <w:rtl/>
        </w:rPr>
        <w:t>מרץ</w:t>
      </w:r>
      <w:r w:rsidRPr="00720CC7">
        <w:rPr>
          <w:rFonts w:hint="cs"/>
          <w:rtl/>
        </w:rPr>
        <w:t xml:space="preserve"> </w:t>
      </w:r>
      <w:r w:rsidR="00BE3F2A">
        <w:rPr>
          <w:rFonts w:hint="cs"/>
          <w:rtl/>
        </w:rPr>
        <w:t>202</w:t>
      </w:r>
      <w:r w:rsidR="00FE5CCB">
        <w:rPr>
          <w:rFonts w:hint="cs"/>
          <w:rtl/>
        </w:rPr>
        <w:t>3</w:t>
      </w:r>
      <w:bookmarkStart w:id="0" w:name="_GoBack"/>
      <w:bookmarkEnd w:id="0"/>
    </w:p>
    <w:sectPr w:rsidSect="000E675C">
      <w:headerReference w:type="default" r:id="rId20"/>
      <w:footerReference w:type="default" r:id="rId21"/>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35B75">
      <w:pPr>
        <w:spacing w:line="240" w:lineRule="auto"/>
      </w:pPr>
      <w:r>
        <w:separator/>
      </w:r>
    </w:p>
    <w:p w:rsidR="00F35B75"/>
  </w:endnote>
  <w:endnote w:type="continuationSeparator" w:id="1">
    <w:p w:rsidR="00F35B75">
      <w:pPr>
        <w:spacing w:line="240" w:lineRule="auto"/>
      </w:pPr>
      <w:r>
        <w:continuationSeparator/>
      </w:r>
    </w:p>
    <w:p w:rsidR="00F35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charset w:val="00"/>
    <w:family w:val="script"/>
    <w:pitch w:val="variable"/>
    <w:sig w:usb0="800000AF" w:usb1="1000204A" w:usb2="00000000" w:usb3="00000000" w:csb0="0000001B"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charset w:val="B1"/>
    <w:family w:val="swiss"/>
    <w:pitch w:val="variable"/>
    <w:sig w:usb0="80000807" w:usb1="40000042" w:usb2="00000000" w:usb3="00000000" w:csb0="00000021" w:csb1="00000000"/>
  </w:font>
  <w:font w:name="Helvetica">
    <w:panose1 w:val="020B0604020202020204"/>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F9F" w:rsidP="00C32F9F">
    <w:pPr>
      <w:pStyle w:val="Footer"/>
      <w:spacing w:after="120" w:line="312" w:lineRule="auto"/>
      <w:ind w:left="-510"/>
      <w:jc w:val="left"/>
      <w:rPr>
        <w:rFonts w:ascii="Tahoma" w:hAnsi="Tahoma" w:cs="Tahoma"/>
        <w:sz w:val="18"/>
        <w:szCs w:val="18"/>
        <w:rtl/>
      </w:rPr>
    </w:pPr>
  </w:p>
  <w:p w:rsidR="00C32F9F" w:rsidP="00C32F9F">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421B27" w:rsidRPr="00C32F9F" w:rsidP="00C32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F9F" w:rsidP="00C32F9F">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32F9F" w:rsidRPr="00C32F9F" w:rsidP="00C32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RPr="00F533CF" w:rsidP="000960BA">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5B75" w:rsidP="00C23CC9">
      <w:pPr>
        <w:spacing w:line="240" w:lineRule="auto"/>
      </w:pPr>
      <w:r>
        <w:separator/>
      </w:r>
    </w:p>
  </w:footnote>
  <w:footnote w:type="continuationSeparator" w:id="1">
    <w:p w:rsidR="00F35B75" w:rsidP="00C23CC9">
      <w:pPr>
        <w:spacing w:line="240" w:lineRule="auto"/>
      </w:pPr>
      <w:r>
        <w:continuationSeparator/>
      </w:r>
    </w:p>
    <w:p w:rsidR="00F35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3600"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pPr>
      <w:pStyle w:val="Header"/>
      <w:tabs>
        <w:tab w:val="left" w:pos="493"/>
        <w:tab w:val="center" w:pos="4111"/>
        <w:tab w:val="clear" w:pos="4153"/>
        <w:tab w:val="right" w:pos="7478"/>
        <w:tab w:val="right" w:pos="8222"/>
        <w:tab w:val="clear" w:pos="8306"/>
      </w:tabs>
      <w:jc w:val="left"/>
      <w:rPr>
        <w:rtl/>
      </w:rPr>
    </w:pPr>
  </w:p>
  <w:p w:rsidR="00DA4697" w:rsidP="00005B23">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72576" from="-4.4pt,50.4pt" to="524.85pt,50.4pt" strokecolor="#0d0d0d" strokeweight="0.25pt"/>
          </w:pict>
        </mc:Fallback>
      </mc:AlternateContent>
    </w:r>
  </w:p>
  <w:p w:rsidR="00DA4697" w:rsidRPr="001526AC" w:rsidP="00005B23">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FE5CCB" w:rsidRPr="00136A3E" w:rsidP="00FE5C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FE5CCB" w:rsidRPr="00136A3E" w:rsidP="00FE5CCB" w14:paraId="598144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paraId="1CF273F4" w14:textId="3721DC5B">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E5A" w:rsidP="006B15E1">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105" w:rsidP="001526A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pPr>
      <w:pStyle w:val="Header"/>
      <w:tabs>
        <w:tab w:val="left" w:pos="493"/>
        <w:tab w:val="center" w:pos="4111"/>
        <w:tab w:val="clear" w:pos="4153"/>
        <w:tab w:val="right" w:pos="7478"/>
        <w:tab w:val="right" w:pos="8222"/>
        <w:tab w:val="clear" w:pos="8306"/>
      </w:tabs>
      <w:jc w:val="left"/>
      <w:rPr>
        <w:rtl/>
      </w:rPr>
    </w:pPr>
  </w:p>
  <w:p w:rsidR="004D6105" w:rsidP="00005B23">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769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7"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p w:rsidR="004D6105" w:rsidRPr="001526AC" w:rsidP="00005B23">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564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E3092A" w:rsidRPr="00136A3E" w:rsidP="00E3092A">
                          <w:pPr>
                            <w:jc w:val="right"/>
                            <w:rPr>
                              <w:color w:val="0D0D0D" w:themeColor="text1" w:themeTint="F2"/>
                              <w:sz w:val="16"/>
                              <w:szCs w:val="16"/>
                            </w:rPr>
                          </w:pPr>
                          <w:r w:rsidRPr="00F16CE3">
                            <w:rPr>
                              <w:rFonts w:ascii="Tahoma" w:hAnsi="Tahoma" w:cs="Tahoma"/>
                              <w:color w:val="0D0D0D"/>
                              <w:sz w:val="16"/>
                              <w:szCs w:val="16"/>
                              <w:rtl/>
                            </w:rPr>
                            <w:t>מבקר המדינה | מקבץ דוחות מיוחדים | אדר התשפ״ג | מרץ 2023</w:t>
                          </w:r>
                        </w:p>
                        <w:p w:rsidR="004D6105" w:rsidRPr="00E3092A"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8"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E3092A" w:rsidRPr="00136A3E" w:rsidP="00E3092A" w14:paraId="7CC33219" w14:textId="77777777">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4D6105" w:rsidRPr="00E3092A" w:rsidP="00B244B0" w14:paraId="606A8C54" w14:textId="77777777">
                    <w:pPr>
                      <w:jc w:val="right"/>
                      <w:rPr>
                        <w:color w:val="0D0D0D" w:themeColor="text1" w:themeTint="F2"/>
                        <w:sz w:val="16"/>
                        <w:szCs w:val="1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4A2" w:rsidRPr="001526AC" w:rsidP="00005B23">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45pt;height:590.45pt" o:bullet="t">
        <v:imagedata r:id="rId1" o:title="זכוכית מגדלת5"/>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8">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3">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4">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6">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0">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5">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7">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8">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9">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0">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2">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8">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41"/>
  </w:num>
  <w:num w:numId="4">
    <w:abstractNumId w:val="34"/>
  </w:num>
  <w:num w:numId="5">
    <w:abstractNumId w:val="19"/>
  </w:num>
  <w:num w:numId="6">
    <w:abstractNumId w:val="21"/>
  </w:num>
  <w:num w:numId="7">
    <w:abstractNumId w:val="47"/>
  </w:num>
  <w:num w:numId="8">
    <w:abstractNumId w:val="1"/>
  </w:num>
  <w:num w:numId="9">
    <w:abstractNumId w:val="25"/>
  </w:num>
  <w:num w:numId="10">
    <w:abstractNumId w:val="7"/>
  </w:num>
  <w:num w:numId="11">
    <w:abstractNumId w:val="36"/>
  </w:num>
  <w:num w:numId="12">
    <w:abstractNumId w:val="6"/>
  </w:num>
  <w:num w:numId="13">
    <w:abstractNumId w:val="13"/>
  </w:num>
  <w:num w:numId="14">
    <w:abstractNumId w:val="39"/>
  </w:num>
  <w:num w:numId="15">
    <w:abstractNumId w:val="15"/>
  </w:num>
  <w:num w:numId="16">
    <w:abstractNumId w:val="42"/>
  </w:num>
  <w:num w:numId="17">
    <w:abstractNumId w:val="12"/>
  </w:num>
  <w:num w:numId="18">
    <w:abstractNumId w:val="2"/>
  </w:num>
  <w:num w:numId="19">
    <w:abstractNumId w:val="44"/>
  </w:num>
  <w:num w:numId="20">
    <w:abstractNumId w:val="27"/>
  </w:num>
  <w:num w:numId="21">
    <w:abstractNumId w:val="17"/>
  </w:num>
  <w:num w:numId="22">
    <w:abstractNumId w:val="0"/>
  </w:num>
  <w:num w:numId="23">
    <w:abstractNumId w:val="35"/>
  </w:num>
  <w:num w:numId="24">
    <w:abstractNumId w:val="3"/>
  </w:num>
  <w:num w:numId="25">
    <w:abstractNumId w:val="28"/>
  </w:num>
  <w:num w:numId="26">
    <w:abstractNumId w:val="46"/>
  </w:num>
  <w:num w:numId="27">
    <w:abstractNumId w:val="8"/>
  </w:num>
  <w:num w:numId="28">
    <w:abstractNumId w:val="9"/>
  </w:num>
  <w:num w:numId="29">
    <w:abstractNumId w:val="48"/>
  </w:num>
  <w:num w:numId="30">
    <w:abstractNumId w:val="24"/>
  </w:num>
  <w:num w:numId="31">
    <w:abstractNumId w:val="11"/>
  </w:num>
  <w:num w:numId="32">
    <w:abstractNumId w:val="10"/>
  </w:num>
  <w:num w:numId="33">
    <w:abstractNumId w:val="26"/>
  </w:num>
  <w:num w:numId="34">
    <w:abstractNumId w:val="30"/>
  </w:num>
  <w:num w:numId="35">
    <w:abstractNumId w:val="16"/>
  </w:num>
  <w:num w:numId="36">
    <w:abstractNumId w:val="23"/>
  </w:num>
  <w:num w:numId="37">
    <w:abstractNumId w:val="29"/>
  </w:num>
  <w:num w:numId="38">
    <w:abstractNumId w:val="45"/>
  </w:num>
  <w:num w:numId="39">
    <w:abstractNumId w:val="20"/>
  </w:num>
  <w:num w:numId="40">
    <w:abstractNumId w:val="31"/>
  </w:num>
  <w:num w:numId="41">
    <w:abstractNumId w:val="18"/>
  </w:num>
  <w:num w:numId="42">
    <w:abstractNumId w:val="5"/>
  </w:num>
  <w:num w:numId="43">
    <w:abstractNumId w:val="37"/>
  </w:num>
  <w:num w:numId="44">
    <w:abstractNumId w:val="40"/>
  </w:num>
  <w:num w:numId="45">
    <w:abstractNumId w:val="33"/>
  </w:num>
  <w:num w:numId="46">
    <w:abstractNumId w:val="38"/>
  </w:num>
  <w:num w:numId="47">
    <w:abstractNumId w:val="43"/>
  </w:num>
  <w:num w:numId="48">
    <w:abstractNumId w:val="4"/>
  </w:num>
  <w:num w:numId="49">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80"/>
  <w:proofState w:spelling="clean" w:grammar="clean"/>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886"/>
    <w:rsid w:val="00031990"/>
    <w:rsid w:val="00031C68"/>
    <w:rsid w:val="00031C69"/>
    <w:rsid w:val="00031CEB"/>
    <w:rsid w:val="00032932"/>
    <w:rsid w:val="00032F4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75C"/>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CB2"/>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4FD"/>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1926"/>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361C"/>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3E20"/>
    <w:rsid w:val="00244096"/>
    <w:rsid w:val="0024417D"/>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D55"/>
    <w:rsid w:val="00277114"/>
    <w:rsid w:val="00277246"/>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1B7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DC3"/>
    <w:rsid w:val="004B5F7A"/>
    <w:rsid w:val="004B6164"/>
    <w:rsid w:val="004B63AE"/>
    <w:rsid w:val="004B6BEB"/>
    <w:rsid w:val="004B7C1A"/>
    <w:rsid w:val="004C056A"/>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3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1C7"/>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27FC0"/>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3FF9"/>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774"/>
    <w:rsid w:val="00B739E0"/>
    <w:rsid w:val="00B741EF"/>
    <w:rsid w:val="00B747A2"/>
    <w:rsid w:val="00B75001"/>
    <w:rsid w:val="00B75D6E"/>
    <w:rsid w:val="00B75F72"/>
    <w:rsid w:val="00B76D04"/>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148"/>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3DB3"/>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E0E"/>
    <w:rsid w:val="00D06218"/>
    <w:rsid w:val="00D066C4"/>
    <w:rsid w:val="00D104AC"/>
    <w:rsid w:val="00D10566"/>
    <w:rsid w:val="00D105A1"/>
    <w:rsid w:val="00D1100E"/>
    <w:rsid w:val="00D11B4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1A8E"/>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6CE3"/>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8" Type="http://schemas.openxmlformats.org/officeDocument/2006/relationships/customXml" Target="../customXml/item3.xml"/><Relationship Id="rId2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dit.mevaker.gov.il/" TargetMode="External"/><Relationship Id="rId7" Type="http://schemas.openxmlformats.org/officeDocument/2006/relationships/customXml" Target="../customXml/item2.xml"/><Relationship Id="rId16" Type="http://schemas.openxmlformats.org/officeDocument/2006/relationships/image" Target="media/image4.jpeg"/><Relationship Id="rId2" Type="http://schemas.openxmlformats.org/officeDocument/2006/relationships/endnotes" Target="endnotes.xml"/><Relationship Id="rId20" Type="http://schemas.openxmlformats.org/officeDocument/2006/relationships/header" Target="header5.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styles" Target="styles.xml"/><Relationship Id="rId6" Type="http://schemas.openxmlformats.org/officeDocument/2006/relationships/customXml" Target="../customXml/item1.xml"/><Relationship Id="rId15" Type="http://schemas.openxmlformats.org/officeDocument/2006/relationships/image" Target="media/image3.jpeg"/><Relationship Id="rId23"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14" Type="http://schemas.openxmlformats.org/officeDocument/2006/relationships/header" Target="header3.xml"/><Relationship Id="rId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customXml/item4.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04E35-3F59-46EC-8908-280BB6633642}"/>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ADD7877C-5FE0-43D7-900F-F468CE4F77E2}">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F1A73774-D554-4218-9463-DDFA17E3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