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C263FB9">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09C9F7D4">
                            <w:pPr>
                              <w:pStyle w:val="a33"/>
                              <w:bidi/>
                              <w:rPr>
                                <w:rtl/>
                              </w:rPr>
                            </w:pPr>
                            <w:r>
                              <w:rPr>
                                <w:rFonts w:hint="cs"/>
                                <w:rtl/>
                              </w:rPr>
                              <w:t xml:space="preserve">דוח </w:t>
                            </w:r>
                            <w:r w:rsidRPr="00966102" w:rsidR="00966102">
                              <w:rPr>
                                <w:rtl/>
                              </w:rPr>
                              <w:t xml:space="preserve">מבקר המדינה | </w:t>
                            </w:r>
                            <w:r w:rsidR="00FC49BF">
                              <w:rPr>
                                <w:rtl/>
                              </w:rPr>
                              <w:t>שבט</w:t>
                            </w:r>
                            <w:r w:rsidRPr="00966102" w:rsidR="00966102">
                              <w:rPr>
                                <w:rtl/>
                              </w:rPr>
                              <w:t xml:space="preserve"> </w:t>
                            </w:r>
                            <w:r w:rsidRPr="00966102" w:rsidR="00966102">
                              <w:rPr>
                                <w:rtl/>
                              </w:rPr>
                              <w:t>התשפ״ד</w:t>
                            </w:r>
                            <w:r w:rsidRPr="00966102" w:rsidR="00966102">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E28998A">
                            <w:pPr>
                              <w:pStyle w:val="-1"/>
                              <w:rPr>
                                <w:rtl/>
                              </w:rPr>
                            </w:pPr>
                            <w:r>
                              <w:rPr>
                                <w:rFonts w:hint="cs"/>
                                <w:rtl/>
                              </w:rPr>
                              <w:t>רשות המיסים בישראל</w:t>
                            </w:r>
                          </w:p>
                          <w:p w:rsidR="00F73EE0" w:rsidRPr="000F5023" w:rsidP="0072357A" w14:textId="2808A7EE">
                            <w:pPr>
                              <w:pStyle w:val="a32"/>
                              <w:bidi/>
                              <w:spacing w:before="120"/>
                              <w:rPr>
                                <w:rtl/>
                              </w:rPr>
                            </w:pPr>
                            <w:r w:rsidRPr="00181E7F">
                              <w:rPr>
                                <w:rtl/>
                              </w:rPr>
                              <w:t>ניהול מערך החקירות ברשות המיסים</w:t>
                            </w:r>
                            <w: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09C9F7D4">
                      <w:pPr>
                        <w:pStyle w:val="a33"/>
                        <w:bidi/>
                        <w:rPr>
                          <w:rtl/>
                        </w:rPr>
                      </w:pPr>
                      <w:r>
                        <w:rPr>
                          <w:rFonts w:hint="cs"/>
                          <w:rtl/>
                        </w:rPr>
                        <w:t xml:space="preserve">דוח </w:t>
                      </w:r>
                      <w:r w:rsidRPr="00966102" w:rsidR="00966102">
                        <w:rPr>
                          <w:rtl/>
                        </w:rPr>
                        <w:t xml:space="preserve">מבקר המדינה | </w:t>
                      </w:r>
                      <w:r w:rsidR="00FC49BF">
                        <w:rPr>
                          <w:rtl/>
                        </w:rPr>
                        <w:t>שבט</w:t>
                      </w:r>
                      <w:r w:rsidRPr="00966102" w:rsidR="00966102">
                        <w:rPr>
                          <w:rtl/>
                        </w:rPr>
                        <w:t xml:space="preserve"> </w:t>
                      </w:r>
                      <w:r w:rsidRPr="00966102" w:rsidR="00966102">
                        <w:rPr>
                          <w:rtl/>
                        </w:rPr>
                        <w:t>התשפ״ד</w:t>
                      </w:r>
                      <w:r w:rsidRPr="00966102" w:rsidR="00966102">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E28998A">
                      <w:pPr>
                        <w:pStyle w:val="-1"/>
                        <w:rPr>
                          <w:rtl/>
                        </w:rPr>
                      </w:pPr>
                      <w:r>
                        <w:rPr>
                          <w:rFonts w:hint="cs"/>
                          <w:rtl/>
                        </w:rPr>
                        <w:t>רשות המיסים בישראל</w:t>
                      </w:r>
                    </w:p>
                    <w:p w:rsidR="00F73EE0" w:rsidRPr="000F5023" w:rsidP="0072357A" w14:paraId="5464BE8D" w14:textId="2808A7EE">
                      <w:pPr>
                        <w:pStyle w:val="a32"/>
                        <w:bidi/>
                        <w:spacing w:before="120"/>
                        <w:rPr>
                          <w:rtl/>
                        </w:rPr>
                      </w:pPr>
                      <w:r w:rsidRPr="00181E7F">
                        <w:rPr>
                          <w:rtl/>
                        </w:rPr>
                        <w:t>ניהול מערך החקירות ברשות המיסים</w:t>
                      </w:r>
                      <w: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6810FB26">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3063619</wp:posOffset>
                </wp:positionH>
                <wp:positionV relativeFrom="paragraph">
                  <wp:posOffset>93370</wp:posOffset>
                </wp:positionV>
                <wp:extent cx="1" cy="3319200"/>
                <wp:effectExtent l="25400" t="0" r="25400" b="3365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1" cy="33192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25pt,7.35pt" to="241.25pt,268.7pt" strokecolor="white" strokeweight="4pt"/>
            </w:pict>
          </mc:Fallback>
        </mc:AlternateContent>
      </w: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8C11B2" w14:paraId="4ED3AA37" w14:textId="74971C71">
      <w:pPr>
        <w:pStyle w:val="7329"/>
        <w:spacing w:after="1200"/>
        <w:rPr>
          <w:rtl/>
        </w:rPr>
      </w:pPr>
      <w:r w:rsidRPr="00802F2E">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725211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181E7F" w:rsidR="00181E7F">
        <w:rPr>
          <w:noProof/>
          <w:rtl/>
        </w:rPr>
        <w:t>ניהול מערך החקירות ברשות המיסים</w:t>
      </w:r>
      <w:r w:rsidRPr="00802F2E" w:rsidR="00147605">
        <w:rPr>
          <w:rFonts w:hint="cs"/>
          <w:rtl/>
        </w:rPr>
        <w:t xml:space="preserve"> </w:t>
      </w:r>
    </w:p>
    <w:p w:rsidR="007A3980" w:rsidRPr="00C34AF5" w:rsidP="007A3980" w14:paraId="05F6D171" w14:textId="77777777">
      <w:pPr>
        <w:pStyle w:val="7392"/>
        <w:rPr>
          <w:rtl/>
        </w:rPr>
      </w:pPr>
      <w:r w:rsidRPr="00C34AF5">
        <w:rPr>
          <w:rtl/>
        </w:rPr>
        <w:t>בפקודת מס הכנסה (נוסח חדש), התשכ"א-1961</w:t>
      </w:r>
      <w:r w:rsidRPr="00C34AF5">
        <w:rPr>
          <w:rFonts w:hint="cs"/>
          <w:rtl/>
        </w:rPr>
        <w:t xml:space="preserve"> (פקודת מס הכנסה)</w:t>
      </w:r>
      <w:r w:rsidRPr="00C34AF5">
        <w:rPr>
          <w:rtl/>
        </w:rPr>
        <w:t xml:space="preserve">, וכן בחוקי מס אחרים דוגמת חוק מס ערך מוסף, התשל"ו-1975 נקבעו עונשים למי שמבצע עבירות מס, לרבות עונשים פליליים חמורים. זאת, כדי להרתיע נישומים מהעלמת הכנסות. </w:t>
      </w:r>
    </w:p>
    <w:p w:rsidR="007A3980" w:rsidRPr="00C34AF5" w:rsidP="007A3980" w14:paraId="68CD8D5B" w14:textId="77777777">
      <w:pPr>
        <w:pStyle w:val="7392"/>
        <w:rPr>
          <w:rtl/>
        </w:rPr>
      </w:pPr>
      <w:bookmarkStart w:id="1" w:name="_Hlk139194336"/>
      <w:r w:rsidRPr="00C34AF5">
        <w:rPr>
          <w:rtl/>
        </w:rPr>
        <w:t>רשות המיסים</w:t>
      </w:r>
      <w:r w:rsidRPr="00C34AF5">
        <w:rPr>
          <w:rFonts w:hint="cs"/>
          <w:rtl/>
        </w:rPr>
        <w:t xml:space="preserve"> בישראל (רשות המיסים)</w:t>
      </w:r>
      <w:r w:rsidRPr="00C34AF5">
        <w:rPr>
          <w:rtl/>
        </w:rPr>
        <w:t xml:space="preserve"> מחלקת את העבירות שנקבעו בתחום לעבירות בסיסיות ולעבירות מטריאליות (מהותיות). העבירות הבסיסיות הן עבירות מסוג עוון וחטא, ויכולות לנבוע גם מרשלנות של הנישום, בלי שיש מאחוריהן כוונה פלילית. לעומת זאת, העבירות המטריאליות הן מעשים או מחדלים המתבצעים בכוונת מכוון</w:t>
      </w:r>
      <w:r w:rsidRPr="00C34AF5">
        <w:rPr>
          <w:rFonts w:hint="cs"/>
          <w:rtl/>
        </w:rPr>
        <w:t>.</w:t>
      </w:r>
      <w:r w:rsidRPr="00C34AF5">
        <w:rPr>
          <w:rtl/>
        </w:rPr>
        <w:t xml:space="preserve"> </w:t>
      </w:r>
      <w:r w:rsidRPr="00C34AF5">
        <w:rPr>
          <w:rFonts w:hint="cs"/>
          <w:rtl/>
        </w:rPr>
        <w:t>הן עשויות</w:t>
      </w:r>
      <w:r w:rsidRPr="00C34AF5">
        <w:rPr>
          <w:rtl/>
        </w:rPr>
        <w:t xml:space="preserve"> לכלול שימוש במרמה, עורמה ותחבולה</w:t>
      </w:r>
      <w:r w:rsidRPr="00C34AF5">
        <w:rPr>
          <w:rFonts w:hint="cs"/>
          <w:rtl/>
        </w:rPr>
        <w:t>,</w:t>
      </w:r>
      <w:r w:rsidRPr="00C34AF5">
        <w:rPr>
          <w:rtl/>
        </w:rPr>
        <w:t xml:space="preserve"> </w:t>
      </w:r>
      <w:r w:rsidRPr="00C34AF5">
        <w:rPr>
          <w:rFonts w:hint="cs"/>
          <w:rtl/>
        </w:rPr>
        <w:t>והן</w:t>
      </w:r>
      <w:r w:rsidRPr="00C34AF5">
        <w:rPr>
          <w:rtl/>
        </w:rPr>
        <w:t xml:space="preserve"> עבירות חמורות המגיעות לדרגת פשע. </w:t>
      </w:r>
      <w:bookmarkEnd w:id="1"/>
    </w:p>
    <w:p w:rsidR="007F4A20" w:rsidRPr="00F16A67" w:rsidP="007A3980" w14:paraId="0B41EED6" w14:textId="30B4BA76">
      <w:pPr>
        <w:pStyle w:val="7392"/>
        <w:rPr>
          <w:rtl/>
        </w:rPr>
      </w:pPr>
      <w:r w:rsidRPr="00C34AF5">
        <w:rPr>
          <w:rtl/>
        </w:rPr>
        <w:t>למשל, סעיף 220 לפקודת מס הכנסה עוסק במעשי מרמה שמבוצעים על ידי אדם במזיד, בכוונה להתחמק ממס או לעזור לאדם אחר להתחמק ממס. פקידי שומה לחקירות (</w:t>
      </w:r>
      <w:r w:rsidRPr="00C34AF5">
        <w:rPr>
          <w:rFonts w:hint="cs"/>
          <w:rtl/>
        </w:rPr>
        <w:t>גם</w:t>
      </w:r>
      <w:r w:rsidRPr="00C34AF5">
        <w:rPr>
          <w:rtl/>
        </w:rPr>
        <w:t xml:space="preserve"> יחידות החקירות) ממונים על </w:t>
      </w:r>
      <w:r w:rsidRPr="00C34AF5">
        <w:rPr>
          <w:rFonts w:hint="cs"/>
          <w:rtl/>
        </w:rPr>
        <w:t>ה</w:t>
      </w:r>
      <w:r w:rsidRPr="00C34AF5">
        <w:rPr>
          <w:rtl/>
        </w:rPr>
        <w:t>הפעלה ו</w:t>
      </w:r>
      <w:r w:rsidRPr="00C34AF5">
        <w:rPr>
          <w:rFonts w:hint="cs"/>
          <w:rtl/>
        </w:rPr>
        <w:t>ה</w:t>
      </w:r>
      <w:r w:rsidRPr="00C34AF5">
        <w:rPr>
          <w:rtl/>
        </w:rPr>
        <w:t xml:space="preserve">ביצוע של הטיפול הפלילי </w:t>
      </w:r>
      <w:r w:rsidRPr="00C34AF5">
        <w:rPr>
          <w:rFonts w:hint="cs"/>
          <w:rtl/>
        </w:rPr>
        <w:t>ב</w:t>
      </w:r>
      <w:r w:rsidRPr="00C34AF5">
        <w:rPr>
          <w:rtl/>
        </w:rPr>
        <w:t>נישומים. פקיד שומה לחקירות הו</w:t>
      </w:r>
      <w:r w:rsidRPr="00C34AF5">
        <w:rPr>
          <w:rFonts w:hint="cs"/>
          <w:rtl/>
        </w:rPr>
        <w:t>א</w:t>
      </w:r>
      <w:r w:rsidRPr="00C34AF5">
        <w:rPr>
          <w:rtl/>
        </w:rPr>
        <w:t xml:space="preserve"> פקיד שקיבל סמכויות חקירה פליליות ממנהל רשות המיסים</w:t>
      </w:r>
      <w:r w:rsidRPr="00C34AF5">
        <w:rPr>
          <w:rFonts w:hint="cs"/>
          <w:rtl/>
        </w:rPr>
        <w:t xml:space="preserve"> </w:t>
      </w:r>
      <w:r w:rsidRPr="00C34AF5">
        <w:rPr>
          <w:rtl/>
        </w:rPr>
        <w:t>ו</w:t>
      </w:r>
      <w:r w:rsidRPr="00C34AF5">
        <w:rPr>
          <w:rFonts w:hint="cs"/>
          <w:rtl/>
        </w:rPr>
        <w:t xml:space="preserve">כן </w:t>
      </w:r>
      <w:r w:rsidRPr="00C34AF5">
        <w:rPr>
          <w:rtl/>
        </w:rPr>
        <w:t>הרשאה מהשר הממונה על המשטרה להשתמש בסמכויות הנתונות לקצין משטרה בקשר לחקירה, גביית עדויות ורישומן, חיפושים ותפיסת מסמכים</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77"/>
        <w:gridCol w:w="1508"/>
        <w:gridCol w:w="277"/>
        <w:gridCol w:w="1675"/>
        <w:gridCol w:w="277"/>
        <w:gridCol w:w="1663"/>
      </w:tblGrid>
      <w:tr w14:paraId="58B4726B" w14:textId="77777777" w:rsidTr="007A398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7A3980" w:rsidRPr="007A3980" w:rsidP="007A3980" w14:paraId="23EB689E" w14:textId="76093D9A">
            <w:pPr>
              <w:spacing w:after="60" w:line="240" w:lineRule="auto"/>
              <w:jc w:val="left"/>
              <w:rPr>
                <w:b/>
                <w:bCs/>
                <w:spacing w:val="-28"/>
                <w:rtl/>
              </w:rPr>
            </w:pPr>
            <w:r w:rsidRPr="007A3980">
              <w:rPr>
                <w:rFonts w:ascii="Tahoma" w:hAnsi="Tahoma" w:eastAsiaTheme="minorEastAsia" w:cs="Tahoma" w:hint="cs"/>
                <w:b/>
                <w:bCs/>
                <w:color w:val="0D0D0D" w:themeColor="text1" w:themeTint="F2"/>
                <w:spacing w:val="-10"/>
                <w:sz w:val="36"/>
                <w:szCs w:val="36"/>
                <w:rtl/>
              </w:rPr>
              <w:t>22%</w:t>
            </w:r>
            <w:r w:rsidRPr="007A3980">
              <w:rPr>
                <w:rFonts w:ascii="Tahoma" w:hAnsi="Tahoma" w:eastAsiaTheme="minorEastAsia" w:cs="Tahoma"/>
                <w:b/>
                <w:bCs/>
                <w:color w:val="0D0D0D" w:themeColor="text1" w:themeTint="F2"/>
                <w:spacing w:val="-10"/>
                <w:sz w:val="36"/>
                <w:szCs w:val="36"/>
                <w:rtl/>
              </w:rPr>
              <w:t xml:space="preserve"> </w:t>
            </w:r>
            <w:r w:rsidRPr="007A3980">
              <w:rPr>
                <w:rFonts w:ascii="Tahoma" w:hAnsi="Tahoma" w:eastAsiaTheme="minorEastAsia" w:cs="Tahoma" w:hint="eastAsia"/>
                <w:b/>
                <w:bCs/>
                <w:color w:val="0D0D0D" w:themeColor="text1" w:themeTint="F2"/>
                <w:spacing w:val="-10"/>
                <w:sz w:val="26"/>
                <w:szCs w:val="26"/>
                <w:rtl/>
              </w:rPr>
              <w:t>מהתוצר</w:t>
            </w:r>
            <w:r w:rsidRPr="007A3980">
              <w:rPr>
                <w:rFonts w:ascii="Tahoma" w:hAnsi="Tahoma" w:eastAsiaTheme="minorEastAsia" w:cs="Tahoma"/>
                <w:b/>
                <w:bCs/>
                <w:color w:val="0D0D0D" w:themeColor="text1" w:themeTint="F2"/>
                <w:spacing w:val="-10"/>
                <w:sz w:val="26"/>
                <w:szCs w:val="26"/>
                <w:rtl/>
              </w:rPr>
              <w:t xml:space="preserve"> </w:t>
            </w:r>
            <w:r w:rsidRPr="007A3980">
              <w:rPr>
                <w:rFonts w:ascii="Tahoma" w:hAnsi="Tahoma" w:eastAsiaTheme="minorEastAsia" w:cs="Tahoma" w:hint="cs"/>
                <w:b/>
                <w:bCs/>
                <w:color w:val="0D0D0D" w:themeColor="text1" w:themeTint="F2"/>
                <w:spacing w:val="-10"/>
                <w:sz w:val="26"/>
                <w:szCs w:val="26"/>
                <w:rtl/>
              </w:rPr>
              <w:t>המקומי, שהיה</w:t>
            </w:r>
            <w:r w:rsidRPr="007A3980">
              <w:rPr>
                <w:rFonts w:ascii="Tahoma" w:hAnsi="Tahoma" w:eastAsiaTheme="minorEastAsia" w:cs="Tahoma" w:hint="cs"/>
                <w:b/>
                <w:bCs/>
                <w:color w:val="0D0D0D" w:themeColor="text1" w:themeTint="F2"/>
                <w:spacing w:val="-10"/>
                <w:sz w:val="36"/>
                <w:szCs w:val="36"/>
                <w:rtl/>
              </w:rPr>
              <w:t xml:space="preserve"> 488.5 </w:t>
            </w:r>
            <w:r w:rsidRPr="007A3980">
              <w:rPr>
                <w:rFonts w:ascii="Tahoma" w:hAnsi="Tahoma" w:eastAsiaTheme="minorEastAsia" w:cs="Tahoma"/>
                <w:b/>
                <w:bCs/>
                <w:color w:val="0D0D0D" w:themeColor="text1" w:themeTint="F2"/>
                <w:spacing w:val="-10"/>
                <w:sz w:val="26"/>
                <w:szCs w:val="26"/>
                <w:rtl/>
              </w:rPr>
              <w:t xml:space="preserve">מיליארד </w:t>
            </w:r>
            <w:r w:rsidRPr="007A3980">
              <w:rPr>
                <w:rFonts w:ascii="Tahoma" w:hAnsi="Tahoma" w:eastAsiaTheme="minorEastAsia" w:cs="Tahoma" w:hint="cs"/>
                <w:b/>
                <w:bCs/>
                <w:color w:val="0D0D0D" w:themeColor="text1" w:themeTint="F2"/>
                <w:spacing w:val="-10"/>
                <w:sz w:val="26"/>
                <w:szCs w:val="26"/>
                <w:rtl/>
              </w:rPr>
              <w:t>דולר בשנת 2021</w:t>
            </w:r>
          </w:p>
        </w:tc>
        <w:tc>
          <w:tcPr>
            <w:tcW w:w="161" w:type="pct"/>
            <w:vAlign w:val="bottom"/>
          </w:tcPr>
          <w:p w:rsidR="007A3980" w:rsidRPr="007A3980" w:rsidP="007A3980"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7A3980" w:rsidRPr="007A3980" w:rsidP="007A3980" w14:paraId="761F4116" w14:textId="3901FF8E">
            <w:pPr>
              <w:pStyle w:val="2021"/>
              <w:spacing w:before="0" w:after="60"/>
              <w:rPr>
                <w:spacing w:val="-10"/>
                <w:rtl/>
              </w:rPr>
            </w:pPr>
            <w:r w:rsidRPr="007A3980">
              <w:rPr>
                <w:rFonts w:hint="cs"/>
                <w:spacing w:val="-10"/>
                <w:rtl/>
              </w:rPr>
              <w:t>93</w:t>
            </w:r>
            <w:r w:rsidRPr="007A3980">
              <w:rPr>
                <w:spacing w:val="-10"/>
                <w:rtl/>
              </w:rPr>
              <w:t>6</w:t>
            </w:r>
            <w:r w:rsidRPr="007A3980">
              <w:rPr>
                <w:rFonts w:hint="cs"/>
                <w:spacing w:val="-10"/>
                <w:rtl/>
              </w:rPr>
              <w:t xml:space="preserve"> </w:t>
            </w:r>
            <w:r>
              <w:rPr>
                <w:spacing w:val="-10"/>
                <w:sz w:val="26"/>
                <w:szCs w:val="26"/>
              </w:rPr>
              <w:br/>
            </w:r>
            <w:r w:rsidRPr="007A3980">
              <w:rPr>
                <w:rFonts w:hint="cs"/>
                <w:spacing w:val="-10"/>
                <w:sz w:val="26"/>
                <w:szCs w:val="26"/>
                <w:rtl/>
              </w:rPr>
              <w:t>ו-</w:t>
            </w:r>
            <w:r w:rsidRPr="007A3980">
              <w:rPr>
                <w:spacing w:val="-10"/>
                <w:rtl/>
              </w:rPr>
              <w:t xml:space="preserve">567 </w:t>
            </w:r>
            <w:r w:rsidRPr="007A3980">
              <w:rPr>
                <w:spacing w:val="-10"/>
                <w:sz w:val="26"/>
                <w:szCs w:val="26"/>
                <w:rtl/>
              </w:rPr>
              <w:t>חקירות</w:t>
            </w:r>
            <w:r w:rsidRPr="007A3980">
              <w:rPr>
                <w:rFonts w:hint="cs"/>
                <w:spacing w:val="-10"/>
                <w:sz w:val="26"/>
                <w:szCs w:val="26"/>
                <w:rtl/>
              </w:rPr>
              <w:t xml:space="preserve"> של תיקים</w:t>
            </w:r>
          </w:p>
        </w:tc>
        <w:tc>
          <w:tcPr>
            <w:tcW w:w="161" w:type="pct"/>
            <w:vAlign w:val="bottom"/>
          </w:tcPr>
          <w:p w:rsidR="007A3980" w:rsidRPr="007A3980" w:rsidP="007A3980"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7A3980" w:rsidRPr="007A3980" w:rsidP="007A3980" w14:paraId="2A2E27BD" w14:textId="2AC380BF">
            <w:pPr>
              <w:pStyle w:val="2021"/>
              <w:spacing w:before="0" w:after="60"/>
              <w:rPr>
                <w:spacing w:val="-20"/>
                <w:sz w:val="24"/>
                <w:rtl/>
              </w:rPr>
            </w:pPr>
            <w:r w:rsidRPr="007A3980">
              <w:rPr>
                <w:rFonts w:hint="cs"/>
                <w:spacing w:val="-10"/>
                <w:rtl/>
              </w:rPr>
              <w:t xml:space="preserve">453 </w:t>
            </w:r>
            <w:r w:rsidRPr="007A3980">
              <w:rPr>
                <w:rFonts w:hint="cs"/>
                <w:spacing w:val="-10"/>
                <w:sz w:val="26"/>
                <w:szCs w:val="26"/>
                <w:rtl/>
              </w:rPr>
              <w:t>תיקי חקירות</w:t>
            </w:r>
          </w:p>
        </w:tc>
        <w:tc>
          <w:tcPr>
            <w:tcW w:w="182" w:type="pct"/>
            <w:vAlign w:val="bottom"/>
          </w:tcPr>
          <w:p w:rsidR="007A3980" w:rsidRPr="007A3980" w:rsidP="007A3980"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7A3980" w:rsidRPr="007A3980" w:rsidP="007A3980" w14:paraId="5F3A3FF5" w14:textId="661E00E1">
            <w:pPr>
              <w:pStyle w:val="2021"/>
              <w:spacing w:before="0" w:after="60"/>
              <w:rPr>
                <w:spacing w:val="-10"/>
                <w:rtl/>
              </w:rPr>
            </w:pPr>
            <w:r w:rsidRPr="007A3980">
              <w:rPr>
                <w:spacing w:val="-10"/>
                <w:sz w:val="26"/>
                <w:szCs w:val="26"/>
                <w:rtl/>
              </w:rPr>
              <w:t>ב-</w:t>
            </w:r>
            <w:r w:rsidRPr="007A3980">
              <w:rPr>
                <w:spacing w:val="-10"/>
                <w:rtl/>
              </w:rPr>
              <w:t>7</w:t>
            </w:r>
            <w:r w:rsidR="00984734">
              <w:rPr>
                <w:rFonts w:hint="cs"/>
                <w:spacing w:val="-10"/>
                <w:rtl/>
              </w:rPr>
              <w:t>9</w:t>
            </w:r>
            <w:r w:rsidRPr="007A3980">
              <w:rPr>
                <w:spacing w:val="-10"/>
                <w:rtl/>
              </w:rPr>
              <w:t xml:space="preserve">% </w:t>
            </w:r>
            <w:r w:rsidRPr="007A3980">
              <w:rPr>
                <w:rFonts w:hint="cs"/>
                <w:spacing w:val="-10"/>
                <w:sz w:val="26"/>
                <w:szCs w:val="26"/>
                <w:rtl/>
              </w:rPr>
              <w:t>מנותני השירות הפיננסיים (</w:t>
            </w:r>
            <w:r w:rsidRPr="007A3980">
              <w:rPr>
                <w:rFonts w:hint="cs"/>
                <w:spacing w:val="-10"/>
                <w:sz w:val="26"/>
                <w:szCs w:val="26"/>
                <w:rtl/>
              </w:rPr>
              <w:t>צ'יינג'ים</w:t>
            </w:r>
            <w:r w:rsidRPr="007A3980">
              <w:rPr>
                <w:rFonts w:hint="cs"/>
                <w:spacing w:val="-10"/>
                <w:sz w:val="26"/>
                <w:szCs w:val="26"/>
                <w:rtl/>
              </w:rPr>
              <w:t>)</w:t>
            </w:r>
          </w:p>
        </w:tc>
      </w:tr>
      <w:tr w14:paraId="6DFAF81C" w14:textId="77777777" w:rsidTr="007A3980">
        <w:tblPrEx>
          <w:tblW w:w="5000" w:type="pct"/>
          <w:tblLook w:val="04A0"/>
        </w:tblPrEx>
        <w:tc>
          <w:tcPr>
            <w:tcW w:w="1164" w:type="pct"/>
            <w:tcBorders>
              <w:top w:val="single" w:sz="12" w:space="0" w:color="000000" w:themeColor="text1"/>
            </w:tcBorders>
          </w:tcPr>
          <w:p w:rsidR="007A3980" w:rsidRPr="00C34AF5" w:rsidP="007A3980" w14:paraId="38D3240C" w14:textId="77777777">
            <w:pPr>
              <w:pStyle w:val="732021"/>
              <w:spacing w:before="0"/>
              <w:rPr>
                <w:rtl/>
              </w:rPr>
            </w:pPr>
            <w:r w:rsidRPr="00C34AF5">
              <w:rPr>
                <w:rFonts w:hint="cs"/>
                <w:rtl/>
              </w:rPr>
              <w:t>היקף הכלכלה השחורה</w:t>
            </w:r>
            <w:r>
              <w:rPr>
                <w:vertAlign w:val="superscript"/>
                <w:rtl/>
              </w:rPr>
              <w:footnoteReference w:id="2"/>
            </w:r>
            <w:r w:rsidRPr="00C34AF5">
              <w:rPr>
                <w:rFonts w:hint="cs"/>
                <w:rtl/>
              </w:rPr>
              <w:t xml:space="preserve"> בישראל על פי מחקר של הבנק העולמי </w:t>
            </w:r>
            <w:r w:rsidRPr="00C34AF5">
              <w:rPr>
                <w:rFonts w:hint="eastAsia"/>
                <w:rtl/>
              </w:rPr>
              <w:t>משנת</w:t>
            </w:r>
            <w:r w:rsidRPr="00C34AF5">
              <w:rPr>
                <w:rtl/>
              </w:rPr>
              <w:t xml:space="preserve"> 2010</w:t>
            </w:r>
            <w:r w:rsidRPr="00C34AF5">
              <w:rPr>
                <w:rFonts w:hint="cs"/>
                <w:rtl/>
              </w:rPr>
              <w:t xml:space="preserve"> </w:t>
            </w:r>
          </w:p>
          <w:p w:rsidR="007A3980" w:rsidRPr="00E52143" w:rsidP="007A3980" w14:paraId="1D96599A" w14:textId="6D2ED5F6">
            <w:pPr>
              <w:pStyle w:val="732021"/>
              <w:spacing w:before="0"/>
              <w:rPr>
                <w:rtl/>
              </w:rPr>
            </w:pPr>
          </w:p>
        </w:tc>
        <w:tc>
          <w:tcPr>
            <w:tcW w:w="161" w:type="pct"/>
          </w:tcPr>
          <w:p w:rsidR="007A3980" w:rsidRPr="00E52143" w:rsidP="007A3980" w14:paraId="2BF81D8C" w14:textId="77777777">
            <w:pPr>
              <w:pStyle w:val="732021"/>
              <w:spacing w:before="0"/>
              <w:rPr>
                <w:rtl/>
              </w:rPr>
            </w:pPr>
          </w:p>
        </w:tc>
        <w:tc>
          <w:tcPr>
            <w:tcW w:w="1038" w:type="pct"/>
            <w:tcBorders>
              <w:top w:val="single" w:sz="12" w:space="0" w:color="000000" w:themeColor="text1"/>
            </w:tcBorders>
          </w:tcPr>
          <w:p w:rsidR="007A3980" w:rsidRPr="00F279A6" w:rsidP="007A3980" w14:paraId="68924AF7" w14:textId="44450690">
            <w:pPr>
              <w:pStyle w:val="732021"/>
              <w:spacing w:before="0"/>
              <w:rPr>
                <w:spacing w:val="-8"/>
                <w:rtl/>
              </w:rPr>
            </w:pPr>
            <w:r w:rsidRPr="00F279A6">
              <w:rPr>
                <w:rFonts w:hint="cs"/>
                <w:spacing w:val="-8"/>
                <w:rtl/>
              </w:rPr>
              <w:t xml:space="preserve">נעשו על ידי מס הכנסה ועל ידי אגף המכס </w:t>
            </w:r>
            <w:r w:rsidRPr="00F279A6">
              <w:rPr>
                <w:rFonts w:hint="cs"/>
                <w:spacing w:val="-8"/>
                <w:rtl/>
              </w:rPr>
              <w:t>והמע"ם</w:t>
            </w:r>
            <w:r w:rsidRPr="00F279A6">
              <w:rPr>
                <w:rFonts w:hint="cs"/>
                <w:spacing w:val="-8"/>
                <w:rtl/>
              </w:rPr>
              <w:t xml:space="preserve"> (בהתאמה) בשנים 2019 עד 2021</w:t>
            </w:r>
            <w:r w:rsidRPr="00F279A6">
              <w:rPr>
                <w:spacing w:val="-8"/>
              </w:rPr>
              <w:br/>
            </w:r>
            <w:r w:rsidRPr="00F279A6">
              <w:rPr>
                <w:rFonts w:hint="cs"/>
                <w:spacing w:val="-8"/>
                <w:rtl/>
              </w:rPr>
              <w:t>רק ב-166 (17.7%) וב-68 (12%) מתיקים אלה הטיפול הסתיים, והיתר נמצאים בחקירה או בהכנה להגשת כתב אישום</w:t>
            </w:r>
          </w:p>
        </w:tc>
        <w:tc>
          <w:tcPr>
            <w:tcW w:w="161" w:type="pct"/>
          </w:tcPr>
          <w:p w:rsidR="007A3980" w:rsidRPr="00E52143" w:rsidP="007A3980" w14:paraId="4F52CE08" w14:textId="77777777">
            <w:pPr>
              <w:pStyle w:val="732021"/>
              <w:spacing w:before="0"/>
              <w:rPr>
                <w:rtl/>
              </w:rPr>
            </w:pPr>
          </w:p>
        </w:tc>
        <w:tc>
          <w:tcPr>
            <w:tcW w:w="1151" w:type="pct"/>
            <w:tcBorders>
              <w:top w:val="single" w:sz="12" w:space="0" w:color="000000" w:themeColor="text1"/>
            </w:tcBorders>
          </w:tcPr>
          <w:p w:rsidR="007A3980" w:rsidRPr="00C34AF5" w:rsidP="007A3980" w14:paraId="1D574C88" w14:textId="77777777">
            <w:pPr>
              <w:pStyle w:val="732021"/>
              <w:spacing w:before="0"/>
              <w:rPr>
                <w:rtl/>
              </w:rPr>
            </w:pPr>
            <w:r w:rsidRPr="00C34AF5">
              <w:rPr>
                <w:rFonts w:hint="cs"/>
                <w:rtl/>
              </w:rPr>
              <w:t>נפתחו נגד חשודים בשנים 2012 - 2021, וטרם הוגש בהם כתב אישום</w:t>
            </w:r>
          </w:p>
          <w:p w:rsidR="007A3980" w:rsidRPr="00E52143" w:rsidP="007A3980" w14:paraId="203F9568" w14:textId="2719A18C">
            <w:pPr>
              <w:pStyle w:val="732021"/>
              <w:spacing w:before="0"/>
              <w:rPr>
                <w:rtl/>
              </w:rPr>
            </w:pPr>
          </w:p>
        </w:tc>
        <w:tc>
          <w:tcPr>
            <w:tcW w:w="182" w:type="pct"/>
          </w:tcPr>
          <w:p w:rsidR="007A3980" w:rsidRPr="00E52143" w:rsidP="007A3980" w14:paraId="42538096" w14:textId="77777777">
            <w:pPr>
              <w:pStyle w:val="732021"/>
              <w:spacing w:before="0"/>
              <w:rPr>
                <w:rtl/>
              </w:rPr>
            </w:pPr>
          </w:p>
        </w:tc>
        <w:tc>
          <w:tcPr>
            <w:tcW w:w="1143" w:type="pct"/>
            <w:tcBorders>
              <w:top w:val="single" w:sz="12" w:space="0" w:color="000000" w:themeColor="text1"/>
            </w:tcBorders>
          </w:tcPr>
          <w:p w:rsidR="007A3980" w:rsidRPr="00E52143" w:rsidP="007A3980" w14:paraId="1878D11D" w14:textId="11474EF7">
            <w:pPr>
              <w:pStyle w:val="732021"/>
              <w:spacing w:before="0"/>
              <w:rPr>
                <w:rtl/>
              </w:rPr>
            </w:pPr>
            <w:r w:rsidRPr="00C34AF5">
              <w:rPr>
                <w:rtl/>
              </w:rPr>
              <w:t>שנבדקו</w:t>
            </w:r>
            <w:r w:rsidRPr="00C34AF5">
              <w:rPr>
                <w:rFonts w:hint="cs"/>
                <w:rtl/>
              </w:rPr>
              <w:t xml:space="preserve"> בשנת 2022</w:t>
            </w:r>
            <w:r w:rsidRPr="00C34AF5">
              <w:rPr>
                <w:rtl/>
              </w:rPr>
              <w:t xml:space="preserve"> במסגרת מבצעי הטיפול בתופעות הפשיעה והאלימות בחברה הערבית</w:t>
            </w:r>
            <w:r w:rsidRPr="00C34AF5">
              <w:rPr>
                <w:rFonts w:hint="cs"/>
                <w:rtl/>
              </w:rPr>
              <w:t xml:space="preserve">, </w:t>
            </w:r>
            <w:r w:rsidRPr="00C34AF5">
              <w:rPr>
                <w:rtl/>
              </w:rPr>
              <w:t>נמצאו ליקו</w:t>
            </w:r>
            <w:r w:rsidRPr="00C34AF5">
              <w:rPr>
                <w:rFonts w:hint="cs"/>
                <w:rtl/>
              </w:rPr>
              <w:t xml:space="preserve">יים </w:t>
            </w:r>
            <w:r w:rsidRPr="00C34AF5">
              <w:rPr>
                <w:rtl/>
              </w:rPr>
              <w:t>(</w:t>
            </w:r>
            <w:r w:rsidRPr="00C34AF5">
              <w:rPr>
                <w:rFonts w:hint="cs"/>
                <w:rtl/>
              </w:rPr>
              <w:t xml:space="preserve">ב-37 מ-47 </w:t>
            </w:r>
            <w:r w:rsidRPr="00C34AF5">
              <w:rPr>
                <w:rtl/>
              </w:rPr>
              <w:t xml:space="preserve">נותני שירות פיננסיים </w:t>
            </w:r>
            <w:r w:rsidRPr="00C34AF5">
              <w:rPr>
                <w:rFonts w:hint="cs"/>
                <w:rtl/>
              </w:rPr>
              <w:t xml:space="preserve">שנבדקו) </w:t>
            </w:r>
          </w:p>
        </w:tc>
      </w:tr>
      <w:tr w14:paraId="1BD5A20C" w14:textId="77777777" w:rsidTr="007A3980">
        <w:tblPrEx>
          <w:tblW w:w="5000" w:type="pct"/>
          <w:tblLook w:val="04A0"/>
        </w:tblPrEx>
        <w:tc>
          <w:tcPr>
            <w:tcW w:w="1164" w:type="pct"/>
            <w:tcBorders>
              <w:bottom w:val="single" w:sz="12" w:space="0" w:color="000000" w:themeColor="text1"/>
            </w:tcBorders>
            <w:vAlign w:val="bottom"/>
          </w:tcPr>
          <w:p w:rsidR="007A3980" w:rsidRPr="007A3980" w:rsidP="008C11B2" w14:paraId="500D3B50" w14:textId="5FFA53B7">
            <w:pPr>
              <w:spacing w:after="60" w:line="240" w:lineRule="auto"/>
              <w:jc w:val="left"/>
              <w:rPr>
                <w:rFonts w:ascii="Tahoma" w:hAnsi="Tahoma" w:eastAsiaTheme="minorEastAsia" w:cs="Tahoma"/>
                <w:b/>
                <w:bCs/>
                <w:color w:val="0D0D0D" w:themeColor="text1" w:themeTint="F2"/>
                <w:spacing w:val="-10"/>
                <w:sz w:val="36"/>
                <w:szCs w:val="36"/>
                <w:rtl/>
              </w:rPr>
            </w:pPr>
            <w:r w:rsidRPr="007A3980">
              <w:rPr>
                <w:rFonts w:ascii="Tahoma" w:hAnsi="Tahoma" w:eastAsiaTheme="minorEastAsia" w:cs="Tahoma"/>
                <w:b/>
                <w:bCs/>
                <w:color w:val="0D0D0D" w:themeColor="text1" w:themeTint="F2"/>
                <w:spacing w:val="-10"/>
                <w:sz w:val="36"/>
                <w:szCs w:val="36"/>
                <w:rtl/>
              </w:rPr>
              <w:t xml:space="preserve">20 </w:t>
            </w:r>
            <w:r w:rsidRPr="007A3980">
              <w:rPr>
                <w:rFonts w:ascii="Tahoma" w:hAnsi="Tahoma" w:eastAsiaTheme="minorEastAsia" w:cs="Tahoma"/>
                <w:b/>
                <w:bCs/>
                <w:color w:val="0D0D0D" w:themeColor="text1" w:themeTint="F2"/>
                <w:spacing w:val="-10"/>
                <w:sz w:val="26"/>
                <w:szCs w:val="26"/>
                <w:rtl/>
              </w:rPr>
              <w:t>חוקרים</w:t>
            </w:r>
            <w:r w:rsidRPr="007A3980">
              <w:rPr>
                <w:rFonts w:ascii="Tahoma" w:hAnsi="Tahoma" w:eastAsiaTheme="minorEastAsia" w:cs="Tahoma"/>
                <w:b/>
                <w:bCs/>
                <w:color w:val="0D0D0D" w:themeColor="text1" w:themeTint="F2"/>
                <w:spacing w:val="-10"/>
                <w:sz w:val="36"/>
                <w:szCs w:val="36"/>
                <w:rtl/>
              </w:rPr>
              <w:t xml:space="preserve"> </w:t>
            </w:r>
          </w:p>
        </w:tc>
        <w:tc>
          <w:tcPr>
            <w:tcW w:w="161" w:type="pct"/>
            <w:vAlign w:val="bottom"/>
          </w:tcPr>
          <w:p w:rsidR="007A3980" w:rsidRPr="007A3980" w:rsidP="008C11B2"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7A3980" w:rsidRPr="007A3980" w:rsidP="008C11B2" w14:paraId="48896DF7" w14:textId="5809FF81">
            <w:pPr>
              <w:pStyle w:val="2021"/>
              <w:spacing w:before="0" w:after="60"/>
              <w:rPr>
                <w:spacing w:val="-10"/>
                <w:rtl/>
              </w:rPr>
            </w:pPr>
            <w:r w:rsidRPr="007A3980">
              <w:rPr>
                <w:rFonts w:hint="cs"/>
                <w:spacing w:val="-10"/>
                <w:sz w:val="26"/>
                <w:szCs w:val="26"/>
                <w:rtl/>
              </w:rPr>
              <w:t>ל-</w:t>
            </w:r>
            <w:r w:rsidR="00213EC9">
              <w:rPr>
                <w:rFonts w:hint="cs"/>
                <w:spacing w:val="-10"/>
                <w:rtl/>
              </w:rPr>
              <w:t>1</w:t>
            </w:r>
            <w:r w:rsidR="007A0FC7">
              <w:rPr>
                <w:rFonts w:hint="cs"/>
                <w:spacing w:val="-10"/>
                <w:rtl/>
              </w:rPr>
              <w:t>3</w:t>
            </w:r>
            <w:r w:rsidRPr="007A3980">
              <w:rPr>
                <w:rFonts w:hint="cs"/>
                <w:spacing w:val="-10"/>
                <w:rtl/>
              </w:rPr>
              <w:t>%</w:t>
            </w:r>
          </w:p>
        </w:tc>
        <w:tc>
          <w:tcPr>
            <w:tcW w:w="161" w:type="pct"/>
            <w:vAlign w:val="bottom"/>
          </w:tcPr>
          <w:p w:rsidR="007A3980" w:rsidRPr="007A3980" w:rsidP="008C11B2" w14:paraId="5B4C8A80" w14:textId="77777777">
            <w:pPr>
              <w:spacing w:after="60" w:line="240" w:lineRule="auto"/>
              <w:jc w:val="left"/>
              <w:rPr>
                <w:b/>
                <w:bCs/>
                <w:rtl/>
              </w:rPr>
            </w:pPr>
          </w:p>
        </w:tc>
        <w:tc>
          <w:tcPr>
            <w:tcW w:w="1151" w:type="pct"/>
            <w:tcBorders>
              <w:bottom w:val="single" w:sz="12" w:space="0" w:color="000000" w:themeColor="text1"/>
            </w:tcBorders>
            <w:vAlign w:val="bottom"/>
          </w:tcPr>
          <w:p w:rsidR="007A3980" w:rsidRPr="007A3980" w:rsidP="008C11B2" w14:paraId="226A2E50" w14:textId="6F8C537D">
            <w:pPr>
              <w:spacing w:after="60" w:line="192" w:lineRule="auto"/>
              <w:jc w:val="left"/>
              <w:rPr>
                <w:rFonts w:ascii="Tahoma" w:hAnsi="Tahoma" w:eastAsiaTheme="minorEastAsia" w:cs="Tahoma"/>
                <w:b/>
                <w:bCs/>
                <w:color w:val="0D0D0D" w:themeColor="text1" w:themeTint="F2"/>
                <w:spacing w:val="-10"/>
                <w:sz w:val="36"/>
                <w:szCs w:val="36"/>
                <w:rtl/>
              </w:rPr>
            </w:pPr>
            <w:r w:rsidRPr="007A3980">
              <w:rPr>
                <w:rFonts w:ascii="Tahoma" w:hAnsi="Tahoma" w:eastAsiaTheme="minorEastAsia" w:cs="Tahoma" w:hint="cs"/>
                <w:b/>
                <w:bCs/>
                <w:color w:val="0D0D0D" w:themeColor="text1" w:themeTint="F2"/>
                <w:spacing w:val="-10"/>
                <w:sz w:val="36"/>
                <w:szCs w:val="36"/>
                <w:rtl/>
              </w:rPr>
              <w:t>21%</w:t>
            </w:r>
          </w:p>
        </w:tc>
        <w:tc>
          <w:tcPr>
            <w:tcW w:w="182" w:type="pct"/>
            <w:vAlign w:val="bottom"/>
          </w:tcPr>
          <w:p w:rsidR="007A3980" w:rsidRPr="007A3980" w:rsidP="008C11B2"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7A3980" w:rsidRPr="007A3980" w:rsidP="008C11B2" w14:paraId="5AEEF263" w14:textId="46D8D318">
            <w:pPr>
              <w:spacing w:after="60" w:line="240" w:lineRule="auto"/>
              <w:jc w:val="left"/>
              <w:rPr>
                <w:rFonts w:ascii="Tahoma" w:hAnsi="Tahoma" w:eastAsiaTheme="minorEastAsia" w:cs="Tahoma"/>
                <w:b/>
                <w:bCs/>
                <w:color w:val="0D0D0D" w:themeColor="text1" w:themeTint="F2"/>
                <w:spacing w:val="-10"/>
                <w:sz w:val="36"/>
                <w:szCs w:val="36"/>
                <w:rtl/>
              </w:rPr>
            </w:pPr>
            <w:r w:rsidRPr="007A3980">
              <w:rPr>
                <w:rFonts w:ascii="Tahoma" w:hAnsi="Tahoma" w:eastAsiaTheme="minorEastAsia" w:cs="Tahoma" w:hint="cs"/>
                <w:b/>
                <w:bCs/>
                <w:color w:val="0D0D0D" w:themeColor="text1" w:themeTint="F2"/>
                <w:spacing w:val="-10"/>
                <w:sz w:val="36"/>
                <w:szCs w:val="36"/>
                <w:rtl/>
              </w:rPr>
              <w:t xml:space="preserve">15 </w:t>
            </w:r>
            <w:r w:rsidRPr="007A3980">
              <w:rPr>
                <w:rFonts w:ascii="Tahoma" w:hAnsi="Tahoma" w:eastAsiaTheme="minorEastAsia" w:cs="Tahoma" w:hint="cs"/>
                <w:b/>
                <w:bCs/>
                <w:color w:val="0D0D0D" w:themeColor="text1" w:themeTint="F2"/>
                <w:spacing w:val="-10"/>
                <w:sz w:val="26"/>
                <w:szCs w:val="26"/>
                <w:rtl/>
              </w:rPr>
              <w:t xml:space="preserve">חקירות </w:t>
            </w:r>
            <w:r w:rsidRPr="007A3980">
              <w:rPr>
                <w:rFonts w:ascii="Tahoma" w:hAnsi="Tahoma" w:eastAsiaTheme="minorEastAsia" w:cs="Tahoma" w:hint="eastAsia"/>
                <w:b/>
                <w:bCs/>
                <w:color w:val="0D0D0D" w:themeColor="text1" w:themeTint="F2"/>
                <w:spacing w:val="-10"/>
                <w:sz w:val="26"/>
                <w:szCs w:val="26"/>
                <w:rtl/>
              </w:rPr>
              <w:t>בלבד</w:t>
            </w:r>
          </w:p>
        </w:tc>
      </w:tr>
      <w:tr w14:paraId="54154FA5" w14:textId="77777777" w:rsidTr="007A3980">
        <w:tblPrEx>
          <w:tblW w:w="5000" w:type="pct"/>
          <w:tblLook w:val="04A0"/>
        </w:tblPrEx>
        <w:tc>
          <w:tcPr>
            <w:tcW w:w="1164" w:type="pct"/>
            <w:tcBorders>
              <w:top w:val="single" w:sz="12" w:space="0" w:color="000000" w:themeColor="text1"/>
            </w:tcBorders>
          </w:tcPr>
          <w:p w:rsidR="007A3980" w:rsidRPr="004562F8" w:rsidP="007A3980" w14:paraId="6DB67748" w14:textId="454D81DA">
            <w:pPr>
              <w:pStyle w:val="732021"/>
              <w:spacing w:before="0" w:after="0"/>
              <w:rPr>
                <w:rtl/>
              </w:rPr>
            </w:pPr>
            <w:r w:rsidRPr="00C34AF5">
              <w:rPr>
                <w:rtl/>
              </w:rPr>
              <w:t>מספר החוקרים במשרד פקיד שומה חקירות בירושלים, האחראי לאזור הגיאוגרפי הגדול בארץ, הכולל 347,897 נישומים, נכון לשנת 2022</w:t>
            </w:r>
          </w:p>
        </w:tc>
        <w:tc>
          <w:tcPr>
            <w:tcW w:w="161" w:type="pct"/>
          </w:tcPr>
          <w:p w:rsidR="007A3980" w:rsidRPr="008D750B" w:rsidP="007A3980" w14:paraId="0C0AE598" w14:textId="77777777">
            <w:pPr>
              <w:pStyle w:val="732021"/>
              <w:spacing w:before="0" w:after="0"/>
              <w:rPr>
                <w:rtl/>
              </w:rPr>
            </w:pPr>
          </w:p>
        </w:tc>
        <w:tc>
          <w:tcPr>
            <w:tcW w:w="1038" w:type="pct"/>
            <w:tcBorders>
              <w:top w:val="single" w:sz="12" w:space="0" w:color="000000" w:themeColor="text1"/>
            </w:tcBorders>
          </w:tcPr>
          <w:p w:rsidR="007A3980" w:rsidRPr="004562F8" w:rsidP="007A3980" w14:paraId="1916A301" w14:textId="7B5B792B">
            <w:pPr>
              <w:pStyle w:val="732021"/>
              <w:spacing w:before="0"/>
              <w:rPr>
                <w:rtl/>
              </w:rPr>
            </w:pPr>
            <w:r w:rsidRPr="00C34AF5">
              <w:rPr>
                <w:rFonts w:hint="cs"/>
                <w:rtl/>
              </w:rPr>
              <w:t>מה</w:t>
            </w:r>
            <w:r w:rsidRPr="00C34AF5">
              <w:rPr>
                <w:rtl/>
              </w:rPr>
              <w:t>נישומים שנחקרו על ידי משרדי השומה לחקירות, ושהטיפול בהם הסתיים</w:t>
            </w:r>
            <w:r w:rsidRPr="00C34AF5">
              <w:rPr>
                <w:rFonts w:hint="cs"/>
                <w:rtl/>
              </w:rPr>
              <w:t xml:space="preserve"> בגזר דין, לא נקבעו שומות על ידי משרדי השומה</w:t>
            </w:r>
          </w:p>
        </w:tc>
        <w:tc>
          <w:tcPr>
            <w:tcW w:w="161" w:type="pct"/>
          </w:tcPr>
          <w:p w:rsidR="007A3980" w:rsidP="007A3980" w14:paraId="14782C57" w14:textId="77777777">
            <w:pPr>
              <w:pStyle w:val="732021"/>
              <w:spacing w:before="0" w:after="0"/>
              <w:rPr>
                <w:rtl/>
              </w:rPr>
            </w:pPr>
          </w:p>
        </w:tc>
        <w:tc>
          <w:tcPr>
            <w:tcW w:w="1151" w:type="pct"/>
            <w:tcBorders>
              <w:top w:val="single" w:sz="12" w:space="0" w:color="000000" w:themeColor="text1"/>
            </w:tcBorders>
          </w:tcPr>
          <w:p w:rsidR="007A3980" w:rsidRPr="007A3980" w:rsidP="007A3980" w14:paraId="6149CA50" w14:textId="01BBFED9">
            <w:pPr>
              <w:pStyle w:val="732021"/>
              <w:spacing w:before="0" w:after="0"/>
              <w:rPr>
                <w:spacing w:val="-4"/>
                <w:rtl/>
              </w:rPr>
            </w:pPr>
            <w:r w:rsidRPr="007A3980">
              <w:rPr>
                <w:spacing w:val="-4"/>
                <w:rtl/>
              </w:rPr>
              <w:t>מהתיקים שנחקרו</w:t>
            </w:r>
            <w:r w:rsidRPr="007A3980">
              <w:rPr>
                <w:rFonts w:hint="cs"/>
                <w:spacing w:val="-4"/>
                <w:rtl/>
              </w:rPr>
              <w:t xml:space="preserve"> בשנים 2019 עד 2021</w:t>
            </w:r>
            <w:r w:rsidRPr="007A3980">
              <w:rPr>
                <w:spacing w:val="-4"/>
                <w:rtl/>
              </w:rPr>
              <w:t xml:space="preserve"> </w:t>
            </w:r>
            <w:r w:rsidRPr="007A3980">
              <w:rPr>
                <w:rFonts w:hint="cs"/>
                <w:spacing w:val="-4"/>
                <w:rtl/>
              </w:rPr>
              <w:t>היו</w:t>
            </w:r>
            <w:r w:rsidRPr="007A3980">
              <w:rPr>
                <w:spacing w:val="-4"/>
                <w:rtl/>
              </w:rPr>
              <w:t xml:space="preserve"> בסכומים</w:t>
            </w:r>
            <w:r w:rsidRPr="007A3980">
              <w:rPr>
                <w:rFonts w:hint="cs"/>
                <w:spacing w:val="-4"/>
                <w:rtl/>
              </w:rPr>
              <w:t xml:space="preserve"> של פחות ממיליון ש"ח.</w:t>
            </w:r>
            <w:r w:rsidRPr="007A3980">
              <w:rPr>
                <w:spacing w:val="-4"/>
                <w:rtl/>
              </w:rPr>
              <w:t xml:space="preserve"> </w:t>
            </w:r>
            <w:r w:rsidRPr="007A3980">
              <w:rPr>
                <w:rFonts w:hint="cs"/>
                <w:spacing w:val="-4"/>
                <w:rtl/>
              </w:rPr>
              <w:t>34%</w:t>
            </w:r>
            <w:r w:rsidRPr="007A3980">
              <w:rPr>
                <w:spacing w:val="-4"/>
                <w:rtl/>
              </w:rPr>
              <w:t xml:space="preserve"> </w:t>
            </w:r>
            <w:r w:rsidRPr="007A3980">
              <w:rPr>
                <w:rFonts w:hint="cs"/>
                <w:spacing w:val="-4"/>
                <w:rtl/>
              </w:rPr>
              <w:t xml:space="preserve">מהתיקים כאמור היו </w:t>
            </w:r>
            <w:r w:rsidRPr="007A3980">
              <w:rPr>
                <w:spacing w:val="-4"/>
                <w:rtl/>
              </w:rPr>
              <w:t>בסכומים ש</w:t>
            </w:r>
            <w:r w:rsidRPr="007A3980">
              <w:rPr>
                <w:rFonts w:hint="cs"/>
                <w:spacing w:val="-4"/>
                <w:rtl/>
              </w:rPr>
              <w:t>ל</w:t>
            </w:r>
            <w:r w:rsidRPr="007A3980">
              <w:rPr>
                <w:spacing w:val="-4"/>
                <w:rtl/>
              </w:rPr>
              <w:t xml:space="preserve"> </w:t>
            </w:r>
            <w:r w:rsidRPr="007A3980">
              <w:rPr>
                <w:rFonts w:hint="cs"/>
                <w:spacing w:val="-4"/>
                <w:rtl/>
              </w:rPr>
              <w:t xml:space="preserve">1 </w:t>
            </w:r>
            <w:r w:rsidRPr="007A3980">
              <w:rPr>
                <w:spacing w:val="-4"/>
                <w:rtl/>
              </w:rPr>
              <w:t xml:space="preserve">מיליון </w:t>
            </w:r>
            <w:r w:rsidRPr="007A3980">
              <w:rPr>
                <w:rFonts w:hint="cs"/>
                <w:spacing w:val="-4"/>
                <w:rtl/>
              </w:rPr>
              <w:t>עד 3</w:t>
            </w:r>
            <w:r w:rsidRPr="007A3980">
              <w:rPr>
                <w:spacing w:val="-4"/>
                <w:rtl/>
              </w:rPr>
              <w:t xml:space="preserve"> מיליון ש"ח</w:t>
            </w:r>
            <w:r w:rsidRPr="007A3980">
              <w:rPr>
                <w:rFonts w:hint="cs"/>
                <w:spacing w:val="-4"/>
                <w:rtl/>
              </w:rPr>
              <w:t>,</w:t>
            </w:r>
            <w:r w:rsidRPr="007A3980">
              <w:rPr>
                <w:spacing w:val="-4"/>
                <w:rtl/>
              </w:rPr>
              <w:t xml:space="preserve"> ו</w:t>
            </w:r>
            <w:r w:rsidRPr="007A3980">
              <w:rPr>
                <w:rFonts w:hint="cs"/>
                <w:spacing w:val="-4"/>
                <w:rtl/>
              </w:rPr>
              <w:t>-45%</w:t>
            </w:r>
            <w:r w:rsidRPr="007A3980">
              <w:rPr>
                <w:spacing w:val="-4"/>
                <w:rtl/>
              </w:rPr>
              <w:t xml:space="preserve"> </w:t>
            </w:r>
            <w:r w:rsidRPr="007A3980">
              <w:rPr>
                <w:rFonts w:hint="cs"/>
                <w:spacing w:val="-4"/>
                <w:rtl/>
              </w:rPr>
              <w:t>מהתיקים היו בסכומים</w:t>
            </w:r>
            <w:r w:rsidRPr="007A3980">
              <w:rPr>
                <w:spacing w:val="-4"/>
                <w:rtl/>
              </w:rPr>
              <w:t xml:space="preserve"> </w:t>
            </w:r>
            <w:r w:rsidRPr="007A3980">
              <w:rPr>
                <w:rFonts w:hint="cs"/>
                <w:spacing w:val="-4"/>
                <w:rtl/>
              </w:rPr>
              <w:t>הגדולים</w:t>
            </w:r>
            <w:r w:rsidRPr="007A3980">
              <w:rPr>
                <w:spacing w:val="-4"/>
                <w:rtl/>
              </w:rPr>
              <w:t xml:space="preserve"> </w:t>
            </w:r>
            <w:r w:rsidRPr="007A3980">
              <w:rPr>
                <w:spacing w:val="-4"/>
                <w:rtl/>
              </w:rPr>
              <w:br/>
            </w:r>
            <w:r w:rsidRPr="007A3980">
              <w:rPr>
                <w:rFonts w:hint="cs"/>
                <w:spacing w:val="-4"/>
                <w:rtl/>
              </w:rPr>
              <w:t>מ-3</w:t>
            </w:r>
            <w:r w:rsidRPr="007A3980">
              <w:rPr>
                <w:spacing w:val="-4"/>
                <w:rtl/>
              </w:rPr>
              <w:t xml:space="preserve"> מיליון ש"ח</w:t>
            </w:r>
          </w:p>
        </w:tc>
        <w:tc>
          <w:tcPr>
            <w:tcW w:w="182" w:type="pct"/>
          </w:tcPr>
          <w:p w:rsidR="007A3980" w:rsidRPr="00C92141" w:rsidP="007A3980" w14:paraId="66E34E8E" w14:textId="77777777">
            <w:pPr>
              <w:pStyle w:val="732021"/>
              <w:spacing w:before="0" w:after="0"/>
              <w:rPr>
                <w:rtl/>
              </w:rPr>
            </w:pPr>
          </w:p>
        </w:tc>
        <w:tc>
          <w:tcPr>
            <w:tcW w:w="1143" w:type="pct"/>
            <w:tcBorders>
              <w:top w:val="single" w:sz="12" w:space="0" w:color="000000" w:themeColor="text1"/>
            </w:tcBorders>
          </w:tcPr>
          <w:p w:rsidR="007A3980" w:rsidRPr="00C92141" w:rsidP="007A3980" w14:paraId="39498237" w14:textId="5C5D92B2">
            <w:pPr>
              <w:pStyle w:val="732021"/>
              <w:spacing w:before="0" w:after="0"/>
              <w:rPr>
                <w:rtl/>
              </w:rPr>
            </w:pPr>
            <w:r w:rsidRPr="00C34AF5">
              <w:rPr>
                <w:rtl/>
              </w:rPr>
              <w:t xml:space="preserve">בתחום המטבעות </w:t>
            </w:r>
            <w:r>
              <w:br/>
            </w:r>
            <w:r w:rsidRPr="00C34AF5">
              <w:rPr>
                <w:rFonts w:hint="cs"/>
                <w:rtl/>
              </w:rPr>
              <w:t>הווירטואליי</w:t>
            </w:r>
            <w:r w:rsidRPr="00C34AF5">
              <w:rPr>
                <w:rFonts w:hint="eastAsia"/>
                <w:rtl/>
              </w:rPr>
              <w:t>ם</w:t>
            </w:r>
            <w:r w:rsidRPr="00C34AF5">
              <w:rPr>
                <w:rtl/>
              </w:rPr>
              <w:t xml:space="preserve"> בשלוש שנים</w:t>
            </w:r>
            <w:r w:rsidRPr="00C34AF5">
              <w:rPr>
                <w:rFonts w:hint="cs"/>
                <w:rtl/>
              </w:rPr>
              <w:t>,</w:t>
            </w:r>
            <w:r w:rsidRPr="00C34AF5">
              <w:rPr>
                <w:rtl/>
              </w:rPr>
              <w:t xml:space="preserve"> </w:t>
            </w:r>
            <w:r w:rsidRPr="00C34AF5">
              <w:rPr>
                <w:rFonts w:hint="cs"/>
                <w:rtl/>
              </w:rPr>
              <w:t>לעומת</w:t>
            </w:r>
            <w:r w:rsidRPr="00C34AF5">
              <w:rPr>
                <w:rtl/>
              </w:rPr>
              <w:t xml:space="preserve"> מספר הישראלים שסוחרים בהם - 200,000</w:t>
            </w:r>
            <w:r w:rsidRPr="00C34AF5">
              <w:rPr>
                <w:rFonts w:hint="cs"/>
                <w:rtl/>
              </w:rPr>
              <w:t xml:space="preserve"> ישראלים,</w:t>
            </w:r>
            <w:r w:rsidRPr="00C34AF5">
              <w:rPr>
                <w:rtl/>
              </w:rPr>
              <w:t xml:space="preserve"> לפי דוח הכלכלנית</w:t>
            </w:r>
            <w:r w:rsidRPr="00C34AF5">
              <w:rPr>
                <w:rFonts w:hint="cs"/>
                <w:rtl/>
              </w:rPr>
              <w:t xml:space="preserve"> הראשית</w:t>
            </w:r>
          </w:p>
        </w:tc>
      </w:tr>
    </w:tbl>
    <w:p w:rsidR="00420374" w:rsidRPr="00C62692" w:rsidP="00420374" w14:paraId="3FADD5EE" w14:textId="789AB21C">
      <w:pPr>
        <w:pStyle w:val="73"/>
        <w:rPr>
          <w:rtl/>
        </w:rPr>
      </w:pPr>
      <w:r w:rsidRPr="00C62692">
        <w:rPr>
          <w:rtl/>
        </w:rPr>
        <w:t>פעולות הביקורת</w:t>
      </w:r>
    </w:p>
    <w:p w:rsidR="00EB672B" w:rsidP="00EB672B" w14:paraId="21608E70" w14:textId="6C93EFD7">
      <w:pPr>
        <w:pStyle w:val="7317"/>
        <w:rPr>
          <w:rtl/>
        </w:rPr>
      </w:pPr>
      <w:r w:rsidRPr="001F3363">
        <w:rPr>
          <w:noProof/>
        </w:rPr>
        <w:drawing>
          <wp:anchor distT="0" distB="0" distL="114300" distR="114300" simplePos="0" relativeHeight="251680768"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4AF5" w:rsidR="007A3980">
        <w:rPr>
          <w:noProof/>
          <w:rtl/>
        </w:rPr>
        <w:t xml:space="preserve">בחודשים </w:t>
      </w:r>
      <w:r w:rsidRPr="00C34AF5" w:rsidR="007A3980">
        <w:rPr>
          <w:rFonts w:hint="cs"/>
          <w:noProof/>
          <w:rtl/>
        </w:rPr>
        <w:t>ספטמבר 2022 עד פברואר</w:t>
      </w:r>
      <w:r w:rsidRPr="00C34AF5" w:rsidR="007A3980">
        <w:rPr>
          <w:noProof/>
          <w:rtl/>
        </w:rPr>
        <w:t xml:space="preserve"> </w:t>
      </w:r>
      <w:r w:rsidRPr="00C34AF5" w:rsidR="007A3980">
        <w:rPr>
          <w:rFonts w:hint="cs"/>
          <w:noProof/>
          <w:rtl/>
        </w:rPr>
        <w:t>2023</w:t>
      </w:r>
      <w:r w:rsidRPr="00C34AF5" w:rsidR="007A3980">
        <w:rPr>
          <w:noProof/>
          <w:rtl/>
        </w:rPr>
        <w:t xml:space="preserve"> בדק משרד מבקר המדינה את פעולותיה של רשות המ</w:t>
      </w:r>
      <w:r w:rsidRPr="00C34AF5" w:rsidR="007A3980">
        <w:rPr>
          <w:rFonts w:hint="cs"/>
          <w:noProof/>
          <w:rtl/>
        </w:rPr>
        <w:t>י</w:t>
      </w:r>
      <w:r w:rsidRPr="00C34AF5" w:rsidR="007A3980">
        <w:rPr>
          <w:noProof/>
          <w:rtl/>
        </w:rPr>
        <w:t xml:space="preserve">סים בתחום </w:t>
      </w:r>
      <w:r w:rsidRPr="00C34AF5" w:rsidR="007A3980">
        <w:rPr>
          <w:rFonts w:hint="cs"/>
          <w:noProof/>
          <w:rtl/>
        </w:rPr>
        <w:t>החקירות</w:t>
      </w:r>
      <w:r w:rsidRPr="00C34AF5" w:rsidR="007A3980">
        <w:rPr>
          <w:noProof/>
          <w:rtl/>
        </w:rPr>
        <w:t>. הביקורת נערכה בהנהלת רשות המ</w:t>
      </w:r>
      <w:r w:rsidRPr="00C34AF5" w:rsidR="007A3980">
        <w:rPr>
          <w:rFonts w:hint="cs"/>
          <w:noProof/>
          <w:rtl/>
        </w:rPr>
        <w:t>י</w:t>
      </w:r>
      <w:r w:rsidRPr="00C34AF5" w:rsidR="007A3980">
        <w:rPr>
          <w:noProof/>
          <w:rtl/>
        </w:rPr>
        <w:t>סים, במשרדי</w:t>
      </w:r>
      <w:r w:rsidRPr="00C34AF5" w:rsidR="007A3980">
        <w:rPr>
          <w:rFonts w:hint="cs"/>
          <w:noProof/>
          <w:rtl/>
        </w:rPr>
        <w:t xml:space="preserve">ם אזוריים של מס הכנסה </w:t>
      </w:r>
      <w:r w:rsidRPr="00C34AF5" w:rsidR="007A3980">
        <w:rPr>
          <w:rFonts w:hint="eastAsia"/>
          <w:noProof/>
          <w:rtl/>
        </w:rPr>
        <w:t>ובמשרדי</w:t>
      </w:r>
      <w:r w:rsidRPr="00C34AF5" w:rsidR="007A3980">
        <w:rPr>
          <w:noProof/>
          <w:rtl/>
        </w:rPr>
        <w:t xml:space="preserve"> </w:t>
      </w:r>
      <w:r w:rsidRPr="00C34AF5" w:rsidR="007A3980">
        <w:rPr>
          <w:rFonts w:hint="eastAsia"/>
          <w:noProof/>
          <w:rtl/>
        </w:rPr>
        <w:t>יחידות</w:t>
      </w:r>
      <w:r w:rsidRPr="00C34AF5" w:rsidR="007A3980">
        <w:rPr>
          <w:noProof/>
          <w:rtl/>
        </w:rPr>
        <w:t xml:space="preserve"> </w:t>
      </w:r>
      <w:r w:rsidRPr="00C34AF5" w:rsidR="007A3980">
        <w:rPr>
          <w:rFonts w:hint="eastAsia"/>
          <w:noProof/>
          <w:rtl/>
        </w:rPr>
        <w:t>החקירות</w:t>
      </w:r>
      <w:r w:rsidRPr="00C34AF5" w:rsidR="007A3980">
        <w:rPr>
          <w:rFonts w:hint="cs"/>
          <w:noProof/>
          <w:rtl/>
        </w:rPr>
        <w:t xml:space="preserve"> של מע"ם</w:t>
      </w:r>
      <w:r w:rsidRPr="00C34AF5" w:rsidR="007A3980">
        <w:rPr>
          <w:noProof/>
          <w:rtl/>
        </w:rPr>
        <w:t xml:space="preserve">. </w:t>
      </w:r>
      <w:r w:rsidRPr="00C34AF5" w:rsidR="007A3980">
        <w:rPr>
          <w:rFonts w:hint="cs"/>
          <w:noProof/>
          <w:rtl/>
        </w:rPr>
        <w:t>בדיקות השלמה נעשו במחלקה</w:t>
      </w:r>
      <w:r w:rsidRPr="00C34AF5" w:rsidR="007A3980">
        <w:rPr>
          <w:noProof/>
          <w:rtl/>
        </w:rPr>
        <w:t xml:space="preserve"> המשפטית של המכס ו</w:t>
      </w:r>
      <w:r w:rsidRPr="00C34AF5" w:rsidR="007A3980">
        <w:rPr>
          <w:rFonts w:hint="cs"/>
          <w:noProof/>
          <w:rtl/>
        </w:rPr>
        <w:t>ה</w:t>
      </w:r>
      <w:r w:rsidRPr="00C34AF5" w:rsidR="007A3980">
        <w:rPr>
          <w:noProof/>
          <w:rtl/>
        </w:rPr>
        <w:t>מע"ם</w:t>
      </w:r>
      <w:r w:rsidRPr="00C34AF5" w:rsidR="007A3980">
        <w:rPr>
          <w:rFonts w:hint="cs"/>
          <w:noProof/>
          <w:rtl/>
        </w:rPr>
        <w:t xml:space="preserve"> ובפרקליטות המדינה</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0C7E901B">
      <w:pPr>
        <w:pStyle w:val="7317"/>
        <w:rPr>
          <w:rtl/>
        </w:rPr>
      </w:pPr>
      <w:r w:rsidRPr="007A398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3980" w:rsidR="007A3980">
        <w:rPr>
          <w:rStyle w:val="7371"/>
          <w:rtl/>
        </w:rPr>
        <w:t xml:space="preserve">תקינת כוח </w:t>
      </w:r>
      <w:r w:rsidRPr="007A3980" w:rsidR="007A3980">
        <w:rPr>
          <w:rStyle w:val="7371"/>
          <w:rFonts w:hint="cs"/>
          <w:rtl/>
        </w:rPr>
        <w:t>ה</w:t>
      </w:r>
      <w:r w:rsidRPr="007A3980" w:rsidR="007A3980">
        <w:rPr>
          <w:rStyle w:val="7371"/>
          <w:rtl/>
        </w:rPr>
        <w:t>אדם במשרדי השומה לחקירות של רשות המיסים</w:t>
      </w:r>
      <w:r w:rsidRPr="007A3980" w:rsidR="007A3980">
        <w:rPr>
          <w:rStyle w:val="7371"/>
          <w:rFonts w:hint="cs"/>
          <w:rtl/>
        </w:rPr>
        <w:t xml:space="preserve"> -</w:t>
      </w:r>
      <w:r w:rsidRPr="00C34AF5" w:rsidR="007A3980">
        <w:rPr>
          <w:rtl/>
        </w:rPr>
        <w:t xml:space="preserve"> </w:t>
      </w:r>
      <w:r w:rsidRPr="00C34AF5" w:rsidR="007A3980">
        <w:rPr>
          <w:rFonts w:hint="cs"/>
          <w:rtl/>
        </w:rPr>
        <w:t xml:space="preserve">רשות המיסים לא קבעה את תקן כוח האדם הדרוש </w:t>
      </w:r>
      <w:r w:rsidRPr="00C34AF5" w:rsidR="007A3980">
        <w:rPr>
          <w:rFonts w:hint="eastAsia"/>
          <w:rtl/>
        </w:rPr>
        <w:t>ליחידות</w:t>
      </w:r>
      <w:r w:rsidRPr="00C34AF5" w:rsidR="007A3980">
        <w:rPr>
          <w:rtl/>
        </w:rPr>
        <w:t xml:space="preserve"> </w:t>
      </w:r>
      <w:r w:rsidRPr="00C34AF5" w:rsidR="007A3980">
        <w:rPr>
          <w:rFonts w:hint="eastAsia"/>
          <w:rtl/>
        </w:rPr>
        <w:t>החקירות</w:t>
      </w:r>
      <w:r w:rsidRPr="00C34AF5" w:rsidR="007A3980">
        <w:rPr>
          <w:rFonts w:hint="cs"/>
          <w:rtl/>
        </w:rPr>
        <w:t xml:space="preserve"> בהתאם להיקף משימותיהן ולאיכותן. למשל, עד סוף שנת 2022 מספר החוקרים בחוליות המטריאליות ב</w:t>
      </w:r>
      <w:r w:rsidRPr="00C34AF5" w:rsidR="007A3980">
        <w:rPr>
          <w:rFonts w:hint="eastAsia"/>
          <w:rtl/>
        </w:rPr>
        <w:t>משרד</w:t>
      </w:r>
      <w:r w:rsidRPr="00C34AF5" w:rsidR="007A3980">
        <w:rPr>
          <w:rtl/>
        </w:rPr>
        <w:t xml:space="preserve"> </w:t>
      </w:r>
      <w:r w:rsidRPr="00C34AF5" w:rsidR="007A3980">
        <w:rPr>
          <w:rFonts w:hint="eastAsia"/>
          <w:rtl/>
        </w:rPr>
        <w:t>פקיד</w:t>
      </w:r>
      <w:r w:rsidRPr="00C34AF5" w:rsidR="007A3980">
        <w:rPr>
          <w:rtl/>
        </w:rPr>
        <w:t xml:space="preserve"> </w:t>
      </w:r>
      <w:r w:rsidRPr="00C34AF5" w:rsidR="007A3980">
        <w:rPr>
          <w:rFonts w:hint="eastAsia"/>
          <w:rtl/>
        </w:rPr>
        <w:t>שומה</w:t>
      </w:r>
      <w:r w:rsidRPr="00C34AF5" w:rsidR="007A3980">
        <w:rPr>
          <w:rFonts w:hint="cs"/>
          <w:rtl/>
        </w:rPr>
        <w:t xml:space="preserve"> חקירות ירושלים היה הקטן ביותר (20) מבין כל משרדי פקיד שומה חקירות. זאת אף שמשרד זה אחראי לחקירות הפליליות של הנישומים בתחומי מס הכנסה בשטח הגיאוגרפי הגדול ביותר בארץ, הכולל את אזור הדרום, אף שמספר הנישומים בשטח זה הוא הגדול ביותר (347,897),</w:t>
      </w:r>
      <w:r w:rsidRPr="004066E8" w:rsidR="007A3980">
        <w:rPr>
          <w:rFonts w:hint="cs"/>
          <w:rtl/>
        </w:rPr>
        <w:t xml:space="preserve"> </w:t>
      </w:r>
      <w:r w:rsidRPr="00C34AF5" w:rsidR="007A3980">
        <w:rPr>
          <w:rFonts w:hint="cs"/>
          <w:rtl/>
        </w:rPr>
        <w:t>ואף ששטח זה נקבע על ידי משטרת ישראל כיעד לטיפול מוגבר במסגרת המבצעים לטיפול בפשיעה</w:t>
      </w:r>
      <w:r w:rsidRPr="004066E8" w:rsidR="007A3980">
        <w:rPr>
          <w:rFonts w:hint="cs"/>
          <w:rtl/>
        </w:rPr>
        <w:t xml:space="preserve">. </w:t>
      </w:r>
      <w:r w:rsidRPr="00C34AF5" w:rsidR="007A3980">
        <w:rPr>
          <w:rFonts w:hint="cs"/>
          <w:rtl/>
        </w:rPr>
        <w:t xml:space="preserve">עוד עלה כי </w:t>
      </w:r>
      <w:r w:rsidRPr="00C34AF5" w:rsidR="007A3980">
        <w:rPr>
          <w:rtl/>
        </w:rPr>
        <w:t>רשות המיסים לא קבעה את מספר החוקרים לפי הצרכים או לפי המאפיינים המיוחדים של כל משרד שומה, כמו גודל המשרד, השטח הגיאוגרפי</w:t>
      </w:r>
      <w:r w:rsidRPr="00C34AF5" w:rsidR="007A3980">
        <w:rPr>
          <w:rFonts w:hint="cs"/>
          <w:rtl/>
        </w:rPr>
        <w:t xml:space="preserve"> שהוא אחראי לו</w:t>
      </w:r>
      <w:r w:rsidRPr="00C34AF5" w:rsidR="007A3980">
        <w:rPr>
          <w:rtl/>
        </w:rPr>
        <w:t xml:space="preserve"> ומספר התושבים והנישומים</w:t>
      </w:r>
      <w:r w:rsidRPr="00C34AF5" w:rsidR="007A3980">
        <w:rPr>
          <w:rFonts w:hint="cs"/>
          <w:rtl/>
        </w:rPr>
        <w:t xml:space="preserve"> בשטח זה,</w:t>
      </w:r>
      <w:r w:rsidRPr="00C34AF5" w:rsidR="007A3980">
        <w:rPr>
          <w:rtl/>
        </w:rPr>
        <w:t xml:space="preserve"> וכן </w:t>
      </w:r>
      <w:r w:rsidRPr="00C34AF5" w:rsidR="007A3980">
        <w:rPr>
          <w:rFonts w:hint="cs"/>
          <w:rtl/>
        </w:rPr>
        <w:t xml:space="preserve">לפי </w:t>
      </w:r>
      <w:r w:rsidRPr="00C34AF5" w:rsidR="007A3980">
        <w:rPr>
          <w:rtl/>
        </w:rPr>
        <w:t xml:space="preserve">המאפיינים של אוכלוסיית הנישומים, </w:t>
      </w:r>
      <w:r w:rsidRPr="00C34AF5" w:rsidR="007A3980">
        <w:rPr>
          <w:rFonts w:hint="cs"/>
          <w:rtl/>
        </w:rPr>
        <w:t>ובייחוד</w:t>
      </w:r>
      <w:r w:rsidRPr="00C34AF5" w:rsidR="007A3980">
        <w:rPr>
          <w:rtl/>
        </w:rPr>
        <w:t xml:space="preserve"> מידת הציות של האוכלוסייה הרלוונטית לחוקי המס. </w:t>
      </w:r>
      <w:r w:rsidRPr="00C34AF5" w:rsidR="007A3980">
        <w:rPr>
          <w:rFonts w:hint="cs"/>
          <w:rtl/>
        </w:rPr>
        <w:t>ב</w:t>
      </w:r>
      <w:r w:rsidRPr="00C34AF5" w:rsidR="007A3980">
        <w:rPr>
          <w:rtl/>
        </w:rPr>
        <w:t xml:space="preserve">ביקורת עלה כי כל חוקר מבצע </w:t>
      </w:r>
      <w:r w:rsidRPr="00C34AF5" w:rsidR="007A3980">
        <w:rPr>
          <w:rFonts w:hint="cs"/>
          <w:rtl/>
        </w:rPr>
        <w:t>חקירה ב</w:t>
      </w:r>
      <w:r w:rsidRPr="00C34AF5" w:rsidR="007A3980">
        <w:rPr>
          <w:rtl/>
        </w:rPr>
        <w:t>כחמישה תיקי חקירות מס הכנסה בשנה</w:t>
      </w:r>
      <w:r w:rsidRPr="00AF3B73">
        <w:rPr>
          <w:rtl/>
        </w:rPr>
        <w:t>.</w:t>
      </w:r>
    </w:p>
    <w:p w:rsidR="00EB672B" w:rsidRPr="00AF3B73" w:rsidP="00EB672B" w14:paraId="61697365" w14:textId="4FB3079F">
      <w:pPr>
        <w:pStyle w:val="7317"/>
      </w:pPr>
      <w:r w:rsidRPr="007A3980">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3980" w:rsidR="007A3980">
        <w:rPr>
          <w:rStyle w:val="7371"/>
          <w:rtl/>
        </w:rPr>
        <w:t>עבודת המודיעין</w:t>
      </w:r>
      <w:r w:rsidRPr="007A3980" w:rsidR="007A3980">
        <w:rPr>
          <w:rStyle w:val="7371"/>
          <w:rFonts w:hint="cs"/>
          <w:rtl/>
        </w:rPr>
        <w:t xml:space="preserve"> </w:t>
      </w:r>
      <w:r w:rsidRPr="007A3980" w:rsidR="007A3980">
        <w:rPr>
          <w:rStyle w:val="7371"/>
          <w:rtl/>
        </w:rPr>
        <w:t>לצורך פתיחת תיקי חקירה</w:t>
      </w:r>
      <w:r w:rsidRPr="007A3980" w:rsidR="007A3980">
        <w:rPr>
          <w:rStyle w:val="7371"/>
          <w:rFonts w:hint="cs"/>
          <w:rtl/>
        </w:rPr>
        <w:t xml:space="preserve"> -</w:t>
      </w:r>
      <w:r w:rsidRPr="00C34AF5" w:rsidR="007A3980">
        <w:rPr>
          <w:rFonts w:hint="cs"/>
          <w:rtl/>
        </w:rPr>
        <w:t xml:space="preserve"> בביקורת עלה</w:t>
      </w:r>
      <w:r w:rsidRPr="00C34AF5" w:rsidR="007A3980">
        <w:rPr>
          <w:rtl/>
        </w:rPr>
        <w:t xml:space="preserve"> כי רק 12% מתיקי החקירה (14 מ</w:t>
      </w:r>
      <w:r w:rsidRPr="00C34AF5" w:rsidR="007A3980">
        <w:rPr>
          <w:rFonts w:hint="cs"/>
          <w:rtl/>
        </w:rPr>
        <w:t>-</w:t>
      </w:r>
      <w:r w:rsidRPr="00C34AF5" w:rsidR="007A3980">
        <w:rPr>
          <w:rtl/>
        </w:rPr>
        <w:t xml:space="preserve">112 תיקי חקירה) שפתחו משרדי השומה לחקירות בשנים 2019 עד 2021 </w:t>
      </w:r>
      <w:r w:rsidRPr="00C34AF5" w:rsidR="007A3980">
        <w:rPr>
          <w:rFonts w:hint="cs"/>
          <w:rtl/>
        </w:rPr>
        <w:t>נפתחו</w:t>
      </w:r>
      <w:r w:rsidRPr="00C34AF5" w:rsidR="007A3980">
        <w:rPr>
          <w:rtl/>
        </w:rPr>
        <w:t xml:space="preserve"> </w:t>
      </w:r>
      <w:r w:rsidRPr="00C34AF5" w:rsidR="007A3980">
        <w:rPr>
          <w:rFonts w:hint="cs"/>
          <w:rtl/>
        </w:rPr>
        <w:t xml:space="preserve">עקב </w:t>
      </w:r>
      <w:r w:rsidRPr="00C34AF5" w:rsidR="007A3980">
        <w:rPr>
          <w:rtl/>
        </w:rPr>
        <w:t>מידע שהגיע מיחידות המודיעין שלהם.</w:t>
      </w:r>
      <w:r w:rsidRPr="00C34AF5" w:rsidR="007A3980">
        <w:rPr>
          <w:rFonts w:hint="cs"/>
          <w:rtl/>
        </w:rPr>
        <w:t xml:space="preserve"> </w:t>
      </w:r>
      <w:r w:rsidRPr="00C34AF5" w:rsidR="007A3980">
        <w:rPr>
          <w:rtl/>
        </w:rPr>
        <w:t>ביחידות המודיעין של מס הכנסה אין תהליך של איסוף והערכה של מידע</w:t>
      </w:r>
      <w:r w:rsidRPr="00C34AF5" w:rsidR="007A3980">
        <w:rPr>
          <w:rFonts w:hint="cs"/>
          <w:rtl/>
        </w:rPr>
        <w:t>;</w:t>
      </w:r>
      <w:r w:rsidRPr="00C34AF5" w:rsidR="007A3980">
        <w:rPr>
          <w:rtl/>
        </w:rPr>
        <w:t xml:space="preserve"> אין הגדרה לגיבוש תמונת מודיעין</w:t>
      </w:r>
      <w:r w:rsidRPr="00C34AF5" w:rsidR="007A3980">
        <w:rPr>
          <w:rFonts w:hint="cs"/>
          <w:rtl/>
        </w:rPr>
        <w:t>;</w:t>
      </w:r>
      <w:r w:rsidRPr="00C34AF5" w:rsidR="007A3980">
        <w:rPr>
          <w:rtl/>
        </w:rPr>
        <w:t xml:space="preserve"> אין שיתוף פעולה של המודיעין עם המערך של משרדי </w:t>
      </w:r>
      <w:r w:rsidRPr="00C34AF5" w:rsidR="007A3980">
        <w:rPr>
          <w:rFonts w:hint="cs"/>
          <w:rtl/>
        </w:rPr>
        <w:t>ה</w:t>
      </w:r>
      <w:r w:rsidRPr="00C34AF5" w:rsidR="007A3980">
        <w:rPr>
          <w:rtl/>
        </w:rPr>
        <w:t>שומה</w:t>
      </w:r>
      <w:r w:rsidRPr="00C34AF5" w:rsidR="007A3980">
        <w:rPr>
          <w:rFonts w:hint="cs"/>
          <w:rtl/>
        </w:rPr>
        <w:t>,</w:t>
      </w:r>
      <w:r w:rsidRPr="00C34AF5" w:rsidR="007A3980">
        <w:rPr>
          <w:rtl/>
        </w:rPr>
        <w:t xml:space="preserve"> ל</w:t>
      </w:r>
      <w:r w:rsidRPr="00C34AF5" w:rsidR="007A3980">
        <w:rPr>
          <w:rFonts w:hint="cs"/>
          <w:rtl/>
        </w:rPr>
        <w:t xml:space="preserve">שם </w:t>
      </w:r>
      <w:r w:rsidRPr="00C34AF5" w:rsidR="007A3980">
        <w:rPr>
          <w:rtl/>
        </w:rPr>
        <w:t>קבלת מידע על השומות האזרחיות</w:t>
      </w:r>
      <w:r w:rsidRPr="00C34AF5" w:rsidR="007A3980">
        <w:rPr>
          <w:rFonts w:hint="cs"/>
          <w:rtl/>
        </w:rPr>
        <w:t>;</w:t>
      </w:r>
      <w:r w:rsidRPr="00C34AF5" w:rsidR="007A3980">
        <w:rPr>
          <w:rtl/>
        </w:rPr>
        <w:t xml:space="preserve"> אין תשתיות מידע ממוחשבות ההולמות את הצרכים</w:t>
      </w:r>
      <w:r w:rsidRPr="00C34AF5" w:rsidR="007A3980">
        <w:rPr>
          <w:rFonts w:hint="cs"/>
          <w:rtl/>
        </w:rPr>
        <w:t>;</w:t>
      </w:r>
      <w:r w:rsidRPr="00C34AF5" w:rsidR="007A3980">
        <w:rPr>
          <w:rtl/>
        </w:rPr>
        <w:t xml:space="preserve"> ואין נגישות למידע מודיעיני אחר ברשות המיסים. עוד העלתה הביקורת כי במשרדי השומה של החקירות באגף מס הכנסה הוקצו רק שלושה עובדים בכל משרד לאיסוף מידע גלוי מפרסומים שונים, ו</w:t>
      </w:r>
      <w:r w:rsidRPr="00C34AF5" w:rsidR="007A3980">
        <w:rPr>
          <w:rFonts w:hint="cs"/>
          <w:rtl/>
        </w:rPr>
        <w:t>עובדים אלה</w:t>
      </w:r>
      <w:r w:rsidRPr="00C34AF5" w:rsidR="007A3980">
        <w:rPr>
          <w:rtl/>
        </w:rPr>
        <w:t xml:space="preserve"> אינם עוסקים כלל בניתוח המידע.</w:t>
      </w:r>
      <w:r w:rsidRPr="00C34AF5" w:rsidR="007A3980">
        <w:rPr>
          <w:rFonts w:hint="cs"/>
          <w:rtl/>
        </w:rPr>
        <w:t xml:space="preserve"> </w:t>
      </w:r>
      <w:r w:rsidRPr="00C34AF5" w:rsidR="007A3980">
        <w:rPr>
          <w:rtl/>
        </w:rPr>
        <w:t xml:space="preserve">חוסרים אלו עלולים </w:t>
      </w:r>
      <w:r w:rsidRPr="00C34AF5" w:rsidR="007A3980">
        <w:rPr>
          <w:rFonts w:hint="cs"/>
          <w:rtl/>
        </w:rPr>
        <w:t>להביא</w:t>
      </w:r>
      <w:r w:rsidRPr="00C34AF5" w:rsidR="007A3980">
        <w:rPr>
          <w:rtl/>
        </w:rPr>
        <w:t xml:space="preserve"> לפגיעה בתמונת המודיעין הקיימת ברשות ל</w:t>
      </w:r>
      <w:r w:rsidRPr="00C34AF5" w:rsidR="007A3980">
        <w:rPr>
          <w:rFonts w:hint="cs"/>
          <w:rtl/>
        </w:rPr>
        <w:t xml:space="preserve">גבי </w:t>
      </w:r>
      <w:r w:rsidRPr="00C34AF5" w:rsidR="007A3980">
        <w:rPr>
          <w:rtl/>
        </w:rPr>
        <w:t xml:space="preserve">תיקים </w:t>
      </w:r>
      <w:r w:rsidRPr="00C34AF5" w:rsidR="007A3980">
        <w:rPr>
          <w:rFonts w:hint="cs"/>
          <w:rtl/>
        </w:rPr>
        <w:t>ש</w:t>
      </w:r>
      <w:r w:rsidRPr="00C34AF5" w:rsidR="007A3980">
        <w:rPr>
          <w:rtl/>
        </w:rPr>
        <w:t>בהם נעברו עבירות מס הכנסה</w:t>
      </w:r>
      <w:r w:rsidRPr="00AF3B73">
        <w:rPr>
          <w:rFonts w:hint="cs"/>
          <w:rtl/>
        </w:rPr>
        <w:t xml:space="preserve">. </w:t>
      </w:r>
    </w:p>
    <w:p w:rsidR="00EB672B" w:rsidRPr="00AF3B73" w:rsidP="00EB672B" w14:paraId="257CE09B" w14:textId="36B0C61A">
      <w:pPr>
        <w:pStyle w:val="7317"/>
        <w:rPr>
          <w:rtl/>
        </w:rPr>
      </w:pPr>
      <w:r w:rsidRPr="007A3980">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3980" w:rsidR="007A3980">
        <w:rPr>
          <w:rStyle w:val="7371"/>
          <w:rtl/>
        </w:rPr>
        <w:t>קביעת יעדים לחקירה</w:t>
      </w:r>
      <w:r w:rsidRPr="007A3980" w:rsidR="007A3980">
        <w:rPr>
          <w:rStyle w:val="7371"/>
          <w:rFonts w:hint="cs"/>
          <w:rtl/>
        </w:rPr>
        <w:t xml:space="preserve"> -</w:t>
      </w:r>
      <w:r w:rsidRPr="00C34AF5" w:rsidR="007A3980">
        <w:rPr>
          <w:rtl/>
        </w:rPr>
        <w:t xml:space="preserve"> </w:t>
      </w:r>
      <w:r w:rsidRPr="00C34AF5" w:rsidR="007A3980">
        <w:rPr>
          <w:rFonts w:hint="eastAsia"/>
          <w:rtl/>
        </w:rPr>
        <w:t>בביקורת</w:t>
      </w:r>
      <w:r w:rsidRPr="00C34AF5" w:rsidR="007A3980">
        <w:rPr>
          <w:rtl/>
        </w:rPr>
        <w:t xml:space="preserve"> עלה כי </w:t>
      </w:r>
      <w:r w:rsidRPr="00C34AF5" w:rsidR="007A3980">
        <w:rPr>
          <w:rFonts w:hint="cs"/>
          <w:rtl/>
        </w:rPr>
        <w:t>ב</w:t>
      </w:r>
      <w:r w:rsidRPr="00C34AF5" w:rsidR="007A3980">
        <w:rPr>
          <w:rtl/>
        </w:rPr>
        <w:t>שלוש שנים</w:t>
      </w:r>
      <w:r w:rsidRPr="00C34AF5" w:rsidR="007A3980">
        <w:rPr>
          <w:rFonts w:hint="cs"/>
          <w:rtl/>
        </w:rPr>
        <w:t xml:space="preserve"> -</w:t>
      </w:r>
      <w:r w:rsidRPr="00C34AF5" w:rsidR="007A3980">
        <w:rPr>
          <w:rtl/>
        </w:rPr>
        <w:t xml:space="preserve"> מ</w:t>
      </w:r>
      <w:r w:rsidRPr="00C34AF5" w:rsidR="007A3980">
        <w:rPr>
          <w:rFonts w:hint="cs"/>
          <w:rtl/>
        </w:rPr>
        <w:t>שנת</w:t>
      </w:r>
      <w:r w:rsidRPr="00C34AF5" w:rsidR="007A3980">
        <w:rPr>
          <w:rtl/>
        </w:rPr>
        <w:t xml:space="preserve"> </w:t>
      </w:r>
      <w:r w:rsidRPr="00C34AF5" w:rsidR="007A3980">
        <w:rPr>
          <w:rFonts w:hint="cs"/>
          <w:rtl/>
        </w:rPr>
        <w:t>2019</w:t>
      </w:r>
      <w:r w:rsidRPr="00C34AF5" w:rsidR="007A3980">
        <w:rPr>
          <w:rtl/>
        </w:rPr>
        <w:t xml:space="preserve"> עד</w:t>
      </w:r>
      <w:r w:rsidRPr="00C34AF5" w:rsidR="007A3980">
        <w:rPr>
          <w:rFonts w:hint="cs"/>
          <w:rtl/>
        </w:rPr>
        <w:t xml:space="preserve"> שנת</w:t>
      </w:r>
      <w:r w:rsidRPr="00C34AF5" w:rsidR="007A3980">
        <w:rPr>
          <w:rtl/>
        </w:rPr>
        <w:t xml:space="preserve"> </w:t>
      </w:r>
      <w:r w:rsidRPr="00C34AF5" w:rsidR="007A3980">
        <w:rPr>
          <w:rFonts w:hint="cs"/>
          <w:rtl/>
        </w:rPr>
        <w:t>2021</w:t>
      </w:r>
      <w:r w:rsidRPr="00C34AF5" w:rsidR="007A3980">
        <w:rPr>
          <w:rtl/>
        </w:rPr>
        <w:t xml:space="preserve"> </w:t>
      </w:r>
      <w:r w:rsidRPr="00C34AF5" w:rsidR="007A3980">
        <w:rPr>
          <w:rFonts w:hint="cs"/>
          <w:rtl/>
        </w:rPr>
        <w:t xml:space="preserve">- </w:t>
      </w:r>
      <w:r w:rsidRPr="00C34AF5" w:rsidR="007A3980">
        <w:rPr>
          <w:rtl/>
        </w:rPr>
        <w:t>פתחה רשות המ</w:t>
      </w:r>
      <w:r w:rsidRPr="00C34AF5" w:rsidR="007A3980">
        <w:rPr>
          <w:rFonts w:hint="cs"/>
          <w:rtl/>
        </w:rPr>
        <w:t>י</w:t>
      </w:r>
      <w:r w:rsidRPr="00C34AF5" w:rsidR="007A3980">
        <w:rPr>
          <w:rtl/>
        </w:rPr>
        <w:t xml:space="preserve">סים </w:t>
      </w:r>
      <w:r w:rsidRPr="00C34AF5" w:rsidR="007A3980">
        <w:rPr>
          <w:rFonts w:hint="cs"/>
          <w:rtl/>
        </w:rPr>
        <w:t>ב</w:t>
      </w:r>
      <w:r w:rsidRPr="00C34AF5" w:rsidR="007A3980">
        <w:rPr>
          <w:rtl/>
        </w:rPr>
        <w:t>כ-1,500 חקירות</w:t>
      </w:r>
      <w:r w:rsidRPr="00C34AF5" w:rsidR="007A3980">
        <w:rPr>
          <w:rFonts w:hint="cs"/>
          <w:rtl/>
        </w:rPr>
        <w:t>,</w:t>
      </w:r>
      <w:r w:rsidRPr="00C34AF5" w:rsidR="007A3980">
        <w:rPr>
          <w:rtl/>
        </w:rPr>
        <w:t xml:space="preserve"> </w:t>
      </w:r>
      <w:r w:rsidRPr="00C34AF5" w:rsidR="007A3980">
        <w:rPr>
          <w:rFonts w:hint="cs"/>
          <w:rtl/>
        </w:rPr>
        <w:t xml:space="preserve">אולם </w:t>
      </w:r>
      <w:r w:rsidRPr="00C34AF5" w:rsidR="007A3980">
        <w:rPr>
          <w:rtl/>
        </w:rPr>
        <w:t>ב</w:t>
      </w:r>
      <w:r w:rsidRPr="00C34AF5" w:rsidR="007A3980">
        <w:rPr>
          <w:rFonts w:hint="cs"/>
          <w:rtl/>
        </w:rPr>
        <w:t xml:space="preserve">פרק </w:t>
      </w:r>
      <w:r w:rsidRPr="00C34AF5" w:rsidR="007A3980">
        <w:rPr>
          <w:rtl/>
        </w:rPr>
        <w:t xml:space="preserve">זמן זה נסגר הטיפול </w:t>
      </w:r>
      <w:r w:rsidRPr="00C34AF5" w:rsidR="007A3980">
        <w:rPr>
          <w:rFonts w:hint="cs"/>
          <w:rtl/>
        </w:rPr>
        <w:t xml:space="preserve">בתיקים של </w:t>
      </w:r>
      <w:r w:rsidRPr="00C34AF5" w:rsidR="007A3980">
        <w:rPr>
          <w:rtl/>
        </w:rPr>
        <w:t xml:space="preserve">רק כ-16% </w:t>
      </w:r>
      <w:r w:rsidRPr="00C34AF5" w:rsidR="007A3980">
        <w:rPr>
          <w:rFonts w:hint="cs"/>
          <w:rtl/>
        </w:rPr>
        <w:t>מהן</w:t>
      </w:r>
      <w:r w:rsidRPr="00C34AF5" w:rsidR="007A3980">
        <w:rPr>
          <w:rtl/>
        </w:rPr>
        <w:t xml:space="preserve">. ביתר התיקים </w:t>
      </w:r>
      <w:r w:rsidRPr="00C34AF5" w:rsidR="007A3980">
        <w:rPr>
          <w:rFonts w:hint="cs"/>
          <w:rtl/>
        </w:rPr>
        <w:t>(</w:t>
      </w:r>
      <w:r w:rsidRPr="00C34AF5" w:rsidR="007A3980">
        <w:rPr>
          <w:rtl/>
        </w:rPr>
        <w:t>84%</w:t>
      </w:r>
      <w:r w:rsidRPr="00C34AF5" w:rsidR="007A3980">
        <w:rPr>
          <w:rFonts w:hint="cs"/>
          <w:rtl/>
        </w:rPr>
        <w:t xml:space="preserve">) </w:t>
      </w:r>
      <w:r w:rsidRPr="00C34AF5" w:rsidR="007A3980">
        <w:rPr>
          <w:rtl/>
        </w:rPr>
        <w:t xml:space="preserve">הטיפול </w:t>
      </w:r>
      <w:r w:rsidRPr="00C34AF5" w:rsidR="007A3980">
        <w:rPr>
          <w:rFonts w:hint="cs"/>
          <w:rtl/>
        </w:rPr>
        <w:t>נמשך</w:t>
      </w:r>
      <w:r w:rsidRPr="00C34AF5" w:rsidR="007A3980">
        <w:rPr>
          <w:rtl/>
        </w:rPr>
        <w:t xml:space="preserve">, הן ביחידות </w:t>
      </w:r>
      <w:r w:rsidRPr="00C34AF5" w:rsidR="007A3980">
        <w:rPr>
          <w:rFonts w:hint="cs"/>
          <w:rtl/>
        </w:rPr>
        <w:t>ה</w:t>
      </w:r>
      <w:r w:rsidRPr="00C34AF5" w:rsidR="007A3980">
        <w:rPr>
          <w:rtl/>
        </w:rPr>
        <w:t xml:space="preserve">חקירות והן בפרקליטות המדינה או במחלקה המשפטית של המכס </w:t>
      </w:r>
      <w:r w:rsidRPr="00C34AF5" w:rsidR="007A3980">
        <w:rPr>
          <w:rtl/>
        </w:rPr>
        <w:t>ומע"ם</w:t>
      </w:r>
      <w:r w:rsidRPr="00C34AF5" w:rsidR="007A3980">
        <w:rPr>
          <w:rtl/>
        </w:rPr>
        <w:t>.</w:t>
      </w:r>
      <w:r w:rsidRPr="00C34AF5" w:rsidR="007A3980">
        <w:rPr>
          <w:rFonts w:hint="cs"/>
          <w:rtl/>
        </w:rPr>
        <w:t xml:space="preserve"> </w:t>
      </w:r>
      <w:r w:rsidRPr="00C34AF5" w:rsidR="007A3980">
        <w:rPr>
          <w:rtl/>
        </w:rPr>
        <w:t xml:space="preserve">רשות המיסים לא קבעה יעדים לטיפול </w:t>
      </w:r>
      <w:r w:rsidRPr="00C34AF5" w:rsidR="007A3980">
        <w:rPr>
          <w:rtl/>
        </w:rPr>
        <w:t>של יחידות החקירות שלה בהתאם לסיכונים הקיימים באזורים שעליהם מופקדת כל יחידה</w:t>
      </w:r>
      <w:r w:rsidRPr="00C34AF5" w:rsidR="007A3980">
        <w:rPr>
          <w:rFonts w:hint="cs"/>
          <w:rtl/>
        </w:rPr>
        <w:t xml:space="preserve">. </w:t>
      </w:r>
      <w:r w:rsidRPr="00213EC9" w:rsidR="00213EC9">
        <w:rPr>
          <w:rtl/>
        </w:rPr>
        <w:t>כך נוצר מצב שבו הנהלת רשות המיסים ומטה החקירות אינם קובעים אילו תיקים יטופלו ביחידות החקירות בהתאם לסדר עדיפות שנקבע על פי ניתוח והערכה של סיכונים להעלמות מס</w:t>
      </w:r>
      <w:r w:rsidRPr="00C34AF5" w:rsidR="007A3980">
        <w:rPr>
          <w:rtl/>
        </w:rPr>
        <w:t>. במצב זה נפגעים התיאום ושיתוף הפעולה עם יחידות חקירות אחרות של הרשות</w:t>
      </w:r>
      <w:r w:rsidRPr="00C34AF5" w:rsidR="007A3980">
        <w:rPr>
          <w:rFonts w:hint="cs"/>
          <w:rtl/>
        </w:rPr>
        <w:t>,</w:t>
      </w:r>
      <w:r w:rsidRPr="00C34AF5" w:rsidR="007A3980">
        <w:rPr>
          <w:rtl/>
        </w:rPr>
        <w:t xml:space="preserve"> ולא ניתן לקיים מכפילי כוח לעבודה מסודרת ומכוונת </w:t>
      </w:r>
      <w:r w:rsidRPr="00C34AF5" w:rsidR="007A3980">
        <w:rPr>
          <w:rFonts w:hint="cs"/>
          <w:rtl/>
        </w:rPr>
        <w:t>לגבי</w:t>
      </w:r>
      <w:r w:rsidRPr="00C34AF5" w:rsidR="007A3980">
        <w:rPr>
          <w:rtl/>
        </w:rPr>
        <w:t xml:space="preserve"> יעדים שבהם יש חשדות לביצוע עבירות מס</w:t>
      </w:r>
      <w:r w:rsidRPr="00C34AF5" w:rsidR="007A3980">
        <w:rPr>
          <w:rFonts w:hint="cs"/>
          <w:rtl/>
        </w:rPr>
        <w:t xml:space="preserve">. בביקורת עלה כי </w:t>
      </w:r>
      <w:r w:rsidRPr="00C34AF5" w:rsidR="007A3980">
        <w:rPr>
          <w:rtl/>
        </w:rPr>
        <w:t xml:space="preserve">בקרוב למחצית התיקים שנחקרו הנישומים נחשדו בעבירות מס בסכומים </w:t>
      </w:r>
      <w:r w:rsidRPr="00C34AF5" w:rsidR="007A3980">
        <w:rPr>
          <w:rFonts w:hint="cs"/>
          <w:rtl/>
        </w:rPr>
        <w:t>הגדולים</w:t>
      </w:r>
      <w:r w:rsidRPr="00C34AF5" w:rsidR="007A3980">
        <w:rPr>
          <w:rtl/>
        </w:rPr>
        <w:t xml:space="preserve"> משלושה מיליון ש"ח, </w:t>
      </w:r>
      <w:r w:rsidRPr="00C34AF5" w:rsidR="007A3980">
        <w:rPr>
          <w:rFonts w:hint="cs"/>
          <w:rtl/>
        </w:rPr>
        <w:t xml:space="preserve">עוד </w:t>
      </w:r>
      <w:r w:rsidRPr="00C34AF5" w:rsidR="007A3980">
        <w:rPr>
          <w:rtl/>
        </w:rPr>
        <w:t>כשליש נחשדו בעבירות מס בסכומים ש</w:t>
      </w:r>
      <w:r w:rsidRPr="00C34AF5" w:rsidR="007A3980">
        <w:rPr>
          <w:rFonts w:hint="cs"/>
          <w:rtl/>
        </w:rPr>
        <w:t>ל</w:t>
      </w:r>
      <w:r w:rsidRPr="00C34AF5" w:rsidR="007A3980">
        <w:rPr>
          <w:rtl/>
        </w:rPr>
        <w:t xml:space="preserve"> מיליון </w:t>
      </w:r>
      <w:r w:rsidRPr="00C34AF5" w:rsidR="007A3980">
        <w:rPr>
          <w:rFonts w:hint="cs"/>
          <w:rtl/>
        </w:rPr>
        <w:t xml:space="preserve">עד </w:t>
      </w:r>
      <w:r w:rsidRPr="00C34AF5" w:rsidR="007A3980">
        <w:rPr>
          <w:rtl/>
        </w:rPr>
        <w:t>שלושה מיליון ש"ח</w:t>
      </w:r>
      <w:r w:rsidRPr="00C34AF5" w:rsidR="007A3980">
        <w:rPr>
          <w:rFonts w:hint="cs"/>
          <w:rtl/>
        </w:rPr>
        <w:t>,</w:t>
      </w:r>
      <w:r w:rsidRPr="00C34AF5" w:rsidR="007A3980">
        <w:rPr>
          <w:rtl/>
        </w:rPr>
        <w:t xml:space="preserve"> וכ-21% </w:t>
      </w:r>
      <w:r w:rsidRPr="00C34AF5" w:rsidR="007A3980">
        <w:rPr>
          <w:rFonts w:hint="cs"/>
          <w:rtl/>
        </w:rPr>
        <w:t xml:space="preserve">מהתיקים </w:t>
      </w:r>
      <w:r w:rsidRPr="00C34AF5" w:rsidR="007A3980">
        <w:rPr>
          <w:rtl/>
        </w:rPr>
        <w:t xml:space="preserve">היו בסכומים </w:t>
      </w:r>
      <w:r w:rsidRPr="00C34AF5" w:rsidR="007A3980">
        <w:rPr>
          <w:rFonts w:hint="cs"/>
          <w:rtl/>
        </w:rPr>
        <w:t>של פחות</w:t>
      </w:r>
      <w:r w:rsidRPr="00C34AF5" w:rsidR="007A3980">
        <w:rPr>
          <w:rtl/>
        </w:rPr>
        <w:t xml:space="preserve"> </w:t>
      </w:r>
      <w:r w:rsidRPr="00C34AF5" w:rsidR="007A3980">
        <w:rPr>
          <w:rFonts w:hint="cs"/>
          <w:rtl/>
        </w:rPr>
        <w:t>מ</w:t>
      </w:r>
      <w:r w:rsidRPr="00C34AF5" w:rsidR="007A3980">
        <w:rPr>
          <w:rtl/>
        </w:rPr>
        <w:t>מיליון ש"ח</w:t>
      </w:r>
      <w:r w:rsidRPr="00AF3B73">
        <w:rPr>
          <w:rFonts w:hint="cs"/>
          <w:rtl/>
        </w:rPr>
        <w:t>.</w:t>
      </w:r>
    </w:p>
    <w:p w:rsidR="00EB672B" w:rsidRPr="00AF3B73" w:rsidP="00EB672B" w14:paraId="42C157E6" w14:textId="59B1D84B">
      <w:pPr>
        <w:pStyle w:val="7317"/>
      </w:pPr>
      <w:r w:rsidRPr="007A3980">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3980" w:rsidR="007A3980">
        <w:rPr>
          <w:rStyle w:val="7371"/>
          <w:rtl/>
        </w:rPr>
        <w:t xml:space="preserve">הגבלת זמני </w:t>
      </w:r>
      <w:r w:rsidRPr="007A3980" w:rsidR="007A3980">
        <w:rPr>
          <w:rStyle w:val="7371"/>
          <w:rFonts w:hint="cs"/>
          <w:rtl/>
        </w:rPr>
        <w:t>ה</w:t>
      </w:r>
      <w:r w:rsidRPr="007A3980" w:rsidR="007A3980">
        <w:rPr>
          <w:rStyle w:val="7371"/>
          <w:rtl/>
        </w:rPr>
        <w:t>חקירה</w:t>
      </w:r>
      <w:r w:rsidRPr="007A3980" w:rsidR="007A3980">
        <w:rPr>
          <w:rStyle w:val="7371"/>
          <w:rFonts w:hint="cs"/>
          <w:rtl/>
        </w:rPr>
        <w:t xml:space="preserve"> </w:t>
      </w:r>
      <w:r w:rsidRPr="007A3980" w:rsidR="007A3980">
        <w:rPr>
          <w:rStyle w:val="7371"/>
          <w:rtl/>
        </w:rPr>
        <w:t>-</w:t>
      </w:r>
      <w:r w:rsidRPr="00C34AF5" w:rsidR="007A3980">
        <w:rPr>
          <w:rtl/>
        </w:rPr>
        <w:t xml:space="preserve"> בינואר 2019 אושר במליאת הכנסת תיקון מס' 87 לחוק סדר הדין הפלילי [נוסח משולב], התשמ"ב-1982</w:t>
      </w:r>
      <w:r w:rsidRPr="00C34AF5" w:rsidR="007A3980">
        <w:rPr>
          <w:rFonts w:hint="cs"/>
          <w:rtl/>
        </w:rPr>
        <w:t>,</w:t>
      </w:r>
      <w:r w:rsidRPr="00C34AF5" w:rsidR="007A3980">
        <w:rPr>
          <w:rtl/>
        </w:rPr>
        <w:t xml:space="preserve"> </w:t>
      </w:r>
      <w:r w:rsidRPr="00C34AF5" w:rsidR="007A3980">
        <w:rPr>
          <w:rFonts w:hint="cs"/>
          <w:rtl/>
        </w:rPr>
        <w:t>ו</w:t>
      </w:r>
      <w:r w:rsidRPr="00C34AF5" w:rsidR="007A3980">
        <w:rPr>
          <w:rFonts w:hint="eastAsia"/>
          <w:rtl/>
        </w:rPr>
        <w:t>בו</w:t>
      </w:r>
      <w:r w:rsidRPr="00C34AF5" w:rsidR="007A3980">
        <w:rPr>
          <w:rtl/>
        </w:rPr>
        <w:t xml:space="preserve"> </w:t>
      </w:r>
      <w:r w:rsidRPr="00C34AF5" w:rsidR="007A3980">
        <w:rPr>
          <w:rFonts w:hint="eastAsia"/>
          <w:rtl/>
        </w:rPr>
        <w:t>נקבע</w:t>
      </w:r>
      <w:r w:rsidRPr="00C34AF5" w:rsidR="007A3980">
        <w:rPr>
          <w:rtl/>
        </w:rPr>
        <w:t xml:space="preserve"> </w:t>
      </w:r>
      <w:r w:rsidRPr="00C34AF5" w:rsidR="007A3980">
        <w:rPr>
          <w:rFonts w:hint="eastAsia"/>
          <w:rtl/>
        </w:rPr>
        <w:t>בין</w:t>
      </w:r>
      <w:r w:rsidRPr="00C34AF5" w:rsidR="007A3980">
        <w:rPr>
          <w:rtl/>
        </w:rPr>
        <w:t xml:space="preserve"> </w:t>
      </w:r>
      <w:r w:rsidRPr="00C34AF5" w:rsidR="007A3980">
        <w:rPr>
          <w:rFonts w:hint="eastAsia"/>
          <w:rtl/>
        </w:rPr>
        <w:t>היתר</w:t>
      </w:r>
      <w:r w:rsidRPr="00C34AF5" w:rsidR="007A3980">
        <w:rPr>
          <w:rtl/>
        </w:rPr>
        <w:t xml:space="preserve"> כי יש לקצוב תקופות מרביות </w:t>
      </w:r>
      <w:r w:rsidRPr="00C34AF5" w:rsidR="007A3980">
        <w:rPr>
          <w:rFonts w:hint="cs"/>
          <w:rtl/>
        </w:rPr>
        <w:t>ש</w:t>
      </w:r>
      <w:r w:rsidRPr="00C34AF5" w:rsidR="007A3980">
        <w:rPr>
          <w:rtl/>
        </w:rPr>
        <w:t>ל</w:t>
      </w:r>
      <w:r w:rsidRPr="00C34AF5" w:rsidR="007A3980">
        <w:rPr>
          <w:rFonts w:hint="cs"/>
          <w:rtl/>
        </w:rPr>
        <w:t xml:space="preserve"> </w:t>
      </w:r>
      <w:r w:rsidRPr="00C34AF5" w:rsidR="007A3980">
        <w:rPr>
          <w:rtl/>
        </w:rPr>
        <w:t>משך הליכי חקירה ו</w:t>
      </w:r>
      <w:r w:rsidRPr="00C34AF5" w:rsidR="007A3980">
        <w:rPr>
          <w:rFonts w:hint="cs"/>
          <w:rtl/>
        </w:rPr>
        <w:t>ש</w:t>
      </w:r>
      <w:r w:rsidRPr="00C34AF5" w:rsidR="007A3980">
        <w:rPr>
          <w:rtl/>
        </w:rPr>
        <w:t>ל</w:t>
      </w:r>
      <w:r w:rsidRPr="00C34AF5" w:rsidR="007A3980">
        <w:rPr>
          <w:rFonts w:hint="cs"/>
          <w:rtl/>
        </w:rPr>
        <w:t xml:space="preserve"> </w:t>
      </w:r>
      <w:r w:rsidRPr="00C34AF5" w:rsidR="007A3980">
        <w:rPr>
          <w:rtl/>
        </w:rPr>
        <w:t>טיפול בתיק עד להגשת כתב אישום. בהתאם</w:t>
      </w:r>
      <w:r w:rsidRPr="00C34AF5" w:rsidR="007A3980">
        <w:rPr>
          <w:rFonts w:hint="cs"/>
          <w:rtl/>
        </w:rPr>
        <w:t xml:space="preserve"> לכך</w:t>
      </w:r>
      <w:r w:rsidRPr="00C34AF5" w:rsidR="007A3980">
        <w:rPr>
          <w:rtl/>
        </w:rPr>
        <w:t xml:space="preserve"> נקבע בנוהל </w:t>
      </w:r>
      <w:r w:rsidRPr="00C34AF5" w:rsidR="007A3980">
        <w:rPr>
          <w:rFonts w:hint="cs"/>
          <w:rtl/>
        </w:rPr>
        <w:t xml:space="preserve">של רשות המיסים בעניין </w:t>
      </w:r>
      <w:r w:rsidRPr="00C34AF5" w:rsidR="007A3980">
        <w:rPr>
          <w:rtl/>
        </w:rPr>
        <w:t>זמן חקיר</w:t>
      </w:r>
      <w:r w:rsidRPr="00C34AF5" w:rsidR="007A3980">
        <w:rPr>
          <w:rFonts w:hint="cs"/>
          <w:rtl/>
        </w:rPr>
        <w:t>ת חשודים</w:t>
      </w:r>
      <w:r w:rsidRPr="00C34AF5" w:rsidR="007A3980">
        <w:rPr>
          <w:rtl/>
        </w:rPr>
        <w:t xml:space="preserve"> שחקירה </w:t>
      </w:r>
      <w:r w:rsidRPr="00C34AF5" w:rsidR="007A3980">
        <w:rPr>
          <w:rFonts w:hint="cs"/>
          <w:rtl/>
        </w:rPr>
        <w:t>ת</w:t>
      </w:r>
      <w:r w:rsidRPr="00C34AF5" w:rsidR="007A3980">
        <w:rPr>
          <w:rtl/>
        </w:rPr>
        <w:t>תנהל במשך כשנה עד ארבע שנים</w:t>
      </w:r>
      <w:r w:rsidRPr="00C34AF5" w:rsidR="007A3980">
        <w:rPr>
          <w:rFonts w:hint="cs"/>
          <w:rtl/>
        </w:rPr>
        <w:t>,</w:t>
      </w:r>
      <w:r w:rsidRPr="00C34AF5" w:rsidR="007A3980">
        <w:rPr>
          <w:rtl/>
        </w:rPr>
        <w:t xml:space="preserve"> בהתאם לחומרת העבירה. בשנים 2019 עד 2021</w:t>
      </w:r>
      <w:r w:rsidRPr="00C34AF5" w:rsidR="007A3980">
        <w:rPr>
          <w:rFonts w:hint="cs"/>
          <w:rtl/>
        </w:rPr>
        <w:t xml:space="preserve"> </w:t>
      </w:r>
      <w:r w:rsidRPr="00C34AF5" w:rsidR="007A3980">
        <w:rPr>
          <w:rtl/>
        </w:rPr>
        <w:t xml:space="preserve">נעשו </w:t>
      </w:r>
      <w:r w:rsidRPr="00C34AF5" w:rsidR="007A3980">
        <w:rPr>
          <w:rFonts w:hint="cs"/>
          <w:rtl/>
        </w:rPr>
        <w:t xml:space="preserve">936 ו-567 חקירות </w:t>
      </w:r>
      <w:r w:rsidRPr="00C34AF5" w:rsidR="007A3980">
        <w:rPr>
          <w:rtl/>
        </w:rPr>
        <w:t xml:space="preserve">על ידי מס הכנסה ועל ידי אגף המכס </w:t>
      </w:r>
      <w:r w:rsidRPr="00C34AF5" w:rsidR="007A3980">
        <w:rPr>
          <w:rtl/>
        </w:rPr>
        <w:t>והמע"ם</w:t>
      </w:r>
      <w:r w:rsidRPr="00C34AF5" w:rsidR="007A3980">
        <w:rPr>
          <w:rtl/>
        </w:rPr>
        <w:t xml:space="preserve"> (בהתאמה)</w:t>
      </w:r>
      <w:r w:rsidRPr="00C34AF5" w:rsidR="007A3980">
        <w:rPr>
          <w:rFonts w:hint="cs"/>
          <w:rtl/>
        </w:rPr>
        <w:t xml:space="preserve">. </w:t>
      </w:r>
      <w:r w:rsidRPr="00C34AF5" w:rsidR="007A3980">
        <w:rPr>
          <w:rFonts w:hint="eastAsia"/>
          <w:rtl/>
        </w:rPr>
        <w:t>רק</w:t>
      </w:r>
      <w:r w:rsidRPr="00C34AF5" w:rsidR="007A3980">
        <w:rPr>
          <w:rtl/>
        </w:rPr>
        <w:t xml:space="preserve"> </w:t>
      </w:r>
      <w:r w:rsidRPr="00C34AF5" w:rsidR="007A3980">
        <w:rPr>
          <w:rFonts w:hint="eastAsia"/>
          <w:rtl/>
        </w:rPr>
        <w:t>ב</w:t>
      </w:r>
      <w:r w:rsidRPr="00C34AF5" w:rsidR="007A3980">
        <w:rPr>
          <w:rtl/>
        </w:rPr>
        <w:t xml:space="preserve">-166 (17.7%) </w:t>
      </w:r>
      <w:r w:rsidRPr="00C34AF5" w:rsidR="007A3980">
        <w:rPr>
          <w:rFonts w:hint="eastAsia"/>
          <w:rtl/>
        </w:rPr>
        <w:t>וב</w:t>
      </w:r>
      <w:r w:rsidRPr="00C34AF5" w:rsidR="007A3980">
        <w:rPr>
          <w:rtl/>
        </w:rPr>
        <w:t xml:space="preserve">-68 (12%) </w:t>
      </w:r>
      <w:r w:rsidRPr="00C34AF5" w:rsidR="007A3980">
        <w:rPr>
          <w:rFonts w:hint="eastAsia"/>
          <w:rtl/>
        </w:rPr>
        <w:t>תיקים</w:t>
      </w:r>
      <w:r w:rsidRPr="00C34AF5" w:rsidR="007A3980">
        <w:rPr>
          <w:rtl/>
        </w:rPr>
        <w:t xml:space="preserve"> </w:t>
      </w:r>
      <w:r w:rsidRPr="00C34AF5" w:rsidR="007A3980">
        <w:rPr>
          <w:rFonts w:hint="eastAsia"/>
          <w:rtl/>
        </w:rPr>
        <w:t>מתוכם</w:t>
      </w:r>
      <w:r w:rsidRPr="00C34AF5" w:rsidR="007A3980">
        <w:rPr>
          <w:rtl/>
        </w:rPr>
        <w:t xml:space="preserve"> </w:t>
      </w:r>
      <w:r w:rsidRPr="00C34AF5" w:rsidR="007A3980">
        <w:rPr>
          <w:rFonts w:hint="eastAsia"/>
          <w:rtl/>
        </w:rPr>
        <w:t>הטיפול</w:t>
      </w:r>
      <w:r w:rsidRPr="00C34AF5" w:rsidR="007A3980">
        <w:rPr>
          <w:rtl/>
        </w:rPr>
        <w:t xml:space="preserve"> </w:t>
      </w:r>
      <w:r w:rsidRPr="00C34AF5" w:rsidR="007A3980">
        <w:rPr>
          <w:rFonts w:hint="eastAsia"/>
          <w:rtl/>
        </w:rPr>
        <w:t>הסתיים</w:t>
      </w:r>
      <w:r w:rsidRPr="00C34AF5" w:rsidR="007A3980">
        <w:rPr>
          <w:rtl/>
        </w:rPr>
        <w:t xml:space="preserve"> </w:t>
      </w:r>
      <w:r w:rsidRPr="00C34AF5" w:rsidR="007A3980">
        <w:rPr>
          <w:rFonts w:hint="eastAsia"/>
          <w:rtl/>
        </w:rPr>
        <w:t>והיתר</w:t>
      </w:r>
      <w:r w:rsidRPr="00C34AF5" w:rsidR="007A3980">
        <w:rPr>
          <w:rtl/>
        </w:rPr>
        <w:t xml:space="preserve"> </w:t>
      </w:r>
      <w:r w:rsidRPr="00C34AF5" w:rsidR="007A3980">
        <w:rPr>
          <w:rFonts w:hint="eastAsia"/>
          <w:rtl/>
        </w:rPr>
        <w:t>נמצאים</w:t>
      </w:r>
      <w:r w:rsidRPr="00C34AF5" w:rsidR="007A3980">
        <w:rPr>
          <w:rtl/>
        </w:rPr>
        <w:t xml:space="preserve"> </w:t>
      </w:r>
      <w:r w:rsidRPr="00C34AF5" w:rsidR="007A3980">
        <w:rPr>
          <w:rFonts w:hint="eastAsia"/>
          <w:rtl/>
        </w:rPr>
        <w:t>בחקירה</w:t>
      </w:r>
      <w:r w:rsidRPr="00C34AF5" w:rsidR="007A3980">
        <w:rPr>
          <w:rtl/>
        </w:rPr>
        <w:t xml:space="preserve"> </w:t>
      </w:r>
      <w:r w:rsidRPr="00C34AF5" w:rsidR="007A3980">
        <w:rPr>
          <w:rFonts w:hint="eastAsia"/>
          <w:rtl/>
        </w:rPr>
        <w:t>או</w:t>
      </w:r>
      <w:r w:rsidRPr="00C34AF5" w:rsidR="007A3980">
        <w:rPr>
          <w:rtl/>
        </w:rPr>
        <w:t xml:space="preserve"> </w:t>
      </w:r>
      <w:r w:rsidRPr="00C34AF5" w:rsidR="007A3980">
        <w:rPr>
          <w:rFonts w:hint="eastAsia"/>
          <w:rtl/>
        </w:rPr>
        <w:t>בהכנה</w:t>
      </w:r>
      <w:r w:rsidRPr="00C34AF5" w:rsidR="007A3980">
        <w:rPr>
          <w:rtl/>
        </w:rPr>
        <w:t xml:space="preserve"> </w:t>
      </w:r>
      <w:r w:rsidRPr="00C34AF5" w:rsidR="007A3980">
        <w:rPr>
          <w:rFonts w:hint="eastAsia"/>
          <w:rtl/>
        </w:rPr>
        <w:t>להגשת</w:t>
      </w:r>
      <w:r w:rsidRPr="00C34AF5" w:rsidR="007A3980">
        <w:rPr>
          <w:rtl/>
        </w:rPr>
        <w:t xml:space="preserve"> </w:t>
      </w:r>
      <w:r w:rsidRPr="00C34AF5" w:rsidR="007A3980">
        <w:rPr>
          <w:rFonts w:hint="eastAsia"/>
          <w:rtl/>
        </w:rPr>
        <w:t>כתב</w:t>
      </w:r>
      <w:r w:rsidRPr="00C34AF5" w:rsidR="007A3980">
        <w:rPr>
          <w:rtl/>
        </w:rPr>
        <w:t xml:space="preserve"> </w:t>
      </w:r>
      <w:r w:rsidRPr="00C34AF5" w:rsidR="007A3980">
        <w:rPr>
          <w:rFonts w:hint="eastAsia"/>
          <w:rtl/>
        </w:rPr>
        <w:t>אישום</w:t>
      </w:r>
      <w:r w:rsidRPr="00D96C8F" w:rsidR="007A3980">
        <w:rPr>
          <w:rFonts w:hint="cs"/>
          <w:rtl/>
        </w:rPr>
        <w:t xml:space="preserve">. </w:t>
      </w:r>
      <w:r w:rsidRPr="00C34AF5" w:rsidR="007A3980">
        <w:rPr>
          <w:rFonts w:hint="eastAsia"/>
          <w:rtl/>
        </w:rPr>
        <w:t>נמצא</w:t>
      </w:r>
      <w:r w:rsidRPr="00C34AF5" w:rsidR="007A3980">
        <w:rPr>
          <w:rtl/>
        </w:rPr>
        <w:t xml:space="preserve"> </w:t>
      </w:r>
      <w:r w:rsidRPr="00C34AF5" w:rsidR="007A3980">
        <w:rPr>
          <w:rFonts w:hint="eastAsia"/>
          <w:rtl/>
        </w:rPr>
        <w:t>כי</w:t>
      </w:r>
      <w:r w:rsidRPr="00C34AF5" w:rsidR="007A3980">
        <w:rPr>
          <w:rtl/>
        </w:rPr>
        <w:t xml:space="preserve"> ברשות המיסים </w:t>
      </w:r>
      <w:r w:rsidRPr="00C34AF5" w:rsidR="007A3980">
        <w:rPr>
          <w:rFonts w:hint="eastAsia"/>
          <w:rtl/>
        </w:rPr>
        <w:t>אין</w:t>
      </w:r>
      <w:r w:rsidRPr="00C34AF5" w:rsidR="007A3980">
        <w:rPr>
          <w:rtl/>
        </w:rPr>
        <w:t xml:space="preserve"> תהליכים מסודרים של מעקב ובקרה </w:t>
      </w:r>
      <w:r w:rsidRPr="00C34AF5" w:rsidR="007A3980">
        <w:rPr>
          <w:rFonts w:hint="cs"/>
          <w:rtl/>
        </w:rPr>
        <w:t>לגבי</w:t>
      </w:r>
      <w:r w:rsidRPr="00C34AF5" w:rsidR="007A3980">
        <w:rPr>
          <w:rtl/>
        </w:rPr>
        <w:t xml:space="preserve"> משך זמן הטיפול בתיקי החקירות</w:t>
      </w:r>
      <w:r w:rsidRPr="00C34AF5" w:rsidR="007A3980">
        <w:rPr>
          <w:rFonts w:hint="cs"/>
          <w:rtl/>
        </w:rPr>
        <w:t>,</w:t>
      </w:r>
      <w:r w:rsidRPr="00C34AF5" w:rsidR="007A3980">
        <w:rPr>
          <w:rtl/>
        </w:rPr>
        <w:t xml:space="preserve"> ולכן לא ניתן לדעת, </w:t>
      </w:r>
      <w:r w:rsidRPr="00C34AF5" w:rsidR="007A3980">
        <w:rPr>
          <w:rFonts w:hint="eastAsia"/>
          <w:rtl/>
        </w:rPr>
        <w:t>על</w:t>
      </w:r>
      <w:r w:rsidRPr="00C34AF5" w:rsidR="007A3980">
        <w:rPr>
          <w:rtl/>
        </w:rPr>
        <w:t xml:space="preserve"> </w:t>
      </w:r>
      <w:r w:rsidRPr="00C34AF5" w:rsidR="007A3980">
        <w:rPr>
          <w:rFonts w:hint="eastAsia"/>
          <w:rtl/>
        </w:rPr>
        <w:t>פי</w:t>
      </w:r>
      <w:r w:rsidRPr="00C34AF5" w:rsidR="007A3980">
        <w:rPr>
          <w:rtl/>
        </w:rPr>
        <w:t xml:space="preserve"> </w:t>
      </w:r>
      <w:r w:rsidRPr="00C34AF5" w:rsidR="007A3980">
        <w:rPr>
          <w:rFonts w:hint="eastAsia"/>
          <w:rtl/>
        </w:rPr>
        <w:t>הרישום</w:t>
      </w:r>
      <w:r w:rsidRPr="00C34AF5" w:rsidR="007A3980">
        <w:rPr>
          <w:rtl/>
        </w:rPr>
        <w:t xml:space="preserve"> </w:t>
      </w:r>
      <w:r w:rsidRPr="00C34AF5" w:rsidR="007A3980">
        <w:rPr>
          <w:rFonts w:hint="eastAsia"/>
          <w:rtl/>
        </w:rPr>
        <w:t>במערכת</w:t>
      </w:r>
      <w:r w:rsidRPr="00C34AF5" w:rsidR="007A3980">
        <w:rPr>
          <w:rtl/>
        </w:rPr>
        <w:t xml:space="preserve"> </w:t>
      </w:r>
      <w:r w:rsidRPr="00C34AF5" w:rsidR="007A3980">
        <w:rPr>
          <w:rFonts w:hint="eastAsia"/>
          <w:rtl/>
        </w:rPr>
        <w:t>הממוחשבת</w:t>
      </w:r>
      <w:r w:rsidRPr="00C34AF5" w:rsidR="007A3980">
        <w:rPr>
          <w:rtl/>
        </w:rPr>
        <w:t xml:space="preserve"> מה</w:t>
      </w:r>
      <w:r w:rsidRPr="00C34AF5" w:rsidR="007A3980">
        <w:rPr>
          <w:rFonts w:hint="cs"/>
          <w:rtl/>
        </w:rPr>
        <w:t xml:space="preserve"> ה</w:t>
      </w:r>
      <w:r w:rsidRPr="00C34AF5" w:rsidR="007A3980">
        <w:rPr>
          <w:rtl/>
        </w:rPr>
        <w:t>ו</w:t>
      </w:r>
      <w:r w:rsidRPr="00C34AF5" w:rsidR="007A3980">
        <w:rPr>
          <w:rFonts w:hint="cs"/>
          <w:rtl/>
        </w:rPr>
        <w:t>א</w:t>
      </w:r>
      <w:r w:rsidRPr="00C34AF5" w:rsidR="007A3980">
        <w:rPr>
          <w:rtl/>
        </w:rPr>
        <w:t xml:space="preserve"> סטטוס הטיפול בתיקים ל</w:t>
      </w:r>
      <w:r w:rsidRPr="00C34AF5" w:rsidR="007A3980">
        <w:rPr>
          <w:rFonts w:hint="cs"/>
          <w:rtl/>
        </w:rPr>
        <w:t xml:space="preserve">עומת </w:t>
      </w:r>
      <w:r w:rsidRPr="00C34AF5" w:rsidR="007A3980">
        <w:rPr>
          <w:rtl/>
        </w:rPr>
        <w:t>מגבלות ההתיישנות שנקבעו, וכמה תיקים נסגרו מחמת התיישנות</w:t>
      </w:r>
      <w:r w:rsidRPr="00AF3B73">
        <w:rPr>
          <w:rFonts w:hint="cs"/>
          <w:rtl/>
        </w:rPr>
        <w:t xml:space="preserve">. </w:t>
      </w:r>
    </w:p>
    <w:p w:rsidR="00EB672B" w:rsidRPr="00AF3B73" w:rsidP="00EB672B" w14:paraId="0E55F83C" w14:textId="1408FE7E">
      <w:pPr>
        <w:pStyle w:val="7317"/>
      </w:pPr>
      <w:r w:rsidRPr="007A3980">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3980" w:rsidR="007A3980">
        <w:rPr>
          <w:rStyle w:val="7371"/>
          <w:rFonts w:hint="cs"/>
          <w:rtl/>
        </w:rPr>
        <w:t>היקף ה</w:t>
      </w:r>
      <w:r w:rsidRPr="007A3980" w:rsidR="007A3980">
        <w:rPr>
          <w:rStyle w:val="7371"/>
          <w:rFonts w:hint="eastAsia"/>
          <w:rtl/>
        </w:rPr>
        <w:t>חקירות</w:t>
      </w:r>
      <w:r w:rsidRPr="007A3980" w:rsidR="007A3980">
        <w:rPr>
          <w:rStyle w:val="7371"/>
          <w:rtl/>
        </w:rPr>
        <w:t xml:space="preserve"> בתחום </w:t>
      </w:r>
      <w:r w:rsidRPr="007A3980" w:rsidR="007A3980">
        <w:rPr>
          <w:rStyle w:val="7371"/>
          <w:rFonts w:hint="cs"/>
          <w:rtl/>
        </w:rPr>
        <w:t>ה</w:t>
      </w:r>
      <w:r w:rsidRPr="007A3980" w:rsidR="007A3980">
        <w:rPr>
          <w:rStyle w:val="7371"/>
          <w:rtl/>
        </w:rPr>
        <w:t xml:space="preserve">מטבעות </w:t>
      </w:r>
      <w:r w:rsidRPr="007A3980" w:rsidR="007A3980">
        <w:rPr>
          <w:rStyle w:val="7371"/>
          <w:rFonts w:hint="cs"/>
          <w:rtl/>
        </w:rPr>
        <w:t>הווירטואליים</w:t>
      </w:r>
      <w:r w:rsidRPr="007A3980" w:rsidR="007A3980">
        <w:rPr>
          <w:rStyle w:val="7371"/>
          <w:rtl/>
        </w:rPr>
        <w:t xml:space="preserve"> - </w:t>
      </w:r>
      <w:r w:rsidRPr="00C34AF5" w:rsidR="007A3980">
        <w:rPr>
          <w:rFonts w:hint="eastAsia"/>
          <w:rtl/>
        </w:rPr>
        <w:t>עלה</w:t>
      </w:r>
      <w:r w:rsidRPr="00C34AF5" w:rsidR="007A3980">
        <w:rPr>
          <w:rtl/>
        </w:rPr>
        <w:t xml:space="preserve"> כי יחידת יהלום טיפלה </w:t>
      </w:r>
      <w:r w:rsidRPr="00C34AF5" w:rsidR="007A3980">
        <w:rPr>
          <w:rFonts w:hint="eastAsia"/>
          <w:rtl/>
        </w:rPr>
        <w:t>בכ</w:t>
      </w:r>
      <w:r w:rsidRPr="00C34AF5" w:rsidR="007A3980">
        <w:rPr>
          <w:rtl/>
        </w:rPr>
        <w:t xml:space="preserve">-15 תיקי חקירות בנושא זה. </w:t>
      </w:r>
      <w:r w:rsidRPr="00C34AF5" w:rsidR="007A3980">
        <w:rPr>
          <w:rFonts w:hint="eastAsia"/>
          <w:rtl/>
        </w:rPr>
        <w:t>נכון</w:t>
      </w:r>
      <w:r w:rsidRPr="00C34AF5" w:rsidR="007A3980">
        <w:rPr>
          <w:rtl/>
        </w:rPr>
        <w:t xml:space="preserve"> </w:t>
      </w:r>
      <w:r w:rsidRPr="00C34AF5" w:rsidR="007A3980">
        <w:rPr>
          <w:rFonts w:hint="eastAsia"/>
          <w:rtl/>
        </w:rPr>
        <w:t>לפברואר</w:t>
      </w:r>
      <w:r w:rsidRPr="00C34AF5" w:rsidR="007A3980">
        <w:rPr>
          <w:rtl/>
        </w:rPr>
        <w:t xml:space="preserve"> 2023, </w:t>
      </w:r>
      <w:r w:rsidRPr="00C34AF5" w:rsidR="007A3980">
        <w:rPr>
          <w:rFonts w:hint="eastAsia"/>
          <w:rtl/>
        </w:rPr>
        <w:t>מועד</w:t>
      </w:r>
      <w:r w:rsidRPr="00C34AF5" w:rsidR="007A3980">
        <w:rPr>
          <w:rtl/>
        </w:rPr>
        <w:t xml:space="preserve"> </w:t>
      </w:r>
      <w:r w:rsidRPr="00C34AF5" w:rsidR="007A3980">
        <w:rPr>
          <w:rFonts w:hint="eastAsia"/>
          <w:rtl/>
        </w:rPr>
        <w:t>סיום</w:t>
      </w:r>
      <w:r w:rsidRPr="00C34AF5" w:rsidR="007A3980">
        <w:rPr>
          <w:rtl/>
        </w:rPr>
        <w:t xml:space="preserve"> </w:t>
      </w:r>
      <w:r w:rsidRPr="00C34AF5" w:rsidR="007A3980">
        <w:rPr>
          <w:rFonts w:hint="eastAsia"/>
          <w:rtl/>
        </w:rPr>
        <w:t>הביקורת</w:t>
      </w:r>
      <w:r w:rsidRPr="00C34AF5" w:rsidR="007A3980">
        <w:rPr>
          <w:rtl/>
        </w:rPr>
        <w:t xml:space="preserve">, </w:t>
      </w:r>
      <w:r w:rsidRPr="00C34AF5" w:rsidR="007A3980">
        <w:rPr>
          <w:rFonts w:hint="eastAsia"/>
          <w:rtl/>
        </w:rPr>
        <w:t>רוב</w:t>
      </w:r>
      <w:r w:rsidRPr="00C34AF5" w:rsidR="007A3980">
        <w:rPr>
          <w:rtl/>
        </w:rPr>
        <w:t xml:space="preserve"> </w:t>
      </w:r>
      <w:r w:rsidRPr="00C34AF5" w:rsidR="007A3980">
        <w:rPr>
          <w:rFonts w:hint="eastAsia"/>
          <w:rtl/>
        </w:rPr>
        <w:t>החקירות</w:t>
      </w:r>
      <w:r w:rsidRPr="00C34AF5" w:rsidR="007A3980">
        <w:rPr>
          <w:rtl/>
        </w:rPr>
        <w:t xml:space="preserve"> </w:t>
      </w:r>
      <w:r w:rsidRPr="00C34AF5" w:rsidR="007A3980">
        <w:rPr>
          <w:rFonts w:hint="eastAsia"/>
          <w:rtl/>
        </w:rPr>
        <w:t>נמצאות</w:t>
      </w:r>
      <w:r w:rsidRPr="00C34AF5" w:rsidR="007A3980">
        <w:rPr>
          <w:rtl/>
        </w:rPr>
        <w:t xml:space="preserve"> </w:t>
      </w:r>
      <w:r w:rsidRPr="00C34AF5" w:rsidR="007A3980">
        <w:rPr>
          <w:rFonts w:hint="eastAsia"/>
          <w:rtl/>
        </w:rPr>
        <w:t>בבחינה</w:t>
      </w:r>
      <w:r w:rsidRPr="00C34AF5" w:rsidR="007A3980">
        <w:rPr>
          <w:rtl/>
        </w:rPr>
        <w:t xml:space="preserve"> </w:t>
      </w:r>
      <w:r w:rsidRPr="00C34AF5" w:rsidR="007A3980">
        <w:rPr>
          <w:rFonts w:hint="eastAsia"/>
          <w:rtl/>
        </w:rPr>
        <w:t>של</w:t>
      </w:r>
      <w:r w:rsidRPr="00C34AF5" w:rsidR="007A3980">
        <w:rPr>
          <w:rtl/>
        </w:rPr>
        <w:t xml:space="preserve"> </w:t>
      </w:r>
      <w:r w:rsidRPr="00C34AF5" w:rsidR="007A3980">
        <w:rPr>
          <w:rFonts w:hint="eastAsia"/>
          <w:rtl/>
        </w:rPr>
        <w:t>פרקליטות</w:t>
      </w:r>
      <w:r w:rsidRPr="00C34AF5" w:rsidR="007A3980">
        <w:rPr>
          <w:rtl/>
        </w:rPr>
        <w:t xml:space="preserve"> </w:t>
      </w:r>
      <w:r w:rsidRPr="00C34AF5" w:rsidR="007A3980">
        <w:rPr>
          <w:rFonts w:hint="eastAsia"/>
          <w:rtl/>
        </w:rPr>
        <w:t>המדינה</w:t>
      </w:r>
      <w:r w:rsidRPr="00C34AF5" w:rsidR="007A3980">
        <w:rPr>
          <w:rtl/>
        </w:rPr>
        <w:t xml:space="preserve"> </w:t>
      </w:r>
      <w:r w:rsidRPr="00C34AF5" w:rsidR="007A3980">
        <w:rPr>
          <w:rFonts w:hint="eastAsia"/>
          <w:rtl/>
        </w:rPr>
        <w:t>לקראת</w:t>
      </w:r>
      <w:r w:rsidRPr="00C34AF5" w:rsidR="007A3980">
        <w:rPr>
          <w:rtl/>
        </w:rPr>
        <w:t xml:space="preserve"> </w:t>
      </w:r>
      <w:r w:rsidRPr="00C34AF5" w:rsidR="007A3980">
        <w:rPr>
          <w:rFonts w:hint="eastAsia"/>
          <w:rtl/>
        </w:rPr>
        <w:t>הגשת</w:t>
      </w:r>
      <w:r w:rsidRPr="00C34AF5" w:rsidR="007A3980">
        <w:rPr>
          <w:rtl/>
        </w:rPr>
        <w:t xml:space="preserve"> </w:t>
      </w:r>
      <w:r w:rsidRPr="00C34AF5" w:rsidR="007A3980">
        <w:rPr>
          <w:rFonts w:hint="eastAsia"/>
          <w:rtl/>
        </w:rPr>
        <w:t>כתבי</w:t>
      </w:r>
      <w:r w:rsidRPr="00C34AF5" w:rsidR="007A3980">
        <w:rPr>
          <w:rtl/>
        </w:rPr>
        <w:t xml:space="preserve"> </w:t>
      </w:r>
      <w:r w:rsidRPr="00C34AF5" w:rsidR="007A3980">
        <w:rPr>
          <w:rFonts w:hint="eastAsia"/>
          <w:rtl/>
        </w:rPr>
        <w:t>אישום</w:t>
      </w:r>
      <w:r w:rsidRPr="00C34AF5" w:rsidR="007A3980">
        <w:rPr>
          <w:rtl/>
        </w:rPr>
        <w:t xml:space="preserve">. </w:t>
      </w:r>
      <w:r w:rsidRPr="00C34AF5" w:rsidR="007A3980">
        <w:rPr>
          <w:rFonts w:hint="eastAsia"/>
          <w:rtl/>
        </w:rPr>
        <w:t>טיפול</w:t>
      </w:r>
      <w:r w:rsidRPr="00C34AF5" w:rsidR="007A3980">
        <w:rPr>
          <w:rtl/>
        </w:rPr>
        <w:t xml:space="preserve"> </w:t>
      </w:r>
      <w:r w:rsidRPr="00C34AF5" w:rsidR="007A3980">
        <w:rPr>
          <w:rFonts w:hint="cs"/>
          <w:rtl/>
        </w:rPr>
        <w:t>ב</w:t>
      </w:r>
      <w:r w:rsidRPr="00C34AF5" w:rsidR="007A3980">
        <w:rPr>
          <w:rFonts w:hint="eastAsia"/>
          <w:rtl/>
        </w:rPr>
        <w:t>כ</w:t>
      </w:r>
      <w:r w:rsidRPr="00C34AF5" w:rsidR="007A3980">
        <w:rPr>
          <w:rtl/>
        </w:rPr>
        <w:t xml:space="preserve">-15 </w:t>
      </w:r>
      <w:r w:rsidRPr="00C34AF5" w:rsidR="007A3980">
        <w:rPr>
          <w:rFonts w:hint="eastAsia"/>
          <w:rtl/>
        </w:rPr>
        <w:t>תיקים</w:t>
      </w:r>
      <w:r w:rsidRPr="00C34AF5" w:rsidR="007A3980">
        <w:rPr>
          <w:rFonts w:hint="cs"/>
          <w:rtl/>
        </w:rPr>
        <w:t>,</w:t>
      </w:r>
      <w:r w:rsidRPr="00C34AF5" w:rsidR="007A3980">
        <w:rPr>
          <w:rtl/>
        </w:rPr>
        <w:t xml:space="preserve"> </w:t>
      </w:r>
      <w:r w:rsidRPr="00C34AF5" w:rsidR="007A3980">
        <w:rPr>
          <w:rFonts w:hint="cs"/>
          <w:rtl/>
        </w:rPr>
        <w:t>לעומת</w:t>
      </w:r>
      <w:r w:rsidRPr="00C34AF5" w:rsidR="007A3980">
        <w:rPr>
          <w:rtl/>
        </w:rPr>
        <w:t xml:space="preserve"> </w:t>
      </w:r>
      <w:r w:rsidRPr="00C34AF5" w:rsidR="007A3980">
        <w:rPr>
          <w:rFonts w:hint="eastAsia"/>
          <w:rtl/>
        </w:rPr>
        <w:t>אומדן</w:t>
      </w:r>
      <w:r w:rsidRPr="00C34AF5" w:rsidR="007A3980">
        <w:rPr>
          <w:rtl/>
        </w:rPr>
        <w:t xml:space="preserve"> </w:t>
      </w:r>
      <w:r w:rsidRPr="00C34AF5" w:rsidR="007A3980">
        <w:rPr>
          <w:rFonts w:hint="eastAsia"/>
          <w:rtl/>
        </w:rPr>
        <w:t>של</w:t>
      </w:r>
      <w:r w:rsidRPr="00C34AF5" w:rsidR="007A3980">
        <w:rPr>
          <w:rtl/>
        </w:rPr>
        <w:t xml:space="preserve"> 200,000 </w:t>
      </w:r>
      <w:r w:rsidRPr="00C34AF5" w:rsidR="007A3980">
        <w:rPr>
          <w:rFonts w:hint="eastAsia"/>
          <w:rtl/>
        </w:rPr>
        <w:t>ישראלים</w:t>
      </w:r>
      <w:r w:rsidRPr="00C34AF5" w:rsidR="007A3980">
        <w:rPr>
          <w:rtl/>
        </w:rPr>
        <w:t xml:space="preserve"> </w:t>
      </w:r>
      <w:r w:rsidRPr="00C34AF5" w:rsidR="007A3980">
        <w:rPr>
          <w:rFonts w:hint="cs"/>
          <w:rtl/>
        </w:rPr>
        <w:t xml:space="preserve">שהם </w:t>
      </w:r>
      <w:r w:rsidRPr="00C34AF5" w:rsidR="007A3980">
        <w:rPr>
          <w:rFonts w:hint="eastAsia"/>
          <w:rtl/>
        </w:rPr>
        <w:t>בעלי</w:t>
      </w:r>
      <w:r w:rsidRPr="00C34AF5" w:rsidR="007A3980">
        <w:rPr>
          <w:rtl/>
        </w:rPr>
        <w:t xml:space="preserve"> </w:t>
      </w:r>
      <w:r w:rsidRPr="00C34AF5" w:rsidR="007A3980">
        <w:rPr>
          <w:rFonts w:hint="eastAsia"/>
          <w:rtl/>
        </w:rPr>
        <w:t>נכסים</w:t>
      </w:r>
      <w:r w:rsidRPr="00C34AF5" w:rsidR="007A3980">
        <w:rPr>
          <w:rtl/>
        </w:rPr>
        <w:t xml:space="preserve"> </w:t>
      </w:r>
      <w:r w:rsidRPr="00C34AF5" w:rsidR="007A3980">
        <w:rPr>
          <w:rFonts w:hint="eastAsia"/>
          <w:rtl/>
        </w:rPr>
        <w:t>דיגיטליים</w:t>
      </w:r>
      <w:r w:rsidRPr="00C34AF5" w:rsidR="007A3980">
        <w:rPr>
          <w:rtl/>
        </w:rPr>
        <w:t xml:space="preserve">, </w:t>
      </w:r>
      <w:r w:rsidRPr="00C34AF5" w:rsidR="007A3980">
        <w:rPr>
          <w:rFonts w:hint="eastAsia"/>
          <w:rtl/>
        </w:rPr>
        <w:t>בהתאם</w:t>
      </w:r>
      <w:r w:rsidRPr="00C34AF5" w:rsidR="007A3980">
        <w:rPr>
          <w:rtl/>
        </w:rPr>
        <w:t xml:space="preserve"> </w:t>
      </w:r>
      <w:r w:rsidRPr="00C34AF5" w:rsidR="007A3980">
        <w:rPr>
          <w:rFonts w:hint="eastAsia"/>
          <w:rtl/>
        </w:rPr>
        <w:t>לדוח</w:t>
      </w:r>
      <w:r w:rsidRPr="00C34AF5" w:rsidR="007A3980">
        <w:rPr>
          <w:rtl/>
        </w:rPr>
        <w:t xml:space="preserve"> </w:t>
      </w:r>
      <w:r w:rsidRPr="00C34AF5" w:rsidR="007A3980">
        <w:rPr>
          <w:rFonts w:hint="eastAsia"/>
          <w:rtl/>
        </w:rPr>
        <w:t>הכלכלנית</w:t>
      </w:r>
      <w:r w:rsidRPr="00C34AF5" w:rsidR="007A3980">
        <w:rPr>
          <w:rtl/>
        </w:rPr>
        <w:t xml:space="preserve"> </w:t>
      </w:r>
      <w:r w:rsidRPr="00C34AF5" w:rsidR="007A3980">
        <w:rPr>
          <w:rFonts w:hint="eastAsia"/>
          <w:rtl/>
        </w:rPr>
        <w:t>הראשית</w:t>
      </w:r>
      <w:r w:rsidRPr="00C34AF5" w:rsidR="007A3980">
        <w:rPr>
          <w:rtl/>
        </w:rPr>
        <w:t xml:space="preserve"> </w:t>
      </w:r>
      <w:r w:rsidRPr="00C34AF5" w:rsidR="007A3980">
        <w:rPr>
          <w:rFonts w:hint="eastAsia"/>
          <w:rtl/>
        </w:rPr>
        <w:t>מנובמבר</w:t>
      </w:r>
      <w:r w:rsidRPr="00C34AF5" w:rsidR="007A3980">
        <w:rPr>
          <w:rtl/>
        </w:rPr>
        <w:t xml:space="preserve"> 2022, </w:t>
      </w:r>
      <w:r w:rsidRPr="00C34AF5" w:rsidR="007A3980">
        <w:rPr>
          <w:rFonts w:hint="eastAsia"/>
          <w:rtl/>
        </w:rPr>
        <w:t>משקף</w:t>
      </w:r>
      <w:r w:rsidRPr="00C34AF5" w:rsidR="007A3980">
        <w:rPr>
          <w:rtl/>
        </w:rPr>
        <w:t xml:space="preserve"> </w:t>
      </w:r>
      <w:r w:rsidRPr="00C34AF5" w:rsidR="007A3980">
        <w:rPr>
          <w:rFonts w:hint="eastAsia"/>
          <w:rtl/>
        </w:rPr>
        <w:t>היקף</w:t>
      </w:r>
      <w:r w:rsidRPr="00C34AF5" w:rsidR="007A3980">
        <w:rPr>
          <w:rtl/>
        </w:rPr>
        <w:t xml:space="preserve"> </w:t>
      </w:r>
      <w:r w:rsidRPr="00C34AF5" w:rsidR="007A3980">
        <w:rPr>
          <w:rFonts w:hint="eastAsia"/>
          <w:rtl/>
        </w:rPr>
        <w:t>נמוך</w:t>
      </w:r>
      <w:r w:rsidRPr="00C34AF5" w:rsidR="007A3980">
        <w:rPr>
          <w:rtl/>
        </w:rPr>
        <w:t xml:space="preserve"> </w:t>
      </w:r>
      <w:r w:rsidRPr="00C34AF5" w:rsidR="007A3980">
        <w:rPr>
          <w:rFonts w:hint="eastAsia"/>
          <w:rtl/>
        </w:rPr>
        <w:t>ביותר</w:t>
      </w:r>
      <w:r w:rsidRPr="00C34AF5" w:rsidR="007A3980">
        <w:rPr>
          <w:rtl/>
        </w:rPr>
        <w:t xml:space="preserve"> </w:t>
      </w:r>
      <w:r w:rsidRPr="00C34AF5" w:rsidR="007A3980">
        <w:rPr>
          <w:rFonts w:hint="eastAsia"/>
          <w:rtl/>
        </w:rPr>
        <w:t>של</w:t>
      </w:r>
      <w:r w:rsidRPr="00C34AF5" w:rsidR="007A3980">
        <w:rPr>
          <w:rtl/>
        </w:rPr>
        <w:t xml:space="preserve"> </w:t>
      </w:r>
      <w:r w:rsidRPr="00C34AF5" w:rsidR="007A3980">
        <w:rPr>
          <w:rFonts w:hint="eastAsia"/>
          <w:rtl/>
        </w:rPr>
        <w:t>חקירות</w:t>
      </w:r>
      <w:r w:rsidRPr="00C34AF5" w:rsidR="007A3980">
        <w:rPr>
          <w:rtl/>
        </w:rPr>
        <w:t xml:space="preserve"> </w:t>
      </w:r>
      <w:r w:rsidRPr="00C34AF5" w:rsidR="007A3980">
        <w:rPr>
          <w:rFonts w:hint="eastAsia"/>
          <w:rtl/>
        </w:rPr>
        <w:t>בתחום</w:t>
      </w:r>
      <w:r w:rsidRPr="00C34AF5" w:rsidR="007A3980">
        <w:rPr>
          <w:rtl/>
        </w:rPr>
        <w:t xml:space="preserve"> </w:t>
      </w:r>
      <w:r w:rsidRPr="00C34AF5" w:rsidR="007A3980">
        <w:rPr>
          <w:rFonts w:hint="eastAsia"/>
          <w:rtl/>
        </w:rPr>
        <w:t>הנחשב</w:t>
      </w:r>
      <w:r w:rsidRPr="00C34AF5" w:rsidR="007A3980">
        <w:rPr>
          <w:rtl/>
        </w:rPr>
        <w:t xml:space="preserve"> </w:t>
      </w:r>
      <w:r w:rsidRPr="00C34AF5" w:rsidR="007A3980">
        <w:rPr>
          <w:rFonts w:hint="cs"/>
          <w:rtl/>
        </w:rPr>
        <w:t>לבעל</w:t>
      </w:r>
      <w:r w:rsidRPr="00C34AF5" w:rsidR="007A3980">
        <w:rPr>
          <w:rtl/>
        </w:rPr>
        <w:t xml:space="preserve"> </w:t>
      </w:r>
      <w:r w:rsidRPr="00C34AF5" w:rsidR="007A3980">
        <w:rPr>
          <w:rFonts w:hint="eastAsia"/>
          <w:rtl/>
        </w:rPr>
        <w:t>סיכון</w:t>
      </w:r>
      <w:r w:rsidRPr="00C34AF5" w:rsidR="007A3980">
        <w:rPr>
          <w:rtl/>
        </w:rPr>
        <w:t xml:space="preserve"> </w:t>
      </w:r>
      <w:r w:rsidRPr="00C34AF5" w:rsidR="007A3980">
        <w:rPr>
          <w:rFonts w:hint="eastAsia"/>
          <w:rtl/>
        </w:rPr>
        <w:t>רב</w:t>
      </w:r>
      <w:r w:rsidRPr="00C34AF5" w:rsidR="007A3980">
        <w:rPr>
          <w:rtl/>
        </w:rPr>
        <w:t xml:space="preserve"> </w:t>
      </w:r>
      <w:r w:rsidRPr="00C34AF5" w:rsidR="007A3980">
        <w:rPr>
          <w:rFonts w:hint="eastAsia"/>
          <w:rtl/>
        </w:rPr>
        <w:t>להעלמות</w:t>
      </w:r>
      <w:r w:rsidRPr="00C34AF5" w:rsidR="007A3980">
        <w:rPr>
          <w:rtl/>
        </w:rPr>
        <w:t xml:space="preserve"> </w:t>
      </w:r>
      <w:r w:rsidRPr="00C34AF5" w:rsidR="007A3980">
        <w:rPr>
          <w:rFonts w:hint="eastAsia"/>
          <w:rtl/>
        </w:rPr>
        <w:t>מס</w:t>
      </w:r>
      <w:r w:rsidRPr="00AF3B73">
        <w:rPr>
          <w:rFonts w:hint="cs"/>
          <w:rtl/>
        </w:rPr>
        <w:t xml:space="preserve">. </w:t>
      </w:r>
    </w:p>
    <w:p w:rsidR="00EB672B" w:rsidRPr="00AF3B73" w:rsidP="00EB672B" w14:paraId="1320DBEF" w14:textId="6F6569A6">
      <w:pPr>
        <w:pStyle w:val="7317"/>
        <w:rPr>
          <w:rtl/>
        </w:rPr>
      </w:pPr>
      <w:r w:rsidRPr="007A3980">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3980" w:rsidR="007A3980">
        <w:rPr>
          <w:rStyle w:val="7371"/>
          <w:rFonts w:hint="cs"/>
          <w:rtl/>
        </w:rPr>
        <w:t xml:space="preserve">מוקד מודיעין משולב </w:t>
      </w:r>
      <w:r w:rsidRPr="007A3980" w:rsidR="007A3980">
        <w:rPr>
          <w:rStyle w:val="7371"/>
          <w:rtl/>
        </w:rPr>
        <w:t>-</w:t>
      </w:r>
      <w:r w:rsidRPr="00C34AF5" w:rsidR="007A3980">
        <w:rPr>
          <w:rtl/>
        </w:rPr>
        <w:t xml:space="preserve"> </w:t>
      </w:r>
      <w:r w:rsidRPr="00213EC9" w:rsidR="007A3980">
        <w:rPr>
          <w:b/>
          <w:bCs/>
          <w:rtl/>
        </w:rPr>
        <w:t>משטרת ישראל, רשות המיסים, והרשות ל</w:t>
      </w:r>
      <w:r w:rsidR="00213EC9">
        <w:rPr>
          <w:rFonts w:hint="cs"/>
          <w:b/>
          <w:bCs/>
          <w:rtl/>
        </w:rPr>
        <w:t xml:space="preserve">איסור </w:t>
      </w:r>
      <w:r w:rsidRPr="00213EC9" w:rsidR="007A3980">
        <w:rPr>
          <w:b/>
          <w:bCs/>
          <w:rtl/>
        </w:rPr>
        <w:t>הלבנת הון</w:t>
      </w:r>
      <w:r w:rsidRPr="00213EC9" w:rsidR="007A3980">
        <w:rPr>
          <w:rFonts w:hint="cs"/>
          <w:b/>
          <w:bCs/>
          <w:rtl/>
        </w:rPr>
        <w:t xml:space="preserve"> -</w:t>
      </w:r>
      <w:r w:rsidRPr="00C34AF5" w:rsidR="007A3980">
        <w:rPr>
          <w:rFonts w:hint="cs"/>
          <w:rtl/>
        </w:rPr>
        <w:t xml:space="preserve"> </w:t>
      </w:r>
      <w:r w:rsidRPr="00C34AF5" w:rsidR="007A3980">
        <w:rPr>
          <w:rFonts w:hint="eastAsia"/>
          <w:rtl/>
        </w:rPr>
        <w:t>במרץ</w:t>
      </w:r>
      <w:r w:rsidRPr="00C34AF5" w:rsidR="007A3980">
        <w:rPr>
          <w:rtl/>
        </w:rPr>
        <w:t xml:space="preserve"> 2007 </w:t>
      </w:r>
      <w:r w:rsidRPr="00C34AF5" w:rsidR="007A3980">
        <w:rPr>
          <w:rFonts w:hint="eastAsia"/>
          <w:rtl/>
        </w:rPr>
        <w:t>הוקם</w:t>
      </w:r>
      <w:r w:rsidRPr="00C34AF5" w:rsidR="007A3980">
        <w:rPr>
          <w:rtl/>
        </w:rPr>
        <w:t xml:space="preserve"> </w:t>
      </w:r>
      <w:r w:rsidRPr="00C34AF5" w:rsidR="007A3980">
        <w:rPr>
          <w:rFonts w:hint="eastAsia"/>
          <w:rtl/>
        </w:rPr>
        <w:t>מוקד</w:t>
      </w:r>
      <w:r w:rsidRPr="00C34AF5" w:rsidR="007A3980">
        <w:rPr>
          <w:rtl/>
        </w:rPr>
        <w:t xml:space="preserve"> </w:t>
      </w:r>
      <w:r w:rsidRPr="00C34AF5" w:rsidR="007A3980">
        <w:rPr>
          <w:rFonts w:hint="eastAsia"/>
          <w:rtl/>
        </w:rPr>
        <w:t>מודיעין</w:t>
      </w:r>
      <w:r w:rsidRPr="00C34AF5" w:rsidR="007A3980">
        <w:rPr>
          <w:rtl/>
        </w:rPr>
        <w:t xml:space="preserve"> </w:t>
      </w:r>
      <w:r w:rsidRPr="00C34AF5" w:rsidR="007A3980">
        <w:rPr>
          <w:rFonts w:hint="eastAsia"/>
          <w:rtl/>
        </w:rPr>
        <w:t>משולב</w:t>
      </w:r>
      <w:r w:rsidRPr="00C34AF5" w:rsidR="007A3980">
        <w:rPr>
          <w:rtl/>
        </w:rPr>
        <w:t xml:space="preserve"> </w:t>
      </w:r>
      <w:r w:rsidRPr="00C34AF5" w:rsidR="007A3980">
        <w:rPr>
          <w:rFonts w:hint="eastAsia"/>
          <w:rtl/>
        </w:rPr>
        <w:t>שתכליתו</w:t>
      </w:r>
      <w:r w:rsidRPr="00C34AF5" w:rsidR="007A3980">
        <w:rPr>
          <w:rtl/>
        </w:rPr>
        <w:t xml:space="preserve"> </w:t>
      </w:r>
      <w:r w:rsidRPr="00C34AF5" w:rsidR="007A3980">
        <w:rPr>
          <w:rFonts w:hint="eastAsia"/>
          <w:rtl/>
        </w:rPr>
        <w:t>לשפר</w:t>
      </w:r>
      <w:r w:rsidRPr="00C34AF5" w:rsidR="007A3980">
        <w:rPr>
          <w:rtl/>
        </w:rPr>
        <w:t xml:space="preserve"> </w:t>
      </w:r>
      <w:r w:rsidRPr="00C34AF5" w:rsidR="007A3980">
        <w:rPr>
          <w:rFonts w:hint="eastAsia"/>
          <w:rtl/>
        </w:rPr>
        <w:t>את</w:t>
      </w:r>
      <w:r w:rsidRPr="00C34AF5" w:rsidR="007A3980">
        <w:rPr>
          <w:rtl/>
        </w:rPr>
        <w:t xml:space="preserve"> </w:t>
      </w:r>
      <w:r w:rsidRPr="00C34AF5" w:rsidR="007A3980">
        <w:rPr>
          <w:rFonts w:hint="eastAsia"/>
          <w:rtl/>
        </w:rPr>
        <w:t>התמונה</w:t>
      </w:r>
      <w:r w:rsidRPr="00C34AF5" w:rsidR="007A3980">
        <w:rPr>
          <w:rtl/>
        </w:rPr>
        <w:t xml:space="preserve"> </w:t>
      </w:r>
      <w:r w:rsidRPr="00C34AF5" w:rsidR="007A3980">
        <w:rPr>
          <w:rFonts w:hint="eastAsia"/>
          <w:rtl/>
        </w:rPr>
        <w:t>המודיעינית</w:t>
      </w:r>
      <w:r w:rsidRPr="00C34AF5" w:rsidR="007A3980">
        <w:rPr>
          <w:rtl/>
        </w:rPr>
        <w:t xml:space="preserve"> </w:t>
      </w:r>
      <w:r w:rsidRPr="00C34AF5" w:rsidR="007A3980">
        <w:rPr>
          <w:rFonts w:hint="eastAsia"/>
          <w:rtl/>
        </w:rPr>
        <w:t>הנוגעת</w:t>
      </w:r>
      <w:r w:rsidRPr="00C34AF5" w:rsidR="007A3980">
        <w:rPr>
          <w:rtl/>
        </w:rPr>
        <w:t xml:space="preserve"> </w:t>
      </w:r>
      <w:r w:rsidRPr="00C34AF5" w:rsidR="007A3980">
        <w:rPr>
          <w:rFonts w:hint="eastAsia"/>
          <w:rtl/>
        </w:rPr>
        <w:t>לארגוני</w:t>
      </w:r>
      <w:r w:rsidRPr="00C34AF5" w:rsidR="007A3980">
        <w:rPr>
          <w:rtl/>
        </w:rPr>
        <w:t xml:space="preserve"> </w:t>
      </w:r>
      <w:r w:rsidRPr="00C34AF5" w:rsidR="007A3980">
        <w:rPr>
          <w:rFonts w:hint="eastAsia"/>
          <w:rtl/>
        </w:rPr>
        <w:t>הפשיעה</w:t>
      </w:r>
      <w:r w:rsidRPr="00C34AF5" w:rsidR="007A3980">
        <w:rPr>
          <w:rtl/>
        </w:rPr>
        <w:t xml:space="preserve">. </w:t>
      </w:r>
      <w:r w:rsidRPr="00C34AF5" w:rsidR="007A3980">
        <w:rPr>
          <w:rFonts w:hint="eastAsia"/>
          <w:rtl/>
        </w:rPr>
        <w:t>במוקד</w:t>
      </w:r>
      <w:r w:rsidRPr="00C34AF5" w:rsidR="007A3980">
        <w:rPr>
          <w:rtl/>
        </w:rPr>
        <w:t xml:space="preserve"> </w:t>
      </w:r>
      <w:r w:rsidRPr="00C34AF5" w:rsidR="007A3980">
        <w:rPr>
          <w:rFonts w:hint="eastAsia"/>
          <w:rtl/>
        </w:rPr>
        <w:t>המודיעין</w:t>
      </w:r>
      <w:r w:rsidRPr="00C34AF5" w:rsidR="007A3980">
        <w:rPr>
          <w:rtl/>
        </w:rPr>
        <w:t xml:space="preserve"> </w:t>
      </w:r>
      <w:r w:rsidRPr="00C34AF5" w:rsidR="007A3980">
        <w:rPr>
          <w:rFonts w:hint="eastAsia"/>
          <w:rtl/>
        </w:rPr>
        <w:t>אמורים</w:t>
      </w:r>
      <w:r w:rsidRPr="00C34AF5" w:rsidR="007A3980">
        <w:rPr>
          <w:rtl/>
        </w:rPr>
        <w:t xml:space="preserve"> </w:t>
      </w:r>
      <w:r w:rsidRPr="00C34AF5" w:rsidR="007A3980">
        <w:rPr>
          <w:rFonts w:hint="cs"/>
          <w:rtl/>
        </w:rPr>
        <w:t>להיות שותפים</w:t>
      </w:r>
      <w:r w:rsidRPr="00C34AF5" w:rsidR="007A3980">
        <w:rPr>
          <w:rtl/>
        </w:rPr>
        <w:t xml:space="preserve"> </w:t>
      </w:r>
      <w:r w:rsidRPr="00C34AF5" w:rsidR="007A3980">
        <w:rPr>
          <w:rFonts w:hint="eastAsia"/>
          <w:rtl/>
        </w:rPr>
        <w:t>דרך</w:t>
      </w:r>
      <w:r w:rsidRPr="00C34AF5" w:rsidR="007A3980">
        <w:rPr>
          <w:rtl/>
        </w:rPr>
        <w:t xml:space="preserve"> </w:t>
      </w:r>
      <w:r w:rsidRPr="00C34AF5" w:rsidR="007A3980">
        <w:rPr>
          <w:rFonts w:hint="eastAsia"/>
          <w:rtl/>
        </w:rPr>
        <w:t>קבע</w:t>
      </w:r>
      <w:r w:rsidRPr="00C34AF5" w:rsidR="007A3980">
        <w:rPr>
          <w:rtl/>
        </w:rPr>
        <w:t xml:space="preserve"> </w:t>
      </w:r>
      <w:r w:rsidRPr="00C34AF5" w:rsidR="007A3980">
        <w:rPr>
          <w:rFonts w:hint="eastAsia"/>
          <w:rtl/>
        </w:rPr>
        <w:t>אנשי</w:t>
      </w:r>
      <w:r w:rsidRPr="00C34AF5" w:rsidR="007A3980">
        <w:rPr>
          <w:rtl/>
        </w:rPr>
        <w:t xml:space="preserve"> </w:t>
      </w:r>
      <w:r w:rsidRPr="00C34AF5" w:rsidR="007A3980">
        <w:rPr>
          <w:rFonts w:hint="eastAsia"/>
          <w:rtl/>
        </w:rPr>
        <w:t>משטרה</w:t>
      </w:r>
      <w:r w:rsidRPr="00C34AF5" w:rsidR="007A3980">
        <w:rPr>
          <w:rtl/>
        </w:rPr>
        <w:t xml:space="preserve">, </w:t>
      </w:r>
      <w:r w:rsidRPr="00C34AF5" w:rsidR="007A3980">
        <w:rPr>
          <w:rFonts w:hint="eastAsia"/>
          <w:rtl/>
        </w:rPr>
        <w:t>נציגי</w:t>
      </w:r>
      <w:r w:rsidRPr="00C34AF5" w:rsidR="007A3980">
        <w:rPr>
          <w:rtl/>
        </w:rPr>
        <w:t xml:space="preserve"> </w:t>
      </w:r>
      <w:r w:rsidRPr="00C34AF5" w:rsidR="007A3980">
        <w:rPr>
          <w:rFonts w:hint="eastAsia"/>
          <w:rtl/>
        </w:rPr>
        <w:t>רשות</w:t>
      </w:r>
      <w:r w:rsidRPr="00C34AF5" w:rsidR="007A3980">
        <w:rPr>
          <w:rtl/>
        </w:rPr>
        <w:t xml:space="preserve"> </w:t>
      </w:r>
      <w:r w:rsidRPr="00C34AF5" w:rsidR="007A3980">
        <w:rPr>
          <w:rFonts w:hint="eastAsia"/>
          <w:rtl/>
        </w:rPr>
        <w:t>המיסים</w:t>
      </w:r>
      <w:r w:rsidRPr="00C34AF5" w:rsidR="007A3980">
        <w:rPr>
          <w:rtl/>
        </w:rPr>
        <w:t xml:space="preserve"> </w:t>
      </w:r>
      <w:r w:rsidRPr="00C34AF5" w:rsidR="007A3980">
        <w:rPr>
          <w:rFonts w:hint="eastAsia"/>
          <w:rtl/>
        </w:rPr>
        <w:t>ו</w:t>
      </w:r>
      <w:r w:rsidRPr="00C34AF5" w:rsidR="007A3980">
        <w:rPr>
          <w:rFonts w:hint="cs"/>
          <w:rtl/>
        </w:rPr>
        <w:t xml:space="preserve">נציגי </w:t>
      </w:r>
      <w:r w:rsidRPr="00C34AF5" w:rsidR="007A3980">
        <w:rPr>
          <w:rFonts w:hint="eastAsia"/>
          <w:rtl/>
        </w:rPr>
        <w:t>הרשות</w:t>
      </w:r>
      <w:r w:rsidRPr="00C34AF5" w:rsidR="007A3980">
        <w:rPr>
          <w:rtl/>
        </w:rPr>
        <w:t xml:space="preserve"> </w:t>
      </w:r>
      <w:r w:rsidRPr="00C34AF5" w:rsidR="007A3980">
        <w:rPr>
          <w:rFonts w:hint="eastAsia"/>
          <w:rtl/>
        </w:rPr>
        <w:t>לאיסור</w:t>
      </w:r>
      <w:r w:rsidRPr="00C34AF5" w:rsidR="007A3980">
        <w:rPr>
          <w:rtl/>
        </w:rPr>
        <w:t xml:space="preserve"> </w:t>
      </w:r>
      <w:r w:rsidRPr="00C34AF5" w:rsidR="007A3980">
        <w:rPr>
          <w:rFonts w:hint="eastAsia"/>
          <w:rtl/>
        </w:rPr>
        <w:t>הלבנת</w:t>
      </w:r>
      <w:r w:rsidRPr="00C34AF5" w:rsidR="007A3980">
        <w:rPr>
          <w:rtl/>
        </w:rPr>
        <w:t xml:space="preserve"> </w:t>
      </w:r>
      <w:r w:rsidRPr="00C34AF5" w:rsidR="007A3980">
        <w:rPr>
          <w:rFonts w:hint="eastAsia"/>
          <w:rtl/>
        </w:rPr>
        <w:t>הון</w:t>
      </w:r>
      <w:r w:rsidRPr="00C34AF5" w:rsidR="007A3980">
        <w:rPr>
          <w:rtl/>
        </w:rPr>
        <w:t xml:space="preserve">, </w:t>
      </w:r>
      <w:r w:rsidRPr="00C34AF5" w:rsidR="007A3980">
        <w:rPr>
          <w:rFonts w:hint="eastAsia"/>
          <w:rtl/>
        </w:rPr>
        <w:t>ואליהם</w:t>
      </w:r>
      <w:r w:rsidRPr="00C34AF5" w:rsidR="007A3980">
        <w:rPr>
          <w:rtl/>
        </w:rPr>
        <w:t xml:space="preserve"> </w:t>
      </w:r>
      <w:r w:rsidRPr="00C34AF5" w:rsidR="007A3980">
        <w:rPr>
          <w:rFonts w:hint="eastAsia"/>
          <w:rtl/>
        </w:rPr>
        <w:t>מצטרפים</w:t>
      </w:r>
      <w:r w:rsidRPr="00C34AF5" w:rsidR="007A3980">
        <w:rPr>
          <w:rtl/>
        </w:rPr>
        <w:t xml:space="preserve"> </w:t>
      </w:r>
      <w:r w:rsidRPr="00C34AF5" w:rsidR="007A3980">
        <w:rPr>
          <w:rFonts w:hint="eastAsia"/>
          <w:rtl/>
        </w:rPr>
        <w:t>נציגי</w:t>
      </w:r>
      <w:r w:rsidRPr="00C34AF5" w:rsidR="007A3980">
        <w:rPr>
          <w:rtl/>
        </w:rPr>
        <w:t xml:space="preserve"> </w:t>
      </w:r>
      <w:r w:rsidRPr="00C34AF5" w:rsidR="007A3980">
        <w:rPr>
          <w:rFonts w:hint="eastAsia"/>
          <w:rtl/>
        </w:rPr>
        <w:t>רשויות</w:t>
      </w:r>
      <w:r w:rsidRPr="00C34AF5" w:rsidR="007A3980">
        <w:rPr>
          <w:rtl/>
        </w:rPr>
        <w:t xml:space="preserve"> </w:t>
      </w:r>
      <w:r w:rsidRPr="00C34AF5" w:rsidR="007A3980">
        <w:rPr>
          <w:rFonts w:hint="eastAsia"/>
          <w:rtl/>
        </w:rPr>
        <w:t>נוספות</w:t>
      </w:r>
      <w:r w:rsidRPr="00C34AF5" w:rsidR="007A3980">
        <w:rPr>
          <w:rtl/>
        </w:rPr>
        <w:t xml:space="preserve"> </w:t>
      </w:r>
      <w:r w:rsidRPr="00C34AF5" w:rsidR="007A3980">
        <w:rPr>
          <w:rFonts w:hint="eastAsia"/>
          <w:rtl/>
        </w:rPr>
        <w:t>כמו</w:t>
      </w:r>
      <w:r w:rsidRPr="00C34AF5" w:rsidR="007A3980">
        <w:rPr>
          <w:rtl/>
        </w:rPr>
        <w:t xml:space="preserve"> </w:t>
      </w:r>
      <w:r w:rsidRPr="00C34AF5" w:rsidR="007A3980">
        <w:rPr>
          <w:rFonts w:hint="eastAsia"/>
          <w:rtl/>
        </w:rPr>
        <w:t>פרקליטות</w:t>
      </w:r>
      <w:r w:rsidRPr="00C34AF5" w:rsidR="007A3980">
        <w:rPr>
          <w:rtl/>
        </w:rPr>
        <w:t xml:space="preserve"> </w:t>
      </w:r>
      <w:r w:rsidRPr="00C34AF5" w:rsidR="007A3980">
        <w:rPr>
          <w:rFonts w:hint="eastAsia"/>
          <w:rtl/>
        </w:rPr>
        <w:t>המדינה</w:t>
      </w:r>
      <w:r w:rsidRPr="00C34AF5" w:rsidR="007A3980">
        <w:rPr>
          <w:rtl/>
        </w:rPr>
        <w:t xml:space="preserve">, </w:t>
      </w:r>
      <w:r w:rsidRPr="00C34AF5" w:rsidR="007A3980">
        <w:rPr>
          <w:rFonts w:hint="eastAsia"/>
          <w:rtl/>
        </w:rPr>
        <w:t>המוזמנים</w:t>
      </w:r>
      <w:r w:rsidRPr="00C34AF5" w:rsidR="007A3980">
        <w:rPr>
          <w:rtl/>
        </w:rPr>
        <w:t xml:space="preserve"> </w:t>
      </w:r>
      <w:r w:rsidRPr="00C34AF5" w:rsidR="007A3980">
        <w:rPr>
          <w:rFonts w:hint="eastAsia"/>
          <w:rtl/>
        </w:rPr>
        <w:t>לפי</w:t>
      </w:r>
      <w:r w:rsidRPr="00C34AF5" w:rsidR="007A3980">
        <w:rPr>
          <w:rtl/>
        </w:rPr>
        <w:t xml:space="preserve"> </w:t>
      </w:r>
      <w:r w:rsidRPr="00C34AF5" w:rsidR="007A3980">
        <w:rPr>
          <w:rFonts w:hint="eastAsia"/>
          <w:rtl/>
        </w:rPr>
        <w:t>הצורך</w:t>
      </w:r>
      <w:r w:rsidRPr="00C34AF5" w:rsidR="007A3980">
        <w:rPr>
          <w:rFonts w:hint="cs"/>
          <w:rtl/>
        </w:rPr>
        <w:t xml:space="preserve">. </w:t>
      </w:r>
      <w:r w:rsidRPr="00C34AF5" w:rsidR="007A3980">
        <w:rPr>
          <w:rtl/>
        </w:rPr>
        <w:t xml:space="preserve">מוקד המודיעין מפיץ </w:t>
      </w:r>
      <w:r w:rsidRPr="00C34AF5" w:rsidR="007A3980">
        <w:rPr>
          <w:rFonts w:hint="cs"/>
          <w:rtl/>
        </w:rPr>
        <w:t>בכל</w:t>
      </w:r>
      <w:r w:rsidRPr="00C34AF5" w:rsidR="007A3980">
        <w:rPr>
          <w:rtl/>
        </w:rPr>
        <w:t xml:space="preserve"> שנה הודעה לגופים השותפים בהפעלתו, ובה </w:t>
      </w:r>
      <w:r w:rsidRPr="00C34AF5" w:rsidR="007A3980">
        <w:rPr>
          <w:rFonts w:hint="cs"/>
          <w:rtl/>
        </w:rPr>
        <w:t>הם מתבקשים</w:t>
      </w:r>
      <w:r w:rsidRPr="00C34AF5" w:rsidR="007A3980">
        <w:rPr>
          <w:rtl/>
        </w:rPr>
        <w:t xml:space="preserve"> לציין יעדים (עבריינים) שלגביהם יתבקש המוקד להפיק מידע מודיעיני.</w:t>
      </w:r>
      <w:r w:rsidRPr="00963A56" w:rsidR="007A3980">
        <w:rPr>
          <w:rtl/>
        </w:rPr>
        <w:t xml:space="preserve"> </w:t>
      </w:r>
      <w:r w:rsidRPr="00C34AF5" w:rsidR="007A3980">
        <w:rPr>
          <w:rtl/>
        </w:rPr>
        <w:t xml:space="preserve">מאז </w:t>
      </w:r>
      <w:r w:rsidRPr="00C34AF5" w:rsidR="007A3980">
        <w:rPr>
          <w:rFonts w:hint="cs"/>
          <w:rtl/>
        </w:rPr>
        <w:t>הוקם</w:t>
      </w:r>
      <w:r w:rsidRPr="00C34AF5" w:rsidR="007A3980">
        <w:rPr>
          <w:rtl/>
        </w:rPr>
        <w:t xml:space="preserve"> </w:t>
      </w:r>
      <w:r w:rsidRPr="00C34AF5" w:rsidR="007A3980">
        <w:rPr>
          <w:rFonts w:hint="cs"/>
          <w:rtl/>
        </w:rPr>
        <w:t>ה</w:t>
      </w:r>
      <w:r w:rsidRPr="00C34AF5" w:rsidR="007A3980">
        <w:rPr>
          <w:rtl/>
        </w:rPr>
        <w:t xml:space="preserve">מוקד לא פנו אליו יחידות החקירה של </w:t>
      </w:r>
      <w:r w:rsidRPr="00C34AF5" w:rsidR="007A3980">
        <w:rPr>
          <w:rFonts w:hint="cs"/>
          <w:rtl/>
        </w:rPr>
        <w:t>מס הכנסה</w:t>
      </w:r>
      <w:r w:rsidRPr="00C34AF5" w:rsidR="007A3980">
        <w:rPr>
          <w:rtl/>
        </w:rPr>
        <w:t xml:space="preserve"> בבקשת מידע לגבי יעדים כלשהם </w:t>
      </w:r>
      <w:r w:rsidRPr="00C34AF5" w:rsidR="007A3980">
        <w:rPr>
          <w:rFonts w:hint="cs"/>
          <w:rtl/>
        </w:rPr>
        <w:t>ה</w:t>
      </w:r>
      <w:r w:rsidRPr="00C34AF5" w:rsidR="007A3980">
        <w:rPr>
          <w:rtl/>
        </w:rPr>
        <w:t>חייבים במס או ש</w:t>
      </w:r>
      <w:r w:rsidRPr="00C34AF5" w:rsidR="007A3980">
        <w:rPr>
          <w:rFonts w:hint="cs"/>
          <w:rtl/>
        </w:rPr>
        <w:t>יחידות החקירה</w:t>
      </w:r>
      <w:r w:rsidRPr="00C34AF5" w:rsidR="007A3980">
        <w:rPr>
          <w:rtl/>
        </w:rPr>
        <w:t xml:space="preserve"> היו מעוניינות לחקור אותם</w:t>
      </w:r>
      <w:r w:rsidRPr="00AF3B73">
        <w:rPr>
          <w:rFonts w:hint="cs"/>
          <w:rtl/>
        </w:rPr>
        <w:t>.</w:t>
      </w:r>
    </w:p>
    <w:p w:rsidR="00EB672B" w:rsidP="00EB672B" w14:paraId="6EA213E6" w14:textId="2141946D">
      <w:pPr>
        <w:pStyle w:val="7317"/>
      </w:pPr>
      <w:r w:rsidRPr="007A3980">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3980" w:rsidR="007A3980">
        <w:rPr>
          <w:rStyle w:val="7371"/>
          <w:rtl/>
        </w:rPr>
        <w:t xml:space="preserve">הטיפול המשפטי בתיקי החקירות </w:t>
      </w:r>
      <w:r w:rsidRPr="007A3980" w:rsidR="007A3980">
        <w:rPr>
          <w:rStyle w:val="7371"/>
          <w:rFonts w:hint="cs"/>
          <w:rtl/>
        </w:rPr>
        <w:t>-</w:t>
      </w:r>
      <w:r w:rsidRPr="00C34AF5" w:rsidR="007A3980">
        <w:rPr>
          <w:rFonts w:hint="cs"/>
          <w:rtl/>
        </w:rPr>
        <w:t xml:space="preserve"> </w:t>
      </w:r>
      <w:r w:rsidRPr="00C34AF5" w:rsidR="007A3980">
        <w:rPr>
          <w:rtl/>
        </w:rPr>
        <w:t>על פי הנחיות היועץ המשפטי לממשלה מאוגוסט</w:t>
      </w:r>
      <w:r w:rsidRPr="00C34AF5" w:rsidR="007A3980">
        <w:rPr>
          <w:rFonts w:hint="cs"/>
          <w:rtl/>
        </w:rPr>
        <w:t xml:space="preserve"> 2010</w:t>
      </w:r>
      <w:r>
        <w:rPr>
          <w:vertAlign w:val="superscript"/>
          <w:rtl/>
        </w:rPr>
        <w:footnoteReference w:id="3"/>
      </w:r>
      <w:r w:rsidRPr="00C34AF5" w:rsidR="007A3980">
        <w:rPr>
          <w:rFonts w:hint="cs"/>
          <w:rtl/>
        </w:rPr>
        <w:t>,</w:t>
      </w:r>
      <w:r w:rsidRPr="00C34AF5" w:rsidR="007A3980">
        <w:rPr>
          <w:rtl/>
        </w:rPr>
        <w:t xml:space="preserve"> אשר עוגנו בהמשך במסגרת חקיקה, בעבירות מסוג חטא יש לפעול להגשת כתב אישום בתוך חצי שנה, בעבירות מסוג עוון </w:t>
      </w:r>
      <w:r w:rsidRPr="00C34AF5" w:rsidR="007A3980">
        <w:rPr>
          <w:rFonts w:hint="cs"/>
          <w:rtl/>
        </w:rPr>
        <w:t xml:space="preserve">- </w:t>
      </w:r>
      <w:r w:rsidRPr="00C34AF5" w:rsidR="007A3980">
        <w:rPr>
          <w:rtl/>
        </w:rPr>
        <w:t xml:space="preserve">בתוך 12 חודשים, בעבירות מסוג פשע שדינן </w:t>
      </w:r>
      <w:r w:rsidRPr="00C34AF5" w:rsidR="007A3980">
        <w:rPr>
          <w:rtl/>
        </w:rPr>
        <w:t xml:space="preserve">עד </w:t>
      </w:r>
      <w:r w:rsidRPr="00C34AF5" w:rsidR="007A3980">
        <w:rPr>
          <w:rFonts w:hint="cs"/>
          <w:rtl/>
        </w:rPr>
        <w:t>עשר</w:t>
      </w:r>
      <w:r w:rsidRPr="00C34AF5" w:rsidR="007A3980">
        <w:rPr>
          <w:rtl/>
        </w:rPr>
        <w:t xml:space="preserve"> שנות מאסר </w:t>
      </w:r>
      <w:r w:rsidRPr="00C34AF5" w:rsidR="007A3980">
        <w:rPr>
          <w:rFonts w:hint="cs"/>
          <w:rtl/>
        </w:rPr>
        <w:t>-</w:t>
      </w:r>
      <w:r w:rsidRPr="00C34AF5" w:rsidR="007A3980">
        <w:rPr>
          <w:rtl/>
        </w:rPr>
        <w:t xml:space="preserve"> בתוך 18 חודשים, בעבירות מסוג פשע שדינן </w:t>
      </w:r>
      <w:r w:rsidRPr="00C34AF5" w:rsidR="007A3980">
        <w:rPr>
          <w:rFonts w:hint="cs"/>
          <w:rtl/>
        </w:rPr>
        <w:t>עשר</w:t>
      </w:r>
      <w:r w:rsidRPr="00C34AF5" w:rsidR="007A3980">
        <w:rPr>
          <w:rtl/>
        </w:rPr>
        <w:t xml:space="preserve"> שנות מאסר ומעלה </w:t>
      </w:r>
      <w:r w:rsidRPr="00C34AF5" w:rsidR="007A3980">
        <w:rPr>
          <w:rFonts w:hint="cs"/>
          <w:rtl/>
        </w:rPr>
        <w:t xml:space="preserve">- </w:t>
      </w:r>
      <w:r w:rsidRPr="00C34AF5" w:rsidR="007A3980">
        <w:rPr>
          <w:rtl/>
        </w:rPr>
        <w:t xml:space="preserve">בתוך 24 חודשים. רוב תיקי מס הכנסה המועברים לפרקליטות הם תיקים </w:t>
      </w:r>
      <w:r w:rsidRPr="00C34AF5" w:rsidR="007A3980">
        <w:rPr>
          <w:rFonts w:hint="cs"/>
          <w:rtl/>
        </w:rPr>
        <w:t xml:space="preserve">של </w:t>
      </w:r>
      <w:r w:rsidRPr="00C34AF5" w:rsidR="007A3980">
        <w:rPr>
          <w:rtl/>
        </w:rPr>
        <w:t xml:space="preserve">עבירות מסוג פשע שדינן עד </w:t>
      </w:r>
      <w:r w:rsidRPr="00C34AF5" w:rsidR="007A3980">
        <w:rPr>
          <w:rFonts w:hint="cs"/>
          <w:rtl/>
        </w:rPr>
        <w:t>עשר</w:t>
      </w:r>
      <w:r w:rsidRPr="00C34AF5" w:rsidR="007A3980">
        <w:rPr>
          <w:rtl/>
        </w:rPr>
        <w:t xml:space="preserve"> שנות מאסר, </w:t>
      </w:r>
      <w:r w:rsidRPr="00C34AF5" w:rsidR="007A3980">
        <w:rPr>
          <w:rFonts w:hint="cs"/>
          <w:rtl/>
        </w:rPr>
        <w:t>ש</w:t>
      </w:r>
      <w:r w:rsidRPr="00C34AF5" w:rsidR="007A3980">
        <w:rPr>
          <w:rtl/>
        </w:rPr>
        <w:t xml:space="preserve">כאמור יש לפעול להגשת כתב אישום </w:t>
      </w:r>
      <w:r w:rsidRPr="00C34AF5" w:rsidR="007A3980">
        <w:rPr>
          <w:rFonts w:hint="cs"/>
          <w:rtl/>
        </w:rPr>
        <w:t xml:space="preserve">לגביהן </w:t>
      </w:r>
      <w:r w:rsidRPr="00C34AF5" w:rsidR="007A3980">
        <w:rPr>
          <w:rtl/>
        </w:rPr>
        <w:t xml:space="preserve">בתוך 18 חודשים. </w:t>
      </w:r>
      <w:r w:rsidRPr="00C34AF5" w:rsidR="007A3980">
        <w:rPr>
          <w:rFonts w:hint="cs"/>
          <w:rtl/>
        </w:rPr>
        <w:t xml:space="preserve">בביקורת עלה כי </w:t>
      </w:r>
      <w:r w:rsidRPr="00C34AF5" w:rsidR="007A3980">
        <w:rPr>
          <w:rtl/>
        </w:rPr>
        <w:t>ב</w:t>
      </w:r>
      <w:r w:rsidRPr="00C34AF5" w:rsidR="007A3980">
        <w:rPr>
          <w:rFonts w:hint="cs"/>
          <w:rtl/>
        </w:rPr>
        <w:t>-</w:t>
      </w:r>
      <w:r w:rsidRPr="00C34AF5" w:rsidR="007A3980">
        <w:rPr>
          <w:rtl/>
        </w:rPr>
        <w:t>38% מהתיקים שנבדקו</w:t>
      </w:r>
      <w:r w:rsidRPr="00C34AF5" w:rsidR="007A3980">
        <w:rPr>
          <w:rFonts w:hint="cs"/>
          <w:rtl/>
        </w:rPr>
        <w:t xml:space="preserve"> (111 מ-289) </w:t>
      </w:r>
      <w:r w:rsidRPr="00C34AF5" w:rsidR="007A3980">
        <w:rPr>
          <w:rtl/>
        </w:rPr>
        <w:t xml:space="preserve">אשר הועברו מיחידות החקירה של מס הכנסה לפרקליטות המדינה בשנים </w:t>
      </w:r>
      <w:r w:rsidRPr="00C34AF5" w:rsidR="007A3980">
        <w:rPr>
          <w:rFonts w:hint="cs"/>
          <w:rtl/>
        </w:rPr>
        <w:t xml:space="preserve">2017 </w:t>
      </w:r>
      <w:r w:rsidRPr="00C34AF5" w:rsidR="007A3980">
        <w:rPr>
          <w:rtl/>
        </w:rPr>
        <w:t>-</w:t>
      </w:r>
      <w:r w:rsidRPr="00C34AF5" w:rsidR="007A3980">
        <w:rPr>
          <w:rFonts w:hint="cs"/>
          <w:rtl/>
        </w:rPr>
        <w:t xml:space="preserve"> 2021</w:t>
      </w:r>
      <w:r w:rsidRPr="00C34AF5" w:rsidR="007A3980">
        <w:rPr>
          <w:rtl/>
        </w:rPr>
        <w:t>, משך הזמן ממועד ההעברה לפרקליטות עד להגשת כתב האישום חרג מהנחיית היועץ המשפטי</w:t>
      </w:r>
      <w:r w:rsidRPr="00C34AF5" w:rsidR="007A3980">
        <w:rPr>
          <w:rFonts w:hint="cs"/>
          <w:rtl/>
        </w:rPr>
        <w:t>, שקבעה פרק זמן של 18 חודשים</w:t>
      </w:r>
      <w:r w:rsidRPr="00C34AF5" w:rsidR="007A3980">
        <w:rPr>
          <w:rtl/>
        </w:rPr>
        <w:t xml:space="preserve"> </w:t>
      </w:r>
      <w:r w:rsidRPr="00C34AF5" w:rsidR="007A3980">
        <w:rPr>
          <w:rFonts w:hint="cs"/>
          <w:rtl/>
        </w:rPr>
        <w:t xml:space="preserve">- </w:t>
      </w:r>
      <w:r w:rsidRPr="00C34AF5" w:rsidR="007A3980">
        <w:rPr>
          <w:rtl/>
        </w:rPr>
        <w:t>ולעיתים אף הסתכם בכארבע שנים</w:t>
      </w:r>
      <w:r w:rsidRPr="00AF3B73">
        <w:rPr>
          <w:rFonts w:hint="cs"/>
          <w:rtl/>
        </w:rPr>
        <w:t xml:space="preserve">. </w:t>
      </w:r>
    </w:p>
    <w:p w:rsidR="007A3980" w:rsidP="007A3980" w14:paraId="57E96639" w14:textId="47F3CF38">
      <w:pPr>
        <w:pStyle w:val="7317"/>
        <w:rPr>
          <w:rtl/>
        </w:rPr>
      </w:pPr>
      <w:r w:rsidRPr="007A3980">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04411200" name="תמונה 70441120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1120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3980">
        <w:rPr>
          <w:rStyle w:val="7371"/>
          <w:rtl/>
        </w:rPr>
        <w:t>סגירת תיקים של צוותי חקירות משותפים</w:t>
      </w:r>
      <w:r w:rsidRPr="007A3980">
        <w:rPr>
          <w:rStyle w:val="7371"/>
          <w:rFonts w:hint="cs"/>
          <w:rtl/>
        </w:rPr>
        <w:t xml:space="preserve"> </w:t>
      </w:r>
      <w:r w:rsidRPr="007A3980">
        <w:rPr>
          <w:rStyle w:val="7371"/>
          <w:rtl/>
        </w:rPr>
        <w:t xml:space="preserve">בידי פרקליטות המדינה </w:t>
      </w:r>
      <w:r w:rsidRPr="007A3980">
        <w:rPr>
          <w:rStyle w:val="7371"/>
          <w:rFonts w:hint="cs"/>
          <w:rtl/>
        </w:rPr>
        <w:t>-</w:t>
      </w:r>
      <w:r w:rsidRPr="00C34AF5">
        <w:rPr>
          <w:rFonts w:hint="cs"/>
          <w:rtl/>
        </w:rPr>
        <w:t xml:space="preserve"> </w:t>
      </w:r>
      <w:r w:rsidRPr="00C34AF5">
        <w:rPr>
          <w:rtl/>
        </w:rPr>
        <w:t xml:space="preserve">בסיכום מיולי 2016 בין מנהל רשות המיסים לפרקליט המדינה בנושא חלוקת העבודה בין התביעה הפלילית ברשות המיסים לבין הפרקליטות, נקבע כי בתיקים שבהם קיים </w:t>
      </w:r>
      <w:r w:rsidRPr="00C34AF5">
        <w:rPr>
          <w:rFonts w:hint="cs"/>
          <w:rtl/>
        </w:rPr>
        <w:t>צוות חקירה משותף (</w:t>
      </w:r>
      <w:r w:rsidRPr="00C34AF5">
        <w:rPr>
          <w:rtl/>
        </w:rPr>
        <w:t>צח"ם</w:t>
      </w:r>
      <w:r w:rsidRPr="00C34AF5">
        <w:rPr>
          <w:rFonts w:hint="cs"/>
          <w:rtl/>
        </w:rPr>
        <w:t>)</w:t>
      </w:r>
      <w:r w:rsidRPr="00C34AF5">
        <w:rPr>
          <w:rtl/>
        </w:rPr>
        <w:t xml:space="preserve"> של כמה גורמי חקירה, "כל תיקי הלווין של תיקי </w:t>
      </w:r>
      <w:r w:rsidRPr="00C34AF5">
        <w:rPr>
          <w:rtl/>
        </w:rPr>
        <w:t>הצח"מ</w:t>
      </w:r>
      <w:r w:rsidRPr="00C34AF5">
        <w:rPr>
          <w:rtl/>
        </w:rPr>
        <w:t xml:space="preserve"> יטופלו בידי הגורם המטפל בתיק </w:t>
      </w:r>
      <w:r w:rsidRPr="00C34AF5">
        <w:rPr>
          <w:rtl/>
        </w:rPr>
        <w:t>הצח"</w:t>
      </w:r>
      <w:r w:rsidRPr="00C34AF5">
        <w:rPr>
          <w:rFonts w:hint="cs"/>
          <w:rtl/>
        </w:rPr>
        <w:t>מ</w:t>
      </w:r>
      <w:r w:rsidRPr="00C34AF5">
        <w:rPr>
          <w:rtl/>
        </w:rPr>
        <w:t xml:space="preserve"> העיקרי".</w:t>
      </w:r>
      <w:r w:rsidRPr="00C34AF5">
        <w:rPr>
          <w:rFonts w:hint="cs"/>
          <w:rtl/>
        </w:rPr>
        <w:t xml:space="preserve"> עלה כי </w:t>
      </w:r>
      <w:r w:rsidRPr="00C34AF5">
        <w:rPr>
          <w:rtl/>
        </w:rPr>
        <w:t xml:space="preserve">למרות </w:t>
      </w:r>
      <w:r w:rsidRPr="00C34AF5">
        <w:rPr>
          <w:rFonts w:hint="cs"/>
          <w:rtl/>
        </w:rPr>
        <w:t>סיכום זה,</w:t>
      </w:r>
      <w:r w:rsidRPr="00C34AF5">
        <w:rPr>
          <w:rtl/>
        </w:rPr>
        <w:t xml:space="preserve"> הפרקליטות מטפלת לכתחילה רק בתיקים העיקריים </w:t>
      </w:r>
      <w:r w:rsidRPr="00C34AF5">
        <w:rPr>
          <w:rFonts w:hint="cs"/>
          <w:rtl/>
        </w:rPr>
        <w:t>של</w:t>
      </w:r>
      <w:r w:rsidRPr="00C34AF5">
        <w:rPr>
          <w:rtl/>
        </w:rPr>
        <w:t xml:space="preserve"> </w:t>
      </w:r>
      <w:r w:rsidRPr="00C34AF5">
        <w:rPr>
          <w:rFonts w:hint="cs"/>
          <w:rtl/>
        </w:rPr>
        <w:t>צוותי החקירה המשותפים,</w:t>
      </w:r>
      <w:r w:rsidRPr="00C34AF5">
        <w:rPr>
          <w:rtl/>
        </w:rPr>
        <w:t xml:space="preserve"> ואילו תיקי הלוו</w:t>
      </w:r>
      <w:r w:rsidRPr="00C34AF5">
        <w:rPr>
          <w:rFonts w:hint="cs"/>
          <w:rtl/>
        </w:rPr>
        <w:t>י</w:t>
      </w:r>
      <w:r w:rsidRPr="00C34AF5">
        <w:rPr>
          <w:rtl/>
        </w:rPr>
        <w:t>ין אינם מטופלים.</w:t>
      </w:r>
      <w:r w:rsidRPr="00C34AF5">
        <w:rPr>
          <w:rFonts w:hint="cs"/>
          <w:rtl/>
        </w:rPr>
        <w:t xml:space="preserve"> </w:t>
      </w:r>
      <w:r w:rsidRPr="00C34AF5">
        <w:rPr>
          <w:rtl/>
        </w:rPr>
        <w:t>לדוגמה</w:t>
      </w:r>
      <w:r w:rsidRPr="00C34AF5">
        <w:rPr>
          <w:rFonts w:hint="cs"/>
          <w:rtl/>
        </w:rPr>
        <w:t>,</w:t>
      </w:r>
      <w:r w:rsidRPr="00C34AF5">
        <w:rPr>
          <w:rtl/>
        </w:rPr>
        <w:t xml:space="preserve"> בתיק חקירה שהסתיים בשנת 2019 טיפלה הפרקליטות </w:t>
      </w:r>
      <w:r w:rsidRPr="00C34AF5">
        <w:rPr>
          <w:rFonts w:hint="eastAsia"/>
          <w:rtl/>
        </w:rPr>
        <w:t>רק</w:t>
      </w:r>
      <w:r w:rsidRPr="00C34AF5">
        <w:rPr>
          <w:rtl/>
        </w:rPr>
        <w:t xml:space="preserve"> </w:t>
      </w:r>
      <w:r w:rsidRPr="00C34AF5">
        <w:rPr>
          <w:rFonts w:hint="eastAsia"/>
          <w:rtl/>
        </w:rPr>
        <w:t>בתשעה</w:t>
      </w:r>
      <w:r w:rsidRPr="00C34AF5">
        <w:rPr>
          <w:rtl/>
        </w:rPr>
        <w:t xml:space="preserve"> </w:t>
      </w:r>
      <w:r w:rsidRPr="00C34AF5">
        <w:rPr>
          <w:rFonts w:hint="cs"/>
          <w:rtl/>
        </w:rPr>
        <w:t>חשודים,</w:t>
      </w:r>
      <w:r w:rsidRPr="00C34AF5">
        <w:rPr>
          <w:rtl/>
        </w:rPr>
        <w:t xml:space="preserve"> </w:t>
      </w:r>
      <w:r w:rsidRPr="00C34AF5">
        <w:rPr>
          <w:rFonts w:hint="eastAsia"/>
          <w:rtl/>
        </w:rPr>
        <w:t>ואילו</w:t>
      </w:r>
      <w:r w:rsidRPr="00C34AF5">
        <w:rPr>
          <w:rtl/>
        </w:rPr>
        <w:t xml:space="preserve"> 47 </w:t>
      </w:r>
      <w:r w:rsidRPr="00C34AF5">
        <w:rPr>
          <w:rFonts w:hint="cs"/>
          <w:rtl/>
        </w:rPr>
        <w:t>חשודים (</w:t>
      </w:r>
      <w:r w:rsidRPr="00C34AF5">
        <w:rPr>
          <w:rFonts w:hint="eastAsia"/>
          <w:rtl/>
        </w:rPr>
        <w:t>תיקי</w:t>
      </w:r>
      <w:r w:rsidRPr="00C34AF5">
        <w:rPr>
          <w:rFonts w:hint="cs"/>
          <w:rtl/>
        </w:rPr>
        <w:t xml:space="preserve"> לוויין)</w:t>
      </w:r>
      <w:r w:rsidRPr="00C34AF5">
        <w:rPr>
          <w:rtl/>
        </w:rPr>
        <w:t xml:space="preserve"> </w:t>
      </w:r>
      <w:r w:rsidRPr="00C34AF5">
        <w:rPr>
          <w:rFonts w:hint="cs"/>
          <w:rtl/>
        </w:rPr>
        <w:t>בסכומים</w:t>
      </w:r>
      <w:r w:rsidRPr="00C34AF5">
        <w:rPr>
          <w:rtl/>
        </w:rPr>
        <w:t xml:space="preserve"> </w:t>
      </w:r>
      <w:r w:rsidRPr="00C34AF5">
        <w:rPr>
          <w:rFonts w:hint="eastAsia"/>
          <w:rtl/>
        </w:rPr>
        <w:t>של</w:t>
      </w:r>
      <w:r w:rsidRPr="00C34AF5">
        <w:rPr>
          <w:rtl/>
        </w:rPr>
        <w:t xml:space="preserve"> </w:t>
      </w:r>
      <w:r w:rsidRPr="00C34AF5">
        <w:rPr>
          <w:rFonts w:hint="eastAsia"/>
          <w:rtl/>
        </w:rPr>
        <w:t>מאות</w:t>
      </w:r>
      <w:r w:rsidRPr="00C34AF5">
        <w:rPr>
          <w:rtl/>
        </w:rPr>
        <w:t xml:space="preserve"> </w:t>
      </w:r>
      <w:r w:rsidRPr="00C34AF5">
        <w:rPr>
          <w:rFonts w:hint="eastAsia"/>
          <w:rtl/>
        </w:rPr>
        <w:t>מיליוני</w:t>
      </w:r>
      <w:r w:rsidRPr="00C34AF5">
        <w:rPr>
          <w:rtl/>
        </w:rPr>
        <w:t xml:space="preserve"> </w:t>
      </w:r>
      <w:r w:rsidRPr="00C34AF5">
        <w:rPr>
          <w:rFonts w:hint="eastAsia"/>
          <w:rtl/>
        </w:rPr>
        <w:t>ש</w:t>
      </w:r>
      <w:r w:rsidRPr="00C34AF5">
        <w:rPr>
          <w:rtl/>
        </w:rPr>
        <w:t xml:space="preserve">"ח </w:t>
      </w:r>
      <w:r w:rsidRPr="00C34AF5">
        <w:rPr>
          <w:rFonts w:hint="eastAsia"/>
          <w:rtl/>
        </w:rPr>
        <w:t>לא</w:t>
      </w:r>
      <w:r w:rsidRPr="00C34AF5">
        <w:rPr>
          <w:rtl/>
        </w:rPr>
        <w:t xml:space="preserve"> </w:t>
      </w:r>
      <w:r w:rsidRPr="00C34AF5">
        <w:rPr>
          <w:rFonts w:hint="eastAsia"/>
          <w:rtl/>
        </w:rPr>
        <w:t>טופלו</w:t>
      </w:r>
      <w:r w:rsidRPr="00AF3B73">
        <w:rPr>
          <w:rFonts w:hint="cs"/>
          <w:rtl/>
        </w:rPr>
        <w:t xml:space="preserve">. </w:t>
      </w:r>
    </w:p>
    <w:p w:rsidR="007A3980" w:rsidP="007A3980" w14:paraId="1DE092B2" w14:textId="5A8DFB15">
      <w:pPr>
        <w:pStyle w:val="7317"/>
        <w:rPr>
          <w:rtl/>
        </w:rPr>
      </w:pPr>
      <w:r w:rsidRPr="007A3980">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78306647" name="תמונה 107830664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0664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3980">
        <w:rPr>
          <w:rStyle w:val="7371"/>
          <w:rtl/>
        </w:rPr>
        <w:t xml:space="preserve">סגירת תיקים של צוותי חקירות משותפים בידי המחלקה המשפטית של </w:t>
      </w:r>
      <w:r w:rsidRPr="007A3980">
        <w:rPr>
          <w:rStyle w:val="7371"/>
          <w:rtl/>
        </w:rPr>
        <w:t>מע"ם</w:t>
      </w:r>
      <w:r w:rsidRPr="007A3980">
        <w:rPr>
          <w:rStyle w:val="7371"/>
          <w:rFonts w:hint="cs"/>
          <w:rtl/>
        </w:rPr>
        <w:t xml:space="preserve"> -</w:t>
      </w:r>
      <w:r w:rsidRPr="00C34AF5">
        <w:rPr>
          <w:rFonts w:hint="cs"/>
          <w:rtl/>
        </w:rPr>
        <w:t xml:space="preserve"> </w:t>
      </w:r>
      <w:r w:rsidRPr="00C34AF5">
        <w:rPr>
          <w:rtl/>
        </w:rPr>
        <w:t xml:space="preserve">יש חקירות אשר עולה בהן חשד לביצוע עבירות הן בתחום מס הכנסה והן בתחום </w:t>
      </w:r>
      <w:r w:rsidRPr="00C34AF5">
        <w:rPr>
          <w:rtl/>
        </w:rPr>
        <w:t>המע"ם</w:t>
      </w:r>
      <w:r w:rsidRPr="00C34AF5">
        <w:rPr>
          <w:rtl/>
        </w:rPr>
        <w:t>.</w:t>
      </w:r>
      <w:r w:rsidRPr="00C34AF5">
        <w:rPr>
          <w:rFonts w:hint="cs"/>
          <w:rtl/>
        </w:rPr>
        <w:t xml:space="preserve"> </w:t>
      </w:r>
      <w:r w:rsidRPr="00C34AF5">
        <w:rPr>
          <w:rtl/>
        </w:rPr>
        <w:t xml:space="preserve">במרבית המקרים האלו המחלקה המשפטית של המכס </w:t>
      </w:r>
      <w:r w:rsidRPr="00C34AF5">
        <w:rPr>
          <w:rtl/>
        </w:rPr>
        <w:t>ומע"ם</w:t>
      </w:r>
      <w:r w:rsidRPr="00C34AF5">
        <w:rPr>
          <w:rtl/>
        </w:rPr>
        <w:t xml:space="preserve"> היא שמטפלת בהגשת כתב האישום</w:t>
      </w:r>
      <w:r w:rsidRPr="00C34AF5">
        <w:rPr>
          <w:rFonts w:hint="cs"/>
          <w:rtl/>
        </w:rPr>
        <w:t>.</w:t>
      </w:r>
      <w:r w:rsidRPr="00C34AF5">
        <w:rPr>
          <w:rtl/>
        </w:rPr>
        <w:t xml:space="preserve"> </w:t>
      </w:r>
      <w:r w:rsidRPr="00C34AF5">
        <w:rPr>
          <w:rFonts w:hint="cs"/>
          <w:rtl/>
        </w:rPr>
        <w:t xml:space="preserve">עלה כי </w:t>
      </w:r>
      <w:r w:rsidRPr="00C34AF5">
        <w:rPr>
          <w:rtl/>
        </w:rPr>
        <w:t xml:space="preserve">כאשר המחלקה המשפטית של המכס </w:t>
      </w:r>
      <w:r w:rsidRPr="00C34AF5">
        <w:rPr>
          <w:rtl/>
        </w:rPr>
        <w:t>ומע"ם</w:t>
      </w:r>
      <w:r w:rsidRPr="00C34AF5">
        <w:rPr>
          <w:rtl/>
        </w:rPr>
        <w:t xml:space="preserve"> מחליטה לסגור תיק שבו התבצעה חקירה משותפת של מס הכנסה </w:t>
      </w:r>
      <w:r w:rsidRPr="00C34AF5">
        <w:rPr>
          <w:rtl/>
        </w:rPr>
        <w:t>ומע"ם</w:t>
      </w:r>
      <w:r w:rsidRPr="00C34AF5">
        <w:rPr>
          <w:rtl/>
        </w:rPr>
        <w:t xml:space="preserve">, היא מדווחת על כך רק ליחידת החקירות </w:t>
      </w:r>
      <w:r w:rsidRPr="00C34AF5">
        <w:rPr>
          <w:rtl/>
        </w:rPr>
        <w:t>במע"ם</w:t>
      </w:r>
      <w:r w:rsidRPr="00C34AF5">
        <w:rPr>
          <w:rtl/>
        </w:rPr>
        <w:t xml:space="preserve"> </w:t>
      </w:r>
      <w:r w:rsidRPr="00C34AF5">
        <w:rPr>
          <w:rFonts w:hint="cs"/>
          <w:rtl/>
        </w:rPr>
        <w:t>ו</w:t>
      </w:r>
      <w:r w:rsidRPr="00C34AF5">
        <w:rPr>
          <w:rtl/>
        </w:rPr>
        <w:t xml:space="preserve">אינה מדווחת על כך למשרדי השומה לחקירות (מ"ה). במקרה כזה נמנע ממשרדי השומה לחקירות לבחון את ההחלטה ולערער עליה </w:t>
      </w:r>
      <w:r w:rsidRPr="00C34AF5">
        <w:rPr>
          <w:rFonts w:hint="cs"/>
          <w:rtl/>
        </w:rPr>
        <w:t>על פי</w:t>
      </w:r>
      <w:r w:rsidRPr="00C34AF5">
        <w:rPr>
          <w:rtl/>
        </w:rPr>
        <w:t xml:space="preserve"> הצורך</w:t>
      </w:r>
      <w:r w:rsidRPr="00AF3B73">
        <w:rPr>
          <w:rFonts w:hint="cs"/>
          <w:rtl/>
        </w:rPr>
        <w:t xml:space="preserve">. </w:t>
      </w:r>
    </w:p>
    <w:p w:rsidR="007A3980" w:rsidP="007A3980" w14:paraId="2A8796E5" w14:textId="7779E734">
      <w:pPr>
        <w:pStyle w:val="7317"/>
        <w:rPr>
          <w:rtl/>
        </w:rPr>
      </w:pPr>
      <w:r w:rsidRPr="007A3980">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25020960" name="תמונה 92502096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2096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A3980">
        <w:rPr>
          <w:rStyle w:val="7371"/>
          <w:rtl/>
        </w:rPr>
        <w:t xml:space="preserve">יחסי </w:t>
      </w:r>
      <w:r w:rsidRPr="007A3980">
        <w:rPr>
          <w:rStyle w:val="7371"/>
          <w:rFonts w:hint="cs"/>
          <w:rtl/>
        </w:rPr>
        <w:t>ה</w:t>
      </w:r>
      <w:r w:rsidRPr="007A3980">
        <w:rPr>
          <w:rStyle w:val="7371"/>
          <w:rtl/>
        </w:rPr>
        <w:t>גומלין בין משרדי השומה לחקירות לבין פקידי השומה</w:t>
      </w:r>
      <w:r w:rsidRPr="007A3980">
        <w:rPr>
          <w:rStyle w:val="7371"/>
          <w:rFonts w:hint="cs"/>
          <w:rtl/>
        </w:rPr>
        <w:t xml:space="preserve"> -</w:t>
      </w:r>
      <w:r w:rsidRPr="00C34AF5">
        <w:rPr>
          <w:rFonts w:hint="cs"/>
          <w:rtl/>
        </w:rPr>
        <w:t xml:space="preserve"> בביקורת עלה</w:t>
      </w:r>
      <w:r w:rsidRPr="00C34AF5">
        <w:rPr>
          <w:rtl/>
        </w:rPr>
        <w:t xml:space="preserve"> כי רק ב-</w:t>
      </w:r>
      <w:r w:rsidRPr="00C34AF5">
        <w:rPr>
          <w:rFonts w:hint="cs"/>
          <w:rtl/>
        </w:rPr>
        <w:t>75</w:t>
      </w:r>
      <w:r w:rsidRPr="00C34AF5">
        <w:rPr>
          <w:rtl/>
        </w:rPr>
        <w:t xml:space="preserve"> </w:t>
      </w:r>
      <w:r w:rsidRPr="00C34AF5">
        <w:rPr>
          <w:rFonts w:hint="cs"/>
          <w:rtl/>
        </w:rPr>
        <w:t>מ-86</w:t>
      </w:r>
      <w:r w:rsidRPr="00C34AF5">
        <w:rPr>
          <w:rtl/>
        </w:rPr>
        <w:t xml:space="preserve"> המקרים שנבדקו</w:t>
      </w:r>
      <w:r w:rsidRPr="00C34AF5">
        <w:rPr>
          <w:rFonts w:hint="cs"/>
          <w:rtl/>
        </w:rPr>
        <w:t xml:space="preserve"> </w:t>
      </w:r>
      <w:r w:rsidRPr="00C34AF5">
        <w:rPr>
          <w:rtl/>
        </w:rPr>
        <w:t>(</w:t>
      </w:r>
      <w:r w:rsidRPr="00C34AF5">
        <w:rPr>
          <w:rFonts w:hint="cs"/>
          <w:rtl/>
        </w:rPr>
        <w:t>87</w:t>
      </w:r>
      <w:r w:rsidRPr="00C34AF5">
        <w:rPr>
          <w:rtl/>
        </w:rPr>
        <w:t xml:space="preserve">%), קבעו משרדי השומה האזרחיים שומות לעברייני מס </w:t>
      </w:r>
      <w:r w:rsidRPr="00C34AF5">
        <w:rPr>
          <w:rFonts w:hint="cs"/>
          <w:rtl/>
        </w:rPr>
        <w:t>שניתן</w:t>
      </w:r>
      <w:r w:rsidRPr="00C34AF5">
        <w:rPr>
          <w:rtl/>
        </w:rPr>
        <w:t xml:space="preserve"> בעניינם גזר די</w:t>
      </w:r>
      <w:r w:rsidRPr="00C34AF5">
        <w:rPr>
          <w:rFonts w:hint="cs"/>
          <w:rtl/>
        </w:rPr>
        <w:t>ן</w:t>
      </w:r>
      <w:r w:rsidRPr="00C34AF5">
        <w:rPr>
          <w:rtl/>
        </w:rPr>
        <w:t>, ואילו ב-</w:t>
      </w:r>
      <w:r w:rsidRPr="00C34AF5">
        <w:rPr>
          <w:rFonts w:hint="cs"/>
          <w:rtl/>
        </w:rPr>
        <w:t>11</w:t>
      </w:r>
      <w:r w:rsidRPr="00C34AF5">
        <w:rPr>
          <w:rtl/>
        </w:rPr>
        <w:t xml:space="preserve"> מקרים (</w:t>
      </w:r>
      <w:r w:rsidRPr="00C34AF5">
        <w:rPr>
          <w:rFonts w:hint="cs"/>
          <w:rtl/>
        </w:rPr>
        <w:t>13</w:t>
      </w:r>
      <w:r w:rsidRPr="00C34AF5">
        <w:rPr>
          <w:rtl/>
        </w:rPr>
        <w:t xml:space="preserve">%) </w:t>
      </w:r>
      <w:r w:rsidRPr="00C34AF5">
        <w:rPr>
          <w:rFonts w:hint="cs"/>
          <w:rtl/>
        </w:rPr>
        <w:t xml:space="preserve">הם </w:t>
      </w:r>
      <w:r w:rsidRPr="00C34AF5">
        <w:rPr>
          <w:rtl/>
        </w:rPr>
        <w:t>לא קבעו שומות</w:t>
      </w:r>
      <w:r w:rsidRPr="00C34AF5">
        <w:rPr>
          <w:rFonts w:hint="cs"/>
          <w:rtl/>
        </w:rPr>
        <w:t xml:space="preserve"> </w:t>
      </w:r>
      <w:r w:rsidRPr="00C34AF5">
        <w:rPr>
          <w:rtl/>
        </w:rPr>
        <w:t>עד למועד סיום הביקורת. זאת שלא בהתאם להנחיות רשות המיסים, שקובעות כי יש לקבוע שומות בהקדם בכל המקרים שבהם נתפסו נישומים בהעלמות מס ובעבירות מס</w:t>
      </w:r>
      <w:r w:rsidRPr="00C34AF5">
        <w:rPr>
          <w:rFonts w:hint="cs"/>
          <w:rtl/>
        </w:rPr>
        <w:t>.</w:t>
      </w:r>
      <w:r w:rsidRPr="00C34AF5">
        <w:rPr>
          <w:rtl/>
        </w:rPr>
        <w:t xml:space="preserve"> </w:t>
      </w:r>
      <w:r w:rsidRPr="00C34AF5">
        <w:rPr>
          <w:rFonts w:hint="cs"/>
          <w:rtl/>
        </w:rPr>
        <w:t>יש לציין כי מדובר בעבירות מס בסכומים של מאות אלפי ש"ח ועד לכמה מיליוני ש"ח בכל תיק</w:t>
      </w:r>
      <w:r w:rsidRPr="00AF3B73">
        <w:rPr>
          <w:rFonts w:hint="cs"/>
          <w:rtl/>
        </w:rPr>
        <w:t xml:space="preserve">. </w:t>
      </w:r>
    </w:p>
    <w:p w:rsidR="00EB672B" w:rsidRPr="000B463F" w:rsidP="007A3980"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3ACDCDA9">
      <w:pPr>
        <w:pStyle w:val="7317"/>
        <w:rPr>
          <w:rtl/>
        </w:rPr>
      </w:pPr>
      <w:r w:rsidRPr="007A3980">
        <w:rPr>
          <w:rStyle w:val="7371"/>
          <w:rFonts w:hint="cs"/>
          <w:rtl/>
        </w:rPr>
        <w:t xml:space="preserve">קידום </w:t>
      </w:r>
      <w:r w:rsidRPr="007A3980">
        <w:rPr>
          <w:rStyle w:val="7371"/>
          <w:rtl/>
        </w:rPr>
        <w:t>הטיפול בתופעות הפשיעה והאלימות בחברה הערבית</w:t>
      </w:r>
      <w:r w:rsidRPr="007A3980">
        <w:rPr>
          <w:rStyle w:val="7371"/>
          <w:rFonts w:hint="cs"/>
          <w:rtl/>
        </w:rPr>
        <w:t xml:space="preserve"> -</w:t>
      </w:r>
      <w:r w:rsidRPr="00C34AF5">
        <w:rPr>
          <w:rFonts w:hint="cs"/>
          <w:rtl/>
        </w:rPr>
        <w:t xml:space="preserve"> </w:t>
      </w:r>
      <w:r w:rsidRPr="00C34AF5">
        <w:rPr>
          <w:rtl/>
        </w:rPr>
        <w:t xml:space="preserve">משרד מבקר המדינה מציין את פעילות רשות המיסים במסגרת מבצע </w:t>
      </w:r>
      <w:r w:rsidRPr="00C34AF5">
        <w:rPr>
          <w:rFonts w:hint="cs"/>
          <w:rtl/>
        </w:rPr>
        <w:t>"</w:t>
      </w:r>
      <w:r w:rsidRPr="00C34AF5">
        <w:rPr>
          <w:rtl/>
        </w:rPr>
        <w:t>מסלול בטוח</w:t>
      </w:r>
      <w:r w:rsidRPr="00C34AF5">
        <w:rPr>
          <w:rFonts w:hint="cs"/>
          <w:rtl/>
        </w:rPr>
        <w:t>"</w:t>
      </w:r>
      <w:r w:rsidRPr="00C34AF5">
        <w:rPr>
          <w:rtl/>
        </w:rPr>
        <w:t>, לצורך הגברת המשילות ואכיפת חוקי המס כחלק מהטיפול בפשיעה במגזר הערבי.</w:t>
      </w:r>
      <w:r w:rsidRPr="00C34AF5">
        <w:rPr>
          <w:rFonts w:hint="cs"/>
          <w:rtl/>
        </w:rPr>
        <w:t xml:space="preserve"> במסגרת המבצע ביצעה רשות המיסים פעילות לגביית מס ולהגברת המשילות </w:t>
      </w:r>
      <w:r w:rsidRPr="00C34AF5">
        <w:rPr>
          <w:rtl/>
        </w:rPr>
        <w:t>בתחומים שונים,</w:t>
      </w:r>
      <w:r w:rsidRPr="00C34AF5">
        <w:rPr>
          <w:rFonts w:hint="cs"/>
          <w:rtl/>
        </w:rPr>
        <w:t xml:space="preserve"> </w:t>
      </w:r>
      <w:r w:rsidRPr="00C34AF5">
        <w:rPr>
          <w:rtl/>
        </w:rPr>
        <w:t xml:space="preserve">כמו הוצאה לפועל, ביקורות ניהול ספרים, ביקורות </w:t>
      </w:r>
      <w:r w:rsidRPr="00C34AF5">
        <w:rPr>
          <w:rtl/>
        </w:rPr>
        <w:t>מע"ם</w:t>
      </w:r>
      <w:r w:rsidRPr="00C34AF5">
        <w:rPr>
          <w:rtl/>
        </w:rPr>
        <w:t xml:space="preserve"> </w:t>
      </w:r>
      <w:r w:rsidRPr="00C34AF5">
        <w:rPr>
          <w:rFonts w:hint="cs"/>
          <w:rtl/>
        </w:rPr>
        <w:t>ו</w:t>
      </w:r>
      <w:r w:rsidRPr="00C34AF5">
        <w:rPr>
          <w:rtl/>
        </w:rPr>
        <w:t>ביקורות של נותני שירותים פיננסיים (</w:t>
      </w:r>
      <w:r w:rsidRPr="00C34AF5">
        <w:rPr>
          <w:rtl/>
        </w:rPr>
        <w:t>צ'יינג'ים</w:t>
      </w:r>
      <w:r w:rsidRPr="00C34AF5">
        <w:rPr>
          <w:rtl/>
        </w:rPr>
        <w:t>), וכן פעילויות משותפות עם משטרת ישראל נגד ארגוני פשיעה.</w:t>
      </w:r>
      <w:r w:rsidRPr="00C34AF5">
        <w:rPr>
          <w:rFonts w:hint="cs"/>
          <w:rtl/>
        </w:rPr>
        <w:t xml:space="preserve"> במסגרת פעילות זו עלו ליקויים משמעותיים בהתנהלותם של נותני שירותים פיננסיים, בנוגע לניהול פנקסי חשבונות ועוד. למשל נמצאו ליקויים בהתנהלותם של 7</w:t>
      </w:r>
      <w:r w:rsidR="00984734">
        <w:rPr>
          <w:rFonts w:hint="cs"/>
          <w:rtl/>
        </w:rPr>
        <w:t>9</w:t>
      </w:r>
      <w:r w:rsidRPr="00C34AF5">
        <w:rPr>
          <w:rFonts w:hint="cs"/>
          <w:rtl/>
        </w:rPr>
        <w:t xml:space="preserve">% (37) מנותני השירותים הפיננסיים שנבדקו. כמו </w:t>
      </w:r>
      <w:r w:rsidRPr="00C34AF5">
        <w:rPr>
          <w:rFonts w:hint="cs"/>
          <w:rtl/>
        </w:rPr>
        <w:t>כן נמצאו ליקויים ב-69% (573) מביקורות ניהול ספרים שנעשו (821 ביקורות), 309 (37%) מהם בנוגע לאי-רישום תקבול</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84F3418">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34AF5" w:rsidR="007A3980">
        <w:rPr>
          <w:rtl/>
        </w:rPr>
        <w:t>מ</w:t>
      </w:r>
      <w:r w:rsidRPr="00C34AF5" w:rsidR="007A3980">
        <w:rPr>
          <w:rFonts w:hint="cs"/>
          <w:rtl/>
        </w:rPr>
        <w:t>ו</w:t>
      </w:r>
      <w:r w:rsidRPr="00C34AF5" w:rsidR="007A3980">
        <w:rPr>
          <w:rtl/>
        </w:rPr>
        <w:t xml:space="preserve">מלץ לרשות המיסים </w:t>
      </w:r>
      <w:r w:rsidRPr="00C34AF5" w:rsidR="007A3980">
        <w:rPr>
          <w:rFonts w:hint="cs"/>
          <w:rtl/>
        </w:rPr>
        <w:t xml:space="preserve">לבחון </w:t>
      </w:r>
      <w:r w:rsidRPr="00C34AF5" w:rsidR="007A3980">
        <w:rPr>
          <w:rtl/>
        </w:rPr>
        <w:t xml:space="preserve">את היעדים שקבעה ואת המשימות המוטלות על משרדי השומה לחקירות של מס הכנסה ושל המכס </w:t>
      </w:r>
      <w:r w:rsidRPr="00C34AF5" w:rsidR="007A3980">
        <w:rPr>
          <w:rtl/>
        </w:rPr>
        <w:t>ומע"ם</w:t>
      </w:r>
      <w:r w:rsidRPr="00C34AF5" w:rsidR="007A3980">
        <w:rPr>
          <w:rtl/>
        </w:rPr>
        <w:t xml:space="preserve"> באזורים השונים, לקבוע בהתאם למדדים רלוונטיים את מספר המשרות הנדרשות לכל משרד חקירות ולאייש אותן</w:t>
      </w:r>
      <w:r w:rsidRPr="007C7D40">
        <w:rPr>
          <w:rFonts w:hint="cs"/>
          <w:rtl/>
        </w:rPr>
        <w:t xml:space="preserve">. </w:t>
      </w:r>
    </w:p>
    <w:p w:rsidR="00EB672B" w:rsidRPr="007C7D40" w:rsidP="00EB672B" w14:paraId="723E2ABD" w14:textId="44AFB6EB">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34AF5" w:rsidR="007A3980">
        <w:rPr>
          <w:rFonts w:hint="cs"/>
          <w:rtl/>
        </w:rPr>
        <w:t>מומלץ</w:t>
      </w:r>
      <w:r w:rsidRPr="00C34AF5" w:rsidR="007A3980">
        <w:rPr>
          <w:rtl/>
        </w:rPr>
        <w:t xml:space="preserve"> לרשות המיסים לאסוף נתונים על זמני הטיפול בתיקים ולקיים בקרה שוטפת בנושא. כמו כן מומלץ כי רשות המיסים תהיה בקשר שוטף עם פרקליטות המדינה ותעמוד על הצורך להגיש כתבי אישום בזמן ולעמוד בדרישות החוק. מומלץ להטמיע מערכת ממוחשבת שתאפשר למנהלי משרדי השומה לחקירות ולהנהלת רשות המיסים לנהל ולעקוב אחר ביצוע החקירות ולבחון באופן שוטף את לוחות הזמנים וההתקדמות בתיקי החקירות</w:t>
      </w:r>
      <w:r w:rsidRPr="007C7D40">
        <w:rPr>
          <w:rtl/>
        </w:rPr>
        <w:t xml:space="preserve">. </w:t>
      </w:r>
    </w:p>
    <w:p w:rsidR="00EB672B" w:rsidRPr="007C7D40" w:rsidP="00EB672B" w14:paraId="55FA89EC" w14:textId="12181B2A">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34AF5" w:rsidR="007A3980">
        <w:rPr>
          <w:rFonts w:hint="cs"/>
          <w:rtl/>
        </w:rPr>
        <w:t>מומלץ</w:t>
      </w:r>
      <w:r w:rsidRPr="00C34AF5" w:rsidR="007A3980">
        <w:rPr>
          <w:rtl/>
        </w:rPr>
        <w:t xml:space="preserve"> לרשות המיסים להקים בכל אחת מיחידות המודיעין שבמשרדי החקירות מערך שיוכל לנתח, להעריך ולהעשיר את המידע המצוי ברשותו, ובכלל זה כלים ממוחשבים שיוכלו להפוך את המידע שיש בידיהם למידע בעל ערך, ולסייע באיתור נישומים שמעלימים הכנסות ומשתמטים מתשלום מס</w:t>
      </w:r>
      <w:r w:rsidRPr="007C7D40">
        <w:rPr>
          <w:rFonts w:hint="cs"/>
          <w:rtl/>
        </w:rPr>
        <w:t>.</w:t>
      </w:r>
    </w:p>
    <w:p w:rsidR="00EB672B" w:rsidRPr="007C7D40" w:rsidP="00EB672B" w14:paraId="078A06EB" w14:textId="7B4A2DDD">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A3980" w:rsidR="007A3980">
        <w:rPr>
          <w:rFonts w:hint="cs"/>
          <w:rtl/>
        </w:rPr>
        <w:t xml:space="preserve"> </w:t>
      </w:r>
      <w:r w:rsidRPr="00C34AF5" w:rsidR="007A3980">
        <w:rPr>
          <w:rFonts w:hint="cs"/>
          <w:rtl/>
        </w:rPr>
        <w:t xml:space="preserve">על הרשות </w:t>
      </w:r>
      <w:r w:rsidRPr="00C34AF5" w:rsidR="007A3980">
        <w:rPr>
          <w:rtl/>
        </w:rPr>
        <w:t xml:space="preserve">לאסוף נתונים על זמני הטיפול בתיקים ולקיים בקרה שוטפת בנושא. כמו כן מומלץ כי רשות המיסים תהיה בקשר שוטף עם פרקליטות המדינה ותעמוד על הצורך להגיש כתבי אישום בזמן </w:t>
      </w:r>
      <w:r w:rsidRPr="00C34AF5" w:rsidR="007A3980">
        <w:rPr>
          <w:rFonts w:hint="cs"/>
          <w:rtl/>
        </w:rPr>
        <w:t>ועל פי</w:t>
      </w:r>
      <w:r w:rsidRPr="00C34AF5" w:rsidR="007A3980">
        <w:rPr>
          <w:rtl/>
        </w:rPr>
        <w:t xml:space="preserve"> דרישות החוק</w:t>
      </w:r>
      <w:r w:rsidRPr="007C7D40">
        <w:rPr>
          <w:rFonts w:hint="cs"/>
          <w:rtl/>
        </w:rPr>
        <w:t>.</w:t>
      </w:r>
    </w:p>
    <w:p w:rsidR="00EB672B" w:rsidRPr="007C7D40" w:rsidP="00EB672B" w14:paraId="5538133A" w14:textId="0B70AE72">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34AF5" w:rsidR="007A3980">
        <w:rPr>
          <w:rFonts w:hint="cs"/>
          <w:rtl/>
        </w:rPr>
        <w:t xml:space="preserve">על הנהלת רשות המיסים </w:t>
      </w:r>
      <w:r w:rsidRPr="00C34AF5" w:rsidR="007A3980">
        <w:rPr>
          <w:rtl/>
        </w:rPr>
        <w:t xml:space="preserve">להסדיר את שיתוף הפעולה בין המחלקה המשפטית של המכס </w:t>
      </w:r>
      <w:r w:rsidRPr="00C34AF5" w:rsidR="007A3980">
        <w:rPr>
          <w:rtl/>
        </w:rPr>
        <w:t>ומע"ם</w:t>
      </w:r>
      <w:r w:rsidRPr="00C34AF5" w:rsidR="007A3980">
        <w:rPr>
          <w:rtl/>
        </w:rPr>
        <w:t xml:space="preserve"> לבין יחידות החקירה של מס הכנסה ולוודא שיש שיתוף מלא במידע, ובכלל זה בעת קבלת ההחלטה על סגירת תיק</w:t>
      </w:r>
      <w:r w:rsidRPr="00C34AF5" w:rsidR="007A3980">
        <w:rPr>
          <w:rFonts w:hint="cs"/>
          <w:rtl/>
        </w:rPr>
        <w:t>, כדי שמס הכנסה יוכל</w:t>
      </w:r>
      <w:r w:rsidRPr="00C34AF5" w:rsidR="007A3980">
        <w:rPr>
          <w:rtl/>
        </w:rPr>
        <w:t xml:space="preserve"> </w:t>
      </w:r>
      <w:r w:rsidRPr="00C34AF5" w:rsidR="007A3980">
        <w:rPr>
          <w:rFonts w:hint="cs"/>
          <w:rtl/>
        </w:rPr>
        <w:t>ל</w:t>
      </w:r>
      <w:r w:rsidRPr="00C34AF5" w:rsidR="007A3980">
        <w:rPr>
          <w:rtl/>
        </w:rPr>
        <w:t>קבל החלטה על</w:t>
      </w:r>
      <w:r w:rsidRPr="00C34AF5" w:rsidR="007A3980">
        <w:rPr>
          <w:rFonts w:hint="cs"/>
          <w:rtl/>
        </w:rPr>
        <w:t xml:space="preserve"> המשך</w:t>
      </w:r>
      <w:r w:rsidRPr="00C34AF5" w:rsidR="007A3980">
        <w:rPr>
          <w:rtl/>
        </w:rPr>
        <w:t xml:space="preserve"> הטיפול בתיקים</w:t>
      </w:r>
      <w:r w:rsidRPr="007C7D40">
        <w:rPr>
          <w:rFonts w:hint="cs"/>
          <w:rtl/>
        </w:rPr>
        <w:t>.</w:t>
      </w:r>
    </w:p>
    <w:p w:rsidR="00EB672B" w:rsidP="00EB672B" w14:paraId="63467834" w14:textId="1DB0883B">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34AF5" w:rsidR="007A3980">
        <w:rPr>
          <w:rtl/>
        </w:rPr>
        <w:t xml:space="preserve">על רשות המיסים לקיים מעקב שוטף אחר התיקים </w:t>
      </w:r>
      <w:r w:rsidRPr="00C34AF5" w:rsidR="007A3980">
        <w:rPr>
          <w:rFonts w:hint="cs"/>
          <w:rtl/>
        </w:rPr>
        <w:t>ש</w:t>
      </w:r>
      <w:r w:rsidRPr="00C34AF5" w:rsidR="007A3980">
        <w:rPr>
          <w:rtl/>
        </w:rPr>
        <w:t xml:space="preserve">משרדי השומה לחקירות </w:t>
      </w:r>
      <w:r w:rsidRPr="00C34AF5" w:rsidR="007A3980">
        <w:rPr>
          <w:rFonts w:hint="cs"/>
          <w:rtl/>
        </w:rPr>
        <w:t>מעבירים</w:t>
      </w:r>
      <w:r w:rsidRPr="00C34AF5" w:rsidR="007A3980">
        <w:rPr>
          <w:rtl/>
        </w:rPr>
        <w:t xml:space="preserve"> למשרדי השומה האזרחיים ולוודא </w:t>
      </w:r>
      <w:r w:rsidRPr="00C34AF5" w:rsidR="007A3980">
        <w:rPr>
          <w:rFonts w:hint="cs"/>
          <w:rtl/>
        </w:rPr>
        <w:t>שהם</w:t>
      </w:r>
      <w:r w:rsidRPr="00C34AF5" w:rsidR="007A3980">
        <w:rPr>
          <w:rtl/>
        </w:rPr>
        <w:t xml:space="preserve"> קובעים שומות מתאימות תוך שימוש </w:t>
      </w:r>
      <w:r w:rsidRPr="00C34AF5" w:rsidR="007A3980">
        <w:rPr>
          <w:rFonts w:hint="cs"/>
          <w:rtl/>
        </w:rPr>
        <w:t>מלא ב</w:t>
      </w:r>
      <w:r w:rsidRPr="00C34AF5" w:rsidR="007A3980">
        <w:rPr>
          <w:rtl/>
        </w:rPr>
        <w:t>מידע שהועבר אליהם ומיצוי מלא של</w:t>
      </w:r>
      <w:r w:rsidRPr="00C34AF5" w:rsidR="007A3980">
        <w:rPr>
          <w:rFonts w:hint="cs"/>
          <w:rtl/>
        </w:rPr>
        <w:t xml:space="preserve"> המידע</w:t>
      </w:r>
      <w:r w:rsidRPr="00C34AF5" w:rsidR="007A3980">
        <w:rPr>
          <w:rtl/>
        </w:rPr>
        <w:t>, עד לגביית חובות המס הנדרשים</w:t>
      </w:r>
      <w:r w:rsidRPr="008E57FE">
        <w:rPr>
          <w:rFonts w:hint="cs"/>
          <w:rtl/>
        </w:rPr>
        <w:t>.</w:t>
      </w:r>
    </w:p>
    <w:p w:rsidR="007A3980" w14:paraId="0A89FC12" w14:textId="77777777">
      <w:pPr>
        <w:bidi w:val="0"/>
        <w:spacing w:after="200" w:line="276" w:lineRule="auto"/>
        <w:rPr>
          <w:rStyle w:val="7372"/>
          <w:rtl/>
        </w:rPr>
      </w:pPr>
      <w:r>
        <w:rPr>
          <w:rStyle w:val="7372"/>
          <w:rtl/>
        </w:rPr>
        <w:br w:type="page"/>
      </w:r>
    </w:p>
    <w:p w:rsidR="005D0F8C" w:rsidP="00EB672B" w14:paraId="6DC28C4F" w14:textId="506462F8">
      <w:pPr>
        <w:pStyle w:val="7317"/>
        <w:rPr>
          <w:rtl/>
        </w:rPr>
      </w:pPr>
      <w:r w:rsidRPr="00D527BD">
        <w:rPr>
          <w:noProof/>
          <w:szCs w:val="20"/>
          <w:rtl/>
        </w:rPr>
        <w:drawing>
          <wp:anchor distT="0" distB="0" distL="114300" distR="114300" simplePos="0" relativeHeight="251677696" behindDoc="0" locked="0" layoutInCell="1" allowOverlap="1">
            <wp:simplePos x="0" y="0"/>
            <wp:positionH relativeFrom="column">
              <wp:posOffset>-61206</wp:posOffset>
            </wp:positionH>
            <wp:positionV relativeFrom="paragraph">
              <wp:posOffset>-34454</wp:posOffset>
            </wp:positionV>
            <wp:extent cx="4771226" cy="1002890"/>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07091" cy="1010429"/>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86278</wp:posOffset>
                </wp:positionH>
                <wp:positionV relativeFrom="paragraph">
                  <wp:posOffset>46662</wp:posOffset>
                </wp:positionV>
                <wp:extent cx="4436745" cy="641555"/>
                <wp:effectExtent l="0" t="0" r="0" b="635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41555"/>
                        </a:xfrm>
                        <a:prstGeom prst="rect">
                          <a:avLst/>
                        </a:prstGeom>
                        <a:solidFill>
                          <a:srgbClr val="F05260"/>
                        </a:solidFill>
                        <a:ln w="9525">
                          <a:noFill/>
                          <a:miter lim="800000"/>
                          <a:headEnd/>
                          <a:tailEnd/>
                        </a:ln>
                      </wps:spPr>
                      <wps:txbx>
                        <w:txbxContent>
                          <w:p w:rsidR="005D0F8C" w:rsidRPr="005C7ABF" w:rsidP="00524400" w14:textId="3209F758">
                            <w:pPr>
                              <w:pStyle w:val="7332"/>
                              <w:rPr>
                                <w:rtl/>
                              </w:rPr>
                            </w:pPr>
                            <w:r w:rsidRPr="007A3980">
                              <w:rPr>
                                <w:rtl/>
                              </w:rPr>
                              <w:t>משך זמן הטיפול המשפטי בתיקי החקירות לפי כמות התיקים משלב פתיחת החקירה ועד הגשת כתב אישום על עבירת מס, 2017 - 2021</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50.5pt;margin-top:3.65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3209F758">
                      <w:pPr>
                        <w:pStyle w:val="7332"/>
                        <w:rPr>
                          <w:rtl/>
                        </w:rPr>
                      </w:pPr>
                      <w:r w:rsidRPr="007A3980">
                        <w:rPr>
                          <w:rtl/>
                        </w:rPr>
                        <w:t>משך זמן הטיפול המשפטי בתיקי החקירות לפי כמות התיקים משלב פתיחת החקירה ועד הגשת כתב אישום על עבירת מס, 2017 - 2021</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P="00D57BE9" w14:paraId="29744092" w14:textId="3A45CF2D"/>
    <w:p w:rsidR="007A3980" w:rsidRPr="00D57BE9" w:rsidP="007A3980" w14:paraId="13C9B49B" w14:textId="2CD5FC11">
      <w:pPr>
        <w:jc w:val="center"/>
        <w:rPr>
          <w:rtl/>
        </w:rPr>
      </w:pPr>
      <w:r>
        <w:rPr>
          <w:noProof/>
          <w:rtl/>
          <w:lang w:val="he-IL"/>
        </w:rPr>
        <w:drawing>
          <wp:inline distT="0" distB="0" distL="0" distR="0">
            <wp:extent cx="3900966" cy="3395286"/>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3900966" cy="3395286"/>
                    </a:xfrm>
                    <a:prstGeom prst="rect">
                      <a:avLst/>
                    </a:prstGeom>
                  </pic:spPr>
                </pic:pic>
              </a:graphicData>
            </a:graphic>
          </wp:inline>
        </w:drawing>
      </w:r>
    </w:p>
    <w:p w:rsidR="00362505" w:rsidRPr="007A3980" w:rsidP="007A3980" w14:paraId="0DA8F7B9" w14:textId="41785727">
      <w:pPr>
        <w:pStyle w:val="738"/>
        <w:rPr>
          <w:rtl/>
        </w:rPr>
      </w:pPr>
      <w:r w:rsidRPr="007A3980">
        <w:rPr>
          <w:rtl/>
        </w:rPr>
        <w:t>על פי נתוני רשות המיסים, בעיבוד משרד מבקר המדינה</w:t>
      </w:r>
      <w:r w:rsidRPr="007A3980"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7A3980" w:rsidRPr="00C34AF5" w:rsidP="007A3980" w14:paraId="4C295D6D" w14:textId="77777777">
      <w:pPr>
        <w:widowControl w:val="0"/>
        <w:tabs>
          <w:tab w:val="left" w:pos="9604"/>
        </w:tabs>
        <w:spacing w:before="240" w:line="276" w:lineRule="auto"/>
        <w:ind w:left="-1"/>
        <w:rPr>
          <w:rFonts w:ascii="Tahoma" w:hAnsi="Tahoma" w:cs="Tahoma"/>
          <w:sz w:val="18"/>
          <w:szCs w:val="18"/>
          <w:rtl/>
        </w:rPr>
      </w:pPr>
      <w:r w:rsidRPr="00C34AF5">
        <w:rPr>
          <w:rFonts w:ascii="Tahoma" w:hAnsi="Tahoma" w:cs="Tahoma"/>
          <w:sz w:val="18"/>
          <w:szCs w:val="18"/>
          <w:rtl/>
        </w:rPr>
        <w:t>לטיפול הפלילי בנישומים החשודים בהעלמת הכנסות</w:t>
      </w:r>
      <w:r w:rsidRPr="00C34AF5">
        <w:rPr>
          <w:rFonts w:ascii="Tahoma" w:hAnsi="Tahoma" w:cs="Tahoma" w:hint="cs"/>
          <w:sz w:val="18"/>
          <w:szCs w:val="18"/>
          <w:rtl/>
        </w:rPr>
        <w:t xml:space="preserve"> יש</w:t>
      </w:r>
      <w:r w:rsidRPr="00C34AF5">
        <w:rPr>
          <w:rFonts w:ascii="Tahoma" w:hAnsi="Tahoma" w:cs="Tahoma"/>
          <w:sz w:val="18"/>
          <w:szCs w:val="18"/>
          <w:rtl/>
        </w:rPr>
        <w:t xml:space="preserve"> חשיבות רבה, שכן </w:t>
      </w:r>
      <w:r w:rsidRPr="00C34AF5">
        <w:rPr>
          <w:rFonts w:ascii="Tahoma" w:hAnsi="Tahoma" w:cs="Tahoma" w:hint="cs"/>
          <w:sz w:val="18"/>
          <w:szCs w:val="18"/>
          <w:rtl/>
        </w:rPr>
        <w:t>נוסף על</w:t>
      </w:r>
      <w:r w:rsidRPr="00C34AF5">
        <w:rPr>
          <w:rFonts w:ascii="Tahoma" w:hAnsi="Tahoma" w:cs="Tahoma"/>
          <w:sz w:val="18"/>
          <w:szCs w:val="18"/>
          <w:rtl/>
        </w:rPr>
        <w:t xml:space="preserve"> התכלית של ענישת הנישומים העבריינים</w:t>
      </w:r>
      <w:r w:rsidRPr="00C34AF5">
        <w:rPr>
          <w:rFonts w:ascii="Tahoma" w:hAnsi="Tahoma" w:cs="Tahoma" w:hint="cs"/>
          <w:sz w:val="18"/>
          <w:szCs w:val="18"/>
          <w:rtl/>
        </w:rPr>
        <w:t>,</w:t>
      </w:r>
      <w:r w:rsidRPr="00C34AF5">
        <w:rPr>
          <w:rFonts w:ascii="Tahoma" w:hAnsi="Tahoma" w:cs="Tahoma"/>
          <w:sz w:val="18"/>
          <w:szCs w:val="18"/>
          <w:rtl/>
        </w:rPr>
        <w:t xml:space="preserve"> הוא משמש להרתעה של כלל ציבור הנישומים. גורם ההרתעה הוא יסוד חשוב בהפעלתה של מערכת מס יעילה וצודקת. </w:t>
      </w:r>
    </w:p>
    <w:p w:rsidR="007A3980" w:rsidRPr="00C34AF5" w:rsidP="007A3980" w14:paraId="69F200C0" w14:textId="77777777">
      <w:pPr>
        <w:widowControl w:val="0"/>
        <w:tabs>
          <w:tab w:val="left" w:pos="9604"/>
        </w:tabs>
        <w:spacing w:before="240" w:line="276" w:lineRule="auto"/>
        <w:ind w:left="-1"/>
        <w:rPr>
          <w:rFonts w:ascii="Tahoma" w:hAnsi="Tahoma" w:cs="Tahoma"/>
          <w:sz w:val="18"/>
          <w:szCs w:val="18"/>
          <w:rtl/>
        </w:rPr>
      </w:pPr>
      <w:r w:rsidRPr="00C34AF5">
        <w:rPr>
          <w:rFonts w:ascii="Tahoma" w:hAnsi="Tahoma" w:cs="Tahoma" w:hint="cs"/>
          <w:sz w:val="18"/>
          <w:szCs w:val="18"/>
          <w:rtl/>
        </w:rPr>
        <w:t xml:space="preserve">בדוח זה צוינו ליקויים בנוגע </w:t>
      </w:r>
      <w:r w:rsidRPr="00C34AF5">
        <w:rPr>
          <w:rFonts w:ascii="Tahoma" w:hAnsi="Tahoma" w:cs="Tahoma"/>
          <w:sz w:val="18"/>
          <w:szCs w:val="18"/>
          <w:rtl/>
        </w:rPr>
        <w:t>לתקינה מתאימה של יחידות החקירות</w:t>
      </w:r>
      <w:r w:rsidRPr="00C34AF5">
        <w:rPr>
          <w:rFonts w:ascii="Tahoma" w:hAnsi="Tahoma" w:cs="Tahoma" w:hint="cs"/>
          <w:sz w:val="18"/>
          <w:szCs w:val="18"/>
          <w:rtl/>
        </w:rPr>
        <w:t>, למשך זמני החקירה, לעבודת המודיעין ולטיפול המשפטי בתיקי החקירות.</w:t>
      </w:r>
    </w:p>
    <w:p w:rsidR="007A3980" w:rsidRPr="00C34AF5" w:rsidP="007A3980" w14:paraId="0413C402" w14:textId="77777777">
      <w:pPr>
        <w:widowControl w:val="0"/>
        <w:tabs>
          <w:tab w:val="left" w:pos="9604"/>
        </w:tabs>
        <w:spacing w:before="240" w:line="276" w:lineRule="auto"/>
        <w:ind w:left="-1"/>
        <w:rPr>
          <w:rFonts w:ascii="Tahoma" w:hAnsi="Tahoma" w:cs="Tahoma"/>
          <w:sz w:val="18"/>
          <w:szCs w:val="18"/>
        </w:rPr>
      </w:pPr>
      <w:r w:rsidRPr="00C34AF5">
        <w:rPr>
          <w:rFonts w:ascii="Tahoma" w:hAnsi="Tahoma" w:cs="Tahoma"/>
          <w:sz w:val="18"/>
          <w:szCs w:val="18"/>
          <w:rtl/>
        </w:rPr>
        <w:t xml:space="preserve">מומלץ כי רשות המיסים תפעל לתקן את הליקויים </w:t>
      </w:r>
      <w:r w:rsidRPr="00C34AF5">
        <w:rPr>
          <w:rFonts w:ascii="Tahoma" w:hAnsi="Tahoma" w:cs="Tahoma" w:hint="cs"/>
          <w:sz w:val="18"/>
          <w:szCs w:val="18"/>
          <w:rtl/>
        </w:rPr>
        <w:t>שצוינו</w:t>
      </w:r>
      <w:r w:rsidRPr="00C34AF5">
        <w:rPr>
          <w:rFonts w:ascii="Tahoma" w:hAnsi="Tahoma" w:cs="Tahoma"/>
          <w:sz w:val="18"/>
          <w:szCs w:val="18"/>
          <w:rtl/>
        </w:rPr>
        <w:t xml:space="preserve"> בדוח זה, </w:t>
      </w:r>
      <w:r w:rsidRPr="00C34AF5">
        <w:rPr>
          <w:rFonts w:ascii="Tahoma" w:hAnsi="Tahoma" w:cs="Tahoma" w:hint="cs"/>
          <w:sz w:val="18"/>
          <w:szCs w:val="18"/>
          <w:rtl/>
        </w:rPr>
        <w:t>לצורך חיזוק</w:t>
      </w:r>
      <w:r w:rsidRPr="00C34AF5">
        <w:rPr>
          <w:rFonts w:ascii="Tahoma" w:hAnsi="Tahoma" w:cs="Tahoma"/>
          <w:sz w:val="18"/>
          <w:szCs w:val="18"/>
          <w:rtl/>
        </w:rPr>
        <w:t xml:space="preserve"> מערך החקירות</w:t>
      </w:r>
      <w:r w:rsidRPr="00C34AF5">
        <w:rPr>
          <w:rFonts w:ascii="Tahoma" w:hAnsi="Tahoma" w:cs="Tahoma" w:hint="cs"/>
          <w:sz w:val="18"/>
          <w:szCs w:val="18"/>
          <w:rtl/>
        </w:rPr>
        <w:t>,</w:t>
      </w:r>
      <w:r w:rsidRPr="00C34AF5">
        <w:rPr>
          <w:rFonts w:ascii="Tahoma" w:hAnsi="Tahoma" w:cs="Tahoma"/>
          <w:sz w:val="18"/>
          <w:szCs w:val="18"/>
          <w:rtl/>
        </w:rPr>
        <w:t xml:space="preserve"> הגברת ההרתעה, גביית מס אמת וחיזוק המאבק בפשיעה הכלכלית.</w:t>
      </w:r>
    </w:p>
    <w:p w:rsidR="00E56721" w:rsidP="004E71DD" w14:paraId="23A9CB32" w14:textId="77777777">
      <w:pPr>
        <w:widowControl w:val="0"/>
        <w:tabs>
          <w:tab w:val="left" w:pos="9604"/>
        </w:tabs>
        <w:spacing w:before="240" w:line="276" w:lineRule="auto"/>
        <w:ind w:left="-1"/>
        <w:rPr>
          <w:rFonts w:ascii="Tahoma" w:hAnsi="Tahoma" w:cs="Tahoma"/>
          <w:sz w:val="18"/>
          <w:szCs w:val="18"/>
        </w:rPr>
      </w:pPr>
    </w:p>
    <w:p w:rsidR="007A3980" w:rsidRPr="007A3980" w:rsidP="004E71DD" w14:paraId="1B37DAFD" w14:textId="77777777">
      <w:pPr>
        <w:widowControl w:val="0"/>
        <w:tabs>
          <w:tab w:val="left" w:pos="9604"/>
        </w:tabs>
        <w:spacing w:before="240" w:line="276" w:lineRule="auto"/>
        <w:ind w:left="-1"/>
        <w:rPr>
          <w:rFonts w:ascii="Tahoma" w:hAnsi="Tahoma" w:cs="Tahoma"/>
          <w:sz w:val="18"/>
          <w:szCs w:val="18"/>
          <w:rtl/>
        </w:rPr>
        <w:sectPr w:rsidSect="00431B74">
          <w:headerReference w:type="even" r:id="rId28"/>
          <w:footerReference w:type="even" r:id="rId29"/>
          <w:pgSz w:w="11906" w:h="16838" w:code="9"/>
          <w:pgMar w:top="3062" w:right="2268" w:bottom="2552" w:left="2268" w:header="1134" w:footer="1361" w:gutter="0"/>
          <w:pgNumType w:start="111"/>
          <w:cols w:space="708"/>
          <w:bidi/>
          <w:rtlGutter/>
          <w:docGrid w:linePitch="360"/>
        </w:sectPr>
      </w:pPr>
    </w:p>
    <w:p w:rsidR="00D57BE9" w:rsidP="00431B74" w14:paraId="2C357BED" w14:textId="4E08FE76">
      <w:pPr>
        <w:pStyle w:val="731"/>
        <w:bidi/>
        <w:rPr>
          <w:rtl/>
        </w:rPr>
      </w:pP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D361C" w14:paraId="6A1247F7" w14:textId="77777777">
      <w:pPr>
        <w:spacing w:line="240" w:lineRule="auto"/>
      </w:pPr>
      <w:r>
        <w:separator/>
      </w:r>
    </w:p>
    <w:p w:rsidR="007D361C" w14:paraId="5A5FC617" w14:textId="77777777"/>
    <w:p w:rsidR="007D361C" w14:paraId="273F47C2" w14:textId="77777777"/>
    <w:p w:rsidR="007D361C" w14:paraId="41B0AA6E" w14:textId="77777777"/>
  </w:endnote>
  <w:endnote w:type="continuationSeparator" w:id="1">
    <w:p w:rsidR="007D361C" w14:paraId="240B2348" w14:textId="77777777">
      <w:pPr>
        <w:spacing w:line="240" w:lineRule="auto"/>
      </w:pPr>
      <w:r>
        <w:continuationSeparator/>
      </w:r>
    </w:p>
    <w:p w:rsidR="007D361C" w14:paraId="5A55354E" w14:textId="77777777"/>
    <w:p w:rsidR="007D361C" w14:paraId="11EADB5D" w14:textId="77777777"/>
    <w:p w:rsidR="007D361C" w14:paraId="79EE33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779B" w14:paraId="5A674C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779B" w14:paraId="254BE6D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361C" w:rsidP="00E7235E" w14:paraId="1C3D2CDA" w14:textId="77777777">
      <w:pPr>
        <w:spacing w:line="240" w:lineRule="auto"/>
      </w:pPr>
      <w:r>
        <w:separator/>
      </w:r>
    </w:p>
  </w:footnote>
  <w:footnote w:type="continuationSeparator" w:id="1">
    <w:p w:rsidR="007D361C" w:rsidP="00C23CC9" w14:paraId="61B73788" w14:textId="77777777">
      <w:pPr>
        <w:spacing w:line="240" w:lineRule="auto"/>
      </w:pPr>
      <w:r>
        <w:continuationSeparator/>
      </w:r>
    </w:p>
    <w:p w:rsidR="007D361C" w14:paraId="4CDA4A53" w14:textId="77777777"/>
    <w:p w:rsidR="007D361C" w14:paraId="6D623DE6" w14:textId="77777777"/>
    <w:p w:rsidR="007D361C" w14:paraId="6CED8209" w14:textId="77777777"/>
  </w:footnote>
  <w:footnote w:id="2">
    <w:p w:rsidR="007A3980" w:rsidRPr="00992DE3" w:rsidP="00992DE3" w14:paraId="171AA692" w14:textId="77777777">
      <w:pPr>
        <w:pStyle w:val="733"/>
        <w:rPr>
          <w:rtl/>
        </w:rPr>
      </w:pPr>
      <w:r w:rsidRPr="00992DE3">
        <w:rPr>
          <w:rStyle w:val="FootnoteReference2"/>
          <w:vertAlign w:val="baseline"/>
        </w:rPr>
        <w:footnoteRef/>
      </w:r>
      <w:r w:rsidRPr="00992DE3">
        <w:rPr>
          <w:rtl/>
        </w:rPr>
        <w:t xml:space="preserve"> </w:t>
      </w:r>
      <w:r w:rsidRPr="00992DE3">
        <w:rPr>
          <w:rtl/>
        </w:rPr>
        <w:tab/>
        <w:t>כלכלה שחורה היא פעילות כלכלית שאינה מדווחת, ושאין משלמים בגינה מס. ההכנסות ממנה מכונות "הון שחור".</w:t>
      </w:r>
    </w:p>
  </w:footnote>
  <w:footnote w:id="3">
    <w:p w:rsidR="007A3980" w:rsidRPr="00992DE3" w:rsidP="00992DE3" w14:paraId="6BE7E067" w14:textId="77777777">
      <w:pPr>
        <w:pStyle w:val="733"/>
        <w:rPr>
          <w:rtl/>
        </w:rPr>
      </w:pPr>
      <w:r w:rsidRPr="00992DE3">
        <w:rPr>
          <w:rStyle w:val="FootnoteReference2"/>
          <w:vertAlign w:val="baseline"/>
        </w:rPr>
        <w:footnoteRef/>
      </w:r>
      <w:r w:rsidRPr="00992DE3">
        <w:rPr>
          <w:rtl/>
        </w:rPr>
        <w:t xml:space="preserve"> </w:t>
      </w:r>
      <w:r w:rsidRPr="00992DE3">
        <w:rPr>
          <w:rtl/>
        </w:rPr>
        <w:tab/>
      </w:r>
      <w:bookmarkStart w:id="2" w:name="_Hlk136789418"/>
      <w:r w:rsidRPr="00992DE3">
        <w:rPr>
          <w:rtl/>
        </w:rPr>
        <w:t xml:space="preserve">הנחייה זו עודכנה מספר פעמים, כאשר העדכון האחרון נעשה באפריל 2023. על פי </w:t>
      </w:r>
      <w:r w:rsidRPr="00992DE3">
        <w:rPr>
          <w:rFonts w:hint="eastAsia"/>
          <w:rtl/>
        </w:rPr>
        <w:t>ההנחיה</w:t>
      </w:r>
      <w:r w:rsidRPr="00992DE3">
        <w:rPr>
          <w:rtl/>
        </w:rPr>
        <w:t xml:space="preserve"> במקרים חריגים הגורמים הרלוונטיים יכולים לתת אורכות לפרק הזמן הקצוב לטיפול המשפטי בתיק.</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181E7F" w14:textId="5E644A0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181E7F" w:rsidR="00181E7F">
                            <w:rPr>
                              <w:rFonts w:ascii="Tahoma" w:hAnsi="Tahoma" w:cs="Tahoma"/>
                              <w:b/>
                              <w:bCs/>
                              <w:rtl/>
                            </w:rPr>
                            <w:t>ניהול מערך החקירות ברשות המיסים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181E7F" w14:paraId="77809697" w14:textId="5E644A0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181E7F" w:rsidR="00181E7F">
                      <w:rPr>
                        <w:rFonts w:ascii="Tahoma" w:hAnsi="Tahoma" w:cs="Tahoma"/>
                        <w:b/>
                        <w:bCs/>
                        <w:rtl/>
                      </w:rPr>
                      <w:t>ניהול מערך החקירות ברשות המיסים</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29724A06">
                          <w:pPr>
                            <w:jc w:val="right"/>
                            <w:rPr>
                              <w:color w:val="0D0D0D" w:themeColor="text1" w:themeTint="F2"/>
                              <w:sz w:val="16"/>
                              <w:szCs w:val="16"/>
                            </w:rPr>
                          </w:pPr>
                          <w:r w:rsidRPr="00AF3B73">
                            <w:rPr>
                              <w:rFonts w:ascii="Tahoma" w:hAnsi="Tahoma" w:cs="Tahoma"/>
                              <w:color w:val="0D0D0D"/>
                              <w:sz w:val="16"/>
                              <w:szCs w:val="16"/>
                              <w:rtl/>
                            </w:rPr>
                            <w:t xml:space="preserve">דוח </w:t>
                          </w:r>
                          <w:r w:rsidRPr="00966102" w:rsidR="00966102">
                            <w:rPr>
                              <w:rFonts w:ascii="Tahoma" w:hAnsi="Tahoma" w:cs="Tahoma"/>
                              <w:color w:val="0D0D0D"/>
                              <w:sz w:val="16"/>
                              <w:szCs w:val="16"/>
                              <w:rtl/>
                            </w:rPr>
                            <w:t xml:space="preserve">מבקר המדינה | </w:t>
                          </w:r>
                          <w:r w:rsidR="00FC49BF">
                            <w:rPr>
                              <w:rFonts w:ascii="Tahoma" w:hAnsi="Tahoma" w:cs="Tahoma"/>
                              <w:color w:val="0D0D0D"/>
                              <w:sz w:val="16"/>
                              <w:szCs w:val="16"/>
                              <w:rtl/>
                            </w:rPr>
                            <w:t>שבט</w:t>
                          </w:r>
                          <w:r w:rsidRPr="00966102" w:rsidR="00966102">
                            <w:rPr>
                              <w:rFonts w:ascii="Tahoma" w:hAnsi="Tahoma" w:cs="Tahoma"/>
                              <w:color w:val="0D0D0D"/>
                              <w:sz w:val="16"/>
                              <w:szCs w:val="16"/>
                              <w:rtl/>
                            </w:rPr>
                            <w:t xml:space="preserve"> </w:t>
                          </w:r>
                          <w:r w:rsidRPr="00966102" w:rsidR="00966102">
                            <w:rPr>
                              <w:rFonts w:ascii="Tahoma" w:hAnsi="Tahoma" w:cs="Tahoma"/>
                              <w:color w:val="0D0D0D"/>
                              <w:sz w:val="16"/>
                              <w:szCs w:val="16"/>
                              <w:rtl/>
                            </w:rPr>
                            <w:t>התשפ״ד</w:t>
                          </w:r>
                          <w:r w:rsidRPr="00966102" w:rsidR="00966102">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29724A06">
                    <w:pPr>
                      <w:jc w:val="right"/>
                      <w:rPr>
                        <w:color w:val="0D0D0D" w:themeColor="text1" w:themeTint="F2"/>
                        <w:sz w:val="16"/>
                        <w:szCs w:val="16"/>
                      </w:rPr>
                    </w:pPr>
                    <w:r w:rsidRPr="00AF3B73">
                      <w:rPr>
                        <w:rFonts w:ascii="Tahoma" w:hAnsi="Tahoma" w:cs="Tahoma"/>
                        <w:color w:val="0D0D0D"/>
                        <w:sz w:val="16"/>
                        <w:szCs w:val="16"/>
                        <w:rtl/>
                      </w:rPr>
                      <w:t xml:space="preserve">דוח </w:t>
                    </w:r>
                    <w:r w:rsidRPr="00966102" w:rsidR="00966102">
                      <w:rPr>
                        <w:rFonts w:ascii="Tahoma" w:hAnsi="Tahoma" w:cs="Tahoma"/>
                        <w:color w:val="0D0D0D"/>
                        <w:sz w:val="16"/>
                        <w:szCs w:val="16"/>
                        <w:rtl/>
                      </w:rPr>
                      <w:t xml:space="preserve">מבקר המדינה | </w:t>
                    </w:r>
                    <w:r w:rsidR="00FC49BF">
                      <w:rPr>
                        <w:rFonts w:ascii="Tahoma" w:hAnsi="Tahoma" w:cs="Tahoma"/>
                        <w:color w:val="0D0D0D"/>
                        <w:sz w:val="16"/>
                        <w:szCs w:val="16"/>
                        <w:rtl/>
                      </w:rPr>
                      <w:t>שבט</w:t>
                    </w:r>
                    <w:r w:rsidRPr="00966102" w:rsidR="00966102">
                      <w:rPr>
                        <w:rFonts w:ascii="Tahoma" w:hAnsi="Tahoma" w:cs="Tahoma"/>
                        <w:color w:val="0D0D0D"/>
                        <w:sz w:val="16"/>
                        <w:szCs w:val="16"/>
                        <w:rtl/>
                      </w:rPr>
                      <w:t xml:space="preserve"> </w:t>
                    </w:r>
                    <w:r w:rsidRPr="00966102" w:rsidR="00966102">
                      <w:rPr>
                        <w:rFonts w:ascii="Tahoma" w:hAnsi="Tahoma" w:cs="Tahoma"/>
                        <w:color w:val="0D0D0D"/>
                        <w:sz w:val="16"/>
                        <w:szCs w:val="16"/>
                        <w:rtl/>
                      </w:rPr>
                      <w:t>התשפ״ד</w:t>
                    </w:r>
                    <w:r w:rsidRPr="00966102" w:rsidR="00966102">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24945B77">
                          <w:pPr>
                            <w:pStyle w:val="Heading1"/>
                            <w:spacing w:line="269" w:lineRule="auto"/>
                            <w:jc w:val="left"/>
                            <w:rPr>
                              <w:rFonts w:ascii="Tahoma" w:hAnsi="Tahoma" w:eastAsiaTheme="minorHAnsi" w:cs="Tahoma"/>
                              <w:bCs w:val="0"/>
                              <w:color w:val="0D0D0D" w:themeColor="text1" w:themeTint="F2"/>
                              <w:sz w:val="16"/>
                              <w:szCs w:val="16"/>
                              <w:u w:val="none"/>
                            </w:rPr>
                          </w:pPr>
                          <w:r w:rsidRPr="00181E7F">
                            <w:rPr>
                              <w:rFonts w:ascii="Tahoma" w:hAnsi="Tahoma" w:eastAsiaTheme="minorHAnsi" w:cs="Tahoma"/>
                              <w:bCs w:val="0"/>
                              <w:color w:val="0D0D0D" w:themeColor="text1" w:themeTint="F2"/>
                              <w:sz w:val="16"/>
                              <w:szCs w:val="16"/>
                              <w:u w:val="none"/>
                              <w:rtl/>
                            </w:rPr>
                            <w:t>ניהול מערך החקירות ברשות המיסים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24945B77">
                    <w:pPr>
                      <w:pStyle w:val="Heading1"/>
                      <w:spacing w:line="269" w:lineRule="auto"/>
                      <w:jc w:val="left"/>
                      <w:rPr>
                        <w:rFonts w:ascii="Tahoma" w:hAnsi="Tahoma" w:eastAsiaTheme="minorHAnsi" w:cs="Tahoma"/>
                        <w:bCs w:val="0"/>
                        <w:color w:val="0D0D0D" w:themeColor="text1" w:themeTint="F2"/>
                        <w:sz w:val="16"/>
                        <w:szCs w:val="16"/>
                        <w:u w:val="none"/>
                      </w:rPr>
                    </w:pPr>
                    <w:r w:rsidRPr="00181E7F">
                      <w:rPr>
                        <w:rFonts w:ascii="Tahoma" w:hAnsi="Tahoma" w:eastAsiaTheme="minorHAnsi" w:cs="Tahoma"/>
                        <w:bCs w:val="0"/>
                        <w:color w:val="0D0D0D" w:themeColor="text1" w:themeTint="F2"/>
                        <w:sz w:val="16"/>
                        <w:szCs w:val="16"/>
                        <w:u w:val="none"/>
                        <w:rtl/>
                      </w:rPr>
                      <w:t>ניהול מערך החקירות ברשות המיסים</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181E7F" w14:textId="0480410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81E7F" w:rsidR="00181E7F">
                            <w:rPr>
                              <w:rFonts w:ascii="Tahoma" w:hAnsi="Tahoma" w:cs="Tahoma"/>
                              <w:b/>
                              <w:bCs/>
                              <w:rtl/>
                            </w:rPr>
                            <w:t>ניהול מערך החקירות ברשות המיסים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181E7F" w14:paraId="3B4CCAD6" w14:textId="0480410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81E7F" w:rsidR="00181E7F">
                      <w:rPr>
                        <w:rFonts w:ascii="Tahoma" w:hAnsi="Tahoma" w:cs="Tahoma"/>
                        <w:b/>
                        <w:bCs/>
                        <w:rtl/>
                      </w:rPr>
                      <w:t>ניהול מערך החקירות ברשות המיסים</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72776D1">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FC49BF">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172776D1">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FC49BF">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C1ADFC6"/>
    <w:lvl w:ilvl="0">
      <w:start w:val="1"/>
      <w:numFmt w:val="decimal"/>
      <w:lvlText w:val="%1."/>
      <w:lvlJc w:val="left"/>
      <w:pPr>
        <w:tabs>
          <w:tab w:val="num" w:pos="1492"/>
        </w:tabs>
        <w:ind w:left="1492" w:hanging="360"/>
      </w:pPr>
    </w:lvl>
  </w:abstractNum>
  <w:abstractNum w:abstractNumId="1">
    <w:nsid w:val="FFFFFF7D"/>
    <w:multiLevelType w:val="singleLevel"/>
    <w:tmpl w:val="A3D4A382"/>
    <w:lvl w:ilvl="0">
      <w:start w:val="1"/>
      <w:numFmt w:val="decimal"/>
      <w:lvlText w:val="%1."/>
      <w:lvlJc w:val="left"/>
      <w:pPr>
        <w:tabs>
          <w:tab w:val="num" w:pos="1209"/>
        </w:tabs>
        <w:ind w:left="1209" w:hanging="360"/>
      </w:pPr>
    </w:lvl>
  </w:abstractNum>
  <w:abstractNum w:abstractNumId="2">
    <w:nsid w:val="FFFFFF7F"/>
    <w:multiLevelType w:val="singleLevel"/>
    <w:tmpl w:val="7E341C50"/>
    <w:lvl w:ilvl="0">
      <w:start w:val="1"/>
      <w:numFmt w:val="decimal"/>
      <w:lvlText w:val="%1."/>
      <w:lvlJc w:val="left"/>
      <w:pPr>
        <w:tabs>
          <w:tab w:val="num" w:pos="643"/>
        </w:tabs>
        <w:ind w:left="643" w:hanging="360"/>
      </w:pPr>
    </w:lvl>
  </w:abstractNum>
  <w:abstractNum w:abstractNumId="3">
    <w:nsid w:val="FFFFFF80"/>
    <w:multiLevelType w:val="singleLevel"/>
    <w:tmpl w:val="66ECE51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3A6652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1523E2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4A1CA764"/>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E7B0CD90"/>
    <w:lvl w:ilvl="0">
      <w:start w:val="1"/>
      <w:numFmt w:val="bullet"/>
      <w:lvlText w:val=""/>
      <w:lvlJc w:val="left"/>
      <w:pPr>
        <w:tabs>
          <w:tab w:val="num" w:pos="360"/>
        </w:tabs>
        <w:ind w:left="360" w:hanging="360"/>
      </w:pPr>
      <w:rPr>
        <w:rFonts w:ascii="Symbol" w:hAnsi="Symbol" w:hint="default"/>
      </w:rPr>
    </w:lvl>
  </w:abstractNum>
  <w:abstractNum w:abstractNumId="8">
    <w:nsid w:val="00736841"/>
    <w:multiLevelType w:val="hybridMultilevel"/>
    <w:tmpl w:val="943EA252"/>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3725615"/>
    <w:multiLevelType w:val="hybridMultilevel"/>
    <w:tmpl w:val="7DF48E02"/>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nsid w:val="608D3FE4"/>
    <w:multiLevelType w:val="hybridMultilevel"/>
    <w:tmpl w:val="3C0E3DCA"/>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5"/>
  </w:num>
  <w:num w:numId="2">
    <w:abstractNumId w:val="12"/>
  </w:num>
  <w:num w:numId="3">
    <w:abstractNumId w:val="13"/>
  </w:num>
  <w:num w:numId="4">
    <w:abstractNumId w:val="19"/>
  </w:num>
  <w:num w:numId="5">
    <w:abstractNumId w:val="10"/>
  </w:num>
  <w:num w:numId="6">
    <w:abstractNumId w:val="14"/>
  </w:num>
  <w:num w:numId="7">
    <w:abstractNumId w:val="17"/>
  </w:num>
  <w:num w:numId="8">
    <w:abstractNumId w:val="11"/>
  </w:num>
  <w:num w:numId="9">
    <w:abstractNumId w:val="16"/>
  </w:num>
  <w:num w:numId="10">
    <w:abstractNumId w:val="9"/>
  </w:num>
  <w:num w:numId="11">
    <w:abstractNumId w:val="8"/>
  </w:num>
  <w:num w:numId="12">
    <w:abstractNumId w:val="18"/>
  </w:num>
  <w:num w:numId="13">
    <w:abstractNumId w:val="3"/>
  </w:num>
  <w:num w:numId="14">
    <w:abstractNumId w:val="4"/>
  </w:num>
  <w:num w:numId="15">
    <w:abstractNumId w:val="5"/>
  </w:num>
  <w:num w:numId="16">
    <w:abstractNumId w:val="6"/>
  </w:num>
  <w:num w:numId="17">
    <w:abstractNumId w:val="7"/>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2B"/>
    <w:rsid w:val="00076ED7"/>
    <w:rsid w:val="0007717F"/>
    <w:rsid w:val="0007762A"/>
    <w:rsid w:val="000779CE"/>
    <w:rsid w:val="00077B79"/>
    <w:rsid w:val="00080072"/>
    <w:rsid w:val="000803F2"/>
    <w:rsid w:val="00080C22"/>
    <w:rsid w:val="00081D0E"/>
    <w:rsid w:val="000821CA"/>
    <w:rsid w:val="000824F8"/>
    <w:rsid w:val="000831A4"/>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8EA"/>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3E"/>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A63"/>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1E7F"/>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3EC9"/>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1AD"/>
    <w:rsid w:val="00265428"/>
    <w:rsid w:val="002654D1"/>
    <w:rsid w:val="0026633D"/>
    <w:rsid w:val="00270C90"/>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8CD"/>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C04"/>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5DA"/>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153E"/>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6E8"/>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D3"/>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B74"/>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18"/>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5B10"/>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3A"/>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BC4"/>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3C35"/>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0A1"/>
    <w:rsid w:val="0066760C"/>
    <w:rsid w:val="00667ABB"/>
    <w:rsid w:val="006708C9"/>
    <w:rsid w:val="00670B88"/>
    <w:rsid w:val="00670E84"/>
    <w:rsid w:val="0067240D"/>
    <w:rsid w:val="006726E0"/>
    <w:rsid w:val="006742C5"/>
    <w:rsid w:val="00674A96"/>
    <w:rsid w:val="00674D18"/>
    <w:rsid w:val="006750F1"/>
    <w:rsid w:val="00675A81"/>
    <w:rsid w:val="006761D5"/>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1DB"/>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6CF7"/>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0FC7"/>
    <w:rsid w:val="007A1E36"/>
    <w:rsid w:val="007A2FCF"/>
    <w:rsid w:val="007A3980"/>
    <w:rsid w:val="007A3AB1"/>
    <w:rsid w:val="007A3DF5"/>
    <w:rsid w:val="007A3F08"/>
    <w:rsid w:val="007A44B6"/>
    <w:rsid w:val="007A4845"/>
    <w:rsid w:val="007A4DFA"/>
    <w:rsid w:val="007A4EBD"/>
    <w:rsid w:val="007A4FE7"/>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0DC"/>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361C"/>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C07"/>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11B2"/>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3A56"/>
    <w:rsid w:val="009641AD"/>
    <w:rsid w:val="009642EC"/>
    <w:rsid w:val="009647A2"/>
    <w:rsid w:val="00964E73"/>
    <w:rsid w:val="00965248"/>
    <w:rsid w:val="00965427"/>
    <w:rsid w:val="00965842"/>
    <w:rsid w:val="00966017"/>
    <w:rsid w:val="00966102"/>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734"/>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2DE3"/>
    <w:rsid w:val="0099339C"/>
    <w:rsid w:val="00993599"/>
    <w:rsid w:val="00994CCA"/>
    <w:rsid w:val="00996FFF"/>
    <w:rsid w:val="009974A8"/>
    <w:rsid w:val="009975C9"/>
    <w:rsid w:val="0099779B"/>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2D7"/>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0790D"/>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6E10"/>
    <w:rsid w:val="00B2725F"/>
    <w:rsid w:val="00B2747D"/>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90E"/>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E7F4B"/>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AF5"/>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46E"/>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0B2D"/>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2F"/>
    <w:rsid w:val="00D95458"/>
    <w:rsid w:val="00D9598E"/>
    <w:rsid w:val="00D95B44"/>
    <w:rsid w:val="00D95C20"/>
    <w:rsid w:val="00D961B5"/>
    <w:rsid w:val="00D961C7"/>
    <w:rsid w:val="00D96BFE"/>
    <w:rsid w:val="00D96C8F"/>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9FD"/>
    <w:rsid w:val="00E16E4C"/>
    <w:rsid w:val="00E16FF5"/>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0FA4"/>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8C5"/>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0D59"/>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993"/>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9A6"/>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3DE5"/>
    <w:rsid w:val="00F847A0"/>
    <w:rsid w:val="00F85ABF"/>
    <w:rsid w:val="00F85D19"/>
    <w:rsid w:val="00F860A3"/>
    <w:rsid w:val="00F8633B"/>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953"/>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917"/>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9BF"/>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29E"/>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2507E8"/>
    <w:pPr>
      <w:keepNext/>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992DE3"/>
    <w:pPr>
      <w:keepNext w:val="0"/>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507E8"/>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F279A6"/>
    <w:pPr>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F279A6"/>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2507E8"/>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992DE3"/>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0_0_0_0_0,Footnote Reference_1,Footnote Reference_1_0,Footnote Reference_2,Footnote Reference_3,Footnote Reference_4,מ"/>
    <w:basedOn w:val="DefaultParagraphFont"/>
    <w:uiPriority w:val="99"/>
    <w:unhideWhenUsed/>
    <w:rsid w:val="007A3980"/>
    <w:rPr>
      <w:vertAlign w:val="superscript"/>
    </w:rPr>
  </w:style>
  <w:style w:type="character" w:styleId="CommentReference">
    <w:name w:val="annotation reference"/>
    <w:basedOn w:val="DefaultParagraphFont"/>
    <w:uiPriority w:val="99"/>
    <w:semiHidden/>
    <w:unhideWhenUsed/>
    <w:rsid w:val="004C5B10"/>
    <w:rPr>
      <w:sz w:val="16"/>
      <w:szCs w:val="16"/>
    </w:rPr>
  </w:style>
  <w:style w:type="character" w:customStyle="1" w:styleId="124">
    <w:name w:val="אזכור לא מזוהה1"/>
    <w:basedOn w:val="DefaultParagraphFont"/>
    <w:uiPriority w:val="99"/>
    <w:semiHidden/>
    <w:unhideWhenUsed/>
    <w:rsid w:val="004C5B10"/>
    <w:rPr>
      <w:color w:val="605E5C"/>
      <w:shd w:val="clear" w:color="auto" w:fill="E1DFDD"/>
    </w:rPr>
  </w:style>
  <w:style w:type="character" w:customStyle="1" w:styleId="29">
    <w:name w:val="אזכור לא מזוהה2"/>
    <w:basedOn w:val="DefaultParagraphFont"/>
    <w:uiPriority w:val="99"/>
    <w:semiHidden/>
    <w:unhideWhenUsed/>
    <w:rsid w:val="004C5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78487-1C60-413D-B809-690399F7D321}"/>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11</Pages>
  <Words>1962</Words>
  <Characters>9813</Characters>
  <Application>Microsoft Office Word</Application>
  <DocSecurity>0</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2024-01-08T09:57:00Z</cp:lastPrinted>
  <dcterms:created xsi:type="dcterms:W3CDTF">2024-01-08T09:57:00Z</dcterms:created>
  <dcterms:modified xsi:type="dcterms:W3CDTF">2024-01-08T09:57:00Z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