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25A0B03F">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152646</wp:posOffset>
                </wp:positionH>
                <wp:positionV relativeFrom="paragraph">
                  <wp:posOffset>1916410</wp:posOffset>
                </wp:positionV>
                <wp:extent cx="2786564"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86564"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12pt,150.9pt" to="231.4pt,150.9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64135</wp:posOffset>
                </wp:positionH>
                <wp:positionV relativeFrom="paragraph">
                  <wp:posOffset>332740</wp:posOffset>
                </wp:positionV>
                <wp:extent cx="4401185" cy="4273550"/>
                <wp:effectExtent l="0" t="0" r="571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0118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25BF63DD">
                            <w:pPr>
                              <w:pStyle w:val="a33"/>
                              <w:bidi/>
                              <w:rPr>
                                <w:rtl/>
                              </w:rPr>
                            </w:pPr>
                            <w:r>
                              <w:rPr>
                                <w:rFonts w:hint="cs"/>
                                <w:rtl/>
                              </w:rPr>
                              <w:t xml:space="preserve">דוח </w:t>
                            </w:r>
                            <w:r w:rsidRPr="004F5000" w:rsidR="004F5000">
                              <w:rPr>
                                <w:rtl/>
                              </w:rPr>
                              <w:t xml:space="preserve">מבקר המדינה | </w:t>
                            </w:r>
                            <w:r w:rsidR="007B1623">
                              <w:rPr>
                                <w:rtl/>
                              </w:rPr>
                              <w:t>שבט</w:t>
                            </w:r>
                            <w:r w:rsidRPr="004F5000" w:rsidR="004F5000">
                              <w:rPr>
                                <w:rtl/>
                              </w:rPr>
                              <w:t xml:space="preserve"> </w:t>
                            </w:r>
                            <w:r w:rsidRPr="004F5000" w:rsidR="004F5000">
                              <w:rPr>
                                <w:rtl/>
                              </w:rPr>
                              <w:t>התשפ״ד</w:t>
                            </w:r>
                            <w:r w:rsidRPr="004F5000" w:rsidR="004F5000">
                              <w:rPr>
                                <w:rtl/>
                              </w:rPr>
                              <w:t xml:space="preserve"> | ינואר 2024 </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0CE61579">
                            <w:pPr>
                              <w:pStyle w:val="-1"/>
                              <w:rPr>
                                <w:rtl/>
                              </w:rPr>
                            </w:pPr>
                            <w:r w:rsidRPr="00067B31">
                              <w:rPr>
                                <w:rtl/>
                              </w:rPr>
                              <w:t>משרד התחבורה והבטיחות בדרכים</w:t>
                            </w:r>
                          </w:p>
                          <w:p w:rsidR="00F73EE0" w:rsidRPr="000F5023" w:rsidP="0072357A" w14:textId="15B5E88E">
                            <w:pPr>
                              <w:pStyle w:val="a32"/>
                              <w:bidi/>
                              <w:spacing w:before="120"/>
                              <w:rPr>
                                <w:rtl/>
                              </w:rPr>
                            </w:pPr>
                            <w:r w:rsidRPr="00F60F40">
                              <w:rPr>
                                <w:rtl/>
                              </w:rPr>
                              <w:t>תכנון וקידום של התחבורה הציבורית - ביקורת מעקב</w:t>
                            </w:r>
                            <w: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alt="&quot;&quot;" style="width:346.55pt;height:336.5pt;margin-top:26.2pt;margin-left:5.0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25BF63DD">
                      <w:pPr>
                        <w:pStyle w:val="a33"/>
                        <w:bidi/>
                        <w:rPr>
                          <w:rtl/>
                        </w:rPr>
                      </w:pPr>
                      <w:r>
                        <w:rPr>
                          <w:rFonts w:hint="cs"/>
                          <w:rtl/>
                        </w:rPr>
                        <w:t xml:space="preserve">דוח </w:t>
                      </w:r>
                      <w:r w:rsidRPr="004F5000" w:rsidR="004F5000">
                        <w:rPr>
                          <w:rtl/>
                        </w:rPr>
                        <w:t xml:space="preserve">מבקר המדינה | </w:t>
                      </w:r>
                      <w:r w:rsidR="007B1623">
                        <w:rPr>
                          <w:rtl/>
                        </w:rPr>
                        <w:t>שבט</w:t>
                      </w:r>
                      <w:r w:rsidRPr="004F5000" w:rsidR="004F5000">
                        <w:rPr>
                          <w:rtl/>
                        </w:rPr>
                        <w:t xml:space="preserve"> </w:t>
                      </w:r>
                      <w:r w:rsidRPr="004F5000" w:rsidR="004F5000">
                        <w:rPr>
                          <w:rtl/>
                        </w:rPr>
                        <w:t>התשפ״ד</w:t>
                      </w:r>
                      <w:r w:rsidRPr="004F5000" w:rsidR="004F5000">
                        <w:rPr>
                          <w:rtl/>
                        </w:rPr>
                        <w:t xml:space="preserve"> | ינואר 2024 </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0CE61579">
                      <w:pPr>
                        <w:pStyle w:val="-1"/>
                        <w:rPr>
                          <w:rtl/>
                        </w:rPr>
                      </w:pPr>
                      <w:r w:rsidRPr="00067B31">
                        <w:rPr>
                          <w:rtl/>
                        </w:rPr>
                        <w:t>משרד התחבורה והבטיחות בדרכים</w:t>
                      </w:r>
                    </w:p>
                    <w:p w:rsidR="00F73EE0" w:rsidRPr="000F5023" w:rsidP="0072357A" w14:paraId="5464BE8D" w14:textId="15B5E88E">
                      <w:pPr>
                        <w:pStyle w:val="a32"/>
                        <w:bidi/>
                        <w:spacing w:before="120"/>
                        <w:rPr>
                          <w:rtl/>
                        </w:rPr>
                      </w:pPr>
                      <w:r w:rsidRPr="00F60F40">
                        <w:rPr>
                          <w:rtl/>
                        </w:rPr>
                        <w:t>תכנון וקידום של התחבורה הציבורית - ביקורת מעקב</w:t>
                      </w:r>
                      <w:r>
                        <w:t xml:space="preserve"> </w:t>
                      </w:r>
                    </w:p>
                    <w:p w:rsidR="00C30482" w:rsidRPr="000F5023" w:rsidP="000F5023" w14:paraId="5BE5E625" w14:textId="77777777">
                      <w:pPr>
                        <w:pStyle w:val="a32"/>
                        <w:bidi/>
                        <w:rPr>
                          <w:rtl/>
                        </w:rPr>
                      </w:pPr>
                    </w:p>
                  </w:txbxContent>
                </v:textbox>
                <w10:wrap type="square"/>
              </v:shape>
            </w:pict>
          </mc:Fallback>
        </mc:AlternateContent>
      </w:r>
      <w:r w:rsidR="00F60F4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3061355</wp:posOffset>
                </wp:positionH>
                <wp:positionV relativeFrom="paragraph">
                  <wp:posOffset>259264</wp:posOffset>
                </wp:positionV>
                <wp:extent cx="0" cy="3782962"/>
                <wp:effectExtent l="25400" t="0" r="25400" b="2730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8296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1" style="mso-height-percent:0;mso-height-relative:margin;mso-width-percent:0;mso-width-relative:margin;mso-wrap-distance-bottom:0;mso-wrap-distance-left:9pt;mso-wrap-distance-right:9pt;mso-wrap-distance-top:0;mso-wrap-style:square;position:absolute;visibility:visible;z-index:251667456" from="241.05pt,20.4pt" to="241.05pt,318.25pt" strokecolor="white" strokeweight="4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523E24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067B31" w14:paraId="4ED3AA37" w14:textId="2DDB2F05">
      <w:pPr>
        <w:pStyle w:val="7329"/>
        <w:spacing w:after="1200"/>
        <w:rPr>
          <w:rtl/>
        </w:rPr>
      </w:pPr>
      <w:r w:rsidRPr="00802F2E">
        <w:rPr>
          <w:noProof/>
          <w:rtl/>
        </w:rPr>
        <w:drawing>
          <wp:anchor distT="0" distB="0" distL="114300" distR="114300" simplePos="0" relativeHeight="251680768" behindDoc="0" locked="0" layoutInCell="1" allowOverlap="1">
            <wp:simplePos x="0" y="0"/>
            <wp:positionH relativeFrom="column">
              <wp:posOffset>3293110</wp:posOffset>
            </wp:positionH>
            <wp:positionV relativeFrom="paragraph">
              <wp:posOffset>1006495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F60F40" w:rsidR="00F60F40">
        <w:rPr>
          <w:noProof/>
          <w:rtl/>
        </w:rPr>
        <w:t>תכנון וקידום של התחבורה הציבורית - ביקורת מעקב</w:t>
      </w:r>
      <w:r w:rsidR="00F60F40">
        <w:t xml:space="preserve"> </w:t>
      </w:r>
    </w:p>
    <w:p w:rsidR="00590377" w:rsidRPr="002E2CC2" w:rsidP="00590377" w14:paraId="5A440F86" w14:textId="77777777">
      <w:pPr>
        <w:pStyle w:val="7392"/>
        <w:rPr>
          <w:rtl/>
        </w:rPr>
      </w:pPr>
      <w:r w:rsidRPr="002E2CC2">
        <w:rPr>
          <w:rtl/>
        </w:rPr>
        <w:t>ענף התחבורה הוא אחד הענפים הכלכליים המרכזיים במשק, והתפתחותו היא תנאי הכרחי לתפקוד יעיל של משק מודרני וצומח. מערכות התחבורה משמשות מנוף בעל חשיבות מכרעת בתהליך הצמיחה הכלכלית, והן תורמות ליעילות הכלכלית ולפיתוח העירוני והאזורי. כמו כן הן תורמות לשיפור רווחת אזרחי המדינה ואף לצמצום פערים כלכליים וחברתיים.</w:t>
      </w:r>
    </w:p>
    <w:p w:rsidR="007F4A20" w:rsidP="00590377" w14:paraId="0B41EED6" w14:textId="2119DB04">
      <w:pPr>
        <w:pStyle w:val="7392"/>
      </w:pPr>
      <w:r w:rsidRPr="00D527BD">
        <w:rPr>
          <w:noProof/>
          <w:szCs w:val="20"/>
          <w:rtl/>
        </w:rPr>
        <w:drawing>
          <wp:anchor distT="0" distB="0" distL="114300" distR="114300" simplePos="0" relativeHeight="251695104" behindDoc="0" locked="0" layoutInCell="1" allowOverlap="1">
            <wp:simplePos x="0" y="0"/>
            <wp:positionH relativeFrom="column">
              <wp:posOffset>-61206</wp:posOffset>
            </wp:positionH>
            <wp:positionV relativeFrom="paragraph">
              <wp:posOffset>579427</wp:posOffset>
            </wp:positionV>
            <wp:extent cx="4770149" cy="1054510"/>
            <wp:effectExtent l="0" t="0" r="0" b="0"/>
            <wp:wrapNone/>
            <wp:docPr id="1282693601" name="תמונה 128269360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693601"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826145" cy="1066889"/>
                    </a:xfrm>
                    <a:prstGeom prst="rect">
                      <a:avLst/>
                    </a:prstGeom>
                  </pic:spPr>
                </pic:pic>
              </a:graphicData>
            </a:graphic>
            <wp14:sizeRelH relativeFrom="margin">
              <wp14:pctWidth>0</wp14:pctWidth>
            </wp14:sizeRelH>
            <wp14:sizeRelV relativeFrom="margin">
              <wp14:pctHeight>0</wp14:pctHeight>
            </wp14:sizeRelV>
          </wp:anchor>
        </w:drawing>
      </w:r>
      <w:r w:rsidRPr="002E2CC2">
        <w:rPr>
          <w:rtl/>
        </w:rPr>
        <w:t>להלן תיאור התפ</w:t>
      </w:r>
      <w:r w:rsidR="00913CBA">
        <w:rPr>
          <w:rFonts w:hint="cs"/>
          <w:rtl/>
        </w:rPr>
        <w:t>ת</w:t>
      </w:r>
      <w:r w:rsidRPr="002E2CC2">
        <w:rPr>
          <w:rtl/>
        </w:rPr>
        <w:t>חות מצבת כלי הרכב, אורך הכבישים, שטח הכבישים והנסועה בערכים מוחלטים בשנים 2000 - 2021 בישראל. שנת 2000 נבחרה כשנת בסיס (מדד 100) לצורך ההשוואה</w:t>
      </w:r>
      <w:r w:rsidRPr="00F16A67" w:rsidR="0036097F">
        <w:rPr>
          <w:rFonts w:hint="cs"/>
          <w:rtl/>
        </w:rPr>
        <w:t>.</w:t>
      </w:r>
      <w:r w:rsidRPr="00F16A67" w:rsidR="00B61DE7">
        <w:rPr>
          <w:rtl/>
        </w:rPr>
        <w:t xml:space="preserve"> </w:t>
      </w:r>
    </w:p>
    <w:p w:rsidR="00590377" w:rsidP="00590377" w14:paraId="4D9FF30D" w14:textId="5E7AAF7B">
      <w:pPr>
        <w:pStyle w:val="7317"/>
        <w:rPr>
          <w:rtl/>
        </w:rPr>
      </w:pPr>
      <w:r w:rsidRPr="00D527BD">
        <w:rPr>
          <w:noProof/>
          <w:szCs w:val="20"/>
          <w:rtl/>
        </w:rPr>
        <mc:AlternateContent>
          <mc:Choice Requires="wps">
            <w:drawing>
              <wp:anchor distT="0" distB="0" distL="114300" distR="114300" simplePos="0" relativeHeight="251696128" behindDoc="0" locked="0" layoutInCell="1" allowOverlap="1">
                <wp:simplePos x="0" y="0"/>
                <wp:positionH relativeFrom="column">
                  <wp:posOffset>85725</wp:posOffset>
                </wp:positionH>
                <wp:positionV relativeFrom="paragraph">
                  <wp:posOffset>71509</wp:posOffset>
                </wp:positionV>
                <wp:extent cx="4436745" cy="648929"/>
                <wp:effectExtent l="0" t="0" r="0" b="0"/>
                <wp:wrapNone/>
                <wp:docPr id="154048685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48929"/>
                        </a:xfrm>
                        <a:prstGeom prst="rect">
                          <a:avLst/>
                        </a:prstGeom>
                        <a:solidFill>
                          <a:srgbClr val="F05260"/>
                        </a:solidFill>
                        <a:ln w="9525">
                          <a:noFill/>
                          <a:miter lim="800000"/>
                          <a:headEnd/>
                          <a:tailEnd/>
                        </a:ln>
                      </wps:spPr>
                      <wps:txbx>
                        <w:txbxContent>
                          <w:p w:rsidR="00590377" w:rsidRPr="005C7ABF" w:rsidP="00590377" w14:textId="5B92B6B2">
                            <w:pPr>
                              <w:pStyle w:val="7332"/>
                              <w:rPr>
                                <w:rtl/>
                              </w:rPr>
                            </w:pPr>
                            <w:r w:rsidRPr="00590377">
                              <w:rPr>
                                <w:rtl/>
                              </w:rPr>
                              <w:t>נתונים על שינויים במצבת כלי הרכב ובנסועה בכבישים לעומת התפתחות הכבישים (אורך ושטח) בישראל,</w:t>
                            </w:r>
                            <w:r>
                              <w:br/>
                            </w:r>
                            <w:r w:rsidRPr="00590377">
                              <w:rPr>
                                <w:rtl/>
                              </w:rPr>
                              <w:t>2000 - 2021 (לעומת ערכי הבסיס בשנת 2000)</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51.1pt;margin-top:5.65pt;margin-left:6.75pt;mso-height-percent:0;mso-height-relative:margin;mso-width-percent:0;mso-width-relative:margin;mso-wrap-distance-bottom:0;mso-wrap-distance-left:9pt;mso-wrap-distance-right:9pt;mso-wrap-distance-top:0;mso-wrap-style:square;position:absolute;visibility:visible;v-text-anchor:middle;z-index:251697152" fillcolor="#f05260" stroked="f">
                <v:textbox>
                  <w:txbxContent>
                    <w:p w:rsidR="00590377" w:rsidRPr="005C7ABF" w:rsidP="00590377" w14:paraId="721F237A" w14:textId="5B92B6B2">
                      <w:pPr>
                        <w:pStyle w:val="7332"/>
                        <w:rPr>
                          <w:rtl/>
                        </w:rPr>
                      </w:pPr>
                      <w:r w:rsidRPr="00590377">
                        <w:rPr>
                          <w:rtl/>
                        </w:rPr>
                        <w:t>נתונים על שינויים במצבת כלי הרכב ובנסועה בכבישים לעומת התפתחות הכבישים (אורך ושטח) בישראל,</w:t>
                      </w:r>
                      <w:r>
                        <w:br/>
                      </w:r>
                      <w:r w:rsidRPr="00590377">
                        <w:rPr>
                          <w:rtl/>
                        </w:rPr>
                        <w:t>2000 - 2021 (לעומת ערכי הבסיס בשנת 2000)</w:t>
                      </w:r>
                    </w:p>
                  </w:txbxContent>
                </v:textbox>
              </v:shape>
            </w:pict>
          </mc:Fallback>
        </mc:AlternateContent>
      </w:r>
      <w:r>
        <w:rPr>
          <w:rtl/>
        </w:rPr>
        <w:t xml:space="preserve"> </w:t>
      </w:r>
    </w:p>
    <w:p w:rsidR="00590377" w:rsidP="00590377" w14:paraId="0C3C154A" w14:textId="77777777">
      <w:pPr>
        <w:pStyle w:val="7317"/>
        <w:rPr>
          <w:rtl/>
        </w:rPr>
      </w:pPr>
    </w:p>
    <w:p w:rsidR="00590377" w:rsidRPr="00D57BE9" w:rsidP="00590377" w14:paraId="78096A02" w14:textId="77777777">
      <w:pPr>
        <w:rPr>
          <w:rtl/>
        </w:rPr>
      </w:pPr>
    </w:p>
    <w:p w:rsidR="00590377" w:rsidP="00590377" w14:paraId="1C34BC6D" w14:textId="04FE23C0"/>
    <w:p w:rsidR="00590377" w:rsidRPr="00D57BE9" w:rsidP="00590377" w14:paraId="4A9C65CF" w14:textId="2241ED5C">
      <w:pPr>
        <w:jc w:val="center"/>
        <w:rPr>
          <w:rtl/>
        </w:rPr>
      </w:pPr>
      <w:r>
        <w:rPr>
          <w:noProof/>
          <w:rtl/>
          <w:lang w:val="he-IL"/>
        </w:rPr>
        <w:drawing>
          <wp:inline distT="0" distB="0" distL="0" distR="0">
            <wp:extent cx="4374836" cy="2750574"/>
            <wp:effectExtent l="0" t="0" r="0" b="5715"/>
            <wp:docPr id="57571773" name="תמונה 5757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773" name="תמונה 57571773"/>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4403275" cy="2768455"/>
                    </a:xfrm>
                    <a:prstGeom prst="rect">
                      <a:avLst/>
                    </a:prstGeom>
                  </pic:spPr>
                </pic:pic>
              </a:graphicData>
            </a:graphic>
          </wp:inline>
        </w:drawing>
      </w:r>
    </w:p>
    <w:p w:rsidR="00590377" w:rsidRPr="00590377" w:rsidP="00590377" w14:paraId="0C6C50F0" w14:textId="3BEE9404">
      <w:pPr>
        <w:pStyle w:val="738"/>
      </w:pPr>
      <w:r w:rsidRPr="00590377">
        <w:rPr>
          <w:rtl/>
        </w:rPr>
        <w:t>על פי נתוני הלשכה המרכזית לסטטיסטיקה, בעיבוד משרד מבקר המדינה</w:t>
      </w:r>
      <w:r w:rsidRPr="00590377">
        <w:rPr>
          <w:rFonts w:hint="cs"/>
          <w:rtl/>
        </w:rPr>
        <w:t>.</w:t>
      </w:r>
    </w:p>
    <w:p w:rsidR="00590377" w:rsidP="00590377" w14:paraId="5E6C088B" w14:textId="4C990B53">
      <w:pPr>
        <w:pStyle w:val="7392"/>
      </w:pPr>
      <w:r w:rsidRPr="002E2CC2">
        <w:rPr>
          <w:rtl/>
        </w:rPr>
        <w:t>התרשים מעלה כי בשנים 2000 - 2021 מצבת כלי הרכב, הנסועה, שטח הכבישים ואורך הכבישים גדלו פי 2.1, 1.75, 1.58 ו-1.24 בהתאמה, ולפיכך הגודש בכבישים הולך וגדל משנה לשנה, והנזק בגין הגודש מוערך בכ-31 מיליארד ש"ח בשנת 2021.</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147484</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926FF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590377" w:rsidRPr="00590377" w:rsidP="00590377" w14:paraId="23EB689E" w14:textId="05037E97">
            <w:pPr>
              <w:spacing w:after="60" w:line="240" w:lineRule="auto"/>
              <w:jc w:val="left"/>
              <w:rPr>
                <w:b/>
                <w:bCs/>
                <w:spacing w:val="-28"/>
                <w:rtl/>
              </w:rPr>
            </w:pPr>
            <w:r w:rsidRPr="00590377">
              <w:rPr>
                <w:rFonts w:ascii="Tahoma" w:hAnsi="Tahoma" w:eastAsiaTheme="minorEastAsia" w:cs="Tahoma"/>
                <w:b/>
                <w:bCs/>
                <w:color w:val="0D0D0D" w:themeColor="text1" w:themeTint="F2"/>
                <w:spacing w:val="-10"/>
                <w:sz w:val="26"/>
                <w:szCs w:val="26"/>
                <w:rtl/>
              </w:rPr>
              <w:t>פי</w:t>
            </w:r>
            <w:r w:rsidRPr="00590377">
              <w:rPr>
                <w:rFonts w:ascii="Tahoma" w:hAnsi="Tahoma" w:eastAsiaTheme="minorEastAsia" w:cs="Tahoma"/>
                <w:b/>
                <w:bCs/>
                <w:color w:val="0D0D0D" w:themeColor="text1" w:themeTint="F2"/>
                <w:spacing w:val="-10"/>
                <w:sz w:val="36"/>
                <w:szCs w:val="36"/>
                <w:rtl/>
              </w:rPr>
              <w:t xml:space="preserve"> 2.1 </w:t>
            </w:r>
            <w:r w:rsidRPr="00590377">
              <w:rPr>
                <w:rFonts w:ascii="Tahoma" w:hAnsi="Tahoma" w:eastAsiaTheme="minorEastAsia" w:cs="Tahoma"/>
                <w:b/>
                <w:bCs/>
                <w:color w:val="0D0D0D" w:themeColor="text1" w:themeTint="F2"/>
                <w:spacing w:val="-10"/>
                <w:sz w:val="24"/>
                <w:rtl/>
              </w:rPr>
              <w:t xml:space="preserve">ופי </w:t>
            </w:r>
            <w:r w:rsidRPr="00590377">
              <w:rPr>
                <w:rFonts w:ascii="Tahoma" w:hAnsi="Tahoma" w:eastAsiaTheme="minorEastAsia" w:cs="Tahoma"/>
                <w:b/>
                <w:bCs/>
                <w:color w:val="0D0D0D" w:themeColor="text1" w:themeTint="F2"/>
                <w:spacing w:val="-10"/>
                <w:sz w:val="36"/>
                <w:szCs w:val="36"/>
                <w:rtl/>
              </w:rPr>
              <w:t>1.75</w:t>
            </w:r>
          </w:p>
        </w:tc>
        <w:tc>
          <w:tcPr>
            <w:tcW w:w="161" w:type="pct"/>
            <w:vAlign w:val="bottom"/>
          </w:tcPr>
          <w:p w:rsidR="00590377" w:rsidRPr="00590377" w:rsidP="00590377"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590377" w:rsidRPr="00590377" w:rsidP="00590377" w14:paraId="761F4116" w14:textId="3DAC03B6">
            <w:pPr>
              <w:pStyle w:val="2021"/>
              <w:spacing w:before="0" w:after="60"/>
              <w:rPr>
                <w:spacing w:val="-10"/>
                <w:rtl/>
              </w:rPr>
            </w:pPr>
            <w:r w:rsidRPr="00590377">
              <w:rPr>
                <w:spacing w:val="-10"/>
                <w:sz w:val="26"/>
                <w:szCs w:val="26"/>
                <w:rtl/>
              </w:rPr>
              <w:t xml:space="preserve">פי </w:t>
            </w:r>
            <w:r w:rsidRPr="00590377">
              <w:rPr>
                <w:spacing w:val="-10"/>
                <w:rtl/>
              </w:rPr>
              <w:t xml:space="preserve">1.58 </w:t>
            </w:r>
            <w:r w:rsidRPr="00590377">
              <w:rPr>
                <w:spacing w:val="-10"/>
                <w:sz w:val="26"/>
                <w:szCs w:val="26"/>
                <w:rtl/>
              </w:rPr>
              <w:t>ופי</w:t>
            </w:r>
            <w:r w:rsidRPr="00590377">
              <w:rPr>
                <w:spacing w:val="-10"/>
                <w:rtl/>
              </w:rPr>
              <w:t xml:space="preserve"> 1.24</w:t>
            </w:r>
          </w:p>
        </w:tc>
        <w:tc>
          <w:tcPr>
            <w:tcW w:w="161" w:type="pct"/>
            <w:vAlign w:val="bottom"/>
          </w:tcPr>
          <w:p w:rsidR="00590377" w:rsidRPr="00590377" w:rsidP="00590377"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590377" w:rsidRPr="00590377" w:rsidP="00590377" w14:paraId="2A2E27BD" w14:textId="14D7E45A">
            <w:pPr>
              <w:pStyle w:val="2021"/>
              <w:spacing w:before="0" w:after="60"/>
              <w:rPr>
                <w:spacing w:val="-20"/>
                <w:sz w:val="24"/>
                <w:rtl/>
              </w:rPr>
            </w:pPr>
            <w:r w:rsidRPr="00590377">
              <w:rPr>
                <w:spacing w:val="-10"/>
                <w:rtl/>
              </w:rPr>
              <w:t xml:space="preserve">31 </w:t>
            </w:r>
            <w:r w:rsidRPr="00590377">
              <w:rPr>
                <w:spacing w:val="-10"/>
                <w:sz w:val="26"/>
                <w:szCs w:val="26"/>
                <w:rtl/>
              </w:rPr>
              <w:t>מיליארד</w:t>
            </w:r>
            <w:r w:rsidRPr="00590377">
              <w:rPr>
                <w:spacing w:val="-10"/>
                <w:rtl/>
              </w:rPr>
              <w:t xml:space="preserve"> </w:t>
            </w:r>
            <w:r w:rsidRPr="00590377">
              <w:rPr>
                <w:spacing w:val="-10"/>
                <w:sz w:val="26"/>
                <w:szCs w:val="26"/>
                <w:rtl/>
              </w:rPr>
              <w:t>ש"ח</w:t>
            </w:r>
          </w:p>
        </w:tc>
        <w:tc>
          <w:tcPr>
            <w:tcW w:w="182" w:type="pct"/>
            <w:vAlign w:val="bottom"/>
          </w:tcPr>
          <w:p w:rsidR="00590377" w:rsidRPr="00590377" w:rsidP="00590377"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590377" w:rsidRPr="00590377" w:rsidP="00590377" w14:paraId="5F3A3FF5" w14:textId="33DD5A09">
            <w:pPr>
              <w:pStyle w:val="2021"/>
              <w:spacing w:before="0" w:after="60"/>
              <w:rPr>
                <w:spacing w:val="-10"/>
                <w:rtl/>
              </w:rPr>
            </w:pPr>
            <w:r w:rsidRPr="00590377">
              <w:rPr>
                <w:spacing w:val="-10"/>
                <w:rtl/>
              </w:rPr>
              <w:t>21%</w:t>
            </w:r>
          </w:p>
        </w:tc>
      </w:tr>
      <w:tr w14:paraId="6DFAF81C" w14:textId="77777777" w:rsidTr="00590377">
        <w:tblPrEx>
          <w:tblW w:w="5000" w:type="pct"/>
          <w:tblLook w:val="04A0"/>
        </w:tblPrEx>
        <w:tc>
          <w:tcPr>
            <w:tcW w:w="1164" w:type="pct"/>
            <w:tcBorders>
              <w:top w:val="single" w:sz="12" w:space="0" w:color="000000" w:themeColor="text1"/>
            </w:tcBorders>
          </w:tcPr>
          <w:p w:rsidR="00590377" w:rsidRPr="00E52143" w:rsidP="00590377" w14:paraId="1D96599A" w14:textId="6F47E055">
            <w:pPr>
              <w:pStyle w:val="732021"/>
              <w:spacing w:before="0"/>
              <w:rPr>
                <w:rtl/>
              </w:rPr>
            </w:pPr>
            <w:r w:rsidRPr="002E2CC2">
              <w:rPr>
                <w:rtl/>
              </w:rPr>
              <w:t>גידול בנסועה בכבישים ובמצבת כלי הרכב, בהתאמה, בשנים 2000 - 2021</w:t>
            </w:r>
          </w:p>
        </w:tc>
        <w:tc>
          <w:tcPr>
            <w:tcW w:w="161" w:type="pct"/>
          </w:tcPr>
          <w:p w:rsidR="00590377" w:rsidRPr="00E52143" w:rsidP="00590377" w14:paraId="2BF81D8C" w14:textId="77777777">
            <w:pPr>
              <w:pStyle w:val="732021"/>
              <w:spacing w:before="0"/>
              <w:rPr>
                <w:rtl/>
              </w:rPr>
            </w:pPr>
          </w:p>
        </w:tc>
        <w:tc>
          <w:tcPr>
            <w:tcW w:w="1038" w:type="pct"/>
            <w:tcBorders>
              <w:top w:val="single" w:sz="12" w:space="0" w:color="000000" w:themeColor="text1"/>
            </w:tcBorders>
          </w:tcPr>
          <w:p w:rsidR="00590377" w:rsidRPr="00E52143" w:rsidP="00590377" w14:paraId="68924AF7" w14:textId="5515A2A6">
            <w:pPr>
              <w:pStyle w:val="732021"/>
              <w:spacing w:before="0"/>
              <w:rPr>
                <w:rtl/>
              </w:rPr>
            </w:pPr>
            <w:r w:rsidRPr="002E2CC2">
              <w:rPr>
                <w:rtl/>
              </w:rPr>
              <w:t>גידול בשטח הכבישים ובאורך הכבישים, בהתאמה, בשנים 2000 - 2021</w:t>
            </w:r>
          </w:p>
        </w:tc>
        <w:tc>
          <w:tcPr>
            <w:tcW w:w="161" w:type="pct"/>
          </w:tcPr>
          <w:p w:rsidR="00590377" w:rsidRPr="00E52143" w:rsidP="00590377" w14:paraId="4F52CE08" w14:textId="77777777">
            <w:pPr>
              <w:pStyle w:val="732021"/>
              <w:spacing w:before="0"/>
              <w:rPr>
                <w:rtl/>
              </w:rPr>
            </w:pPr>
          </w:p>
        </w:tc>
        <w:tc>
          <w:tcPr>
            <w:tcW w:w="1151" w:type="pct"/>
            <w:tcBorders>
              <w:top w:val="single" w:sz="12" w:space="0" w:color="000000" w:themeColor="text1"/>
            </w:tcBorders>
          </w:tcPr>
          <w:p w:rsidR="00590377" w:rsidRPr="00E52143" w:rsidP="00590377" w14:paraId="203F9568" w14:textId="25795044">
            <w:pPr>
              <w:pStyle w:val="732021"/>
              <w:spacing w:before="0"/>
              <w:rPr>
                <w:rtl/>
              </w:rPr>
            </w:pPr>
            <w:r w:rsidRPr="002E2CC2">
              <w:rPr>
                <w:rtl/>
              </w:rPr>
              <w:t>הנזק המשקי המוערך בשנת 2021 בגין הגודש בכבישים</w:t>
            </w:r>
          </w:p>
        </w:tc>
        <w:tc>
          <w:tcPr>
            <w:tcW w:w="182" w:type="pct"/>
          </w:tcPr>
          <w:p w:rsidR="00590377" w:rsidRPr="00E52143" w:rsidP="00590377" w14:paraId="42538096" w14:textId="77777777">
            <w:pPr>
              <w:pStyle w:val="732021"/>
              <w:spacing w:before="0"/>
              <w:rPr>
                <w:rtl/>
              </w:rPr>
            </w:pPr>
          </w:p>
        </w:tc>
        <w:tc>
          <w:tcPr>
            <w:tcW w:w="1143" w:type="pct"/>
            <w:tcBorders>
              <w:top w:val="single" w:sz="12" w:space="0" w:color="000000" w:themeColor="text1"/>
            </w:tcBorders>
          </w:tcPr>
          <w:p w:rsidR="00590377" w:rsidRPr="00E52143" w:rsidP="00590377" w14:paraId="1878D11D" w14:textId="16CD8AC7">
            <w:pPr>
              <w:pStyle w:val="732021"/>
              <w:spacing w:before="0"/>
              <w:rPr>
                <w:rtl/>
              </w:rPr>
            </w:pPr>
            <w:r w:rsidRPr="002E2CC2">
              <w:rPr>
                <w:rtl/>
              </w:rPr>
              <w:t>שיעור ירידה במספר תקני כוח האדם ומשרות עבודה בלתי צמיתה ברשות הארצית לתחבורה ציבורית בשנת 2022 (82) לעומת שנת 2017 (104)</w:t>
            </w:r>
          </w:p>
        </w:tc>
      </w:tr>
      <w:tr w14:paraId="1BD5A20C" w14:textId="77777777" w:rsidTr="00590377">
        <w:tblPrEx>
          <w:tblW w:w="5000" w:type="pct"/>
          <w:tblLook w:val="04A0"/>
        </w:tblPrEx>
        <w:tc>
          <w:tcPr>
            <w:tcW w:w="1164" w:type="pct"/>
            <w:tcBorders>
              <w:bottom w:val="single" w:sz="12" w:space="0" w:color="000000" w:themeColor="text1"/>
            </w:tcBorders>
            <w:vAlign w:val="bottom"/>
          </w:tcPr>
          <w:p w:rsidR="00590377" w:rsidRPr="00590377" w:rsidP="00067B31" w14:paraId="500D3B50" w14:textId="3CF25FF3">
            <w:pPr>
              <w:spacing w:after="60" w:line="240" w:lineRule="auto"/>
              <w:jc w:val="left"/>
              <w:rPr>
                <w:rFonts w:ascii="Tahoma" w:hAnsi="Tahoma" w:eastAsiaTheme="minorEastAsia" w:cs="Tahoma"/>
                <w:b/>
                <w:bCs/>
                <w:color w:val="0D0D0D" w:themeColor="text1" w:themeTint="F2"/>
                <w:spacing w:val="-10"/>
                <w:sz w:val="36"/>
                <w:szCs w:val="36"/>
                <w:rtl/>
              </w:rPr>
            </w:pPr>
            <w:r w:rsidRPr="00590377">
              <w:rPr>
                <w:rFonts w:ascii="Tahoma" w:hAnsi="Tahoma" w:eastAsiaTheme="minorEastAsia" w:cs="Tahoma"/>
                <w:b/>
                <w:bCs/>
                <w:color w:val="0D0D0D" w:themeColor="text1" w:themeTint="F2"/>
                <w:spacing w:val="-10"/>
                <w:sz w:val="36"/>
                <w:szCs w:val="36"/>
                <w:rtl/>
              </w:rPr>
              <w:t xml:space="preserve">12 </w:t>
            </w:r>
            <w:r w:rsidRPr="00590377">
              <w:rPr>
                <w:rFonts w:ascii="Tahoma" w:hAnsi="Tahoma" w:eastAsiaTheme="minorEastAsia" w:cs="Tahoma"/>
                <w:b/>
                <w:bCs/>
                <w:color w:val="0D0D0D" w:themeColor="text1" w:themeTint="F2"/>
                <w:spacing w:val="-10"/>
                <w:sz w:val="26"/>
                <w:szCs w:val="26"/>
                <w:rtl/>
              </w:rPr>
              <w:t>שנה</w:t>
            </w:r>
          </w:p>
        </w:tc>
        <w:tc>
          <w:tcPr>
            <w:tcW w:w="161" w:type="pct"/>
            <w:vAlign w:val="bottom"/>
          </w:tcPr>
          <w:p w:rsidR="00590377" w:rsidRPr="00590377" w:rsidP="00067B31"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590377" w:rsidRPr="00590377" w:rsidP="00067B31" w14:paraId="48896DF7" w14:textId="7916E035">
            <w:pPr>
              <w:pStyle w:val="2021"/>
              <w:spacing w:before="0" w:after="60"/>
              <w:rPr>
                <w:spacing w:val="-10"/>
                <w:rtl/>
              </w:rPr>
            </w:pPr>
            <w:r w:rsidRPr="00590377">
              <w:rPr>
                <w:spacing w:val="-10"/>
                <w:rtl/>
              </w:rPr>
              <w:t xml:space="preserve">24 </w:t>
            </w:r>
            <w:r w:rsidRPr="00590377">
              <w:rPr>
                <w:spacing w:val="-10"/>
                <w:sz w:val="26"/>
                <w:szCs w:val="26"/>
                <w:rtl/>
              </w:rPr>
              <w:t>חודשים</w:t>
            </w:r>
          </w:p>
        </w:tc>
        <w:tc>
          <w:tcPr>
            <w:tcW w:w="161" w:type="pct"/>
            <w:vAlign w:val="bottom"/>
          </w:tcPr>
          <w:p w:rsidR="00590377" w:rsidRPr="00590377" w:rsidP="00067B31" w14:paraId="5B4C8A80" w14:textId="77777777">
            <w:pPr>
              <w:spacing w:after="60" w:line="240" w:lineRule="auto"/>
              <w:jc w:val="left"/>
              <w:rPr>
                <w:b/>
                <w:bCs/>
                <w:rtl/>
              </w:rPr>
            </w:pPr>
          </w:p>
        </w:tc>
        <w:tc>
          <w:tcPr>
            <w:tcW w:w="1151" w:type="pct"/>
            <w:tcBorders>
              <w:bottom w:val="single" w:sz="12" w:space="0" w:color="000000" w:themeColor="text1"/>
            </w:tcBorders>
            <w:vAlign w:val="bottom"/>
          </w:tcPr>
          <w:p w:rsidR="00590377" w:rsidRPr="00590377" w:rsidP="00067B31" w14:paraId="226A2E50" w14:textId="20F30891">
            <w:pPr>
              <w:spacing w:after="60" w:line="192" w:lineRule="auto"/>
              <w:jc w:val="left"/>
              <w:rPr>
                <w:rFonts w:ascii="Tahoma" w:hAnsi="Tahoma" w:eastAsiaTheme="minorEastAsia" w:cs="Tahoma"/>
                <w:b/>
                <w:bCs/>
                <w:color w:val="0D0D0D" w:themeColor="text1" w:themeTint="F2"/>
                <w:spacing w:val="-10"/>
                <w:sz w:val="36"/>
                <w:szCs w:val="36"/>
                <w:rtl/>
              </w:rPr>
            </w:pPr>
            <w:r w:rsidRPr="00590377">
              <w:rPr>
                <w:rFonts w:ascii="Tahoma" w:hAnsi="Tahoma" w:eastAsiaTheme="minorEastAsia" w:cs="Tahoma"/>
                <w:b/>
                <w:bCs/>
                <w:color w:val="0D0D0D" w:themeColor="text1" w:themeTint="F2"/>
                <w:spacing w:val="-10"/>
                <w:sz w:val="26"/>
                <w:szCs w:val="26"/>
                <w:rtl/>
              </w:rPr>
              <w:t>מיולי</w:t>
            </w:r>
            <w:r w:rsidRPr="00590377">
              <w:rPr>
                <w:rFonts w:ascii="Tahoma" w:hAnsi="Tahoma" w:eastAsiaTheme="minorEastAsia" w:cs="Tahoma"/>
                <w:b/>
                <w:bCs/>
                <w:color w:val="0D0D0D" w:themeColor="text1" w:themeTint="F2"/>
                <w:spacing w:val="-10"/>
                <w:sz w:val="36"/>
                <w:szCs w:val="36"/>
                <w:rtl/>
              </w:rPr>
              <w:t xml:space="preserve"> 2007</w:t>
            </w:r>
          </w:p>
        </w:tc>
        <w:tc>
          <w:tcPr>
            <w:tcW w:w="182" w:type="pct"/>
            <w:vAlign w:val="bottom"/>
          </w:tcPr>
          <w:p w:rsidR="00590377" w:rsidRPr="00590377" w:rsidP="00067B31"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590377" w:rsidRPr="00590377" w:rsidP="00067B31" w14:paraId="5AEEF263" w14:textId="56686A6D">
            <w:pPr>
              <w:spacing w:after="60" w:line="240" w:lineRule="auto"/>
              <w:jc w:val="left"/>
              <w:rPr>
                <w:rFonts w:ascii="Tahoma" w:hAnsi="Tahoma" w:eastAsiaTheme="minorEastAsia" w:cs="Tahoma"/>
                <w:b/>
                <w:bCs/>
                <w:color w:val="0D0D0D" w:themeColor="text1" w:themeTint="F2"/>
                <w:spacing w:val="-10"/>
                <w:sz w:val="36"/>
                <w:szCs w:val="36"/>
                <w:rtl/>
              </w:rPr>
            </w:pPr>
            <w:r w:rsidRPr="00590377">
              <w:rPr>
                <w:rFonts w:ascii="Tahoma" w:hAnsi="Tahoma" w:eastAsiaTheme="minorEastAsia" w:cs="Tahoma"/>
                <w:b/>
                <w:bCs/>
                <w:color w:val="0D0D0D" w:themeColor="text1" w:themeTint="F2"/>
                <w:spacing w:val="-10"/>
                <w:sz w:val="36"/>
                <w:szCs w:val="36"/>
                <w:rtl/>
              </w:rPr>
              <w:t>31</w:t>
            </w:r>
          </w:p>
        </w:tc>
      </w:tr>
      <w:tr w14:paraId="54154FA5" w14:textId="77777777" w:rsidTr="00590377">
        <w:tblPrEx>
          <w:tblW w:w="5000" w:type="pct"/>
          <w:tblLook w:val="04A0"/>
        </w:tblPrEx>
        <w:tc>
          <w:tcPr>
            <w:tcW w:w="1164" w:type="pct"/>
            <w:tcBorders>
              <w:top w:val="single" w:sz="12" w:space="0" w:color="000000" w:themeColor="text1"/>
            </w:tcBorders>
          </w:tcPr>
          <w:p w:rsidR="00590377" w:rsidRPr="004562F8" w:rsidP="00590377" w14:paraId="6DB67748" w14:textId="60FE26F5">
            <w:pPr>
              <w:pStyle w:val="732021"/>
              <w:spacing w:before="0" w:after="0"/>
              <w:rPr>
                <w:rtl/>
              </w:rPr>
            </w:pPr>
            <w:r w:rsidRPr="002E2CC2">
              <w:rPr>
                <w:rtl/>
              </w:rPr>
              <w:t xml:space="preserve">לא הסדירו את מעמדה של הרשות הארצית לתחבורה ציבורית כיחידת סמך למרות החלטת הממשלה משנת 2011 </w:t>
            </w:r>
          </w:p>
        </w:tc>
        <w:tc>
          <w:tcPr>
            <w:tcW w:w="161" w:type="pct"/>
          </w:tcPr>
          <w:p w:rsidR="00590377" w:rsidRPr="008D750B" w:rsidP="00590377" w14:paraId="0C0AE598" w14:textId="77777777">
            <w:pPr>
              <w:pStyle w:val="732021"/>
              <w:spacing w:before="0" w:after="0"/>
              <w:rPr>
                <w:rtl/>
              </w:rPr>
            </w:pPr>
          </w:p>
        </w:tc>
        <w:tc>
          <w:tcPr>
            <w:tcW w:w="1038" w:type="pct"/>
            <w:tcBorders>
              <w:top w:val="single" w:sz="12" w:space="0" w:color="000000" w:themeColor="text1"/>
            </w:tcBorders>
          </w:tcPr>
          <w:p w:rsidR="00590377" w:rsidRPr="004562F8" w:rsidP="00590377" w14:paraId="1916A301" w14:textId="1B01F1E9">
            <w:pPr>
              <w:pStyle w:val="732021"/>
              <w:spacing w:before="0" w:after="0"/>
              <w:rPr>
                <w:rtl/>
              </w:rPr>
            </w:pPr>
            <w:r w:rsidRPr="002E2CC2">
              <w:rPr>
                <w:rtl/>
              </w:rPr>
              <w:t>פרק הזמן הממוצע שעובר משלב הגשת התוכנית לוועדה הארצית לתכנון ולבנייה של מתחמים מועדפים</w:t>
            </w:r>
            <w:r>
              <w:rPr>
                <w:vertAlign w:val="superscript"/>
                <w:rtl/>
              </w:rPr>
              <w:footnoteReference w:id="2"/>
            </w:r>
            <w:r w:rsidRPr="002E2CC2">
              <w:rPr>
                <w:rtl/>
              </w:rPr>
              <w:t xml:space="preserve"> ועד מתן תוקף לתוכנית על ידה</w:t>
            </w:r>
          </w:p>
        </w:tc>
        <w:tc>
          <w:tcPr>
            <w:tcW w:w="161" w:type="pct"/>
          </w:tcPr>
          <w:p w:rsidR="00590377" w:rsidP="00590377" w14:paraId="14782C57" w14:textId="77777777">
            <w:pPr>
              <w:pStyle w:val="732021"/>
              <w:spacing w:before="0" w:after="0"/>
              <w:rPr>
                <w:rtl/>
              </w:rPr>
            </w:pPr>
          </w:p>
        </w:tc>
        <w:tc>
          <w:tcPr>
            <w:tcW w:w="1151" w:type="pct"/>
            <w:tcBorders>
              <w:top w:val="single" w:sz="12" w:space="0" w:color="000000" w:themeColor="text1"/>
            </w:tcBorders>
          </w:tcPr>
          <w:p w:rsidR="00590377" w:rsidRPr="0062456C" w:rsidP="00590377" w14:paraId="6149CA50" w14:textId="31BC7194">
            <w:pPr>
              <w:pStyle w:val="732021"/>
              <w:spacing w:before="0" w:after="0"/>
              <w:rPr>
                <w:rtl/>
              </w:rPr>
            </w:pPr>
            <w:r w:rsidRPr="002E2CC2">
              <w:rPr>
                <w:rtl/>
              </w:rPr>
              <w:t>לא הושלם אישורה של תוכנית מתאר ארצית לתשתיות תחבורה יבשתית - תמ"א 42 (המועד שבו החליטה המועצה הארצית לתכנון ובנייה על הכנתה)</w:t>
            </w:r>
          </w:p>
        </w:tc>
        <w:tc>
          <w:tcPr>
            <w:tcW w:w="182" w:type="pct"/>
          </w:tcPr>
          <w:p w:rsidR="00590377" w:rsidRPr="00C92141" w:rsidP="00590377" w14:paraId="66E34E8E" w14:textId="77777777">
            <w:pPr>
              <w:pStyle w:val="732021"/>
              <w:spacing w:before="0" w:after="0"/>
              <w:rPr>
                <w:rtl/>
              </w:rPr>
            </w:pPr>
          </w:p>
        </w:tc>
        <w:tc>
          <w:tcPr>
            <w:tcW w:w="1143" w:type="pct"/>
            <w:tcBorders>
              <w:top w:val="single" w:sz="12" w:space="0" w:color="000000" w:themeColor="text1"/>
            </w:tcBorders>
          </w:tcPr>
          <w:p w:rsidR="00590377" w:rsidRPr="00C92141" w:rsidP="00590377" w14:paraId="39498237" w14:textId="25D35547">
            <w:pPr>
              <w:pStyle w:val="732021"/>
              <w:spacing w:before="0" w:after="0"/>
              <w:rPr>
                <w:rtl/>
              </w:rPr>
            </w:pPr>
            <w:r w:rsidRPr="002E2CC2">
              <w:rPr>
                <w:rtl/>
              </w:rPr>
              <w:t xml:space="preserve">מספר </w:t>
            </w:r>
            <w:r w:rsidRPr="002E2CC2">
              <w:rPr>
                <w:rtl/>
              </w:rPr>
              <w:t>הנת"צים</w:t>
            </w:r>
            <w:r w:rsidRPr="002E2CC2">
              <w:rPr>
                <w:rtl/>
              </w:rPr>
              <w:t xml:space="preserve"> שהוקמו במטרופולין תל-אביב-יפו, באורך כולל של כ-19.27 ק"מ, בשנים 2019 - 2022, רובם במסגרת הפרויקט "מהיר לעיר"</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4EDD6EF1">
      <w:pPr>
        <w:pStyle w:val="7317"/>
        <w:rPr>
          <w:rtl/>
        </w:rPr>
      </w:pPr>
      <w:r w:rsidRPr="001F3363">
        <w:rPr>
          <w:noProof/>
        </w:rPr>
        <w:drawing>
          <wp:anchor distT="0" distB="0" distL="71755" distR="71755" simplePos="0" relativeHeight="251679744"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2CC2" w:rsidR="00590377">
        <w:rPr>
          <w:noProof/>
          <w:rtl/>
        </w:rPr>
        <w:t>בחודשים אוגוסט 2022 עד פברואר 2023 ביצע משרד מבקר המדינה ביקורת מעקב בעניין תיקון הליקויים שהועלו בפרק בנושא "תכנון וקידום של התחבורה הציבורית" במסגרת דוח מיוחד בנושא "משבר התחבורה הציבורית" שפורסם במרץ 2019 (ביקורת המעקב). הבדיקה נעשתה ברשות הארצית ובאגף לתכנון תחבורתי במשרד התחבורה והבטיחות בדרכים (משרד התחבורה). בדיקות השלמה נעשו במינהל התכנון שבמשרד הפנים, בעיקר בוועדה הארצית לתכנון ולבנייה של מתחמים מועדפים</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105D5146">
      <w:pPr>
        <w:pStyle w:val="7317"/>
        <w:rPr>
          <w:rtl/>
        </w:rPr>
      </w:pPr>
      <w:r w:rsidRPr="00AB2F78">
        <w:rPr>
          <w:rStyle w:val="7372"/>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588" w:rsidR="00590377">
        <w:rPr>
          <w:rFonts w:eastAsia="Calibri"/>
          <w:b/>
          <w:bCs/>
          <w:sz w:val="19"/>
          <w:szCs w:val="19"/>
          <w:rtl/>
        </w:rPr>
        <w:t>הסדרת מעמדה של הרשות הארצית</w:t>
      </w:r>
      <w:r w:rsidRPr="006C1588" w:rsidR="00590377">
        <w:rPr>
          <w:rFonts w:eastAsia="Calibri"/>
          <w:sz w:val="19"/>
          <w:szCs w:val="19"/>
          <w:rtl/>
        </w:rPr>
        <w:t xml:space="preserve"> - בביקורת הקודמת עלה כי אף שבהחלטת הממשלה 3988 משנת 2011 נקבע כי הרשות הארצית תהיה יחידת סמך במשרד התחבורה, נציבות שירות המדינה (</w:t>
      </w:r>
      <w:r w:rsidRPr="006C1588" w:rsidR="00590377">
        <w:rPr>
          <w:rFonts w:eastAsia="Calibri"/>
          <w:sz w:val="19"/>
          <w:szCs w:val="19"/>
          <w:rtl/>
        </w:rPr>
        <w:t>נש"ם</w:t>
      </w:r>
      <w:r w:rsidRPr="006C1588" w:rsidR="00590377">
        <w:rPr>
          <w:rFonts w:eastAsia="Calibri"/>
          <w:sz w:val="19"/>
          <w:szCs w:val="19"/>
          <w:rtl/>
        </w:rPr>
        <w:t xml:space="preserve">) ומשרד התחבורה לא פעלו </w:t>
      </w:r>
      <w:r w:rsidRPr="002E2CC2" w:rsidR="00590377">
        <w:rPr>
          <w:rtl/>
        </w:rPr>
        <w:t>ליישום</w:t>
      </w:r>
      <w:r w:rsidRPr="006C1588" w:rsidR="00590377">
        <w:rPr>
          <w:rFonts w:eastAsia="Calibri"/>
          <w:sz w:val="19"/>
          <w:szCs w:val="19"/>
          <w:rtl/>
        </w:rPr>
        <w:t xml:space="preserve"> החלטה זו. כמו כן צוין בדוח הביקורת הקודם</w:t>
      </w:r>
      <w:r w:rsidRPr="006C1588" w:rsidR="00590377">
        <w:rPr>
          <w:rFonts w:eastAsia="Calibri"/>
          <w:sz w:val="19"/>
          <w:szCs w:val="19"/>
        </w:rPr>
        <w:t xml:space="preserve"> </w:t>
      </w:r>
      <w:r w:rsidRPr="006C1588" w:rsidR="00590377">
        <w:rPr>
          <w:rFonts w:eastAsia="Calibri"/>
          <w:sz w:val="19"/>
          <w:szCs w:val="19"/>
          <w:rtl/>
        </w:rPr>
        <w:t xml:space="preserve">כי אם לפי תפיסתה של הנהלת משרד התחבורה אין הצדקה לתת לרשות הארצית מעמד של יחידת סמך, עליה להביא נימוקים לעמדתה ולפנות לממשלה לשינוי ההחלטה משנת 2011. </w:t>
      </w:r>
      <w:r w:rsidRPr="006C1588" w:rsidR="00590377">
        <w:rPr>
          <w:rFonts w:eastAsia="Calibri"/>
          <w:b/>
          <w:bCs/>
          <w:sz w:val="19"/>
          <w:szCs w:val="19"/>
          <w:rtl/>
        </w:rPr>
        <w:t>בביקורת המעקב נמצא כי הליקוי לא תוקן</w:t>
      </w:r>
      <w:r w:rsidRPr="006C1588" w:rsidR="00590377">
        <w:rPr>
          <w:rFonts w:eastAsia="Calibri"/>
          <w:sz w:val="19"/>
          <w:szCs w:val="19"/>
          <w:rtl/>
        </w:rPr>
        <w:t>. עלה כי מעמדה של הרשות הארצית לא הוסדר כיחידת סמך. עקב כך נפגעות עצמאותה של הרשות הארצית וגמישותה</w:t>
      </w:r>
      <w:r w:rsidRPr="00AF3B73">
        <w:rPr>
          <w:rtl/>
        </w:rPr>
        <w:t>.</w:t>
      </w:r>
    </w:p>
    <w:p w:rsidR="00EB672B" w:rsidRPr="00AF3B73" w:rsidP="00EB672B" w14:paraId="61697365" w14:textId="6A40288A">
      <w:pPr>
        <w:pStyle w:val="7317"/>
      </w:pPr>
      <w:r w:rsidRPr="0063556C">
        <w:rPr>
          <w:rStyle w:val="7372"/>
          <w:rFonts w:hint="cs"/>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90377" w:rsidR="00590377">
        <w:rPr>
          <w:rFonts w:eastAsia="Calibri"/>
          <w:b/>
          <w:bCs/>
          <w:sz w:val="19"/>
          <w:szCs w:val="19"/>
          <w:rtl/>
        </w:rPr>
        <w:t xml:space="preserve"> </w:t>
      </w:r>
      <w:r w:rsidRPr="006C1588" w:rsidR="00590377">
        <w:rPr>
          <w:rFonts w:eastAsia="Calibri"/>
          <w:b/>
          <w:bCs/>
          <w:sz w:val="19"/>
          <w:szCs w:val="19"/>
          <w:rtl/>
        </w:rPr>
        <w:t>המבנה הארגוני של הרשות הארצית</w:t>
      </w:r>
      <w:r w:rsidRPr="006C1588" w:rsidR="00590377">
        <w:rPr>
          <w:rFonts w:eastAsia="Calibri"/>
          <w:sz w:val="19"/>
          <w:szCs w:val="19"/>
          <w:rtl/>
        </w:rPr>
        <w:t xml:space="preserve"> - בביקורת הקודמת עלה כי הרשות הארצית לא איישה את כל המשרות שנקבעו בתקן כדי למלא את תפקידיה, ובפועל גם פחת מספר המשרות בתקן במידה ניכרת בעקבות קיצוצים ותוכניות </w:t>
      </w:r>
      <w:r w:rsidRPr="002E2CC2" w:rsidR="00590377">
        <w:rPr>
          <w:rtl/>
        </w:rPr>
        <w:t>עידוד</w:t>
      </w:r>
      <w:r w:rsidRPr="006C1588" w:rsidR="00590377">
        <w:rPr>
          <w:rFonts w:eastAsia="Calibri"/>
          <w:sz w:val="19"/>
          <w:szCs w:val="19"/>
          <w:rtl/>
        </w:rPr>
        <w:t xml:space="preserve"> פרישה שבוצעו מאז הוקמה הרשות. במועד סיום הביקורת הקודמת (מרץ 2018) היה מספר המשרות בתקן 92, לעומת מספרן המתוכנן - 126. מספר העובדים בפועל ברשות הארצית הסתכם במועד סיום הביקורת ב-83, ומתוכננת הפחתת שתי משרות נוספות מהתקן עד סוף שנת 2018. </w:t>
      </w:r>
      <w:r w:rsidRPr="006C1588" w:rsidR="00590377">
        <w:rPr>
          <w:rFonts w:eastAsia="Calibri"/>
          <w:b/>
          <w:bCs/>
          <w:sz w:val="19"/>
          <w:szCs w:val="19"/>
          <w:rtl/>
        </w:rPr>
        <w:t>בביקורת המעקב נמצא כי הליקוי תוקן במידה מועטה.</w:t>
      </w:r>
      <w:r w:rsidRPr="006C1588" w:rsidR="00590377">
        <w:rPr>
          <w:rFonts w:eastAsia="Calibri"/>
          <w:sz w:val="19"/>
          <w:szCs w:val="19"/>
          <w:rtl/>
        </w:rPr>
        <w:t xml:space="preserve"> עלה כי מספר העובדים שעבדו בפועל ברשות הארצית הסתכם ב-97 עובדים. יוצא מכאן כי בשנת 2022 הרשות הארצית העסיקה 15 משרות </w:t>
      </w:r>
      <w:r w:rsidRPr="006C1588" w:rsidR="00590377">
        <w:rPr>
          <w:rFonts w:eastAsia="Calibri"/>
          <w:sz w:val="19"/>
          <w:szCs w:val="19"/>
          <w:rtl/>
        </w:rPr>
        <w:t>עב"צ</w:t>
      </w:r>
      <w:r w:rsidRPr="006C1588" w:rsidR="00590377">
        <w:rPr>
          <w:rFonts w:eastAsia="Calibri"/>
          <w:sz w:val="19"/>
          <w:szCs w:val="19"/>
          <w:rtl/>
        </w:rPr>
        <w:t xml:space="preserve"> (עבודה בלתי צמיתה) בפועל מעבר למספר המשרות הכלולות בתקן כוח האדם שלה, שהיה 82 - כלומר כ</w:t>
      </w:r>
      <w:r w:rsidR="00590377">
        <w:rPr>
          <w:rFonts w:eastAsia="Calibri"/>
          <w:sz w:val="19"/>
          <w:szCs w:val="19"/>
        </w:rPr>
        <w:br/>
      </w:r>
      <w:r w:rsidRPr="006C1588" w:rsidR="00590377">
        <w:rPr>
          <w:rFonts w:eastAsia="Calibri"/>
          <w:sz w:val="19"/>
          <w:szCs w:val="19"/>
          <w:rtl/>
        </w:rPr>
        <w:t>-18% מסך המשרות הכלולות בתקן כוח האדם שלה באותה השנה (2022</w:t>
      </w:r>
      <w:r w:rsidR="00590377">
        <w:t>(</w:t>
      </w:r>
      <w:r w:rsidRPr="00AF3B73">
        <w:rPr>
          <w:rFonts w:hint="cs"/>
          <w:rtl/>
        </w:rPr>
        <w:t xml:space="preserve">. </w:t>
      </w:r>
    </w:p>
    <w:p w:rsidR="00EB672B" w:rsidRPr="00AF3B73" w:rsidP="00EB672B" w14:paraId="257CE09B" w14:textId="7BCC698C">
      <w:pPr>
        <w:pStyle w:val="7317"/>
        <w:rPr>
          <w:rtl/>
        </w:rPr>
      </w:pPr>
      <w:r w:rsidRPr="0063556C">
        <w:rPr>
          <w:rStyle w:val="7372"/>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588" w:rsidR="00590377">
        <w:rPr>
          <w:rFonts w:eastAsia="Calibri"/>
          <w:b/>
          <w:bCs/>
          <w:sz w:val="19"/>
          <w:szCs w:val="19"/>
          <w:rtl/>
        </w:rPr>
        <w:t xml:space="preserve">הקמת רשויות תחבורה </w:t>
      </w:r>
      <w:r w:rsidRPr="006C1588" w:rsidR="00590377">
        <w:rPr>
          <w:rFonts w:eastAsia="Calibri"/>
          <w:b/>
          <w:bCs/>
          <w:sz w:val="19"/>
          <w:szCs w:val="19"/>
          <w:rtl/>
        </w:rPr>
        <w:t>מטרופוליניות</w:t>
      </w:r>
      <w:r w:rsidRPr="006C1588" w:rsidR="00590377">
        <w:rPr>
          <w:rFonts w:eastAsia="Calibri"/>
          <w:sz w:val="19"/>
          <w:szCs w:val="19"/>
          <w:rtl/>
        </w:rPr>
        <w:t xml:space="preserve"> - בביקורת הקודמת עלה כי "למרות ההכרה בצורך להקים רשויות תחבורה </w:t>
      </w:r>
      <w:r w:rsidRPr="006C1588" w:rsidR="00590377">
        <w:rPr>
          <w:rFonts w:eastAsia="Calibri"/>
          <w:sz w:val="19"/>
          <w:szCs w:val="19"/>
          <w:rtl/>
        </w:rPr>
        <w:t>מטרופוליניות</w:t>
      </w:r>
      <w:r w:rsidRPr="006C1588" w:rsidR="00590377">
        <w:rPr>
          <w:rFonts w:eastAsia="Calibri"/>
          <w:sz w:val="19"/>
          <w:szCs w:val="19"/>
          <w:rtl/>
        </w:rPr>
        <w:t xml:space="preserve">, </w:t>
      </w:r>
      <w:r w:rsidRPr="002E2CC2" w:rsidR="00590377">
        <w:rPr>
          <w:rtl/>
        </w:rPr>
        <w:t>ולמרות</w:t>
      </w:r>
      <w:r w:rsidRPr="006C1588" w:rsidR="00590377">
        <w:rPr>
          <w:rFonts w:eastAsia="Calibri"/>
          <w:sz w:val="19"/>
          <w:szCs w:val="19"/>
          <w:rtl/>
        </w:rPr>
        <w:t xml:space="preserve"> שמבקר המדינה העיר על כך בעבר, הניסיונות החוזרים ונשנים לפעול להקמתן ולעיגונן בחקיקה לא צלחו. לרשויות כאלה יכולה להיות השפעה מכרעת בכל הנוגע ליישוב חילוקי הדעות בין רשויות מקומיות, לקידום ראייה כוללת בעניין מתן פתרונות תחבורתיים ולמתן מענה יעיל </w:t>
      </w:r>
      <w:r w:rsidRPr="006C1588" w:rsidR="00590377">
        <w:rPr>
          <w:rFonts w:eastAsia="Calibri"/>
          <w:sz w:val="19"/>
          <w:szCs w:val="19"/>
          <w:rtl/>
        </w:rPr>
        <w:t xml:space="preserve">לצרכים מקומיים. על כן אי הקמתן פוגעת בקידום של מיזמי </w:t>
      </w:r>
      <w:r w:rsidRPr="006C1588" w:rsidR="00590377">
        <w:rPr>
          <w:rFonts w:eastAsia="Calibri"/>
          <w:sz w:val="19"/>
          <w:szCs w:val="19"/>
          <w:rtl/>
        </w:rPr>
        <w:t>תח"צ</w:t>
      </w:r>
      <w:r w:rsidRPr="006C1588" w:rsidR="00590377">
        <w:rPr>
          <w:rFonts w:eastAsia="Calibri"/>
          <w:sz w:val="19"/>
          <w:szCs w:val="19"/>
          <w:rtl/>
        </w:rPr>
        <w:t xml:space="preserve"> [תחבורה ציבורית] </w:t>
      </w:r>
      <w:r w:rsidRPr="006C1588" w:rsidR="00590377">
        <w:rPr>
          <w:rFonts w:eastAsia="Calibri"/>
          <w:sz w:val="19"/>
          <w:szCs w:val="19"/>
          <w:rtl/>
        </w:rPr>
        <w:t>במטרופולינים</w:t>
      </w:r>
      <w:r w:rsidRPr="006C1588" w:rsidR="00590377">
        <w:rPr>
          <w:rFonts w:eastAsia="Calibri"/>
          <w:sz w:val="19"/>
          <w:szCs w:val="19"/>
          <w:rtl/>
        </w:rPr>
        <w:t xml:space="preserve"> ובשיפור השירות של </w:t>
      </w:r>
      <w:r w:rsidRPr="006C1588" w:rsidR="00590377">
        <w:rPr>
          <w:rFonts w:eastAsia="Calibri"/>
          <w:sz w:val="19"/>
          <w:szCs w:val="19"/>
          <w:rtl/>
        </w:rPr>
        <w:t>התח"צ</w:t>
      </w:r>
      <w:r w:rsidRPr="006C1588" w:rsidR="00590377">
        <w:rPr>
          <w:rFonts w:eastAsia="Calibri"/>
          <w:sz w:val="19"/>
          <w:szCs w:val="19"/>
          <w:rtl/>
        </w:rPr>
        <w:t xml:space="preserve">". </w:t>
      </w:r>
      <w:r w:rsidRPr="006C1588" w:rsidR="00590377">
        <w:rPr>
          <w:rFonts w:eastAsia="Calibri"/>
          <w:b/>
          <w:bCs/>
          <w:sz w:val="19"/>
          <w:szCs w:val="19"/>
          <w:rtl/>
        </w:rPr>
        <w:t>בביקורת המעקב נמצא כי הליקוי תוקן במידה מועטה.</w:t>
      </w:r>
      <w:r w:rsidRPr="006C1588" w:rsidR="00590377">
        <w:rPr>
          <w:rFonts w:eastAsia="Calibri"/>
          <w:sz w:val="19"/>
          <w:szCs w:val="19"/>
          <w:rtl/>
        </w:rPr>
        <w:t xml:space="preserve"> עלה כי בספטמבר 2022 החליטה הממשלה (החלטה 1854) על הקמת רשויות מרחביות במקום הקמת רשויות תחבורה </w:t>
      </w:r>
      <w:r w:rsidRPr="006C1588" w:rsidR="00590377">
        <w:rPr>
          <w:rFonts w:eastAsia="Calibri"/>
          <w:sz w:val="19"/>
          <w:szCs w:val="19"/>
          <w:rtl/>
        </w:rPr>
        <w:t>מטרופוליניות</w:t>
      </w:r>
      <w:r w:rsidRPr="006C1588" w:rsidR="00590377">
        <w:rPr>
          <w:rFonts w:eastAsia="Calibri"/>
          <w:sz w:val="19"/>
          <w:szCs w:val="19"/>
          <w:rtl/>
        </w:rPr>
        <w:t xml:space="preserve">, באופן שכל הארץ תחולק למרחבים תחבורתיים. יצוין כי בהחלטה לא נקבעו המרחבים ותחומיהם. המשמעות של החלטה זו היא כי כל רשות מוניציפלית תהיה שייכת לרשות מרחבית שתיקבע בהמשך להחלטת הממשלה. עוד עלה כי במועד סיומה של ביקורת המעקב (פברואר 2023) מתקיים דו-שיח בין נציגי משרד התחבורה לבין נציגי הרשויות המקומיות הגדולות תל אביב-יפו וירושלים כדי לקדם את הקמת הרשויות המרחביות </w:t>
      </w:r>
      <w:r w:rsidRPr="006C1588" w:rsidR="00590377">
        <w:rPr>
          <w:rFonts w:eastAsia="Calibri"/>
          <w:sz w:val="19"/>
          <w:szCs w:val="19"/>
          <w:rtl/>
        </w:rPr>
        <w:t>במטרופולינים</w:t>
      </w:r>
      <w:r w:rsidRPr="006C1588" w:rsidR="00590377">
        <w:rPr>
          <w:rFonts w:eastAsia="Calibri"/>
          <w:sz w:val="19"/>
          <w:szCs w:val="19"/>
          <w:rtl/>
        </w:rPr>
        <w:t xml:space="preserve"> גוש דן וירושלים, כפי שנקבע בהחלטה 1854 מספטמבר 2022 וכי טרם הוקמה כל רשות תחבורה מרחבית</w:t>
      </w:r>
      <w:r w:rsidRPr="00AF3B73">
        <w:rPr>
          <w:rFonts w:hint="cs"/>
          <w:rtl/>
        </w:rPr>
        <w:t>.</w:t>
      </w:r>
    </w:p>
    <w:p w:rsidR="00EB672B" w:rsidRPr="00AF3B73" w:rsidP="00EB672B" w14:paraId="42C157E6" w14:textId="231BA0BA">
      <w:pPr>
        <w:pStyle w:val="7317"/>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588" w:rsidR="00590377">
        <w:rPr>
          <w:rFonts w:eastAsia="Calibri"/>
          <w:b/>
          <w:bCs/>
          <w:sz w:val="19"/>
          <w:szCs w:val="19"/>
          <w:rtl/>
        </w:rPr>
        <w:t>כוח אדם מקצועי באגף לתכנון תחבורתי</w:t>
      </w:r>
      <w:r w:rsidRPr="006C1588" w:rsidR="00590377">
        <w:rPr>
          <w:rFonts w:eastAsia="Calibri"/>
          <w:sz w:val="19"/>
          <w:szCs w:val="19"/>
          <w:rtl/>
        </w:rPr>
        <w:t xml:space="preserve"> - בביקורת הקודמת עלה כי משנת 2014 מציין האגף לתכנון תחבורתי את הנזקים הנובעים מהמחסור בכוח אדם מקצועי באגף, שהעיקרי שבהם הוא פגיעה בייצוג משרד התחבורה במוסדות התכנון הסטטוטוריים. בפועל לא פעל משרד התחבורה לחיזוק היכולות המקצועיות של האגף ולאיוש המשרות המקצועיות בו. </w:t>
      </w:r>
      <w:r w:rsidRPr="006C1588" w:rsidR="00590377">
        <w:rPr>
          <w:rFonts w:eastAsia="Calibri"/>
          <w:b/>
          <w:bCs/>
          <w:sz w:val="19"/>
          <w:szCs w:val="19"/>
          <w:rtl/>
        </w:rPr>
        <w:t>בביקורת המעקב נמצא כי הליקוי תוקן במידה מועטה</w:t>
      </w:r>
      <w:r w:rsidRPr="006C1588" w:rsidR="00590377">
        <w:rPr>
          <w:rFonts w:eastAsia="Calibri"/>
          <w:sz w:val="19"/>
          <w:szCs w:val="19"/>
          <w:rtl/>
        </w:rPr>
        <w:t>. בהתאם לנתונים שהתקבלו ממשרד התחבורה בעת ביקורת המעקב עלה כי מתום הביקורת הקודמת (מרץ 2018) עד שנת 2022 מספר המשרות בתקן ומספר המשרות המאוישות בפועל נשארו כמעט ללא שינוי (29 משרות בתקן בתום הביקורת הקודמת, 30 משרות בתקן בשנת 2022), והאגף לתכנון תחבורתי עדיין סובל ממחסור בכוח אדם מקצועי בגלל ההיקף הגדול של תחומי אחריותו, והדבר פוגע בעבודתו השוטפת. עוד עלה כי משרד התחבורה מתקשה לגייס עובדים מקצועיים לאיוש המשרות התקניות שהתפנו, בעיקר בגלל תנאי ההעסקה במגזר הציבורי לעומת המגזר הפרטי, וכי בחלק מהמשרות מועסקים סטודנטים</w:t>
      </w:r>
      <w:r w:rsidRPr="00AF3B73">
        <w:rPr>
          <w:rFonts w:hint="cs"/>
          <w:rtl/>
        </w:rPr>
        <w:t xml:space="preserve">. </w:t>
      </w:r>
    </w:p>
    <w:p w:rsidR="00EB672B" w:rsidRPr="00AF3B73" w:rsidP="00EB672B" w14:paraId="0E55F83C" w14:textId="2F64DDA7">
      <w:pPr>
        <w:pStyle w:val="7317"/>
      </w:pPr>
      <w:r w:rsidRPr="00AF3B73">
        <w:rPr>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588" w:rsidR="00590377">
        <w:rPr>
          <w:rFonts w:eastAsia="Calibri"/>
          <w:b/>
          <w:bCs/>
          <w:sz w:val="19"/>
          <w:szCs w:val="19"/>
          <w:rtl/>
        </w:rPr>
        <w:t>הסתמכות על יועצים חיצוניים בעבודת האגף לתכנון תחבורתי</w:t>
      </w:r>
      <w:r w:rsidRPr="006C1588" w:rsidR="00590377">
        <w:rPr>
          <w:rFonts w:eastAsia="Calibri"/>
          <w:sz w:val="19"/>
          <w:szCs w:val="19"/>
          <w:rtl/>
        </w:rPr>
        <w:t xml:space="preserve"> - בביקורת הקודמת עלה כי "שימוש בעובדים מקצועיים רבים שאינם אנשי השירות הציבורי והעברת פעילויות ליבה של המשרד לגורמי חוץ מחלישים את גוף הידע המקצועי של המשרד ופוגעים בסמכות ובאחריות המקצועית של אנשי המשרד בכל הנוגע לתכנון תחבורתי. הדברים אמורים בפרט בנוגע לתהליכים מורכבים ומתמשכים דוגמת תכנון סטטוטורי שבהם יש צורך בהמשכיות </w:t>
      </w:r>
      <w:r w:rsidRPr="002E2CC2" w:rsidR="00590377">
        <w:rPr>
          <w:rtl/>
        </w:rPr>
        <w:t>הטיפול</w:t>
      </w:r>
      <w:r w:rsidRPr="006C1588" w:rsidR="00590377">
        <w:rPr>
          <w:rFonts w:eastAsia="Calibri"/>
          <w:sz w:val="19"/>
          <w:szCs w:val="19"/>
          <w:rtl/>
        </w:rPr>
        <w:t xml:space="preserve">, שפעמים רבות אינה מתאפשרת בעת שימוש ביועצים חיצוניים, מאחר שהיועץ אינו מעורב בתהליך מתחילתו ועד סופו אלא רק בחלק משלביו. כמו כן, הדבר מביא לריכוז של ידע מקצועי בידי גורמים חיצוניים ולתלות רבה של המשרד בגורמים אלה". </w:t>
      </w:r>
      <w:r w:rsidRPr="006C1588" w:rsidR="00590377">
        <w:rPr>
          <w:rFonts w:eastAsia="Calibri"/>
          <w:b/>
          <w:bCs/>
          <w:sz w:val="19"/>
          <w:szCs w:val="19"/>
          <w:rtl/>
        </w:rPr>
        <w:t>בביקורת המעקב נמצא כי הליקוי תוקן במידה מועטה.</w:t>
      </w:r>
      <w:r w:rsidRPr="006C1588" w:rsidR="00590377">
        <w:rPr>
          <w:rFonts w:eastAsia="Calibri"/>
          <w:sz w:val="19"/>
          <w:szCs w:val="19"/>
          <w:rtl/>
        </w:rPr>
        <w:t xml:space="preserve"> עלה כי האגף לתכנון תחבורתי מסתמך בעבודתו השוטפת על יועצים חיצוניים. סך ההוצאות שלו על ההתקשרויות עם היועצים החיצוניים - בגין הפעלת "</w:t>
      </w:r>
      <w:r w:rsidRPr="006C1588" w:rsidR="00590377">
        <w:rPr>
          <w:rFonts w:eastAsia="Calibri"/>
          <w:sz w:val="19"/>
          <w:szCs w:val="19"/>
          <w:rtl/>
        </w:rPr>
        <w:t>מינהלת</w:t>
      </w:r>
      <w:r w:rsidRPr="006C1588" w:rsidR="00590377">
        <w:rPr>
          <w:rFonts w:eastAsia="Calibri"/>
          <w:sz w:val="19"/>
          <w:szCs w:val="19"/>
          <w:rtl/>
        </w:rPr>
        <w:t xml:space="preserve"> תכנון תחבורתי" ושירותי ייעוץ נוספים גדל בכ-28% בשנת 2022 לעומת שנת 2021  (מכ-12.5 מיליון ש"ח לכ-16 מיליון ש"ח</w:t>
      </w:r>
      <w:r w:rsidR="00590377">
        <w:t>(</w:t>
      </w:r>
      <w:r w:rsidRPr="00AF3B73">
        <w:rPr>
          <w:rFonts w:hint="cs"/>
          <w:rtl/>
        </w:rPr>
        <w:t xml:space="preserve">. </w:t>
      </w:r>
    </w:p>
    <w:p w:rsidR="00EB672B" w:rsidRPr="00AF3B73" w:rsidP="00EB672B" w14:paraId="1320DBEF" w14:textId="6B190E29">
      <w:pPr>
        <w:pStyle w:val="7317"/>
        <w:rPr>
          <w:rtl/>
        </w:rPr>
      </w:pPr>
      <w:r w:rsidRPr="00AF3B73">
        <w:rPr>
          <w:rFonts w:hint="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588" w:rsidR="00590377">
        <w:rPr>
          <w:rFonts w:eastAsia="Calibri"/>
          <w:b/>
          <w:bCs/>
          <w:sz w:val="19"/>
          <w:szCs w:val="19"/>
          <w:rtl/>
        </w:rPr>
        <w:t>תוכנית מתאר ארצית לתשתיות תחבורה יבשתית - תמ"א 42</w:t>
      </w:r>
      <w:r w:rsidRPr="006C1588" w:rsidR="00590377">
        <w:rPr>
          <w:rFonts w:eastAsia="Calibri"/>
          <w:sz w:val="19"/>
          <w:szCs w:val="19"/>
          <w:rtl/>
        </w:rPr>
        <w:t xml:space="preserve"> - בביקורת הקודמת עלה כי במועד סיומה, מרץ 2018, לא הסתיימה הכנת תוכנית מתאר ארצית משולבת לתשתיות תחבורה יבשתית (תמ"א 42), והיא לא הובאה לאישור המועצה הארצית והממשלה. </w:t>
      </w:r>
      <w:r w:rsidRPr="006C1588" w:rsidR="00590377">
        <w:rPr>
          <w:rFonts w:eastAsia="Calibri"/>
          <w:b/>
          <w:bCs/>
          <w:sz w:val="19"/>
          <w:szCs w:val="19"/>
          <w:rtl/>
        </w:rPr>
        <w:t>בביקורת המעקב נמצא כי הליקוי תוקן במידה מועטה</w:t>
      </w:r>
      <w:r w:rsidRPr="006C1588" w:rsidR="00590377">
        <w:rPr>
          <w:rFonts w:eastAsia="Calibri"/>
          <w:sz w:val="19"/>
          <w:szCs w:val="19"/>
          <w:rtl/>
        </w:rPr>
        <w:t xml:space="preserve">. עלה </w:t>
      </w:r>
      <w:r w:rsidRPr="006C1588" w:rsidR="00590377">
        <w:rPr>
          <w:rFonts w:eastAsia="Calibri"/>
          <w:sz w:val="19"/>
          <w:szCs w:val="19"/>
          <w:rtl/>
        </w:rPr>
        <w:t xml:space="preserve">כי משרד התחבורה סיים את הכנת תמ"א 42 בשנת 2019, והמועצה הארצית לתכנון ובנייה אישרה אותה במרץ 2020. למרות זאת, תמ"א 42 לא הוגשה על ידי המועצה הארצית לתכנון ולבנייה לאישור הממשלה, עקב מחלוקת בין משרד התחבורה למשרד האוצר לגבי כתב השיפוי ולגבי מתן פיצויים לבעלי המקרקעין או לבעלי הזכות שנפגעו </w:t>
      </w:r>
      <w:r w:rsidRPr="006C1588" w:rsidR="00590377">
        <w:rPr>
          <w:rFonts w:eastAsia="Calibri"/>
          <w:sz w:val="19"/>
          <w:szCs w:val="19"/>
          <w:rtl/>
        </w:rPr>
        <w:t>מתמ"א</w:t>
      </w:r>
      <w:r w:rsidRPr="006C1588" w:rsidR="00590377">
        <w:rPr>
          <w:rFonts w:eastAsia="Calibri"/>
          <w:sz w:val="19"/>
          <w:szCs w:val="19"/>
          <w:rtl/>
        </w:rPr>
        <w:t xml:space="preserve"> 42, וממילא היא לא אושרה בהחלטת ממשלה ולא נכנסה לתוקף</w:t>
      </w:r>
      <w:r w:rsidRPr="00AF3B73">
        <w:rPr>
          <w:rFonts w:hint="cs"/>
          <w:rtl/>
        </w:rPr>
        <w:t>.</w:t>
      </w:r>
    </w:p>
    <w:p w:rsidR="00EB672B" w:rsidP="00EB672B" w14:paraId="6EA213E6" w14:textId="6E3D195D">
      <w:pPr>
        <w:pStyle w:val="7317"/>
        <w:rPr>
          <w:rtl/>
        </w:rPr>
      </w:pPr>
      <w:r w:rsidRPr="0063556C">
        <w:rPr>
          <w:rStyle w:val="7372"/>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C1588" w:rsidR="00590377">
        <w:rPr>
          <w:rFonts w:eastAsia="Calibri"/>
          <w:b/>
          <w:bCs/>
          <w:sz w:val="19"/>
          <w:szCs w:val="19"/>
          <w:rtl/>
        </w:rPr>
        <w:t>ייצוג משרד התחבורה במוסדות התכנון הארציים, בוועדות המחוזיות ובוועדות המקומיות לתכנון ולבנייה</w:t>
      </w:r>
      <w:r w:rsidRPr="006C1588" w:rsidR="00590377">
        <w:rPr>
          <w:rFonts w:eastAsia="Calibri"/>
          <w:sz w:val="19"/>
          <w:szCs w:val="19"/>
          <w:rtl/>
        </w:rPr>
        <w:t xml:space="preserve"> - בביקורת הקודמת עלה כי "נציגי </w:t>
      </w:r>
      <w:r w:rsidRPr="006C1588" w:rsidR="00590377">
        <w:rPr>
          <w:rFonts w:eastAsia="Calibri"/>
          <w:sz w:val="19"/>
          <w:szCs w:val="19"/>
          <w:rtl/>
        </w:rPr>
        <w:t>מת"ח</w:t>
      </w:r>
      <w:r w:rsidRPr="006C1588" w:rsidR="00590377">
        <w:rPr>
          <w:rFonts w:eastAsia="Calibri"/>
          <w:sz w:val="19"/>
          <w:szCs w:val="19"/>
          <w:rtl/>
        </w:rPr>
        <w:t xml:space="preserve"> [משרד התחבורה] אינם משתתפים בחלק מהדיונים שמקיימות הוועדות המחוזיות. לטענת </w:t>
      </w:r>
      <w:r w:rsidRPr="006C1588" w:rsidR="00590377">
        <w:rPr>
          <w:rFonts w:eastAsia="Calibri"/>
          <w:sz w:val="19"/>
          <w:szCs w:val="19"/>
          <w:rtl/>
        </w:rPr>
        <w:t>מת"ח</w:t>
      </w:r>
      <w:r w:rsidRPr="006C1588" w:rsidR="00590377">
        <w:rPr>
          <w:rFonts w:eastAsia="Calibri"/>
          <w:sz w:val="19"/>
          <w:szCs w:val="19"/>
          <w:rtl/>
        </w:rPr>
        <w:t xml:space="preserve">, הדבר נובע ממצוקת כוח האדם באגף לתכנון תחבורתי. לרוב, נציגי </w:t>
      </w:r>
      <w:r w:rsidRPr="006C1588" w:rsidR="00590377">
        <w:rPr>
          <w:rFonts w:eastAsia="Calibri"/>
          <w:sz w:val="19"/>
          <w:szCs w:val="19"/>
          <w:rtl/>
        </w:rPr>
        <w:t>מת"ח</w:t>
      </w:r>
      <w:r w:rsidRPr="006C1588" w:rsidR="00590377">
        <w:rPr>
          <w:rFonts w:eastAsia="Calibri"/>
          <w:sz w:val="19"/>
          <w:szCs w:val="19"/>
          <w:rtl/>
        </w:rPr>
        <w:t xml:space="preserve"> משתתפים בדיונים לקידום התוכניות הגדולות יותר. בחלק מהמקרים נציגי </w:t>
      </w:r>
      <w:r w:rsidRPr="006C1588" w:rsidR="00590377">
        <w:rPr>
          <w:rFonts w:eastAsia="Calibri"/>
          <w:sz w:val="19"/>
          <w:szCs w:val="19"/>
          <w:rtl/>
        </w:rPr>
        <w:t>מת"ח</w:t>
      </w:r>
      <w:r w:rsidRPr="006C1588" w:rsidR="00590377">
        <w:rPr>
          <w:rFonts w:eastAsia="Calibri"/>
          <w:sz w:val="19"/>
          <w:szCs w:val="19"/>
          <w:rtl/>
        </w:rPr>
        <w:t xml:space="preserve"> אינם משתתפים בדיוני העבודה בשלבים המוקדמים של תהליך קידום התוכנית, אף שהם מוזמנים להשתתף בהם, אלא רק בדיונים בעניין ההפקדה והאישור של התוכנית". עוד עלה בביקורת הקודמת כי בגלל מחסור בכוח אדם באגף לתכנון תחבורתי האגף אינו שולח נציגים מטעמו להשתתף בדיונים של הוועדות המקומיות לתכנון ולבנייה (ועדות מקומיות). </w:t>
      </w:r>
      <w:r w:rsidRPr="006C1588" w:rsidR="00590377">
        <w:rPr>
          <w:rFonts w:eastAsia="Calibri"/>
          <w:b/>
          <w:bCs/>
          <w:sz w:val="19"/>
          <w:szCs w:val="19"/>
          <w:rtl/>
        </w:rPr>
        <w:t xml:space="preserve">בביקורת המעקב נמצא כי הליקוי תוקן במידה מועטה. </w:t>
      </w:r>
      <w:r w:rsidRPr="006C1588" w:rsidR="00590377">
        <w:rPr>
          <w:rFonts w:eastAsia="Calibri"/>
          <w:sz w:val="19"/>
          <w:szCs w:val="19"/>
          <w:rtl/>
        </w:rPr>
        <w:t>עלה כי כוח האדם באגף לתכנון תחבורתי במשרד התחבורה אינו מספיק כדי לתת מענה למשימותיו הרבות בוועדות התכנון השונות, והדבר פוגע בתפקודו השוטף של האגף. נוסף על כך, היעדר ייצוג של נציגי משרד התחבורה עלול להוביל להיעדרו של "מבט-על" בכל נושאי התחבורה הציבורית בדיונים השונים במוסדות התכנון והבנייה, ולהיעדר התייחסות לתחבורה הציבורית בדיונים בוועדות ובמוסדות התכנון הארציים, ובכללם גם להיעדר התייחסות לתכנון ולקידום של התחבורה הציבורית</w:t>
      </w:r>
      <w:r w:rsidRPr="00AF3B73">
        <w:rPr>
          <w:rFonts w:hint="cs"/>
          <w:rtl/>
        </w:rPr>
        <w:t xml:space="preserve">. </w:t>
      </w:r>
    </w:p>
    <w:p w:rsidR="00EB672B" w:rsidRPr="000B463F" w:rsidP="00362D87"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590377" w:rsidRPr="006C1588" w:rsidP="00590377" w14:paraId="059093BA" w14:textId="77777777">
      <w:pPr>
        <w:pStyle w:val="7317"/>
        <w:rPr>
          <w:rFonts w:eastAsia="Calibri"/>
          <w:sz w:val="19"/>
          <w:szCs w:val="19"/>
          <w:rtl/>
        </w:rPr>
      </w:pPr>
      <w:r w:rsidRPr="006C1588">
        <w:rPr>
          <w:rFonts w:eastAsia="Calibri"/>
          <w:b/>
          <w:bCs/>
          <w:sz w:val="19"/>
          <w:szCs w:val="19"/>
          <w:rtl/>
        </w:rPr>
        <w:t>התיאום בין האגף לתכנון תחבורתי לבין הרשות הארצית</w:t>
      </w:r>
      <w:r w:rsidRPr="006C1588">
        <w:rPr>
          <w:rFonts w:eastAsia="Calibri"/>
          <w:sz w:val="19"/>
          <w:szCs w:val="19"/>
          <w:rtl/>
        </w:rPr>
        <w:t xml:space="preserve"> - בביקורת הקודמת עלה כי נמצאו ליקויים בתיאום בין אגף תכנון תחבורתי לבין הרשות הארצית. במקרים רבים נציגי אגף התכנון התחבורתי מעלים בדיוני מוסדות התכנון דרישות להקצאת שטח למתקני </w:t>
      </w:r>
      <w:r w:rsidRPr="006C1588">
        <w:rPr>
          <w:rFonts w:eastAsia="Calibri"/>
          <w:sz w:val="19"/>
          <w:szCs w:val="19"/>
          <w:rtl/>
        </w:rPr>
        <w:t>תח"צ</w:t>
      </w:r>
      <w:r w:rsidRPr="006C1588">
        <w:rPr>
          <w:rFonts w:eastAsia="Calibri"/>
          <w:sz w:val="19"/>
          <w:szCs w:val="19"/>
          <w:rtl/>
        </w:rPr>
        <w:t xml:space="preserve">, אולם אין בידיהם מידע מלא בנושא הרלוונטי, כגון מידע על סוג המתקן </w:t>
      </w:r>
      <w:r w:rsidRPr="002E2CC2">
        <w:rPr>
          <w:rtl/>
        </w:rPr>
        <w:t>הנדרש</w:t>
      </w:r>
      <w:r w:rsidRPr="006C1588">
        <w:rPr>
          <w:rFonts w:eastAsia="Calibri"/>
          <w:sz w:val="19"/>
          <w:szCs w:val="19"/>
          <w:rtl/>
        </w:rPr>
        <w:t xml:space="preserve">, מקומו המועדף והתוכנית הנדרשת עבורו. היעדר תיאום בין שתי היחידות עלול לגרום לכך שההחלטות שיתקבלו במוסדות התכנון לא יהיו מיטביות בהיבט התחבורתי ולא יאפשרו למלא את צורכי התפעול של </w:t>
      </w:r>
      <w:r w:rsidRPr="006C1588">
        <w:rPr>
          <w:rFonts w:eastAsia="Calibri"/>
          <w:sz w:val="19"/>
          <w:szCs w:val="19"/>
          <w:rtl/>
        </w:rPr>
        <w:t>התח"צ</w:t>
      </w:r>
      <w:r w:rsidRPr="006C1588">
        <w:rPr>
          <w:rFonts w:eastAsia="Calibri"/>
          <w:sz w:val="19"/>
          <w:szCs w:val="19"/>
          <w:rtl/>
        </w:rPr>
        <w:t xml:space="preserve">. להחלטות אלה יש השפעה ארוכת טווח על תפעול שירותי </w:t>
      </w:r>
      <w:r w:rsidRPr="006C1588">
        <w:rPr>
          <w:rFonts w:eastAsia="Calibri"/>
          <w:sz w:val="19"/>
          <w:szCs w:val="19"/>
          <w:rtl/>
        </w:rPr>
        <w:t>התח"צ</w:t>
      </w:r>
      <w:r w:rsidRPr="006C1588">
        <w:rPr>
          <w:rFonts w:eastAsia="Calibri"/>
          <w:sz w:val="19"/>
          <w:szCs w:val="19"/>
          <w:rtl/>
        </w:rPr>
        <w:t xml:space="preserve">, והן עלולות להקשות את פיתוחה של מערכת </w:t>
      </w:r>
      <w:r w:rsidRPr="006C1588">
        <w:rPr>
          <w:rFonts w:eastAsia="Calibri"/>
          <w:sz w:val="19"/>
          <w:szCs w:val="19"/>
          <w:rtl/>
        </w:rPr>
        <w:t>תח"צ</w:t>
      </w:r>
      <w:r w:rsidRPr="006C1588">
        <w:rPr>
          <w:rFonts w:eastAsia="Calibri"/>
          <w:sz w:val="19"/>
          <w:szCs w:val="19"/>
          <w:rtl/>
        </w:rPr>
        <w:t xml:space="preserve"> יעילה בעתיד. </w:t>
      </w:r>
      <w:r w:rsidRPr="006C1588">
        <w:rPr>
          <w:rFonts w:eastAsia="Calibri"/>
          <w:b/>
          <w:bCs/>
          <w:sz w:val="19"/>
          <w:szCs w:val="19"/>
          <w:rtl/>
        </w:rPr>
        <w:t xml:space="preserve">בביקורת המעקב נמצא כי הליקוי תוקן באופן מלא. </w:t>
      </w:r>
      <w:r w:rsidRPr="006C1588">
        <w:rPr>
          <w:rFonts w:eastAsia="Calibri"/>
          <w:sz w:val="19"/>
          <w:szCs w:val="19"/>
          <w:rtl/>
        </w:rPr>
        <w:t>עלה כי חל שיפור משמעותי בתיאום בין האגף לתכנון תחבורתי לבין הרשות הארצית, באופן שמתקיימים ביניהם מפגשים קבועים על בסיס חודשי לפחות מראשית שנת 2020.</w:t>
      </w:r>
    </w:p>
    <w:p w:rsidR="00590377" w:rsidRPr="006C1588" w:rsidP="00590377" w14:paraId="167FF375" w14:textId="77777777">
      <w:pPr>
        <w:pStyle w:val="7317"/>
        <w:rPr>
          <w:rFonts w:eastAsia="Calibri"/>
          <w:sz w:val="19"/>
          <w:szCs w:val="19"/>
          <w:rtl/>
        </w:rPr>
      </w:pPr>
      <w:r w:rsidRPr="006C1588">
        <w:rPr>
          <w:rFonts w:eastAsia="Calibri"/>
          <w:b/>
          <w:bCs/>
          <w:sz w:val="19"/>
          <w:szCs w:val="19"/>
          <w:rtl/>
        </w:rPr>
        <w:t xml:space="preserve">עדכון ההנחיות הנוגעות לתכנון, לקידום ותפעול </w:t>
      </w:r>
      <w:r w:rsidRPr="006C1588">
        <w:rPr>
          <w:rFonts w:eastAsia="Calibri"/>
          <w:b/>
          <w:bCs/>
          <w:sz w:val="19"/>
          <w:szCs w:val="19"/>
          <w:rtl/>
        </w:rPr>
        <w:t>התח"צ</w:t>
      </w:r>
      <w:r w:rsidRPr="006C1588">
        <w:rPr>
          <w:rFonts w:eastAsia="Calibri"/>
          <w:b/>
          <w:bCs/>
          <w:sz w:val="19"/>
          <w:szCs w:val="19"/>
          <w:rtl/>
        </w:rPr>
        <w:t xml:space="preserve"> על ידי משרד התחבורה </w:t>
      </w:r>
      <w:r w:rsidRPr="006C1588">
        <w:rPr>
          <w:rFonts w:eastAsia="Calibri"/>
          <w:sz w:val="19"/>
          <w:szCs w:val="19"/>
          <w:rtl/>
        </w:rPr>
        <w:t xml:space="preserve">- בביקורת הקודמת עלה כי "במשך שנים רבות לא עסקו הנחיות משרד התחבורה בנושאים מהותיים רבים החיוניים לשיפור שירותי </w:t>
      </w:r>
      <w:r w:rsidRPr="006C1588">
        <w:rPr>
          <w:rFonts w:eastAsia="Calibri"/>
          <w:sz w:val="19"/>
          <w:szCs w:val="19"/>
          <w:rtl/>
        </w:rPr>
        <w:t>התח"צ</w:t>
      </w:r>
      <w:r w:rsidRPr="006C1588">
        <w:rPr>
          <w:rFonts w:eastAsia="Calibri"/>
          <w:sz w:val="19"/>
          <w:szCs w:val="19"/>
          <w:rtl/>
        </w:rPr>
        <w:t xml:space="preserve"> והשימוש בה. </w:t>
      </w:r>
      <w:r w:rsidRPr="006C1588">
        <w:rPr>
          <w:rFonts w:eastAsia="Calibri"/>
          <w:sz w:val="19"/>
          <w:szCs w:val="19"/>
          <w:rtl/>
        </w:rPr>
        <w:t xml:space="preserve">הנחיות בנושאים כמו ממשקים בין ייעודי קרקע ותחבורה, עקרונות התוויית מערך הדרכים, תכנון מתקני תשתית </w:t>
      </w:r>
      <w:r w:rsidRPr="006C1588">
        <w:rPr>
          <w:rFonts w:eastAsia="Calibri"/>
          <w:sz w:val="19"/>
          <w:szCs w:val="19"/>
          <w:rtl/>
        </w:rPr>
        <w:t>לתח"צ</w:t>
      </w:r>
      <w:r w:rsidRPr="006C1588">
        <w:rPr>
          <w:rFonts w:eastAsia="Calibri"/>
          <w:sz w:val="19"/>
          <w:szCs w:val="19"/>
          <w:rtl/>
        </w:rPr>
        <w:t xml:space="preserve">, הסדרי העדפה </w:t>
      </w:r>
      <w:r w:rsidRPr="006C1588">
        <w:rPr>
          <w:rFonts w:eastAsia="Calibri"/>
          <w:sz w:val="19"/>
          <w:szCs w:val="19"/>
          <w:rtl/>
        </w:rPr>
        <w:t>לתח"צ</w:t>
      </w:r>
      <w:r w:rsidRPr="006C1588">
        <w:rPr>
          <w:rFonts w:eastAsia="Calibri"/>
          <w:sz w:val="19"/>
          <w:szCs w:val="19"/>
          <w:rtl/>
        </w:rPr>
        <w:t xml:space="preserve">, קריטריונים לתכנון קווים ומדדים לרמת השירות פורסמו רק לאחרונה. בהיעדר </w:t>
      </w:r>
      <w:r w:rsidRPr="002E2CC2">
        <w:rPr>
          <w:rtl/>
        </w:rPr>
        <w:t>הנחיות</w:t>
      </w:r>
      <w:r w:rsidRPr="006C1588">
        <w:rPr>
          <w:rFonts w:eastAsia="Calibri"/>
          <w:sz w:val="19"/>
          <w:szCs w:val="19"/>
          <w:rtl/>
        </w:rPr>
        <w:t xml:space="preserve"> אלה, לעיתים לא הושם דגש מספיק על נושא </w:t>
      </w:r>
      <w:r w:rsidRPr="006C1588">
        <w:rPr>
          <w:rFonts w:eastAsia="Calibri"/>
          <w:sz w:val="19"/>
          <w:szCs w:val="19"/>
          <w:rtl/>
        </w:rPr>
        <w:t>התח"צ</w:t>
      </w:r>
      <w:r w:rsidRPr="006C1588">
        <w:rPr>
          <w:rFonts w:eastAsia="Calibri"/>
          <w:sz w:val="19"/>
          <w:szCs w:val="19"/>
          <w:rtl/>
        </w:rPr>
        <w:t xml:space="preserve"> בעת תכנון שכונות, יישובים, מרכזי תעסוקה ואזורי תעשייה". </w:t>
      </w:r>
      <w:r w:rsidRPr="006C1588">
        <w:rPr>
          <w:rFonts w:eastAsia="Calibri"/>
          <w:b/>
          <w:bCs/>
          <w:sz w:val="19"/>
          <w:szCs w:val="19"/>
          <w:rtl/>
        </w:rPr>
        <w:t>בביקורת המעקב נמצא כי הליקוי תוקן במידה רבה.</w:t>
      </w:r>
      <w:r w:rsidRPr="006C1588">
        <w:rPr>
          <w:rFonts w:eastAsia="Calibri"/>
          <w:sz w:val="19"/>
          <w:szCs w:val="19"/>
          <w:rtl/>
        </w:rPr>
        <w:t xml:space="preserve"> עלה כי משרד התחבורה קידם וארגן תהליך של עדכון ההנחיות הנוגעות לתכנון, לקידום ולתפעול של </w:t>
      </w:r>
      <w:r w:rsidRPr="006C1588">
        <w:rPr>
          <w:rFonts w:eastAsia="Calibri"/>
          <w:sz w:val="19"/>
          <w:szCs w:val="19"/>
          <w:rtl/>
        </w:rPr>
        <w:t>תח"צ</w:t>
      </w:r>
      <w:r w:rsidRPr="006C1588">
        <w:rPr>
          <w:rFonts w:eastAsia="Calibri"/>
          <w:sz w:val="19"/>
          <w:szCs w:val="19"/>
          <w:rtl/>
        </w:rPr>
        <w:t xml:space="preserve"> ופרסם את ההנחיות המעודכנות למשתמשי </w:t>
      </w:r>
      <w:r w:rsidRPr="006C1588">
        <w:rPr>
          <w:rFonts w:eastAsia="Calibri"/>
          <w:sz w:val="19"/>
          <w:szCs w:val="19"/>
          <w:rtl/>
        </w:rPr>
        <w:t>התח"צ</w:t>
      </w:r>
      <w:r w:rsidRPr="006C1588">
        <w:rPr>
          <w:rFonts w:eastAsia="Calibri"/>
          <w:sz w:val="19"/>
          <w:szCs w:val="19"/>
          <w:rtl/>
        </w:rPr>
        <w:t xml:space="preserve"> ולכלל הציבור.</w:t>
      </w:r>
    </w:p>
    <w:p w:rsidR="00590377" w:rsidRPr="006C1588" w:rsidP="00590377" w14:paraId="45AB7B69" w14:textId="77777777">
      <w:pPr>
        <w:pStyle w:val="7317"/>
        <w:rPr>
          <w:rFonts w:eastAsia="Calibri"/>
          <w:sz w:val="19"/>
          <w:szCs w:val="19"/>
          <w:rtl/>
        </w:rPr>
      </w:pPr>
      <w:r w:rsidRPr="006C1588">
        <w:rPr>
          <w:rFonts w:eastAsia="Calibri"/>
          <w:b/>
          <w:bCs/>
          <w:sz w:val="19"/>
          <w:szCs w:val="19"/>
          <w:rtl/>
        </w:rPr>
        <w:t xml:space="preserve">תכנון שימושי קרקע בקרבת אמצעי </w:t>
      </w:r>
      <w:r w:rsidRPr="006C1588">
        <w:rPr>
          <w:rFonts w:eastAsia="Calibri"/>
          <w:b/>
          <w:bCs/>
          <w:sz w:val="19"/>
          <w:szCs w:val="19"/>
          <w:rtl/>
        </w:rPr>
        <w:t>התח"צ</w:t>
      </w:r>
      <w:r w:rsidRPr="006C1588">
        <w:rPr>
          <w:rFonts w:eastAsia="Calibri"/>
          <w:b/>
          <w:bCs/>
          <w:sz w:val="19"/>
          <w:szCs w:val="19"/>
          <w:rtl/>
        </w:rPr>
        <w:t xml:space="preserve"> </w:t>
      </w:r>
      <w:r w:rsidRPr="00CD7EC6">
        <w:rPr>
          <w:rFonts w:eastAsia="Calibri"/>
          <w:sz w:val="19"/>
          <w:szCs w:val="19"/>
          <w:rtl/>
        </w:rPr>
        <w:t>-</w:t>
      </w:r>
      <w:r w:rsidRPr="006C1588">
        <w:rPr>
          <w:rFonts w:eastAsia="Calibri"/>
          <w:b/>
          <w:bCs/>
          <w:sz w:val="19"/>
          <w:szCs w:val="19"/>
          <w:rtl/>
        </w:rPr>
        <w:t xml:space="preserve"> </w:t>
      </w:r>
      <w:r w:rsidRPr="006C1588">
        <w:rPr>
          <w:rFonts w:eastAsia="Calibri"/>
          <w:sz w:val="19"/>
          <w:szCs w:val="19"/>
          <w:rtl/>
        </w:rPr>
        <w:t xml:space="preserve">בביקורת הקודמת נמצאו תוכניות שלגביהן עקרון השילוב הנכון בין ייעודי קרקע ואמצעי </w:t>
      </w:r>
      <w:r w:rsidRPr="006C1588">
        <w:rPr>
          <w:rFonts w:eastAsia="Calibri"/>
          <w:sz w:val="19"/>
          <w:szCs w:val="19"/>
          <w:rtl/>
        </w:rPr>
        <w:t>התח"צ</w:t>
      </w:r>
      <w:r w:rsidRPr="006C1588">
        <w:rPr>
          <w:rFonts w:eastAsia="Calibri"/>
          <w:sz w:val="19"/>
          <w:szCs w:val="19"/>
          <w:rtl/>
        </w:rPr>
        <w:t xml:space="preserve"> לא התקיים, ובהן </w:t>
      </w:r>
      <w:r w:rsidRPr="006C1588">
        <w:rPr>
          <w:rFonts w:eastAsia="Calibri"/>
          <w:sz w:val="19"/>
          <w:szCs w:val="19"/>
          <w:rtl/>
        </w:rPr>
        <w:t>תמ"ל</w:t>
      </w:r>
      <w:r w:rsidRPr="006C1588">
        <w:rPr>
          <w:rFonts w:eastAsia="Calibri"/>
          <w:sz w:val="19"/>
          <w:szCs w:val="19"/>
          <w:rtl/>
        </w:rPr>
        <w:t xml:space="preserve"> 1046 להקמת שכונה חדשה בדרום-מערב אור יהודה </w:t>
      </w:r>
      <w:r w:rsidRPr="006C1588">
        <w:rPr>
          <w:rFonts w:eastAsia="Calibri"/>
          <w:sz w:val="19"/>
          <w:szCs w:val="19"/>
          <w:rtl/>
        </w:rPr>
        <w:t>ותמ"ל</w:t>
      </w:r>
      <w:r w:rsidRPr="006C1588">
        <w:rPr>
          <w:rFonts w:eastAsia="Calibri"/>
          <w:sz w:val="19"/>
          <w:szCs w:val="19"/>
          <w:rtl/>
        </w:rPr>
        <w:t xml:space="preserve"> 1023 להקמת שכונה חדשה בדרום-מזרח רמת גן. </w:t>
      </w:r>
      <w:r w:rsidRPr="006C1588">
        <w:rPr>
          <w:rFonts w:eastAsia="Calibri"/>
          <w:b/>
          <w:bCs/>
          <w:sz w:val="19"/>
          <w:szCs w:val="19"/>
          <w:rtl/>
        </w:rPr>
        <w:t>בביקורת המעקב נמצא כי הליקוי תוקן במידה רבה.</w:t>
      </w:r>
      <w:r w:rsidRPr="006C1588">
        <w:rPr>
          <w:rFonts w:eastAsia="Calibri"/>
          <w:sz w:val="19"/>
          <w:szCs w:val="19"/>
          <w:rtl/>
        </w:rPr>
        <w:t xml:space="preserve"> עלה כי במסגרת ההליך התכנוני יש התייחסות לנושא אמצעי </w:t>
      </w:r>
      <w:r w:rsidRPr="006C1588">
        <w:rPr>
          <w:rFonts w:eastAsia="Calibri"/>
          <w:sz w:val="19"/>
          <w:szCs w:val="19"/>
          <w:rtl/>
        </w:rPr>
        <w:t>התח"צ</w:t>
      </w:r>
      <w:r w:rsidRPr="006C1588">
        <w:rPr>
          <w:rFonts w:eastAsia="Calibri"/>
          <w:sz w:val="19"/>
          <w:szCs w:val="19"/>
          <w:rtl/>
        </w:rPr>
        <w:t xml:space="preserve"> כחלק מהתוכנית המוצעת, ובמיוחד במערכת עתירת-נוסעים במסגרתה, אם היא אכן קיימת. בנושא תכנון שימושי הקרקע בקרבת אמצעי </w:t>
      </w:r>
      <w:r w:rsidRPr="006C1588">
        <w:rPr>
          <w:rFonts w:eastAsia="Calibri"/>
          <w:sz w:val="19"/>
          <w:szCs w:val="19"/>
          <w:rtl/>
        </w:rPr>
        <w:t>תח"צ</w:t>
      </w:r>
      <w:r w:rsidRPr="006C1588">
        <w:rPr>
          <w:rFonts w:eastAsia="Calibri"/>
          <w:sz w:val="19"/>
          <w:szCs w:val="19"/>
          <w:rtl/>
        </w:rPr>
        <w:t xml:space="preserve"> ניתנה התייחסות מיוחדת לתכנון קרקע שקשור למערכת התחבורה הציבורית בכלל, ולמערכת עתירת נוסעים בפרט. נוסף על כך, תמ"א 35 - תוכנית המתאר הארצית המשולבת לבנייה, לפיתוח ולשימור, לצד תיקון מס' 7 בחוק </w:t>
      </w:r>
      <w:r w:rsidRPr="006C1588">
        <w:rPr>
          <w:rFonts w:eastAsia="Calibri"/>
          <w:sz w:val="19"/>
          <w:szCs w:val="19"/>
          <w:rtl/>
        </w:rPr>
        <w:t>הוותמ"ל</w:t>
      </w:r>
      <w:r w:rsidRPr="006C1588">
        <w:rPr>
          <w:rFonts w:eastAsia="Calibri"/>
          <w:sz w:val="19"/>
          <w:szCs w:val="19"/>
          <w:rtl/>
        </w:rPr>
        <w:t xml:space="preserve"> וקידום תמ"א 70 (תוכנית מתאר ארצית המשלימה את קידום התוכניות למרחב מערכת המטרו), אשר מתייחסת באופן פרטני למערכת המטרו במטרופולין תל אביב - נותנים כעת כלים טובים יותר לגורמי התכנון השונים בכלל, ולמשרד התחבורה בפרט, לתכנן תחבורה ציבורית באופן המיטבי כדי שתשרת ביעילות רבה יותר את משתמשי </w:t>
      </w:r>
      <w:r w:rsidRPr="006C1588">
        <w:rPr>
          <w:rFonts w:eastAsia="Calibri"/>
          <w:sz w:val="19"/>
          <w:szCs w:val="19"/>
          <w:rtl/>
        </w:rPr>
        <w:t>התח"צ</w:t>
      </w:r>
      <w:r w:rsidRPr="006C1588">
        <w:rPr>
          <w:rFonts w:eastAsia="Calibri"/>
          <w:sz w:val="19"/>
          <w:szCs w:val="19"/>
          <w:rtl/>
        </w:rPr>
        <w:t>, במיוחד כשמדובר במערכת תחבורה עתירת נוסעים.</w:t>
      </w:r>
    </w:p>
    <w:p w:rsidR="00590377" w:rsidRPr="006C1588" w:rsidP="00590377" w14:paraId="5EAA55EA" w14:textId="77777777">
      <w:pPr>
        <w:pStyle w:val="7317"/>
        <w:rPr>
          <w:rFonts w:eastAsia="Calibri"/>
          <w:sz w:val="19"/>
          <w:szCs w:val="19"/>
          <w:rtl/>
        </w:rPr>
      </w:pPr>
      <w:r w:rsidRPr="006C1588">
        <w:rPr>
          <w:rFonts w:eastAsia="Calibri"/>
          <w:b/>
          <w:bCs/>
          <w:sz w:val="19"/>
          <w:szCs w:val="19"/>
          <w:rtl/>
        </w:rPr>
        <w:t xml:space="preserve">הטמעת ההנחיות הנוגעות לתכנון, לקידום ולתפעול של </w:t>
      </w:r>
      <w:r w:rsidRPr="006C1588">
        <w:rPr>
          <w:rFonts w:eastAsia="Calibri"/>
          <w:b/>
          <w:bCs/>
          <w:sz w:val="19"/>
          <w:szCs w:val="19"/>
          <w:rtl/>
        </w:rPr>
        <w:t>תח"צ</w:t>
      </w:r>
      <w:r w:rsidRPr="006C1588">
        <w:rPr>
          <w:rFonts w:eastAsia="Calibri"/>
          <w:b/>
          <w:bCs/>
          <w:sz w:val="19"/>
          <w:szCs w:val="19"/>
          <w:rtl/>
        </w:rPr>
        <w:t xml:space="preserve"> בקרב גורמים חיצוניים</w:t>
      </w:r>
      <w:r w:rsidRPr="006C1588">
        <w:rPr>
          <w:rFonts w:eastAsia="Calibri"/>
          <w:sz w:val="19"/>
          <w:szCs w:val="19"/>
          <w:rtl/>
        </w:rPr>
        <w:t xml:space="preserve"> - בביקורת הקודמת עלה כי במהלכה "מסר האגף לתכנון תחבורתי כי לרוב כאשר הוא מפרסם הנחיות חדשות הוא מקיים יום עיון שבו הוא מציג את עיקרי ההנחיות ומציין את חשיבותן, אולם אין ביכולתו לקיים בקרב הגורמים הרלוונטיים הכשרות תקופתיות </w:t>
      </w:r>
      <w:r w:rsidRPr="002E2CC2">
        <w:rPr>
          <w:rtl/>
        </w:rPr>
        <w:t>וריענונים</w:t>
      </w:r>
      <w:r w:rsidRPr="006C1588">
        <w:rPr>
          <w:rFonts w:eastAsia="Calibri"/>
          <w:sz w:val="19"/>
          <w:szCs w:val="19"/>
          <w:rtl/>
        </w:rPr>
        <w:t xml:space="preserve"> בנושאי ההנחיות". </w:t>
      </w:r>
      <w:r w:rsidRPr="006C1588">
        <w:rPr>
          <w:rFonts w:eastAsia="Calibri"/>
          <w:b/>
          <w:bCs/>
          <w:sz w:val="19"/>
          <w:szCs w:val="19"/>
          <w:rtl/>
        </w:rPr>
        <w:t>בביקורת המעקב נמצא כי הליקוי תוקן במידה רבה.</w:t>
      </w:r>
      <w:r w:rsidRPr="006C1588">
        <w:rPr>
          <w:rFonts w:eastAsia="Calibri"/>
          <w:sz w:val="19"/>
          <w:szCs w:val="19"/>
          <w:rtl/>
        </w:rPr>
        <w:t xml:space="preserve"> עלה כי משרד התחבורה מפרסם את ההנחיות הנוגעות לתכנון, לקידום ולתפעול של </w:t>
      </w:r>
      <w:r w:rsidRPr="006C1588">
        <w:rPr>
          <w:rFonts w:eastAsia="Calibri"/>
          <w:sz w:val="19"/>
          <w:szCs w:val="19"/>
          <w:rtl/>
        </w:rPr>
        <w:t>תח"צ</w:t>
      </w:r>
      <w:r w:rsidRPr="006C1588">
        <w:rPr>
          <w:rFonts w:eastAsia="Calibri"/>
          <w:sz w:val="19"/>
          <w:szCs w:val="19"/>
          <w:rtl/>
        </w:rPr>
        <w:t xml:space="preserve"> באתר המרשתת שלו וכי המכרז "</w:t>
      </w:r>
      <w:r w:rsidRPr="006C1588">
        <w:rPr>
          <w:rFonts w:eastAsia="Calibri"/>
          <w:sz w:val="19"/>
          <w:szCs w:val="19"/>
          <w:rtl/>
        </w:rPr>
        <w:t>לתכנית</w:t>
      </w:r>
      <w:r w:rsidRPr="006C1588">
        <w:rPr>
          <w:rFonts w:eastAsia="Calibri"/>
          <w:sz w:val="19"/>
          <w:szCs w:val="19"/>
          <w:rtl/>
        </w:rPr>
        <w:t xml:space="preserve"> הכשרות מקיפה לכלל השחקנים הרלוונטיים בתחום ברשויות המקומיות, בשוק הפרטי, ובממשלה" הושלם בדצמבר 2022.</w:t>
      </w:r>
    </w:p>
    <w:p w:rsidR="00EB672B" w:rsidRPr="00CA4EB1" w:rsidP="00590377" w14:paraId="3D4B0578" w14:textId="47AEEBFE">
      <w:pPr>
        <w:pStyle w:val="7317"/>
        <w:rPr>
          <w:rtl/>
        </w:rPr>
      </w:pPr>
      <w:r w:rsidRPr="006C1588">
        <w:rPr>
          <w:rFonts w:eastAsia="Calibri"/>
          <w:b/>
          <w:bCs/>
          <w:sz w:val="19"/>
          <w:szCs w:val="19"/>
          <w:rtl/>
        </w:rPr>
        <w:t xml:space="preserve">שיתוף נציגי משרד התחבורה בשלבים השונים של ההליך התכנוני </w:t>
      </w:r>
      <w:r w:rsidRPr="006C1588">
        <w:rPr>
          <w:rFonts w:eastAsia="Calibri"/>
          <w:b/>
          <w:bCs/>
          <w:sz w:val="19"/>
          <w:szCs w:val="19"/>
          <w:rtl/>
        </w:rPr>
        <w:t>בוותמ"ל</w:t>
      </w:r>
      <w:r w:rsidRPr="006C1588">
        <w:rPr>
          <w:rFonts w:eastAsia="Calibri"/>
          <w:sz w:val="19"/>
          <w:szCs w:val="19"/>
          <w:rtl/>
        </w:rPr>
        <w:t xml:space="preserve"> - בביקורת הקודמת עלה כי "היעדר תיאום מקדים בין </w:t>
      </w:r>
      <w:r w:rsidRPr="006C1588">
        <w:rPr>
          <w:rFonts w:eastAsia="Calibri"/>
          <w:sz w:val="19"/>
          <w:szCs w:val="19"/>
          <w:rtl/>
        </w:rPr>
        <w:t>הוותמ"ל</w:t>
      </w:r>
      <w:r w:rsidRPr="006C1588">
        <w:rPr>
          <w:rFonts w:eastAsia="Calibri"/>
          <w:sz w:val="19"/>
          <w:szCs w:val="19"/>
          <w:rtl/>
        </w:rPr>
        <w:t xml:space="preserve"> לבין נציגי </w:t>
      </w:r>
      <w:r w:rsidRPr="006C1588">
        <w:rPr>
          <w:rFonts w:eastAsia="Calibri"/>
          <w:sz w:val="19"/>
          <w:szCs w:val="19"/>
          <w:rtl/>
        </w:rPr>
        <w:t>מת"ח</w:t>
      </w:r>
      <w:r w:rsidRPr="006C1588">
        <w:rPr>
          <w:rFonts w:eastAsia="Calibri"/>
          <w:sz w:val="19"/>
          <w:szCs w:val="19"/>
          <w:rtl/>
        </w:rPr>
        <w:t xml:space="preserve"> והמעורבות החלקית של נציגי משרד התחבורה בגיבוש התוכניות מקשים על נציגי משרד התחבורה להעלות לדיון סוגיות תחבורתיות ולקדם שינויים בתוכניות שיסייעו לספק שירותי תחבורה ציבורית. דרך המלך לשיתופם של גורמי ממשלה בתהליך התכנון היא שיתופם בדיוני הוועדות וביצוע תיאום עימם במשך כל תהליך התכנון. למרות זאת, נוצרת מציאות שבה פעמים רבות </w:t>
      </w:r>
      <w:r w:rsidRPr="006C1588">
        <w:rPr>
          <w:rFonts w:eastAsia="Calibri"/>
          <w:sz w:val="19"/>
          <w:szCs w:val="19"/>
          <w:rtl/>
        </w:rPr>
        <w:t>מת"ח</w:t>
      </w:r>
      <w:r w:rsidRPr="006C1588">
        <w:rPr>
          <w:rFonts w:eastAsia="Calibri"/>
          <w:sz w:val="19"/>
          <w:szCs w:val="19"/>
          <w:rtl/>
        </w:rPr>
        <w:t xml:space="preserve"> מגיש התנגדות לתוכנית בשלב המאוחר של הגשת ההתנגדויות, אף שהמטרה העיקרית של שלב זה היא לאפשר לציבור הרחב להשתתף בתהליך התכנון". </w:t>
      </w:r>
      <w:r w:rsidRPr="006C1588">
        <w:rPr>
          <w:rFonts w:eastAsia="Calibri"/>
          <w:b/>
          <w:bCs/>
          <w:sz w:val="19"/>
          <w:szCs w:val="19"/>
          <w:rtl/>
        </w:rPr>
        <w:t>בביקורת המעקב נמצא כי הליקוי תוקן במידה רבה</w:t>
      </w:r>
      <w:r w:rsidRPr="006C1588">
        <w:rPr>
          <w:rFonts w:eastAsia="Calibri"/>
          <w:sz w:val="19"/>
          <w:szCs w:val="19"/>
          <w:rtl/>
        </w:rPr>
        <w:t xml:space="preserve">. עלה כי חלה התקדמות משמעותית בשיתוף הפעולה בין </w:t>
      </w:r>
      <w:r w:rsidRPr="006C1588">
        <w:rPr>
          <w:rFonts w:eastAsia="Calibri"/>
          <w:sz w:val="19"/>
          <w:szCs w:val="19"/>
          <w:rtl/>
        </w:rPr>
        <w:t>הוותמ"ל</w:t>
      </w:r>
      <w:r w:rsidRPr="006C1588">
        <w:rPr>
          <w:rFonts w:eastAsia="Calibri"/>
          <w:sz w:val="19"/>
          <w:szCs w:val="19"/>
          <w:rtl/>
        </w:rPr>
        <w:t xml:space="preserve"> </w:t>
      </w:r>
      <w:r w:rsidRPr="006C1588">
        <w:rPr>
          <w:rFonts w:eastAsia="Calibri"/>
          <w:sz w:val="19"/>
          <w:szCs w:val="19"/>
          <w:rtl/>
        </w:rPr>
        <w:t xml:space="preserve">למשרד התחבורה בשלבים השונים של ההליך התכנוני </w:t>
      </w:r>
      <w:r w:rsidRPr="006C1588">
        <w:rPr>
          <w:rFonts w:eastAsia="Calibri"/>
          <w:sz w:val="19"/>
          <w:szCs w:val="19"/>
          <w:rtl/>
        </w:rPr>
        <w:t>בוותמ"ל</w:t>
      </w:r>
      <w:r w:rsidRPr="006C1588">
        <w:rPr>
          <w:rFonts w:eastAsia="Calibri"/>
          <w:sz w:val="19"/>
          <w:szCs w:val="19"/>
          <w:rtl/>
        </w:rPr>
        <w:t xml:space="preserve"> ובדיונים בתוכנית המוצעת. עם זאת, במועד סיום ביקורת המעקב (פברואר 2023) עלה כי עדיין ישנם פערים בין שני הצדדים לגבי מידת שיתוף הפעולה ביניהם</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73952D46">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1139E" w:rsidR="008D3B84">
        <w:rPr>
          <w:rtl/>
        </w:rPr>
        <w:t xml:space="preserve">על משרד התחבורה </w:t>
      </w:r>
      <w:r w:rsidRPr="0011139E" w:rsidR="008D3B84">
        <w:rPr>
          <w:rtl/>
        </w:rPr>
        <w:t>ונש"ם</w:t>
      </w:r>
      <w:r w:rsidRPr="0011139E" w:rsidR="008D3B84">
        <w:rPr>
          <w:rtl/>
        </w:rPr>
        <w:t xml:space="preserve"> לפעול כדי להסדיר את מעמדה של הרשות הארצית לתחבורה ציבורית בהתאם להחלטת הממשלה 3988 משנת 2011; ואם השתנו הנסיבות והתנאים, עליהם לפנות לממשלה כדי לשנות את החלטתה משנת 2011</w:t>
      </w:r>
      <w:r w:rsidRPr="007C7D40">
        <w:rPr>
          <w:rFonts w:hint="cs"/>
          <w:rtl/>
        </w:rPr>
        <w:t xml:space="preserve">. </w:t>
      </w:r>
    </w:p>
    <w:p w:rsidR="00EB672B" w:rsidRPr="007C7D40" w:rsidP="00EB672B" w14:paraId="723E2ABD" w14:textId="64183F2E">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1139E" w:rsidR="008D3B84">
        <w:rPr>
          <w:rtl/>
        </w:rPr>
        <w:t xml:space="preserve">מומלץ כי משרד התחבורה, משרד האוצר </w:t>
      </w:r>
      <w:r w:rsidRPr="0011139E" w:rsidR="008D3B84">
        <w:rPr>
          <w:rtl/>
        </w:rPr>
        <w:t>ונש"ם</w:t>
      </w:r>
      <w:r w:rsidRPr="0011139E" w:rsidR="008D3B84">
        <w:rPr>
          <w:rtl/>
        </w:rPr>
        <w:t xml:space="preserve"> יבחנו מחדש את תקני כוח האדם ברשות הארצית לתחבורה ציבורית ובאגף לתכנון תחבורתי ויתאימו אותם למשימותיהם השוטפות, אשר מתרבות עם השנים בגלל הביקוש לתחבורה הציבורית ובגלל הגידול הטבעי באוכלוסייה של מדינת ישראל</w:t>
      </w:r>
      <w:r w:rsidRPr="007C7D40">
        <w:rPr>
          <w:rtl/>
        </w:rPr>
        <w:t xml:space="preserve">. </w:t>
      </w:r>
    </w:p>
    <w:p w:rsidR="00EB672B" w:rsidRPr="007C7D40" w:rsidP="00EB672B" w14:paraId="55FA89EC" w14:textId="46CD7868">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1139E" w:rsidR="008D3B84">
        <w:rPr>
          <w:rtl/>
        </w:rPr>
        <w:t xml:space="preserve">על משרד התחבורה להשלים את פעילותו כדי להשלים את הקמתן של הרשויות המרחביות לתחבורה, כפי שנקבע בהחלטת הממשלה 1854, ולבחון לאחר הקמתן אם הן אכן נותנות מענה הולם על הצרכים </w:t>
      </w:r>
      <w:r w:rsidRPr="006C1588" w:rsidR="008D3B84">
        <w:rPr>
          <w:rtl/>
        </w:rPr>
        <w:t xml:space="preserve"> </w:t>
      </w:r>
      <w:r w:rsidRPr="0011139E" w:rsidR="008D3B84">
        <w:rPr>
          <w:rtl/>
        </w:rPr>
        <w:t>של קידום התחבורה הציבורית ותכנונה</w:t>
      </w:r>
      <w:r w:rsidRPr="007C7D40">
        <w:rPr>
          <w:rFonts w:hint="cs"/>
          <w:rtl/>
        </w:rPr>
        <w:t>.</w:t>
      </w:r>
    </w:p>
    <w:p w:rsidR="00EB672B" w:rsidRPr="007C7D40" w:rsidP="00EB672B" w14:paraId="078A06EB" w14:textId="015D736B">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1139E" w:rsidR="008D3B84">
        <w:rPr>
          <w:rtl/>
        </w:rPr>
        <w:t>מומלץ כי משרד התחבורה להמשיך ולעדכן את ההנחיות הרלוונטיות לתכנון, לקידום, ולתפעול של התחבורה הציבורית, ולעקוב באופן שוטף אחר עדכונן ויישומן על ידי משתמשי התחבורה הציבורית וכלל הציבור</w:t>
      </w:r>
      <w:r w:rsidRPr="007C7D40">
        <w:rPr>
          <w:rFonts w:hint="cs"/>
          <w:rtl/>
        </w:rPr>
        <w:t>.</w:t>
      </w:r>
    </w:p>
    <w:p w:rsidR="00EB672B" w:rsidRPr="007C7D40" w:rsidP="00EB672B" w14:paraId="5538133A" w14:textId="32EF5CCC">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1139E" w:rsidR="008D3B84">
        <w:rPr>
          <w:rtl/>
        </w:rPr>
        <w:t>מומלץ כי משרד התחבורה ומשרד האוצר יסדירו את המחלוקת לגבי כתב השיפוי ובמידת הצורך יפנו לשרים האחראים לשני המשרדים, ואף יפנו לממשלה, לצורך הכרעה במחלוקת. עקב חשיבותה ותרומתה של תמ"א 42 לפיתוח התחבורה הציבורית ברמה הארצית, יש חשיבות להסדרת המחלוקת לגבי כתב השיפוי, מאחר שהסדרת המחלוקת תאפשר לוועדה הארצית לתכנון ולבנייה להגיש את התוכנית לממשלה לקבלת אישורה</w:t>
      </w:r>
      <w:r w:rsidRPr="007C7D40">
        <w:rPr>
          <w:rFonts w:hint="cs"/>
          <w:rtl/>
        </w:rPr>
        <w:t>.</w:t>
      </w:r>
    </w:p>
    <w:p w:rsidR="00EB672B" w:rsidP="00EB672B" w14:paraId="63467834" w14:textId="2F1C60B1">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11139E" w:rsidR="008D3B84">
        <w:rPr>
          <w:rtl/>
        </w:rPr>
        <w:t xml:space="preserve">מומלץ כי משרד התחבורה יבחן תיאום של ישיבות תקופתיות עם מנהל התכנון לשם בחינה של </w:t>
      </w:r>
      <w:r w:rsidRPr="0011139E" w:rsidR="008D3B84">
        <w:rPr>
          <w:rtl/>
        </w:rPr>
        <w:t>תכניות</w:t>
      </w:r>
      <w:r w:rsidRPr="0011139E" w:rsidR="008D3B84">
        <w:rPr>
          <w:rtl/>
        </w:rPr>
        <w:t xml:space="preserve"> שיש להן השפעות תחבורתיות המוגשות בכל רמות התכנון (המקומית, המחוזית והארצית) למנהל התכנון. זאת כדי שמשרד התחבורה יוכל להיערך למיקוד כוח האדם הקיים שלו במועדים ידועים וקבועים מראש, לשם מתן מענה לגבי תוכניות שבהן נדרשת התייחסות בנושאי התחבורה</w:t>
      </w:r>
      <w:r w:rsidRPr="008E57FE">
        <w:rPr>
          <w:rFonts w:hint="cs"/>
          <w:rtl/>
        </w:rPr>
        <w:t>.</w:t>
      </w:r>
    </w:p>
    <w:p w:rsidR="007B135E" w:rsidP="00EB672B" w14:paraId="6DC28C4F" w14:textId="40032B0A">
      <w:pPr>
        <w:pStyle w:val="7317"/>
        <w:rPr>
          <w:rtl/>
        </w:rPr>
      </w:pPr>
      <w:r>
        <w:rPr>
          <w:rtl/>
        </w:rPr>
        <w:t xml:space="preserve"> </w:t>
      </w:r>
    </w:p>
    <w:p w:rsidR="007B135E" w14:paraId="5496F0AE" w14:textId="77777777">
      <w:pPr>
        <w:bidi w:val="0"/>
        <w:spacing w:after="200" w:line="276" w:lineRule="auto"/>
        <w:rPr>
          <w:rFonts w:ascii="Tahoma" w:hAnsi="Tahoma" w:cs="Tahoma"/>
          <w:color w:val="0D0D0D" w:themeColor="text1" w:themeTint="F2"/>
          <w:sz w:val="18"/>
          <w:szCs w:val="18"/>
          <w:rtl/>
        </w:rPr>
      </w:pPr>
      <w:r>
        <w:rPr>
          <w:rtl/>
        </w:rPr>
        <w:br w:type="page"/>
      </w:r>
    </w:p>
    <w:p w:rsidR="007B135E" w:rsidP="007B135E" w14:paraId="3D9C1914" w14:textId="77777777">
      <w:pPr>
        <w:pStyle w:val="73"/>
        <w:rPr>
          <w:rtl/>
        </w:rPr>
      </w:pPr>
      <w:r w:rsidRPr="00EF3061">
        <w:rPr>
          <w:rFonts w:hint="cs"/>
          <w:rtl/>
        </w:rPr>
        <w:t>סיכום</w:t>
      </w:r>
    </w:p>
    <w:p w:rsidR="007B135E" w:rsidRPr="0011139E" w:rsidP="007B135E" w14:paraId="287AF440"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הגידול הטבעי של האוכלוסייה, הפיתוח הכלכלי והצמיחה משפיעים ישירות על ענף התחבורה, ובכלל זה על איכות השירותים שהוא מספק: הצמיחה מגדילה את הביקוש לנסיעות בכבישים - של משאיות, כלי רכב פרטיים ותחבורה ציבורית - והדבר גורם להגדלת הגודש בכבישים, מחמיר את זיהום האוויר וגורם למטרדים אחרים.</w:t>
      </w:r>
    </w:p>
    <w:p w:rsidR="007B135E" w:rsidRPr="0011139E" w:rsidP="007B135E" w14:paraId="0FF908E1"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בשנים 2000 - 2021 מצבת כלי הרכב, הנסועה, שטח הכבישים ואורך הכבישים גדלו פי 2.1, 1.75, 1.58 ו-1.24 בהתאמה, ולפיכך הגודש בכבישים הולך וגדל משנה לשנה. הנזק בגין הגודש בכבישים נאמד בכ-2% מהתוצר המקומי הגולמי, ולשנת 2021 הוא נאמד בכ-31 מיליארד ש"ח.</w:t>
      </w:r>
    </w:p>
    <w:p w:rsidR="007B135E" w:rsidRPr="0011139E" w:rsidP="007B135E" w14:paraId="5FD65A1B"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משרד התחבורה אמון על מתן שירותי התחבורה בכלל, ועל מתן שירותי התחבורה הציבורית (</w:t>
      </w:r>
      <w:r w:rsidRPr="0011139E">
        <w:rPr>
          <w:rFonts w:ascii="Tahoma" w:hAnsi="Tahoma" w:cs="Tahoma"/>
          <w:sz w:val="18"/>
          <w:szCs w:val="18"/>
          <w:rtl/>
        </w:rPr>
        <w:t>התח"צ</w:t>
      </w:r>
      <w:r w:rsidRPr="0011139E">
        <w:rPr>
          <w:rFonts w:ascii="Tahoma" w:hAnsi="Tahoma" w:cs="Tahoma"/>
          <w:sz w:val="18"/>
          <w:szCs w:val="18"/>
          <w:rtl/>
        </w:rPr>
        <w:t>) בפרט, ועל כן הוא צריך להיות שותף פעיל בתהליכי התכנון הסטטוטורי על כל רבדיו.</w:t>
      </w:r>
    </w:p>
    <w:p w:rsidR="007B135E" w:rsidRPr="0011139E" w:rsidP="007B135E" w14:paraId="3D4BAAC1"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 xml:space="preserve">ביקורת  המעקב העלתה כי משרד התחבורה פעל לתיקון מחצית מהליקויים שעלו בדוח הביקורת הקודם - 7 מתוך 16 תוקנו במידה רבה, ואחד נוסף תוקן באופן מלא. </w:t>
      </w:r>
    </w:p>
    <w:p w:rsidR="007B135E" w:rsidRPr="0011139E" w:rsidP="007B135E" w14:paraId="1AE28C00"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 xml:space="preserve">משרד מבקר המדינה מציין לחיוב את הפעולות שביצעו משרד התחבורה </w:t>
      </w:r>
      <w:r w:rsidRPr="0011139E">
        <w:rPr>
          <w:rFonts w:ascii="Tahoma" w:hAnsi="Tahoma" w:cs="Tahoma"/>
          <w:sz w:val="18"/>
          <w:szCs w:val="18"/>
          <w:rtl/>
        </w:rPr>
        <w:t>והוותמ"ל</w:t>
      </w:r>
      <w:r w:rsidRPr="0011139E">
        <w:rPr>
          <w:rFonts w:ascii="Tahoma" w:hAnsi="Tahoma" w:cs="Tahoma"/>
          <w:sz w:val="18"/>
          <w:szCs w:val="18"/>
          <w:rtl/>
        </w:rPr>
        <w:t xml:space="preserve"> לקידום התחבורה הציבורית, בין היתר באמצעות קביעת הנחיות ותבחינים חדשים, את השיפור שחל בשיתוף הפעולה בין משרד התחבורה לבין </w:t>
      </w:r>
      <w:r w:rsidRPr="0011139E">
        <w:rPr>
          <w:rFonts w:ascii="Tahoma" w:hAnsi="Tahoma" w:cs="Tahoma"/>
          <w:sz w:val="18"/>
          <w:szCs w:val="18"/>
          <w:rtl/>
        </w:rPr>
        <w:t>הוותמ"ל</w:t>
      </w:r>
      <w:r w:rsidRPr="0011139E">
        <w:rPr>
          <w:rFonts w:ascii="Tahoma" w:hAnsi="Tahoma" w:cs="Tahoma"/>
          <w:sz w:val="18"/>
          <w:szCs w:val="18"/>
          <w:rtl/>
        </w:rPr>
        <w:t>, ואת התיקון מס' 7 בחוק לקידום הבנייה במתחמים מועדפים (הוראת שעה), התשע"ד-2014, אשר שם דגש, בין היתר, פיתוח מוטה תחבורה ציבורית בתוכניות מועדפות.</w:t>
      </w:r>
    </w:p>
    <w:p w:rsidR="007B135E" w:rsidRPr="0011139E" w:rsidP="007B135E" w14:paraId="0021A655"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 xml:space="preserve">עם זאת, הליקוי שקשור להסדרת מעמדה של הרשות הארצית לא תוקן; ואילו ליקויים שקשורים למבנה הארגוני של הרשות הארצית, להקמת רשויות תחבורה </w:t>
      </w:r>
      <w:r w:rsidRPr="0011139E">
        <w:rPr>
          <w:rFonts w:ascii="Tahoma" w:hAnsi="Tahoma" w:cs="Tahoma"/>
          <w:sz w:val="18"/>
          <w:szCs w:val="18"/>
          <w:rtl/>
        </w:rPr>
        <w:t>מטרופוליניות</w:t>
      </w:r>
      <w:r w:rsidRPr="0011139E">
        <w:rPr>
          <w:rFonts w:ascii="Tahoma" w:hAnsi="Tahoma" w:cs="Tahoma"/>
          <w:sz w:val="18"/>
          <w:szCs w:val="18"/>
          <w:rtl/>
        </w:rPr>
        <w:t>, כוח אדם מקצועי באגף לתכנון תחבורתי במשרד התחבורה, הסתמכות על יועצים חיצוניים בעבודת האגף לתכנון תחבורתי, העברת תוכנית מתאר ארצית לתשתיות תחבורה יבשתית - תמ"א 42 לאישור הממשלה,  וייצוג משרד התחבורה במוסדות התכנון הארציים ובוועדות המקומיות לתכנון ולבנייה - כל אלה תוקנו במידה מועטה.</w:t>
      </w:r>
    </w:p>
    <w:p w:rsidR="007B135E" w:rsidRPr="0011139E" w:rsidP="007B135E" w14:paraId="25F6C58D"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 xml:space="preserve">כדי לעמוד ביעדים האסטרטגיים שקבע משרד התחבורה ולהוציא אל הפועל את מדיניותו, מומלץ כי המשרד יפעל לחיזוק היחידות המקצועיות העוסקות בתכנון מערכות </w:t>
      </w:r>
      <w:r w:rsidRPr="0011139E">
        <w:rPr>
          <w:rFonts w:ascii="Tahoma" w:hAnsi="Tahoma" w:cs="Tahoma"/>
          <w:sz w:val="18"/>
          <w:szCs w:val="18"/>
          <w:rtl/>
        </w:rPr>
        <w:t>התח"צ</w:t>
      </w:r>
      <w:r w:rsidRPr="0011139E">
        <w:rPr>
          <w:rFonts w:ascii="Tahoma" w:hAnsi="Tahoma" w:cs="Tahoma"/>
          <w:sz w:val="18"/>
          <w:szCs w:val="18"/>
          <w:rtl/>
        </w:rPr>
        <w:t xml:space="preserve"> ובניהולן, להגביר את מעורבותו בתהליכי התכנון הסטטוטורי ולהפוך לגורם מוביל, ובמיוחד לחזק את האגף לתכנון תחבורתי - שהמחסור בכוח אדם ניכר בו במועד סיום ביקורת המעקב, פברואר 2023.</w:t>
      </w:r>
    </w:p>
    <w:p w:rsidR="007B135E" w:rsidRPr="0011139E" w:rsidP="007B135E" w14:paraId="07056E52"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 xml:space="preserve">נוסף על כך מומלץ להסדיר את מעמדה, סמכויותיה ותחומי אחריותה של הרשות הארצית לתחבורה ציבורית ולפעול למימוש החלטת הממשלה לגבי הקמת רשויות מרחביות לתחבורה.  </w:t>
      </w:r>
    </w:p>
    <w:p w:rsidR="007B135E" w:rsidRPr="0011139E" w:rsidP="007B135E" w14:paraId="7665F536" w14:textId="77777777">
      <w:pPr>
        <w:widowControl w:val="0"/>
        <w:tabs>
          <w:tab w:val="left" w:pos="9604"/>
        </w:tabs>
        <w:spacing w:before="240" w:line="276" w:lineRule="auto"/>
        <w:ind w:left="-1"/>
        <w:rPr>
          <w:rFonts w:ascii="Tahoma" w:hAnsi="Tahoma" w:cs="Tahoma"/>
          <w:sz w:val="18"/>
          <w:szCs w:val="18"/>
          <w:rtl/>
        </w:rPr>
      </w:pPr>
      <w:r w:rsidRPr="0011139E">
        <w:rPr>
          <w:rFonts w:ascii="Tahoma" w:hAnsi="Tahoma" w:cs="Tahoma"/>
          <w:sz w:val="18"/>
          <w:szCs w:val="18"/>
          <w:rtl/>
        </w:rPr>
        <w:t>ביקורת מעקב זאת מדגישה את חשיבות הפיתוח של התחבורה הציבורית משלב התכנון ועד לביצוע; ואת תרומתה לצמיחת המשק ולהיערכות לגידול באוכלוסיית ישראל בשנים הקרובות.</w:t>
      </w:r>
    </w:p>
    <w:p w:rsidR="005D0F8C" w:rsidP="00EB672B" w14:paraId="1A79717B" w14:textId="77777777">
      <w:pPr>
        <w:pStyle w:val="7317"/>
        <w:rPr>
          <w:rtl/>
        </w:rPr>
      </w:pPr>
    </w:p>
    <w:p w:rsidR="000B31AA" w:rsidRPr="000B31AA" w:rsidP="00662020" w14:paraId="1001632A" w14:textId="69730C9A">
      <w:pPr>
        <w:pStyle w:val="738"/>
        <w:spacing w:before="0" w:after="0"/>
        <w:rPr>
          <w:rtl/>
        </w:rPr>
      </w:pPr>
      <w:r w:rsidRPr="00DC1D24">
        <w:rPr>
          <w:noProof/>
          <w:rtl/>
        </w:rPr>
        <mc:AlternateContent>
          <mc:Choice Requires="wpg">
            <w:drawing>
              <wp:anchor distT="0" distB="0" distL="114300" distR="114300" simplePos="0" relativeHeight="251677696" behindDoc="0" locked="0" layoutInCell="1" allowOverlap="1">
                <wp:simplePos x="0" y="0"/>
                <wp:positionH relativeFrom="margin">
                  <wp:posOffset>-106680</wp:posOffset>
                </wp:positionH>
                <wp:positionV relativeFrom="paragraph">
                  <wp:posOffset>634</wp:posOffset>
                </wp:positionV>
                <wp:extent cx="4787900" cy="767080"/>
                <wp:effectExtent l="0" t="0" r="0" b="0"/>
                <wp:wrapSquare wrapText="bothSides"/>
                <wp:docPr id="1113575890" name="Group 20527709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524400" w:rsidP="00524400" w14:textId="6BFA6F49">
                              <w:pPr>
                                <w:pStyle w:val="7332"/>
                              </w:pPr>
                              <w:r w:rsidRPr="00FD2061">
                                <w:rPr>
                                  <w:rtl/>
                                </w:rPr>
                                <w:t>מידת תיקון עיקרי הליקויים שעלו בדוח הקודם</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5" alt="&quot;&quot;" style="width:377pt;height:60.4pt;margin-top:0.05pt;margin-left:-8.4pt;mso-height-relative:margin;mso-position-horizontal-relative:margin;mso-width-relative:margin;position:absolute;z-index:251678720"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6" type="#_x0000_t75" style="width:47879;height:6148;mso-wrap-style:square;position:absolute;top:1815;visibility:visible">
                  <v:imagedata r:id="rId28" o:title=""/>
                </v:shape>
                <v:shape id="_x0000_s1037" type="#_x0000_t202" style="width:44284;height:3476;left:2028;mso-wrap-style:square;position:absolute;top:2665;visibility:visible;v-text-anchor:middle" fillcolor="#f05260" stroked="f">
                  <v:textbox>
                    <w:txbxContent>
                      <w:p w:rsidR="000B31AA" w:rsidRPr="00524400" w:rsidP="00524400" w14:paraId="64B50804" w14:textId="6BFA6F49">
                        <w:pPr>
                          <w:pStyle w:val="7332"/>
                        </w:pPr>
                        <w:r w:rsidRPr="00FD2061">
                          <w:rPr>
                            <w:rtl/>
                          </w:rPr>
                          <w:t>מידת תיקון עיקרי הליקויים שעלו בדוח הקודם</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6C5BC994" w14:textId="77777777" w:rsidTr="003E5AE8">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F6117F" w:rsidP="003E5AE8" w14:paraId="76B971AE"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4B2954"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357D64F1"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26963AD5"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6712AE2D"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1851288E" w14:textId="77777777">
            <w:pPr>
              <w:pStyle w:val="73R"/>
              <w:rPr>
                <w:b/>
                <w:bCs/>
                <w:rtl/>
              </w:rPr>
            </w:pPr>
          </w:p>
        </w:tc>
        <w:tc>
          <w:tcPr>
            <w:tcW w:w="998" w:type="dxa"/>
            <w:vMerge/>
            <w:shd w:val="clear" w:color="auto" w:fill="C8DCE4"/>
            <w:vAlign w:val="bottom"/>
          </w:tcPr>
          <w:p w:rsidR="00F6117F" w:rsidRPr="007E204E" w:rsidP="003E5AE8" w14:paraId="7C8D97BD" w14:textId="77777777">
            <w:pPr>
              <w:pStyle w:val="73R"/>
              <w:rPr>
                <w:b/>
                <w:bCs/>
                <w:rtl/>
              </w:rPr>
            </w:pPr>
          </w:p>
        </w:tc>
        <w:tc>
          <w:tcPr>
            <w:tcW w:w="1984" w:type="dxa"/>
            <w:vMerge/>
            <w:shd w:val="clear" w:color="auto" w:fill="C8DCE4"/>
            <w:vAlign w:val="bottom"/>
          </w:tcPr>
          <w:p w:rsidR="00F6117F" w:rsidRPr="007E204E" w:rsidP="003E5AE8" w14:paraId="5F032ACA" w14:textId="77777777">
            <w:pPr>
              <w:pStyle w:val="73R"/>
              <w:rPr>
                <w:b/>
                <w:bCs/>
                <w:rtl/>
              </w:rPr>
            </w:pPr>
          </w:p>
        </w:tc>
        <w:tc>
          <w:tcPr>
            <w:tcW w:w="584" w:type="dxa"/>
            <w:shd w:val="clear" w:color="auto" w:fill="FF0100"/>
            <w:vAlign w:val="bottom"/>
          </w:tcPr>
          <w:p w:rsidR="00F6117F" w:rsidRPr="007E204E" w:rsidP="003E5AE8" w14:paraId="178D6E69"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7D1829F"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P="003E5AE8" w14:paraId="2B8CC463"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5256CD66"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6FCE1E4" w14:textId="77777777" w:rsidTr="003E5AE8">
        <w:tblPrEx>
          <w:tblW w:w="7216" w:type="dxa"/>
          <w:tblInd w:w="397" w:type="dxa"/>
          <w:shd w:val="clear" w:color="auto" w:fill="DFECEF"/>
          <w:tblLook w:val="04A0"/>
        </w:tblPrEx>
        <w:tc>
          <w:tcPr>
            <w:tcW w:w="1474" w:type="dxa"/>
            <w:shd w:val="clear" w:color="auto" w:fill="DFECEF"/>
          </w:tcPr>
          <w:p w:rsidR="008D3B84" w:rsidP="008D3B84" w14:paraId="52B0D24F" w14:textId="5A96D774">
            <w:pPr>
              <w:pStyle w:val="73R"/>
              <w:rPr>
                <w:rtl/>
              </w:rPr>
            </w:pPr>
            <w:r w:rsidRPr="0011139E">
              <w:rPr>
                <w:rtl/>
              </w:rPr>
              <w:t>מעמד הרשות הארצית לתחבורה ציבורית</w:t>
            </w:r>
          </w:p>
        </w:tc>
        <w:tc>
          <w:tcPr>
            <w:tcW w:w="998" w:type="dxa"/>
            <w:shd w:val="clear" w:color="auto" w:fill="DFECEF"/>
          </w:tcPr>
          <w:p w:rsidR="008D3B84" w:rsidP="008D3B84" w14:paraId="6480F1FF" w14:textId="5916A179">
            <w:pPr>
              <w:pStyle w:val="73R"/>
              <w:rPr>
                <w:rtl/>
              </w:rPr>
            </w:pPr>
            <w:r w:rsidRPr="0011139E">
              <w:rPr>
                <w:rtl/>
              </w:rPr>
              <w:t>משרד התחבורה ונציבות שירות המדינה (</w:t>
            </w:r>
            <w:r w:rsidRPr="0011139E">
              <w:rPr>
                <w:rtl/>
              </w:rPr>
              <w:t>נש"ם</w:t>
            </w:r>
            <w:r w:rsidRPr="0011139E">
              <w:rPr>
                <w:rtl/>
              </w:rPr>
              <w:t>)</w:t>
            </w:r>
          </w:p>
        </w:tc>
        <w:tc>
          <w:tcPr>
            <w:tcW w:w="1984" w:type="dxa"/>
            <w:shd w:val="clear" w:color="auto" w:fill="DFECEF"/>
          </w:tcPr>
          <w:p w:rsidR="008D3B84" w:rsidP="008D3B84" w14:paraId="41D0A08C" w14:textId="58639858">
            <w:pPr>
              <w:pStyle w:val="73R"/>
              <w:rPr>
                <w:rtl/>
              </w:rPr>
            </w:pPr>
            <w:r w:rsidRPr="0011139E">
              <w:rPr>
                <w:rtl/>
              </w:rPr>
              <w:t xml:space="preserve">אף שבהחלטת הממשלה משנת 2011 נקבע כי הרשות הארצית תהיה יחידת סמך במשרד התחבורה, </w:t>
            </w:r>
            <w:r w:rsidRPr="0011139E">
              <w:rPr>
                <w:rtl/>
              </w:rPr>
              <w:t>נש"ם</w:t>
            </w:r>
            <w:r w:rsidRPr="0011139E">
              <w:rPr>
                <w:rtl/>
              </w:rPr>
              <w:t xml:space="preserve"> ומשרד התחבורה לא פעלו ליישום החלטה זו</w:t>
            </w:r>
          </w:p>
        </w:tc>
        <w:tc>
          <w:tcPr>
            <w:tcW w:w="584" w:type="dxa"/>
            <w:shd w:val="clear" w:color="auto" w:fill="DFECEF"/>
          </w:tcPr>
          <w:p w:rsidR="008D3B84" w:rsidP="008D3B84" w14:paraId="7BABFDB0" w14:textId="01B046D1">
            <w:pPr>
              <w:pStyle w:val="73R"/>
              <w:rPr>
                <w:rtl/>
              </w:rPr>
            </w:pPr>
            <w:r w:rsidRPr="00973C85">
              <w:rPr>
                <w:noProof/>
                <w:rtl/>
              </w:rPr>
              <mc:AlternateContent>
                <mc:Choice Requires="wps">
                  <w:drawing>
                    <wp:anchor distT="0" distB="0" distL="114300" distR="114300" simplePos="0" relativeHeight="251700224" behindDoc="0" locked="0" layoutInCell="1" allowOverlap="1">
                      <wp:simplePos x="0" y="0"/>
                      <wp:positionH relativeFrom="column">
                        <wp:posOffset>-87507</wp:posOffset>
                      </wp:positionH>
                      <wp:positionV relativeFrom="paragraph">
                        <wp:posOffset>422726</wp:posOffset>
                      </wp:positionV>
                      <wp:extent cx="357505" cy="223520"/>
                      <wp:effectExtent l="12700" t="12700" r="10795" b="17780"/>
                      <wp:wrapNone/>
                      <wp:docPr id="1657159734" name="חץ שמאלה 1657159734" descr="לא תוקן"/>
                      <wp:cNvGraphicFramePr/>
                      <a:graphic xmlns:a="http://schemas.openxmlformats.org/drawingml/2006/main">
                        <a:graphicData uri="http://schemas.microsoft.com/office/word/2010/wordprocessingShape">
                          <wps:wsp xmlns:wps="http://schemas.microsoft.com/office/word/2010/wordprocessingShape">
                            <wps:cNvSpPr/>
                            <wps:spPr>
                              <a:xfrm>
                                <a:off x="0" y="0"/>
                                <a:ext cx="357505"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657159734" o:spid="_x0000_s1038" type="#_x0000_t66" alt="לא תוקן" style="width:28.15pt;height:17.6pt;margin-top:33.3pt;margin-left:-6.9pt;mso-height-percent:0;mso-height-relative:margin;mso-width-percent:0;mso-width-relative:margin;mso-wrap-distance-bottom:0;mso-wrap-distance-left:9pt;mso-wrap-distance-right:9pt;mso-wrap-distance-top:0;mso-wrap-style:square;position:absolute;visibility:visible;v-text-anchor:middle;z-index:251701248" adj="6752" fillcolor="#ff0100" strokecolor="#ff0100" strokeweight="2pt"/>
                  </w:pict>
                </mc:Fallback>
              </mc:AlternateContent>
            </w:r>
          </w:p>
        </w:tc>
        <w:tc>
          <w:tcPr>
            <w:tcW w:w="758" w:type="dxa"/>
            <w:shd w:val="clear" w:color="auto" w:fill="DFECEF"/>
          </w:tcPr>
          <w:p w:rsidR="008D3B84" w:rsidP="008D3B84" w14:paraId="1030392F" w14:textId="095B16AA">
            <w:pPr>
              <w:pStyle w:val="73R"/>
              <w:rPr>
                <w:rtl/>
              </w:rPr>
            </w:pPr>
          </w:p>
        </w:tc>
        <w:tc>
          <w:tcPr>
            <w:tcW w:w="733" w:type="dxa"/>
            <w:shd w:val="clear" w:color="auto" w:fill="DFECEF"/>
          </w:tcPr>
          <w:p w:rsidR="008D3B84" w:rsidP="008D3B84" w14:paraId="250E7773" w14:textId="50B0AE8B">
            <w:pPr>
              <w:pStyle w:val="73R"/>
              <w:rPr>
                <w:rtl/>
              </w:rPr>
            </w:pPr>
          </w:p>
        </w:tc>
        <w:tc>
          <w:tcPr>
            <w:tcW w:w="685" w:type="dxa"/>
            <w:shd w:val="clear" w:color="auto" w:fill="DFECEF"/>
          </w:tcPr>
          <w:p w:rsidR="008D3B84" w:rsidP="008D3B84" w14:paraId="3709332C" w14:textId="78B48011">
            <w:pPr>
              <w:pStyle w:val="73R"/>
              <w:rPr>
                <w:rtl/>
              </w:rPr>
            </w:pPr>
          </w:p>
        </w:tc>
      </w:tr>
      <w:tr w14:paraId="0E36FD75" w14:textId="77777777" w:rsidTr="003E5AE8">
        <w:tblPrEx>
          <w:tblW w:w="7216" w:type="dxa"/>
          <w:tblInd w:w="397" w:type="dxa"/>
          <w:shd w:val="clear" w:color="auto" w:fill="DFECEF"/>
          <w:tblLook w:val="04A0"/>
        </w:tblPrEx>
        <w:tc>
          <w:tcPr>
            <w:tcW w:w="1474" w:type="dxa"/>
            <w:shd w:val="clear" w:color="auto" w:fill="F0F8F9"/>
          </w:tcPr>
          <w:p w:rsidR="008D3B84" w:rsidP="008D3B84" w14:paraId="5E72EFE5" w14:textId="2991CF25">
            <w:pPr>
              <w:pStyle w:val="73R"/>
              <w:rPr>
                <w:rtl/>
              </w:rPr>
            </w:pPr>
            <w:r w:rsidRPr="0011139E">
              <w:rPr>
                <w:rtl/>
              </w:rPr>
              <w:t>המבנה הארגוני של הרשות הארצית לתחבורה ציבורית</w:t>
            </w:r>
          </w:p>
        </w:tc>
        <w:tc>
          <w:tcPr>
            <w:tcW w:w="998" w:type="dxa"/>
            <w:shd w:val="clear" w:color="auto" w:fill="F0F8F9"/>
          </w:tcPr>
          <w:p w:rsidR="008D3B84" w:rsidP="008D3B84" w14:paraId="7A6A1EFF" w14:textId="631BF5F8">
            <w:pPr>
              <w:pStyle w:val="73R"/>
              <w:rPr>
                <w:rtl/>
              </w:rPr>
            </w:pPr>
            <w:r w:rsidRPr="0011139E">
              <w:rPr>
                <w:rtl/>
              </w:rPr>
              <w:t xml:space="preserve">משרד התחבורה, </w:t>
            </w:r>
            <w:r w:rsidRPr="0011139E">
              <w:rPr>
                <w:rtl/>
              </w:rPr>
              <w:t>נש"ם</w:t>
            </w:r>
            <w:r w:rsidRPr="0011139E">
              <w:rPr>
                <w:rtl/>
              </w:rPr>
              <w:t xml:space="preserve"> ומשרד האוצר</w:t>
            </w:r>
          </w:p>
        </w:tc>
        <w:tc>
          <w:tcPr>
            <w:tcW w:w="1984" w:type="dxa"/>
            <w:shd w:val="clear" w:color="auto" w:fill="F0F8F9"/>
          </w:tcPr>
          <w:p w:rsidR="008D3B84" w:rsidP="008D3B84" w14:paraId="543411AC" w14:textId="2AA1BF7A">
            <w:pPr>
              <w:pStyle w:val="73R"/>
              <w:rPr>
                <w:rtl/>
              </w:rPr>
            </w:pPr>
            <w:r w:rsidRPr="0011139E">
              <w:rPr>
                <w:rtl/>
              </w:rPr>
              <w:t>הרשות הארצית לא איישה את כל המשרות שנקבעו בתקן כדי למלא את תפקידיה, ובפועל גם פחת מספר המשרות בתקן במידה ניכרת בעקבות קיצוצים ותוכניות עידוד פרישה שבוצעו מאז הוקמה הרשות</w:t>
            </w:r>
          </w:p>
        </w:tc>
        <w:tc>
          <w:tcPr>
            <w:tcW w:w="584" w:type="dxa"/>
            <w:shd w:val="clear" w:color="auto" w:fill="F0F8F9"/>
          </w:tcPr>
          <w:p w:rsidR="008D3B84" w:rsidP="008D3B84" w14:paraId="6C96E932" w14:textId="5624FEAE">
            <w:pPr>
              <w:pStyle w:val="73R"/>
              <w:rPr>
                <w:rtl/>
              </w:rPr>
            </w:pPr>
            <w:r w:rsidRPr="00973C85">
              <w:rPr>
                <w:noProof/>
                <w:rtl/>
              </w:rPr>
              <mc:AlternateContent>
                <mc:Choice Requires="wps">
                  <w:drawing>
                    <wp:anchor distT="0" distB="0" distL="114300" distR="114300" simplePos="0" relativeHeight="251698176" behindDoc="0" locked="0" layoutInCell="1" allowOverlap="1">
                      <wp:simplePos x="0" y="0"/>
                      <wp:positionH relativeFrom="column">
                        <wp:posOffset>-551774</wp:posOffset>
                      </wp:positionH>
                      <wp:positionV relativeFrom="paragraph">
                        <wp:posOffset>465455</wp:posOffset>
                      </wp:positionV>
                      <wp:extent cx="831850" cy="223520"/>
                      <wp:effectExtent l="12700" t="12700" r="19050" b="17780"/>
                      <wp:wrapNone/>
                      <wp:docPr id="58" name="חץ שמאלה 5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8" o:spid="_x0000_s1039" type="#_x0000_t66" alt="תוקן במידה מועטה" style="width:65.5pt;height:17.6pt;margin-top:36.65pt;margin-left:-43.45pt;mso-height-percent:0;mso-height-relative:margin;mso-width-percent:0;mso-width-relative:margin;mso-wrap-distance-bottom:0;mso-wrap-distance-left:9pt;mso-wrap-distance-right:9pt;mso-wrap-distance-top:0;mso-wrap-style:square;position:absolute;visibility:visible;v-text-anchor:middle;z-index:251699200" adj="2902" fillcolor="#ffc002" strokecolor="#ffc002" strokeweight="2pt"/>
                  </w:pict>
                </mc:Fallback>
              </mc:AlternateContent>
            </w:r>
          </w:p>
        </w:tc>
        <w:tc>
          <w:tcPr>
            <w:tcW w:w="758" w:type="dxa"/>
            <w:shd w:val="clear" w:color="auto" w:fill="F0F8F9"/>
          </w:tcPr>
          <w:p w:rsidR="008D3B84" w:rsidP="008D3B84" w14:paraId="747D0AB6" w14:textId="52D154DB">
            <w:pPr>
              <w:pStyle w:val="73R"/>
              <w:rPr>
                <w:rtl/>
              </w:rPr>
            </w:pPr>
          </w:p>
        </w:tc>
        <w:tc>
          <w:tcPr>
            <w:tcW w:w="733" w:type="dxa"/>
            <w:shd w:val="clear" w:color="auto" w:fill="F0F8F9"/>
          </w:tcPr>
          <w:p w:rsidR="008D3B84" w:rsidP="008D3B84" w14:paraId="7C10E984" w14:textId="7A326237">
            <w:pPr>
              <w:pStyle w:val="73R"/>
              <w:rPr>
                <w:rtl/>
              </w:rPr>
            </w:pPr>
          </w:p>
        </w:tc>
        <w:tc>
          <w:tcPr>
            <w:tcW w:w="685" w:type="dxa"/>
            <w:shd w:val="clear" w:color="auto" w:fill="F0F8F9"/>
          </w:tcPr>
          <w:p w:rsidR="008D3B84" w:rsidP="008D3B84" w14:paraId="2FDB6178" w14:textId="77777777">
            <w:pPr>
              <w:pStyle w:val="73R"/>
              <w:rPr>
                <w:rtl/>
              </w:rPr>
            </w:pPr>
          </w:p>
        </w:tc>
      </w:tr>
      <w:tr w14:paraId="5C8A1751" w14:textId="77777777" w:rsidTr="003E5AE8">
        <w:tblPrEx>
          <w:tblW w:w="7216" w:type="dxa"/>
          <w:tblInd w:w="397" w:type="dxa"/>
          <w:shd w:val="clear" w:color="auto" w:fill="DFECEF"/>
          <w:tblLook w:val="04A0"/>
        </w:tblPrEx>
        <w:tc>
          <w:tcPr>
            <w:tcW w:w="1474" w:type="dxa"/>
            <w:shd w:val="clear" w:color="auto" w:fill="DFECEF"/>
          </w:tcPr>
          <w:p w:rsidR="008D3B84" w:rsidP="008D3B84" w14:paraId="6EA62234" w14:textId="77ACD05C">
            <w:pPr>
              <w:pStyle w:val="73R"/>
              <w:rPr>
                <w:rtl/>
              </w:rPr>
            </w:pPr>
            <w:r w:rsidRPr="0011139E">
              <w:rPr>
                <w:rtl/>
              </w:rPr>
              <w:t xml:space="preserve">הקמת רשויות תחבורה </w:t>
            </w:r>
            <w:r w:rsidRPr="0011139E">
              <w:rPr>
                <w:rtl/>
              </w:rPr>
              <w:t>מטרופוליניות</w:t>
            </w:r>
          </w:p>
        </w:tc>
        <w:tc>
          <w:tcPr>
            <w:tcW w:w="998" w:type="dxa"/>
            <w:shd w:val="clear" w:color="auto" w:fill="DFECEF"/>
          </w:tcPr>
          <w:p w:rsidR="008D3B84" w:rsidP="008D3B84" w14:paraId="767B27A3" w14:textId="25E48FB1">
            <w:pPr>
              <w:pStyle w:val="73R"/>
              <w:rPr>
                <w:rtl/>
              </w:rPr>
            </w:pPr>
            <w:r w:rsidRPr="0011139E">
              <w:rPr>
                <w:rtl/>
              </w:rPr>
              <w:t>משרד התחבורה</w:t>
            </w:r>
          </w:p>
        </w:tc>
        <w:tc>
          <w:tcPr>
            <w:tcW w:w="1984" w:type="dxa"/>
            <w:shd w:val="clear" w:color="auto" w:fill="DFECEF"/>
          </w:tcPr>
          <w:p w:rsidR="008D3B84" w:rsidP="008D3B84" w14:paraId="6DAC9711" w14:textId="47CDADA8">
            <w:pPr>
              <w:pStyle w:val="73R"/>
              <w:rPr>
                <w:rtl/>
              </w:rPr>
            </w:pPr>
            <w:r w:rsidRPr="0011139E">
              <w:rPr>
                <w:rtl/>
              </w:rPr>
              <w:t xml:space="preserve">בדוח הביקורת הקודם צוין כי "למרות ההכרה בצורך להקים רשויות תחבורה </w:t>
            </w:r>
            <w:r w:rsidRPr="0011139E">
              <w:rPr>
                <w:rtl/>
              </w:rPr>
              <w:t>מטרופוליניות</w:t>
            </w:r>
            <w:r w:rsidRPr="0011139E">
              <w:rPr>
                <w:rtl/>
              </w:rPr>
              <w:t>, ולמרות שמבקר המדינה העיר על כך בעבר, הניסיונות החוזרים ונשנים לפעול להקמתן ולעיגונן בחקיקה לא צלחו"</w:t>
            </w:r>
          </w:p>
        </w:tc>
        <w:tc>
          <w:tcPr>
            <w:tcW w:w="584" w:type="dxa"/>
            <w:shd w:val="clear" w:color="auto" w:fill="DFECEF"/>
          </w:tcPr>
          <w:p w:rsidR="008D3B84" w:rsidP="008D3B84" w14:paraId="112C54F3" w14:textId="7B434375">
            <w:pPr>
              <w:pStyle w:val="73R"/>
              <w:rPr>
                <w:rtl/>
              </w:rPr>
            </w:pPr>
            <w:r w:rsidRPr="00973C85">
              <w:rPr>
                <w:noProof/>
                <w:rtl/>
              </w:rPr>
              <mc:AlternateContent>
                <mc:Choice Requires="wps">
                  <w:drawing>
                    <wp:anchor distT="0" distB="0" distL="114300" distR="114300" simplePos="0" relativeHeight="251702272" behindDoc="0" locked="0" layoutInCell="1" allowOverlap="1">
                      <wp:simplePos x="0" y="0"/>
                      <wp:positionH relativeFrom="column">
                        <wp:posOffset>-549357</wp:posOffset>
                      </wp:positionH>
                      <wp:positionV relativeFrom="paragraph">
                        <wp:posOffset>350254</wp:posOffset>
                      </wp:positionV>
                      <wp:extent cx="831850" cy="223520"/>
                      <wp:effectExtent l="12700" t="12700" r="19050" b="17780"/>
                      <wp:wrapNone/>
                      <wp:docPr id="126933269" name="חץ שמאלה 126933269"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6933269" o:spid="_x0000_s1040" type="#_x0000_t66" alt="תוקן במידה מועטה" style="width:65.5pt;height:17.6pt;margin-top:27.6pt;margin-left:-43.25pt;mso-height-percent:0;mso-height-relative:margin;mso-width-percent:0;mso-width-relative:margin;mso-wrap-distance-bottom:0;mso-wrap-distance-left:9pt;mso-wrap-distance-right:9pt;mso-wrap-distance-top:0;mso-wrap-style:square;position:absolute;visibility:visible;v-text-anchor:middle;z-index:251703296" adj="2902" fillcolor="#ffc002" strokecolor="#ffc002" strokeweight="2pt"/>
                  </w:pict>
                </mc:Fallback>
              </mc:AlternateContent>
            </w:r>
          </w:p>
        </w:tc>
        <w:tc>
          <w:tcPr>
            <w:tcW w:w="758" w:type="dxa"/>
            <w:shd w:val="clear" w:color="auto" w:fill="DFECEF"/>
          </w:tcPr>
          <w:p w:rsidR="008D3B84" w:rsidP="008D3B84" w14:paraId="6CC3A5CC" w14:textId="44E0B317">
            <w:pPr>
              <w:pStyle w:val="73R"/>
              <w:rPr>
                <w:rtl/>
              </w:rPr>
            </w:pPr>
          </w:p>
        </w:tc>
        <w:tc>
          <w:tcPr>
            <w:tcW w:w="733" w:type="dxa"/>
            <w:shd w:val="clear" w:color="auto" w:fill="DFECEF"/>
          </w:tcPr>
          <w:p w:rsidR="008D3B84" w:rsidP="008D3B84" w14:paraId="28BC73CE" w14:textId="1923BD9D">
            <w:pPr>
              <w:pStyle w:val="73R"/>
              <w:rPr>
                <w:rtl/>
              </w:rPr>
            </w:pPr>
          </w:p>
        </w:tc>
        <w:tc>
          <w:tcPr>
            <w:tcW w:w="685" w:type="dxa"/>
            <w:shd w:val="clear" w:color="auto" w:fill="DFECEF"/>
          </w:tcPr>
          <w:p w:rsidR="008D3B84" w:rsidP="008D3B84" w14:paraId="60B36081" w14:textId="77777777">
            <w:pPr>
              <w:pStyle w:val="73R"/>
              <w:rPr>
                <w:rtl/>
              </w:rPr>
            </w:pPr>
          </w:p>
        </w:tc>
      </w:tr>
      <w:tr w14:paraId="7E35F5BE" w14:textId="77777777" w:rsidTr="003E5AE8">
        <w:tblPrEx>
          <w:tblW w:w="7216" w:type="dxa"/>
          <w:tblInd w:w="397" w:type="dxa"/>
          <w:shd w:val="clear" w:color="auto" w:fill="DFECEF"/>
          <w:tblLook w:val="04A0"/>
        </w:tblPrEx>
        <w:tc>
          <w:tcPr>
            <w:tcW w:w="1474" w:type="dxa"/>
            <w:shd w:val="clear" w:color="auto" w:fill="F0F8F9"/>
          </w:tcPr>
          <w:p w:rsidR="008D3B84" w:rsidP="008D3B84" w14:paraId="38AD7231" w14:textId="56AD2821">
            <w:pPr>
              <w:pStyle w:val="73R"/>
              <w:rPr>
                <w:rtl/>
              </w:rPr>
            </w:pPr>
            <w:r w:rsidRPr="0011139E">
              <w:rPr>
                <w:rtl/>
              </w:rPr>
              <w:t>התיאום בין האגף לתכנון תחבורתי לבין הרשות הארצית</w:t>
            </w:r>
          </w:p>
        </w:tc>
        <w:tc>
          <w:tcPr>
            <w:tcW w:w="998" w:type="dxa"/>
            <w:shd w:val="clear" w:color="auto" w:fill="F0F8F9"/>
          </w:tcPr>
          <w:p w:rsidR="008D3B84" w:rsidP="008D3B84" w14:paraId="71028DA0" w14:textId="51615C44">
            <w:pPr>
              <w:pStyle w:val="73R"/>
              <w:rPr>
                <w:rtl/>
              </w:rPr>
            </w:pPr>
            <w:r w:rsidRPr="0011139E">
              <w:rPr>
                <w:rtl/>
              </w:rPr>
              <w:t>משרד התחבורה</w:t>
            </w:r>
          </w:p>
        </w:tc>
        <w:tc>
          <w:tcPr>
            <w:tcW w:w="1984" w:type="dxa"/>
            <w:shd w:val="clear" w:color="auto" w:fill="F0F8F9"/>
          </w:tcPr>
          <w:p w:rsidR="008D3B84" w:rsidP="008D3B84" w14:paraId="0A002C70" w14:textId="4F6D59B0">
            <w:pPr>
              <w:pStyle w:val="73R"/>
              <w:rPr>
                <w:rtl/>
              </w:rPr>
            </w:pPr>
            <w:r w:rsidRPr="0011139E">
              <w:rPr>
                <w:rtl/>
              </w:rPr>
              <w:t xml:space="preserve">נמצאו ליקויים בתיאום בין אגף תכנון תחבורתי לבין הרשות הארצית. במקרים רבים נציגי אגף התכנון התחבורתי מעלים בדיוני מוסדות התכנון דרישות להקצאת שטח למתקני </w:t>
            </w:r>
            <w:r w:rsidRPr="0011139E">
              <w:rPr>
                <w:rtl/>
              </w:rPr>
              <w:t>תח"צ</w:t>
            </w:r>
            <w:r w:rsidRPr="0011139E">
              <w:rPr>
                <w:rtl/>
              </w:rPr>
              <w:t xml:space="preserve">, אולם אין בידיהם מידע מלא בנושא הרלוונטי, כגון מידע על סוג המתקן הנדרש, מקומו המועדף והתוכנית הנדרשת עבורו. היעדר תיאום בין שתי היחידות עלול לגרום לכך שההחלטות שיתקבלו במוסדות התכנון לא יהיו מיטביות בהיבט התחבורתי ולא יאפשרו למלא את צורכי התפעול של </w:t>
            </w:r>
            <w:r w:rsidRPr="0011139E">
              <w:rPr>
                <w:rtl/>
              </w:rPr>
              <w:t>התח"צ</w:t>
            </w:r>
          </w:p>
        </w:tc>
        <w:tc>
          <w:tcPr>
            <w:tcW w:w="584" w:type="dxa"/>
            <w:shd w:val="clear" w:color="auto" w:fill="F0F8F9"/>
          </w:tcPr>
          <w:p w:rsidR="008D3B84" w:rsidP="008D3B84" w14:paraId="43B57B29" w14:textId="60328F24">
            <w:pPr>
              <w:pStyle w:val="73R"/>
              <w:rPr>
                <w:rtl/>
              </w:rPr>
            </w:pPr>
          </w:p>
        </w:tc>
        <w:tc>
          <w:tcPr>
            <w:tcW w:w="758" w:type="dxa"/>
            <w:shd w:val="clear" w:color="auto" w:fill="F0F8F9"/>
          </w:tcPr>
          <w:p w:rsidR="008D3B84" w:rsidP="008D3B84" w14:paraId="2442AFC2" w14:textId="0EAA396A">
            <w:pPr>
              <w:pStyle w:val="73R"/>
              <w:rPr>
                <w:rtl/>
              </w:rPr>
            </w:pPr>
            <w:r w:rsidRPr="00973C85">
              <w:rPr>
                <w:noProof/>
                <w:rtl/>
              </w:rPr>
              <mc:AlternateContent>
                <mc:Choice Requires="wps">
                  <w:drawing>
                    <wp:anchor distT="0" distB="0" distL="114300" distR="114300" simplePos="0" relativeHeight="251704320" behindDoc="0" locked="0" layoutInCell="1" allowOverlap="1">
                      <wp:simplePos x="0" y="0"/>
                      <wp:positionH relativeFrom="column">
                        <wp:posOffset>-960837</wp:posOffset>
                      </wp:positionH>
                      <wp:positionV relativeFrom="paragraph">
                        <wp:posOffset>1077758</wp:posOffset>
                      </wp:positionV>
                      <wp:extent cx="1724660" cy="223520"/>
                      <wp:effectExtent l="12700" t="12700" r="15240" b="17780"/>
                      <wp:wrapNone/>
                      <wp:docPr id="1302044497" name="חץ שמאלה 1302044497" descr="תוקן באופן מלא"/>
                      <wp:cNvGraphicFramePr/>
                      <a:graphic xmlns:a="http://schemas.openxmlformats.org/drawingml/2006/main">
                        <a:graphicData uri="http://schemas.microsoft.com/office/word/2010/wordprocessingShape">
                          <wps:wsp xmlns:wps="http://schemas.microsoft.com/office/word/2010/wordprocessingShape">
                            <wps:cNvSpPr/>
                            <wps:spPr>
                              <a:xfrm>
                                <a:off x="0" y="0"/>
                                <a:ext cx="1724660" cy="223520"/>
                              </a:xfrm>
                              <a:prstGeom prst="leftArrow">
                                <a:avLst/>
                              </a:prstGeom>
                              <a:solidFill>
                                <a:srgbClr val="92CF4F"/>
                              </a:solidFill>
                              <a:ln w="25400">
                                <a:solidFill>
                                  <a:srgbClr val="92CF4F"/>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302044497" o:spid="_x0000_s1041" type="#_x0000_t66" alt="תוקן באופן מלא" style="width:135.8pt;height:17.6pt;margin-top:84.85pt;margin-left:-75.65pt;mso-height-percent:0;mso-height-relative:margin;mso-width-percent:0;mso-width-relative:margin;mso-wrap-distance-bottom:0;mso-wrap-distance-left:9pt;mso-wrap-distance-right:9pt;mso-wrap-distance-top:0;mso-wrap-style:square;position:absolute;visibility:visible;v-text-anchor:middle;z-index:251705344" adj="1400" fillcolor="#92cf4f" strokecolor="#92cf4f" strokeweight="2pt"/>
                  </w:pict>
                </mc:Fallback>
              </mc:AlternateContent>
            </w:r>
          </w:p>
        </w:tc>
        <w:tc>
          <w:tcPr>
            <w:tcW w:w="733" w:type="dxa"/>
            <w:shd w:val="clear" w:color="auto" w:fill="F0F8F9"/>
          </w:tcPr>
          <w:p w:rsidR="008D3B84" w:rsidP="008D3B84" w14:paraId="2D5D737A" w14:textId="77777777">
            <w:pPr>
              <w:pStyle w:val="73R"/>
              <w:rPr>
                <w:rtl/>
              </w:rPr>
            </w:pPr>
          </w:p>
        </w:tc>
        <w:tc>
          <w:tcPr>
            <w:tcW w:w="685" w:type="dxa"/>
            <w:shd w:val="clear" w:color="auto" w:fill="F0F8F9"/>
          </w:tcPr>
          <w:p w:rsidR="008D3B84" w:rsidP="008D3B84" w14:paraId="7523EC87" w14:textId="77777777">
            <w:pPr>
              <w:pStyle w:val="73R"/>
              <w:rPr>
                <w:rtl/>
              </w:rPr>
            </w:pPr>
          </w:p>
        </w:tc>
      </w:tr>
      <w:tr w14:paraId="13C82713" w14:textId="77777777" w:rsidTr="003E5AE8">
        <w:tblPrEx>
          <w:tblW w:w="7216" w:type="dxa"/>
          <w:tblInd w:w="397" w:type="dxa"/>
          <w:shd w:val="clear" w:color="auto" w:fill="DFECEF"/>
          <w:tblLook w:val="04A0"/>
        </w:tblPrEx>
        <w:tc>
          <w:tcPr>
            <w:tcW w:w="1474" w:type="dxa"/>
            <w:shd w:val="clear" w:color="auto" w:fill="DFECEF"/>
          </w:tcPr>
          <w:p w:rsidR="008D3B84" w:rsidP="008D3B84" w14:paraId="77218038" w14:textId="7F406DE1">
            <w:pPr>
              <w:pStyle w:val="73R"/>
              <w:rPr>
                <w:rtl/>
              </w:rPr>
            </w:pPr>
            <w:r w:rsidRPr="0011139E">
              <w:rPr>
                <w:rtl/>
              </w:rPr>
              <w:t>כוח אדם מקצועי באגף לתכנון תחבורתי</w:t>
            </w:r>
          </w:p>
        </w:tc>
        <w:tc>
          <w:tcPr>
            <w:tcW w:w="998" w:type="dxa"/>
            <w:shd w:val="clear" w:color="auto" w:fill="DFECEF"/>
          </w:tcPr>
          <w:p w:rsidR="008D3B84" w:rsidP="008D3B84" w14:paraId="5B40CA78" w14:textId="36E0A531">
            <w:pPr>
              <w:pStyle w:val="73R"/>
              <w:rPr>
                <w:rtl/>
              </w:rPr>
            </w:pPr>
            <w:r w:rsidRPr="0011139E">
              <w:rPr>
                <w:rtl/>
              </w:rPr>
              <w:t>משרד התחבורה</w:t>
            </w:r>
          </w:p>
        </w:tc>
        <w:tc>
          <w:tcPr>
            <w:tcW w:w="1984" w:type="dxa"/>
            <w:shd w:val="clear" w:color="auto" w:fill="DFECEF"/>
          </w:tcPr>
          <w:p w:rsidR="008D3B84" w:rsidP="008D3B84" w14:paraId="5FA44D9C" w14:textId="6C51BFC4">
            <w:pPr>
              <w:pStyle w:val="73R"/>
              <w:rPr>
                <w:rtl/>
              </w:rPr>
            </w:pPr>
            <w:r w:rsidRPr="0011139E">
              <w:rPr>
                <w:rtl/>
              </w:rPr>
              <w:t>נמצא כי משנת 2014 מציין האגף לתכנון תחבורתי את הנזקים הנובעים מהמחסור בכוח אדם מקצועי באגף, שהעיקרי שבהם הוא פגיעה בייצוג משרד התחבורה במוסדות התכנון הסטטוטוריים</w:t>
            </w:r>
          </w:p>
        </w:tc>
        <w:tc>
          <w:tcPr>
            <w:tcW w:w="584" w:type="dxa"/>
            <w:shd w:val="clear" w:color="auto" w:fill="DFECEF"/>
          </w:tcPr>
          <w:p w:rsidR="008D3B84" w:rsidP="008D3B84" w14:paraId="3D4248B7" w14:textId="76D95BD5">
            <w:pPr>
              <w:pStyle w:val="73R"/>
              <w:rPr>
                <w:rtl/>
              </w:rPr>
            </w:pPr>
            <w:r w:rsidRPr="00973C85">
              <w:rPr>
                <w:noProof/>
                <w:rtl/>
              </w:rPr>
              <mc:AlternateContent>
                <mc:Choice Requires="wps">
                  <w:drawing>
                    <wp:anchor distT="0" distB="0" distL="114300" distR="114300" simplePos="0" relativeHeight="251706368" behindDoc="0" locked="0" layoutInCell="1" allowOverlap="1">
                      <wp:simplePos x="0" y="0"/>
                      <wp:positionH relativeFrom="column">
                        <wp:posOffset>-549357</wp:posOffset>
                      </wp:positionH>
                      <wp:positionV relativeFrom="paragraph">
                        <wp:posOffset>486553</wp:posOffset>
                      </wp:positionV>
                      <wp:extent cx="831850" cy="223520"/>
                      <wp:effectExtent l="12700" t="12700" r="19050" b="17780"/>
                      <wp:wrapNone/>
                      <wp:docPr id="903436393" name="חץ שמאלה 903436393"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03436393" o:spid="_x0000_s1042" type="#_x0000_t66" alt="תוקן במידה מועטה" style="width:65.5pt;height:17.6pt;margin-top:38.3pt;margin-left:-43.25pt;mso-height-percent:0;mso-height-relative:margin;mso-width-percent:0;mso-width-relative:margin;mso-wrap-distance-bottom:0;mso-wrap-distance-left:9pt;mso-wrap-distance-right:9pt;mso-wrap-distance-top:0;mso-wrap-style:square;position:absolute;visibility:visible;v-text-anchor:middle;z-index:251707392" adj="2902" fillcolor="#ffc002" strokecolor="#ffc002" strokeweight="2pt"/>
                  </w:pict>
                </mc:Fallback>
              </mc:AlternateContent>
            </w:r>
          </w:p>
        </w:tc>
        <w:tc>
          <w:tcPr>
            <w:tcW w:w="758" w:type="dxa"/>
            <w:shd w:val="clear" w:color="auto" w:fill="DFECEF"/>
          </w:tcPr>
          <w:p w:rsidR="008D3B84" w:rsidP="008D3B84" w14:paraId="32EC75AA" w14:textId="308B9B80">
            <w:pPr>
              <w:pStyle w:val="73R"/>
              <w:rPr>
                <w:rtl/>
              </w:rPr>
            </w:pPr>
          </w:p>
        </w:tc>
        <w:tc>
          <w:tcPr>
            <w:tcW w:w="733" w:type="dxa"/>
            <w:shd w:val="clear" w:color="auto" w:fill="DFECEF"/>
          </w:tcPr>
          <w:p w:rsidR="008D3B84" w:rsidP="008D3B84" w14:paraId="346AC4CA" w14:textId="77777777">
            <w:pPr>
              <w:pStyle w:val="73R"/>
              <w:rPr>
                <w:rtl/>
              </w:rPr>
            </w:pPr>
          </w:p>
        </w:tc>
        <w:tc>
          <w:tcPr>
            <w:tcW w:w="685" w:type="dxa"/>
            <w:shd w:val="clear" w:color="auto" w:fill="DFECEF"/>
          </w:tcPr>
          <w:p w:rsidR="008D3B84" w:rsidP="008D3B84" w14:paraId="7F0C3E8A" w14:textId="77777777">
            <w:pPr>
              <w:pStyle w:val="73R"/>
              <w:rPr>
                <w:rtl/>
              </w:rPr>
            </w:pPr>
          </w:p>
        </w:tc>
      </w:tr>
      <w:tr w14:paraId="5CB1B12E" w14:textId="77777777" w:rsidTr="003E5AE8">
        <w:tblPrEx>
          <w:tblW w:w="7216" w:type="dxa"/>
          <w:tblInd w:w="397" w:type="dxa"/>
          <w:shd w:val="clear" w:color="auto" w:fill="DFECEF"/>
          <w:tblLook w:val="04A0"/>
        </w:tblPrEx>
        <w:tc>
          <w:tcPr>
            <w:tcW w:w="1474" w:type="dxa"/>
            <w:shd w:val="clear" w:color="auto" w:fill="F0F8F9"/>
          </w:tcPr>
          <w:p w:rsidR="008D3B84" w:rsidRPr="00FA2D84" w:rsidP="008D3B84" w14:paraId="008FCFF5" w14:textId="24249DC4">
            <w:pPr>
              <w:pStyle w:val="73R"/>
              <w:spacing w:after="240"/>
              <w:rPr>
                <w:spacing w:val="2"/>
                <w:rtl/>
              </w:rPr>
            </w:pPr>
            <w:r w:rsidRPr="0011139E">
              <w:rPr>
                <w:rtl/>
              </w:rPr>
              <w:t>הסתמכות על יועצים חיצוניים בעבודת האגף לתכנון תחבורתי</w:t>
            </w:r>
          </w:p>
        </w:tc>
        <w:tc>
          <w:tcPr>
            <w:tcW w:w="998" w:type="dxa"/>
            <w:shd w:val="clear" w:color="auto" w:fill="F0F8F9"/>
          </w:tcPr>
          <w:p w:rsidR="008D3B84" w:rsidP="008D3B84" w14:paraId="2829AB7E" w14:textId="794FD684">
            <w:pPr>
              <w:pStyle w:val="73R"/>
              <w:spacing w:after="240"/>
              <w:rPr>
                <w:rtl/>
              </w:rPr>
            </w:pPr>
            <w:r w:rsidRPr="0011139E">
              <w:rPr>
                <w:rtl/>
              </w:rPr>
              <w:t xml:space="preserve">משרד התחבורה, משרד האוצר </w:t>
            </w:r>
            <w:r w:rsidRPr="0011139E">
              <w:rPr>
                <w:rtl/>
              </w:rPr>
              <w:t>ונש"ם</w:t>
            </w:r>
          </w:p>
        </w:tc>
        <w:tc>
          <w:tcPr>
            <w:tcW w:w="1984" w:type="dxa"/>
            <w:shd w:val="clear" w:color="auto" w:fill="F0F8F9"/>
          </w:tcPr>
          <w:p w:rsidR="008D3B84" w:rsidP="008D3B84" w14:paraId="61A4D12C" w14:textId="66FCE132">
            <w:pPr>
              <w:pStyle w:val="73R"/>
              <w:spacing w:after="240"/>
              <w:rPr>
                <w:rtl/>
              </w:rPr>
            </w:pPr>
            <w:r w:rsidRPr="0011139E">
              <w:rPr>
                <w:rtl/>
              </w:rPr>
              <w:t>בדוח הביקורת הקודם עלה כי "שימוש בעובדים מקצועיים רבים שאינם אנשי השירות הציבורי והעברת פעילויות ליבה של המשרד לגורמי חוץ מחלישים את גוף הידע המקצועי של המשרד ופוגעים בסמכות ובאחריות המקצועית של אנשי המשרד בכל הנוגע לתכנון תחבורתי"</w:t>
            </w:r>
          </w:p>
        </w:tc>
        <w:tc>
          <w:tcPr>
            <w:tcW w:w="584" w:type="dxa"/>
            <w:shd w:val="clear" w:color="auto" w:fill="F0F8F9"/>
          </w:tcPr>
          <w:p w:rsidR="008D3B84" w:rsidP="008D3B84" w14:paraId="0AF96682" w14:textId="0E5822F1">
            <w:pPr>
              <w:pStyle w:val="73R"/>
              <w:rPr>
                <w:rtl/>
              </w:rPr>
            </w:pPr>
            <w:r w:rsidRPr="00973C85">
              <w:rPr>
                <w:noProof/>
                <w:rtl/>
              </w:rPr>
              <mc:AlternateContent>
                <mc:Choice Requires="wps">
                  <w:drawing>
                    <wp:anchor distT="0" distB="0" distL="114300" distR="114300" simplePos="0" relativeHeight="251708416" behindDoc="0" locked="0" layoutInCell="1" allowOverlap="1">
                      <wp:simplePos x="0" y="0"/>
                      <wp:positionH relativeFrom="column">
                        <wp:posOffset>-549890</wp:posOffset>
                      </wp:positionH>
                      <wp:positionV relativeFrom="paragraph">
                        <wp:posOffset>691761</wp:posOffset>
                      </wp:positionV>
                      <wp:extent cx="831850" cy="223520"/>
                      <wp:effectExtent l="12700" t="12700" r="19050" b="17780"/>
                      <wp:wrapNone/>
                      <wp:docPr id="1271063411" name="חץ שמאלה 1271063411"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71063411" o:spid="_x0000_s1043" type="#_x0000_t66" alt="תוקן במידה מועטה" style="width:65.5pt;height:17.6pt;margin-top:54.45pt;margin-left:-43.3pt;mso-height-percent:0;mso-height-relative:margin;mso-width-percent:0;mso-width-relative:margin;mso-wrap-distance-bottom:0;mso-wrap-distance-left:9pt;mso-wrap-distance-right:9pt;mso-wrap-distance-top:0;mso-wrap-style:square;position:absolute;visibility:visible;v-text-anchor:middle;z-index:251709440" adj="2902" fillcolor="#ffc002" strokecolor="#ffc002" strokeweight="2pt"/>
                  </w:pict>
                </mc:Fallback>
              </mc:AlternateContent>
            </w:r>
          </w:p>
        </w:tc>
        <w:tc>
          <w:tcPr>
            <w:tcW w:w="758" w:type="dxa"/>
            <w:shd w:val="clear" w:color="auto" w:fill="F0F8F9"/>
          </w:tcPr>
          <w:p w:rsidR="008D3B84" w:rsidP="008D3B84" w14:paraId="1CDE3909" w14:textId="77777777">
            <w:pPr>
              <w:pStyle w:val="73R"/>
              <w:rPr>
                <w:rtl/>
              </w:rPr>
            </w:pPr>
          </w:p>
        </w:tc>
        <w:tc>
          <w:tcPr>
            <w:tcW w:w="733" w:type="dxa"/>
            <w:shd w:val="clear" w:color="auto" w:fill="F0F8F9"/>
          </w:tcPr>
          <w:p w:rsidR="008D3B84" w:rsidP="008D3B84" w14:paraId="143EBD67" w14:textId="77777777">
            <w:pPr>
              <w:pStyle w:val="73R"/>
              <w:rPr>
                <w:rtl/>
              </w:rPr>
            </w:pPr>
          </w:p>
        </w:tc>
        <w:tc>
          <w:tcPr>
            <w:tcW w:w="685" w:type="dxa"/>
            <w:shd w:val="clear" w:color="auto" w:fill="F0F8F9"/>
          </w:tcPr>
          <w:p w:rsidR="008D3B84" w:rsidP="008D3B84" w14:paraId="45F4D58F" w14:textId="77777777">
            <w:pPr>
              <w:pStyle w:val="73R"/>
              <w:rPr>
                <w:rtl/>
              </w:rPr>
            </w:pPr>
          </w:p>
        </w:tc>
      </w:tr>
      <w:tr w14:paraId="705B3505" w14:textId="77777777" w:rsidTr="003E5AE8">
        <w:tblPrEx>
          <w:tblW w:w="7216" w:type="dxa"/>
          <w:tblInd w:w="397" w:type="dxa"/>
          <w:shd w:val="clear" w:color="auto" w:fill="DFECEF"/>
          <w:tblLook w:val="04A0"/>
        </w:tblPrEx>
        <w:tc>
          <w:tcPr>
            <w:tcW w:w="1474" w:type="dxa"/>
            <w:shd w:val="clear" w:color="auto" w:fill="DFECEF"/>
          </w:tcPr>
          <w:p w:rsidR="008D3B84" w:rsidRPr="0011139E" w:rsidP="008D3B84" w14:paraId="4AD37FEB" w14:textId="77777777">
            <w:pPr>
              <w:pStyle w:val="73R"/>
              <w:rPr>
                <w:rtl/>
              </w:rPr>
            </w:pPr>
            <w:r w:rsidRPr="0011139E">
              <w:rPr>
                <w:rtl/>
              </w:rPr>
              <w:t xml:space="preserve">עדכון ההנחיות הנוגעות לתכנון, לקידום ולתפעול של </w:t>
            </w:r>
            <w:r w:rsidRPr="0011139E">
              <w:rPr>
                <w:rtl/>
              </w:rPr>
              <w:t>תח"צ</w:t>
            </w:r>
            <w:r w:rsidRPr="0011139E">
              <w:rPr>
                <w:rtl/>
              </w:rPr>
              <w:t xml:space="preserve"> על ידי משרד התחבורה</w:t>
            </w:r>
          </w:p>
          <w:p w:rsidR="008D3B84" w:rsidP="008D3B84" w14:paraId="27E71092" w14:textId="2CC6345C">
            <w:pPr>
              <w:pStyle w:val="73R"/>
              <w:spacing w:after="240"/>
              <w:rPr>
                <w:rtl/>
              </w:rPr>
            </w:pPr>
          </w:p>
        </w:tc>
        <w:tc>
          <w:tcPr>
            <w:tcW w:w="998" w:type="dxa"/>
            <w:shd w:val="clear" w:color="auto" w:fill="DFECEF"/>
          </w:tcPr>
          <w:p w:rsidR="008D3B84" w:rsidP="008D3B84" w14:paraId="6673893A" w14:textId="43CEAE32">
            <w:pPr>
              <w:pStyle w:val="73R"/>
              <w:spacing w:after="240"/>
              <w:rPr>
                <w:rtl/>
              </w:rPr>
            </w:pPr>
            <w:r w:rsidRPr="0011139E">
              <w:rPr>
                <w:rtl/>
              </w:rPr>
              <w:t>משרד התחבורה</w:t>
            </w:r>
          </w:p>
        </w:tc>
        <w:tc>
          <w:tcPr>
            <w:tcW w:w="1984" w:type="dxa"/>
            <w:shd w:val="clear" w:color="auto" w:fill="DFECEF"/>
          </w:tcPr>
          <w:p w:rsidR="008D3B84" w:rsidP="008D3B84" w14:paraId="79646E41" w14:textId="7D062D85">
            <w:pPr>
              <w:pStyle w:val="73R"/>
              <w:spacing w:after="240"/>
              <w:rPr>
                <w:rtl/>
              </w:rPr>
            </w:pPr>
            <w:r w:rsidRPr="0011139E">
              <w:rPr>
                <w:rtl/>
              </w:rPr>
              <w:t xml:space="preserve">בדוח הביקורת הקודם עלה כי "במשך שנים רבות לא עסקו הנחיות משרד התחבורה בנושאים מהותיים רבים החיוניים לשיפור שירותי </w:t>
            </w:r>
            <w:r w:rsidRPr="0011139E">
              <w:rPr>
                <w:rtl/>
              </w:rPr>
              <w:t>התח"צ</w:t>
            </w:r>
            <w:r w:rsidRPr="0011139E">
              <w:rPr>
                <w:rtl/>
              </w:rPr>
              <w:t xml:space="preserve"> והשימוש בה. הנחיות בנושאים כמו ממשקים בין ייעודי קרקע ותחבורה, עקרונות התוויית מערך הדרכים, תכנון מתקני תשתית </w:t>
            </w:r>
            <w:r w:rsidRPr="0011139E">
              <w:rPr>
                <w:rtl/>
              </w:rPr>
              <w:t>לתח"צ</w:t>
            </w:r>
            <w:r w:rsidRPr="0011139E">
              <w:rPr>
                <w:rtl/>
              </w:rPr>
              <w:t xml:space="preserve">, הסדרי העדפה </w:t>
            </w:r>
            <w:r w:rsidRPr="0011139E">
              <w:rPr>
                <w:rtl/>
              </w:rPr>
              <w:t>לתח"צ</w:t>
            </w:r>
            <w:r w:rsidRPr="0011139E">
              <w:rPr>
                <w:rtl/>
              </w:rPr>
              <w:t>, קריטריונים לתכנון קווים ומדדים לרמת השירות פורסמו רק לאחרונה"</w:t>
            </w:r>
          </w:p>
        </w:tc>
        <w:tc>
          <w:tcPr>
            <w:tcW w:w="584" w:type="dxa"/>
            <w:shd w:val="clear" w:color="auto" w:fill="DFECEF"/>
          </w:tcPr>
          <w:p w:rsidR="008D3B84" w:rsidP="008D3B84" w14:paraId="1CE69AF1" w14:textId="144BA08D">
            <w:pPr>
              <w:pStyle w:val="73R"/>
              <w:rPr>
                <w:rtl/>
              </w:rPr>
            </w:pPr>
          </w:p>
        </w:tc>
        <w:tc>
          <w:tcPr>
            <w:tcW w:w="758" w:type="dxa"/>
            <w:shd w:val="clear" w:color="auto" w:fill="DFECEF"/>
          </w:tcPr>
          <w:p w:rsidR="008D3B84" w:rsidP="008D3B84" w14:paraId="55D2D59C" w14:textId="345B0D93">
            <w:pPr>
              <w:pStyle w:val="73R"/>
              <w:rPr>
                <w:rtl/>
              </w:rPr>
            </w:pPr>
            <w:r w:rsidRPr="00973C85">
              <w:rPr>
                <w:noProof/>
                <w:rtl/>
              </w:rPr>
              <mc:AlternateContent>
                <mc:Choice Requires="wps">
                  <w:drawing>
                    <wp:anchor distT="0" distB="0" distL="114300" distR="114300" simplePos="0" relativeHeight="251728896" behindDoc="0" locked="0" layoutInCell="1" allowOverlap="1">
                      <wp:simplePos x="0" y="0"/>
                      <wp:positionH relativeFrom="column">
                        <wp:posOffset>-496263</wp:posOffset>
                      </wp:positionH>
                      <wp:positionV relativeFrom="paragraph">
                        <wp:posOffset>812288</wp:posOffset>
                      </wp:positionV>
                      <wp:extent cx="1259205" cy="223520"/>
                      <wp:effectExtent l="12700" t="12700" r="10795" b="17780"/>
                      <wp:wrapNone/>
                      <wp:docPr id="1930551857" name="חץ שמאלה 19305518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930551857" o:spid="_x0000_s1044" type="#_x0000_t66" alt="תוקן במידה רבה" style="width:99.15pt;height:17.6pt;margin-top:63.95pt;margin-left:-39.1pt;mso-height-percent:0;mso-height-relative:margin;mso-width-percent:0;mso-width-relative:margin;mso-wrap-distance-bottom:0;mso-wrap-distance-left:9pt;mso-wrap-distance-right:9pt;mso-wrap-distance-top:0;mso-wrap-style:square;position:absolute;visibility:visible;v-text-anchor:middle;z-index:251729920" adj="1917" fillcolor="#fdf000" strokecolor="#fdf000" strokeweight="2pt"/>
                  </w:pict>
                </mc:Fallback>
              </mc:AlternateContent>
            </w:r>
          </w:p>
        </w:tc>
        <w:tc>
          <w:tcPr>
            <w:tcW w:w="733" w:type="dxa"/>
            <w:shd w:val="clear" w:color="auto" w:fill="DFECEF"/>
          </w:tcPr>
          <w:p w:rsidR="008D3B84" w:rsidP="008D3B84" w14:paraId="14599525" w14:textId="54A531F6">
            <w:pPr>
              <w:pStyle w:val="73R"/>
              <w:rPr>
                <w:rtl/>
              </w:rPr>
            </w:pPr>
          </w:p>
        </w:tc>
        <w:tc>
          <w:tcPr>
            <w:tcW w:w="685" w:type="dxa"/>
            <w:shd w:val="clear" w:color="auto" w:fill="DFECEF"/>
          </w:tcPr>
          <w:p w:rsidR="008D3B84" w:rsidP="008D3B84" w14:paraId="4BBB6D41" w14:textId="77777777">
            <w:pPr>
              <w:pStyle w:val="73R"/>
              <w:rPr>
                <w:rtl/>
              </w:rPr>
            </w:pPr>
          </w:p>
        </w:tc>
      </w:tr>
      <w:tr w14:paraId="04D64242" w14:textId="77777777" w:rsidTr="003E5AE8">
        <w:tblPrEx>
          <w:tblW w:w="7216" w:type="dxa"/>
          <w:tblInd w:w="397" w:type="dxa"/>
          <w:shd w:val="clear" w:color="auto" w:fill="DFECEF"/>
          <w:tblLook w:val="04A0"/>
        </w:tblPrEx>
        <w:tc>
          <w:tcPr>
            <w:tcW w:w="1474" w:type="dxa"/>
            <w:shd w:val="clear" w:color="auto" w:fill="F0F8F9"/>
          </w:tcPr>
          <w:p w:rsidR="008D3B84" w:rsidP="008D3B84" w14:paraId="760DFBEC" w14:textId="28650FD0">
            <w:pPr>
              <w:pStyle w:val="73R"/>
              <w:spacing w:after="240"/>
              <w:rPr>
                <w:rtl/>
              </w:rPr>
            </w:pPr>
            <w:r w:rsidRPr="0011139E">
              <w:rPr>
                <w:rtl/>
              </w:rPr>
              <w:t xml:space="preserve">הטמעת ההנחיות הנוגעות לתכנון, לקידום ולתפעול של </w:t>
            </w:r>
            <w:r w:rsidRPr="0011139E">
              <w:rPr>
                <w:rtl/>
              </w:rPr>
              <w:t>תח"צ</w:t>
            </w:r>
            <w:r w:rsidRPr="0011139E">
              <w:rPr>
                <w:rtl/>
              </w:rPr>
              <w:t xml:space="preserve"> בקרב גורמים חיצוניים</w:t>
            </w:r>
          </w:p>
        </w:tc>
        <w:tc>
          <w:tcPr>
            <w:tcW w:w="998" w:type="dxa"/>
            <w:shd w:val="clear" w:color="auto" w:fill="F0F8F9"/>
          </w:tcPr>
          <w:p w:rsidR="008D3B84" w:rsidP="008D3B84" w14:paraId="1186775C" w14:textId="057DAD87">
            <w:pPr>
              <w:pStyle w:val="73R"/>
              <w:spacing w:after="240"/>
              <w:rPr>
                <w:rtl/>
              </w:rPr>
            </w:pPr>
            <w:r w:rsidRPr="0011139E">
              <w:rPr>
                <w:rtl/>
              </w:rPr>
              <w:t>משרד התחבורה</w:t>
            </w:r>
          </w:p>
        </w:tc>
        <w:tc>
          <w:tcPr>
            <w:tcW w:w="1984" w:type="dxa"/>
            <w:shd w:val="clear" w:color="auto" w:fill="F0F8F9"/>
          </w:tcPr>
          <w:p w:rsidR="008D3B84" w:rsidP="008D3B84" w14:paraId="6E9DCA2D" w14:textId="3B6962F2">
            <w:pPr>
              <w:pStyle w:val="73R"/>
              <w:spacing w:after="240"/>
              <w:rPr>
                <w:rtl/>
              </w:rPr>
            </w:pPr>
            <w:r w:rsidRPr="0011139E">
              <w:rPr>
                <w:rtl/>
              </w:rPr>
              <w:t xml:space="preserve">בביקורת הקודמת עלה כי במהלכה "מסר האגף לתכנון תחבורתי כי לרוב כאשר הוא מפרסם הנחיות חדשות הוא מקיים יום עיון שבו הוא מציג את עיקרי ההנחיות ומציין את חשיבותן, אולם אין ביכולתו לקיים בקרב הגורמים הרלוונטיים הכשרות תקופתיות </w:t>
            </w:r>
            <w:r w:rsidRPr="0011139E">
              <w:rPr>
                <w:rtl/>
              </w:rPr>
              <w:t>וריענונים</w:t>
            </w:r>
            <w:r w:rsidRPr="0011139E">
              <w:rPr>
                <w:rtl/>
              </w:rPr>
              <w:t xml:space="preserve"> בנושאי ההנחיות"</w:t>
            </w:r>
          </w:p>
        </w:tc>
        <w:tc>
          <w:tcPr>
            <w:tcW w:w="584" w:type="dxa"/>
            <w:shd w:val="clear" w:color="auto" w:fill="F0F8F9"/>
          </w:tcPr>
          <w:p w:rsidR="008D3B84" w:rsidP="008D3B84" w14:paraId="366224AC" w14:textId="04D0B63B">
            <w:pPr>
              <w:pStyle w:val="73R"/>
              <w:rPr>
                <w:rtl/>
              </w:rPr>
            </w:pPr>
            <w:r w:rsidRPr="00973C85">
              <w:rPr>
                <w:noProof/>
                <w:rtl/>
              </w:rPr>
              <mc:AlternateContent>
                <mc:Choice Requires="wps">
                  <w:drawing>
                    <wp:anchor distT="0" distB="0" distL="114300" distR="114300" simplePos="0" relativeHeight="251710464" behindDoc="0" locked="0" layoutInCell="1" allowOverlap="1">
                      <wp:simplePos x="0" y="0"/>
                      <wp:positionH relativeFrom="column">
                        <wp:posOffset>-977265</wp:posOffset>
                      </wp:positionH>
                      <wp:positionV relativeFrom="paragraph">
                        <wp:posOffset>668020</wp:posOffset>
                      </wp:positionV>
                      <wp:extent cx="1259205" cy="223520"/>
                      <wp:effectExtent l="12700" t="12700" r="10795" b="17780"/>
                      <wp:wrapNone/>
                      <wp:docPr id="57" name="חץ שמאלה 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45" type="#_x0000_t66" alt="תוקן במידה רבה" style="width:99.15pt;height:17.6pt;margin-top:52.6pt;margin-left:-76.95pt;mso-height-percent:0;mso-height-relative:margin;mso-width-percent:0;mso-width-relative:margin;mso-wrap-distance-bottom:0;mso-wrap-distance-left:9pt;mso-wrap-distance-right:9pt;mso-wrap-distance-top:0;mso-wrap-style:square;position:absolute;visibility:visible;v-text-anchor:middle;z-index:251711488" adj="1917" fillcolor="#fdf000" strokecolor="#fdf000" strokeweight="2pt"/>
                  </w:pict>
                </mc:Fallback>
              </mc:AlternateContent>
            </w:r>
          </w:p>
        </w:tc>
        <w:tc>
          <w:tcPr>
            <w:tcW w:w="758" w:type="dxa"/>
            <w:shd w:val="clear" w:color="auto" w:fill="F0F8F9"/>
          </w:tcPr>
          <w:p w:rsidR="008D3B84" w:rsidP="008D3B84" w14:paraId="6E25ABEE" w14:textId="4C340759">
            <w:pPr>
              <w:pStyle w:val="73R"/>
              <w:rPr>
                <w:rtl/>
              </w:rPr>
            </w:pPr>
          </w:p>
        </w:tc>
        <w:tc>
          <w:tcPr>
            <w:tcW w:w="733" w:type="dxa"/>
            <w:shd w:val="clear" w:color="auto" w:fill="F0F8F9"/>
          </w:tcPr>
          <w:p w:rsidR="008D3B84" w:rsidP="008D3B84" w14:paraId="3641B44F" w14:textId="77777777">
            <w:pPr>
              <w:pStyle w:val="73R"/>
              <w:rPr>
                <w:rtl/>
              </w:rPr>
            </w:pPr>
          </w:p>
        </w:tc>
        <w:tc>
          <w:tcPr>
            <w:tcW w:w="685" w:type="dxa"/>
            <w:shd w:val="clear" w:color="auto" w:fill="F0F8F9"/>
          </w:tcPr>
          <w:p w:rsidR="008D3B84" w:rsidP="008D3B84" w14:paraId="11AF1571" w14:textId="77777777">
            <w:pPr>
              <w:pStyle w:val="73R"/>
              <w:rPr>
                <w:rtl/>
              </w:rPr>
            </w:pPr>
          </w:p>
        </w:tc>
      </w:tr>
      <w:tr w14:paraId="7688E1C3" w14:textId="77777777" w:rsidTr="003E5AE8">
        <w:tblPrEx>
          <w:tblW w:w="7216" w:type="dxa"/>
          <w:tblInd w:w="397" w:type="dxa"/>
          <w:shd w:val="clear" w:color="auto" w:fill="DFECEF"/>
          <w:tblLook w:val="04A0"/>
        </w:tblPrEx>
        <w:tc>
          <w:tcPr>
            <w:tcW w:w="1474" w:type="dxa"/>
            <w:shd w:val="clear" w:color="auto" w:fill="DFECEF"/>
          </w:tcPr>
          <w:p w:rsidR="008D3B84" w:rsidP="008D3B84" w14:paraId="2AB885EA" w14:textId="5607C524">
            <w:pPr>
              <w:pStyle w:val="73R"/>
              <w:spacing w:after="240"/>
              <w:rPr>
                <w:rtl/>
              </w:rPr>
            </w:pPr>
            <w:r w:rsidRPr="0011139E">
              <w:rPr>
                <w:rtl/>
              </w:rPr>
              <w:t>המדריך להכנת בחינת השלכות תחבורתיות (</w:t>
            </w:r>
            <w:r w:rsidRPr="0011139E">
              <w:rPr>
                <w:rtl/>
              </w:rPr>
              <w:t>בה"ת</w:t>
            </w:r>
            <w:r w:rsidRPr="0011139E">
              <w:rPr>
                <w:rtl/>
              </w:rPr>
              <w:t>)</w:t>
            </w:r>
          </w:p>
        </w:tc>
        <w:tc>
          <w:tcPr>
            <w:tcW w:w="998" w:type="dxa"/>
            <w:shd w:val="clear" w:color="auto" w:fill="DFECEF"/>
          </w:tcPr>
          <w:p w:rsidR="008D3B84" w:rsidP="008D3B84" w14:paraId="03F634BC" w14:textId="6C411D01">
            <w:pPr>
              <w:pStyle w:val="73R"/>
              <w:spacing w:after="240"/>
              <w:rPr>
                <w:rtl/>
              </w:rPr>
            </w:pPr>
            <w:r w:rsidRPr="0011139E">
              <w:rPr>
                <w:rtl/>
              </w:rPr>
              <w:t>משרד התחבורה</w:t>
            </w:r>
          </w:p>
        </w:tc>
        <w:tc>
          <w:tcPr>
            <w:tcW w:w="1984" w:type="dxa"/>
            <w:shd w:val="clear" w:color="auto" w:fill="DFECEF"/>
          </w:tcPr>
          <w:p w:rsidR="008D3B84" w:rsidRPr="00FA2D84" w:rsidP="008D3B84" w14:paraId="1751B1CB" w14:textId="12872ADC">
            <w:pPr>
              <w:pStyle w:val="73R"/>
              <w:spacing w:after="240"/>
              <w:rPr>
                <w:spacing w:val="2"/>
                <w:rtl/>
              </w:rPr>
            </w:pPr>
            <w:r w:rsidRPr="0011139E">
              <w:rPr>
                <w:rtl/>
              </w:rPr>
              <w:t xml:space="preserve">בדוח הביקורת הקודם עלה כי "המדריך להכנת </w:t>
            </w:r>
            <w:r w:rsidRPr="0011139E">
              <w:rPr>
                <w:rtl/>
              </w:rPr>
              <w:t>בה"ת</w:t>
            </w:r>
            <w:r w:rsidRPr="0011139E">
              <w:rPr>
                <w:rtl/>
              </w:rPr>
              <w:t xml:space="preserve">" התבסס כמסמך מדיניות על "תוכנית אב ארצית לתחבורה יבשתית" שהכין </w:t>
            </w:r>
            <w:r w:rsidRPr="0011139E">
              <w:rPr>
                <w:rtl/>
              </w:rPr>
              <w:t>מת"ח</w:t>
            </w:r>
            <w:r w:rsidRPr="0011139E">
              <w:rPr>
                <w:rtl/>
              </w:rPr>
              <w:t xml:space="preserve"> בשנת 1999. בשנת 2008 עדכן </w:t>
            </w:r>
            <w:r w:rsidRPr="0011139E">
              <w:rPr>
                <w:rtl/>
              </w:rPr>
              <w:t>מת"ח</w:t>
            </w:r>
            <w:r w:rsidRPr="0011139E">
              <w:rPr>
                <w:rtl/>
              </w:rPr>
              <w:t xml:space="preserve"> את התוכנית והוציא מסמך חדש שכותרתו "תוכנית אב ארצית לתחבורה יבשתית - מדיניות פיתוח התחבורה היבשתית במדינת ישראל" </w:t>
            </w:r>
          </w:p>
        </w:tc>
        <w:tc>
          <w:tcPr>
            <w:tcW w:w="584" w:type="dxa"/>
            <w:shd w:val="clear" w:color="auto" w:fill="DFECEF"/>
          </w:tcPr>
          <w:p w:rsidR="008D3B84" w:rsidP="008D3B84" w14:paraId="341E73A4" w14:textId="55EB96ED">
            <w:pPr>
              <w:pStyle w:val="73R"/>
              <w:rPr>
                <w:rtl/>
              </w:rPr>
            </w:pPr>
            <w:r w:rsidRPr="00973C85">
              <w:rPr>
                <w:noProof/>
                <w:rtl/>
              </w:rPr>
              <mc:AlternateContent>
                <mc:Choice Requires="wps">
                  <w:drawing>
                    <wp:anchor distT="0" distB="0" distL="114300" distR="114300" simplePos="0" relativeHeight="251712512" behindDoc="0" locked="0" layoutInCell="1" allowOverlap="1">
                      <wp:simplePos x="0" y="0"/>
                      <wp:positionH relativeFrom="column">
                        <wp:posOffset>-976630</wp:posOffset>
                      </wp:positionH>
                      <wp:positionV relativeFrom="paragraph">
                        <wp:posOffset>796946</wp:posOffset>
                      </wp:positionV>
                      <wp:extent cx="1259205" cy="223520"/>
                      <wp:effectExtent l="12700" t="12700" r="10795" b="17780"/>
                      <wp:wrapNone/>
                      <wp:docPr id="450489491" name="חץ שמאלה 450489491"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50489491" o:spid="_x0000_s1046" type="#_x0000_t66" alt="תוקן במידה רבה" style="width:99.15pt;height:17.6pt;margin-top:62.75pt;margin-left:-76.9pt;mso-height-percent:0;mso-height-relative:margin;mso-width-percent:0;mso-width-relative:margin;mso-wrap-distance-bottom:0;mso-wrap-distance-left:9pt;mso-wrap-distance-right:9pt;mso-wrap-distance-top:0;mso-wrap-style:square;position:absolute;visibility:visible;v-text-anchor:middle;z-index:251713536" adj="1917" fillcolor="#fdf000" strokecolor="#fdf000" strokeweight="2pt"/>
                  </w:pict>
                </mc:Fallback>
              </mc:AlternateContent>
            </w:r>
          </w:p>
        </w:tc>
        <w:tc>
          <w:tcPr>
            <w:tcW w:w="758" w:type="dxa"/>
            <w:shd w:val="clear" w:color="auto" w:fill="DFECEF"/>
          </w:tcPr>
          <w:p w:rsidR="008D3B84" w:rsidP="008D3B84" w14:paraId="0F472B94" w14:textId="77777777">
            <w:pPr>
              <w:pStyle w:val="73R"/>
              <w:rPr>
                <w:rtl/>
              </w:rPr>
            </w:pPr>
          </w:p>
        </w:tc>
        <w:tc>
          <w:tcPr>
            <w:tcW w:w="733" w:type="dxa"/>
            <w:shd w:val="clear" w:color="auto" w:fill="DFECEF"/>
          </w:tcPr>
          <w:p w:rsidR="008D3B84" w:rsidP="008D3B84" w14:paraId="385F8DCE" w14:textId="77777777">
            <w:pPr>
              <w:pStyle w:val="73R"/>
              <w:rPr>
                <w:rtl/>
              </w:rPr>
            </w:pPr>
          </w:p>
        </w:tc>
        <w:tc>
          <w:tcPr>
            <w:tcW w:w="685" w:type="dxa"/>
            <w:shd w:val="clear" w:color="auto" w:fill="DFECEF"/>
          </w:tcPr>
          <w:p w:rsidR="008D3B84" w:rsidP="008D3B84" w14:paraId="44CFE4CA" w14:textId="77777777">
            <w:pPr>
              <w:pStyle w:val="73R"/>
              <w:rPr>
                <w:rtl/>
              </w:rPr>
            </w:pPr>
          </w:p>
        </w:tc>
      </w:tr>
      <w:tr w14:paraId="1422C672" w14:textId="77777777" w:rsidTr="003E5AE8">
        <w:tblPrEx>
          <w:tblW w:w="7216" w:type="dxa"/>
          <w:tblInd w:w="397" w:type="dxa"/>
          <w:shd w:val="clear" w:color="auto" w:fill="DFECEF"/>
          <w:tblLook w:val="04A0"/>
        </w:tblPrEx>
        <w:tc>
          <w:tcPr>
            <w:tcW w:w="1474" w:type="dxa"/>
            <w:shd w:val="clear" w:color="auto" w:fill="F0F8F9"/>
          </w:tcPr>
          <w:p w:rsidR="008D3B84" w:rsidP="008D3B84" w14:paraId="7C49E182" w14:textId="136E5E00">
            <w:pPr>
              <w:pStyle w:val="73R"/>
              <w:spacing w:after="240"/>
              <w:rPr>
                <w:rtl/>
              </w:rPr>
            </w:pPr>
            <w:r w:rsidRPr="0011139E">
              <w:rPr>
                <w:rtl/>
              </w:rPr>
              <w:t>תוכנית מתאר ארצית לתשתיות תחבורה יבשתית - תמ"א 42</w:t>
            </w:r>
          </w:p>
        </w:tc>
        <w:tc>
          <w:tcPr>
            <w:tcW w:w="998" w:type="dxa"/>
            <w:shd w:val="clear" w:color="auto" w:fill="F0F8F9"/>
          </w:tcPr>
          <w:p w:rsidR="008D3B84" w:rsidP="008D3B84" w14:paraId="395D392E" w14:textId="333BCDE3">
            <w:pPr>
              <w:pStyle w:val="73R"/>
              <w:spacing w:after="240"/>
              <w:rPr>
                <w:rtl/>
              </w:rPr>
            </w:pPr>
            <w:r w:rsidRPr="0011139E">
              <w:rPr>
                <w:rtl/>
              </w:rPr>
              <w:t>משרד התחבורה ומשרד האוצר</w:t>
            </w:r>
          </w:p>
        </w:tc>
        <w:tc>
          <w:tcPr>
            <w:tcW w:w="1984" w:type="dxa"/>
            <w:shd w:val="clear" w:color="auto" w:fill="F0F8F9"/>
          </w:tcPr>
          <w:p w:rsidR="008D3B84" w:rsidP="008D3B84" w14:paraId="4867646A" w14:textId="64AA8D36">
            <w:pPr>
              <w:pStyle w:val="73R"/>
              <w:spacing w:after="240"/>
              <w:rPr>
                <w:rtl/>
              </w:rPr>
            </w:pPr>
            <w:r w:rsidRPr="0011139E">
              <w:rPr>
                <w:rtl/>
              </w:rPr>
              <w:t>בדוח הביקורת הקודם עלה כי במועד סיומה, מרץ 2018, לא הסתיימה הכנת תוכנית מתאר ארצית משולבת לתשתיות תחבורה יבשתית (תמ"א 42), והיא לא הובאה לאישור המועצה הארצית והממשלה</w:t>
            </w:r>
          </w:p>
        </w:tc>
        <w:tc>
          <w:tcPr>
            <w:tcW w:w="584" w:type="dxa"/>
            <w:shd w:val="clear" w:color="auto" w:fill="F0F8F9"/>
          </w:tcPr>
          <w:p w:rsidR="008D3B84" w:rsidP="008D3B84" w14:paraId="41841405" w14:textId="142C158D">
            <w:pPr>
              <w:pStyle w:val="73R"/>
              <w:rPr>
                <w:rtl/>
              </w:rPr>
            </w:pPr>
            <w:r w:rsidRPr="00973C85">
              <w:rPr>
                <w:noProof/>
                <w:rtl/>
              </w:rPr>
              <mc:AlternateContent>
                <mc:Choice Requires="wps">
                  <w:drawing>
                    <wp:anchor distT="0" distB="0" distL="114300" distR="114300" simplePos="0" relativeHeight="251726848" behindDoc="0" locked="0" layoutInCell="1" allowOverlap="1">
                      <wp:simplePos x="0" y="0"/>
                      <wp:positionH relativeFrom="column">
                        <wp:posOffset>-557264</wp:posOffset>
                      </wp:positionH>
                      <wp:positionV relativeFrom="paragraph">
                        <wp:posOffset>642681</wp:posOffset>
                      </wp:positionV>
                      <wp:extent cx="831850" cy="223520"/>
                      <wp:effectExtent l="12700" t="12700" r="19050" b="17780"/>
                      <wp:wrapNone/>
                      <wp:docPr id="1561057833" name="חץ שמאלה 1561057833"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561057833" o:spid="_x0000_s1047" type="#_x0000_t66" alt="תוקן במידה מועטה" style="width:65.5pt;height:17.6pt;margin-top:50.6pt;margin-left:-43.9pt;mso-height-percent:0;mso-height-relative:margin;mso-width-percent:0;mso-width-relative:margin;mso-wrap-distance-bottom:0;mso-wrap-distance-left:9pt;mso-wrap-distance-right:9pt;mso-wrap-distance-top:0;mso-wrap-style:square;position:absolute;visibility:visible;v-text-anchor:middle;z-index:251727872" adj="2902" fillcolor="#ffc002" strokecolor="#ffc002" strokeweight="2pt"/>
                  </w:pict>
                </mc:Fallback>
              </mc:AlternateContent>
            </w:r>
          </w:p>
        </w:tc>
        <w:tc>
          <w:tcPr>
            <w:tcW w:w="758" w:type="dxa"/>
            <w:shd w:val="clear" w:color="auto" w:fill="F0F8F9"/>
          </w:tcPr>
          <w:p w:rsidR="008D3B84" w:rsidP="008D3B84" w14:paraId="0300D1AC" w14:textId="689E18D8">
            <w:pPr>
              <w:pStyle w:val="73R"/>
              <w:rPr>
                <w:rtl/>
              </w:rPr>
            </w:pPr>
          </w:p>
        </w:tc>
        <w:tc>
          <w:tcPr>
            <w:tcW w:w="733" w:type="dxa"/>
            <w:shd w:val="clear" w:color="auto" w:fill="F0F8F9"/>
          </w:tcPr>
          <w:p w:rsidR="008D3B84" w:rsidP="008D3B84" w14:paraId="51785C65" w14:textId="36DBAB41">
            <w:pPr>
              <w:pStyle w:val="73R"/>
              <w:rPr>
                <w:rtl/>
              </w:rPr>
            </w:pPr>
          </w:p>
        </w:tc>
        <w:tc>
          <w:tcPr>
            <w:tcW w:w="685" w:type="dxa"/>
            <w:shd w:val="clear" w:color="auto" w:fill="F0F8F9"/>
          </w:tcPr>
          <w:p w:rsidR="008D3B84" w:rsidP="008D3B84" w14:paraId="117D6F48" w14:textId="3806F93C">
            <w:pPr>
              <w:pStyle w:val="73R"/>
              <w:rPr>
                <w:rtl/>
              </w:rPr>
            </w:pPr>
          </w:p>
        </w:tc>
      </w:tr>
      <w:tr w14:paraId="2CF095CE" w14:textId="77777777" w:rsidTr="003E5AE8">
        <w:tblPrEx>
          <w:tblW w:w="7216" w:type="dxa"/>
          <w:tblInd w:w="397" w:type="dxa"/>
          <w:shd w:val="clear" w:color="auto" w:fill="DFECEF"/>
          <w:tblLook w:val="04A0"/>
        </w:tblPrEx>
        <w:tc>
          <w:tcPr>
            <w:tcW w:w="1474" w:type="dxa"/>
            <w:shd w:val="clear" w:color="auto" w:fill="DFECEF"/>
          </w:tcPr>
          <w:p w:rsidR="008D3B84" w:rsidP="008D3B84" w14:paraId="1523BA1D" w14:textId="0141CB01">
            <w:pPr>
              <w:pStyle w:val="73R"/>
              <w:spacing w:after="240"/>
              <w:rPr>
                <w:rtl/>
              </w:rPr>
            </w:pPr>
            <w:r w:rsidRPr="0011139E">
              <w:rPr>
                <w:rtl/>
              </w:rPr>
              <w:t>ייצוג משרד התחבורה בוועדות המקומיות</w:t>
            </w:r>
          </w:p>
        </w:tc>
        <w:tc>
          <w:tcPr>
            <w:tcW w:w="998" w:type="dxa"/>
            <w:shd w:val="clear" w:color="auto" w:fill="DFECEF"/>
          </w:tcPr>
          <w:p w:rsidR="008D3B84" w:rsidP="008D3B84" w14:paraId="16A7B4F1" w14:textId="59C95678">
            <w:pPr>
              <w:pStyle w:val="73R"/>
              <w:spacing w:after="240"/>
              <w:rPr>
                <w:rtl/>
              </w:rPr>
            </w:pPr>
            <w:r w:rsidRPr="0011139E">
              <w:rPr>
                <w:rtl/>
              </w:rPr>
              <w:t>משרד התחבורה</w:t>
            </w:r>
          </w:p>
        </w:tc>
        <w:tc>
          <w:tcPr>
            <w:tcW w:w="1984" w:type="dxa"/>
            <w:shd w:val="clear" w:color="auto" w:fill="DFECEF"/>
          </w:tcPr>
          <w:p w:rsidR="008D3B84" w:rsidP="008D3B84" w14:paraId="3AD54330" w14:textId="593BDB92">
            <w:pPr>
              <w:pStyle w:val="73R"/>
              <w:spacing w:after="240"/>
              <w:rPr>
                <w:rtl/>
              </w:rPr>
            </w:pPr>
            <w:r w:rsidRPr="0011139E">
              <w:rPr>
                <w:rtl/>
              </w:rPr>
              <w:t xml:space="preserve">בביקורת הקודמת עלה כי בגלל מחסור בכוח אדם באגף לתכנון תחבורתי, "האגף אינו שולח נציגים מטעמו להשתתף בדיונים של הוועדות המקומיות כנציגים בעלי דעה מייעצת, ובכך מוותר על האפשרות להעיר את הערותיו על התוכניות ולוודא שהן יעלו בקנה אחד עם מדיניותו, ובפרט שתכנון התשתיות יותאם למתן שירותי </w:t>
            </w:r>
            <w:r w:rsidRPr="0011139E">
              <w:rPr>
                <w:rtl/>
              </w:rPr>
              <w:t>תח"צ</w:t>
            </w:r>
            <w:r w:rsidRPr="0011139E">
              <w:rPr>
                <w:rtl/>
              </w:rPr>
              <w:t>"</w:t>
            </w:r>
          </w:p>
        </w:tc>
        <w:tc>
          <w:tcPr>
            <w:tcW w:w="584" w:type="dxa"/>
            <w:shd w:val="clear" w:color="auto" w:fill="DFECEF"/>
          </w:tcPr>
          <w:p w:rsidR="008D3B84" w:rsidP="008D3B84" w14:paraId="227F66C6" w14:textId="7B178196">
            <w:pPr>
              <w:pStyle w:val="73R"/>
              <w:rPr>
                <w:rtl/>
              </w:rPr>
            </w:pPr>
          </w:p>
        </w:tc>
        <w:tc>
          <w:tcPr>
            <w:tcW w:w="758" w:type="dxa"/>
            <w:shd w:val="clear" w:color="auto" w:fill="DFECEF"/>
          </w:tcPr>
          <w:p w:rsidR="008D3B84" w:rsidP="008D3B84" w14:paraId="0C9687B5" w14:textId="7E94327C">
            <w:pPr>
              <w:pStyle w:val="73R"/>
              <w:rPr>
                <w:rtl/>
              </w:rPr>
            </w:pPr>
          </w:p>
        </w:tc>
        <w:tc>
          <w:tcPr>
            <w:tcW w:w="733" w:type="dxa"/>
            <w:shd w:val="clear" w:color="auto" w:fill="DFECEF"/>
          </w:tcPr>
          <w:p w:rsidR="008D3B84" w:rsidP="008D3B84" w14:paraId="05E0F310" w14:textId="77777777">
            <w:pPr>
              <w:pStyle w:val="73R"/>
              <w:rPr>
                <w:rtl/>
              </w:rPr>
            </w:pPr>
          </w:p>
        </w:tc>
        <w:tc>
          <w:tcPr>
            <w:tcW w:w="685" w:type="dxa"/>
            <w:shd w:val="clear" w:color="auto" w:fill="DFECEF"/>
          </w:tcPr>
          <w:p w:rsidR="008D3B84" w:rsidP="008D3B84" w14:paraId="21D96B28" w14:textId="77777777">
            <w:pPr>
              <w:pStyle w:val="73R"/>
              <w:rPr>
                <w:rtl/>
              </w:rPr>
            </w:pPr>
          </w:p>
        </w:tc>
      </w:tr>
      <w:tr w14:paraId="6A9B19BE" w14:textId="77777777" w:rsidTr="003E5AE8">
        <w:tblPrEx>
          <w:tblW w:w="7216" w:type="dxa"/>
          <w:tblInd w:w="397" w:type="dxa"/>
          <w:shd w:val="clear" w:color="auto" w:fill="DFECEF"/>
          <w:tblLook w:val="04A0"/>
        </w:tblPrEx>
        <w:tc>
          <w:tcPr>
            <w:tcW w:w="1474" w:type="dxa"/>
            <w:shd w:val="clear" w:color="auto" w:fill="F0F8F9"/>
          </w:tcPr>
          <w:p w:rsidR="008D3B84" w:rsidP="008D3B84" w14:paraId="24AFC320" w14:textId="436C760A">
            <w:pPr>
              <w:pStyle w:val="73R"/>
              <w:rPr>
                <w:rtl/>
              </w:rPr>
            </w:pPr>
            <w:r w:rsidRPr="0011139E">
              <w:rPr>
                <w:rtl/>
              </w:rPr>
              <w:t>ייצוג משרד התחבורה במוסדות התכנון הארציים</w:t>
            </w:r>
          </w:p>
        </w:tc>
        <w:tc>
          <w:tcPr>
            <w:tcW w:w="998" w:type="dxa"/>
            <w:shd w:val="clear" w:color="auto" w:fill="F0F8F9"/>
          </w:tcPr>
          <w:p w:rsidR="008D3B84" w:rsidP="008D3B84" w14:paraId="05DD5A73" w14:textId="1FB1F909">
            <w:pPr>
              <w:pStyle w:val="73R"/>
              <w:rPr>
                <w:rtl/>
              </w:rPr>
            </w:pPr>
            <w:r w:rsidRPr="0011139E">
              <w:rPr>
                <w:rtl/>
              </w:rPr>
              <w:t xml:space="preserve">משרד התחבורה, משרד האוצר </w:t>
            </w:r>
            <w:r w:rsidRPr="0011139E">
              <w:rPr>
                <w:rtl/>
              </w:rPr>
              <w:t>ונש"ם</w:t>
            </w:r>
          </w:p>
        </w:tc>
        <w:tc>
          <w:tcPr>
            <w:tcW w:w="1984" w:type="dxa"/>
            <w:shd w:val="clear" w:color="auto" w:fill="F0F8F9"/>
          </w:tcPr>
          <w:p w:rsidR="008D3B84" w:rsidP="008D3B84" w14:paraId="17E3AD9E" w14:textId="5BB7C532">
            <w:pPr>
              <w:pStyle w:val="73R"/>
              <w:rPr>
                <w:rtl/>
              </w:rPr>
            </w:pPr>
            <w:r w:rsidRPr="0011139E">
              <w:rPr>
                <w:rtl/>
              </w:rPr>
              <w:t xml:space="preserve">במועד סיום הביקורת הקודמת, מרץ 2018, הועסקו באגף תכנון תחבורתי ארבעה עובדים שתפקידם העיקרי היה לייצג את שר התחבורה במוסדות התכנון השונים, ושישה עובדים אחרים ייצגו מדי פעם בפעם את השר במוסדות התכנון, אולם לא היה זה תפקידם העיקרי והם מילאו אותו נוסף על שאר תפקידיהם. היועצים המועסקים באמצעות </w:t>
            </w:r>
            <w:r w:rsidRPr="0011139E">
              <w:rPr>
                <w:rtl/>
              </w:rPr>
              <w:t>מת"ל</w:t>
            </w:r>
            <w:r w:rsidRPr="0011139E">
              <w:rPr>
                <w:rtl/>
              </w:rPr>
              <w:t xml:space="preserve"> מסייעים בין היתר לאגף תכנון תחבורתי לבחון היבטים תחבורתיים בתוכניות המוגשות לאישור מוסדות התכנון</w:t>
            </w:r>
          </w:p>
        </w:tc>
        <w:tc>
          <w:tcPr>
            <w:tcW w:w="584" w:type="dxa"/>
            <w:shd w:val="clear" w:color="auto" w:fill="F0F8F9"/>
          </w:tcPr>
          <w:p w:rsidR="008D3B84" w:rsidP="008D3B84" w14:paraId="148856F3" w14:textId="4A5798F8">
            <w:pPr>
              <w:pStyle w:val="73R"/>
              <w:rPr>
                <w:rtl/>
              </w:rPr>
            </w:pPr>
            <w:r w:rsidRPr="00973C85">
              <w:rPr>
                <w:noProof/>
                <w:rtl/>
              </w:rPr>
              <mc:AlternateContent>
                <mc:Choice Requires="wps">
                  <w:drawing>
                    <wp:anchor distT="0" distB="0" distL="114300" distR="114300" simplePos="0" relativeHeight="251716608" behindDoc="0" locked="0" layoutInCell="1" allowOverlap="1">
                      <wp:simplePos x="0" y="0"/>
                      <wp:positionH relativeFrom="column">
                        <wp:posOffset>-557530</wp:posOffset>
                      </wp:positionH>
                      <wp:positionV relativeFrom="paragraph">
                        <wp:posOffset>1147711</wp:posOffset>
                      </wp:positionV>
                      <wp:extent cx="831850" cy="223520"/>
                      <wp:effectExtent l="12700" t="12700" r="19050" b="17780"/>
                      <wp:wrapNone/>
                      <wp:docPr id="1732014526" name="חץ שמאלה 1732014526"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732014526" o:spid="_x0000_s1048" type="#_x0000_t66" alt="תוקן במידה מועטה" style="width:65.5pt;height:17.6pt;margin-top:90.35pt;margin-left:-43.9pt;mso-height-percent:0;mso-height-relative:margin;mso-width-percent:0;mso-width-relative:margin;mso-wrap-distance-bottom:0;mso-wrap-distance-left:9pt;mso-wrap-distance-right:9pt;mso-wrap-distance-top:0;mso-wrap-style:square;position:absolute;visibility:visible;v-text-anchor:middle;z-index:251717632" adj="2902" fillcolor="#ffc002" strokecolor="#ffc002" strokeweight="2pt"/>
                  </w:pict>
                </mc:Fallback>
              </mc:AlternateContent>
            </w:r>
            <w:r w:rsidRPr="00973C85">
              <w:rPr>
                <w:noProof/>
                <w:rtl/>
              </w:rPr>
              <mc:AlternateContent>
                <mc:Choice Requires="wps">
                  <w:drawing>
                    <wp:anchor distT="0" distB="0" distL="114300" distR="114300" simplePos="0" relativeHeight="251714560" behindDoc="0" locked="0" layoutInCell="1" allowOverlap="1">
                      <wp:simplePos x="0" y="0"/>
                      <wp:positionH relativeFrom="column">
                        <wp:posOffset>-558165</wp:posOffset>
                      </wp:positionH>
                      <wp:positionV relativeFrom="paragraph">
                        <wp:posOffset>-1153160</wp:posOffset>
                      </wp:positionV>
                      <wp:extent cx="831850" cy="223520"/>
                      <wp:effectExtent l="12700" t="12700" r="19050" b="17780"/>
                      <wp:wrapNone/>
                      <wp:docPr id="566181112" name="חץ שמאלה 56618111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a:off x="0" y="0"/>
                                <a:ext cx="831850"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66181112" o:spid="_x0000_s1049" type="#_x0000_t66" alt="תוקן במידה מועטה" style="width:65.5pt;height:17.6pt;margin-top:-90.8pt;margin-left:-43.95pt;mso-height-percent:0;mso-height-relative:margin;mso-width-percent:0;mso-width-relative:margin;mso-wrap-distance-bottom:0;mso-wrap-distance-left:9pt;mso-wrap-distance-right:9pt;mso-wrap-distance-top:0;mso-wrap-style:square;position:absolute;visibility:visible;v-text-anchor:middle;z-index:251715584" adj="2902" fillcolor="#ffc002" strokecolor="#ffc002" strokeweight="2pt"/>
                  </w:pict>
                </mc:Fallback>
              </mc:AlternateContent>
            </w:r>
          </w:p>
        </w:tc>
        <w:tc>
          <w:tcPr>
            <w:tcW w:w="758" w:type="dxa"/>
            <w:shd w:val="clear" w:color="auto" w:fill="F0F8F9"/>
          </w:tcPr>
          <w:p w:rsidR="008D3B84" w:rsidP="008D3B84" w14:paraId="4D7C65DE" w14:textId="0043FD18">
            <w:pPr>
              <w:pStyle w:val="73R"/>
              <w:rPr>
                <w:rtl/>
              </w:rPr>
            </w:pPr>
          </w:p>
        </w:tc>
        <w:tc>
          <w:tcPr>
            <w:tcW w:w="733" w:type="dxa"/>
            <w:shd w:val="clear" w:color="auto" w:fill="F0F8F9"/>
          </w:tcPr>
          <w:p w:rsidR="008D3B84" w:rsidP="008D3B84" w14:paraId="385CDB54" w14:textId="77777777">
            <w:pPr>
              <w:pStyle w:val="73R"/>
              <w:rPr>
                <w:rtl/>
              </w:rPr>
            </w:pPr>
          </w:p>
        </w:tc>
        <w:tc>
          <w:tcPr>
            <w:tcW w:w="685" w:type="dxa"/>
            <w:shd w:val="clear" w:color="auto" w:fill="F0F8F9"/>
          </w:tcPr>
          <w:p w:rsidR="008D3B84" w:rsidP="008D3B84" w14:paraId="5D56EBA6" w14:textId="77777777">
            <w:pPr>
              <w:pStyle w:val="73R"/>
              <w:rPr>
                <w:rtl/>
              </w:rPr>
            </w:pPr>
          </w:p>
        </w:tc>
      </w:tr>
      <w:tr w14:paraId="2F1DCF02" w14:textId="77777777" w:rsidTr="003E5AE8">
        <w:tblPrEx>
          <w:tblW w:w="7216" w:type="dxa"/>
          <w:tblInd w:w="397" w:type="dxa"/>
          <w:shd w:val="clear" w:color="auto" w:fill="DFECEF"/>
          <w:tblLook w:val="04A0"/>
        </w:tblPrEx>
        <w:tc>
          <w:tcPr>
            <w:tcW w:w="1474" w:type="dxa"/>
            <w:shd w:val="clear" w:color="auto" w:fill="DFECEF"/>
          </w:tcPr>
          <w:p w:rsidR="008D3B84" w:rsidP="008D3B84" w14:paraId="5B377114" w14:textId="4F74FE4E">
            <w:pPr>
              <w:pStyle w:val="73R"/>
              <w:rPr>
                <w:rtl/>
              </w:rPr>
            </w:pPr>
            <w:r w:rsidRPr="0011139E">
              <w:rPr>
                <w:rtl/>
              </w:rPr>
              <w:t xml:space="preserve">שיתוף נציגי משרד התחבורה בשלבים השונים של ההליך התכנוני </w:t>
            </w:r>
            <w:r w:rsidRPr="0011139E">
              <w:rPr>
                <w:rtl/>
              </w:rPr>
              <w:t>בוותמ"ל</w:t>
            </w:r>
          </w:p>
        </w:tc>
        <w:tc>
          <w:tcPr>
            <w:tcW w:w="998" w:type="dxa"/>
            <w:shd w:val="clear" w:color="auto" w:fill="DFECEF"/>
          </w:tcPr>
          <w:p w:rsidR="008D3B84" w:rsidP="008D3B84" w14:paraId="78F9EB0C" w14:textId="5D9B8BD8">
            <w:pPr>
              <w:pStyle w:val="73R"/>
              <w:rPr>
                <w:rtl/>
              </w:rPr>
            </w:pPr>
            <w:r w:rsidRPr="0011139E">
              <w:rPr>
                <w:rtl/>
              </w:rPr>
              <w:t xml:space="preserve">משרד התחבורה </w:t>
            </w:r>
          </w:p>
        </w:tc>
        <w:tc>
          <w:tcPr>
            <w:tcW w:w="1984" w:type="dxa"/>
            <w:shd w:val="clear" w:color="auto" w:fill="DFECEF"/>
          </w:tcPr>
          <w:p w:rsidR="008D3B84" w:rsidP="008D3B84" w14:paraId="26BB22F2" w14:textId="0C7BC1DC">
            <w:pPr>
              <w:pStyle w:val="73R"/>
              <w:rPr>
                <w:rtl/>
              </w:rPr>
            </w:pPr>
            <w:r w:rsidRPr="0011139E">
              <w:rPr>
                <w:rtl/>
              </w:rPr>
              <w:t xml:space="preserve">בביקורת הקודמת עלה כי </w:t>
            </w:r>
            <w:r w:rsidRPr="0011139E">
              <w:rPr>
                <w:rtl/>
              </w:rPr>
              <w:t xml:space="preserve">"נציגי </w:t>
            </w:r>
            <w:r w:rsidRPr="0011139E">
              <w:rPr>
                <w:rtl/>
              </w:rPr>
              <w:t>מת"ח</w:t>
            </w:r>
            <w:r w:rsidRPr="0011139E">
              <w:rPr>
                <w:rtl/>
              </w:rPr>
              <w:t xml:space="preserve"> מעלים פעמים רבות את השגותיהם לגבי תוכניות רק במסגרת דיון בהפקדה או במסגרת שלב הגשת ההתנגדויות, לאחר שוועדת התכנון הפקידה את התוכנית. לדוגמה, בשנת 2017 הגיש </w:t>
            </w:r>
            <w:r w:rsidRPr="0011139E">
              <w:rPr>
                <w:rtl/>
              </w:rPr>
              <w:t>מת"ח</w:t>
            </w:r>
            <w:r w:rsidRPr="0011139E">
              <w:rPr>
                <w:rtl/>
              </w:rPr>
              <w:t xml:space="preserve"> התנגדות </w:t>
            </w:r>
            <w:r w:rsidRPr="0011139E">
              <w:rPr>
                <w:rtl/>
              </w:rPr>
              <w:t>לתמ"ל</w:t>
            </w:r>
            <w:r>
              <w:rPr>
                <w:vertAlign w:val="superscript"/>
                <w:rtl/>
              </w:rPr>
              <w:footnoteReference w:id="3"/>
            </w:r>
            <w:r w:rsidRPr="0011139E">
              <w:rPr>
                <w:rtl/>
              </w:rPr>
              <w:t xml:space="preserve"> 1046 להקמת שכונה באור יהודה, ובשנת 2018 הגיש התנגדות </w:t>
            </w:r>
            <w:r w:rsidRPr="0011139E">
              <w:rPr>
                <w:rtl/>
              </w:rPr>
              <w:t>לתמ"ל</w:t>
            </w:r>
            <w:r w:rsidRPr="0011139E">
              <w:rPr>
                <w:rtl/>
              </w:rPr>
              <w:t xml:space="preserve"> 1045 להקמת שכונה בבני ברק. לעיתים קרובות השגותיהם נוגעות לנושאים מהותיים, שהיה ראוי שיטופלו בשלבים מוקדמים יותר של הליך התכנון"</w:t>
            </w:r>
          </w:p>
        </w:tc>
        <w:tc>
          <w:tcPr>
            <w:tcW w:w="584" w:type="dxa"/>
            <w:shd w:val="clear" w:color="auto" w:fill="DFECEF"/>
          </w:tcPr>
          <w:p w:rsidR="008D3B84" w:rsidP="008D3B84" w14:paraId="743873DB" w14:textId="43C3D3A5">
            <w:pPr>
              <w:pStyle w:val="73R"/>
              <w:rPr>
                <w:rtl/>
              </w:rPr>
            </w:pPr>
          </w:p>
        </w:tc>
        <w:tc>
          <w:tcPr>
            <w:tcW w:w="758" w:type="dxa"/>
            <w:shd w:val="clear" w:color="auto" w:fill="DFECEF"/>
          </w:tcPr>
          <w:p w:rsidR="008D3B84" w:rsidP="008D3B84" w14:paraId="34C17F83" w14:textId="4A9B26B3">
            <w:pPr>
              <w:pStyle w:val="73R"/>
              <w:rPr>
                <w:rtl/>
              </w:rPr>
            </w:pPr>
            <w:r w:rsidRPr="00973C85">
              <w:rPr>
                <w:noProof/>
                <w:rtl/>
              </w:rPr>
              <mc:AlternateContent>
                <mc:Choice Requires="wps">
                  <w:drawing>
                    <wp:anchor distT="0" distB="0" distL="114300" distR="114300" simplePos="0" relativeHeight="251724800" behindDoc="0" locked="0" layoutInCell="1" allowOverlap="1">
                      <wp:simplePos x="0" y="0"/>
                      <wp:positionH relativeFrom="column">
                        <wp:posOffset>-496263</wp:posOffset>
                      </wp:positionH>
                      <wp:positionV relativeFrom="paragraph">
                        <wp:posOffset>1217869</wp:posOffset>
                      </wp:positionV>
                      <wp:extent cx="1259205" cy="223520"/>
                      <wp:effectExtent l="12700" t="12700" r="10795" b="17780"/>
                      <wp:wrapNone/>
                      <wp:docPr id="1602749000" name="חץ שמאלה 1602749000"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02749000" o:spid="_x0000_s1050" type="#_x0000_t66" alt="תוקן במידה רבה" style="width:99.15pt;height:17.6pt;margin-top:95.9pt;margin-left:-39.1pt;mso-height-percent:0;mso-height-relative:margin;mso-width-percent:0;mso-width-relative:margin;mso-wrap-distance-bottom:0;mso-wrap-distance-left:9pt;mso-wrap-distance-right:9pt;mso-wrap-distance-top:0;mso-wrap-style:square;position:absolute;visibility:visible;v-text-anchor:middle;z-index:251725824" adj="1917" fillcolor="#fdf000" strokecolor="#fdf000" strokeweight="2pt"/>
                  </w:pict>
                </mc:Fallback>
              </mc:AlternateContent>
            </w:r>
          </w:p>
        </w:tc>
        <w:tc>
          <w:tcPr>
            <w:tcW w:w="733" w:type="dxa"/>
            <w:shd w:val="clear" w:color="auto" w:fill="DFECEF"/>
          </w:tcPr>
          <w:p w:rsidR="008D3B84" w:rsidP="008D3B84" w14:paraId="7E458E3E" w14:textId="77777777">
            <w:pPr>
              <w:pStyle w:val="73R"/>
              <w:rPr>
                <w:rtl/>
              </w:rPr>
            </w:pPr>
          </w:p>
        </w:tc>
        <w:tc>
          <w:tcPr>
            <w:tcW w:w="685" w:type="dxa"/>
            <w:shd w:val="clear" w:color="auto" w:fill="DFECEF"/>
          </w:tcPr>
          <w:p w:rsidR="008D3B84" w:rsidP="008D3B84" w14:paraId="4D6ECF91" w14:textId="77777777">
            <w:pPr>
              <w:pStyle w:val="73R"/>
              <w:rPr>
                <w:rtl/>
              </w:rPr>
            </w:pPr>
          </w:p>
        </w:tc>
      </w:tr>
      <w:tr w14:paraId="4EBBEDBA" w14:textId="77777777" w:rsidTr="008D3B84">
        <w:tblPrEx>
          <w:tblW w:w="7216" w:type="dxa"/>
          <w:tblInd w:w="397" w:type="dxa"/>
          <w:shd w:val="clear" w:color="auto" w:fill="DFECEF"/>
          <w:tblLook w:val="04A0"/>
        </w:tblPrEx>
        <w:tc>
          <w:tcPr>
            <w:tcW w:w="1474" w:type="dxa"/>
            <w:shd w:val="clear" w:color="auto" w:fill="F0F8F9"/>
          </w:tcPr>
          <w:p w:rsidR="008D3B84" w:rsidRPr="00F6117F" w:rsidP="008D3B84" w14:paraId="4276E20D" w14:textId="1376F2ED">
            <w:pPr>
              <w:pStyle w:val="73R"/>
              <w:rPr>
                <w:rtl/>
              </w:rPr>
            </w:pPr>
            <w:r w:rsidRPr="0011139E">
              <w:rPr>
                <w:rtl/>
              </w:rPr>
              <w:t xml:space="preserve">מתן משקל לעמדות משרד התחבורה במסגרת דיוני התכנון </w:t>
            </w:r>
            <w:r w:rsidRPr="0011139E">
              <w:rPr>
                <w:rtl/>
              </w:rPr>
              <w:t>בוותמ"ל</w:t>
            </w:r>
          </w:p>
        </w:tc>
        <w:tc>
          <w:tcPr>
            <w:tcW w:w="998" w:type="dxa"/>
            <w:shd w:val="clear" w:color="auto" w:fill="F0F8F9"/>
          </w:tcPr>
          <w:p w:rsidR="008D3B84" w:rsidRPr="00F6117F" w:rsidP="008D3B84" w14:paraId="65CAD7B9" w14:textId="55522A3A">
            <w:pPr>
              <w:pStyle w:val="73R"/>
              <w:rPr>
                <w:rtl/>
              </w:rPr>
            </w:pPr>
            <w:r w:rsidRPr="0011139E">
              <w:rPr>
                <w:rtl/>
              </w:rPr>
              <w:t xml:space="preserve">משרד התחבורה </w:t>
            </w:r>
            <w:r w:rsidRPr="0011139E">
              <w:rPr>
                <w:rtl/>
              </w:rPr>
              <w:t>והוותמ"ל</w:t>
            </w:r>
          </w:p>
        </w:tc>
        <w:tc>
          <w:tcPr>
            <w:tcW w:w="1984" w:type="dxa"/>
            <w:shd w:val="clear" w:color="auto" w:fill="F0F8F9"/>
          </w:tcPr>
          <w:p w:rsidR="008D3B84" w:rsidRPr="00F6117F" w:rsidP="008D3B84" w14:paraId="31C2CD98" w14:textId="7CB0841A">
            <w:pPr>
              <w:pStyle w:val="73R"/>
              <w:rPr>
                <w:rtl/>
              </w:rPr>
            </w:pPr>
            <w:r w:rsidRPr="0011139E">
              <w:rPr>
                <w:rtl/>
              </w:rPr>
              <w:t xml:space="preserve">בדוח הביקורת הקודם עלה כי "משרד מבקר המדינה מצא מקרים שבהם העלו נציגי </w:t>
            </w:r>
            <w:r w:rsidRPr="0011139E">
              <w:rPr>
                <w:rtl/>
              </w:rPr>
              <w:t>מת"ח</w:t>
            </w:r>
            <w:r w:rsidRPr="0011139E">
              <w:rPr>
                <w:rtl/>
              </w:rPr>
              <w:t xml:space="preserve"> בשלב הדיון בהפקדה הערות לגבי התוכניות שהוגשו, והועלו פערים בין נציגי </w:t>
            </w:r>
            <w:r w:rsidRPr="0011139E">
              <w:rPr>
                <w:rtl/>
              </w:rPr>
              <w:t>מת"ח</w:t>
            </w:r>
            <w:r w:rsidRPr="0011139E">
              <w:rPr>
                <w:rtl/>
              </w:rPr>
              <w:t xml:space="preserve"> לבין נציגי מגישי התוכנית או היועץ התחבורתי של הוועדה. בין היתר ביקשו נציגי משרד התחבורה לבצע בדיקות מקיפות יותר של השפעות התוכניות, להגדיל שטחים שהוקצו להקמת מתקני </w:t>
            </w:r>
            <w:r w:rsidRPr="0011139E">
              <w:rPr>
                <w:rtl/>
              </w:rPr>
              <w:t>תח"צ</w:t>
            </w:r>
            <w:r w:rsidRPr="0011139E">
              <w:rPr>
                <w:rtl/>
              </w:rPr>
              <w:t xml:space="preserve">, לבצע תיאומים עם </w:t>
            </w:r>
            <w:r w:rsidRPr="0011139E">
              <w:rPr>
                <w:rtl/>
              </w:rPr>
              <w:t>מת"ח</w:t>
            </w:r>
            <w:r w:rsidRPr="0011139E">
              <w:rPr>
                <w:rtl/>
              </w:rPr>
              <w:t xml:space="preserve"> ועם גורמים הקשורים אליו ולהוסיף בתוכנית שלביות והתניות של קידום תוכניות הבנייה במתן פתרונות תחבורתיים</w:t>
            </w:r>
          </w:p>
        </w:tc>
        <w:tc>
          <w:tcPr>
            <w:tcW w:w="584" w:type="dxa"/>
            <w:shd w:val="clear" w:color="auto" w:fill="F0F8F9"/>
          </w:tcPr>
          <w:p w:rsidR="008D3B84" w:rsidP="008D3B84" w14:paraId="1955FD96" w14:textId="47630A4F">
            <w:pPr>
              <w:pStyle w:val="73R"/>
              <w:rPr>
                <w:rtl/>
              </w:rPr>
            </w:pPr>
          </w:p>
        </w:tc>
        <w:tc>
          <w:tcPr>
            <w:tcW w:w="758" w:type="dxa"/>
            <w:shd w:val="clear" w:color="auto" w:fill="F0F8F9"/>
          </w:tcPr>
          <w:p w:rsidR="008D3B84" w:rsidP="008D3B84" w14:paraId="12EE3445" w14:textId="3D8F40B5">
            <w:pPr>
              <w:pStyle w:val="73R"/>
              <w:rPr>
                <w:rtl/>
              </w:rPr>
            </w:pPr>
            <w:r w:rsidRPr="00973C85">
              <w:rPr>
                <w:noProof/>
                <w:rtl/>
              </w:rPr>
              <mc:AlternateContent>
                <mc:Choice Requires="wps">
                  <w:drawing>
                    <wp:anchor distT="0" distB="0" distL="114300" distR="114300" simplePos="0" relativeHeight="251718656" behindDoc="0" locked="0" layoutInCell="1" allowOverlap="1">
                      <wp:simplePos x="0" y="0"/>
                      <wp:positionH relativeFrom="column">
                        <wp:posOffset>-495915</wp:posOffset>
                      </wp:positionH>
                      <wp:positionV relativeFrom="paragraph">
                        <wp:posOffset>1146667</wp:posOffset>
                      </wp:positionV>
                      <wp:extent cx="1259205" cy="223520"/>
                      <wp:effectExtent l="12700" t="12700" r="10795" b="17780"/>
                      <wp:wrapNone/>
                      <wp:docPr id="545719475" name="חץ שמאלה 545719475"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45719475" o:spid="_x0000_s1051" type="#_x0000_t66" alt="תוקן במידה רבה" style="width:99.15pt;height:17.6pt;margin-top:90.3pt;margin-left:-39.05pt;mso-height-percent:0;mso-height-relative:margin;mso-width-percent:0;mso-width-relative:margin;mso-wrap-distance-bottom:0;mso-wrap-distance-left:9pt;mso-wrap-distance-right:9pt;mso-wrap-distance-top:0;mso-wrap-style:square;position:absolute;visibility:visible;v-text-anchor:middle;z-index:251719680" adj="1917" fillcolor="#fdf000" strokecolor="#fdf000" strokeweight="2pt"/>
                  </w:pict>
                </mc:Fallback>
              </mc:AlternateContent>
            </w:r>
          </w:p>
        </w:tc>
        <w:tc>
          <w:tcPr>
            <w:tcW w:w="733" w:type="dxa"/>
            <w:shd w:val="clear" w:color="auto" w:fill="F0F8F9"/>
          </w:tcPr>
          <w:p w:rsidR="008D3B84" w:rsidP="008D3B84" w14:paraId="5757E733" w14:textId="77777777">
            <w:pPr>
              <w:pStyle w:val="73R"/>
              <w:rPr>
                <w:rtl/>
              </w:rPr>
            </w:pPr>
          </w:p>
        </w:tc>
        <w:tc>
          <w:tcPr>
            <w:tcW w:w="685" w:type="dxa"/>
            <w:shd w:val="clear" w:color="auto" w:fill="F0F8F9"/>
          </w:tcPr>
          <w:p w:rsidR="008D3B84" w:rsidP="008D3B84" w14:paraId="624D68D7" w14:textId="77777777">
            <w:pPr>
              <w:pStyle w:val="73R"/>
              <w:rPr>
                <w:rtl/>
              </w:rPr>
            </w:pPr>
          </w:p>
        </w:tc>
      </w:tr>
      <w:tr w14:paraId="36A93B64" w14:textId="77777777" w:rsidTr="008D3B84">
        <w:tblPrEx>
          <w:tblW w:w="7216" w:type="dxa"/>
          <w:tblInd w:w="397" w:type="dxa"/>
          <w:shd w:val="clear" w:color="auto" w:fill="DFECEF"/>
          <w:tblLook w:val="04A0"/>
        </w:tblPrEx>
        <w:tc>
          <w:tcPr>
            <w:tcW w:w="1474" w:type="dxa"/>
            <w:shd w:val="clear" w:color="auto" w:fill="E0EDF0"/>
          </w:tcPr>
          <w:p w:rsidR="008D3B84" w:rsidRPr="0011139E" w:rsidP="008D3B84" w14:paraId="4C420829" w14:textId="0F73920F">
            <w:pPr>
              <w:pStyle w:val="73R"/>
              <w:rPr>
                <w:rtl/>
              </w:rPr>
            </w:pPr>
            <w:r w:rsidRPr="0011139E">
              <w:rPr>
                <w:rtl/>
              </w:rPr>
              <w:t xml:space="preserve">תכנון שימושי הקרקע בקרבת אמצעי </w:t>
            </w:r>
            <w:r w:rsidRPr="0011139E">
              <w:rPr>
                <w:rtl/>
              </w:rPr>
              <w:t>תח"צ</w:t>
            </w:r>
          </w:p>
        </w:tc>
        <w:tc>
          <w:tcPr>
            <w:tcW w:w="998" w:type="dxa"/>
            <w:shd w:val="clear" w:color="auto" w:fill="E0EDF0"/>
          </w:tcPr>
          <w:p w:rsidR="008D3B84" w:rsidRPr="0011139E" w:rsidP="008D3B84" w14:paraId="1C3FFB7E" w14:textId="5FB70B9C">
            <w:pPr>
              <w:pStyle w:val="73R"/>
              <w:rPr>
                <w:rtl/>
              </w:rPr>
            </w:pPr>
            <w:r w:rsidRPr="0011139E">
              <w:rPr>
                <w:rtl/>
              </w:rPr>
              <w:t xml:space="preserve">משרד התחבורה </w:t>
            </w:r>
            <w:r w:rsidRPr="0011139E">
              <w:rPr>
                <w:rtl/>
              </w:rPr>
              <w:t>והוותמ"ל</w:t>
            </w:r>
            <w:r w:rsidRPr="0011139E">
              <w:rPr>
                <w:rtl/>
              </w:rPr>
              <w:t xml:space="preserve"> </w:t>
            </w:r>
          </w:p>
        </w:tc>
        <w:tc>
          <w:tcPr>
            <w:tcW w:w="1984" w:type="dxa"/>
            <w:shd w:val="clear" w:color="auto" w:fill="E0EDF0"/>
          </w:tcPr>
          <w:p w:rsidR="008D3B84" w:rsidRPr="0011139E" w:rsidP="008D3B84" w14:paraId="5D9FC825" w14:textId="0B40A88B">
            <w:pPr>
              <w:pStyle w:val="73R"/>
              <w:rPr>
                <w:rtl/>
              </w:rPr>
            </w:pPr>
            <w:r w:rsidRPr="0011139E">
              <w:rPr>
                <w:rtl/>
              </w:rPr>
              <w:t xml:space="preserve">בביקורת הקודמת נמצאו תוכניות שלגביהן העיקרון של  שילוב נכון בין ייעודי קרקע ואמצעי </w:t>
            </w:r>
            <w:r w:rsidRPr="0011139E">
              <w:rPr>
                <w:rtl/>
              </w:rPr>
              <w:t>התח"צ</w:t>
            </w:r>
            <w:r w:rsidRPr="0011139E">
              <w:rPr>
                <w:rtl/>
              </w:rPr>
              <w:t xml:space="preserve"> לא התקיים, בהן </w:t>
            </w:r>
            <w:r w:rsidRPr="0011139E">
              <w:rPr>
                <w:rtl/>
              </w:rPr>
              <w:t>תמ"ל</w:t>
            </w:r>
            <w:r w:rsidRPr="0011139E">
              <w:rPr>
                <w:rtl/>
              </w:rPr>
              <w:t xml:space="preserve"> 1046 להקמת שכונה חדשה בדרום-מערב אור יהודה, </w:t>
            </w:r>
            <w:r w:rsidRPr="0011139E">
              <w:rPr>
                <w:rtl/>
              </w:rPr>
              <w:t>ותמ"ל</w:t>
            </w:r>
            <w:r w:rsidRPr="0011139E">
              <w:rPr>
                <w:rtl/>
              </w:rPr>
              <w:t xml:space="preserve"> 1023 להקמת שכונה חדשה בדרום-מזרח רמת גן</w:t>
            </w:r>
          </w:p>
        </w:tc>
        <w:tc>
          <w:tcPr>
            <w:tcW w:w="584" w:type="dxa"/>
            <w:shd w:val="clear" w:color="auto" w:fill="E0EDF0"/>
          </w:tcPr>
          <w:p w:rsidR="008D3B84" w:rsidP="008D3B84" w14:paraId="55CE1632" w14:textId="61706FEA">
            <w:pPr>
              <w:pStyle w:val="73R"/>
              <w:rPr>
                <w:rtl/>
              </w:rPr>
            </w:pPr>
          </w:p>
        </w:tc>
        <w:tc>
          <w:tcPr>
            <w:tcW w:w="758" w:type="dxa"/>
            <w:shd w:val="clear" w:color="auto" w:fill="E0EDF0"/>
          </w:tcPr>
          <w:p w:rsidR="008D3B84" w:rsidP="008D3B84" w14:paraId="5E366570" w14:textId="3182492A">
            <w:pPr>
              <w:pStyle w:val="73R"/>
              <w:rPr>
                <w:rtl/>
              </w:rPr>
            </w:pPr>
            <w:r w:rsidRPr="00973C85">
              <w:rPr>
                <w:noProof/>
                <w:rtl/>
              </w:rPr>
              <mc:AlternateContent>
                <mc:Choice Requires="wps">
                  <w:drawing>
                    <wp:anchor distT="0" distB="0" distL="114300" distR="114300" simplePos="0" relativeHeight="251720704" behindDoc="0" locked="0" layoutInCell="1" allowOverlap="1">
                      <wp:simplePos x="0" y="0"/>
                      <wp:positionH relativeFrom="column">
                        <wp:posOffset>-511012</wp:posOffset>
                      </wp:positionH>
                      <wp:positionV relativeFrom="paragraph">
                        <wp:posOffset>539443</wp:posOffset>
                      </wp:positionV>
                      <wp:extent cx="1259205" cy="223520"/>
                      <wp:effectExtent l="12700" t="12700" r="10795" b="17780"/>
                      <wp:wrapNone/>
                      <wp:docPr id="1181094757" name="חץ שמאלה 11810947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81094757" o:spid="_x0000_s1052" type="#_x0000_t66" alt="תוקן במידה רבה" style="width:99.15pt;height:17.6pt;margin-top:42.5pt;margin-left:-40.25pt;mso-height-percent:0;mso-height-relative:margin;mso-width-percent:0;mso-width-relative:margin;mso-wrap-distance-bottom:0;mso-wrap-distance-left:9pt;mso-wrap-distance-right:9pt;mso-wrap-distance-top:0;mso-wrap-style:square;position:absolute;visibility:visible;v-text-anchor:middle;z-index:251721728" adj="1917" fillcolor="#fdf000" strokecolor="#fdf000" strokeweight="2pt"/>
                  </w:pict>
                </mc:Fallback>
              </mc:AlternateContent>
            </w:r>
          </w:p>
        </w:tc>
        <w:tc>
          <w:tcPr>
            <w:tcW w:w="733" w:type="dxa"/>
            <w:shd w:val="clear" w:color="auto" w:fill="E0EDF0"/>
          </w:tcPr>
          <w:p w:rsidR="008D3B84" w:rsidP="008D3B84" w14:paraId="67DE5B64" w14:textId="77777777">
            <w:pPr>
              <w:pStyle w:val="73R"/>
              <w:rPr>
                <w:rtl/>
              </w:rPr>
            </w:pPr>
          </w:p>
        </w:tc>
        <w:tc>
          <w:tcPr>
            <w:tcW w:w="685" w:type="dxa"/>
            <w:shd w:val="clear" w:color="auto" w:fill="E0EDF0"/>
          </w:tcPr>
          <w:p w:rsidR="008D3B84" w:rsidP="008D3B84" w14:paraId="58650622" w14:textId="77777777">
            <w:pPr>
              <w:pStyle w:val="73R"/>
              <w:rPr>
                <w:rtl/>
              </w:rPr>
            </w:pPr>
          </w:p>
        </w:tc>
      </w:tr>
      <w:tr w14:paraId="33F50B39" w14:textId="77777777" w:rsidTr="008D3B84">
        <w:tblPrEx>
          <w:tblW w:w="7216" w:type="dxa"/>
          <w:tblInd w:w="397" w:type="dxa"/>
          <w:shd w:val="clear" w:color="auto" w:fill="DFECEF"/>
          <w:tblLook w:val="04A0"/>
        </w:tblPrEx>
        <w:tc>
          <w:tcPr>
            <w:tcW w:w="1474" w:type="dxa"/>
            <w:shd w:val="clear" w:color="auto" w:fill="F0F8F9"/>
          </w:tcPr>
          <w:p w:rsidR="008D3B84" w:rsidRPr="0011139E" w:rsidP="008D3B84" w14:paraId="15583A88" w14:textId="58F82E86">
            <w:pPr>
              <w:pStyle w:val="73R"/>
              <w:rPr>
                <w:rtl/>
              </w:rPr>
            </w:pPr>
            <w:r w:rsidRPr="0011139E">
              <w:rPr>
                <w:rtl/>
              </w:rPr>
              <w:t>סנכרון בין יישום תוכניות בנייה לבין יישום פרויקטים תחבורתיים</w:t>
            </w:r>
          </w:p>
        </w:tc>
        <w:tc>
          <w:tcPr>
            <w:tcW w:w="998" w:type="dxa"/>
            <w:shd w:val="clear" w:color="auto" w:fill="F0F8F9"/>
          </w:tcPr>
          <w:p w:rsidR="008D3B84" w:rsidRPr="0011139E" w:rsidP="008D3B84" w14:paraId="74CA26A8" w14:textId="441DBBF9">
            <w:pPr>
              <w:pStyle w:val="73R"/>
              <w:rPr>
                <w:rtl/>
              </w:rPr>
            </w:pPr>
            <w:r w:rsidRPr="0011139E">
              <w:rPr>
                <w:rtl/>
              </w:rPr>
              <w:t>משרד התחבורה</w:t>
            </w:r>
          </w:p>
        </w:tc>
        <w:tc>
          <w:tcPr>
            <w:tcW w:w="1984" w:type="dxa"/>
            <w:shd w:val="clear" w:color="auto" w:fill="F0F8F9"/>
          </w:tcPr>
          <w:p w:rsidR="008D3B84" w:rsidRPr="0011139E" w:rsidP="008D3B84" w14:paraId="0A39DE2A" w14:textId="0505F894">
            <w:pPr>
              <w:pStyle w:val="73R"/>
              <w:rPr>
                <w:rtl/>
              </w:rPr>
            </w:pPr>
            <w:r w:rsidRPr="0011139E">
              <w:rPr>
                <w:rtl/>
              </w:rPr>
              <w:t>בדוח הביקורת הקודם נמצאו דוגמאות למקרים שבהם לא קודם יישומם של פרויקטים תחבורתיים בד בבד עם קידום תוכניות הבנייה. הדוגמאות הציגו את הבעיות שהתעוררו לפני תושבי ראש העין וחריש בגלל היעדר סנכרון בין יישום תוכניות הבנייה לבין יישום הפרויקטים התחבורתיים החיוניים לשירות תושבים</w:t>
            </w:r>
          </w:p>
        </w:tc>
        <w:tc>
          <w:tcPr>
            <w:tcW w:w="584" w:type="dxa"/>
            <w:shd w:val="clear" w:color="auto" w:fill="F0F8F9"/>
          </w:tcPr>
          <w:p w:rsidR="008D3B84" w:rsidP="008D3B84" w14:paraId="690CB0B8" w14:textId="42D4F9D5">
            <w:pPr>
              <w:pStyle w:val="73R"/>
              <w:rPr>
                <w:rtl/>
              </w:rPr>
            </w:pPr>
          </w:p>
        </w:tc>
        <w:tc>
          <w:tcPr>
            <w:tcW w:w="758" w:type="dxa"/>
            <w:shd w:val="clear" w:color="auto" w:fill="F0F8F9"/>
          </w:tcPr>
          <w:p w:rsidR="008D3B84" w:rsidP="008D3B84" w14:paraId="26E47D47" w14:textId="7F8148D3">
            <w:pPr>
              <w:pStyle w:val="73R"/>
              <w:rPr>
                <w:rtl/>
              </w:rPr>
            </w:pPr>
            <w:r w:rsidRPr="00973C85">
              <w:rPr>
                <w:noProof/>
                <w:rtl/>
              </w:rPr>
              <mc:AlternateContent>
                <mc:Choice Requires="wps">
                  <w:drawing>
                    <wp:anchor distT="0" distB="0" distL="114300" distR="114300" simplePos="0" relativeHeight="251722752" behindDoc="0" locked="0" layoutInCell="1" allowOverlap="1">
                      <wp:simplePos x="0" y="0"/>
                      <wp:positionH relativeFrom="column">
                        <wp:posOffset>-511011</wp:posOffset>
                      </wp:positionH>
                      <wp:positionV relativeFrom="paragraph">
                        <wp:posOffset>700405</wp:posOffset>
                      </wp:positionV>
                      <wp:extent cx="1259205" cy="223520"/>
                      <wp:effectExtent l="12700" t="12700" r="10795" b="17780"/>
                      <wp:wrapNone/>
                      <wp:docPr id="1101033231" name="חץ שמאלה 1101033231"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01033231" o:spid="_x0000_s1053" type="#_x0000_t66" alt="תוקן במידה רבה" style="width:99.15pt;height:17.6pt;margin-top:55.15pt;margin-left:-40.25pt;mso-height-percent:0;mso-height-relative:margin;mso-width-percent:0;mso-width-relative:margin;mso-wrap-distance-bottom:0;mso-wrap-distance-left:9pt;mso-wrap-distance-right:9pt;mso-wrap-distance-top:0;mso-wrap-style:square;position:absolute;visibility:visible;v-text-anchor:middle;z-index:251723776" adj="1917" fillcolor="#fdf000" strokecolor="#fdf000" strokeweight="2pt"/>
                  </w:pict>
                </mc:Fallback>
              </mc:AlternateContent>
            </w:r>
          </w:p>
        </w:tc>
        <w:tc>
          <w:tcPr>
            <w:tcW w:w="733" w:type="dxa"/>
            <w:shd w:val="clear" w:color="auto" w:fill="F0F8F9"/>
          </w:tcPr>
          <w:p w:rsidR="008D3B84" w:rsidP="008D3B84" w14:paraId="26A6DEFE" w14:textId="77777777">
            <w:pPr>
              <w:pStyle w:val="73R"/>
              <w:rPr>
                <w:rtl/>
              </w:rPr>
            </w:pPr>
          </w:p>
        </w:tc>
        <w:tc>
          <w:tcPr>
            <w:tcW w:w="685" w:type="dxa"/>
            <w:shd w:val="clear" w:color="auto" w:fill="F0F8F9"/>
          </w:tcPr>
          <w:p w:rsidR="008D3B84" w:rsidP="008D3B84" w14:paraId="6AC573B6" w14:textId="77777777">
            <w:pPr>
              <w:pStyle w:val="73R"/>
              <w:rPr>
                <w:rtl/>
              </w:rPr>
            </w:pPr>
          </w:p>
        </w:tc>
      </w:tr>
    </w:tbl>
    <w:p w:rsidR="008D3B84" w:rsidP="000B31AA" w14:paraId="5C1AE375" w14:textId="0F8074C7">
      <w:pPr>
        <w:pStyle w:val="7317"/>
        <w:rPr>
          <w:rtl/>
        </w:rPr>
      </w:pP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824371">
          <w:headerReference w:type="even" r:id="rId29"/>
          <w:footerReference w:type="even" r:id="rId30"/>
          <w:pgSz w:w="11906" w:h="16838" w:code="9"/>
          <w:pgMar w:top="3062" w:right="2268" w:bottom="2552" w:left="2268" w:header="1134" w:footer="1361" w:gutter="0"/>
          <w:pgNumType w:start="131"/>
          <w:cols w:space="708"/>
          <w:bidi/>
          <w:rtlGutter/>
          <w:docGrid w:linePitch="360"/>
        </w:sectPr>
      </w:pPr>
    </w:p>
    <w:p w:rsidR="00D57BE9" w:rsidRPr="00E56C7E" w:rsidP="00824371" w14:paraId="3D558F60" w14:textId="00600221">
      <w:pPr>
        <w:pStyle w:val="731"/>
        <w:bidi/>
        <w:rPr>
          <w:rtl/>
        </w:rPr>
      </w:pPr>
      <w:bookmarkStart w:id="2" w:name="_Hlk130481837"/>
      <w:r w:rsidRPr="00E56C7E">
        <w:rPr>
          <w:highlight w:val="cyan"/>
          <w:rtl/>
        </w:rPr>
        <w:t xml:space="preserve"> </w:t>
      </w:r>
      <w:bookmarkEnd w:id="2"/>
    </w:p>
    <w:sectPr w:rsidSect="00F35B8C">
      <w:headerReference w:type="default" r:id="rId31"/>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142AF" w14:paraId="1B903CD9" w14:textId="77777777">
      <w:pPr>
        <w:spacing w:line="240" w:lineRule="auto"/>
      </w:pPr>
      <w:r>
        <w:separator/>
      </w:r>
    </w:p>
    <w:p w:rsidR="00B142AF" w14:paraId="077B1CD0" w14:textId="77777777"/>
    <w:p w:rsidR="00B142AF" w14:paraId="190D1216" w14:textId="77777777"/>
    <w:p w:rsidR="00B142AF" w14:paraId="257B8426" w14:textId="77777777"/>
  </w:endnote>
  <w:endnote w:type="continuationSeparator" w:id="1">
    <w:p w:rsidR="00B142AF" w14:paraId="4B51B5DB" w14:textId="77777777">
      <w:pPr>
        <w:spacing w:line="240" w:lineRule="auto"/>
      </w:pPr>
      <w:r>
        <w:continuationSeparator/>
      </w:r>
    </w:p>
    <w:p w:rsidR="00B142AF" w14:paraId="18BA6C8D" w14:textId="77777777"/>
    <w:p w:rsidR="00B142AF" w14:paraId="42E31678" w14:textId="77777777"/>
    <w:p w:rsidR="00B142AF" w14:paraId="1CE1CAB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4807" w14:paraId="463AC5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4807" w14:paraId="7646CFD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142AF" w:rsidP="00E7235E" w14:paraId="671B6B52" w14:textId="77777777">
      <w:pPr>
        <w:spacing w:line="240" w:lineRule="auto"/>
      </w:pPr>
      <w:r>
        <w:separator/>
      </w:r>
    </w:p>
  </w:footnote>
  <w:footnote w:type="continuationSeparator" w:id="1">
    <w:p w:rsidR="00B142AF" w:rsidP="00C23CC9" w14:paraId="388B2ECE" w14:textId="77777777">
      <w:pPr>
        <w:spacing w:line="240" w:lineRule="auto"/>
      </w:pPr>
      <w:r>
        <w:continuationSeparator/>
      </w:r>
    </w:p>
    <w:p w:rsidR="00B142AF" w14:paraId="4E8F5F77" w14:textId="77777777"/>
    <w:p w:rsidR="00B142AF" w14:paraId="6D4E2EC5" w14:textId="77777777"/>
    <w:p w:rsidR="00B142AF" w14:paraId="6B6533E6" w14:textId="77777777"/>
  </w:footnote>
  <w:footnote w:id="2">
    <w:p w:rsidR="00590377" w:rsidRPr="00590377" w:rsidP="00E56C7E" w14:paraId="34AA35D6" w14:textId="77777777">
      <w:pPr>
        <w:pStyle w:val="712"/>
      </w:pPr>
      <w:r w:rsidRPr="00590377">
        <w:rPr>
          <w:rStyle w:val="FootnoteReference2"/>
          <w:vertAlign w:val="baseline"/>
        </w:rPr>
        <w:footnoteRef/>
      </w:r>
      <w:r w:rsidRPr="00590377">
        <w:rPr>
          <w:rtl/>
        </w:rPr>
        <w:t xml:space="preserve"> </w:t>
      </w:r>
      <w:bookmarkStart w:id="1" w:name="_Hlk130386110"/>
      <w:r w:rsidRPr="00590377">
        <w:rPr>
          <w:rtl/>
        </w:rPr>
        <w:tab/>
        <w:t>בחוק לקידום הבנייה במתחמים מועדפים לדיור (הוראת שעה) (תיקון מס' 7), התשפ"א-2021, שונה שם הוועדה מ"הוועדה הארצית לתכנון ולבנייה של מתחמים מועדפים לדיור" ל"הוועדה הארצית לתכנון ולבנייה של מתחמים מועדפים".</w:t>
      </w:r>
      <w:bookmarkEnd w:id="1"/>
    </w:p>
  </w:footnote>
  <w:footnote w:id="3">
    <w:p w:rsidR="008D3B84" w:rsidRPr="005C3A8C" w:rsidP="00E56C7E" w14:paraId="05EDEBAD" w14:textId="77777777">
      <w:pPr>
        <w:pStyle w:val="712"/>
        <w:rPr>
          <w:sz w:val="16"/>
          <w:szCs w:val="16"/>
          <w:rtl/>
        </w:rPr>
      </w:pPr>
      <w:r w:rsidRPr="00A96E0E">
        <w:footnoteRef/>
      </w:r>
      <w:r w:rsidRPr="00A96E0E">
        <w:rPr>
          <w:rtl/>
        </w:rPr>
        <w:t xml:space="preserve"> </w:t>
      </w:r>
      <w:r w:rsidRPr="00A96E0E">
        <w:rPr>
          <w:rtl/>
        </w:rPr>
        <w:tab/>
      </w:r>
      <w:r w:rsidRPr="005C3A8C">
        <w:rPr>
          <w:sz w:val="16"/>
          <w:szCs w:val="16"/>
          <w:rtl/>
        </w:rPr>
        <w:t xml:space="preserve">תוכנית למתחם מועדף לדיור שנידונה </w:t>
      </w:r>
      <w:r w:rsidRPr="005C3A8C">
        <w:rPr>
          <w:sz w:val="16"/>
          <w:szCs w:val="16"/>
          <w:rtl/>
        </w:rPr>
        <w:t xml:space="preserve">בוותמ"ל.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F60F40" w14:textId="78A023B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F60F40" w:rsidR="00F60F40">
                            <w:rPr>
                              <w:rFonts w:ascii="Tahoma" w:hAnsi="Tahoma" w:cs="Tahoma"/>
                              <w:b/>
                              <w:bCs/>
                              <w:rtl/>
                            </w:rPr>
                            <w:t>תכנון וקידום של התחבורה הציבורית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F60F40" w14:paraId="77809697" w14:textId="78A023B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F60F40" w:rsidR="00F60F40">
                      <w:rPr>
                        <w:rFonts w:ascii="Tahoma" w:hAnsi="Tahoma" w:cs="Tahoma"/>
                        <w:b/>
                        <w:bCs/>
                        <w:rtl/>
                      </w:rPr>
                      <w:t>תכנון וקידום של התחבורה הציבורית - ביקורת מעקב</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195DD6E5">
                          <w:pPr>
                            <w:jc w:val="right"/>
                            <w:rPr>
                              <w:color w:val="0D0D0D" w:themeColor="text1" w:themeTint="F2"/>
                              <w:sz w:val="16"/>
                              <w:szCs w:val="16"/>
                            </w:rPr>
                          </w:pPr>
                          <w:r w:rsidRPr="00AF3B73">
                            <w:rPr>
                              <w:rFonts w:ascii="Tahoma" w:hAnsi="Tahoma" w:cs="Tahoma"/>
                              <w:color w:val="0D0D0D"/>
                              <w:sz w:val="16"/>
                              <w:szCs w:val="16"/>
                              <w:rtl/>
                            </w:rPr>
                            <w:t xml:space="preserve">דוח </w:t>
                          </w:r>
                          <w:r w:rsidRPr="004F5000" w:rsidR="004F5000">
                            <w:rPr>
                              <w:rFonts w:ascii="Tahoma" w:hAnsi="Tahoma" w:cs="Tahoma"/>
                              <w:color w:val="0D0D0D"/>
                              <w:sz w:val="16"/>
                              <w:szCs w:val="16"/>
                              <w:rtl/>
                            </w:rPr>
                            <w:t xml:space="preserve">מבקר המדינה | </w:t>
                          </w:r>
                          <w:r w:rsidR="007B1623">
                            <w:rPr>
                              <w:rFonts w:ascii="Tahoma" w:hAnsi="Tahoma" w:cs="Tahoma"/>
                              <w:color w:val="0D0D0D"/>
                              <w:sz w:val="16"/>
                              <w:szCs w:val="16"/>
                              <w:rtl/>
                            </w:rPr>
                            <w:t>שבט</w:t>
                          </w:r>
                          <w:r w:rsidRPr="004F5000" w:rsidR="004F5000">
                            <w:rPr>
                              <w:rFonts w:ascii="Tahoma" w:hAnsi="Tahoma" w:cs="Tahoma"/>
                              <w:color w:val="0D0D0D"/>
                              <w:sz w:val="16"/>
                              <w:szCs w:val="16"/>
                              <w:rtl/>
                            </w:rPr>
                            <w:t xml:space="preserve"> </w:t>
                          </w:r>
                          <w:r w:rsidRPr="004F5000" w:rsidR="004F5000">
                            <w:rPr>
                              <w:rFonts w:ascii="Tahoma" w:hAnsi="Tahoma" w:cs="Tahoma"/>
                              <w:color w:val="0D0D0D"/>
                              <w:sz w:val="16"/>
                              <w:szCs w:val="16"/>
                              <w:rtl/>
                            </w:rPr>
                            <w:t>התשפ״ד</w:t>
                          </w:r>
                          <w:r w:rsidRPr="004F5000" w:rsidR="004F5000">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195DD6E5">
                    <w:pPr>
                      <w:jc w:val="right"/>
                      <w:rPr>
                        <w:color w:val="0D0D0D" w:themeColor="text1" w:themeTint="F2"/>
                        <w:sz w:val="16"/>
                        <w:szCs w:val="16"/>
                      </w:rPr>
                    </w:pPr>
                    <w:r w:rsidRPr="00AF3B73">
                      <w:rPr>
                        <w:rFonts w:ascii="Tahoma" w:hAnsi="Tahoma" w:cs="Tahoma"/>
                        <w:color w:val="0D0D0D"/>
                        <w:sz w:val="16"/>
                        <w:szCs w:val="16"/>
                        <w:rtl/>
                      </w:rPr>
                      <w:t xml:space="preserve">דוח </w:t>
                    </w:r>
                    <w:r w:rsidRPr="004F5000" w:rsidR="004F5000">
                      <w:rPr>
                        <w:rFonts w:ascii="Tahoma" w:hAnsi="Tahoma" w:cs="Tahoma"/>
                        <w:color w:val="0D0D0D"/>
                        <w:sz w:val="16"/>
                        <w:szCs w:val="16"/>
                        <w:rtl/>
                      </w:rPr>
                      <w:t xml:space="preserve">מבקר המדינה | </w:t>
                    </w:r>
                    <w:r w:rsidR="007B1623">
                      <w:rPr>
                        <w:rFonts w:ascii="Tahoma" w:hAnsi="Tahoma" w:cs="Tahoma"/>
                        <w:color w:val="0D0D0D"/>
                        <w:sz w:val="16"/>
                        <w:szCs w:val="16"/>
                        <w:rtl/>
                      </w:rPr>
                      <w:t>שבט</w:t>
                    </w:r>
                    <w:r w:rsidRPr="004F5000" w:rsidR="004F5000">
                      <w:rPr>
                        <w:rFonts w:ascii="Tahoma" w:hAnsi="Tahoma" w:cs="Tahoma"/>
                        <w:color w:val="0D0D0D"/>
                        <w:sz w:val="16"/>
                        <w:szCs w:val="16"/>
                        <w:rtl/>
                      </w:rPr>
                      <w:t xml:space="preserve"> </w:t>
                    </w:r>
                    <w:r w:rsidRPr="004F5000" w:rsidR="004F5000">
                      <w:rPr>
                        <w:rFonts w:ascii="Tahoma" w:hAnsi="Tahoma" w:cs="Tahoma"/>
                        <w:color w:val="0D0D0D"/>
                        <w:sz w:val="16"/>
                        <w:szCs w:val="16"/>
                        <w:rtl/>
                      </w:rPr>
                      <w:t>התשפ״ד</w:t>
                    </w:r>
                    <w:r w:rsidRPr="004F5000" w:rsidR="004F5000">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77EB2424">
                          <w:pPr>
                            <w:pStyle w:val="Heading1"/>
                            <w:spacing w:line="269" w:lineRule="auto"/>
                            <w:jc w:val="left"/>
                            <w:rPr>
                              <w:rFonts w:ascii="Tahoma" w:hAnsi="Tahoma" w:eastAsiaTheme="minorHAnsi" w:cs="Tahoma"/>
                              <w:bCs w:val="0"/>
                              <w:color w:val="0D0D0D" w:themeColor="text1" w:themeTint="F2"/>
                              <w:sz w:val="16"/>
                              <w:szCs w:val="16"/>
                              <w:u w:val="none"/>
                            </w:rPr>
                          </w:pPr>
                          <w:r w:rsidRPr="00F60F40">
                            <w:rPr>
                              <w:rFonts w:ascii="Tahoma" w:hAnsi="Tahoma" w:eastAsiaTheme="minorHAnsi" w:cs="Tahoma"/>
                              <w:bCs w:val="0"/>
                              <w:color w:val="0D0D0D" w:themeColor="text1" w:themeTint="F2"/>
                              <w:sz w:val="16"/>
                              <w:szCs w:val="16"/>
                              <w:u w:val="none"/>
                              <w:rtl/>
                            </w:rPr>
                            <w:t>תכנון וקידום של התחבורה הציבורית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77EB2424">
                    <w:pPr>
                      <w:pStyle w:val="Heading1"/>
                      <w:spacing w:line="269" w:lineRule="auto"/>
                      <w:jc w:val="left"/>
                      <w:rPr>
                        <w:rFonts w:ascii="Tahoma" w:hAnsi="Tahoma" w:eastAsiaTheme="minorHAnsi" w:cs="Tahoma"/>
                        <w:bCs w:val="0"/>
                        <w:color w:val="0D0D0D" w:themeColor="text1" w:themeTint="F2"/>
                        <w:sz w:val="16"/>
                        <w:szCs w:val="16"/>
                        <w:u w:val="none"/>
                      </w:rPr>
                    </w:pPr>
                    <w:r w:rsidRPr="00F60F40">
                      <w:rPr>
                        <w:rFonts w:ascii="Tahoma" w:hAnsi="Tahoma" w:eastAsiaTheme="minorHAnsi" w:cs="Tahoma"/>
                        <w:bCs w:val="0"/>
                        <w:color w:val="0D0D0D" w:themeColor="text1" w:themeTint="F2"/>
                        <w:sz w:val="16"/>
                        <w:szCs w:val="16"/>
                        <w:u w:val="none"/>
                        <w:rtl/>
                      </w:rPr>
                      <w:t>תכנון וקידום של התחבורה הציבורית - ביקורת מעקב</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F60F40" w14:textId="63043D2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F60F40" w:rsidR="00F60F40">
                            <w:rPr>
                              <w:rFonts w:ascii="Tahoma" w:hAnsi="Tahoma" w:cs="Tahoma"/>
                              <w:b/>
                              <w:bCs/>
                              <w:rtl/>
                            </w:rPr>
                            <w:t>תכנון וקידום של התחבורה הציבורית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F60F40" w14:paraId="3B4CCAD6" w14:textId="63043D2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F60F40" w:rsidR="00F60F40">
                      <w:rPr>
                        <w:rFonts w:ascii="Tahoma" w:hAnsi="Tahoma" w:cs="Tahoma"/>
                        <w:b/>
                        <w:bCs/>
                        <w:rtl/>
                      </w:rPr>
                      <w:t>תכנון וקידום של התחבורה הציבורית - ביקורת מעקב</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42CECE2">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7B1623">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542CECE2">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7B1623">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B1ECADC"/>
    <w:lvl w:ilvl="0">
      <w:start w:val="1"/>
      <w:numFmt w:val="decimal"/>
      <w:lvlText w:val="%1."/>
      <w:lvlJc w:val="left"/>
      <w:pPr>
        <w:tabs>
          <w:tab w:val="num" w:pos="1492"/>
        </w:tabs>
        <w:ind w:left="1492" w:hanging="360"/>
      </w:pPr>
    </w:lvl>
  </w:abstractNum>
  <w:abstractNum w:abstractNumId="1">
    <w:nsid w:val="FFFFFF7D"/>
    <w:multiLevelType w:val="singleLevel"/>
    <w:tmpl w:val="E01E8238"/>
    <w:lvl w:ilvl="0">
      <w:start w:val="1"/>
      <w:numFmt w:val="decimal"/>
      <w:lvlText w:val="%1."/>
      <w:lvlJc w:val="left"/>
      <w:pPr>
        <w:tabs>
          <w:tab w:val="num" w:pos="1209"/>
        </w:tabs>
        <w:ind w:left="1209" w:hanging="360"/>
      </w:pPr>
    </w:lvl>
  </w:abstractNum>
  <w:abstractNum w:abstractNumId="2">
    <w:nsid w:val="FFFFFF7F"/>
    <w:multiLevelType w:val="singleLevel"/>
    <w:tmpl w:val="347CE20A"/>
    <w:lvl w:ilvl="0">
      <w:start w:val="1"/>
      <w:numFmt w:val="decimal"/>
      <w:lvlText w:val="%1."/>
      <w:lvlJc w:val="left"/>
      <w:pPr>
        <w:tabs>
          <w:tab w:val="num" w:pos="643"/>
        </w:tabs>
        <w:ind w:left="643" w:hanging="360"/>
      </w:pPr>
    </w:lvl>
  </w:abstractNum>
  <w:abstractNum w:abstractNumId="3">
    <w:nsid w:val="FFFFFF80"/>
    <w:multiLevelType w:val="singleLevel"/>
    <w:tmpl w:val="2FF8A17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9281B7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9B2214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E00ABE8"/>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7728C892"/>
    <w:lvl w:ilvl="0">
      <w:start w:val="1"/>
      <w:numFmt w:val="bullet"/>
      <w:lvlText w:val=""/>
      <w:lvlJc w:val="left"/>
      <w:pPr>
        <w:tabs>
          <w:tab w:val="num" w:pos="360"/>
        </w:tabs>
        <w:ind w:left="360" w:hanging="360"/>
      </w:pPr>
      <w:rPr>
        <w:rFonts w:ascii="Symbol" w:hAnsi="Symbol" w:hint="default"/>
      </w:rPr>
    </w:lvl>
  </w:abstractNum>
  <w:abstractNum w:abstractNumId="8">
    <w:nsid w:val="03806D75"/>
    <w:multiLevelType w:val="hybridMultilevel"/>
    <w:tmpl w:val="1E40FE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3DD599E"/>
    <w:multiLevelType w:val="hybridMultilevel"/>
    <w:tmpl w:val="395E27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40D1FB5"/>
    <w:multiLevelType w:val="multilevel"/>
    <w:tmpl w:val="E1F4066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05AD6E1C"/>
    <w:multiLevelType w:val="hybridMultilevel"/>
    <w:tmpl w:val="A9B03A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5D32D89"/>
    <w:multiLevelType w:val="hybridMultilevel"/>
    <w:tmpl w:val="7C0EBDD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3">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4">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4953DF8"/>
    <w:multiLevelType w:val="hybridMultilevel"/>
    <w:tmpl w:val="B1A6E1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6131A5F"/>
    <w:multiLevelType w:val="multilevel"/>
    <w:tmpl w:val="BF3631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1F733DF8"/>
    <w:multiLevelType w:val="multilevel"/>
    <w:tmpl w:val="8034AB7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234E1219"/>
    <w:multiLevelType w:val="hybridMultilevel"/>
    <w:tmpl w:val="45C87D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520009B"/>
    <w:multiLevelType w:val="hybridMultilevel"/>
    <w:tmpl w:val="2468F1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7F81F3B"/>
    <w:multiLevelType w:val="hybridMultilevel"/>
    <w:tmpl w:val="E05AA0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9123F58"/>
    <w:multiLevelType w:val="hybridMultilevel"/>
    <w:tmpl w:val="24264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2C3A18"/>
    <w:multiLevelType w:val="multilevel"/>
    <w:tmpl w:val="51B60E9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29450046"/>
    <w:multiLevelType w:val="multilevel"/>
    <w:tmpl w:val="A768D11C"/>
    <w:lvl w:ilvl="0">
      <w:start w:val="1"/>
      <w:numFmt w:val="decimal"/>
      <w:lvlText w:val="%1."/>
      <w:lvlJc w:val="left"/>
      <w:pPr>
        <w:ind w:left="340" w:hanging="340"/>
      </w:pPr>
    </w:lvl>
    <w:lvl w:ilvl="1">
      <w:start w:val="1"/>
      <w:numFmt w:val="decimal"/>
      <w:lvlText w:val="%2."/>
      <w:lvlJc w:val="left"/>
      <w:pPr>
        <w:ind w:left="397" w:hanging="397"/>
      </w:pPr>
      <w:rPr>
        <w:rFonts w:hint="default"/>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8">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3127DD8"/>
    <w:multiLevelType w:val="hybridMultilevel"/>
    <w:tmpl w:val="6FD6BE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5151E39"/>
    <w:multiLevelType w:val="hybridMultilevel"/>
    <w:tmpl w:val="3EC222C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3F992435"/>
    <w:multiLevelType w:val="hybridMultilevel"/>
    <w:tmpl w:val="7B2268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ED57A9"/>
    <w:multiLevelType w:val="hybridMultilevel"/>
    <w:tmpl w:val="A12C905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5">
    <w:nsid w:val="41F76052"/>
    <w:multiLevelType w:val="multilevel"/>
    <w:tmpl w:val="3A62452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434C7C57"/>
    <w:multiLevelType w:val="hybridMultilevel"/>
    <w:tmpl w:val="47644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nsid w:val="4A5B4B47"/>
    <w:multiLevelType w:val="hybridMultilevel"/>
    <w:tmpl w:val="32484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0">
    <w:nsid w:val="4ABE2723"/>
    <w:multiLevelType w:val="multilevel"/>
    <w:tmpl w:val="344CC49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nsid w:val="4CC31FBB"/>
    <w:multiLevelType w:val="hybridMultilevel"/>
    <w:tmpl w:val="AD4022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0C66AB"/>
    <w:multiLevelType w:val="hybridMultilevel"/>
    <w:tmpl w:val="7040B124"/>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4">
    <w:nsid w:val="54D95E61"/>
    <w:multiLevelType w:val="hybridMultilevel"/>
    <w:tmpl w:val="16646F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53213F3"/>
    <w:multiLevelType w:val="hybridMultilevel"/>
    <w:tmpl w:val="DAA6B0C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76E5D98"/>
    <w:multiLevelType w:val="hybridMultilevel"/>
    <w:tmpl w:val="682CF0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7870C48"/>
    <w:multiLevelType w:val="hybridMultilevel"/>
    <w:tmpl w:val="CEE00C74"/>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7EA6650"/>
    <w:multiLevelType w:val="hybridMultilevel"/>
    <w:tmpl w:val="D76E487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9">
    <w:nsid w:val="5AF10EE1"/>
    <w:multiLevelType w:val="hybridMultilevel"/>
    <w:tmpl w:val="6958B1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B7C6300"/>
    <w:multiLevelType w:val="hybridMultilevel"/>
    <w:tmpl w:val="858EFC9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2">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4">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6556725A"/>
    <w:multiLevelType w:val="hybridMultilevel"/>
    <w:tmpl w:val="7CD0AEA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683E70B5"/>
    <w:multiLevelType w:val="hybridMultilevel"/>
    <w:tmpl w:val="38AA5AC2"/>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A713D42"/>
    <w:multiLevelType w:val="hybridMultilevel"/>
    <w:tmpl w:val="FB6E72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D4C5AC2"/>
    <w:multiLevelType w:val="hybridMultilevel"/>
    <w:tmpl w:val="22128B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44F433E"/>
    <w:multiLevelType w:val="multilevel"/>
    <w:tmpl w:val="D2A8002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4">
    <w:nsid w:val="758137E1"/>
    <w:multiLevelType w:val="hybridMultilevel"/>
    <w:tmpl w:val="3B98C68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65">
    <w:nsid w:val="76957C3B"/>
    <w:multiLevelType w:val="hybridMultilevel"/>
    <w:tmpl w:val="A40860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80773C8"/>
    <w:multiLevelType w:val="multilevel"/>
    <w:tmpl w:val="4180203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7">
    <w:nsid w:val="78977E39"/>
    <w:multiLevelType w:val="multilevel"/>
    <w:tmpl w:val="19F4EAA2"/>
    <w:lvl w:ilvl="0">
      <w:start w:val="2"/>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8">
    <w:nsid w:val="7B861EF8"/>
    <w:multiLevelType w:val="hybridMultilevel"/>
    <w:tmpl w:val="256610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51"/>
  </w:num>
  <w:num w:numId="2">
    <w:abstractNumId w:val="27"/>
  </w:num>
  <w:num w:numId="3">
    <w:abstractNumId w:val="32"/>
  </w:num>
  <w:num w:numId="4">
    <w:abstractNumId w:val="70"/>
  </w:num>
  <w:num w:numId="5">
    <w:abstractNumId w:val="14"/>
  </w:num>
  <w:num w:numId="6">
    <w:abstractNumId w:val="37"/>
  </w:num>
  <w:num w:numId="7">
    <w:abstractNumId w:val="53"/>
  </w:num>
  <w:num w:numId="8">
    <w:abstractNumId w:val="16"/>
  </w:num>
  <w:num w:numId="9">
    <w:abstractNumId w:val="15"/>
  </w:num>
  <w:num w:numId="10">
    <w:abstractNumId w:val="13"/>
  </w:num>
  <w:num w:numId="11">
    <w:abstractNumId w:val="39"/>
  </w:num>
  <w:num w:numId="12">
    <w:abstractNumId w:val="52"/>
  </w:num>
  <w:num w:numId="13">
    <w:abstractNumId w:val="61"/>
  </w:num>
  <w:num w:numId="14">
    <w:abstractNumId w:val="42"/>
  </w:num>
  <w:num w:numId="15">
    <w:abstractNumId w:val="62"/>
  </w:num>
  <w:num w:numId="16">
    <w:abstractNumId w:val="18"/>
  </w:num>
  <w:num w:numId="17">
    <w:abstractNumId w:val="69"/>
  </w:num>
  <w:num w:numId="18">
    <w:abstractNumId w:val="56"/>
  </w:num>
  <w:num w:numId="19">
    <w:abstractNumId w:val="29"/>
  </w:num>
  <w:num w:numId="20">
    <w:abstractNumId w:val="28"/>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3"/>
  </w:num>
  <w:num w:numId="1430">
    <w:abstractNumId w:val="4"/>
  </w:num>
  <w:num w:numId="1431">
    <w:abstractNumId w:val="5"/>
  </w:num>
  <w:num w:numId="1432">
    <w:abstractNumId w:val="6"/>
  </w:num>
  <w:num w:numId="1433">
    <w:abstractNumId w:val="7"/>
  </w:num>
  <w:num w:numId="1434">
    <w:abstractNumId w:val="0"/>
  </w:num>
  <w:num w:numId="1435">
    <w:abstractNumId w:val="1"/>
  </w:num>
  <w:num w:numId="1436">
    <w:abstractNumId w:val="2"/>
  </w:num>
  <w:num w:numId="1437">
    <w:abstractNumId w:val="3"/>
  </w:num>
  <w:num w:numId="1438">
    <w:abstractNumId w:val="4"/>
  </w:num>
  <w:num w:numId="1439">
    <w:abstractNumId w:val="5"/>
  </w:num>
  <w:num w:numId="1440">
    <w:abstractNumId w:val="6"/>
  </w:num>
  <w:num w:numId="1441">
    <w:abstractNumId w:val="7"/>
  </w:num>
  <w:num w:numId="1442">
    <w:abstractNumId w:val="0"/>
  </w:num>
  <w:num w:numId="1443">
    <w:abstractNumId w:val="1"/>
  </w:num>
  <w:num w:numId="1444">
    <w:abstractNumId w:val="2"/>
  </w:num>
  <w:num w:numId="1445">
    <w:abstractNumId w:val="3"/>
  </w:num>
  <w:num w:numId="1446">
    <w:abstractNumId w:val="4"/>
  </w:num>
  <w:num w:numId="1447">
    <w:abstractNumId w:val="5"/>
  </w:num>
  <w:num w:numId="1448">
    <w:abstractNumId w:val="6"/>
  </w:num>
  <w:num w:numId="1449">
    <w:abstractNumId w:val="7"/>
  </w:num>
  <w:num w:numId="1450">
    <w:abstractNumId w:val="0"/>
  </w:num>
  <w:num w:numId="1451">
    <w:abstractNumId w:val="1"/>
  </w:num>
  <w:num w:numId="1452">
    <w:abstractNumId w:val="2"/>
  </w:num>
  <w:num w:numId="1453">
    <w:abstractNumId w:val="3"/>
  </w:num>
  <w:num w:numId="1454">
    <w:abstractNumId w:val="4"/>
  </w:num>
  <w:num w:numId="1455">
    <w:abstractNumId w:val="5"/>
  </w:num>
  <w:num w:numId="1456">
    <w:abstractNumId w:val="6"/>
  </w:num>
  <w:num w:numId="1457">
    <w:abstractNumId w:val="7"/>
  </w:num>
  <w:num w:numId="1458">
    <w:abstractNumId w:val="0"/>
  </w:num>
  <w:num w:numId="1459">
    <w:abstractNumId w:val="1"/>
  </w:num>
  <w:num w:numId="1460">
    <w:abstractNumId w:val="2"/>
  </w:num>
  <w:num w:numId="1461">
    <w:abstractNumId w:val="3"/>
  </w:num>
  <w:num w:numId="1462">
    <w:abstractNumId w:val="4"/>
  </w:num>
  <w:num w:numId="1463">
    <w:abstractNumId w:val="5"/>
  </w:num>
  <w:num w:numId="1464">
    <w:abstractNumId w:val="6"/>
  </w:num>
  <w:num w:numId="1465">
    <w:abstractNumId w:val="7"/>
  </w:num>
  <w:num w:numId="1466">
    <w:abstractNumId w:val="0"/>
  </w:num>
  <w:num w:numId="1467">
    <w:abstractNumId w:val="1"/>
  </w:num>
  <w:num w:numId="1468">
    <w:abstractNumId w:val="2"/>
  </w:num>
  <w:num w:numId="1469">
    <w:abstractNumId w:val="3"/>
  </w:num>
  <w:num w:numId="1470">
    <w:abstractNumId w:val="4"/>
  </w:num>
  <w:num w:numId="1471">
    <w:abstractNumId w:val="5"/>
  </w:num>
  <w:num w:numId="1472">
    <w:abstractNumId w:val="6"/>
  </w:num>
  <w:num w:numId="1473">
    <w:abstractNumId w:val="7"/>
  </w:num>
  <w:num w:numId="1474">
    <w:abstractNumId w:val="0"/>
  </w:num>
  <w:num w:numId="1475">
    <w:abstractNumId w:val="1"/>
  </w:num>
  <w:num w:numId="1476">
    <w:abstractNumId w:val="2"/>
  </w:num>
  <w:num w:numId="1477">
    <w:abstractNumId w:val="3"/>
  </w:num>
  <w:num w:numId="1478">
    <w:abstractNumId w:val="4"/>
  </w:num>
  <w:num w:numId="1479">
    <w:abstractNumId w:val="5"/>
  </w:num>
  <w:num w:numId="1480">
    <w:abstractNumId w:val="6"/>
  </w:num>
  <w:num w:numId="1481">
    <w:abstractNumId w:val="7"/>
  </w:num>
  <w:num w:numId="1482">
    <w:abstractNumId w:val="0"/>
  </w:num>
  <w:num w:numId="1483">
    <w:abstractNumId w:val="1"/>
  </w:num>
  <w:num w:numId="1484">
    <w:abstractNumId w:val="2"/>
  </w:num>
  <w:num w:numId="1485">
    <w:abstractNumId w:val="3"/>
  </w:num>
  <w:num w:numId="1486">
    <w:abstractNumId w:val="4"/>
  </w:num>
  <w:num w:numId="1487">
    <w:abstractNumId w:val="5"/>
  </w:num>
  <w:num w:numId="1488">
    <w:abstractNumId w:val="6"/>
  </w:num>
  <w:num w:numId="1489">
    <w:abstractNumId w:val="7"/>
  </w:num>
  <w:num w:numId="1490">
    <w:abstractNumId w:val="0"/>
  </w:num>
  <w:num w:numId="1491">
    <w:abstractNumId w:val="1"/>
  </w:num>
  <w:num w:numId="1492">
    <w:abstractNumId w:val="2"/>
  </w:num>
  <w:num w:numId="1493">
    <w:abstractNumId w:val="3"/>
  </w:num>
  <w:num w:numId="1494">
    <w:abstractNumId w:val="4"/>
  </w:num>
  <w:num w:numId="1495">
    <w:abstractNumId w:val="5"/>
  </w:num>
  <w:num w:numId="1496">
    <w:abstractNumId w:val="6"/>
  </w:num>
  <w:num w:numId="1497">
    <w:abstractNumId w:val="7"/>
  </w:num>
  <w:num w:numId="1498">
    <w:abstractNumId w:val="0"/>
  </w:num>
  <w:num w:numId="1499">
    <w:abstractNumId w:val="1"/>
  </w:num>
  <w:num w:numId="1500">
    <w:abstractNumId w:val="2"/>
  </w:num>
  <w:num w:numId="1501">
    <w:abstractNumId w:val="3"/>
  </w:num>
  <w:num w:numId="1502">
    <w:abstractNumId w:val="4"/>
  </w:num>
  <w:num w:numId="1503">
    <w:abstractNumId w:val="5"/>
  </w:num>
  <w:num w:numId="1504">
    <w:abstractNumId w:val="6"/>
  </w:num>
  <w:num w:numId="1505">
    <w:abstractNumId w:val="7"/>
  </w:num>
  <w:num w:numId="1506">
    <w:abstractNumId w:val="0"/>
  </w:num>
  <w:num w:numId="1507">
    <w:abstractNumId w:val="1"/>
  </w:num>
  <w:num w:numId="1508">
    <w:abstractNumId w:val="2"/>
  </w:num>
  <w:num w:numId="1509">
    <w:abstractNumId w:val="3"/>
  </w:num>
  <w:num w:numId="1510">
    <w:abstractNumId w:val="4"/>
  </w:num>
  <w:num w:numId="1511">
    <w:abstractNumId w:val="5"/>
  </w:num>
  <w:num w:numId="1512">
    <w:abstractNumId w:val="6"/>
  </w:num>
  <w:num w:numId="1513">
    <w:abstractNumId w:val="7"/>
  </w:num>
  <w:num w:numId="1514">
    <w:abstractNumId w:val="0"/>
  </w:num>
  <w:num w:numId="1515">
    <w:abstractNumId w:val="1"/>
  </w:num>
  <w:num w:numId="1516">
    <w:abstractNumId w:val="2"/>
  </w:num>
  <w:num w:numId="1517">
    <w:abstractNumId w:val="3"/>
  </w:num>
  <w:num w:numId="1518">
    <w:abstractNumId w:val="4"/>
  </w:num>
  <w:num w:numId="1519">
    <w:abstractNumId w:val="5"/>
  </w:num>
  <w:num w:numId="1520">
    <w:abstractNumId w:val="6"/>
  </w:num>
  <w:num w:numId="1521">
    <w:abstractNumId w:val="7"/>
  </w:num>
  <w:num w:numId="1522">
    <w:abstractNumId w:val="0"/>
  </w:num>
  <w:num w:numId="1523">
    <w:abstractNumId w:val="1"/>
  </w:num>
  <w:num w:numId="1524">
    <w:abstractNumId w:val="2"/>
  </w:num>
  <w:num w:numId="1525">
    <w:abstractNumId w:val="3"/>
  </w:num>
  <w:num w:numId="1526">
    <w:abstractNumId w:val="4"/>
  </w:num>
  <w:num w:numId="1527">
    <w:abstractNumId w:val="5"/>
  </w:num>
  <w:num w:numId="1528">
    <w:abstractNumId w:val="6"/>
  </w:num>
  <w:num w:numId="1529">
    <w:abstractNumId w:val="7"/>
  </w:num>
  <w:num w:numId="1530">
    <w:abstractNumId w:val="0"/>
  </w:num>
  <w:num w:numId="1531">
    <w:abstractNumId w:val="1"/>
  </w:num>
  <w:num w:numId="1532">
    <w:abstractNumId w:val="2"/>
  </w:num>
  <w:num w:numId="1533">
    <w:abstractNumId w:val="66"/>
  </w:num>
  <w:num w:numId="1534">
    <w:abstractNumId w:val="25"/>
  </w:num>
  <w:num w:numId="1535">
    <w:abstractNumId w:val="20"/>
  </w:num>
  <w:num w:numId="1536">
    <w:abstractNumId w:val="10"/>
  </w:num>
  <w:num w:numId="1537">
    <w:abstractNumId w:val="19"/>
  </w:num>
  <w:num w:numId="1538">
    <w:abstractNumId w:val="35"/>
  </w:num>
  <w:num w:numId="1539">
    <w:abstractNumId w:val="67"/>
  </w:num>
  <w:num w:numId="1540">
    <w:abstractNumId w:val="45"/>
  </w:num>
  <w:num w:numId="1541">
    <w:abstractNumId w:val="55"/>
  </w:num>
  <w:num w:numId="1542">
    <w:abstractNumId w:val="9"/>
  </w:num>
  <w:num w:numId="1543">
    <w:abstractNumId w:val="63"/>
  </w:num>
  <w:num w:numId="1544">
    <w:abstractNumId w:val="59"/>
  </w:num>
  <w:num w:numId="1545">
    <w:abstractNumId w:val="46"/>
  </w:num>
  <w:num w:numId="1546">
    <w:abstractNumId w:val="33"/>
  </w:num>
  <w:num w:numId="1547">
    <w:abstractNumId w:val="50"/>
  </w:num>
  <w:num w:numId="1548">
    <w:abstractNumId w:val="36"/>
  </w:num>
  <w:num w:numId="1549">
    <w:abstractNumId w:val="17"/>
  </w:num>
  <w:num w:numId="1550">
    <w:abstractNumId w:val="23"/>
  </w:num>
  <w:num w:numId="1551">
    <w:abstractNumId w:val="41"/>
  </w:num>
  <w:num w:numId="1552">
    <w:abstractNumId w:val="30"/>
  </w:num>
  <w:num w:numId="1553">
    <w:abstractNumId w:val="38"/>
  </w:num>
  <w:num w:numId="1554">
    <w:abstractNumId w:val="65"/>
  </w:num>
  <w:num w:numId="1555">
    <w:abstractNumId w:val="68"/>
  </w:num>
  <w:num w:numId="1556">
    <w:abstractNumId w:val="11"/>
  </w:num>
  <w:num w:numId="1557">
    <w:abstractNumId w:val="8"/>
  </w:num>
  <w:num w:numId="1558">
    <w:abstractNumId w:val="57"/>
  </w:num>
  <w:num w:numId="1559">
    <w:abstractNumId w:val="54"/>
  </w:num>
  <w:num w:numId="1560">
    <w:abstractNumId w:val="40"/>
  </w:num>
  <w:num w:numId="1561">
    <w:abstractNumId w:val="60"/>
  </w:num>
  <w:num w:numId="1562">
    <w:abstractNumId w:val="58"/>
  </w:num>
  <w:num w:numId="1563">
    <w:abstractNumId w:val="24"/>
  </w:num>
  <w:num w:numId="1564">
    <w:abstractNumId w:val="44"/>
  </w:num>
  <w:num w:numId="1565">
    <w:abstractNumId w:val="49"/>
  </w:num>
  <w:num w:numId="1566">
    <w:abstractNumId w:val="22"/>
  </w:num>
  <w:num w:numId="1567">
    <w:abstractNumId w:val="21"/>
  </w:num>
  <w:num w:numId="1568">
    <w:abstractNumId w:val="47"/>
  </w:num>
  <w:num w:numId="1569">
    <w:abstractNumId w:val="3"/>
  </w:num>
  <w:num w:numId="1570">
    <w:abstractNumId w:val="4"/>
  </w:num>
  <w:num w:numId="1571">
    <w:abstractNumId w:val="5"/>
  </w:num>
  <w:num w:numId="1572">
    <w:abstractNumId w:val="6"/>
  </w:num>
  <w:num w:numId="1573">
    <w:abstractNumId w:val="7"/>
  </w:num>
  <w:num w:numId="1574">
    <w:abstractNumId w:val="0"/>
  </w:num>
  <w:num w:numId="1575">
    <w:abstractNumId w:val="1"/>
  </w:num>
  <w:num w:numId="1576">
    <w:abstractNumId w:val="2"/>
  </w:num>
  <w:num w:numId="1577">
    <w:abstractNumId w:val="3"/>
  </w:num>
  <w:num w:numId="1578">
    <w:abstractNumId w:val="4"/>
  </w:num>
  <w:num w:numId="1579">
    <w:abstractNumId w:val="5"/>
  </w:num>
  <w:num w:numId="1580">
    <w:abstractNumId w:val="6"/>
  </w:num>
  <w:num w:numId="1581">
    <w:abstractNumId w:val="7"/>
  </w:num>
  <w:num w:numId="1582">
    <w:abstractNumId w:val="0"/>
  </w:num>
  <w:num w:numId="1583">
    <w:abstractNumId w:val="1"/>
  </w:num>
  <w:num w:numId="1584">
    <w:abstractNumId w:val="2"/>
  </w:num>
  <w:num w:numId="1585">
    <w:abstractNumId w:val="3"/>
  </w:num>
  <w:num w:numId="1586">
    <w:abstractNumId w:val="4"/>
  </w:num>
  <w:num w:numId="1587">
    <w:abstractNumId w:val="5"/>
  </w:num>
  <w:num w:numId="1588">
    <w:abstractNumId w:val="6"/>
  </w:num>
  <w:num w:numId="1589">
    <w:abstractNumId w:val="7"/>
  </w:num>
  <w:num w:numId="1590">
    <w:abstractNumId w:val="0"/>
  </w:num>
  <w:num w:numId="1591">
    <w:abstractNumId w:val="1"/>
  </w:num>
  <w:num w:numId="1592">
    <w:abstractNumId w:val="2"/>
  </w:num>
  <w:num w:numId="1593">
    <w:abstractNumId w:val="3"/>
  </w:num>
  <w:num w:numId="1594">
    <w:abstractNumId w:val="4"/>
  </w:num>
  <w:num w:numId="1595">
    <w:abstractNumId w:val="5"/>
  </w:num>
  <w:num w:numId="1596">
    <w:abstractNumId w:val="6"/>
  </w:num>
  <w:num w:numId="1597">
    <w:abstractNumId w:val="7"/>
  </w:num>
  <w:num w:numId="1598">
    <w:abstractNumId w:val="0"/>
  </w:num>
  <w:num w:numId="1599">
    <w:abstractNumId w:val="1"/>
  </w:num>
  <w:num w:numId="1600">
    <w:abstractNumId w:val="2"/>
  </w:num>
  <w:num w:numId="1601">
    <w:abstractNumId w:val="3"/>
  </w:num>
  <w:num w:numId="1602">
    <w:abstractNumId w:val="4"/>
  </w:num>
  <w:num w:numId="1603">
    <w:abstractNumId w:val="5"/>
  </w:num>
  <w:num w:numId="1604">
    <w:abstractNumId w:val="6"/>
  </w:num>
  <w:num w:numId="1605">
    <w:abstractNumId w:val="7"/>
  </w:num>
  <w:num w:numId="1606">
    <w:abstractNumId w:val="0"/>
  </w:num>
  <w:num w:numId="1607">
    <w:abstractNumId w:val="1"/>
  </w:num>
  <w:num w:numId="1608">
    <w:abstractNumId w:val="2"/>
  </w:num>
  <w:num w:numId="1609">
    <w:abstractNumId w:val="3"/>
  </w:num>
  <w:num w:numId="1610">
    <w:abstractNumId w:val="4"/>
  </w:num>
  <w:num w:numId="1611">
    <w:abstractNumId w:val="5"/>
  </w:num>
  <w:num w:numId="1612">
    <w:abstractNumId w:val="6"/>
  </w:num>
  <w:num w:numId="1613">
    <w:abstractNumId w:val="7"/>
  </w:num>
  <w:num w:numId="1614">
    <w:abstractNumId w:val="0"/>
  </w:num>
  <w:num w:numId="1615">
    <w:abstractNumId w:val="1"/>
  </w:num>
  <w:num w:numId="1616">
    <w:abstractNumId w:val="2"/>
  </w:num>
  <w:num w:numId="1617">
    <w:abstractNumId w:val="3"/>
  </w:num>
  <w:num w:numId="1618">
    <w:abstractNumId w:val="4"/>
  </w:num>
  <w:num w:numId="1619">
    <w:abstractNumId w:val="5"/>
  </w:num>
  <w:num w:numId="1620">
    <w:abstractNumId w:val="6"/>
  </w:num>
  <w:num w:numId="1621">
    <w:abstractNumId w:val="7"/>
  </w:num>
  <w:num w:numId="1622">
    <w:abstractNumId w:val="0"/>
  </w:num>
  <w:num w:numId="1623">
    <w:abstractNumId w:val="1"/>
  </w:num>
  <w:num w:numId="1624">
    <w:abstractNumId w:val="2"/>
  </w:num>
  <w:num w:numId="1625">
    <w:abstractNumId w:val="3"/>
  </w:num>
  <w:num w:numId="1626">
    <w:abstractNumId w:val="4"/>
  </w:num>
  <w:num w:numId="1627">
    <w:abstractNumId w:val="5"/>
  </w:num>
  <w:num w:numId="1628">
    <w:abstractNumId w:val="6"/>
  </w:num>
  <w:num w:numId="1629">
    <w:abstractNumId w:val="7"/>
  </w:num>
  <w:num w:numId="1630">
    <w:abstractNumId w:val="0"/>
  </w:num>
  <w:num w:numId="1631">
    <w:abstractNumId w:val="1"/>
  </w:num>
  <w:num w:numId="1632">
    <w:abstractNumId w:val="2"/>
  </w:num>
  <w:num w:numId="1633">
    <w:abstractNumId w:val="3"/>
  </w:num>
  <w:num w:numId="1634">
    <w:abstractNumId w:val="4"/>
  </w:num>
  <w:num w:numId="1635">
    <w:abstractNumId w:val="5"/>
  </w:num>
  <w:num w:numId="1636">
    <w:abstractNumId w:val="6"/>
  </w:num>
  <w:num w:numId="1637">
    <w:abstractNumId w:val="7"/>
  </w:num>
  <w:num w:numId="1638">
    <w:abstractNumId w:val="0"/>
  </w:num>
  <w:num w:numId="1639">
    <w:abstractNumId w:val="1"/>
  </w:num>
  <w:num w:numId="1640">
    <w:abstractNumId w:val="2"/>
  </w:num>
  <w:num w:numId="1641">
    <w:abstractNumId w:val="43"/>
  </w:num>
  <w:num w:numId="1642">
    <w:abstractNumId w:val="3"/>
  </w:num>
  <w:num w:numId="1643">
    <w:abstractNumId w:val="4"/>
  </w:num>
  <w:num w:numId="1644">
    <w:abstractNumId w:val="5"/>
  </w:num>
  <w:num w:numId="1645">
    <w:abstractNumId w:val="6"/>
  </w:num>
  <w:num w:numId="1646">
    <w:abstractNumId w:val="7"/>
  </w:num>
  <w:num w:numId="1647">
    <w:abstractNumId w:val="0"/>
  </w:num>
  <w:num w:numId="1648">
    <w:abstractNumId w:val="1"/>
  </w:num>
  <w:num w:numId="1649">
    <w:abstractNumId w:val="2"/>
  </w:num>
  <w:num w:numId="1650">
    <w:abstractNumId w:val="3"/>
  </w:num>
  <w:num w:numId="1651">
    <w:abstractNumId w:val="4"/>
  </w:num>
  <w:num w:numId="1652">
    <w:abstractNumId w:val="5"/>
  </w:num>
  <w:num w:numId="1653">
    <w:abstractNumId w:val="6"/>
  </w:num>
  <w:num w:numId="1654">
    <w:abstractNumId w:val="7"/>
  </w:num>
  <w:num w:numId="1655">
    <w:abstractNumId w:val="0"/>
  </w:num>
  <w:num w:numId="1656">
    <w:abstractNumId w:val="1"/>
  </w:num>
  <w:num w:numId="1657">
    <w:abstractNumId w:val="2"/>
  </w:num>
  <w:num w:numId="1658">
    <w:abstractNumId w:val="3"/>
  </w:num>
  <w:num w:numId="1659">
    <w:abstractNumId w:val="4"/>
  </w:num>
  <w:num w:numId="1660">
    <w:abstractNumId w:val="5"/>
  </w:num>
  <w:num w:numId="1661">
    <w:abstractNumId w:val="6"/>
  </w:num>
  <w:num w:numId="1662">
    <w:abstractNumId w:val="7"/>
  </w:num>
  <w:num w:numId="1663">
    <w:abstractNumId w:val="0"/>
  </w:num>
  <w:num w:numId="1664">
    <w:abstractNumId w:val="1"/>
  </w:num>
  <w:num w:numId="1665">
    <w:abstractNumId w:val="2"/>
  </w:num>
  <w:num w:numId="1666">
    <w:abstractNumId w:val="3"/>
  </w:num>
  <w:num w:numId="1667">
    <w:abstractNumId w:val="4"/>
  </w:num>
  <w:num w:numId="1668">
    <w:abstractNumId w:val="5"/>
  </w:num>
  <w:num w:numId="1669">
    <w:abstractNumId w:val="6"/>
  </w:num>
  <w:num w:numId="1670">
    <w:abstractNumId w:val="7"/>
  </w:num>
  <w:num w:numId="1671">
    <w:abstractNumId w:val="0"/>
  </w:num>
  <w:num w:numId="1672">
    <w:abstractNumId w:val="1"/>
  </w:num>
  <w:num w:numId="1673">
    <w:abstractNumId w:val="2"/>
  </w:num>
  <w:num w:numId="1674">
    <w:abstractNumId w:val="3"/>
  </w:num>
  <w:num w:numId="1675">
    <w:abstractNumId w:val="4"/>
  </w:num>
  <w:num w:numId="1676">
    <w:abstractNumId w:val="5"/>
  </w:num>
  <w:num w:numId="1677">
    <w:abstractNumId w:val="6"/>
  </w:num>
  <w:num w:numId="1678">
    <w:abstractNumId w:val="7"/>
  </w:num>
  <w:num w:numId="1679">
    <w:abstractNumId w:val="0"/>
  </w:num>
  <w:num w:numId="1680">
    <w:abstractNumId w:val="1"/>
  </w:num>
  <w:num w:numId="1681">
    <w:abstractNumId w:val="2"/>
  </w:num>
  <w:num w:numId="1682">
    <w:abstractNumId w:val="3"/>
  </w:num>
  <w:num w:numId="1683">
    <w:abstractNumId w:val="4"/>
  </w:num>
  <w:num w:numId="1684">
    <w:abstractNumId w:val="5"/>
  </w:num>
  <w:num w:numId="1685">
    <w:abstractNumId w:val="6"/>
  </w:num>
  <w:num w:numId="1686">
    <w:abstractNumId w:val="7"/>
  </w:num>
  <w:num w:numId="1687">
    <w:abstractNumId w:val="0"/>
  </w:num>
  <w:num w:numId="1688">
    <w:abstractNumId w:val="1"/>
  </w:num>
  <w:num w:numId="1689">
    <w:abstractNumId w:val="2"/>
  </w:num>
  <w:num w:numId="1690">
    <w:abstractNumId w:val="3"/>
  </w:num>
  <w:num w:numId="1691">
    <w:abstractNumId w:val="4"/>
  </w:num>
  <w:num w:numId="1692">
    <w:abstractNumId w:val="5"/>
  </w:num>
  <w:num w:numId="1693">
    <w:abstractNumId w:val="6"/>
  </w:num>
  <w:num w:numId="1694">
    <w:abstractNumId w:val="7"/>
  </w:num>
  <w:num w:numId="1695">
    <w:abstractNumId w:val="0"/>
  </w:num>
  <w:num w:numId="1696">
    <w:abstractNumId w:val="1"/>
  </w:num>
  <w:num w:numId="1697">
    <w:abstractNumId w:val="2"/>
  </w:num>
  <w:num w:numId="1698">
    <w:abstractNumId w:val="3"/>
  </w:num>
  <w:num w:numId="1699">
    <w:abstractNumId w:val="4"/>
  </w:num>
  <w:num w:numId="1700">
    <w:abstractNumId w:val="5"/>
  </w:num>
  <w:num w:numId="1701">
    <w:abstractNumId w:val="6"/>
  </w:num>
  <w:num w:numId="1702">
    <w:abstractNumId w:val="7"/>
  </w:num>
  <w:num w:numId="1703">
    <w:abstractNumId w:val="0"/>
  </w:num>
  <w:num w:numId="1704">
    <w:abstractNumId w:val="1"/>
  </w:num>
  <w:num w:numId="1705">
    <w:abstractNumId w:val="2"/>
  </w:num>
  <w:num w:numId="1706">
    <w:abstractNumId w:val="3"/>
  </w:num>
  <w:num w:numId="1707">
    <w:abstractNumId w:val="4"/>
  </w:num>
  <w:num w:numId="1708">
    <w:abstractNumId w:val="5"/>
  </w:num>
  <w:num w:numId="1709">
    <w:abstractNumId w:val="6"/>
  </w:num>
  <w:num w:numId="1710">
    <w:abstractNumId w:val="7"/>
  </w:num>
  <w:num w:numId="1711">
    <w:abstractNumId w:val="0"/>
  </w:num>
  <w:num w:numId="1712">
    <w:abstractNumId w:val="1"/>
  </w:num>
  <w:num w:numId="1713">
    <w:abstractNumId w:val="2"/>
  </w:num>
  <w:num w:numId="1714">
    <w:abstractNumId w:val="3"/>
  </w:num>
  <w:num w:numId="1715">
    <w:abstractNumId w:val="4"/>
  </w:num>
  <w:num w:numId="1716">
    <w:abstractNumId w:val="5"/>
  </w:num>
  <w:num w:numId="1717">
    <w:abstractNumId w:val="6"/>
  </w:num>
  <w:num w:numId="1718">
    <w:abstractNumId w:val="7"/>
  </w:num>
  <w:num w:numId="1719">
    <w:abstractNumId w:val="0"/>
  </w:num>
  <w:num w:numId="1720">
    <w:abstractNumId w:val="1"/>
  </w:num>
  <w:num w:numId="1721">
    <w:abstractNumId w:val="2"/>
  </w:num>
  <w:num w:numId="1722">
    <w:abstractNumId w:val="3"/>
  </w:num>
  <w:num w:numId="1723">
    <w:abstractNumId w:val="4"/>
  </w:num>
  <w:num w:numId="1724">
    <w:abstractNumId w:val="5"/>
  </w:num>
  <w:num w:numId="1725">
    <w:abstractNumId w:val="6"/>
  </w:num>
  <w:num w:numId="1726">
    <w:abstractNumId w:val="7"/>
  </w:num>
  <w:num w:numId="1727">
    <w:abstractNumId w:val="0"/>
  </w:num>
  <w:num w:numId="1728">
    <w:abstractNumId w:val="1"/>
  </w:num>
  <w:num w:numId="1729">
    <w:abstractNumId w:val="2"/>
  </w:num>
  <w:num w:numId="1730">
    <w:abstractNumId w:val="3"/>
  </w:num>
  <w:num w:numId="1731">
    <w:abstractNumId w:val="4"/>
  </w:num>
  <w:num w:numId="1732">
    <w:abstractNumId w:val="5"/>
  </w:num>
  <w:num w:numId="1733">
    <w:abstractNumId w:val="6"/>
  </w:num>
  <w:num w:numId="1734">
    <w:abstractNumId w:val="7"/>
  </w:num>
  <w:num w:numId="1735">
    <w:abstractNumId w:val="0"/>
  </w:num>
  <w:num w:numId="1736">
    <w:abstractNumId w:val="1"/>
  </w:num>
  <w:num w:numId="1737">
    <w:abstractNumId w:val="2"/>
  </w:num>
  <w:num w:numId="1738">
    <w:abstractNumId w:val="3"/>
  </w:num>
  <w:num w:numId="1739">
    <w:abstractNumId w:val="4"/>
  </w:num>
  <w:num w:numId="1740">
    <w:abstractNumId w:val="5"/>
  </w:num>
  <w:num w:numId="1741">
    <w:abstractNumId w:val="6"/>
  </w:num>
  <w:num w:numId="1742">
    <w:abstractNumId w:val="7"/>
  </w:num>
  <w:num w:numId="1743">
    <w:abstractNumId w:val="0"/>
  </w:num>
  <w:num w:numId="1744">
    <w:abstractNumId w:val="1"/>
  </w:num>
  <w:num w:numId="1745">
    <w:abstractNumId w:val="2"/>
  </w:num>
  <w:num w:numId="1746">
    <w:abstractNumId w:val="3"/>
  </w:num>
  <w:num w:numId="1747">
    <w:abstractNumId w:val="4"/>
  </w:num>
  <w:num w:numId="1748">
    <w:abstractNumId w:val="5"/>
  </w:num>
  <w:num w:numId="1749">
    <w:abstractNumId w:val="6"/>
  </w:num>
  <w:num w:numId="1750">
    <w:abstractNumId w:val="7"/>
  </w:num>
  <w:num w:numId="1751">
    <w:abstractNumId w:val="0"/>
  </w:num>
  <w:num w:numId="1752">
    <w:abstractNumId w:val="1"/>
  </w:num>
  <w:num w:numId="1753">
    <w:abstractNumId w:val="2"/>
  </w:num>
  <w:num w:numId="1754">
    <w:abstractNumId w:val="3"/>
  </w:num>
  <w:num w:numId="1755">
    <w:abstractNumId w:val="4"/>
  </w:num>
  <w:num w:numId="1756">
    <w:abstractNumId w:val="5"/>
  </w:num>
  <w:num w:numId="1757">
    <w:abstractNumId w:val="6"/>
  </w:num>
  <w:num w:numId="1758">
    <w:abstractNumId w:val="7"/>
  </w:num>
  <w:num w:numId="1759">
    <w:abstractNumId w:val="0"/>
  </w:num>
  <w:num w:numId="1760">
    <w:abstractNumId w:val="1"/>
  </w:num>
  <w:num w:numId="1761">
    <w:abstractNumId w:val="2"/>
  </w:num>
  <w:num w:numId="1762">
    <w:abstractNumId w:val="3"/>
  </w:num>
  <w:num w:numId="1763">
    <w:abstractNumId w:val="4"/>
  </w:num>
  <w:num w:numId="1764">
    <w:abstractNumId w:val="5"/>
  </w:num>
  <w:num w:numId="1765">
    <w:abstractNumId w:val="6"/>
  </w:num>
  <w:num w:numId="1766">
    <w:abstractNumId w:val="7"/>
  </w:num>
  <w:num w:numId="1767">
    <w:abstractNumId w:val="0"/>
  </w:num>
  <w:num w:numId="1768">
    <w:abstractNumId w:val="1"/>
  </w:num>
  <w:num w:numId="1769">
    <w:abstractNumId w:val="2"/>
  </w:num>
  <w:num w:numId="1770">
    <w:abstractNumId w:val="3"/>
  </w:num>
  <w:num w:numId="1771">
    <w:abstractNumId w:val="4"/>
  </w:num>
  <w:num w:numId="1772">
    <w:abstractNumId w:val="5"/>
  </w:num>
  <w:num w:numId="1773">
    <w:abstractNumId w:val="6"/>
  </w:num>
  <w:num w:numId="1774">
    <w:abstractNumId w:val="7"/>
  </w:num>
  <w:num w:numId="1775">
    <w:abstractNumId w:val="0"/>
  </w:num>
  <w:num w:numId="1776">
    <w:abstractNumId w:val="1"/>
  </w:num>
  <w:num w:numId="1777">
    <w:abstractNumId w:val="2"/>
  </w:num>
  <w:num w:numId="1778">
    <w:abstractNumId w:val="3"/>
  </w:num>
  <w:num w:numId="1779">
    <w:abstractNumId w:val="4"/>
  </w:num>
  <w:num w:numId="1780">
    <w:abstractNumId w:val="5"/>
  </w:num>
  <w:num w:numId="1781">
    <w:abstractNumId w:val="6"/>
  </w:num>
  <w:num w:numId="1782">
    <w:abstractNumId w:val="7"/>
  </w:num>
  <w:num w:numId="1783">
    <w:abstractNumId w:val="0"/>
  </w:num>
  <w:num w:numId="1784">
    <w:abstractNumId w:val="1"/>
  </w:num>
  <w:num w:numId="1785">
    <w:abstractNumId w:val="2"/>
  </w:num>
  <w:num w:numId="1786">
    <w:abstractNumId w:val="3"/>
  </w:num>
  <w:num w:numId="1787">
    <w:abstractNumId w:val="4"/>
  </w:num>
  <w:num w:numId="1788">
    <w:abstractNumId w:val="5"/>
  </w:num>
  <w:num w:numId="1789">
    <w:abstractNumId w:val="6"/>
  </w:num>
  <w:num w:numId="1790">
    <w:abstractNumId w:val="7"/>
  </w:num>
  <w:num w:numId="1791">
    <w:abstractNumId w:val="0"/>
  </w:num>
  <w:num w:numId="1792">
    <w:abstractNumId w:val="1"/>
  </w:num>
  <w:num w:numId="1793">
    <w:abstractNumId w:val="2"/>
  </w:num>
  <w:num w:numId="1794">
    <w:abstractNumId w:val="3"/>
  </w:num>
  <w:num w:numId="1795">
    <w:abstractNumId w:val="4"/>
  </w:num>
  <w:num w:numId="1796">
    <w:abstractNumId w:val="5"/>
  </w:num>
  <w:num w:numId="1797">
    <w:abstractNumId w:val="6"/>
  </w:num>
  <w:num w:numId="1798">
    <w:abstractNumId w:val="7"/>
  </w:num>
  <w:num w:numId="1799">
    <w:abstractNumId w:val="0"/>
  </w:num>
  <w:num w:numId="1800">
    <w:abstractNumId w:val="1"/>
  </w:num>
  <w:num w:numId="1801">
    <w:abstractNumId w:val="2"/>
  </w:num>
  <w:num w:numId="1802">
    <w:abstractNumId w:val="3"/>
  </w:num>
  <w:num w:numId="1803">
    <w:abstractNumId w:val="4"/>
  </w:num>
  <w:num w:numId="1804">
    <w:abstractNumId w:val="5"/>
  </w:num>
  <w:num w:numId="1805">
    <w:abstractNumId w:val="6"/>
  </w:num>
  <w:num w:numId="1806">
    <w:abstractNumId w:val="7"/>
  </w:num>
  <w:num w:numId="1807">
    <w:abstractNumId w:val="0"/>
  </w:num>
  <w:num w:numId="1808">
    <w:abstractNumId w:val="1"/>
  </w:num>
  <w:num w:numId="1809">
    <w:abstractNumId w:val="2"/>
  </w:num>
  <w:num w:numId="1810">
    <w:abstractNumId w:val="3"/>
  </w:num>
  <w:num w:numId="1811">
    <w:abstractNumId w:val="4"/>
  </w:num>
  <w:num w:numId="1812">
    <w:abstractNumId w:val="5"/>
  </w:num>
  <w:num w:numId="1813">
    <w:abstractNumId w:val="6"/>
  </w:num>
  <w:num w:numId="1814">
    <w:abstractNumId w:val="7"/>
  </w:num>
  <w:num w:numId="1815">
    <w:abstractNumId w:val="0"/>
  </w:num>
  <w:num w:numId="1816">
    <w:abstractNumId w:val="1"/>
  </w:num>
  <w:num w:numId="1817">
    <w:abstractNumId w:val="2"/>
  </w:num>
  <w:num w:numId="1818">
    <w:abstractNumId w:val="3"/>
  </w:num>
  <w:num w:numId="1819">
    <w:abstractNumId w:val="4"/>
  </w:num>
  <w:num w:numId="1820">
    <w:abstractNumId w:val="5"/>
  </w:num>
  <w:num w:numId="1821">
    <w:abstractNumId w:val="6"/>
  </w:num>
  <w:num w:numId="1822">
    <w:abstractNumId w:val="7"/>
  </w:num>
  <w:num w:numId="1823">
    <w:abstractNumId w:val="0"/>
  </w:num>
  <w:num w:numId="1824">
    <w:abstractNumId w:val="1"/>
  </w:num>
  <w:num w:numId="1825">
    <w:abstractNumId w:val="2"/>
  </w:num>
  <w:num w:numId="1826">
    <w:abstractNumId w:val="3"/>
  </w:num>
  <w:num w:numId="1827">
    <w:abstractNumId w:val="4"/>
  </w:num>
  <w:num w:numId="1828">
    <w:abstractNumId w:val="5"/>
  </w:num>
  <w:num w:numId="1829">
    <w:abstractNumId w:val="6"/>
  </w:num>
  <w:num w:numId="1830">
    <w:abstractNumId w:val="7"/>
  </w:num>
  <w:num w:numId="1831">
    <w:abstractNumId w:val="0"/>
  </w:num>
  <w:num w:numId="1832">
    <w:abstractNumId w:val="1"/>
  </w:num>
  <w:num w:numId="1833">
    <w:abstractNumId w:val="2"/>
  </w:num>
  <w:num w:numId="1834">
    <w:abstractNumId w:val="3"/>
  </w:num>
  <w:num w:numId="1835">
    <w:abstractNumId w:val="4"/>
  </w:num>
  <w:num w:numId="1836">
    <w:abstractNumId w:val="5"/>
  </w:num>
  <w:num w:numId="1837">
    <w:abstractNumId w:val="6"/>
  </w:num>
  <w:num w:numId="1838">
    <w:abstractNumId w:val="7"/>
  </w:num>
  <w:num w:numId="1839">
    <w:abstractNumId w:val="0"/>
  </w:num>
  <w:num w:numId="1840">
    <w:abstractNumId w:val="1"/>
  </w:num>
  <w:num w:numId="1841">
    <w:abstractNumId w:val="2"/>
  </w:num>
  <w:num w:numId="1842">
    <w:abstractNumId w:val="3"/>
  </w:num>
  <w:num w:numId="1843">
    <w:abstractNumId w:val="4"/>
  </w:num>
  <w:num w:numId="1844">
    <w:abstractNumId w:val="5"/>
  </w:num>
  <w:num w:numId="1845">
    <w:abstractNumId w:val="6"/>
  </w:num>
  <w:num w:numId="1846">
    <w:abstractNumId w:val="7"/>
  </w:num>
  <w:num w:numId="1847">
    <w:abstractNumId w:val="0"/>
  </w:num>
  <w:num w:numId="1848">
    <w:abstractNumId w:val="1"/>
  </w:num>
  <w:num w:numId="1849">
    <w:abstractNumId w:val="2"/>
  </w:num>
  <w:num w:numId="1850">
    <w:abstractNumId w:val="3"/>
  </w:num>
  <w:num w:numId="1851">
    <w:abstractNumId w:val="4"/>
  </w:num>
  <w:num w:numId="1852">
    <w:abstractNumId w:val="5"/>
  </w:num>
  <w:num w:numId="1853">
    <w:abstractNumId w:val="6"/>
  </w:num>
  <w:num w:numId="1854">
    <w:abstractNumId w:val="7"/>
  </w:num>
  <w:num w:numId="1855">
    <w:abstractNumId w:val="0"/>
  </w:num>
  <w:num w:numId="1856">
    <w:abstractNumId w:val="1"/>
  </w:num>
  <w:num w:numId="1857">
    <w:abstractNumId w:val="2"/>
  </w:num>
  <w:num w:numId="1858">
    <w:abstractNumId w:val="3"/>
  </w:num>
  <w:num w:numId="1859">
    <w:abstractNumId w:val="4"/>
  </w:num>
  <w:num w:numId="1860">
    <w:abstractNumId w:val="5"/>
  </w:num>
  <w:num w:numId="1861">
    <w:abstractNumId w:val="6"/>
  </w:num>
  <w:num w:numId="1862">
    <w:abstractNumId w:val="7"/>
  </w:num>
  <w:num w:numId="1863">
    <w:abstractNumId w:val="0"/>
  </w:num>
  <w:num w:numId="1864">
    <w:abstractNumId w:val="1"/>
  </w:num>
  <w:num w:numId="1865">
    <w:abstractNumId w:val="2"/>
  </w:num>
  <w:num w:numId="1866">
    <w:abstractNumId w:val="3"/>
  </w:num>
  <w:num w:numId="1867">
    <w:abstractNumId w:val="4"/>
  </w:num>
  <w:num w:numId="1868">
    <w:abstractNumId w:val="5"/>
  </w:num>
  <w:num w:numId="1869">
    <w:abstractNumId w:val="6"/>
  </w:num>
  <w:num w:numId="1870">
    <w:abstractNumId w:val="7"/>
  </w:num>
  <w:num w:numId="1871">
    <w:abstractNumId w:val="0"/>
  </w:num>
  <w:num w:numId="1872">
    <w:abstractNumId w:val="1"/>
  </w:num>
  <w:num w:numId="1873">
    <w:abstractNumId w:val="2"/>
  </w:num>
  <w:num w:numId="1874">
    <w:abstractNumId w:val="3"/>
  </w:num>
  <w:num w:numId="1875">
    <w:abstractNumId w:val="4"/>
  </w:num>
  <w:num w:numId="1876">
    <w:abstractNumId w:val="5"/>
  </w:num>
  <w:num w:numId="1877">
    <w:abstractNumId w:val="6"/>
  </w:num>
  <w:num w:numId="1878">
    <w:abstractNumId w:val="7"/>
  </w:num>
  <w:num w:numId="1879">
    <w:abstractNumId w:val="0"/>
  </w:num>
  <w:num w:numId="1880">
    <w:abstractNumId w:val="1"/>
  </w:num>
  <w:num w:numId="1881">
    <w:abstractNumId w:val="2"/>
  </w:num>
  <w:num w:numId="1882">
    <w:abstractNumId w:val="48"/>
  </w:num>
  <w:num w:numId="1883">
    <w:abstractNumId w:val="3"/>
  </w:num>
  <w:num w:numId="1884">
    <w:abstractNumId w:val="4"/>
  </w:num>
  <w:num w:numId="1885">
    <w:abstractNumId w:val="5"/>
  </w:num>
  <w:num w:numId="1886">
    <w:abstractNumId w:val="6"/>
  </w:num>
  <w:num w:numId="1887">
    <w:abstractNumId w:val="7"/>
  </w:num>
  <w:num w:numId="1888">
    <w:abstractNumId w:val="0"/>
  </w:num>
  <w:num w:numId="1889">
    <w:abstractNumId w:val="1"/>
  </w:num>
  <w:num w:numId="1890">
    <w:abstractNumId w:val="2"/>
  </w:num>
  <w:num w:numId="1891">
    <w:abstractNumId w:val="3"/>
  </w:num>
  <w:num w:numId="1892">
    <w:abstractNumId w:val="4"/>
  </w:num>
  <w:num w:numId="1893">
    <w:abstractNumId w:val="5"/>
  </w:num>
  <w:num w:numId="1894">
    <w:abstractNumId w:val="6"/>
  </w:num>
  <w:num w:numId="1895">
    <w:abstractNumId w:val="7"/>
  </w:num>
  <w:num w:numId="1896">
    <w:abstractNumId w:val="0"/>
  </w:num>
  <w:num w:numId="1897">
    <w:abstractNumId w:val="1"/>
  </w:num>
  <w:num w:numId="1898">
    <w:abstractNumId w:val="2"/>
  </w:num>
  <w:num w:numId="1899">
    <w:abstractNumId w:val="3"/>
  </w:num>
  <w:num w:numId="1900">
    <w:abstractNumId w:val="4"/>
  </w:num>
  <w:num w:numId="1901">
    <w:abstractNumId w:val="5"/>
  </w:num>
  <w:num w:numId="1902">
    <w:abstractNumId w:val="6"/>
  </w:num>
  <w:num w:numId="1903">
    <w:abstractNumId w:val="7"/>
  </w:num>
  <w:num w:numId="1904">
    <w:abstractNumId w:val="0"/>
  </w:num>
  <w:num w:numId="1905">
    <w:abstractNumId w:val="1"/>
  </w:num>
  <w:num w:numId="1906">
    <w:abstractNumId w:val="2"/>
  </w:num>
  <w:num w:numId="1907">
    <w:abstractNumId w:val="3"/>
  </w:num>
  <w:num w:numId="1908">
    <w:abstractNumId w:val="4"/>
  </w:num>
  <w:num w:numId="1909">
    <w:abstractNumId w:val="5"/>
  </w:num>
  <w:num w:numId="1910">
    <w:abstractNumId w:val="6"/>
  </w:num>
  <w:num w:numId="1911">
    <w:abstractNumId w:val="7"/>
  </w:num>
  <w:num w:numId="1912">
    <w:abstractNumId w:val="0"/>
  </w:num>
  <w:num w:numId="1913">
    <w:abstractNumId w:val="1"/>
  </w:num>
  <w:num w:numId="1914">
    <w:abstractNumId w:val="2"/>
  </w:num>
  <w:num w:numId="1915">
    <w:abstractNumId w:val="3"/>
  </w:num>
  <w:num w:numId="1916">
    <w:abstractNumId w:val="4"/>
  </w:num>
  <w:num w:numId="1917">
    <w:abstractNumId w:val="5"/>
  </w:num>
  <w:num w:numId="1918">
    <w:abstractNumId w:val="6"/>
  </w:num>
  <w:num w:numId="1919">
    <w:abstractNumId w:val="7"/>
  </w:num>
  <w:num w:numId="1920">
    <w:abstractNumId w:val="0"/>
  </w:num>
  <w:num w:numId="1921">
    <w:abstractNumId w:val="1"/>
  </w:num>
  <w:num w:numId="1922">
    <w:abstractNumId w:val="2"/>
  </w:num>
  <w:num w:numId="1923">
    <w:abstractNumId w:val="3"/>
  </w:num>
  <w:num w:numId="1924">
    <w:abstractNumId w:val="4"/>
  </w:num>
  <w:num w:numId="1925">
    <w:abstractNumId w:val="5"/>
  </w:num>
  <w:num w:numId="1926">
    <w:abstractNumId w:val="6"/>
  </w:num>
  <w:num w:numId="1927">
    <w:abstractNumId w:val="7"/>
  </w:num>
  <w:num w:numId="1928">
    <w:abstractNumId w:val="0"/>
  </w:num>
  <w:num w:numId="1929">
    <w:abstractNumId w:val="1"/>
  </w:num>
  <w:num w:numId="1930">
    <w:abstractNumId w:val="2"/>
  </w:num>
  <w:num w:numId="1931">
    <w:abstractNumId w:val="3"/>
  </w:num>
  <w:num w:numId="1932">
    <w:abstractNumId w:val="4"/>
  </w:num>
  <w:num w:numId="1933">
    <w:abstractNumId w:val="5"/>
  </w:num>
  <w:num w:numId="1934">
    <w:abstractNumId w:val="6"/>
  </w:num>
  <w:num w:numId="1935">
    <w:abstractNumId w:val="7"/>
  </w:num>
  <w:num w:numId="1936">
    <w:abstractNumId w:val="0"/>
  </w:num>
  <w:num w:numId="1937">
    <w:abstractNumId w:val="1"/>
  </w:num>
  <w:num w:numId="1938">
    <w:abstractNumId w:val="2"/>
  </w:num>
  <w:num w:numId="1939">
    <w:abstractNumId w:val="3"/>
  </w:num>
  <w:num w:numId="1940">
    <w:abstractNumId w:val="4"/>
  </w:num>
  <w:num w:numId="1941">
    <w:abstractNumId w:val="5"/>
  </w:num>
  <w:num w:numId="1942">
    <w:abstractNumId w:val="6"/>
  </w:num>
  <w:num w:numId="1943">
    <w:abstractNumId w:val="7"/>
  </w:num>
  <w:num w:numId="1944">
    <w:abstractNumId w:val="0"/>
  </w:num>
  <w:num w:numId="1945">
    <w:abstractNumId w:val="1"/>
  </w:num>
  <w:num w:numId="1946">
    <w:abstractNumId w:val="2"/>
  </w:num>
  <w:num w:numId="1947">
    <w:abstractNumId w:val="3"/>
  </w:num>
  <w:num w:numId="1948">
    <w:abstractNumId w:val="4"/>
  </w:num>
  <w:num w:numId="1949">
    <w:abstractNumId w:val="5"/>
  </w:num>
  <w:num w:numId="1950">
    <w:abstractNumId w:val="6"/>
  </w:num>
  <w:num w:numId="1951">
    <w:abstractNumId w:val="7"/>
  </w:num>
  <w:num w:numId="1952">
    <w:abstractNumId w:val="0"/>
  </w:num>
  <w:num w:numId="1953">
    <w:abstractNumId w:val="1"/>
  </w:num>
  <w:num w:numId="1954">
    <w:abstractNumId w:val="2"/>
  </w:num>
  <w:num w:numId="1955">
    <w:abstractNumId w:val="3"/>
  </w:num>
  <w:num w:numId="1956">
    <w:abstractNumId w:val="4"/>
  </w:num>
  <w:num w:numId="1957">
    <w:abstractNumId w:val="5"/>
  </w:num>
  <w:num w:numId="1958">
    <w:abstractNumId w:val="6"/>
  </w:num>
  <w:num w:numId="1959">
    <w:abstractNumId w:val="7"/>
  </w:num>
  <w:num w:numId="1960">
    <w:abstractNumId w:val="0"/>
  </w:num>
  <w:num w:numId="1961">
    <w:abstractNumId w:val="1"/>
  </w:num>
  <w:num w:numId="1962">
    <w:abstractNumId w:val="2"/>
  </w:num>
  <w:num w:numId="1963">
    <w:abstractNumId w:val="3"/>
  </w:num>
  <w:num w:numId="1964">
    <w:abstractNumId w:val="4"/>
  </w:num>
  <w:num w:numId="1965">
    <w:abstractNumId w:val="5"/>
  </w:num>
  <w:num w:numId="1966">
    <w:abstractNumId w:val="6"/>
  </w:num>
  <w:num w:numId="1967">
    <w:abstractNumId w:val="7"/>
  </w:num>
  <w:num w:numId="1968">
    <w:abstractNumId w:val="0"/>
  </w:num>
  <w:num w:numId="1969">
    <w:abstractNumId w:val="1"/>
  </w:num>
  <w:num w:numId="1970">
    <w:abstractNumId w:val="2"/>
  </w:num>
  <w:num w:numId="1971">
    <w:abstractNumId w:val="3"/>
  </w:num>
  <w:num w:numId="1972">
    <w:abstractNumId w:val="4"/>
  </w:num>
  <w:num w:numId="1973">
    <w:abstractNumId w:val="5"/>
  </w:num>
  <w:num w:numId="1974">
    <w:abstractNumId w:val="6"/>
  </w:num>
  <w:num w:numId="1975">
    <w:abstractNumId w:val="7"/>
  </w:num>
  <w:num w:numId="1976">
    <w:abstractNumId w:val="0"/>
  </w:num>
  <w:num w:numId="1977">
    <w:abstractNumId w:val="1"/>
  </w:num>
  <w:num w:numId="1978">
    <w:abstractNumId w:val="2"/>
  </w:num>
  <w:num w:numId="1979">
    <w:abstractNumId w:val="12"/>
  </w:num>
  <w:num w:numId="1980">
    <w:abstractNumId w:val="3"/>
  </w:num>
  <w:num w:numId="1981">
    <w:abstractNumId w:val="4"/>
  </w:num>
  <w:num w:numId="1982">
    <w:abstractNumId w:val="5"/>
  </w:num>
  <w:num w:numId="1983">
    <w:abstractNumId w:val="6"/>
  </w:num>
  <w:num w:numId="1984">
    <w:abstractNumId w:val="7"/>
  </w:num>
  <w:num w:numId="1985">
    <w:abstractNumId w:val="0"/>
  </w:num>
  <w:num w:numId="1986">
    <w:abstractNumId w:val="1"/>
  </w:num>
  <w:num w:numId="1987">
    <w:abstractNumId w:val="2"/>
  </w:num>
  <w:num w:numId="1988">
    <w:abstractNumId w:val="3"/>
  </w:num>
  <w:num w:numId="1989">
    <w:abstractNumId w:val="4"/>
  </w:num>
  <w:num w:numId="1990">
    <w:abstractNumId w:val="5"/>
  </w:num>
  <w:num w:numId="1991">
    <w:abstractNumId w:val="6"/>
  </w:num>
  <w:num w:numId="1992">
    <w:abstractNumId w:val="7"/>
  </w:num>
  <w:num w:numId="1993">
    <w:abstractNumId w:val="0"/>
  </w:num>
  <w:num w:numId="1994">
    <w:abstractNumId w:val="1"/>
  </w:num>
  <w:num w:numId="1995">
    <w:abstractNumId w:val="2"/>
  </w:num>
  <w:num w:numId="1996">
    <w:abstractNumId w:val="3"/>
  </w:num>
  <w:num w:numId="1997">
    <w:abstractNumId w:val="4"/>
  </w:num>
  <w:num w:numId="1998">
    <w:abstractNumId w:val="5"/>
  </w:num>
  <w:num w:numId="1999">
    <w:abstractNumId w:val="6"/>
  </w:num>
  <w:num w:numId="2000">
    <w:abstractNumId w:val="7"/>
  </w:num>
  <w:num w:numId="2001">
    <w:abstractNumId w:val="0"/>
  </w:num>
  <w:num w:numId="2002">
    <w:abstractNumId w:val="64"/>
  </w:num>
  <w:num w:numId="2003">
    <w:abstractNumId w:val="31"/>
  </w:num>
  <w:num w:numId="2004">
    <w:abstractNumId w:val="34"/>
  </w:num>
  <w:num w:numId="2005">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B31"/>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939"/>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52"/>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39E"/>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9DA"/>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CC2"/>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79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D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02A"/>
    <w:rsid w:val="003E58C2"/>
    <w:rsid w:val="003E5AE8"/>
    <w:rsid w:val="003E5FCA"/>
    <w:rsid w:val="003E66A4"/>
    <w:rsid w:val="003E672B"/>
    <w:rsid w:val="003E6F99"/>
    <w:rsid w:val="003E77E9"/>
    <w:rsid w:val="003E798E"/>
    <w:rsid w:val="003E7E55"/>
    <w:rsid w:val="003F0032"/>
    <w:rsid w:val="003F02E0"/>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105"/>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000"/>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27FF7"/>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377"/>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3A8C"/>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C6C"/>
    <w:rsid w:val="005F3DD2"/>
    <w:rsid w:val="005F4418"/>
    <w:rsid w:val="005F492A"/>
    <w:rsid w:val="005F49D2"/>
    <w:rsid w:val="005F4CED"/>
    <w:rsid w:val="005F5352"/>
    <w:rsid w:val="005F5527"/>
    <w:rsid w:val="005F6B5C"/>
    <w:rsid w:val="005F6BF4"/>
    <w:rsid w:val="005F6D08"/>
    <w:rsid w:val="005F6F91"/>
    <w:rsid w:val="005F7321"/>
    <w:rsid w:val="005F7CC7"/>
    <w:rsid w:val="00600026"/>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5C0"/>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88"/>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35E"/>
    <w:rsid w:val="007B1623"/>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7CE"/>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166"/>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371"/>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3B84"/>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BA"/>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0B8F"/>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08A"/>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807"/>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537"/>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6E0E"/>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5DFD"/>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09E"/>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2AF"/>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5F9"/>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2BA1"/>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38E"/>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D7EC6"/>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61D"/>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3B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1FEC"/>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0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6C7E"/>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C78"/>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0EF"/>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3CF3"/>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0F40"/>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62F"/>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69B"/>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061"/>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2507E8"/>
    <w:pPr>
      <w:keepNext/>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BD2BA1"/>
    <w:pPr>
      <w:keepNext w:val="0"/>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930B8F"/>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2507E8"/>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BD2BA1"/>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93">
    <w:name w:val="סגנון9"/>
    <w:basedOn w:val="738"/>
    <w:qFormat/>
    <w:rsid w:val="00590377"/>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90377"/>
    <w:rPr>
      <w:vertAlign w:val="superscript"/>
    </w:rPr>
  </w:style>
  <w:style w:type="character" w:styleId="CommentReference">
    <w:name w:val="annotation reference"/>
    <w:basedOn w:val="DefaultParagraphFont"/>
    <w:uiPriority w:val="99"/>
    <w:semiHidden/>
    <w:unhideWhenUsed/>
    <w:rsid w:val="00E56C7E"/>
    <w:rPr>
      <w:sz w:val="16"/>
      <w:szCs w:val="16"/>
    </w:rPr>
  </w:style>
  <w:style w:type="character" w:customStyle="1" w:styleId="124">
    <w:name w:val="אזכור לא מזוהה1"/>
    <w:basedOn w:val="DefaultParagraphFont"/>
    <w:uiPriority w:val="99"/>
    <w:semiHidden/>
    <w:unhideWhenUsed/>
    <w:rsid w:val="00E56C7E"/>
    <w:rPr>
      <w:color w:val="605E5C"/>
      <w:shd w:val="clear" w:color="auto" w:fill="E1DFDD"/>
    </w:rPr>
  </w:style>
  <w:style w:type="paragraph" w:customStyle="1" w:styleId="0-">
    <w:name w:val="0-מידת תיקון הליקוי"/>
    <w:basedOn w:val="Normal"/>
    <w:link w:val="0-0"/>
    <w:qFormat/>
    <w:rsid w:val="00E56C7E"/>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E56C7E"/>
    <w:rPr>
      <w:rFonts w:ascii="Tahoma" w:hAnsi="Tahoma" w:cs="Tahoma"/>
      <w:b/>
      <w:bCs/>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emf"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pn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footer" Target="footer4.xml" /><Relationship Id="rId31" Type="http://schemas.openxmlformats.org/officeDocument/2006/relationships/header" Target="header6.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9CE7B92D-E30F-4C74-AC2C-F8B52D5CF627}"/>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17</Pages>
  <Words>3560</Words>
  <Characters>17800</Characters>
  <Application>Microsoft Office Word</Application>
  <DocSecurity>0</DocSecurity>
  <Lines>148</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5</cp:revision>
  <cp:lastPrinted>2024-01-07T07:48:00Z</cp:lastPrinted>
  <dcterms:created xsi:type="dcterms:W3CDTF">2024-01-07T07:48:00Z</dcterms:created>
  <dcterms:modified xsi:type="dcterms:W3CDTF">2024-01-08T09:56:00Z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