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1476BC16">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3061355</wp:posOffset>
                </wp:positionH>
                <wp:positionV relativeFrom="paragraph">
                  <wp:posOffset>266639</wp:posOffset>
                </wp:positionV>
                <wp:extent cx="0" cy="4439264"/>
                <wp:effectExtent l="25400" t="0" r="25400" b="3175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439264"/>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05pt,21pt" to="241.05pt,370.55pt" strokecolor="white" strokeweight="4pt"/>
            </w:pict>
          </mc:Fallback>
        </mc:AlternateContent>
      </w:r>
      <w:r w:rsidR="008A71D4">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318281</wp:posOffset>
                </wp:positionH>
                <wp:positionV relativeFrom="paragraph">
                  <wp:posOffset>1920191</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5.05pt,151.2pt" to="231.5pt,151.2pt" strokecolor="white" strokeweight="1.5pt"/>
            </w:pict>
          </mc:Fallback>
        </mc:AlternateContent>
      </w:r>
      <w:r w:rsidRPr="0030415A" w:rsidR="008A71D4">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193040</wp:posOffset>
                </wp:positionH>
                <wp:positionV relativeFrom="paragraph">
                  <wp:posOffset>336550</wp:posOffset>
                </wp:positionV>
                <wp:extent cx="4276725" cy="4273550"/>
                <wp:effectExtent l="0" t="0" r="3175"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67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46AE2A02">
                            <w:pPr>
                              <w:pStyle w:val="a33"/>
                              <w:bidi/>
                              <w:rPr>
                                <w:rtl/>
                              </w:rPr>
                            </w:pPr>
                            <w:r>
                              <w:rPr>
                                <w:rFonts w:hint="cs"/>
                                <w:rtl/>
                              </w:rPr>
                              <w:t xml:space="preserve">דוח </w:t>
                            </w:r>
                            <w:r w:rsidRPr="00FF1736" w:rsidR="00FF1736">
                              <w:rPr>
                                <w:rtl/>
                              </w:rPr>
                              <w:t xml:space="preserve">מבקר המדינה | </w:t>
                            </w:r>
                            <w:r w:rsidR="00B66972">
                              <w:rPr>
                                <w:rtl/>
                              </w:rPr>
                              <w:t>שבט</w:t>
                            </w:r>
                            <w:r w:rsidRPr="00FF1736" w:rsidR="00FF1736">
                              <w:rPr>
                                <w:rtl/>
                              </w:rPr>
                              <w:t xml:space="preserve"> </w:t>
                            </w:r>
                            <w:r w:rsidRPr="00FF1736" w:rsidR="00FF1736">
                              <w:rPr>
                                <w:rtl/>
                              </w:rPr>
                              <w:t>התשפ״ד</w:t>
                            </w:r>
                            <w:r w:rsidRPr="00FF1736" w:rsidR="00FF1736">
                              <w:rPr>
                                <w:rtl/>
                              </w:rPr>
                              <w:t xml:space="preserve"> | ינואר 2024</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19E2B961">
                            <w:pPr>
                              <w:pStyle w:val="-1"/>
                              <w:rPr>
                                <w:rtl/>
                              </w:rPr>
                            </w:pPr>
                            <w:r w:rsidRPr="001B01E8">
                              <w:rPr>
                                <w:rtl/>
                              </w:rPr>
                              <w:t>חברת נתיבי הגז הטבעי לישראל</w:t>
                            </w:r>
                          </w:p>
                          <w:p w:rsidR="00F73EE0" w:rsidP="0072357A" w14:textId="3A18FA51">
                            <w:pPr>
                              <w:pStyle w:val="a32"/>
                              <w:bidi/>
                              <w:spacing w:before="120"/>
                              <w:rPr>
                                <w:rtl/>
                              </w:rPr>
                            </w:pPr>
                            <w:r w:rsidRPr="009D6B52">
                              <w:rPr>
                                <w:rtl/>
                              </w:rPr>
                              <w:t>חברת נתיבי הגז הטבעי לישראל - ביקורת פיננסית והיבטים שונים הנוגעים לפעילות החברה</w:t>
                            </w:r>
                            <w:r>
                              <w:rPr>
                                <w:rFonts w:hint="cs"/>
                                <w:rtl/>
                              </w:rPr>
                              <w:t xml:space="preserve"> </w:t>
                            </w:r>
                          </w:p>
                          <w:p w:rsidR="009D6B52" w:rsidRPr="000F5023" w:rsidP="009D6B52" w14:textId="77777777">
                            <w:pPr>
                              <w:pStyle w:val="a32"/>
                              <w:bidi/>
                              <w:spacing w:before="120"/>
                              <w:rPr>
                                <w:rtl/>
                              </w:rPr>
                            </w:pPr>
                          </w:p>
                          <w:p w:rsidR="00C30482" w:rsidRPr="000F5023" w:rsidP="000F5023" w14:textId="77777777">
                            <w:pPr>
                              <w:pStyle w:val="a32"/>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36.75pt;height:336.5pt;margin-top:26.5pt;margin-left:15.2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46AE2A02">
                      <w:pPr>
                        <w:pStyle w:val="a33"/>
                        <w:bidi/>
                        <w:rPr>
                          <w:rtl/>
                        </w:rPr>
                      </w:pPr>
                      <w:r>
                        <w:rPr>
                          <w:rFonts w:hint="cs"/>
                          <w:rtl/>
                        </w:rPr>
                        <w:t xml:space="preserve">דוח </w:t>
                      </w:r>
                      <w:r w:rsidRPr="00FF1736" w:rsidR="00FF1736">
                        <w:rPr>
                          <w:rtl/>
                        </w:rPr>
                        <w:t xml:space="preserve">מבקר המדינה | </w:t>
                      </w:r>
                      <w:r w:rsidR="00B66972">
                        <w:rPr>
                          <w:rtl/>
                        </w:rPr>
                        <w:t>שבט</w:t>
                      </w:r>
                      <w:r w:rsidRPr="00FF1736" w:rsidR="00FF1736">
                        <w:rPr>
                          <w:rtl/>
                        </w:rPr>
                        <w:t xml:space="preserve"> </w:t>
                      </w:r>
                      <w:r w:rsidRPr="00FF1736" w:rsidR="00FF1736">
                        <w:rPr>
                          <w:rtl/>
                        </w:rPr>
                        <w:t>התשפ״ד</w:t>
                      </w:r>
                      <w:r w:rsidRPr="00FF1736" w:rsidR="00FF1736">
                        <w:rPr>
                          <w:rtl/>
                        </w:rPr>
                        <w:t xml:space="preserve"> | ינואר 2024</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19E2B961">
                      <w:pPr>
                        <w:pStyle w:val="-1"/>
                        <w:rPr>
                          <w:rtl/>
                        </w:rPr>
                      </w:pPr>
                      <w:r w:rsidRPr="001B01E8">
                        <w:rPr>
                          <w:rtl/>
                        </w:rPr>
                        <w:t>חברת נתיבי הגז הטבעי לישראל</w:t>
                      </w:r>
                    </w:p>
                    <w:p w:rsidR="00F73EE0" w:rsidP="0072357A" w14:paraId="5464BE8D" w14:textId="3A18FA51">
                      <w:pPr>
                        <w:pStyle w:val="a32"/>
                        <w:bidi/>
                        <w:spacing w:before="120"/>
                        <w:rPr>
                          <w:rtl/>
                        </w:rPr>
                      </w:pPr>
                      <w:r w:rsidRPr="009D6B52">
                        <w:rPr>
                          <w:rtl/>
                        </w:rPr>
                        <w:t>חברת נתיבי הגז הטבעי לישראל - ביקורת פיננסית והיבטים שונים הנוגעים לפעילות החברה</w:t>
                      </w:r>
                      <w:r>
                        <w:rPr>
                          <w:rFonts w:hint="cs"/>
                          <w:rtl/>
                        </w:rPr>
                        <w:t xml:space="preserve"> </w:t>
                      </w:r>
                    </w:p>
                    <w:p w:rsidR="009D6B52" w:rsidRPr="000F5023" w:rsidP="009D6B52" w14:paraId="3AE1CCA7" w14:textId="77777777">
                      <w:pPr>
                        <w:pStyle w:val="a32"/>
                        <w:bidi/>
                        <w:spacing w:before="120"/>
                        <w:rPr>
                          <w:rtl/>
                        </w:rPr>
                      </w:pPr>
                    </w:p>
                    <w:p w:rsidR="00C30482" w:rsidRPr="000F5023" w:rsidP="000F5023" w14:paraId="5BE5E625" w14:textId="77777777">
                      <w:pPr>
                        <w:pStyle w:val="a32"/>
                        <w:bidi/>
                        <w:rPr>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16CEBEB4">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P="001B01E8" w14:paraId="4ED3AA37" w14:textId="5A4274D1">
      <w:pPr>
        <w:pStyle w:val="7329"/>
        <w:spacing w:after="1200"/>
        <w:rPr>
          <w:rtl/>
        </w:rPr>
      </w:pPr>
      <w:r w:rsidRPr="00802F2E">
        <w:rPr>
          <w:noProof/>
          <w:rtl/>
        </w:rPr>
        <w:drawing>
          <wp:anchor distT="0" distB="0" distL="114300" distR="114300" simplePos="0" relativeHeight="251681792" behindDoc="0" locked="0" layoutInCell="1" allowOverlap="1">
            <wp:simplePos x="0" y="0"/>
            <wp:positionH relativeFrom="column">
              <wp:posOffset>3293110</wp:posOffset>
            </wp:positionH>
            <wp:positionV relativeFrom="paragraph">
              <wp:posOffset>1221023</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02F2E" w:rsidR="00BC3738">
        <w:rPr>
          <w:noProof/>
          <w:rtl/>
        </w:rPr>
        <mc:AlternateContent>
          <mc:Choice Requires="wps">
            <w:drawing>
              <wp:anchor distT="0" distB="0" distL="114300" distR="114300" simplePos="0" relativeHeight="251674624" behindDoc="0" locked="0" layoutInCell="1" allowOverlap="1">
                <wp:simplePos x="0" y="0"/>
                <wp:positionH relativeFrom="column">
                  <wp:posOffset>-655380</wp:posOffset>
                </wp:positionH>
                <wp:positionV relativeFrom="paragraph">
                  <wp:posOffset>230030</wp:posOffset>
                </wp:positionV>
                <wp:extent cx="194310" cy="6199200"/>
                <wp:effectExtent l="0" t="0" r="0" b="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619920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alt="&quot;&quot;" style="width:15.3pt;height:488.15pt;margin-top:18.1pt;margin-left:-51.6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9D6B52" w:rsidR="009D6B52">
        <w:rPr>
          <w:noProof/>
          <w:rtl/>
        </w:rPr>
        <w:t xml:space="preserve">חברת נתיבי הגז הטבעי לישראל - </w:t>
      </w:r>
      <w:r w:rsidR="009D6B52">
        <w:rPr>
          <w:noProof/>
          <w:rtl/>
        </w:rPr>
        <w:br/>
      </w:r>
      <w:r w:rsidRPr="009D6B52" w:rsidR="009D6B52">
        <w:rPr>
          <w:noProof/>
          <w:rtl/>
        </w:rPr>
        <w:t>ביקורת פיננסית והיבטים שונים הנוגעים לפעילות החברה</w:t>
      </w:r>
      <w:r w:rsidR="009D6B52">
        <w:rPr>
          <w:rFonts w:hint="cs"/>
          <w:rtl/>
        </w:rPr>
        <w:t xml:space="preserve"> </w:t>
      </w:r>
    </w:p>
    <w:p w:rsidR="007F4A20" w:rsidRPr="00F16A67" w:rsidP="00AF3B73" w14:paraId="0B41EED6" w14:textId="59F107B7">
      <w:pPr>
        <w:pStyle w:val="7392"/>
        <w:rPr>
          <w:rtl/>
        </w:rPr>
      </w:pPr>
      <w:r w:rsidRPr="002F434F">
        <w:rPr>
          <w:rtl/>
        </w:rPr>
        <w:t>חברת נתיבי הגז הטבעי לישראל בע"מ (</w:t>
      </w:r>
      <w:r w:rsidRPr="002F434F">
        <w:rPr>
          <w:rtl/>
        </w:rPr>
        <w:t>נתג"ז</w:t>
      </w:r>
      <w:r w:rsidRPr="002F434F">
        <w:rPr>
          <w:rtl/>
        </w:rPr>
        <w:t xml:space="preserve"> או החברה) התאגדה בישראל בשנת 2003 כחברה ממשלתית בבעלות מלאה של מדינת ישראל, בהתאם להחלטת הממשלה 649. ב-2004 הוענק לה רישיון (שהוארך ב-2005 עד שנת 2034) </w:t>
      </w:r>
      <w:bookmarkStart w:id="1" w:name="_Hlk132633673"/>
      <w:r w:rsidRPr="002F434F">
        <w:rPr>
          <w:rtl/>
        </w:rPr>
        <w:t>להקמה ולהפעלה של מערכת הולכת גז טבעי</w:t>
      </w:r>
      <w:bookmarkEnd w:id="1"/>
      <w:r>
        <w:rPr>
          <w:vertAlign w:val="superscript"/>
          <w:rtl/>
        </w:rPr>
        <w:footnoteReference w:id="2"/>
      </w:r>
      <w:r w:rsidRPr="002F434F">
        <w:rPr>
          <w:rtl/>
        </w:rPr>
        <w:t xml:space="preserve"> לפי חוק משק הגז הטבעי, התשס"ב-2002, והיא החלה לפעול בשנת 2004. החברה היא מונופול טבעי בשוק הולכת הגז בישראל. </w:t>
      </w:r>
      <w:r w:rsidRPr="002F434F">
        <w:rPr>
          <w:rtl/>
        </w:rPr>
        <w:t>נתג"ז</w:t>
      </w:r>
      <w:r w:rsidRPr="002F434F">
        <w:rPr>
          <w:rtl/>
        </w:rPr>
        <w:t xml:space="preserve"> כפופה לשני </w:t>
      </w:r>
      <w:r w:rsidRPr="002F434F">
        <w:rPr>
          <w:rtl/>
        </w:rPr>
        <w:t>מאסדרים</w:t>
      </w:r>
      <w:r w:rsidRPr="002F434F">
        <w:rPr>
          <w:rtl/>
        </w:rPr>
        <w:t xml:space="preserve">: המאסדר בתחום הגז הטבעי הוא משרד </w:t>
      </w:r>
      <w:r w:rsidRPr="002F434F">
        <w:rPr>
          <w:rtl/>
        </w:rPr>
        <w:t>האנרגייה</w:t>
      </w:r>
      <w:r w:rsidRPr="002F434F">
        <w:rPr>
          <w:rtl/>
        </w:rPr>
        <w:t xml:space="preserve"> והתשתיות, הפועל מבחינה זו דרך רשות הגז הטבעי. המאסדר האחר הוא רשות החברות הממשלתיות, </w:t>
      </w:r>
      <w:r w:rsidRPr="002F434F">
        <w:rPr>
          <w:rtl/>
        </w:rPr>
        <w:t>המאסדרת</w:t>
      </w:r>
      <w:r w:rsidRPr="002F434F">
        <w:rPr>
          <w:rtl/>
        </w:rPr>
        <w:t xml:space="preserve"> את כלל החברות הממשלתיות. בשנת 2022 העסיקה החברה כ-150 עובדים. מערכת ההולכה שהקימה החברה כוללת ארבעה מרכיבים עיקריים: (א) שלוש תחנות לקבלת הגז מספקי הגז; (ב) צנרת יבשתית וימית; (ג) תחנות </w:t>
      </w:r>
      <w:r w:rsidRPr="002F434F">
        <w:t>PRMS</w:t>
      </w:r>
      <w:r w:rsidRPr="004D350D">
        <w:rPr>
          <w:rFonts w:hint="cs"/>
          <w:sz w:val="2"/>
          <w:szCs w:val="2"/>
          <w:vertAlign w:val="superscript"/>
          <w:rtl/>
        </w:rPr>
        <w:t xml:space="preserve"> </w:t>
      </w:r>
      <w:r>
        <w:rPr>
          <w:vertAlign w:val="superscript"/>
        </w:rPr>
        <w:footnoteReference w:id="3"/>
      </w:r>
      <w:r w:rsidRPr="002F434F">
        <w:rPr>
          <w:rtl/>
        </w:rPr>
        <w:t>; (ד) תחנות הגפה</w:t>
      </w:r>
      <w:r>
        <w:rPr>
          <w:vertAlign w:val="superscript"/>
          <w:rtl/>
        </w:rPr>
        <w:footnoteReference w:id="4"/>
      </w:r>
      <w:r w:rsidRPr="002F434F">
        <w:rPr>
          <w:rtl/>
        </w:rPr>
        <w:t xml:space="preserve">. בהתאם להוראות הרישיון, החברה אחראית לתפעול המערכת ולתחזוקתה השוטפת. מערכת ההולכה של גז טבעי מתפרסת מהיישוב </w:t>
      </w:r>
      <w:r w:rsidRPr="002F434F">
        <w:rPr>
          <w:rtl/>
        </w:rPr>
        <w:t>ציפורית</w:t>
      </w:r>
      <w:r w:rsidRPr="002F434F">
        <w:rPr>
          <w:rtl/>
        </w:rPr>
        <w:t xml:space="preserve"> שבצפון ועד סדום בדרום. אורך צנרת הולכת הגז הוא כ-830 ק"מ (נכון לשנת 2021). החברה מוליכה גז טבעי ל-41 לקוחות שונים, ובכללם לקוחות שמייצאים גז למצרים וירדן וכן ל-50 תחנות </w:t>
      </w:r>
      <w:r w:rsidRPr="002F434F">
        <w:t>PRMS</w:t>
      </w:r>
      <w:r w:rsidRPr="002F434F">
        <w:rPr>
          <w:rtl/>
        </w:rPr>
        <w:t>, המשמשות לחיבור לקוחות למערכת ההולכה</w:t>
      </w:r>
      <w:r w:rsidRPr="00F16A67" w:rsidR="0036097F">
        <w:rPr>
          <w:rFonts w:hint="cs"/>
          <w:rtl/>
        </w:rPr>
        <w:t>.</w:t>
      </w:r>
      <w:r w:rsidRPr="00F16A67"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58"/>
        <w:gridCol w:w="277"/>
        <w:gridCol w:w="1614"/>
        <w:gridCol w:w="277"/>
        <w:gridCol w:w="1639"/>
        <w:gridCol w:w="277"/>
        <w:gridCol w:w="1628"/>
      </w:tblGrid>
      <w:tr w14:paraId="58B4726B" w14:textId="77777777" w:rsidTr="004D350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55" w:type="pct"/>
            <w:tcBorders>
              <w:bottom w:val="single" w:sz="12" w:space="0" w:color="000000" w:themeColor="text1"/>
            </w:tcBorders>
            <w:vAlign w:val="bottom"/>
          </w:tcPr>
          <w:p w:rsidR="004D350D" w:rsidRPr="004D350D" w:rsidP="004D350D" w14:paraId="23EB689E" w14:textId="626629C1">
            <w:pPr>
              <w:spacing w:after="60" w:line="240" w:lineRule="auto"/>
              <w:jc w:val="left"/>
              <w:rPr>
                <w:b/>
                <w:bCs/>
                <w:spacing w:val="-28"/>
                <w:rtl/>
              </w:rPr>
            </w:pPr>
            <w:r w:rsidRPr="004D350D">
              <w:rPr>
                <w:rFonts w:ascii="Tahoma" w:hAnsi="Tahoma" w:eastAsiaTheme="minorEastAsia" w:cs="Tahoma"/>
                <w:b/>
                <w:bCs/>
                <w:color w:val="0D0D0D" w:themeColor="text1" w:themeTint="F2"/>
                <w:spacing w:val="-10"/>
                <w:sz w:val="36"/>
                <w:szCs w:val="36"/>
                <w:rtl/>
              </w:rPr>
              <w:t xml:space="preserve">1,005 </w:t>
            </w:r>
            <w:r w:rsidRPr="004D350D">
              <w:rPr>
                <w:rFonts w:ascii="Tahoma" w:hAnsi="Tahoma" w:eastAsiaTheme="minorEastAsia" w:cs="Tahoma"/>
                <w:b/>
                <w:bCs/>
                <w:color w:val="0D0D0D" w:themeColor="text1" w:themeTint="F2"/>
                <w:spacing w:val="-10"/>
                <w:sz w:val="26"/>
                <w:szCs w:val="26"/>
                <w:rtl/>
              </w:rPr>
              <w:t>מיליון ש"ח</w:t>
            </w:r>
          </w:p>
        </w:tc>
        <w:tc>
          <w:tcPr>
            <w:tcW w:w="151" w:type="pct"/>
            <w:vAlign w:val="bottom"/>
          </w:tcPr>
          <w:p w:rsidR="004D350D" w:rsidRPr="004D350D" w:rsidP="004D350D" w14:paraId="19192EA5" w14:textId="77777777">
            <w:pPr>
              <w:spacing w:before="120" w:after="60" w:line="240" w:lineRule="auto"/>
              <w:jc w:val="left"/>
              <w:rPr>
                <w:b/>
                <w:bCs/>
                <w:rtl/>
              </w:rPr>
            </w:pPr>
          </w:p>
        </w:tc>
        <w:tc>
          <w:tcPr>
            <w:tcW w:w="1095" w:type="pct"/>
            <w:tcBorders>
              <w:bottom w:val="single" w:sz="12" w:space="0" w:color="000000" w:themeColor="text1"/>
            </w:tcBorders>
            <w:vAlign w:val="bottom"/>
          </w:tcPr>
          <w:p w:rsidR="004D350D" w:rsidRPr="004D350D" w:rsidP="004D350D" w14:paraId="761F4116" w14:textId="74560A72">
            <w:pPr>
              <w:pStyle w:val="2021"/>
              <w:spacing w:before="0" w:after="60"/>
              <w:rPr>
                <w:spacing w:val="-10"/>
                <w:rtl/>
              </w:rPr>
            </w:pPr>
            <w:r w:rsidRPr="004D350D">
              <w:rPr>
                <w:spacing w:val="-10"/>
                <w:rtl/>
              </w:rPr>
              <w:t>52.5%;</w:t>
            </w:r>
            <w:r w:rsidRPr="004D350D">
              <w:rPr>
                <w:spacing w:val="-10"/>
              </w:rPr>
              <w:t xml:space="preserve"> 25.1% </w:t>
            </w:r>
          </w:p>
        </w:tc>
        <w:tc>
          <w:tcPr>
            <w:tcW w:w="151" w:type="pct"/>
            <w:vAlign w:val="bottom"/>
          </w:tcPr>
          <w:p w:rsidR="004D350D" w:rsidRPr="004D350D" w:rsidP="004D350D" w14:paraId="2810DE55" w14:textId="77777777">
            <w:pPr>
              <w:spacing w:before="120" w:after="60" w:line="240" w:lineRule="auto"/>
              <w:jc w:val="left"/>
              <w:rPr>
                <w:b/>
                <w:bCs/>
                <w:rtl/>
              </w:rPr>
            </w:pPr>
          </w:p>
        </w:tc>
        <w:tc>
          <w:tcPr>
            <w:tcW w:w="1142" w:type="pct"/>
            <w:tcBorders>
              <w:bottom w:val="single" w:sz="12" w:space="0" w:color="000000" w:themeColor="text1"/>
            </w:tcBorders>
            <w:vAlign w:val="bottom"/>
          </w:tcPr>
          <w:p w:rsidR="004D350D" w:rsidRPr="004D350D" w:rsidP="004D350D" w14:paraId="2A2E27BD" w14:textId="3C45DAFF">
            <w:pPr>
              <w:pStyle w:val="2021"/>
              <w:spacing w:before="0" w:after="60"/>
              <w:rPr>
                <w:spacing w:val="-20"/>
                <w:sz w:val="24"/>
                <w:rtl/>
              </w:rPr>
            </w:pPr>
            <w:r w:rsidRPr="004D350D">
              <w:rPr>
                <w:spacing w:val="-10"/>
                <w:rtl/>
              </w:rPr>
              <w:t xml:space="preserve">0 </w:t>
            </w:r>
            <w:r w:rsidRPr="004D350D">
              <w:rPr>
                <w:spacing w:val="-10"/>
                <w:sz w:val="26"/>
                <w:szCs w:val="26"/>
                <w:rtl/>
              </w:rPr>
              <w:t>ש"ח</w:t>
            </w:r>
          </w:p>
        </w:tc>
        <w:tc>
          <w:tcPr>
            <w:tcW w:w="172" w:type="pct"/>
            <w:vAlign w:val="bottom"/>
          </w:tcPr>
          <w:p w:rsidR="004D350D" w:rsidRPr="004D350D" w:rsidP="004D350D" w14:paraId="47B754BA" w14:textId="77777777">
            <w:pPr>
              <w:pStyle w:val="2021"/>
              <w:spacing w:before="0" w:after="60"/>
              <w:rPr>
                <w:spacing w:val="-10"/>
                <w:rtl/>
              </w:rPr>
            </w:pPr>
          </w:p>
        </w:tc>
        <w:tc>
          <w:tcPr>
            <w:tcW w:w="1134" w:type="pct"/>
            <w:tcBorders>
              <w:bottom w:val="single" w:sz="12" w:space="0" w:color="000000" w:themeColor="text1"/>
            </w:tcBorders>
            <w:vAlign w:val="bottom"/>
          </w:tcPr>
          <w:p w:rsidR="004D350D" w:rsidRPr="004D350D" w:rsidP="004D350D" w14:paraId="5F3A3FF5" w14:textId="18B41814">
            <w:pPr>
              <w:pStyle w:val="2021"/>
              <w:spacing w:before="0" w:after="60"/>
              <w:rPr>
                <w:spacing w:val="-10"/>
                <w:rtl/>
              </w:rPr>
            </w:pPr>
            <w:r w:rsidRPr="004D350D">
              <w:rPr>
                <w:spacing w:val="-10"/>
                <w:sz w:val="26"/>
                <w:szCs w:val="26"/>
                <w:rtl/>
              </w:rPr>
              <w:t>כ-</w:t>
            </w:r>
            <w:r w:rsidRPr="004D350D">
              <w:rPr>
                <w:spacing w:val="-10"/>
                <w:rtl/>
              </w:rPr>
              <w:t>200</w:t>
            </w:r>
            <w:r w:rsidRPr="004D350D">
              <w:rPr>
                <w:rFonts w:hint="cs"/>
                <w:spacing w:val="-10"/>
                <w:rtl/>
              </w:rPr>
              <w:t xml:space="preserve"> </w:t>
            </w:r>
            <w:r w:rsidRPr="004D350D">
              <w:rPr>
                <w:spacing w:val="-10"/>
                <w:sz w:val="26"/>
                <w:szCs w:val="26"/>
                <w:rtl/>
              </w:rPr>
              <w:t>מיליון ש"ח</w:t>
            </w:r>
            <w:r w:rsidRPr="004D350D">
              <w:rPr>
                <w:spacing w:val="-10"/>
                <w:rtl/>
              </w:rPr>
              <w:t xml:space="preserve"> </w:t>
            </w:r>
          </w:p>
        </w:tc>
      </w:tr>
      <w:tr w14:paraId="6DFAF81C" w14:textId="77777777" w:rsidTr="004D350D">
        <w:tblPrEx>
          <w:tblW w:w="5000" w:type="pct"/>
          <w:tblLook w:val="04A0"/>
        </w:tblPrEx>
        <w:tc>
          <w:tcPr>
            <w:tcW w:w="1155" w:type="pct"/>
            <w:tcBorders>
              <w:top w:val="single" w:sz="12" w:space="0" w:color="000000" w:themeColor="text1"/>
            </w:tcBorders>
          </w:tcPr>
          <w:p w:rsidR="004D350D" w:rsidRPr="00E52143" w:rsidP="004D350D" w14:paraId="1D96599A" w14:textId="1E8DF995">
            <w:pPr>
              <w:pStyle w:val="732021"/>
              <w:spacing w:before="0"/>
              <w:rPr>
                <w:rtl/>
              </w:rPr>
            </w:pPr>
            <w:r w:rsidRPr="002F434F">
              <w:rPr>
                <w:rtl/>
              </w:rPr>
              <w:t xml:space="preserve">הכנסות </w:t>
            </w:r>
            <w:r w:rsidRPr="002F434F">
              <w:rPr>
                <w:rtl/>
              </w:rPr>
              <w:t>נתג"ז</w:t>
            </w:r>
            <w:r w:rsidRPr="002F434F">
              <w:rPr>
                <w:rtl/>
              </w:rPr>
              <w:t xml:space="preserve"> </w:t>
            </w:r>
            <w:r w:rsidRPr="002F434F">
              <w:rPr>
                <w:rtl/>
              </w:rPr>
              <w:br/>
              <w:t>ב-2021, 64% מהן מהשוק בישראל, 23% מיצוא למצרים ו-13% מיצוא לירדן</w:t>
            </w:r>
          </w:p>
        </w:tc>
        <w:tc>
          <w:tcPr>
            <w:tcW w:w="151" w:type="pct"/>
          </w:tcPr>
          <w:p w:rsidR="004D350D" w:rsidRPr="00E52143" w:rsidP="004D350D" w14:paraId="2BF81D8C" w14:textId="77777777">
            <w:pPr>
              <w:pStyle w:val="732021"/>
              <w:spacing w:before="0"/>
              <w:rPr>
                <w:rtl/>
              </w:rPr>
            </w:pPr>
          </w:p>
        </w:tc>
        <w:tc>
          <w:tcPr>
            <w:tcW w:w="1095" w:type="pct"/>
            <w:tcBorders>
              <w:top w:val="single" w:sz="12" w:space="0" w:color="000000" w:themeColor="text1"/>
            </w:tcBorders>
          </w:tcPr>
          <w:p w:rsidR="004D350D" w:rsidRPr="00E52143" w:rsidP="004D350D" w14:paraId="68924AF7" w14:textId="3EDBFBFD">
            <w:pPr>
              <w:pStyle w:val="732021"/>
              <w:spacing w:before="0"/>
              <w:rPr>
                <w:rtl/>
              </w:rPr>
            </w:pPr>
            <w:r w:rsidRPr="002F434F">
              <w:rPr>
                <w:rtl/>
              </w:rPr>
              <w:t>שיעור הרווח התפעולי והרוח הנקי ב-2021. שיעור הרווח הנקי הממוצע בחברה (16%) במשך שנים גבוה ביחס לחברות תשתית אחרות שהן מונופול בתחומן (תש"א</w:t>
            </w:r>
            <w:r w:rsidRPr="002F434F">
              <w:t xml:space="preserve"> </w:t>
            </w:r>
            <w:r w:rsidRPr="002F434F">
              <w:rPr>
                <w:rtl/>
              </w:rPr>
              <w:t xml:space="preserve">[תשתיות </w:t>
            </w:r>
            <w:r w:rsidRPr="002F434F">
              <w:rPr>
                <w:rtl/>
              </w:rPr>
              <w:t>אנרגייה</w:t>
            </w:r>
            <w:r w:rsidRPr="002F434F">
              <w:rPr>
                <w:rtl/>
              </w:rPr>
              <w:t xml:space="preserve"> בע"מ] - 15%; מקורות - 4%; ממוצע חברות זרות - 6%)</w:t>
            </w:r>
          </w:p>
        </w:tc>
        <w:tc>
          <w:tcPr>
            <w:tcW w:w="151" w:type="pct"/>
          </w:tcPr>
          <w:p w:rsidR="004D350D" w:rsidRPr="00E52143" w:rsidP="004D350D" w14:paraId="4F52CE08" w14:textId="77777777">
            <w:pPr>
              <w:pStyle w:val="732021"/>
              <w:spacing w:before="0"/>
              <w:rPr>
                <w:rtl/>
              </w:rPr>
            </w:pPr>
          </w:p>
        </w:tc>
        <w:tc>
          <w:tcPr>
            <w:tcW w:w="1142" w:type="pct"/>
            <w:tcBorders>
              <w:top w:val="single" w:sz="12" w:space="0" w:color="000000" w:themeColor="text1"/>
            </w:tcBorders>
          </w:tcPr>
          <w:p w:rsidR="004D350D" w:rsidRPr="00E52143" w:rsidP="004D350D" w14:paraId="203F9568" w14:textId="0F680C58">
            <w:pPr>
              <w:pStyle w:val="732021"/>
              <w:spacing w:before="0"/>
              <w:rPr>
                <w:rtl/>
              </w:rPr>
            </w:pPr>
            <w:r w:rsidRPr="002F434F">
              <w:rPr>
                <w:rtl/>
              </w:rPr>
              <w:t xml:space="preserve">סכום הדיבידנד שחולק מאז הקמת </w:t>
            </w:r>
            <w:r w:rsidRPr="002F434F">
              <w:rPr>
                <w:rtl/>
              </w:rPr>
              <w:t>נתג"ז</w:t>
            </w:r>
            <w:r w:rsidRPr="002F434F">
              <w:rPr>
                <w:rtl/>
              </w:rPr>
              <w:t xml:space="preserve"> מ-2004 ועד שנת 2022. בשנת 2022 הכריזה החברה, לראשונה מאז </w:t>
            </w:r>
            <w:r w:rsidRPr="002F434F">
              <w:rPr>
                <w:rtl/>
              </w:rPr>
              <w:t>היווסדה</w:t>
            </w:r>
            <w:r w:rsidRPr="002F434F">
              <w:rPr>
                <w:rtl/>
              </w:rPr>
              <w:t>, על חלוקת דיבידנד למדינה בסכום של 80 מיליון ש"ח. סכום זה טרם חולק</w:t>
            </w:r>
          </w:p>
        </w:tc>
        <w:tc>
          <w:tcPr>
            <w:tcW w:w="172" w:type="pct"/>
          </w:tcPr>
          <w:p w:rsidR="004D350D" w:rsidRPr="00E52143" w:rsidP="004D350D" w14:paraId="42538096" w14:textId="77777777">
            <w:pPr>
              <w:pStyle w:val="732021"/>
              <w:spacing w:before="0"/>
              <w:rPr>
                <w:rtl/>
              </w:rPr>
            </w:pPr>
          </w:p>
        </w:tc>
        <w:tc>
          <w:tcPr>
            <w:tcW w:w="1134" w:type="pct"/>
            <w:tcBorders>
              <w:top w:val="single" w:sz="12" w:space="0" w:color="000000" w:themeColor="text1"/>
            </w:tcBorders>
          </w:tcPr>
          <w:p w:rsidR="004D350D" w:rsidRPr="00E52143" w:rsidP="004D350D" w14:paraId="1878D11D" w14:textId="2B850A67">
            <w:pPr>
              <w:pStyle w:val="732021"/>
              <w:spacing w:before="0"/>
              <w:rPr>
                <w:rtl/>
              </w:rPr>
            </w:pPr>
            <w:r w:rsidRPr="002F434F">
              <w:rPr>
                <w:rtl/>
              </w:rPr>
              <w:t xml:space="preserve">ההפסד למדינה בשל הקטנת מס החברות בשנים 2018 - 2022, בגין פחת מואץ בסך 863 מיליון ש"ח שנדרש ביתר כתוצאה מאי- הארכת הרישיון </w:t>
            </w:r>
          </w:p>
        </w:tc>
      </w:tr>
      <w:tr w14:paraId="1BD5A20C" w14:textId="77777777" w:rsidTr="004D350D">
        <w:tblPrEx>
          <w:tblW w:w="5000" w:type="pct"/>
          <w:tblLook w:val="04A0"/>
        </w:tblPrEx>
        <w:tc>
          <w:tcPr>
            <w:tcW w:w="1155" w:type="pct"/>
            <w:tcBorders>
              <w:bottom w:val="single" w:sz="12" w:space="0" w:color="000000" w:themeColor="text1"/>
            </w:tcBorders>
            <w:vAlign w:val="bottom"/>
          </w:tcPr>
          <w:p w:rsidR="004D350D" w:rsidRPr="004D350D" w:rsidP="001B01E8" w14:paraId="500D3B50" w14:textId="32FCC2A9">
            <w:pPr>
              <w:spacing w:after="60" w:line="240" w:lineRule="auto"/>
              <w:jc w:val="left"/>
              <w:rPr>
                <w:rFonts w:ascii="Tahoma" w:hAnsi="Tahoma" w:eastAsiaTheme="minorEastAsia" w:cs="Tahoma"/>
                <w:b/>
                <w:bCs/>
                <w:color w:val="0D0D0D" w:themeColor="text1" w:themeTint="F2"/>
                <w:spacing w:val="-10"/>
                <w:sz w:val="36"/>
                <w:szCs w:val="36"/>
                <w:rtl/>
              </w:rPr>
            </w:pPr>
            <w:r w:rsidRPr="004D350D">
              <w:rPr>
                <w:rFonts w:ascii="Tahoma" w:hAnsi="Tahoma" w:eastAsiaTheme="minorEastAsia" w:cs="Tahoma"/>
                <w:b/>
                <w:bCs/>
                <w:color w:val="0D0D0D" w:themeColor="text1" w:themeTint="F2"/>
                <w:spacing w:val="-10"/>
                <w:sz w:val="26"/>
                <w:szCs w:val="26"/>
                <w:rtl/>
              </w:rPr>
              <w:t>כ-</w:t>
            </w:r>
            <w:r w:rsidRPr="004D350D">
              <w:rPr>
                <w:rFonts w:ascii="Tahoma" w:hAnsi="Tahoma" w:eastAsiaTheme="minorEastAsia" w:cs="Tahoma"/>
                <w:b/>
                <w:bCs/>
                <w:color w:val="0D0D0D" w:themeColor="text1" w:themeTint="F2"/>
                <w:spacing w:val="-10"/>
                <w:sz w:val="36"/>
                <w:szCs w:val="36"/>
              </w:rPr>
              <w:t>14</w:t>
            </w:r>
            <w:r w:rsidRPr="004D350D">
              <w:rPr>
                <w:rFonts w:ascii="Tahoma" w:hAnsi="Tahoma" w:eastAsiaTheme="minorEastAsia" w:cs="Tahoma" w:hint="cs"/>
                <w:b/>
                <w:bCs/>
                <w:color w:val="0D0D0D" w:themeColor="text1" w:themeTint="F2"/>
                <w:spacing w:val="-10"/>
                <w:sz w:val="36"/>
                <w:szCs w:val="36"/>
                <w:rtl/>
              </w:rPr>
              <w:t xml:space="preserve"> </w:t>
            </w:r>
            <w:r w:rsidRPr="004D350D">
              <w:rPr>
                <w:rFonts w:ascii="Tahoma" w:hAnsi="Tahoma" w:eastAsiaTheme="minorEastAsia" w:cs="Tahoma"/>
                <w:b/>
                <w:bCs/>
                <w:color w:val="0D0D0D" w:themeColor="text1" w:themeTint="F2"/>
                <w:spacing w:val="-10"/>
                <w:sz w:val="26"/>
                <w:szCs w:val="26"/>
                <w:rtl/>
              </w:rPr>
              <w:t>שנים</w:t>
            </w:r>
          </w:p>
        </w:tc>
        <w:tc>
          <w:tcPr>
            <w:tcW w:w="151" w:type="pct"/>
            <w:vAlign w:val="bottom"/>
          </w:tcPr>
          <w:p w:rsidR="004D350D" w:rsidRPr="004D350D" w:rsidP="001B01E8"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1095" w:type="pct"/>
            <w:tcBorders>
              <w:bottom w:val="single" w:sz="12" w:space="0" w:color="000000" w:themeColor="text1"/>
            </w:tcBorders>
            <w:vAlign w:val="bottom"/>
          </w:tcPr>
          <w:p w:rsidR="004D350D" w:rsidRPr="004D350D" w:rsidP="001B01E8" w14:paraId="48896DF7" w14:textId="02D7EB6A">
            <w:pPr>
              <w:pStyle w:val="2021"/>
              <w:spacing w:before="0" w:after="60"/>
              <w:rPr>
                <w:spacing w:val="-10"/>
                <w:rtl/>
              </w:rPr>
            </w:pPr>
            <w:r w:rsidRPr="004D350D">
              <w:rPr>
                <w:spacing w:val="-10"/>
                <w:rtl/>
              </w:rPr>
              <w:t>346</w:t>
            </w:r>
            <w:r w:rsidRPr="004D350D">
              <w:rPr>
                <w:rFonts w:hint="cs"/>
                <w:spacing w:val="-10"/>
                <w:rtl/>
              </w:rPr>
              <w:t xml:space="preserve"> </w:t>
            </w:r>
            <w:r w:rsidRPr="004D350D">
              <w:rPr>
                <w:spacing w:val="-10"/>
                <w:sz w:val="26"/>
                <w:szCs w:val="26"/>
                <w:rtl/>
              </w:rPr>
              <w:t>מיליון ש"ח</w:t>
            </w:r>
          </w:p>
        </w:tc>
        <w:tc>
          <w:tcPr>
            <w:tcW w:w="151" w:type="pct"/>
            <w:vAlign w:val="bottom"/>
          </w:tcPr>
          <w:p w:rsidR="004D350D" w:rsidRPr="004D350D" w:rsidP="001B01E8" w14:paraId="5B4C8A80" w14:textId="77777777">
            <w:pPr>
              <w:spacing w:after="60" w:line="240" w:lineRule="auto"/>
              <w:jc w:val="left"/>
              <w:rPr>
                <w:b/>
                <w:bCs/>
                <w:rtl/>
              </w:rPr>
            </w:pPr>
          </w:p>
        </w:tc>
        <w:tc>
          <w:tcPr>
            <w:tcW w:w="1142" w:type="pct"/>
            <w:tcBorders>
              <w:bottom w:val="single" w:sz="12" w:space="0" w:color="000000" w:themeColor="text1"/>
            </w:tcBorders>
            <w:vAlign w:val="bottom"/>
          </w:tcPr>
          <w:p w:rsidR="004D350D" w:rsidRPr="004D350D" w:rsidP="001B01E8" w14:paraId="226A2E50" w14:textId="5FD51DCE">
            <w:pPr>
              <w:spacing w:after="60" w:line="192" w:lineRule="auto"/>
              <w:jc w:val="left"/>
              <w:rPr>
                <w:rFonts w:ascii="Tahoma" w:hAnsi="Tahoma" w:eastAsiaTheme="minorEastAsia" w:cs="Tahoma"/>
                <w:b/>
                <w:bCs/>
                <w:color w:val="0D0D0D" w:themeColor="text1" w:themeTint="F2"/>
                <w:spacing w:val="-10"/>
                <w:sz w:val="36"/>
                <w:szCs w:val="36"/>
                <w:rtl/>
              </w:rPr>
            </w:pPr>
            <w:r w:rsidRPr="004D350D">
              <w:rPr>
                <w:rFonts w:ascii="Tahoma" w:hAnsi="Tahoma" w:eastAsiaTheme="minorEastAsia" w:cs="Tahoma"/>
                <w:b/>
                <w:bCs/>
                <w:color w:val="0D0D0D" w:themeColor="text1" w:themeTint="F2"/>
                <w:spacing w:val="-10"/>
                <w:sz w:val="36"/>
                <w:szCs w:val="36"/>
                <w:rtl/>
              </w:rPr>
              <w:t xml:space="preserve">60 </w:t>
            </w:r>
            <w:r>
              <w:rPr>
                <w:rFonts w:ascii="Tahoma" w:hAnsi="Tahoma" w:eastAsiaTheme="minorEastAsia" w:cs="Tahoma"/>
                <w:b/>
                <w:bCs/>
                <w:color w:val="0D0D0D" w:themeColor="text1" w:themeTint="F2"/>
                <w:spacing w:val="-10"/>
                <w:sz w:val="26"/>
                <w:szCs w:val="26"/>
                <w:rtl/>
              </w:rPr>
              <w:br/>
            </w:r>
            <w:r w:rsidRPr="004D350D">
              <w:rPr>
                <w:rFonts w:ascii="Tahoma" w:hAnsi="Tahoma" w:eastAsiaTheme="minorEastAsia" w:cs="Tahoma"/>
                <w:b/>
                <w:bCs/>
                <w:color w:val="0D0D0D" w:themeColor="text1" w:themeTint="F2"/>
                <w:spacing w:val="-10"/>
                <w:sz w:val="26"/>
                <w:szCs w:val="26"/>
                <w:rtl/>
              </w:rPr>
              <w:t>מיליון ש"ח</w:t>
            </w:r>
          </w:p>
        </w:tc>
        <w:tc>
          <w:tcPr>
            <w:tcW w:w="172" w:type="pct"/>
            <w:vAlign w:val="bottom"/>
          </w:tcPr>
          <w:p w:rsidR="004D350D" w:rsidRPr="004D350D" w:rsidP="001B01E8" w14:paraId="5E7F766C"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1134" w:type="pct"/>
            <w:tcBorders>
              <w:bottom w:val="single" w:sz="12" w:space="0" w:color="000000" w:themeColor="text1"/>
            </w:tcBorders>
            <w:vAlign w:val="bottom"/>
          </w:tcPr>
          <w:p w:rsidR="004D350D" w:rsidRPr="004D350D" w:rsidP="001B01E8" w14:paraId="5AEEF263" w14:textId="1D21131B">
            <w:pPr>
              <w:spacing w:after="60" w:line="240" w:lineRule="auto"/>
              <w:jc w:val="left"/>
              <w:rPr>
                <w:rFonts w:ascii="Tahoma" w:hAnsi="Tahoma" w:eastAsiaTheme="minorEastAsia" w:cs="Tahoma"/>
                <w:b/>
                <w:bCs/>
                <w:color w:val="0D0D0D" w:themeColor="text1" w:themeTint="F2"/>
                <w:spacing w:val="-10"/>
                <w:sz w:val="36"/>
                <w:szCs w:val="36"/>
                <w:rtl/>
              </w:rPr>
            </w:pPr>
            <w:r w:rsidRPr="004D350D">
              <w:rPr>
                <w:rFonts w:ascii="Tahoma" w:hAnsi="Tahoma" w:eastAsiaTheme="minorEastAsia" w:cs="Tahoma"/>
                <w:b/>
                <w:bCs/>
                <w:color w:val="0D0D0D" w:themeColor="text1" w:themeTint="F2"/>
                <w:spacing w:val="-10"/>
                <w:sz w:val="36"/>
                <w:szCs w:val="36"/>
                <w:rtl/>
              </w:rPr>
              <w:t xml:space="preserve">17% </w:t>
            </w:r>
          </w:p>
        </w:tc>
      </w:tr>
      <w:tr w14:paraId="54154FA5" w14:textId="77777777" w:rsidTr="004D350D">
        <w:tblPrEx>
          <w:tblW w:w="5000" w:type="pct"/>
          <w:tblLook w:val="04A0"/>
        </w:tblPrEx>
        <w:tc>
          <w:tcPr>
            <w:tcW w:w="1155" w:type="pct"/>
            <w:tcBorders>
              <w:top w:val="single" w:sz="12" w:space="0" w:color="000000" w:themeColor="text1"/>
            </w:tcBorders>
          </w:tcPr>
          <w:p w:rsidR="004D350D" w:rsidRPr="004562F8" w:rsidP="004D350D" w14:paraId="6DB67748" w14:textId="3E6FB0C8">
            <w:pPr>
              <w:pStyle w:val="732021"/>
              <w:spacing w:before="0" w:after="0"/>
              <w:rPr>
                <w:rtl/>
              </w:rPr>
            </w:pPr>
            <w:r w:rsidRPr="002F434F">
              <w:rPr>
                <w:rtl/>
              </w:rPr>
              <w:t xml:space="preserve">חלפו מאז התקבלה החלטת שר </w:t>
            </w:r>
            <w:r w:rsidRPr="002F434F">
              <w:rPr>
                <w:rtl/>
              </w:rPr>
              <w:t>האנרגייה</w:t>
            </w:r>
            <w:r w:rsidRPr="002F434F">
              <w:rPr>
                <w:rtl/>
              </w:rPr>
              <w:t xml:space="preserve"> והתשתיות דאז (2009) לגבש תוכנית אב לפיתוח משק </w:t>
            </w:r>
            <w:r w:rsidRPr="002F434F">
              <w:rPr>
                <w:rtl/>
              </w:rPr>
              <w:t>האנרגייה</w:t>
            </w:r>
            <w:r w:rsidRPr="002F434F">
              <w:rPr>
                <w:rtl/>
              </w:rPr>
              <w:t>, אך תוכנית האב טרם גובשה</w:t>
            </w:r>
          </w:p>
        </w:tc>
        <w:tc>
          <w:tcPr>
            <w:tcW w:w="151" w:type="pct"/>
          </w:tcPr>
          <w:p w:rsidR="004D350D" w:rsidRPr="008D750B" w:rsidP="004D350D" w14:paraId="0C0AE598" w14:textId="77777777">
            <w:pPr>
              <w:pStyle w:val="732021"/>
              <w:spacing w:before="0" w:after="0"/>
              <w:rPr>
                <w:rtl/>
              </w:rPr>
            </w:pPr>
          </w:p>
        </w:tc>
        <w:tc>
          <w:tcPr>
            <w:tcW w:w="1095" w:type="pct"/>
            <w:tcBorders>
              <w:top w:val="single" w:sz="12" w:space="0" w:color="000000" w:themeColor="text1"/>
            </w:tcBorders>
          </w:tcPr>
          <w:p w:rsidR="004D350D" w:rsidRPr="004562F8" w:rsidP="004D350D" w14:paraId="1916A301" w14:textId="1D1FAEF8">
            <w:pPr>
              <w:pStyle w:val="732021"/>
              <w:spacing w:before="0" w:after="0"/>
              <w:rPr>
                <w:rtl/>
              </w:rPr>
            </w:pPr>
            <w:r w:rsidRPr="002F434F">
              <w:rPr>
                <w:rtl/>
              </w:rPr>
              <w:t xml:space="preserve">החלק של </w:t>
            </w:r>
            <w:r w:rsidRPr="002F434F">
              <w:rPr>
                <w:rtl/>
              </w:rPr>
              <w:t>נתג"ז</w:t>
            </w:r>
            <w:r w:rsidRPr="002F434F">
              <w:rPr>
                <w:rtl/>
              </w:rPr>
              <w:t xml:space="preserve"> (43%) במימון הקו הימי אשדוד-אשקלון (מתוך 796 מיליון ש"ח)</w:t>
            </w:r>
          </w:p>
        </w:tc>
        <w:tc>
          <w:tcPr>
            <w:tcW w:w="151" w:type="pct"/>
          </w:tcPr>
          <w:p w:rsidR="004D350D" w:rsidP="004D350D" w14:paraId="14782C57" w14:textId="77777777">
            <w:pPr>
              <w:pStyle w:val="732021"/>
              <w:spacing w:before="0" w:after="0"/>
              <w:rPr>
                <w:rtl/>
              </w:rPr>
            </w:pPr>
          </w:p>
        </w:tc>
        <w:tc>
          <w:tcPr>
            <w:tcW w:w="1142" w:type="pct"/>
            <w:tcBorders>
              <w:top w:val="single" w:sz="12" w:space="0" w:color="000000" w:themeColor="text1"/>
            </w:tcBorders>
          </w:tcPr>
          <w:p w:rsidR="004D350D" w:rsidRPr="0062456C" w:rsidP="004D350D" w14:paraId="6149CA50" w14:textId="7988757F">
            <w:pPr>
              <w:pStyle w:val="732021"/>
              <w:spacing w:before="0" w:after="0"/>
              <w:rPr>
                <w:rtl/>
              </w:rPr>
            </w:pPr>
            <w:r w:rsidRPr="002F434F">
              <w:rPr>
                <w:rtl/>
              </w:rPr>
              <w:t>העלייה בתקציב פרויקט</w:t>
            </w:r>
            <w:r w:rsidRPr="00D50FB7">
              <w:rPr>
                <w:rtl/>
              </w:rPr>
              <w:t xml:space="preserve"> </w:t>
            </w:r>
            <w:r w:rsidRPr="002F434F">
              <w:rPr>
                <w:rtl/>
              </w:rPr>
              <w:t>הקו הימי אשדוד-אשקלון לאחר השלמת המכרזים. מועד הסיום נדחה מאפריל 2023 ועד ינואר 2014 (לא סופי)</w:t>
            </w:r>
          </w:p>
        </w:tc>
        <w:tc>
          <w:tcPr>
            <w:tcW w:w="172" w:type="pct"/>
          </w:tcPr>
          <w:p w:rsidR="004D350D" w:rsidRPr="00C92141" w:rsidP="004D350D" w14:paraId="66E34E8E" w14:textId="77777777">
            <w:pPr>
              <w:pStyle w:val="732021"/>
              <w:spacing w:before="0" w:after="0"/>
              <w:rPr>
                <w:rtl/>
              </w:rPr>
            </w:pPr>
          </w:p>
        </w:tc>
        <w:tc>
          <w:tcPr>
            <w:tcW w:w="1134" w:type="pct"/>
            <w:tcBorders>
              <w:top w:val="single" w:sz="12" w:space="0" w:color="000000" w:themeColor="text1"/>
            </w:tcBorders>
          </w:tcPr>
          <w:p w:rsidR="004D350D" w:rsidRPr="00C92141" w:rsidP="004D350D" w14:paraId="39498237" w14:textId="7A9A2A55">
            <w:pPr>
              <w:pStyle w:val="732021"/>
              <w:spacing w:before="0"/>
              <w:rPr>
                <w:rtl/>
              </w:rPr>
            </w:pPr>
            <w:r w:rsidRPr="002F434F">
              <w:rPr>
                <w:rtl/>
              </w:rPr>
              <w:t>שיעור ההפחתה</w:t>
            </w:r>
            <w:r>
              <w:rPr>
                <w:rFonts w:hint="cs"/>
                <w:rtl/>
              </w:rPr>
              <w:t xml:space="preserve"> </w:t>
            </w:r>
            <w:r w:rsidRPr="002F434F">
              <w:rPr>
                <w:rtl/>
              </w:rPr>
              <w:t>בתעריף החברה שקבעה מועצת הגז החל בשנת 2022. ובכלל זה ירידה של כ-7% בתעריף של לקוחות החברה, והיתרה בשיעור 10% מועברת לתעריף מערכתי לניהול רשות הגז הטבעי</w:t>
            </w: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EB672B" w:rsidP="00EB672B" w14:paraId="21608E70" w14:textId="07B0523B">
      <w:pPr>
        <w:pStyle w:val="7317"/>
        <w:rPr>
          <w:rtl/>
        </w:rPr>
      </w:pPr>
      <w:r w:rsidRPr="001F3363">
        <w:rPr>
          <w:noProof/>
        </w:rPr>
        <w:drawing>
          <wp:anchor distT="0" distB="0" distL="71755" distR="71755" simplePos="0" relativeHeight="251680768" behindDoc="0" locked="0" layoutInCell="1" allowOverlap="1">
            <wp:simplePos x="0" y="0"/>
            <wp:positionH relativeFrom="column">
              <wp:posOffset>4529260</wp:posOffset>
            </wp:positionH>
            <wp:positionV relativeFrom="paragraph">
              <wp:posOffset>50165</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434F" w:rsidR="004D350D">
        <w:rPr>
          <w:noProof/>
          <w:rtl/>
        </w:rPr>
        <w:t>בחודשים אוגוסט 2022 - ינואר 2023 עשה משרד מבקר המדינה ביקורת בנושאים פיננסיים הקשורים בחברה. הביקורת התמקדה בנושאים אלה: הצגת הדוחות הכספיים לשנים 2019 - 2021; היחסים הפיננסיים והכלכליים; סעיפים מהותיים מן המאזן ומדוח הרווח וההפסד; עבודת רואה החשבון המבקר; סוגיות בנושאי ממשל תאגידי. הביקורת נעשתה בחברת נתג"ז, ברשות הגז הטבעי, במשרד האנרגייה והתשתיות וברשות החברות הממשלתיות. בדיקות השלמה נעשו בחברת החשמל לישראל (חח"י) ובחברת נגה בע"מ</w:t>
      </w:r>
      <w:r>
        <w:rPr>
          <w:rFonts w:hint="cs"/>
          <w:rtl/>
        </w:rPr>
        <w:t>.</w:t>
      </w:r>
      <w:r w:rsidRPr="001F3363">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P="00EB672B" w14:paraId="0B694ADB" w14:textId="3DB31F82">
      <w:pPr>
        <w:pStyle w:val="7317"/>
        <w:rPr>
          <w:rtl/>
        </w:rPr>
      </w:pPr>
      <w:r w:rsidRPr="004D350D">
        <w:rPr>
          <w:rStyle w:val="7371"/>
          <w:rFonts w:hint="cs"/>
          <w:noProof/>
          <w:rtl/>
        </w:rPr>
        <w:drawing>
          <wp:anchor distT="0" distB="0" distL="71755" distR="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D350D" w:rsidR="004D350D">
        <w:rPr>
          <w:rStyle w:val="7371"/>
          <w:rtl/>
        </w:rPr>
        <w:t>יחסים פיננסיים -</w:t>
      </w:r>
      <w:r w:rsidRPr="002F434F" w:rsidR="004D350D">
        <w:rPr>
          <w:rtl/>
        </w:rPr>
        <w:t xml:space="preserve"> חברת </w:t>
      </w:r>
      <w:r w:rsidRPr="002F434F" w:rsidR="004D350D">
        <w:rPr>
          <w:rtl/>
        </w:rPr>
        <w:t>נתג"ז</w:t>
      </w:r>
      <w:r w:rsidRPr="002F434F" w:rsidR="004D350D">
        <w:rPr>
          <w:rtl/>
        </w:rPr>
        <w:t xml:space="preserve"> היא מונופול טבעי בשוק הולכת הגז בישראל. שיעורי רווח גבוהים מדי של מונופול עלולים לבוא על חשבון העודף לצרכן [רווחים עודפים של מונופול שמשקפים מצב בו הצרכנים שילמו מחיר גבוה מדי עבור השירות] ולהקשות עליו את ההתמודדות עם יוקר המחיה. שיעור הרווח הנקי הממוצע לשנים 2019 - 2021 של </w:t>
      </w:r>
      <w:r w:rsidRPr="002F434F" w:rsidR="004D350D">
        <w:rPr>
          <w:rtl/>
        </w:rPr>
        <w:t>נתג"ז</w:t>
      </w:r>
      <w:r w:rsidRPr="002F434F" w:rsidR="004D350D">
        <w:rPr>
          <w:rtl/>
        </w:rPr>
        <w:t xml:space="preserve"> (16%) היה גדול פי ארבעה מחברת מקורות (4%) ופי 2.67 מממוצע החברות הזרות</w:t>
      </w:r>
      <w:r>
        <w:rPr>
          <w:vertAlign w:val="superscript"/>
          <w:rtl/>
        </w:rPr>
        <w:footnoteReference w:id="5"/>
      </w:r>
      <w:r w:rsidRPr="002F434F" w:rsidR="004D350D">
        <w:rPr>
          <w:rtl/>
        </w:rPr>
        <w:t xml:space="preserve"> (6%), והיה דומה לשיעור הרווח הנקי של תש"א (15%); שיעור הרווח התפעולי של חברת </w:t>
      </w:r>
      <w:r w:rsidRPr="002F434F" w:rsidR="004D350D">
        <w:rPr>
          <w:rtl/>
        </w:rPr>
        <w:t>נתג"ז</w:t>
      </w:r>
      <w:r w:rsidRPr="002F434F" w:rsidR="004D350D">
        <w:rPr>
          <w:rtl/>
        </w:rPr>
        <w:t xml:space="preserve"> עלה מ-36% ב-2019 ל-52% ב-2021, והיה גבוה משמעותית משיעור הרווח התפעולי של שתי חברות התשתית הממשלתיות האחרות המהוות מונופול בתחומן - תש"א ומקורות בכל אחת מהשנים 2019 - 2021 (20% בממוצע ב-2021), כל זאת לעומת 14% בחברות ההשוואה הזרות. שיעור מדד ה-</w:t>
      </w:r>
      <w:r w:rsidRPr="002F434F" w:rsidR="004D350D">
        <w:t>EBITDA</w:t>
      </w:r>
      <w:r w:rsidRPr="002F434F" w:rsidR="004D350D">
        <w:rPr>
          <w:rtl/>
        </w:rPr>
        <w:t xml:space="preserve"> מהכנסות </w:t>
      </w:r>
      <w:r w:rsidRPr="002F434F" w:rsidR="004D350D">
        <w:rPr>
          <w:rtl/>
        </w:rPr>
        <w:t>נתג"ז</w:t>
      </w:r>
      <w:r w:rsidRPr="002F434F" w:rsidR="004D350D">
        <w:rPr>
          <w:rtl/>
        </w:rPr>
        <w:t xml:space="preserve"> בשנים 2019 - 2021 עמד בממוצע על 88%, שיעור הגדול פי שלושה מחברות ההשוואה (27%) בין היתר בשל אי-עדכון התעריפים של </w:t>
      </w:r>
      <w:r w:rsidRPr="002F434F" w:rsidR="004D350D">
        <w:rPr>
          <w:rtl/>
        </w:rPr>
        <w:t>נתג"ז</w:t>
      </w:r>
      <w:r w:rsidRPr="002F434F" w:rsidR="004D350D">
        <w:rPr>
          <w:rtl/>
        </w:rPr>
        <w:t xml:space="preserve"> כלפי מטה עד סוף 2021, והוא צפוי לרדת בשנת 2022 בשל החלטת רשות הגז הטבעי להוריד את התעריפים בשיעור של כ-17%, ובכלל זה ירידה של כ-7% בתעריף של לקוחות החברה, והיתרה בשיעור 10% מועברת לתעריף מערכתי לניהול רשות הגז הטבעי</w:t>
      </w:r>
      <w:r w:rsidRPr="00AF3B73">
        <w:rPr>
          <w:rtl/>
        </w:rPr>
        <w:t>.</w:t>
      </w:r>
    </w:p>
    <w:p w:rsidR="004D350D" w:rsidRPr="002F434F" w:rsidP="004D350D" w14:paraId="32E73BCA" w14:textId="206A1132">
      <w:pPr>
        <w:pStyle w:val="7317"/>
      </w:pPr>
      <w:r w:rsidRPr="004D350D">
        <w:rPr>
          <w:rStyle w:val="7371"/>
          <w:rFonts w:hint="cs"/>
          <w:noProof/>
          <w:rtl/>
        </w:rPr>
        <w:drawing>
          <wp:anchor distT="0" distB="0" distL="114300" distR="11430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D350D">
        <w:rPr>
          <w:rStyle w:val="7371"/>
          <w:rtl/>
        </w:rPr>
        <w:t xml:space="preserve">אי-הארכת רישיון </w:t>
      </w:r>
      <w:r w:rsidRPr="004D350D">
        <w:rPr>
          <w:rStyle w:val="7371"/>
          <w:rtl/>
        </w:rPr>
        <w:t>נתג"ז</w:t>
      </w:r>
      <w:r w:rsidRPr="004D350D">
        <w:rPr>
          <w:rStyle w:val="7371"/>
          <w:rtl/>
        </w:rPr>
        <w:t xml:space="preserve"> ב-15 שנים -</w:t>
      </w:r>
      <w:r w:rsidRPr="002F434F">
        <w:rPr>
          <w:rtl/>
        </w:rPr>
        <w:t xml:space="preserve"> בשנ</w:t>
      </w:r>
      <w:r w:rsidR="0036297C">
        <w:rPr>
          <w:rFonts w:hint="cs"/>
          <w:rtl/>
        </w:rPr>
        <w:t>ת</w:t>
      </w:r>
      <w:r w:rsidRPr="002F434F">
        <w:rPr>
          <w:rtl/>
        </w:rPr>
        <w:t xml:space="preserve"> 2017 פורסם דוח מסכם בנושא חיזוק ההון העצמי של </w:t>
      </w:r>
      <w:r w:rsidRPr="002F434F">
        <w:rPr>
          <w:rtl/>
        </w:rPr>
        <w:t>נתג"ז</w:t>
      </w:r>
      <w:r w:rsidRPr="002F434F">
        <w:rPr>
          <w:rtl/>
        </w:rPr>
        <w:t xml:space="preserve"> ("מתווה עיבוי ההון") שנועד להעלות את יחס ההון העצמי למאזן מ-14% בשנת 2016 ל-20% בשנת 2022, ובכך להבטיח גיוסים עתידיים ואת המשך תוכנית הפיתוח של החברה. כדי להשיג את יעד המינוף הומלץ בין היתר להאריך את הרישיון של </w:t>
      </w:r>
      <w:r w:rsidRPr="002F434F">
        <w:rPr>
          <w:rtl/>
        </w:rPr>
        <w:t>נתג"ז</w:t>
      </w:r>
      <w:r w:rsidRPr="002F434F">
        <w:rPr>
          <w:rtl/>
        </w:rPr>
        <w:t xml:space="preserve"> להקמה ולהפעלה של מערכת הולכת גז טבעי ב-15 שנה עד לשנת 2049. בביקורת עלה כי הארכת רישיון </w:t>
      </w:r>
      <w:r w:rsidRPr="002F434F">
        <w:rPr>
          <w:rtl/>
        </w:rPr>
        <w:t>נתג"ז</w:t>
      </w:r>
      <w:r w:rsidRPr="002F434F">
        <w:rPr>
          <w:rtl/>
        </w:rPr>
        <w:t xml:space="preserve"> ב-15 שנים עד שנת 2049 לא בוצעה. הגם שמתווה עיבוי ההון נחתם </w:t>
      </w:r>
      <w:r w:rsidRPr="002F434F">
        <w:rPr>
          <w:rtl/>
        </w:rPr>
        <w:t xml:space="preserve">ב-2017, רק בשנת 2020 הכינה רשות הגז הטבעי טיוטת תזכיר לשינוי חוק משק הגז הטבעי, וזו לא הוגשה לאישור הכנסת בשל חילופי הממשלות. </w:t>
      </w:r>
    </w:p>
    <w:p w:rsidR="004D350D" w:rsidRPr="002F434F" w:rsidP="004D350D" w14:paraId="6BED77AB" w14:textId="77777777">
      <w:pPr>
        <w:pStyle w:val="7317"/>
        <w:rPr>
          <w:rtl/>
        </w:rPr>
      </w:pPr>
      <w:r w:rsidRPr="002F434F">
        <w:rPr>
          <w:rtl/>
        </w:rPr>
        <w:t>אי-הארכת הרישיון גרמה ועלולה לגרום להשלכות האלה:</w:t>
      </w:r>
    </w:p>
    <w:p w:rsidR="004D350D" w:rsidRPr="002F434F" w:rsidP="0036297C" w14:paraId="1014B94F" w14:textId="660D97C7">
      <w:pPr>
        <w:pStyle w:val="7317"/>
        <w:numPr>
          <w:ilvl w:val="0"/>
          <w:numId w:val="10"/>
        </w:numPr>
      </w:pPr>
      <w:r w:rsidRPr="002F434F">
        <w:rPr>
          <w:rtl/>
        </w:rPr>
        <w:t xml:space="preserve">בשנים 2018 - 2022 לדחיית תשלום מיסים לאוצר המדינה בשל קיטון תשלומי מס החברות של </w:t>
      </w:r>
      <w:r w:rsidRPr="002F434F">
        <w:rPr>
          <w:rtl/>
        </w:rPr>
        <w:t>נתג"ז</w:t>
      </w:r>
      <w:r w:rsidRPr="002F434F">
        <w:rPr>
          <w:rtl/>
        </w:rPr>
        <w:t xml:space="preserve"> בכ-200 מיליון ש"ח ולקיטון ברווחים המדווחים של החברה בכ-863 מיליון ש"ח כתוצאה מרישום הוצאות כפחת מואץ</w:t>
      </w:r>
      <w:r w:rsidR="0036297C">
        <w:rPr>
          <w:rFonts w:hint="cs"/>
          <w:rtl/>
        </w:rPr>
        <w:t>.</w:t>
      </w:r>
      <w:r w:rsidRPr="002F434F">
        <w:rPr>
          <w:rtl/>
        </w:rPr>
        <w:t xml:space="preserve"> </w:t>
      </w:r>
    </w:p>
    <w:p w:rsidR="004D350D" w:rsidRPr="002F434F" w:rsidP="0036297C" w14:paraId="0615CB9E" w14:textId="77777777">
      <w:pPr>
        <w:pStyle w:val="7317"/>
        <w:numPr>
          <w:ilvl w:val="0"/>
          <w:numId w:val="10"/>
        </w:numPr>
      </w:pPr>
      <w:r w:rsidRPr="002F434F">
        <w:rPr>
          <w:rtl/>
        </w:rPr>
        <w:t>להערכת החברה, אי-הארכת הרישיון (בהנחה של רווח הנקי של כ-7.5% מתוך הפעילות) בשנים 2024 - 2049, על בסיס הוצאות תפעול של כ-120 מיליון ש"ח לשנה, תגרום לחברה לאובדן רווחיות של כ-9 מיליון ש"ח כל שנה ושל כ-135 מיליון ש"ח עד 2049.</w:t>
      </w:r>
    </w:p>
    <w:p w:rsidR="004D350D" w:rsidRPr="002F434F" w:rsidP="0036297C" w14:paraId="0D311D8E" w14:textId="77777777">
      <w:pPr>
        <w:pStyle w:val="7317"/>
        <w:numPr>
          <w:ilvl w:val="0"/>
          <w:numId w:val="10"/>
        </w:numPr>
      </w:pPr>
      <w:r w:rsidRPr="002F434F">
        <w:rPr>
          <w:rtl/>
        </w:rPr>
        <w:t xml:space="preserve">נוסחת התעריף מעניקה </w:t>
      </w:r>
      <w:r w:rsidRPr="002F434F">
        <w:rPr>
          <w:rtl/>
        </w:rPr>
        <w:t>לנתג"ז</w:t>
      </w:r>
      <w:r w:rsidRPr="002F434F">
        <w:rPr>
          <w:rtl/>
        </w:rPr>
        <w:t xml:space="preserve"> החזר מלא על גובה החזר קרן החוב. משמע שככל שיעלה החזר הקרן בשנים שנותרו עד למועד פקיעת הרישיון בשנת 2034, הדבר עלול לעלות את התעריף ללקוחות החברה, וזאת כדי שהחברה תעמוד בהתחייבויותיה. דבר זה ישפיע בין היתר על מחירי הולכת הגז הטבעי ובמשתמע על יוקר המחיה.</w:t>
      </w:r>
    </w:p>
    <w:p w:rsidR="004D350D" w:rsidRPr="002F434F" w:rsidP="0036297C" w14:paraId="30478A0F" w14:textId="77777777">
      <w:pPr>
        <w:pStyle w:val="7317"/>
        <w:numPr>
          <w:ilvl w:val="0"/>
          <w:numId w:val="10"/>
        </w:numPr>
      </w:pPr>
      <w:r w:rsidRPr="002F434F">
        <w:rPr>
          <w:rtl/>
        </w:rPr>
        <w:t xml:space="preserve">לקראת מועד פקיעת הרישיון </w:t>
      </w:r>
      <w:r w:rsidRPr="002F434F">
        <w:rPr>
          <w:rtl/>
        </w:rPr>
        <w:t>נתג"ז</w:t>
      </w:r>
      <w:r w:rsidRPr="002F434F">
        <w:rPr>
          <w:rtl/>
        </w:rPr>
        <w:t xml:space="preserve"> צפויה לבצע רק השקעות הכרחיות במערכת, דבר שעלול לגרום נזק לצמיחת החברה ולתפעולה.</w:t>
      </w:r>
    </w:p>
    <w:p w:rsidR="00EB672B" w:rsidRPr="00AF3B73" w:rsidP="00EB672B" w14:paraId="257CE09B" w14:textId="6E9B3E3B">
      <w:pPr>
        <w:pStyle w:val="7317"/>
        <w:rPr>
          <w:rtl/>
        </w:rPr>
      </w:pPr>
      <w:r w:rsidRPr="004D350D">
        <w:rPr>
          <w:rStyle w:val="7371"/>
          <w:rFonts w:hint="cs"/>
          <w:noProof/>
          <w:rtl/>
        </w:rPr>
        <w:drawing>
          <wp:anchor distT="0" distB="0" distL="114300" distR="11430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D350D" w:rsidR="004D350D">
        <w:rPr>
          <w:rStyle w:val="7371"/>
          <w:rtl/>
        </w:rPr>
        <w:t xml:space="preserve">התנגשות אינטרסים של </w:t>
      </w:r>
      <w:r w:rsidRPr="004D350D" w:rsidR="004D350D">
        <w:rPr>
          <w:rStyle w:val="7371"/>
          <w:rtl/>
        </w:rPr>
        <w:t>מאסדרי</w:t>
      </w:r>
      <w:r w:rsidRPr="004D350D" w:rsidR="004D350D">
        <w:rPr>
          <w:rStyle w:val="7371"/>
          <w:rtl/>
        </w:rPr>
        <w:t xml:space="preserve"> </w:t>
      </w:r>
      <w:r w:rsidRPr="004D350D" w:rsidR="004D350D">
        <w:rPr>
          <w:rStyle w:val="7371"/>
          <w:rtl/>
        </w:rPr>
        <w:t>נתג"ז</w:t>
      </w:r>
      <w:r w:rsidRPr="004D350D" w:rsidR="004D350D">
        <w:rPr>
          <w:rStyle w:val="7371"/>
          <w:rtl/>
        </w:rPr>
        <w:t xml:space="preserve"> והשפעתה על חלוקת דיבידנד - </w:t>
      </w:r>
      <w:r w:rsidRPr="002F434F" w:rsidR="004D350D">
        <w:rPr>
          <w:rtl/>
        </w:rPr>
        <w:t xml:space="preserve">מאז הקמת </w:t>
      </w:r>
      <w:r w:rsidRPr="002F434F" w:rsidR="004D350D">
        <w:rPr>
          <w:rtl/>
        </w:rPr>
        <w:t>נתג"ז</w:t>
      </w:r>
      <w:r w:rsidRPr="002F434F" w:rsidR="004D350D">
        <w:rPr>
          <w:rtl/>
        </w:rPr>
        <w:t xml:space="preserve"> בשנת 2004 ועד למועד סיום הביקורת לא חילקה </w:t>
      </w:r>
      <w:r w:rsidRPr="002F434F" w:rsidR="004D350D">
        <w:rPr>
          <w:rtl/>
        </w:rPr>
        <w:t>נתג"ז</w:t>
      </w:r>
      <w:r w:rsidRPr="002F434F" w:rsidR="004D350D">
        <w:rPr>
          <w:rtl/>
        </w:rPr>
        <w:t xml:space="preserve"> דיבידנד למדינה. עלה כי לכל מאסדר מטרות שונות, כך שיוצא שדרכי הפעולה של </w:t>
      </w:r>
      <w:r w:rsidRPr="002F434F" w:rsidR="004D350D">
        <w:rPr>
          <w:rtl/>
        </w:rPr>
        <w:t>המאסדרים</w:t>
      </w:r>
      <w:r w:rsidRPr="002F434F" w:rsidR="004D350D">
        <w:rPr>
          <w:rtl/>
        </w:rPr>
        <w:t xml:space="preserve"> להשגת מטרותיהם השונות עלולות להביא אותם לפעולות מנוגדות. בעוד שרשות החברות הממשלתיות פועלת להשיא את התשואה על ההון באמצעות חלוקה של דיבידנד ברמה נאותה, משרד </w:t>
      </w:r>
      <w:r w:rsidRPr="002F434F" w:rsidR="004D350D">
        <w:rPr>
          <w:rtl/>
        </w:rPr>
        <w:t>האנרגייה</w:t>
      </w:r>
      <w:r w:rsidRPr="00D50FB7" w:rsidR="004D350D">
        <w:rPr>
          <w:rtl/>
        </w:rPr>
        <w:t xml:space="preserve"> </w:t>
      </w:r>
      <w:r w:rsidRPr="002F434F" w:rsidR="004D350D">
        <w:rPr>
          <w:rtl/>
        </w:rPr>
        <w:t xml:space="preserve">והתשתיות, הקובע את התעריף שמשפיע על האפשרות לחלוקת דיבידנד (התשואה על ההון), אינו רואה חלוקת דיבידנד על ידי </w:t>
      </w:r>
      <w:r w:rsidRPr="002F434F" w:rsidR="004D350D">
        <w:rPr>
          <w:rtl/>
        </w:rPr>
        <w:t>נתג"ז</w:t>
      </w:r>
      <w:r w:rsidRPr="002F434F" w:rsidR="004D350D">
        <w:rPr>
          <w:rtl/>
        </w:rPr>
        <w:t xml:space="preserve"> כאפשרית, גם לא בטווח הארוך. מצב זה הביא למחלוקת בין רשות החברות הממשלתיות לבין רשות הגז הטבעי בנוגע להחלטת דירקטוריון החברה על חלוקת דיבידנד בהיקף של 80 מיליון ש"ח בשנת 2022. במועד סיום הביקורת רשות החברות הממשלתיות טרם אישרה את חלוקת הדיבידנד כי שר האוצר ואחר כך השר הממונה על רשות החברות הממשלתיות הנחו את הרשות להשהות את גביית התשלום למדינה עד לגיבוש מדיניותם בנושא זה</w:t>
      </w:r>
      <w:r w:rsidRPr="00AF3B73">
        <w:rPr>
          <w:rFonts w:hint="cs"/>
          <w:rtl/>
        </w:rPr>
        <w:t>.</w:t>
      </w:r>
    </w:p>
    <w:p w:rsidR="00EB672B" w:rsidRPr="00AF3B73" w:rsidP="00EB672B" w14:paraId="42C157E6" w14:textId="26D5ED09">
      <w:pPr>
        <w:pStyle w:val="7317"/>
      </w:pPr>
      <w:r w:rsidRPr="004D350D">
        <w:rPr>
          <w:rStyle w:val="7371"/>
          <w:rFonts w:hint="cs"/>
          <w:noProof/>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D350D" w:rsidR="004D350D">
        <w:rPr>
          <w:rStyle w:val="7371"/>
          <w:rtl/>
        </w:rPr>
        <w:t xml:space="preserve">סדר קדימות באספקת גז טבעי - </w:t>
      </w:r>
      <w:r w:rsidRPr="004D350D" w:rsidR="004D350D">
        <w:rPr>
          <w:rStyle w:val="7371"/>
          <w:b/>
          <w:bCs w:val="0"/>
          <w:rtl/>
        </w:rPr>
        <w:t>במועד סיום הביקורת אספקת הגז של המדינה מתבצעת משלושה מאגרי גז:</w:t>
      </w:r>
      <w:r w:rsidRPr="002F434F" w:rsidR="004D350D">
        <w:rPr>
          <w:rtl/>
        </w:rPr>
        <w:t xml:space="preserve"> תמר, לווייתן וכריש. אספקת גז תלויה, בין היתר, בקוטר הצינור שמוביל את הגז לצרכנים ובכמות הגז שמספקים ספקי הגז. הגז המופק בתמר וכריש מיועד ברובו למשק המקומי, ואילו הגז המופק מלווייתן מיועד ברובו ליצוא. ההסכם של </w:t>
      </w:r>
      <w:r w:rsidRPr="002F434F" w:rsidR="004D350D">
        <w:rPr>
          <w:rtl/>
        </w:rPr>
        <w:t>נתג"ז</w:t>
      </w:r>
      <w:r w:rsidRPr="002F434F" w:rsidR="004D350D">
        <w:rPr>
          <w:rtl/>
        </w:rPr>
        <w:t xml:space="preserve"> עם לקוחותיה אינו מאפשר לה </w:t>
      </w:r>
      <w:r w:rsidRPr="002F434F" w:rsidR="004D350D">
        <w:rPr>
          <w:rtl/>
        </w:rPr>
        <w:t>לתעדף</w:t>
      </w:r>
      <w:r w:rsidRPr="002F434F" w:rsidR="004D350D">
        <w:rPr>
          <w:rtl/>
        </w:rPr>
        <w:t xml:space="preserve"> לקוחות מקומיים לעומת לקוחות יצוא, ולכן קיים חשש שהפסקת אספקת הגז מתמר עקב תחזוקה או אירוע אחר עלולה ליצור מחסור בגז במשק המקומי ולשבש את פעילות המשק, ובכלל זה את ייצור החשמל - הן ברמה היומית והן ברמה השעתית (גאות ושפל בייצור החשמל). התוצאה מכך היא הפעלת תחנות כוח פחמיות או שימוש בסולר, שעולים למשק יותר מהשימוש בגז וגורמים לנזק סביבתי רב יותר</w:t>
      </w:r>
      <w:r w:rsidRPr="00AF3B73">
        <w:rPr>
          <w:rFonts w:hint="cs"/>
          <w:rtl/>
        </w:rPr>
        <w:t xml:space="preserve">. </w:t>
      </w:r>
    </w:p>
    <w:p w:rsidR="00EB672B" w:rsidRPr="00AF3B73" w:rsidP="00EB672B" w14:paraId="0E55F83C" w14:textId="52A96E54">
      <w:pPr>
        <w:pStyle w:val="7317"/>
      </w:pPr>
      <w:r w:rsidRPr="004D350D">
        <w:rPr>
          <w:rStyle w:val="7371"/>
          <w:rFonts w:hint="cs"/>
          <w:noProof/>
          <w:rtl/>
        </w:rPr>
        <w:drawing>
          <wp:anchor distT="0" distB="0" distL="114300" distR="11430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D350D" w:rsidR="004D350D">
        <w:rPr>
          <w:rStyle w:val="7371"/>
          <w:rtl/>
        </w:rPr>
        <w:t xml:space="preserve">תוכנית אב למשק </w:t>
      </w:r>
      <w:r w:rsidRPr="004D350D" w:rsidR="004D350D">
        <w:rPr>
          <w:rStyle w:val="7371"/>
          <w:rtl/>
        </w:rPr>
        <w:t>האנרגייה</w:t>
      </w:r>
      <w:r w:rsidRPr="004D350D" w:rsidR="004D350D">
        <w:rPr>
          <w:rStyle w:val="7371"/>
          <w:rtl/>
        </w:rPr>
        <w:t xml:space="preserve"> ולמשק הגז הטבעי -</w:t>
      </w:r>
      <w:r w:rsidRPr="002F434F" w:rsidR="004D350D">
        <w:rPr>
          <w:rtl/>
        </w:rPr>
        <w:t xml:space="preserve"> במועד סיום הביקורת אין לרשות הגז הטבעי תוכנית אב למשק הגז הטבעי. משמע שבין היתר אין לרשות </w:t>
      </w:r>
      <w:r w:rsidRPr="002F434F" w:rsidR="004D350D">
        <w:rPr>
          <w:rtl/>
        </w:rPr>
        <w:t>חזון</w:t>
      </w:r>
      <w:r w:rsidRPr="002F434F" w:rsidR="004D350D">
        <w:rPr>
          <w:rtl/>
        </w:rPr>
        <w:t xml:space="preserve">, מטרות ויעדים לגבי משק הגז הטבעי וחברת </w:t>
      </w:r>
      <w:r w:rsidRPr="002F434F" w:rsidR="004D350D">
        <w:rPr>
          <w:rtl/>
        </w:rPr>
        <w:t>נתג"ז</w:t>
      </w:r>
      <w:r w:rsidRPr="002F434F" w:rsidR="004D350D">
        <w:rPr>
          <w:rtl/>
        </w:rPr>
        <w:t xml:space="preserve">. היעדר תוכנית כזו עלול לפגוע, בין השאר, בניתוח צורכי משק הדלק, בפיתוח תשתיות דלק ובאספקה אמינה של דלקים לצרכנים חיוניים בשעת חירום ובהיבטים אלו של משק הגז הטבעי. היעדר תוכנית אב גם מצמצם את יכולתם של גופי התכנון (כגון </w:t>
      </w:r>
      <w:r w:rsidRPr="002F434F" w:rsidR="004D350D">
        <w:rPr>
          <w:rtl/>
        </w:rPr>
        <w:t>מינהל</w:t>
      </w:r>
      <w:r w:rsidRPr="002F434F" w:rsidR="004D350D">
        <w:rPr>
          <w:rtl/>
        </w:rPr>
        <w:t xml:space="preserve"> התכנון, רשויות מקומיות והמשרד להגנת הסביבה) לקבל החלטות המאזנות בין צורכי משק הגז הטבעי לבין צרכים של תשתיות ותעשיות אחרות, צרכים סביבתיים, צורכי האוכלוסייה וצרכים עירוניים</w:t>
      </w:r>
      <w:r w:rsidRPr="00AF3B73">
        <w:rPr>
          <w:rFonts w:hint="cs"/>
          <w:rtl/>
        </w:rPr>
        <w:t xml:space="preserve">. </w:t>
      </w:r>
    </w:p>
    <w:p w:rsidR="00EB672B" w:rsidRPr="00AF3B73" w:rsidP="00EB672B" w14:paraId="1320DBEF" w14:textId="32849020">
      <w:pPr>
        <w:pStyle w:val="7317"/>
        <w:rPr>
          <w:rtl/>
        </w:rPr>
      </w:pPr>
      <w:r w:rsidRPr="004D350D">
        <w:rPr>
          <w:rStyle w:val="7371"/>
          <w:rFonts w:hint="cs"/>
          <w:noProof/>
          <w:rtl/>
        </w:rPr>
        <w:drawing>
          <wp:anchor distT="0" distB="0" distL="114300" distR="114300" simplePos="0" relativeHeight="25169408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bookmarkStart w:id="2" w:name="_Hlk131488745"/>
      <w:r w:rsidRPr="004D350D" w:rsidR="004D350D">
        <w:rPr>
          <w:rStyle w:val="7371"/>
          <w:rtl/>
        </w:rPr>
        <w:t>הקו הימי אשדוד-אשקלון:</w:t>
      </w:r>
      <w:r w:rsidRPr="002F434F" w:rsidR="004D350D">
        <w:rPr>
          <w:rtl/>
        </w:rPr>
        <w:t xml:space="preserve"> </w:t>
      </w:r>
      <w:bookmarkEnd w:id="2"/>
      <w:r w:rsidRPr="004D350D" w:rsidR="004D350D">
        <w:rPr>
          <w:b/>
          <w:bCs/>
          <w:rtl/>
        </w:rPr>
        <w:t>קבלת ההחלטה במועצת הגז -</w:t>
      </w:r>
      <w:r w:rsidRPr="002F434F" w:rsidR="004D350D">
        <w:rPr>
          <w:rtl/>
        </w:rPr>
        <w:t xml:space="preserve"> ב-2021 התקשרה </w:t>
      </w:r>
      <w:r w:rsidRPr="002F434F" w:rsidR="004D350D">
        <w:rPr>
          <w:rtl/>
        </w:rPr>
        <w:t>נתג"ז</w:t>
      </w:r>
      <w:r w:rsidRPr="002F434F" w:rsidR="004D350D">
        <w:rPr>
          <w:rtl/>
        </w:rPr>
        <w:t xml:space="preserve"> עם חברת שברון </w:t>
      </w:r>
      <w:r w:rsidRPr="002F434F" w:rsidR="004D350D">
        <w:rPr>
          <w:rtl/>
        </w:rPr>
        <w:t>מדיטרניאן</w:t>
      </w:r>
      <w:r w:rsidRPr="002F434F" w:rsidR="004D350D">
        <w:rPr>
          <w:rtl/>
        </w:rPr>
        <w:t xml:space="preserve"> בע"מ בהסכם לאספקת שירותי הולכה לצורך הזרמת גז טבעי ממאגר לוויתן וממאגר תמר באשדוד אל נקודת הקבלה של </w:t>
      </w:r>
      <w:r w:rsidRPr="002F434F" w:rsidR="004D350D">
        <w:t>EMG</w:t>
      </w:r>
      <w:r w:rsidRPr="002F434F" w:rsidR="004D350D">
        <w:rPr>
          <w:rtl/>
        </w:rPr>
        <w:t xml:space="preserve"> באשקלון</w:t>
      </w:r>
      <w:r>
        <w:rPr>
          <w:vertAlign w:val="superscript"/>
          <w:rtl/>
        </w:rPr>
        <w:footnoteReference w:id="6"/>
      </w:r>
      <w:r w:rsidRPr="002F434F" w:rsidR="004D350D">
        <w:rPr>
          <w:rtl/>
        </w:rPr>
        <w:t xml:space="preserve"> ליצוא למצרים. בפרוטוקולים של המועצה לגבי ההחלטה על הקמת הקו הימי אשדוד-אשקלון אין פירוט של דיוני המועצה. עוד נמצא כי החלטת המועצה 3/2020 אימצה במלואה את המלצת חוות הדעת ההנדסית של רשות הגז הטבעי לעניין מימון בניית המקטע הימי והחליטה על חלוקת המימון (העלויות) בין </w:t>
      </w:r>
      <w:r w:rsidRPr="002F434F" w:rsidR="004D350D">
        <w:rPr>
          <w:rtl/>
        </w:rPr>
        <w:t>נתג"ז</w:t>
      </w:r>
      <w:r w:rsidRPr="002F434F" w:rsidR="004D350D">
        <w:rPr>
          <w:rtl/>
        </w:rPr>
        <w:t xml:space="preserve"> (43.5%) לבין היצואן (56.5%), משמע הוחלט לממן בכ-400 מיליון ש"ח את בניית הקו מכספי </w:t>
      </w:r>
      <w:r w:rsidRPr="002F434F" w:rsidR="004D350D">
        <w:rPr>
          <w:rtl/>
        </w:rPr>
        <w:t>נתג"ז</w:t>
      </w:r>
      <w:r w:rsidRPr="002F434F" w:rsidR="004D350D">
        <w:rPr>
          <w:rtl/>
        </w:rPr>
        <w:t xml:space="preserve">. עלויות אלה יועמסו על בסיס התעריף והדבר עלול לייקר את התעריף של </w:t>
      </w:r>
      <w:r w:rsidRPr="002F434F" w:rsidR="004D350D">
        <w:rPr>
          <w:rtl/>
        </w:rPr>
        <w:t>נתג"ז</w:t>
      </w:r>
      <w:r w:rsidRPr="002F434F" w:rsidR="004D350D">
        <w:rPr>
          <w:rtl/>
        </w:rPr>
        <w:t xml:space="preserve">. כמו כן, לא נמצא בפרוטוקול הישיבה אזכור או דיון לגבי סימולציות, תרחישים או נתונים שהציגה </w:t>
      </w:r>
      <w:r w:rsidRPr="002F434F" w:rsidR="004D350D">
        <w:rPr>
          <w:rtl/>
        </w:rPr>
        <w:t>נתג"ז</w:t>
      </w:r>
      <w:r w:rsidRPr="002F434F" w:rsidR="004D350D">
        <w:rPr>
          <w:rtl/>
        </w:rPr>
        <w:t xml:space="preserve">. עוד נמצא כי במועד קבלת החלטה 3/2020 היה הרכב חסר של המועצה, שכן שלא בהתאם לנדרש בחוק, שיכהנו בה חמישה חברים ובהם שני נציגי ציבור, כיהנו בה שלושה חברים בלבד, אף לא אחד מהם נציג ציבור: מנהל רשות הגז הטבעי, נציג שר </w:t>
      </w:r>
      <w:r w:rsidRPr="002F434F" w:rsidR="004D350D">
        <w:rPr>
          <w:rtl/>
        </w:rPr>
        <w:t>האנרגייה</w:t>
      </w:r>
      <w:r w:rsidRPr="002F434F" w:rsidR="004D350D">
        <w:rPr>
          <w:rtl/>
        </w:rPr>
        <w:t xml:space="preserve"> והתשתיות ונציג שר האוצר</w:t>
      </w:r>
      <w:r w:rsidRPr="00AF3B73">
        <w:rPr>
          <w:rFonts w:hint="cs"/>
          <w:rtl/>
        </w:rPr>
        <w:t>.</w:t>
      </w:r>
    </w:p>
    <w:p w:rsidR="00EB672B" w:rsidP="00EB672B" w14:paraId="6EA213E6" w14:textId="05066374">
      <w:pPr>
        <w:pStyle w:val="7317"/>
        <w:rPr>
          <w:rtl/>
        </w:rPr>
      </w:pPr>
      <w:r w:rsidRPr="004D350D">
        <w:rPr>
          <w:rStyle w:val="7371"/>
          <w:rFonts w:hint="cs"/>
          <w:noProof/>
          <w:rtl/>
        </w:rPr>
        <w:drawing>
          <wp:anchor distT="0" distB="0" distL="114300" distR="114300" simplePos="0" relativeHeight="25169510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D350D" w:rsidR="004D350D">
        <w:rPr>
          <w:rStyle w:val="7371"/>
          <w:rtl/>
        </w:rPr>
        <w:t>הקו הימי אשדוד-אשקלון:</w:t>
      </w:r>
      <w:r w:rsidRPr="002F434F" w:rsidR="004D350D">
        <w:rPr>
          <w:rtl/>
        </w:rPr>
        <w:t xml:space="preserve"> לוחות זמנים ותקצי</w:t>
      </w:r>
      <w:r w:rsidR="0036297C">
        <w:rPr>
          <w:rFonts w:hint="cs"/>
          <w:rtl/>
        </w:rPr>
        <w:t xml:space="preserve">ב </w:t>
      </w:r>
      <w:r w:rsidRPr="002F434F" w:rsidR="004D350D">
        <w:rPr>
          <w:rtl/>
        </w:rPr>
        <w:t xml:space="preserve">ביצוע הפרויקט החל בנובמבר 2021. העיכוב בביצוע פרויקט הקו הימי אשדוד-אשקלון נוצר בשל עיכובים רבים בעבודה מול </w:t>
      </w:r>
      <w:r w:rsidRPr="002F434F" w:rsidR="004D350D">
        <w:rPr>
          <w:rtl/>
        </w:rPr>
        <w:t>קצא"א</w:t>
      </w:r>
      <w:r w:rsidRPr="002F434F" w:rsidR="004D350D">
        <w:rPr>
          <w:rtl/>
        </w:rPr>
        <w:t xml:space="preserve"> ובשל תקלה תפעולית באוניית </w:t>
      </w:r>
      <w:r w:rsidRPr="002F434F" w:rsidR="004D350D">
        <w:rPr>
          <w:rtl/>
        </w:rPr>
        <w:t>הסמינול</w:t>
      </w:r>
      <w:r w:rsidRPr="002F434F" w:rsidR="004D350D">
        <w:rPr>
          <w:rtl/>
        </w:rPr>
        <w:t xml:space="preserve"> </w:t>
      </w:r>
      <w:r w:rsidRPr="002F434F" w:rsidR="004D350D">
        <w:t>Seminole</w:t>
      </w:r>
      <w:r w:rsidRPr="002F434F" w:rsidR="004D350D">
        <w:rPr>
          <w:rtl/>
        </w:rPr>
        <w:t xml:space="preserve"> האחראית להנחת הצנרת. לאחר השלמת המכרזים גדל תקציב הפרויקט בכ-60 </w:t>
      </w:r>
      <w:r w:rsidRPr="002F434F" w:rsidR="004D350D">
        <w:rPr>
          <w:rtl/>
        </w:rPr>
        <w:t>מלש"ח</w:t>
      </w:r>
      <w:r w:rsidRPr="002F434F" w:rsidR="004D350D">
        <w:rPr>
          <w:rtl/>
        </w:rPr>
        <w:t>, ומועד הסיום שלו נדחה מאפריל 2023 לינואר 2024 (לא סופי</w:t>
      </w:r>
      <w:r w:rsidR="004D350D">
        <w:rPr>
          <w:rFonts w:hint="cs"/>
          <w:rtl/>
        </w:rPr>
        <w:t>)</w:t>
      </w:r>
      <w:r w:rsidRPr="00AF3B73">
        <w:rPr>
          <w:rFonts w:hint="cs"/>
          <w:rtl/>
        </w:rPr>
        <w:t xml:space="preserve">. </w:t>
      </w:r>
    </w:p>
    <w:p w:rsidR="004D350D" w:rsidP="004D350D" w14:paraId="62EA0EA8" w14:textId="7B1FE920">
      <w:pPr>
        <w:pStyle w:val="7317"/>
        <w:rPr>
          <w:rtl/>
        </w:rPr>
      </w:pPr>
      <w:r w:rsidRPr="004D350D">
        <w:rPr>
          <w:rStyle w:val="7371"/>
          <w:rFonts w:hint="cs"/>
          <w:noProof/>
          <w:rtl/>
        </w:rPr>
        <w:drawing>
          <wp:anchor distT="0" distB="0" distL="114300" distR="114300" simplePos="0" relativeHeight="25169612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573298929" name="תמונה 57329892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2989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D350D">
        <w:rPr>
          <w:rStyle w:val="7371"/>
          <w:rtl/>
        </w:rPr>
        <w:t>מוכנות לאירועי רעידות אדמה וחירום -</w:t>
      </w:r>
      <w:r w:rsidRPr="002F434F">
        <w:rPr>
          <w:rtl/>
        </w:rPr>
        <w:t xml:space="preserve"> נמצא כי עד מועד סיום הביקורת לא הסתיים העדכון של דוח המכון הגיאולוגי על השפעת תרחישי רעידות אדמה על רשת הולכת הגז אשר הוזמן בשנת 2020 (אורך קווים - 564 ק"מ), וכי הדוח האחרון הוכן בשנת 2012 (אורך קווים - 168 ק"מ). המכון הגיאולוגי מסר בנובמבר 2022 כי המכון הריץ תרחישי רעידות אדמה על אתרים ועל מיקום קווי הולכה עבור גז ונפט, כפי שמסר משרד </w:t>
      </w:r>
      <w:r w:rsidRPr="002F434F">
        <w:rPr>
          <w:rtl/>
        </w:rPr>
        <w:t>האנרגייה</w:t>
      </w:r>
      <w:r w:rsidRPr="00D50FB7">
        <w:rPr>
          <w:rtl/>
        </w:rPr>
        <w:t xml:space="preserve"> </w:t>
      </w:r>
      <w:r w:rsidRPr="002F434F">
        <w:rPr>
          <w:rtl/>
        </w:rPr>
        <w:t>והתשתיות, אך המשרד לא הגדיר אילו תרחישים ספציפיים של רעידות אדמה בכוונתו לבדוק ולא העביר למכון מידע לגבי עקומות השבירות של הצנרת (גרף המתאר את העמידות של הצנרת כתלות בתנודת הקרקע). לכן נכון לנובמבר 2022 המכון הפסיק את עדכון הדוח</w:t>
      </w:r>
      <w:r w:rsidRPr="00AF3B73">
        <w:rPr>
          <w:rFonts w:hint="cs"/>
          <w:rtl/>
        </w:rPr>
        <w:t xml:space="preserve">. </w:t>
      </w:r>
    </w:p>
    <w:p w:rsidR="004D350D" w:rsidP="004D350D" w14:paraId="513CFB0D" w14:textId="198085ED">
      <w:pPr>
        <w:pStyle w:val="7317"/>
        <w:rPr>
          <w:rtl/>
        </w:rPr>
      </w:pPr>
      <w:r w:rsidRPr="004D350D">
        <w:rPr>
          <w:rStyle w:val="7371"/>
          <w:rFonts w:hint="cs"/>
          <w:noProof/>
          <w:rtl/>
        </w:rPr>
        <w:drawing>
          <wp:anchor distT="0" distB="0" distL="114300" distR="114300" simplePos="0" relativeHeight="25169715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925431564" name="תמונה 92543156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43156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D350D">
        <w:rPr>
          <w:rStyle w:val="7371"/>
          <w:rtl/>
        </w:rPr>
        <w:t>אחסון גז יבשתי -</w:t>
      </w:r>
      <w:r w:rsidRPr="002F434F">
        <w:rPr>
          <w:rtl/>
        </w:rPr>
        <w:t xml:space="preserve"> עלה כי מאז 2012 ועד מועד סיום הביקורת הנחתה רשות הגז את </w:t>
      </w:r>
      <w:r w:rsidRPr="002F434F">
        <w:rPr>
          <w:rtl/>
        </w:rPr>
        <w:t>נתג"ז</w:t>
      </w:r>
      <w:r w:rsidRPr="002F434F">
        <w:rPr>
          <w:rtl/>
        </w:rPr>
        <w:t xml:space="preserve"> פעמים אחדות לבצע בחינה כלכלית של חלופות לאחסון יבשתי של גז טבעי ואלו נבחנו </w:t>
      </w:r>
      <w:r w:rsidRPr="002F434F">
        <w:rPr>
          <w:rtl/>
        </w:rPr>
        <w:t xml:space="preserve">על ידה. כמו כן, רשות הגז הנחתה את </w:t>
      </w:r>
      <w:r w:rsidRPr="002F434F">
        <w:rPr>
          <w:rtl/>
        </w:rPr>
        <w:t>נתג"ז</w:t>
      </w:r>
      <w:r w:rsidRPr="002F434F">
        <w:rPr>
          <w:rtl/>
        </w:rPr>
        <w:t xml:space="preserve"> במהלך 2022 לקדם עריכת ניסוי בראש זוהר. עם זאת, רשות הגז לא קיבלה החלטה בנושא, בין היתר בשל העלויות הגבוהות, ולא סיימה את תהליך הכנתו של מסמך עקרונות מפורט לגיבוש מדיניות לאחסון יבשתי של גז טבעי. במועד סיום הביקורת אין לרשות הגז מסמכי מדיניות ועקרונות לאחסון גז טבעי יבשתי</w:t>
      </w:r>
      <w:r w:rsidRPr="00AF3B73">
        <w:rPr>
          <w:rFonts w:hint="cs"/>
          <w:rtl/>
        </w:rPr>
        <w:t xml:space="preserve">. </w:t>
      </w:r>
    </w:p>
    <w:p w:rsidR="004D350D" w:rsidP="004D350D" w14:paraId="48D50102" w14:textId="6A64BC1B">
      <w:pPr>
        <w:pStyle w:val="7317"/>
        <w:rPr>
          <w:rtl/>
        </w:rPr>
      </w:pPr>
      <w:r w:rsidRPr="004D350D">
        <w:rPr>
          <w:rStyle w:val="7371"/>
          <w:rFonts w:hint="cs"/>
          <w:noProof/>
          <w:rtl/>
        </w:rPr>
        <w:drawing>
          <wp:anchor distT="0" distB="0" distL="114300" distR="114300" simplePos="0" relativeHeight="25169817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97090805" name="תמונה 49709080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09080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D350D">
        <w:rPr>
          <w:rStyle w:val="7371"/>
          <w:rtl/>
        </w:rPr>
        <w:t>תקופת כהונה של רואה החשבון המבקר -</w:t>
      </w:r>
      <w:r w:rsidRPr="002F434F">
        <w:rPr>
          <w:rtl/>
        </w:rPr>
        <w:t xml:space="preserve"> על </w:t>
      </w:r>
      <w:r w:rsidRPr="002F434F">
        <w:rPr>
          <w:rtl/>
        </w:rPr>
        <w:t>נתג"ז</w:t>
      </w:r>
      <w:r w:rsidRPr="002F434F">
        <w:rPr>
          <w:rtl/>
        </w:rPr>
        <w:t xml:space="preserve"> חלים כללי החברות הממשלתיות (מינוי רואי חשבון ושכרם), התשנ"ד-1994. בכללים נקבע כי התקופה הכוללת של מינוי רואה חשבון מבקר לא תהיה יותר משש שנים רצופות. עם זאת, רואה החשבון המבקר של החברה מכהן כבר יותר מ-18 שנה מאז מונה לתפקידו בשנת 2004</w:t>
      </w:r>
      <w:r w:rsidRPr="00AF3B73">
        <w:rPr>
          <w:rFonts w:hint="cs"/>
          <w:rtl/>
        </w:rPr>
        <w:t xml:space="preserve">. </w:t>
      </w:r>
    </w:p>
    <w:p w:rsidR="004D350D" w:rsidP="004D350D" w14:paraId="53937AAF" w14:textId="431D7241">
      <w:pPr>
        <w:pStyle w:val="7317"/>
        <w:rPr>
          <w:rtl/>
        </w:rPr>
      </w:pPr>
      <w:r w:rsidRPr="004D350D">
        <w:rPr>
          <w:rStyle w:val="7371"/>
          <w:rFonts w:hint="cs"/>
          <w:noProof/>
          <w:rtl/>
        </w:rPr>
        <w:drawing>
          <wp:anchor distT="0" distB="0" distL="114300" distR="114300" simplePos="0" relativeHeight="25169920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23653371" name="תמונה 42365337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5337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D350D">
        <w:rPr>
          <w:rStyle w:val="7371"/>
          <w:rtl/>
        </w:rPr>
        <w:t>יו"ר דירקטוריון ואיוש דירקטוריון החברה</w:t>
      </w:r>
      <w:r w:rsidRPr="002F434F">
        <w:rPr>
          <w:rtl/>
        </w:rPr>
        <w:t xml:space="preserve"> </w:t>
      </w:r>
      <w:r w:rsidRPr="004D350D">
        <w:rPr>
          <w:rStyle w:val="7371"/>
          <w:rtl/>
        </w:rPr>
        <w:t>-</w:t>
      </w:r>
      <w:r w:rsidRPr="002F434F">
        <w:rPr>
          <w:rtl/>
        </w:rPr>
        <w:t xml:space="preserve"> במשך כתשעה חודשים (מספטמבר 2021 עד פברואר 2022 ומינואר 2021 עד מאי 2021) לא היה לחברה יו"ר דירקטוריון קבוע. תקנון החברה קובע כי בדירקטוריון יכהנו 3 עד 9 דירקטורים ומתוכם שניים יהיו דירקטורים חיצוניים. בחלק משנת 2020 כיהנו בדירקטוריון ארבעה דירקטורים, ובחלק משנת 2021 שלושה דירקטורים. עוד עולה כי במשך כחמישה חודשים (מ-29.8.21 עד 1.2.22) היו בדירקטוריון פחות משני דירקטורים חיצוניים</w:t>
      </w:r>
      <w:r w:rsidRPr="00AF3B73">
        <w:rPr>
          <w:rFonts w:hint="cs"/>
          <w:rtl/>
        </w:rPr>
        <w:t xml:space="preserve">. </w:t>
      </w:r>
    </w:p>
    <w:p w:rsidR="004D350D" w:rsidP="004D350D" w14:paraId="33947F72" w14:textId="4D5D9E78">
      <w:pPr>
        <w:pStyle w:val="7317"/>
        <w:rPr>
          <w:rtl/>
        </w:rPr>
      </w:pPr>
      <w:r w:rsidRPr="004D350D">
        <w:rPr>
          <w:rStyle w:val="7371"/>
          <w:rFonts w:hint="cs"/>
          <w:noProof/>
          <w:rtl/>
        </w:rPr>
        <w:drawing>
          <wp:anchor distT="0" distB="0" distL="114300" distR="114300" simplePos="0" relativeHeight="25170022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983162129" name="תמונה 98316212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1621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D350D">
        <w:rPr>
          <w:rStyle w:val="7371"/>
          <w:rtl/>
        </w:rPr>
        <w:t>ייצוג הולם של נשים בדירקטוריון -</w:t>
      </w:r>
      <w:r w:rsidRPr="002F434F">
        <w:rPr>
          <w:rtl/>
        </w:rPr>
        <w:t xml:space="preserve"> למעט החודשים אפריל-ספטמבר 2021, בשנים 2019 - 2022 לא היה בדירקטוריון </w:t>
      </w:r>
      <w:r w:rsidRPr="002F434F">
        <w:rPr>
          <w:rtl/>
        </w:rPr>
        <w:t>נתג"ז</w:t>
      </w:r>
      <w:r w:rsidRPr="002F434F">
        <w:rPr>
          <w:rtl/>
        </w:rPr>
        <w:t xml:space="preserve"> ייצוג הולם של נשים בהתאם לחוק החברות הממשלתיות ולהנחיית היועץ המשפטי לממשלה, ובספטמבר 2022 ארבעה מששת הדירקטורים המכהנים היו גברים לעומת היעד של 50% נשים</w:t>
      </w:r>
      <w:r w:rsidRPr="00AF3B73">
        <w:rPr>
          <w:rFonts w:hint="cs"/>
          <w:rtl/>
        </w:rPr>
        <w:t xml:space="preserve">. </w:t>
      </w:r>
    </w:p>
    <w:p w:rsidR="00EB672B" w:rsidRPr="000B463F" w:rsidP="00C035DE" w14:paraId="5AE2419C" w14:textId="77777777">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EB672B" w:rsidRPr="00CA4EB1" w:rsidP="00EB672B" w14:paraId="34FBDC9B" w14:textId="48AF2D9E">
      <w:pPr>
        <w:pStyle w:val="7317"/>
        <w:rPr>
          <w:rtl/>
        </w:rPr>
      </w:pPr>
      <w:r w:rsidRPr="004D350D">
        <w:rPr>
          <w:rStyle w:val="7371"/>
          <w:rtl/>
        </w:rPr>
        <w:t>קוד אתי -</w:t>
      </w:r>
      <w:r w:rsidRPr="002F434F">
        <w:rPr>
          <w:rtl/>
        </w:rPr>
        <w:t xml:space="preserve"> עד ספטמבר 2022 היה </w:t>
      </w:r>
      <w:r w:rsidRPr="002F434F">
        <w:rPr>
          <w:rtl/>
        </w:rPr>
        <w:t>בנתג"ז</w:t>
      </w:r>
      <w:r w:rsidRPr="002F434F">
        <w:rPr>
          <w:rtl/>
        </w:rPr>
        <w:t xml:space="preserve"> קוד אתי. באותו המועד, לאחר בחינה מעמיקה של קודים אתיים של חברות מסוגים שונים ובעלות ערכים שונים ומיפוי ערכי הליבה וגיבוש החזון, כתבה החברה קוד אתי חדש ומעודכן. הקוד האתי החדש מייצג את ערכי החברה הנורמטיביים שלאורם היא פועלת ומושתת על חוקים, תקנות ונהלים שלהם היא מחויבת</w:t>
      </w:r>
      <w:r w:rsidRPr="00CA4EB1">
        <w:rPr>
          <w:rFonts w:hint="cs"/>
          <w:rtl/>
        </w:rPr>
        <w:t>.</w:t>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3C2133D5">
      <w:pPr>
        <w:pStyle w:val="7317"/>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2F434F" w:rsidR="004D350D">
        <w:rPr>
          <w:rtl/>
        </w:rPr>
        <w:t xml:space="preserve">מוצע כי רשות החברות הממשלתיות תבחן את שיעורי הרווחיות של החברות הממשלתיות שהן מונופול ואת השפעת התעריפים שנקבעו להן גם על יוקר המחיה בישראל, בשים לב לצורך לשמור על יציבות החברות ועל עמידתן לטווח הקצר והארוך במחויבותן. </w:t>
      </w:r>
      <w:bookmarkStart w:id="3" w:name="_Hlk136953891"/>
      <w:r w:rsidRPr="002F434F" w:rsidR="004D350D">
        <w:rPr>
          <w:rtl/>
        </w:rPr>
        <w:t>עוד מומלץ כי רשות הגז הטבעי ורשות החברות הממשלתיות יקיימו שולחן עגול כדי לטייב את פעילות האסדרה</w:t>
      </w:r>
      <w:bookmarkEnd w:id="3"/>
      <w:r w:rsidRPr="002F434F" w:rsidR="004D350D">
        <w:rPr>
          <w:rtl/>
        </w:rPr>
        <w:t xml:space="preserve">, להקטין את המחלוקות בניהול החברה ולאזן בין האינטרסים של </w:t>
      </w:r>
      <w:r w:rsidRPr="002F434F" w:rsidR="004D350D">
        <w:rPr>
          <w:rtl/>
        </w:rPr>
        <w:t>המאסדרים</w:t>
      </w:r>
      <w:r w:rsidRPr="002F434F" w:rsidR="004D350D">
        <w:rPr>
          <w:rtl/>
        </w:rPr>
        <w:t xml:space="preserve">, באופן שהחברה תעמוד במחויבויותיה ובתפקידיה לפיתוח משק הגז על פי דרישות רשות הגז הטבעי והאינטרס להוזיל את התעריף, וגם תחלק דיבידנד למדינה כבעל מניות, על פי המקובל בשוק ועל פי דרישת רשות החברות, כתשואה לבעלים (לציבור) על ההשקעה בפיתוח החברה. במקרה של מחלוקת לגבי חלוקת הדיבידנד, על </w:t>
      </w:r>
      <w:r w:rsidRPr="002F434F" w:rsidR="004D350D">
        <w:rPr>
          <w:rtl/>
        </w:rPr>
        <w:t>המאסדרים</w:t>
      </w:r>
      <w:r w:rsidRPr="002F434F" w:rsidR="004D350D">
        <w:rPr>
          <w:rtl/>
        </w:rPr>
        <w:t xml:space="preserve"> להביא המחלוקת לאישור הממשלה, וזאת בהתאם לחוק החברות הממשלתיות</w:t>
      </w:r>
      <w:r w:rsidRPr="007C7D40">
        <w:rPr>
          <w:rFonts w:hint="cs"/>
          <w:rtl/>
        </w:rPr>
        <w:t xml:space="preserve">. </w:t>
      </w:r>
    </w:p>
    <w:p w:rsidR="00EB672B" w:rsidRPr="007C7D40" w:rsidP="00EB672B" w14:paraId="723E2ABD" w14:textId="2F9810E0">
      <w:pPr>
        <w:pStyle w:val="7317"/>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F434F" w:rsidR="004D350D">
        <w:rPr>
          <w:rtl/>
        </w:rPr>
        <w:t xml:space="preserve">על משרד </w:t>
      </w:r>
      <w:r w:rsidRPr="002F434F" w:rsidR="004D350D">
        <w:rPr>
          <w:rtl/>
        </w:rPr>
        <w:t>האנרגייה</w:t>
      </w:r>
      <w:r w:rsidRPr="00D50FB7" w:rsidR="004D350D">
        <w:rPr>
          <w:rtl/>
        </w:rPr>
        <w:t xml:space="preserve"> </w:t>
      </w:r>
      <w:r w:rsidRPr="002F434F" w:rsidR="004D350D">
        <w:rPr>
          <w:rtl/>
        </w:rPr>
        <w:t xml:space="preserve">והתשתיות לקדם תיקון לחוק משק הגז הטבעי במטרה לאפשר את הארכת רישיון </w:t>
      </w:r>
      <w:r w:rsidRPr="002F434F" w:rsidR="004D350D">
        <w:rPr>
          <w:rtl/>
        </w:rPr>
        <w:t>נתג"ז</w:t>
      </w:r>
      <w:r w:rsidRPr="002F434F" w:rsidR="004D350D">
        <w:rPr>
          <w:rtl/>
        </w:rPr>
        <w:t xml:space="preserve"> ב-15 שנים כך שיחול עד שנת 2049, וזאת בהתאם לסיכום הוועדה לעיבוי ההון </w:t>
      </w:r>
      <w:bookmarkStart w:id="4" w:name="_Hlk140038321"/>
      <w:r w:rsidRPr="002F434F" w:rsidR="004D350D">
        <w:rPr>
          <w:rtl/>
        </w:rPr>
        <w:t xml:space="preserve">(שהיו חברים בה: משרד </w:t>
      </w:r>
      <w:r w:rsidRPr="002F434F" w:rsidR="004D350D">
        <w:rPr>
          <w:rtl/>
        </w:rPr>
        <w:t>האנרגייה</w:t>
      </w:r>
      <w:r w:rsidRPr="00D50FB7" w:rsidR="004D350D">
        <w:rPr>
          <w:rtl/>
        </w:rPr>
        <w:t xml:space="preserve"> </w:t>
      </w:r>
      <w:r w:rsidRPr="002F434F" w:rsidR="004D350D">
        <w:rPr>
          <w:rtl/>
        </w:rPr>
        <w:t>והתשתיות, משרד האוצר, רשות החברות הממשלתיות ורשות הגז הטבעי)</w:t>
      </w:r>
      <w:bookmarkEnd w:id="4"/>
      <w:r w:rsidRPr="002F434F" w:rsidR="004D350D">
        <w:rPr>
          <w:rtl/>
        </w:rPr>
        <w:t>. אם יוארך הרישיון יהיה בכך כדי לשפר את היכולת של החברה לפעול לאחר הורדת התעריף (קיטון בהכנסות) בכ-17%, לסייע לה לשרת את חובותיה ולאפשר לה לשלם דיבידנד למדינת ישראל כתשואה לבעלים על ההשקעות בחברה</w:t>
      </w:r>
      <w:r w:rsidRPr="007C7D40">
        <w:rPr>
          <w:rtl/>
        </w:rPr>
        <w:t xml:space="preserve">. </w:t>
      </w:r>
    </w:p>
    <w:p w:rsidR="00EB672B" w:rsidRPr="007C7D40" w:rsidP="00EB672B" w14:paraId="55FA89EC" w14:textId="6F162DCF">
      <w:pPr>
        <w:pStyle w:val="7317"/>
        <w:rPr>
          <w:rtl/>
        </w:rPr>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F434F" w:rsidR="004D350D">
        <w:rPr>
          <w:rtl/>
        </w:rPr>
        <w:t xml:space="preserve">גז טבעי חשוב למשק וכן ליצואנים של הגז. מומלץ שמשרד </w:t>
      </w:r>
      <w:r w:rsidRPr="002F434F" w:rsidR="004D350D">
        <w:rPr>
          <w:rtl/>
        </w:rPr>
        <w:t>האנרגייה</w:t>
      </w:r>
      <w:r w:rsidRPr="00D50FB7" w:rsidR="004D350D">
        <w:rPr>
          <w:rtl/>
        </w:rPr>
        <w:t xml:space="preserve"> </w:t>
      </w:r>
      <w:r w:rsidRPr="002F434F" w:rsidR="004D350D">
        <w:rPr>
          <w:rtl/>
        </w:rPr>
        <w:t xml:space="preserve">והתשתיות יקבע סדרי עדיפויות בין אספקת הגז למשק המקומי וליצוא, תוך תיאום בין </w:t>
      </w:r>
      <w:r w:rsidRPr="002F434F" w:rsidR="004D350D">
        <w:rPr>
          <w:rtl/>
        </w:rPr>
        <w:t>המאסדרים</w:t>
      </w:r>
      <w:r w:rsidRPr="002F434F" w:rsidR="004D350D">
        <w:rPr>
          <w:rtl/>
        </w:rPr>
        <w:t xml:space="preserve"> השונים (רשות הגז הטבעי, הממונה על ענייני הנפט שבמשרד </w:t>
      </w:r>
      <w:r w:rsidRPr="002F434F" w:rsidR="004D350D">
        <w:rPr>
          <w:rtl/>
        </w:rPr>
        <w:t>האנרגייה</w:t>
      </w:r>
      <w:r w:rsidRPr="002F434F" w:rsidR="004D350D">
        <w:rPr>
          <w:rtl/>
        </w:rPr>
        <w:t xml:space="preserve"> והתשתיות, וחברת נגה המנהלת את רשת החשמל הארצית) ויצירת סט כללים סדור למקרים שונים. כמו כן, על משרד </w:t>
      </w:r>
      <w:r w:rsidRPr="002F434F" w:rsidR="004D350D">
        <w:rPr>
          <w:rtl/>
        </w:rPr>
        <w:t>האנרגייה</w:t>
      </w:r>
      <w:r w:rsidRPr="00D50FB7" w:rsidR="004D350D">
        <w:rPr>
          <w:rtl/>
        </w:rPr>
        <w:t xml:space="preserve"> </w:t>
      </w:r>
      <w:r w:rsidRPr="002F434F" w:rsidR="004D350D">
        <w:rPr>
          <w:rtl/>
        </w:rPr>
        <w:t xml:space="preserve">והתשתיות להשלים את הכנתה של תוכנית האב למשק </w:t>
      </w:r>
      <w:r w:rsidRPr="002F434F" w:rsidR="004D350D">
        <w:rPr>
          <w:rtl/>
        </w:rPr>
        <w:t>האנרגייה</w:t>
      </w:r>
      <w:r w:rsidRPr="002F434F" w:rsidR="004D350D">
        <w:rPr>
          <w:rtl/>
        </w:rPr>
        <w:t xml:space="preserve"> עם </w:t>
      </w:r>
      <w:r w:rsidRPr="002F434F" w:rsidR="004D350D">
        <w:rPr>
          <w:rtl/>
        </w:rPr>
        <w:t>חזון</w:t>
      </w:r>
      <w:r w:rsidRPr="002F434F" w:rsidR="004D350D">
        <w:rPr>
          <w:rtl/>
        </w:rPr>
        <w:t>, מטרות ויעדים, ובכלל זה הפרק על משק הגז הטבעי</w:t>
      </w:r>
      <w:r w:rsidRPr="007C7D40">
        <w:rPr>
          <w:rFonts w:hint="cs"/>
          <w:rtl/>
        </w:rPr>
        <w:t>.</w:t>
      </w:r>
    </w:p>
    <w:p w:rsidR="00EB672B" w:rsidRPr="007C7D40" w:rsidP="00EB672B" w14:paraId="078A06EB" w14:textId="5E5F0712">
      <w:pPr>
        <w:pStyle w:val="7317"/>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F434F" w:rsidR="004D350D">
        <w:rPr>
          <w:rtl/>
        </w:rPr>
        <w:t xml:space="preserve">על רשות הגז הטבעי לסיים את בחינת הכדאיות של אחסון יבשתי של גז טבעי ולפעול למול משרד </w:t>
      </w:r>
      <w:r w:rsidRPr="002F434F" w:rsidR="004D350D">
        <w:rPr>
          <w:rtl/>
        </w:rPr>
        <w:t>האנרגייה</w:t>
      </w:r>
      <w:r w:rsidRPr="00D50FB7" w:rsidR="004D350D">
        <w:rPr>
          <w:rtl/>
        </w:rPr>
        <w:t xml:space="preserve"> </w:t>
      </w:r>
      <w:r w:rsidRPr="002F434F" w:rsidR="004D350D">
        <w:rPr>
          <w:rtl/>
        </w:rPr>
        <w:t xml:space="preserve">והתשתיות לקבלת החלטה בדבר הקמתו של מאגר אחסון תפעולי או אסטרטגי של גז לעת שגרה ולעת חירום ובהתאם לפעול להקימו, בהתחשב בכך שלפי דוח שהכינה רשות הגז הטבעי בשנת 2022 די בשני מימושים של המאגר </w:t>
      </w:r>
      <w:r w:rsidRPr="002F434F" w:rsidR="004D350D">
        <w:rPr>
          <w:rtl/>
        </w:rPr>
        <w:t>בעיתות</w:t>
      </w:r>
      <w:r w:rsidRPr="002F434F" w:rsidR="004D350D">
        <w:rPr>
          <w:rtl/>
        </w:rPr>
        <w:t xml:space="preserve"> חירום לשם החזר ההשקעה (לפני עלויות התפעול השוטף). מומלץ כי משרד </w:t>
      </w:r>
      <w:r w:rsidRPr="002F434F" w:rsidR="004D350D">
        <w:rPr>
          <w:rtl/>
        </w:rPr>
        <w:t>האנרגייה</w:t>
      </w:r>
      <w:r w:rsidRPr="00D50FB7" w:rsidR="004D350D">
        <w:rPr>
          <w:rtl/>
        </w:rPr>
        <w:t xml:space="preserve"> </w:t>
      </w:r>
      <w:r w:rsidRPr="002F434F" w:rsidR="004D350D">
        <w:rPr>
          <w:rtl/>
        </w:rPr>
        <w:t>והתשתיות ורשות הגז הטבעי ייוועצו עם חברת נגה בקשר להקמתו של מאגר האחסון היבשתי</w:t>
      </w:r>
      <w:r w:rsidRPr="007C7D40">
        <w:rPr>
          <w:rFonts w:hint="cs"/>
          <w:rtl/>
        </w:rPr>
        <w:t>.</w:t>
      </w:r>
    </w:p>
    <w:p w:rsidR="00EB672B" w:rsidRPr="007C7D40" w:rsidP="00EB672B" w14:paraId="5538133A" w14:textId="4973D3CC">
      <w:pPr>
        <w:pStyle w:val="7317"/>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2F434F" w:rsidR="004D350D">
        <w:rPr>
          <w:rtl/>
        </w:rPr>
        <w:t xml:space="preserve">מוצע כי </w:t>
      </w:r>
      <w:r w:rsidRPr="002F434F" w:rsidR="004D350D">
        <w:rPr>
          <w:rtl/>
        </w:rPr>
        <w:t>נתג"ז</w:t>
      </w:r>
      <w:r w:rsidRPr="002F434F" w:rsidR="004D350D">
        <w:rPr>
          <w:rtl/>
        </w:rPr>
        <w:t xml:space="preserve"> ורשות הגז הטבעי יפעלו להסרת החסמים ולקידום הפרויקט הימי כדי שהנחת קו אשדוד-אשקלון תסתיים בהקדם האפשרי. עיכוב בהנחת הקו הימי אשדוד-אשקלון מעכב גם את הגידול הפוטנציאלי ביצוא הגז בשנים אחדות, וצפוי לגרום נזק לחברה ולאוצר המדינה בשל אי-קבלת מיסים (מס חברות, היטל על רווחי נפט</w:t>
      </w:r>
      <w:r w:rsidR="004D350D">
        <w:rPr>
          <w:rFonts w:hint="cs"/>
          <w:rtl/>
        </w:rPr>
        <w:t>)</w:t>
      </w:r>
      <w:r w:rsidRPr="007C7D40">
        <w:rPr>
          <w:rFonts w:hint="cs"/>
          <w:rtl/>
        </w:rPr>
        <w:t>.</w:t>
      </w:r>
    </w:p>
    <w:p w:rsidR="003E1AD1" w:rsidP="00EB672B" w14:paraId="63467834" w14:textId="42CB0392">
      <w:pPr>
        <w:pStyle w:val="7317"/>
        <w:rPr>
          <w:rtl/>
        </w:rPr>
      </w:pPr>
      <w:r w:rsidRPr="0063556C">
        <w:rPr>
          <w:rStyle w:val="7372"/>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2F434F" w:rsidR="004D350D">
        <w:rPr>
          <w:rtl/>
        </w:rPr>
        <w:t xml:space="preserve">על רשות החברות הממשלתיות, שר </w:t>
      </w:r>
      <w:r w:rsidRPr="002F434F" w:rsidR="004D350D">
        <w:rPr>
          <w:rtl/>
        </w:rPr>
        <w:t>האנרגייה</w:t>
      </w:r>
      <w:r w:rsidRPr="002F434F" w:rsidR="004D350D">
        <w:rPr>
          <w:rtl/>
        </w:rPr>
        <w:t xml:space="preserve"> והתשתיות ושר האוצר לפעול מבעוד מועד למינוי דירקטורים </w:t>
      </w:r>
      <w:r w:rsidRPr="002F434F" w:rsidR="004D350D">
        <w:rPr>
          <w:rtl/>
        </w:rPr>
        <w:t>לנתג"ז</w:t>
      </w:r>
      <w:r w:rsidRPr="002F434F" w:rsidR="004D350D">
        <w:rPr>
          <w:rtl/>
        </w:rPr>
        <w:t xml:space="preserve"> סמוך למועד סיום כהונתם של הדירקטורים. עוד מוצע לרשות החברות הממשלתיות לבצע עבודת מטה מקצועית, בשיתוף משרד המשפטים - מחלקת ייעוץ וחקיקה (משפט ציבורי-</w:t>
      </w:r>
      <w:r w:rsidRPr="002F434F" w:rsidR="004D350D">
        <w:rPr>
          <w:rtl/>
        </w:rPr>
        <w:t>מינהלי</w:t>
      </w:r>
      <w:r w:rsidRPr="002F434F" w:rsidR="004D350D">
        <w:rPr>
          <w:rtl/>
        </w:rPr>
        <w:t xml:space="preserve">), ובה יבחנו את האפשרות שהשרים האחראיים לחברות ממשלתיות יבחרו יותר דירקטורים מהמספר שנקבע בתקן של הדירקטוריון, וכי חלק מהדירקטורים שנבחרו תוך חריגה מהתקן ישמשו עתודה לדירקטוריון; ואם פוקעת כהונתו של דירקטור או שדירקטור מתפטר, ניתן יהיה למנות את אחד המחליפים בהליך מקוצר לדירקטור בחברה. כן מוצע כי עבודת המטה תכלול בחינת חלופות למניעת מצבים בהם לא מאוישים תפקידי יו"ר דירקטוריון ודירקטורים שפגה תקופת כהונתם ובהתאם </w:t>
      </w:r>
      <w:r w:rsidRPr="002F434F" w:rsidR="004D350D">
        <w:rPr>
          <w:rtl/>
        </w:rPr>
        <w:t>לאסדר</w:t>
      </w:r>
      <w:r w:rsidRPr="002F434F" w:rsidR="004D350D">
        <w:rPr>
          <w:rtl/>
        </w:rPr>
        <w:t xml:space="preserve"> נושא זה. כמו כן, על שר </w:t>
      </w:r>
      <w:r w:rsidRPr="002F434F" w:rsidR="004D350D">
        <w:rPr>
          <w:rtl/>
        </w:rPr>
        <w:t>האנרגייה</w:t>
      </w:r>
      <w:r w:rsidRPr="002F434F" w:rsidR="004D350D">
        <w:rPr>
          <w:rtl/>
        </w:rPr>
        <w:t xml:space="preserve"> והתשתיות ושר האוצר, באמצעות רשות החברות לפעול לייצוג הולם של נשים בדירקטוריון של החברה בהתאם לנדרש לפי חוק החברות הממשלתיות והנחיות היועץ המשפטי לממשלה, ועל שר </w:t>
      </w:r>
      <w:r w:rsidRPr="002F434F" w:rsidR="004D350D">
        <w:rPr>
          <w:rtl/>
        </w:rPr>
        <w:t>האנרגייה</w:t>
      </w:r>
      <w:r w:rsidRPr="002F434F" w:rsidR="004D350D">
        <w:rPr>
          <w:rtl/>
        </w:rPr>
        <w:t xml:space="preserve"> והשר הממונה על רשות החברות באמצעות רשות החברות הממשלתיות לפעול לכך שבכל עת יכהנו בדירקטוריון החברה יו"ר ודירקטורים חיצוניים במספר הקבוע בחוק</w:t>
      </w:r>
      <w:r w:rsidRPr="008E57FE">
        <w:rPr>
          <w:rFonts w:hint="cs"/>
          <w:rtl/>
        </w:rPr>
        <w:t>.</w:t>
      </w:r>
    </w:p>
    <w:p w:rsidR="003E1AD1" w14:paraId="0154E151" w14:textId="77777777">
      <w:pPr>
        <w:bidi w:val="0"/>
        <w:spacing w:after="200" w:line="276" w:lineRule="auto"/>
        <w:rPr>
          <w:rFonts w:ascii="Tahoma" w:hAnsi="Tahoma" w:cs="Tahoma"/>
          <w:color w:val="0D0D0D" w:themeColor="text1" w:themeTint="F2"/>
          <w:sz w:val="18"/>
          <w:szCs w:val="18"/>
          <w:rtl/>
        </w:rPr>
      </w:pPr>
      <w:r>
        <w:rPr>
          <w:rtl/>
        </w:rPr>
        <w:br w:type="page"/>
      </w:r>
    </w:p>
    <w:p w:rsidR="005D0F8C" w:rsidP="00EB672B" w14:paraId="6DC28C4F" w14:textId="79C7EED7">
      <w:pPr>
        <w:pStyle w:val="7317"/>
        <w:rPr>
          <w:rtl/>
        </w:rPr>
      </w:pPr>
      <w:r w:rsidRPr="00D527BD">
        <w:rPr>
          <w:noProof/>
          <w:szCs w:val="20"/>
          <w:rtl/>
        </w:rPr>
        <w:drawing>
          <wp:anchor distT="0" distB="0" distL="114300" distR="114300" simplePos="0" relativeHeight="251677696"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sidRPr="00D527BD" w:rsidR="004E71DD">
        <w:rPr>
          <w:noProof/>
          <w:szCs w:val="20"/>
          <w:rtl/>
        </w:rPr>
        <mc:AlternateContent>
          <mc:Choice Requires="wps">
            <w:drawing>
              <wp:anchor distT="0" distB="0" distL="114300" distR="114300" simplePos="0" relativeHeight="251678720" behindDoc="0" locked="0" layoutInCell="1" allowOverlap="1">
                <wp:simplePos x="0" y="0"/>
                <wp:positionH relativeFrom="column">
                  <wp:posOffset>86976</wp:posOffset>
                </wp:positionH>
                <wp:positionV relativeFrom="paragraph">
                  <wp:posOffset>44978</wp:posOffset>
                </wp:positionV>
                <wp:extent cx="4436745" cy="435128"/>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5128"/>
                        </a:xfrm>
                        <a:prstGeom prst="rect">
                          <a:avLst/>
                        </a:prstGeom>
                        <a:solidFill>
                          <a:srgbClr val="F05260"/>
                        </a:solidFill>
                        <a:ln w="9525">
                          <a:noFill/>
                          <a:miter lim="800000"/>
                          <a:headEnd/>
                          <a:tailEnd/>
                        </a:ln>
                      </wps:spPr>
                      <wps:txbx>
                        <w:txbxContent>
                          <w:p w:rsidR="005D0F8C" w:rsidRPr="005C7ABF" w:rsidP="00524400" w14:textId="6605B5CD">
                            <w:pPr>
                              <w:pStyle w:val="7332"/>
                              <w:rPr>
                                <w:rtl/>
                              </w:rPr>
                            </w:pPr>
                            <w:r w:rsidRPr="00372387">
                              <w:rPr>
                                <w:rtl/>
                              </w:rPr>
                              <w:t xml:space="preserve">שיעור הרווח התפעולי </w:t>
                            </w:r>
                            <w:r w:rsidRPr="00372387">
                              <w:rPr>
                                <w:rtl/>
                              </w:rPr>
                              <w:t>בנתג"ז</w:t>
                            </w:r>
                            <w:r w:rsidRPr="00372387">
                              <w:rPr>
                                <w:rtl/>
                              </w:rPr>
                              <w:t xml:space="preserve"> ובחברות תשתית ממשלתיות אחרות,  2019 - 2021 (באחוזי</w:t>
                            </w:r>
                            <w:r>
                              <w:rPr>
                                <w:rFonts w:hint="cs"/>
                                <w:rtl/>
                              </w:rPr>
                              <w:t>ם)</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34.25pt;margin-top:3.55pt;margin-left:6.85pt;mso-height-percent:0;mso-height-relative:margin;mso-width-percent:0;mso-width-relative:margin;mso-wrap-distance-bottom:0;mso-wrap-distance-left:9pt;mso-wrap-distance-right:9pt;mso-wrap-distance-top:0;mso-wrap-style:square;position:absolute;visibility:visible;v-text-anchor:middle;z-index:251679744" fillcolor="#f05260" stroked="f">
                <v:textbox>
                  <w:txbxContent>
                    <w:p w:rsidR="005D0F8C" w:rsidRPr="005C7ABF" w:rsidP="00524400" w14:paraId="1D5D7976" w14:textId="6605B5CD">
                      <w:pPr>
                        <w:pStyle w:val="7332"/>
                        <w:rPr>
                          <w:rtl/>
                        </w:rPr>
                      </w:pPr>
                      <w:r w:rsidRPr="00372387">
                        <w:rPr>
                          <w:rtl/>
                        </w:rPr>
                        <w:t xml:space="preserve">שיעור הרווח התפעולי </w:t>
                      </w:r>
                      <w:r w:rsidRPr="00372387">
                        <w:rPr>
                          <w:rtl/>
                        </w:rPr>
                        <w:t>בנתג"ז</w:t>
                      </w:r>
                      <w:r w:rsidRPr="00372387">
                        <w:rPr>
                          <w:rtl/>
                        </w:rPr>
                        <w:t xml:space="preserve"> ובחברות תשתית ממשלתיות אחרות,  2019 - 2021 (באחוזי</w:t>
                      </w:r>
                      <w:r>
                        <w:rPr>
                          <w:rFonts w:hint="cs"/>
                          <w:rtl/>
                        </w:rPr>
                        <w:t>ם)</w:t>
                      </w:r>
                    </w:p>
                  </w:txbxContent>
                </v:textbox>
              </v:shape>
            </w:pict>
          </mc:Fallback>
        </mc:AlternateContent>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D57BE9" w:rsidRPr="00D57BE9" w:rsidP="00D57BE9" w14:paraId="29744092" w14:textId="06EF01F3">
      <w:pPr>
        <w:rPr>
          <w:rtl/>
        </w:rPr>
      </w:pPr>
      <w:r>
        <w:rPr>
          <w:noProof/>
          <w:rtl/>
          <w:lang w:val="he-IL"/>
        </w:rPr>
        <w:drawing>
          <wp:inline distT="0" distB="0" distL="0" distR="0">
            <wp:extent cx="4637026" cy="2802322"/>
            <wp:effectExtent l="0" t="0" r="0" b="0"/>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a:xfrm>
                      <a:off x="0" y="0"/>
                      <a:ext cx="4637026" cy="2802322"/>
                    </a:xfrm>
                    <a:prstGeom prst="rect">
                      <a:avLst/>
                    </a:prstGeom>
                  </pic:spPr>
                </pic:pic>
              </a:graphicData>
            </a:graphic>
          </wp:inline>
        </w:drawing>
      </w:r>
    </w:p>
    <w:p w:rsidR="00362505" w:rsidP="00D57BE9" w14:paraId="0DA8F7B9" w14:textId="3084F803">
      <w:pPr>
        <w:pStyle w:val="738"/>
        <w:rPr>
          <w:rtl/>
        </w:rPr>
      </w:pPr>
      <w:r w:rsidRPr="00D50FB7">
        <w:rPr>
          <w:rtl/>
        </w:rPr>
        <w:t xml:space="preserve">על פי נתוני תש"א, מקורות </w:t>
      </w:r>
      <w:r w:rsidRPr="00D50FB7">
        <w:rPr>
          <w:rtl/>
        </w:rPr>
        <w:t>ונתג"ז</w:t>
      </w:r>
      <w:r w:rsidRPr="00D50FB7">
        <w:rPr>
          <w:rtl/>
        </w:rPr>
        <w:t>, בעיבוד משרד מבקר המדינה</w:t>
      </w:r>
      <w:r w:rsidRPr="00D57BE9" w:rsidR="005D0F8C">
        <w:rPr>
          <w:rFonts w:hint="cs"/>
          <w:rtl/>
        </w:rPr>
        <w:t>.</w:t>
      </w:r>
    </w:p>
    <w:p w:rsidR="00362505" w14:paraId="3DE42211" w14:textId="77777777">
      <w:pPr>
        <w:bidi w:val="0"/>
        <w:spacing w:after="200" w:line="276" w:lineRule="auto"/>
        <w:rPr>
          <w:rFonts w:ascii="Tahoma" w:hAnsi="Tahoma" w:cs="Tahoma"/>
          <w:color w:val="0D0D0D" w:themeColor="text1" w:themeTint="F2"/>
          <w:sz w:val="16"/>
          <w:szCs w:val="16"/>
          <w:rtl/>
        </w:rPr>
      </w:pPr>
      <w:r>
        <w:rPr>
          <w:rtl/>
        </w:rPr>
        <w:br w:type="page"/>
      </w:r>
    </w:p>
    <w:p w:rsidR="004E71DD" w:rsidP="004E71DD" w14:paraId="7C33D7DD" w14:textId="7A449BE3">
      <w:pPr>
        <w:pStyle w:val="73"/>
        <w:rPr>
          <w:rtl/>
        </w:rPr>
      </w:pPr>
      <w:r w:rsidRPr="00EF3061">
        <w:rPr>
          <w:rFonts w:hint="cs"/>
          <w:rtl/>
        </w:rPr>
        <w:t>סיכום</w:t>
      </w:r>
    </w:p>
    <w:p w:rsidR="00372387" w:rsidRPr="00E63670" w:rsidP="00372387" w14:paraId="41C5F78D" w14:textId="77777777">
      <w:pPr>
        <w:widowControl w:val="0"/>
        <w:tabs>
          <w:tab w:val="left" w:pos="9604"/>
        </w:tabs>
        <w:spacing w:before="240" w:line="276" w:lineRule="auto"/>
        <w:ind w:left="-1"/>
        <w:rPr>
          <w:rFonts w:ascii="Tahoma" w:hAnsi="Tahoma" w:cs="Tahoma"/>
          <w:sz w:val="18"/>
          <w:szCs w:val="18"/>
          <w:rtl/>
        </w:rPr>
      </w:pPr>
      <w:bookmarkStart w:id="5" w:name="_Hlk131491770"/>
      <w:r w:rsidRPr="00E63670">
        <w:rPr>
          <w:rFonts w:ascii="Tahoma" w:hAnsi="Tahoma" w:cs="Tahoma"/>
          <w:sz w:val="18"/>
          <w:szCs w:val="18"/>
          <w:rtl/>
        </w:rPr>
        <w:t xml:space="preserve">חברת </w:t>
      </w:r>
      <w:r w:rsidRPr="00E63670">
        <w:rPr>
          <w:rFonts w:ascii="Tahoma" w:hAnsi="Tahoma" w:cs="Tahoma"/>
          <w:sz w:val="18"/>
          <w:szCs w:val="18"/>
          <w:rtl/>
        </w:rPr>
        <w:t>נתג"ז</w:t>
      </w:r>
      <w:r w:rsidRPr="00E63670">
        <w:rPr>
          <w:rFonts w:ascii="Tahoma" w:hAnsi="Tahoma" w:cs="Tahoma"/>
          <w:sz w:val="18"/>
          <w:szCs w:val="18"/>
          <w:rtl/>
        </w:rPr>
        <w:t xml:space="preserve"> היא מונופול טבעי בשוק הולכת הגז בישראל. החברה הקימה את צנרת ההולכה של הגז הטבעי (כ-800 ק"מ), והיא מזרימה דרכו את הגז ללקוחות ראשיים ברחבי הארץ. שיעור הרווח הנקי בחברה (16%) במשך שנים גבוה ביחס לחברות תשתית בארץ (תש"א - 15%; מקורות - 4% ממוצע חברות זרות - 6%), והיא איתנה מבחינה פיננסית אף על פי שהיא ממונפת יותר מחברות בענף. </w:t>
      </w:r>
    </w:p>
    <w:bookmarkEnd w:id="5"/>
    <w:p w:rsidR="00372387" w:rsidRPr="00E63670" w:rsidP="00372387" w14:paraId="62B6ADAB" w14:textId="77777777">
      <w:pPr>
        <w:widowControl w:val="0"/>
        <w:tabs>
          <w:tab w:val="left" w:pos="9604"/>
        </w:tabs>
        <w:spacing w:before="240" w:line="276" w:lineRule="auto"/>
        <w:ind w:left="-1"/>
        <w:rPr>
          <w:rFonts w:ascii="Tahoma" w:hAnsi="Tahoma" w:cs="Tahoma"/>
          <w:sz w:val="18"/>
          <w:szCs w:val="18"/>
          <w:rtl/>
        </w:rPr>
      </w:pPr>
      <w:r w:rsidRPr="00E63670">
        <w:rPr>
          <w:rFonts w:ascii="Tahoma" w:hAnsi="Tahoma" w:cs="Tahoma"/>
          <w:sz w:val="18"/>
          <w:szCs w:val="18"/>
          <w:rtl/>
        </w:rPr>
        <w:t xml:space="preserve">הביקורת העלתה כי הארכת רישיון </w:t>
      </w:r>
      <w:r w:rsidRPr="00E63670">
        <w:rPr>
          <w:rFonts w:ascii="Tahoma" w:hAnsi="Tahoma" w:cs="Tahoma"/>
          <w:sz w:val="18"/>
          <w:szCs w:val="18"/>
          <w:rtl/>
        </w:rPr>
        <w:t>נתג"ז</w:t>
      </w:r>
      <w:r w:rsidRPr="00E63670">
        <w:rPr>
          <w:rFonts w:ascii="Tahoma" w:hAnsi="Tahoma" w:cs="Tahoma"/>
          <w:sz w:val="18"/>
          <w:szCs w:val="18"/>
          <w:rtl/>
        </w:rPr>
        <w:t xml:space="preserve"> ב-15 שנים עד שנת 2049 (המלצת מתווה ההון) לא בוצעה. לעובדה זו היו תוצאות שליליות הן מבחינת </w:t>
      </w:r>
      <w:r w:rsidRPr="00E63670">
        <w:rPr>
          <w:rFonts w:ascii="Tahoma" w:hAnsi="Tahoma" w:cs="Tahoma"/>
          <w:sz w:val="18"/>
          <w:szCs w:val="18"/>
          <w:rtl/>
        </w:rPr>
        <w:t>נתג"ז</w:t>
      </w:r>
      <w:r w:rsidRPr="00E63670">
        <w:rPr>
          <w:rFonts w:ascii="Tahoma" w:hAnsi="Tahoma" w:cs="Tahoma"/>
          <w:sz w:val="18"/>
          <w:szCs w:val="18"/>
          <w:rtl/>
        </w:rPr>
        <w:t xml:space="preserve"> והן מבחינת המדינה. בין השאר, הדבר גרם (בשנים 2018 - 2022) לדחיית תשלום מיסים לאוצר המדינה בשל קיטון תשלומי מס החברות של </w:t>
      </w:r>
      <w:r w:rsidRPr="00E63670">
        <w:rPr>
          <w:rFonts w:ascii="Tahoma" w:hAnsi="Tahoma" w:cs="Tahoma"/>
          <w:sz w:val="18"/>
          <w:szCs w:val="18"/>
          <w:rtl/>
        </w:rPr>
        <w:t>נתג"ז</w:t>
      </w:r>
      <w:r w:rsidRPr="00E63670">
        <w:rPr>
          <w:rFonts w:ascii="Tahoma" w:hAnsi="Tahoma" w:cs="Tahoma"/>
          <w:sz w:val="18"/>
          <w:szCs w:val="18"/>
          <w:rtl/>
        </w:rPr>
        <w:t xml:space="preserve"> בכ-200 מיליון ש"ח; וגרם בין היתר לקיטון ברווחים המדווחים של החברה בכ-863 מיליון ש"ח כתוצאה מרישום הוצאות כפחת מואץ. מומלץ כי רשות הגז הטבעי שבמשרד </w:t>
      </w:r>
      <w:r w:rsidRPr="00E63670">
        <w:rPr>
          <w:rFonts w:ascii="Tahoma" w:hAnsi="Tahoma" w:cs="Tahoma"/>
          <w:sz w:val="18"/>
          <w:szCs w:val="18"/>
          <w:rtl/>
        </w:rPr>
        <w:t>האנרגייה</w:t>
      </w:r>
      <w:r w:rsidRPr="00E63670">
        <w:rPr>
          <w:rFonts w:ascii="Tahoma" w:hAnsi="Tahoma" w:cs="Tahoma"/>
          <w:sz w:val="18"/>
          <w:szCs w:val="18"/>
          <w:rtl/>
        </w:rPr>
        <w:t xml:space="preserve"> והתשתיות, משרד האוצר ורשות החברות הממשלתיות יפעלו להאריך את תוקף הרישיון של החברה, יבחנו מדי שנה את תעריפי החברה ואת השפעתם על יוקר המחיה וכן יפעלו להסדיר את חלוקת הדיבידנד מהחברה למדינת ישראל כתשואה על השקעתה. עוד מומלץ כי משרד </w:t>
      </w:r>
      <w:r w:rsidRPr="00E63670">
        <w:rPr>
          <w:rFonts w:ascii="Tahoma" w:hAnsi="Tahoma" w:cs="Tahoma"/>
          <w:sz w:val="18"/>
          <w:szCs w:val="18"/>
          <w:rtl/>
        </w:rPr>
        <w:t>האנרגייה</w:t>
      </w:r>
      <w:r w:rsidRPr="00E63670">
        <w:rPr>
          <w:rFonts w:ascii="Tahoma" w:hAnsi="Tahoma" w:cs="Tahoma"/>
          <w:sz w:val="18"/>
          <w:szCs w:val="18"/>
          <w:rtl/>
        </w:rPr>
        <w:t xml:space="preserve"> והתשתיות יקבל החלטה על אחסון תפעולי ואסטרטגי של גז טבעי לעת שגרה ולעת חירום.</w:t>
      </w:r>
    </w:p>
    <w:p w:rsidR="00372387" w:rsidRPr="00E63670" w:rsidP="00372387" w14:paraId="153163F9" w14:textId="77777777">
      <w:pPr>
        <w:widowControl w:val="0"/>
        <w:tabs>
          <w:tab w:val="left" w:pos="9604"/>
        </w:tabs>
        <w:spacing w:before="240" w:line="276" w:lineRule="auto"/>
        <w:ind w:left="-1"/>
        <w:rPr>
          <w:rFonts w:ascii="Tahoma" w:hAnsi="Tahoma" w:cs="Tahoma"/>
          <w:sz w:val="18"/>
          <w:szCs w:val="18"/>
          <w:rtl/>
        </w:rPr>
      </w:pPr>
      <w:r w:rsidRPr="00E63670">
        <w:rPr>
          <w:rFonts w:ascii="Tahoma" w:hAnsi="Tahoma" w:cs="Tahoma"/>
          <w:sz w:val="18"/>
          <w:szCs w:val="18"/>
          <w:rtl/>
        </w:rPr>
        <w:t xml:space="preserve">אומנם לפי התוכניות של משרדי הממשלה והחלטות ממשלה שהתקבלו השימוש בדלקים </w:t>
      </w:r>
      <w:r w:rsidRPr="00E63670">
        <w:rPr>
          <w:rFonts w:ascii="Tahoma" w:hAnsi="Tahoma" w:cs="Tahoma"/>
          <w:sz w:val="18"/>
          <w:szCs w:val="18"/>
          <w:rtl/>
        </w:rPr>
        <w:t>פוסיליים</w:t>
      </w:r>
      <w:r w:rsidRPr="00E63670">
        <w:rPr>
          <w:rFonts w:ascii="Tahoma" w:hAnsi="Tahoma" w:cs="Tahoma"/>
          <w:sz w:val="18"/>
          <w:szCs w:val="18"/>
          <w:rtl/>
        </w:rPr>
        <w:t xml:space="preserve"> ובגז טבעי אמור לקטון בשל המעבר לאנרגיות מתחדשות בעשורים הבאים, ועם זאת השימוש בגז טבעי בעשורים הקרובים הוא אסטרטגי למדינת ישראל. על כן, מומלץ כי משרד </w:t>
      </w:r>
      <w:r w:rsidRPr="00E63670">
        <w:rPr>
          <w:rFonts w:ascii="Tahoma" w:hAnsi="Tahoma" w:cs="Tahoma"/>
          <w:sz w:val="18"/>
          <w:szCs w:val="18"/>
          <w:rtl/>
        </w:rPr>
        <w:t>האנרגייה</w:t>
      </w:r>
      <w:r w:rsidRPr="00E63670">
        <w:rPr>
          <w:rFonts w:ascii="Tahoma" w:hAnsi="Tahoma" w:cs="Tahoma"/>
          <w:sz w:val="18"/>
          <w:szCs w:val="18"/>
          <w:rtl/>
        </w:rPr>
        <w:t xml:space="preserve"> והתשתיות יפעל להסדיר את עתידה של החברה במסגרת הארכת הרישיון ולגבש תוכנית אב למשק </w:t>
      </w:r>
      <w:r w:rsidRPr="00E63670">
        <w:rPr>
          <w:rFonts w:ascii="Tahoma" w:hAnsi="Tahoma" w:cs="Tahoma"/>
          <w:sz w:val="18"/>
          <w:szCs w:val="18"/>
          <w:rtl/>
        </w:rPr>
        <w:t>האנרגייה</w:t>
      </w:r>
      <w:r w:rsidRPr="00E63670">
        <w:rPr>
          <w:rFonts w:ascii="Tahoma" w:hAnsi="Tahoma" w:cs="Tahoma"/>
          <w:sz w:val="18"/>
          <w:szCs w:val="18"/>
          <w:rtl/>
        </w:rPr>
        <w:t>.</w:t>
      </w:r>
      <w:bookmarkStart w:id="6" w:name="tempMark"/>
      <w:bookmarkEnd w:id="6"/>
    </w:p>
    <w:p w:rsidR="00E56721" w:rsidP="004E71DD" w14:paraId="1B37DAFD" w14:textId="77777777">
      <w:pPr>
        <w:widowControl w:val="0"/>
        <w:tabs>
          <w:tab w:val="left" w:pos="9604"/>
        </w:tabs>
        <w:spacing w:before="240" w:line="276" w:lineRule="auto"/>
        <w:ind w:left="-1"/>
        <w:rPr>
          <w:rFonts w:ascii="Tahoma" w:hAnsi="Tahoma" w:cs="Tahoma"/>
          <w:sz w:val="18"/>
          <w:szCs w:val="18"/>
          <w:rtl/>
        </w:rPr>
        <w:sectPr w:rsidSect="00000888">
          <w:headerReference w:type="even" r:id="rId28"/>
          <w:footerReference w:type="even" r:id="rId29"/>
          <w:pgSz w:w="11906" w:h="16838" w:code="9"/>
          <w:pgMar w:top="3062" w:right="2268" w:bottom="2552" w:left="2268" w:header="1134" w:footer="1361" w:gutter="0"/>
          <w:pgNumType w:start="149"/>
          <w:cols w:space="708"/>
          <w:bidi/>
          <w:rtlGutter/>
          <w:docGrid w:linePitch="360"/>
        </w:sectPr>
      </w:pPr>
    </w:p>
    <w:p w:rsidR="003D4176" w14:paraId="6AB2F9B9" w14:textId="373FC13F">
      <w:pPr>
        <w:bidi w:val="0"/>
        <w:spacing w:after="200" w:line="276" w:lineRule="auto"/>
        <w:rPr>
          <w:rFonts w:ascii="Tahoma" w:hAnsi="Tahoma" w:cs="Tahoma"/>
          <w:b/>
          <w:bCs/>
          <w:noProof/>
          <w:color w:val="00305F"/>
          <w:sz w:val="40"/>
          <w:szCs w:val="36"/>
          <w:rtl/>
        </w:rPr>
      </w:pPr>
      <w:r>
        <w:rPr>
          <w:noProof/>
          <w:rtl/>
          <w:lang w:val="he-IL"/>
        </w:rPr>
        <mc:AlternateContent>
          <mc:Choice Requires="wps">
            <w:drawing>
              <wp:anchor distT="0" distB="0" distL="114300" distR="114300" simplePos="0" relativeHeight="251703296" behindDoc="0" locked="0" layoutInCell="1" allowOverlap="1">
                <wp:simplePos x="0" y="0"/>
                <wp:positionH relativeFrom="column">
                  <wp:posOffset>-1392883</wp:posOffset>
                </wp:positionH>
                <wp:positionV relativeFrom="paragraph">
                  <wp:posOffset>-754073</wp:posOffset>
                </wp:positionV>
                <wp:extent cx="6065760" cy="1024758"/>
                <wp:effectExtent l="0" t="0" r="17780" b="17145"/>
                <wp:wrapNone/>
                <wp:docPr id="1420166783"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065760" cy="102475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35" style="width:477.6pt;height:80.7pt;margin-top:-59.4pt;margin-left:-109.7pt;mso-wrap-distance-bottom:0;mso-wrap-distance-left:9pt;mso-wrap-distance-right:9pt;mso-wrap-distance-top:0;mso-wrap-style:square;position:absolute;visibility:visible;v-text-anchor:middle;z-index:251704320" fillcolor="white" strokecolor="white" strokeweight="1.25pt"/>
            </w:pict>
          </mc:Fallback>
        </mc:AlternateContent>
      </w:r>
      <w:r>
        <w:rPr>
          <w:noProof/>
          <w:rtl/>
          <w:lang w:val="he-IL"/>
        </w:rPr>
        <mc:AlternateContent>
          <mc:Choice Requires="wps">
            <w:drawing>
              <wp:anchor distT="0" distB="0" distL="114300" distR="114300" simplePos="0" relativeHeight="251701248" behindDoc="0" locked="0" layoutInCell="1" allowOverlap="1">
                <wp:simplePos x="0" y="0"/>
                <wp:positionH relativeFrom="column">
                  <wp:posOffset>4304583</wp:posOffset>
                </wp:positionH>
                <wp:positionV relativeFrom="paragraph">
                  <wp:posOffset>6697509</wp:posOffset>
                </wp:positionV>
                <wp:extent cx="892278" cy="1120878"/>
                <wp:effectExtent l="0" t="0" r="9525" b="9525"/>
                <wp:wrapNone/>
                <wp:docPr id="752766342"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892278" cy="112087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1" o:spid="_x0000_s1036" style="width:70.25pt;height:88.25pt;margin-top:527.35pt;margin-left:338.95pt;mso-width-percent:0;mso-width-relative:margin;mso-wrap-distance-bottom:0;mso-wrap-distance-left:9pt;mso-wrap-distance-right:9pt;mso-wrap-distance-top:0;mso-wrap-style:square;position:absolute;visibility:visible;v-text-anchor:middle;z-index:251702272" fillcolor="white" strokecolor="white" strokeweight="1.25pt"/>
            </w:pict>
          </mc:Fallback>
        </mc:AlternateContent>
      </w:r>
    </w:p>
    <w:sectPr w:rsidSect="00F35B8C">
      <w:headerReference w:type="default" r:id="rId30"/>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0191D" w14:paraId="2B91BE5F" w14:textId="77777777">
      <w:pPr>
        <w:spacing w:line="240" w:lineRule="auto"/>
      </w:pPr>
      <w:r>
        <w:separator/>
      </w:r>
    </w:p>
    <w:p w:rsidR="00E0191D" w14:paraId="114103A1" w14:textId="77777777"/>
    <w:p w:rsidR="00E0191D" w14:paraId="0634E50C" w14:textId="77777777"/>
    <w:p w:rsidR="00E0191D" w14:paraId="3643C19F" w14:textId="77777777"/>
  </w:endnote>
  <w:endnote w:type="continuationSeparator" w:id="1">
    <w:p w:rsidR="00E0191D" w14:paraId="05CF0A69" w14:textId="77777777">
      <w:pPr>
        <w:spacing w:line="240" w:lineRule="auto"/>
      </w:pPr>
      <w:r>
        <w:continuationSeparator/>
      </w:r>
    </w:p>
    <w:p w:rsidR="00E0191D" w14:paraId="72CF0D32" w14:textId="77777777"/>
    <w:p w:rsidR="00E0191D" w14:paraId="0C3A3A11" w14:textId="77777777"/>
    <w:p w:rsidR="00E0191D" w14:paraId="30D25E3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1736" w14:paraId="2A0DAEB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1736" w14:paraId="4FD9C7B6"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1DD" w:rsidP="004E71DD" w14:paraId="64C3D7BF" w14:textId="77777777">
    <w:pPr>
      <w:pStyle w:val="Footer"/>
      <w:spacing w:after="120" w:line="312" w:lineRule="auto"/>
      <w:ind w:left="-510"/>
      <w:jc w:val="left"/>
      <w:rPr>
        <w:rFonts w:ascii="Tahoma" w:hAnsi="Tahoma" w:cs="Tahoma"/>
        <w:sz w:val="18"/>
        <w:szCs w:val="18"/>
        <w:rtl/>
      </w:rPr>
    </w:pPr>
  </w:p>
  <w:p w:rsidR="004E71DD" w:rsidP="004E71DD" w14:paraId="4838AE27" w14:textId="7777777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71472E75"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0191D" w:rsidP="00E7235E" w14:paraId="15E227F3" w14:textId="77777777">
      <w:pPr>
        <w:spacing w:line="240" w:lineRule="auto"/>
      </w:pPr>
      <w:r>
        <w:separator/>
      </w:r>
    </w:p>
  </w:footnote>
  <w:footnote w:type="continuationSeparator" w:id="1">
    <w:p w:rsidR="00E0191D" w:rsidP="00C23CC9" w14:paraId="057CBC59" w14:textId="77777777">
      <w:pPr>
        <w:spacing w:line="240" w:lineRule="auto"/>
      </w:pPr>
      <w:r>
        <w:continuationSeparator/>
      </w:r>
    </w:p>
    <w:p w:rsidR="00E0191D" w14:paraId="1D525B6E" w14:textId="77777777"/>
    <w:p w:rsidR="00E0191D" w14:paraId="7B8A4E2B" w14:textId="77777777"/>
    <w:p w:rsidR="00E0191D" w14:paraId="03E5C534" w14:textId="77777777"/>
  </w:footnote>
  <w:footnote w:id="2">
    <w:p w:rsidR="004D350D" w:rsidRPr="004D350D" w:rsidP="00B66EC1" w14:paraId="219766B9" w14:textId="77777777">
      <w:pPr>
        <w:pStyle w:val="733"/>
        <w:rPr>
          <w:rtl/>
        </w:rPr>
      </w:pPr>
      <w:r w:rsidRPr="004D350D">
        <w:rPr>
          <w:rStyle w:val="FootnoteReference2"/>
          <w:vertAlign w:val="baseline"/>
        </w:rPr>
        <w:footnoteRef/>
      </w:r>
      <w:r w:rsidRPr="004D350D">
        <w:rPr>
          <w:rtl/>
        </w:rPr>
        <w:t xml:space="preserve"> </w:t>
      </w:r>
      <w:r w:rsidRPr="004D350D">
        <w:rPr>
          <w:rtl/>
        </w:rPr>
        <w:tab/>
        <w:t>גז טבעי, בדומה לנפט ולפחם, הוא מקור אנרגייה שמקורו בדלק מאובנים (</w:t>
      </w:r>
      <w:r w:rsidRPr="004D350D">
        <w:t>Fossil Fuel</w:t>
      </w:r>
      <w:r w:rsidRPr="004D350D">
        <w:rPr>
          <w:rtl/>
        </w:rPr>
        <w:t>) ונמצא במאגרים בבטן האדמה. המרכיב העיקרי בגז הטבעי הוא המתאן (</w:t>
      </w:r>
      <w:r w:rsidRPr="004D350D">
        <w:t>CH4</w:t>
      </w:r>
      <w:r w:rsidRPr="004D350D">
        <w:rPr>
          <w:rtl/>
        </w:rPr>
        <w:t>) שהוא גז דליק. זאת לעומת גפ"מ ("גז בישול"), שהוא תוצר של זיקוק נפט.</w:t>
      </w:r>
    </w:p>
  </w:footnote>
  <w:footnote w:id="3">
    <w:p w:rsidR="004D350D" w:rsidRPr="004D350D" w:rsidP="00B66EC1" w14:paraId="484C859F" w14:textId="77777777">
      <w:pPr>
        <w:pStyle w:val="733"/>
        <w:rPr>
          <w:rtl/>
        </w:rPr>
      </w:pPr>
      <w:r w:rsidRPr="004D350D">
        <w:rPr>
          <w:rStyle w:val="FootnoteReference2"/>
          <w:vertAlign w:val="baseline"/>
        </w:rPr>
        <w:footnoteRef/>
      </w:r>
      <w:r w:rsidRPr="004D350D">
        <w:rPr>
          <w:rtl/>
        </w:rPr>
        <w:t xml:space="preserve"> </w:t>
      </w:r>
      <w:r w:rsidRPr="004D350D">
        <w:tab/>
      </w:r>
      <w:r w:rsidRPr="004D350D">
        <w:rPr>
          <w:rtl/>
        </w:rPr>
        <w:t xml:space="preserve">מתקן </w:t>
      </w:r>
      <w:r w:rsidRPr="004D350D">
        <w:t>PRMS</w:t>
      </w:r>
      <w:r w:rsidRPr="004D350D">
        <w:rPr>
          <w:rtl/>
        </w:rPr>
        <w:t xml:space="preserve"> - מתקן להפחתת לחץ ומדידה של גז טבעי (</w:t>
      </w:r>
      <w:r w:rsidRPr="004D350D">
        <w:t>Pressure Reduction &amp; Metering Station</w:t>
      </w:r>
      <w:r w:rsidRPr="004D350D">
        <w:rPr>
          <w:rtl/>
        </w:rPr>
        <w:t xml:space="preserve">). </w:t>
      </w:r>
    </w:p>
  </w:footnote>
  <w:footnote w:id="4">
    <w:p w:rsidR="004D350D" w:rsidRPr="004D350D" w:rsidP="00B66EC1" w14:paraId="3AAF0A5D" w14:textId="77777777">
      <w:pPr>
        <w:pStyle w:val="733"/>
        <w:rPr>
          <w:rtl/>
        </w:rPr>
      </w:pPr>
      <w:r w:rsidRPr="004D350D">
        <w:rPr>
          <w:rStyle w:val="FootnoteReference2"/>
          <w:vertAlign w:val="baseline"/>
        </w:rPr>
        <w:footnoteRef/>
      </w:r>
      <w:r w:rsidRPr="004D350D">
        <w:rPr>
          <w:rtl/>
        </w:rPr>
        <w:t xml:space="preserve"> </w:t>
      </w:r>
      <w:r w:rsidRPr="004D350D">
        <w:rPr>
          <w:rtl/>
        </w:rPr>
        <w:tab/>
        <w:t>תחנת הגפה</w:t>
      </w:r>
      <w:r w:rsidRPr="004D350D">
        <w:rPr>
          <w:rFonts w:hint="cs"/>
          <w:rtl/>
        </w:rPr>
        <w:t xml:space="preserve"> - </w:t>
      </w:r>
      <w:r w:rsidRPr="004D350D">
        <w:rPr>
          <w:rtl/>
        </w:rPr>
        <w:t xml:space="preserve">תחנה המשמשת לתפעול המערכת </w:t>
      </w:r>
      <w:r w:rsidRPr="004D350D">
        <w:rPr>
          <w:rFonts w:hint="cs"/>
          <w:rtl/>
        </w:rPr>
        <w:t xml:space="preserve">ולבקרה עליה </w:t>
      </w:r>
      <w:r w:rsidRPr="004D350D">
        <w:rPr>
          <w:rtl/>
        </w:rPr>
        <w:t>ולבידוד מקטעים בעת חירום (</w:t>
      </w:r>
      <w:r w:rsidRPr="004D350D">
        <w:t>Block Valve Station</w:t>
      </w:r>
      <w:r w:rsidRPr="004D350D">
        <w:rPr>
          <w:rtl/>
        </w:rPr>
        <w:t>).</w:t>
      </w:r>
    </w:p>
  </w:footnote>
  <w:footnote w:id="5">
    <w:p w:rsidR="004D350D" w:rsidP="00B66EC1" w14:paraId="1BCC9466" w14:textId="77777777">
      <w:pPr>
        <w:pStyle w:val="733"/>
      </w:pPr>
      <w:r w:rsidRPr="003E1AD1">
        <w:footnoteRef/>
      </w:r>
      <w:r w:rsidRPr="003E1AD1">
        <w:rPr>
          <w:rtl/>
        </w:rPr>
        <w:t xml:space="preserve"> </w:t>
      </w:r>
      <w:r>
        <w:rPr>
          <w:rtl/>
        </w:rPr>
        <w:tab/>
      </w:r>
      <w:r w:rsidRPr="00BA1EEC">
        <w:rPr>
          <w:sz w:val="16"/>
          <w:szCs w:val="16"/>
        </w:rPr>
        <w:t>Enbridge, Plains All American Pipeline, Kinder Morgan, Enlink, Pembina Pipeline Corp, Oneok</w:t>
      </w:r>
    </w:p>
  </w:footnote>
  <w:footnote w:id="6">
    <w:p w:rsidR="004D350D" w:rsidP="00B66EC1" w14:paraId="1BF9D17D" w14:textId="77777777">
      <w:pPr>
        <w:pStyle w:val="733"/>
      </w:pPr>
      <w:r w:rsidRPr="003E1AD1">
        <w:footnoteRef/>
      </w:r>
      <w:r w:rsidRPr="003E1AD1">
        <w:rPr>
          <w:rtl/>
        </w:rPr>
        <w:t xml:space="preserve"> </w:t>
      </w:r>
      <w:r w:rsidRPr="003E1AD1">
        <w:rPr>
          <w:rFonts w:hint="cs"/>
          <w:rtl/>
        </w:rPr>
        <w:t xml:space="preserve">  </w:t>
      </w:r>
      <w:r>
        <w:rPr>
          <w:sz w:val="16"/>
          <w:szCs w:val="16"/>
          <w:rtl/>
        </w:rPr>
        <w:tab/>
      </w:r>
      <w:r w:rsidRPr="00AB1B60">
        <w:rPr>
          <w:sz w:val="16"/>
          <w:szCs w:val="16"/>
          <w:rtl/>
        </w:rPr>
        <w:t xml:space="preserve">בעבר חברת </w:t>
      </w:r>
      <w:r w:rsidRPr="00AB1B60">
        <w:rPr>
          <w:sz w:val="16"/>
          <w:szCs w:val="16"/>
        </w:rPr>
        <w:t>EMG</w:t>
      </w:r>
      <w:r w:rsidRPr="00AB1B60">
        <w:rPr>
          <w:sz w:val="16"/>
          <w:szCs w:val="16"/>
          <w:rtl/>
        </w:rPr>
        <w:t xml:space="preserve"> הפעילה קו ייבוא גז טבעי ממצרים לישראל. היום התשתיות באשקלון משמשים את ה</w:t>
      </w:r>
      <w:r>
        <w:rPr>
          <w:rFonts w:hint="cs"/>
          <w:sz w:val="16"/>
          <w:szCs w:val="16"/>
          <w:rtl/>
        </w:rPr>
        <w:t>י</w:t>
      </w:r>
      <w:r w:rsidRPr="00AB1B60">
        <w:rPr>
          <w:sz w:val="16"/>
          <w:szCs w:val="16"/>
          <w:rtl/>
        </w:rPr>
        <w:t>צוא של הגז הטבעי מישראל למצרים.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1526AC" w14:paraId="1C6E1265" w14:textId="6DDA9A68">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62336" behindDoc="0" locked="0" layoutInCell="1" allowOverlap="1">
              <wp:simplePos x="0" y="0"/>
              <wp:positionH relativeFrom="column">
                <wp:posOffset>-718820</wp:posOffset>
              </wp:positionH>
              <wp:positionV relativeFrom="paragraph">
                <wp:posOffset>-727075</wp:posOffset>
              </wp:positionV>
              <wp:extent cx="304800" cy="8450580"/>
              <wp:effectExtent l="0" t="0" r="12700" b="7620"/>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8450580"/>
                      </a:xfrm>
                      <a:prstGeom prst="rect">
                        <a:avLst/>
                      </a:prstGeom>
                      <a:solidFill>
                        <a:srgbClr val="00305F"/>
                      </a:solidFill>
                      <a:ln>
                        <a:solidFill>
                          <a:srgbClr val="00305F"/>
                        </a:solidFill>
                      </a:ln>
                    </wps:spPr>
                    <wps:txbx>
                      <w:txbxContent>
                        <w:p w:rsidR="00F73EE0" w:rsidRPr="009B7D1B" w:rsidP="009D6B52" w14:textId="0EE6444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9D6B52" w:rsidR="009D6B52">
                            <w:rPr>
                              <w:rFonts w:ascii="Tahoma" w:hAnsi="Tahoma" w:cs="Tahoma"/>
                              <w:b/>
                              <w:bCs/>
                              <w:spacing w:val="-4"/>
                              <w:rtl/>
                            </w:rPr>
                            <w:t xml:space="preserve">חברת נתיבי הגז הטבעי לישראל - ביקורת פיננסית והיבטים שונים הנוגעים לפעילות </w:t>
                          </w:r>
                          <w:r w:rsidRPr="009D6B52" w:rsidR="009D6B52">
                            <w:rPr>
                              <w:rFonts w:ascii="Tahoma" w:hAnsi="Tahoma" w:cs="Tahoma"/>
                              <w:b/>
                              <w:bCs/>
                              <w:rtl/>
                            </w:rPr>
                            <w:t>החברה</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2051" type="#_x0000_t202" alt="&quot;&quot;" style="width:24pt;height:665.4pt;margin-top:-57.25pt;margin-left:-56.6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9D6B52" w14:paraId="77809697" w14:textId="0EE6444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9D6B52" w:rsidR="009D6B52">
                      <w:rPr>
                        <w:rFonts w:ascii="Tahoma" w:hAnsi="Tahoma" w:cs="Tahoma"/>
                        <w:b/>
                        <w:bCs/>
                        <w:spacing w:val="-4"/>
                        <w:rtl/>
                      </w:rPr>
                      <w:t xml:space="preserve">חברת נתיבי הגז הטבעי לישראל - ביקורת פיננסית והיבטים שונים הנוגעים לפעילות </w:t>
                    </w:r>
                    <w:r w:rsidRPr="009D6B52" w:rsidR="009D6B52">
                      <w:rPr>
                        <w:rFonts w:ascii="Tahoma" w:hAnsi="Tahoma" w:cs="Tahoma"/>
                        <w:b/>
                        <w:bCs/>
                        <w:rtl/>
                      </w:rPr>
                      <w:t>החברה</w:t>
                    </w:r>
                  </w:p>
                </w:txbxContent>
              </v:textbox>
              <w10:wrap type="square"/>
            </v:shape>
          </w:pict>
        </mc:Fallback>
      </mc:AlternateContent>
    </w: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o:spid="_x0000_s2052"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F73EE0" w:rsidRPr="00136A3E" w:rsidP="00B244B0" w14:textId="4BD879A6">
                          <w:pPr>
                            <w:jc w:val="right"/>
                            <w:rPr>
                              <w:color w:val="0D0D0D" w:themeColor="text1" w:themeTint="F2"/>
                              <w:sz w:val="16"/>
                              <w:szCs w:val="16"/>
                            </w:rPr>
                          </w:pPr>
                          <w:r w:rsidRPr="00AF3B73">
                            <w:rPr>
                              <w:rFonts w:ascii="Tahoma" w:hAnsi="Tahoma" w:cs="Tahoma"/>
                              <w:color w:val="0D0D0D"/>
                              <w:sz w:val="16"/>
                              <w:szCs w:val="16"/>
                              <w:rtl/>
                            </w:rPr>
                            <w:t xml:space="preserve">דוח </w:t>
                          </w:r>
                          <w:r w:rsidRPr="00FF1736" w:rsidR="00FF1736">
                            <w:rPr>
                              <w:rFonts w:ascii="Tahoma" w:hAnsi="Tahoma" w:cs="Tahoma"/>
                              <w:color w:val="0D0D0D"/>
                              <w:sz w:val="16"/>
                              <w:szCs w:val="16"/>
                              <w:rtl/>
                            </w:rPr>
                            <w:t xml:space="preserve">מבקר המדינה | </w:t>
                          </w:r>
                          <w:r w:rsidR="00B66972">
                            <w:rPr>
                              <w:rFonts w:ascii="Tahoma" w:hAnsi="Tahoma" w:cs="Tahoma"/>
                              <w:color w:val="0D0D0D"/>
                              <w:sz w:val="16"/>
                              <w:szCs w:val="16"/>
                              <w:rtl/>
                            </w:rPr>
                            <w:t>שבט</w:t>
                          </w:r>
                          <w:r w:rsidRPr="00FF1736" w:rsidR="00FF1736">
                            <w:rPr>
                              <w:rFonts w:ascii="Tahoma" w:hAnsi="Tahoma" w:cs="Tahoma"/>
                              <w:color w:val="0D0D0D"/>
                              <w:sz w:val="16"/>
                              <w:szCs w:val="16"/>
                              <w:rtl/>
                            </w:rPr>
                            <w:t xml:space="preserve"> </w:t>
                          </w:r>
                          <w:r w:rsidRPr="00FF1736" w:rsidR="00FF1736">
                            <w:rPr>
                              <w:rFonts w:ascii="Tahoma" w:hAnsi="Tahoma" w:cs="Tahoma"/>
                              <w:color w:val="0D0D0D"/>
                              <w:sz w:val="16"/>
                              <w:szCs w:val="16"/>
                              <w:rtl/>
                            </w:rPr>
                            <w:t>התשפ״ד</w:t>
                          </w:r>
                          <w:r w:rsidRPr="00FF1736" w:rsidR="00FF1736">
                            <w:rPr>
                              <w:rFonts w:ascii="Tahoma" w:hAnsi="Tahoma" w:cs="Tahoma"/>
                              <w:color w:val="0D0D0D"/>
                              <w:sz w:val="16"/>
                              <w:szCs w:val="16"/>
                              <w:rtl/>
                            </w:rPr>
                            <w:t xml:space="preserve"> | ינואר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BD879A6">
                    <w:pPr>
                      <w:jc w:val="right"/>
                      <w:rPr>
                        <w:color w:val="0D0D0D" w:themeColor="text1" w:themeTint="F2"/>
                        <w:sz w:val="16"/>
                        <w:szCs w:val="16"/>
                      </w:rPr>
                    </w:pPr>
                    <w:r w:rsidRPr="00AF3B73">
                      <w:rPr>
                        <w:rFonts w:ascii="Tahoma" w:hAnsi="Tahoma" w:cs="Tahoma"/>
                        <w:color w:val="0D0D0D"/>
                        <w:sz w:val="16"/>
                        <w:szCs w:val="16"/>
                        <w:rtl/>
                      </w:rPr>
                      <w:t xml:space="preserve">דוח </w:t>
                    </w:r>
                    <w:r w:rsidRPr="00FF1736" w:rsidR="00FF1736">
                      <w:rPr>
                        <w:rFonts w:ascii="Tahoma" w:hAnsi="Tahoma" w:cs="Tahoma"/>
                        <w:color w:val="0D0D0D"/>
                        <w:sz w:val="16"/>
                        <w:szCs w:val="16"/>
                        <w:rtl/>
                      </w:rPr>
                      <w:t xml:space="preserve">מבקר המדינה | </w:t>
                    </w:r>
                    <w:r w:rsidR="00B66972">
                      <w:rPr>
                        <w:rFonts w:ascii="Tahoma" w:hAnsi="Tahoma" w:cs="Tahoma"/>
                        <w:color w:val="0D0D0D"/>
                        <w:sz w:val="16"/>
                        <w:szCs w:val="16"/>
                        <w:rtl/>
                      </w:rPr>
                      <w:t>שבט</w:t>
                    </w:r>
                    <w:r w:rsidRPr="00FF1736" w:rsidR="00FF1736">
                      <w:rPr>
                        <w:rFonts w:ascii="Tahoma" w:hAnsi="Tahoma" w:cs="Tahoma"/>
                        <w:color w:val="0D0D0D"/>
                        <w:sz w:val="16"/>
                        <w:szCs w:val="16"/>
                        <w:rtl/>
                      </w:rPr>
                      <w:t xml:space="preserve"> </w:t>
                    </w:r>
                    <w:r w:rsidRPr="00FF1736" w:rsidR="00FF1736">
                      <w:rPr>
                        <w:rFonts w:ascii="Tahoma" w:hAnsi="Tahoma" w:cs="Tahoma"/>
                        <w:color w:val="0D0D0D"/>
                        <w:sz w:val="16"/>
                        <w:szCs w:val="16"/>
                        <w:rtl/>
                      </w:rPr>
                      <w:t>התשפ״ד</w:t>
                    </w:r>
                    <w:r w:rsidRPr="00FF1736" w:rsidR="00FF1736">
                      <w:rPr>
                        <w:rFonts w:ascii="Tahoma" w:hAnsi="Tahoma" w:cs="Tahoma"/>
                        <w:color w:val="0D0D0D"/>
                        <w:sz w:val="16"/>
                        <w:szCs w:val="16"/>
                        <w:rtl/>
                      </w:rPr>
                      <w:t xml:space="preserve"> | ינואר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1DD" w:rsidP="004E71DD" w14:paraId="0388F2AD"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6FF77679"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79E8F3BE" w14:textId="77777777">
    <w:pPr>
      <w:pStyle w:val="Header"/>
      <w:ind w:firstLine="720"/>
      <w:rPr>
        <w:rtl/>
      </w:rPr>
    </w:pPr>
  </w:p>
  <w:p w:rsidR="004E71DD" w:rsidP="004E71DD" w14:paraId="78DBB37C" w14:textId="77777777">
    <w:pPr>
      <w:pStyle w:val="Header"/>
      <w:rPr>
        <w:rtl/>
      </w:rPr>
    </w:pPr>
  </w:p>
  <w:p w:rsidR="004E71DD" w:rsidP="004E71DD" w14:paraId="1F8198C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4E45F161">
                          <w:pPr>
                            <w:pStyle w:val="Heading1"/>
                            <w:spacing w:line="269" w:lineRule="auto"/>
                            <w:jc w:val="left"/>
                            <w:rPr>
                              <w:rFonts w:ascii="Tahoma" w:hAnsi="Tahoma" w:eastAsiaTheme="minorHAnsi" w:cs="Tahoma"/>
                              <w:bCs w:val="0"/>
                              <w:color w:val="0D0D0D" w:themeColor="text1" w:themeTint="F2"/>
                              <w:sz w:val="16"/>
                              <w:szCs w:val="16"/>
                              <w:u w:val="none"/>
                            </w:rPr>
                          </w:pPr>
                          <w:r w:rsidRPr="009D6B52">
                            <w:rPr>
                              <w:rFonts w:ascii="Tahoma" w:hAnsi="Tahoma" w:eastAsiaTheme="minorHAnsi" w:cs="Tahoma"/>
                              <w:bCs w:val="0"/>
                              <w:color w:val="0D0D0D" w:themeColor="text1" w:themeTint="F2"/>
                              <w:sz w:val="16"/>
                              <w:szCs w:val="16"/>
                              <w:u w:val="none"/>
                              <w:rtl/>
                            </w:rPr>
                            <w:t>חברת נתיבי הגז הטבעי לישראל - ביקורת פיננסית והיבטים שונים הנוגעים לפעילות החברה</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alt="&quot;&quot;"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66EBAA16" w14:textId="4E45F161">
                    <w:pPr>
                      <w:pStyle w:val="Heading1"/>
                      <w:spacing w:line="269" w:lineRule="auto"/>
                      <w:jc w:val="left"/>
                      <w:rPr>
                        <w:rFonts w:ascii="Tahoma" w:hAnsi="Tahoma" w:eastAsiaTheme="minorHAnsi" w:cs="Tahoma"/>
                        <w:bCs w:val="0"/>
                        <w:color w:val="0D0D0D" w:themeColor="text1" w:themeTint="F2"/>
                        <w:sz w:val="16"/>
                        <w:szCs w:val="16"/>
                        <w:u w:val="none"/>
                      </w:rPr>
                    </w:pPr>
                    <w:r w:rsidRPr="009D6B52">
                      <w:rPr>
                        <w:rFonts w:ascii="Tahoma" w:hAnsi="Tahoma" w:eastAsiaTheme="minorHAnsi" w:cs="Tahoma"/>
                        <w:bCs w:val="0"/>
                        <w:color w:val="0D0D0D" w:themeColor="text1" w:themeTint="F2"/>
                        <w:sz w:val="16"/>
                        <w:szCs w:val="16"/>
                        <w:u w:val="none"/>
                        <w:rtl/>
                      </w:rPr>
                      <w:t>חברת נתיבי הגז הטבעי לישראל - ביקורת פיננסית והיבטים שונים הנוגעים לפעילות החברה</w:t>
                    </w:r>
                  </w:p>
                </w:txbxContent>
              </v:textbox>
              <w10:wrap type="square"/>
            </v:shape>
          </w:pict>
        </mc:Fallback>
      </mc:AlternateContent>
    </w:r>
  </w:p>
  <w:p w:rsidR="004E71DD" w:rsidP="004E71DD" w14:paraId="49CFDAF2"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8" name="Picture 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P="004E71DD" w14:paraId="4E47EA6D" w14:textId="324E80B4">
    <w:pPr>
      <w:pStyle w:val="Header"/>
      <w:rPr>
        <w:szCs w:val="20"/>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721" w:rsidP="001526AC" w14:paraId="1AA96B7A" w14:textId="70578077">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88960" behindDoc="0" locked="0" layoutInCell="1" allowOverlap="1">
              <wp:simplePos x="0" y="0"/>
              <wp:positionH relativeFrom="column">
                <wp:posOffset>-718820</wp:posOffset>
              </wp:positionH>
              <wp:positionV relativeFrom="paragraph">
                <wp:posOffset>-727075</wp:posOffset>
              </wp:positionV>
              <wp:extent cx="304800" cy="8021955"/>
              <wp:effectExtent l="0" t="0" r="12700" b="1714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8021955"/>
                      </a:xfrm>
                      <a:prstGeom prst="rect">
                        <a:avLst/>
                      </a:prstGeom>
                      <a:solidFill>
                        <a:srgbClr val="00305F"/>
                      </a:solidFill>
                      <a:ln>
                        <a:solidFill>
                          <a:srgbClr val="00305F"/>
                        </a:solidFill>
                      </a:ln>
                    </wps:spPr>
                    <wps:txbx>
                      <w:txbxContent>
                        <w:p w:rsidR="00E56721" w:rsidRPr="009B7D1B" w:rsidP="009D6B52" w14:textId="71868AA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9D6B52" w:rsidR="009D6B52">
                            <w:rPr>
                              <w:rFonts w:ascii="Tahoma" w:hAnsi="Tahoma" w:cs="Tahoma"/>
                              <w:b/>
                              <w:bCs/>
                              <w:spacing w:val="-4"/>
                              <w:rtl/>
                            </w:rPr>
                            <w:t xml:space="preserve">חברת נתיבי הגז הטבעי לישראל - ביקורת פיננסית והיבטים שונים הנוגעים לפעילות </w:t>
                          </w:r>
                          <w:r w:rsidRPr="009D6B52" w:rsidR="009D6B52">
                            <w:rPr>
                              <w:rFonts w:ascii="Tahoma" w:hAnsi="Tahoma" w:cs="Tahoma"/>
                              <w:b/>
                              <w:bCs/>
                              <w:rtl/>
                            </w:rPr>
                            <w:t>החברה</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alt="&quot;&quot;" style="width:24pt;height:631.65pt;margin-top:-57.25pt;margin-left:-56.6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9B7D1B" w:rsidP="009D6B52" w14:paraId="3B4CCAD6" w14:textId="71868AA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9D6B52" w:rsidR="009D6B52">
                      <w:rPr>
                        <w:rFonts w:ascii="Tahoma" w:hAnsi="Tahoma" w:cs="Tahoma"/>
                        <w:b/>
                        <w:bCs/>
                        <w:spacing w:val="-4"/>
                        <w:rtl/>
                      </w:rPr>
                      <w:t xml:space="preserve">חברת נתיבי הגז הטבעי לישראל - ביקורת פיננסית והיבטים שונים הנוגעים לפעילות </w:t>
                    </w:r>
                    <w:r w:rsidRPr="009D6B52" w:rsidR="009D6B52">
                      <w:rPr>
                        <w:rFonts w:ascii="Tahoma" w:hAnsi="Tahoma" w:cs="Tahoma"/>
                        <w:b/>
                        <w:bCs/>
                        <w:rtl/>
                      </w:rPr>
                      <w:t>החברה</w:t>
                    </w:r>
                  </w:p>
                </w:txbxContent>
              </v:textbox>
              <w10:wrap type="square"/>
            </v:shape>
          </w:pict>
        </mc:Fallback>
      </mc:AlternateContent>
    </w: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62"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38F0B61F">
                          <w:pPr>
                            <w:jc w:val="right"/>
                            <w:rPr>
                              <w:color w:val="0D0D0D" w:themeColor="text1" w:themeTint="F2"/>
                              <w:sz w:val="16"/>
                              <w:szCs w:val="16"/>
                            </w:rPr>
                          </w:pPr>
                          <w:r w:rsidRPr="00AF3B73">
                            <w:rPr>
                              <w:rFonts w:ascii="Tahoma" w:hAnsi="Tahoma" w:cs="Tahoma"/>
                              <w:color w:val="0D0D0D"/>
                              <w:sz w:val="16"/>
                              <w:szCs w:val="16"/>
                              <w:rtl/>
                            </w:rPr>
                            <w:t xml:space="preserve">דוח מבקר המדינה | </w:t>
                          </w:r>
                          <w:r w:rsidR="00B66972">
                            <w:rPr>
                              <w:rFonts w:ascii="Tahoma" w:hAnsi="Tahoma" w:cs="Tahoma"/>
                              <w:color w:val="0D0D0D"/>
                              <w:sz w:val="16"/>
                              <w:szCs w:val="16"/>
                              <w:rtl/>
                            </w:rPr>
                            <w:t>שבט</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אוקטובר 2023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E56721" w:rsidRPr="00C55DC9" w:rsidP="00B244B0" w14:paraId="0C0E463E" w14:textId="38F0B61F">
                    <w:pPr>
                      <w:jc w:val="right"/>
                      <w:rPr>
                        <w:color w:val="0D0D0D" w:themeColor="text1" w:themeTint="F2"/>
                        <w:sz w:val="16"/>
                        <w:szCs w:val="16"/>
                      </w:rPr>
                    </w:pPr>
                    <w:r w:rsidRPr="00AF3B73">
                      <w:rPr>
                        <w:rFonts w:ascii="Tahoma" w:hAnsi="Tahoma" w:cs="Tahoma"/>
                        <w:color w:val="0D0D0D"/>
                        <w:sz w:val="16"/>
                        <w:szCs w:val="16"/>
                        <w:rtl/>
                      </w:rPr>
                      <w:t xml:space="preserve">דוח מבקר המדינה | </w:t>
                    </w:r>
                    <w:r w:rsidR="00B66972">
                      <w:rPr>
                        <w:rFonts w:ascii="Tahoma" w:hAnsi="Tahoma" w:cs="Tahoma"/>
                        <w:color w:val="0D0D0D"/>
                        <w:sz w:val="16"/>
                        <w:szCs w:val="16"/>
                        <w:rtl/>
                      </w:rPr>
                      <w:t>שבט</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אוקטובר 2023</w:t>
                    </w: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A6CB26A"/>
    <w:lvl w:ilvl="0">
      <w:start w:val="1"/>
      <w:numFmt w:val="decimal"/>
      <w:lvlText w:val="%1."/>
      <w:lvlJc w:val="left"/>
      <w:pPr>
        <w:tabs>
          <w:tab w:val="num" w:pos="1492"/>
        </w:tabs>
        <w:ind w:left="1492" w:hanging="360"/>
      </w:pPr>
    </w:lvl>
  </w:abstractNum>
  <w:abstractNum w:abstractNumId="1">
    <w:nsid w:val="FFFFFF7D"/>
    <w:multiLevelType w:val="singleLevel"/>
    <w:tmpl w:val="634492A0"/>
    <w:lvl w:ilvl="0">
      <w:start w:val="1"/>
      <w:numFmt w:val="decimal"/>
      <w:lvlText w:val="%1."/>
      <w:lvlJc w:val="left"/>
      <w:pPr>
        <w:tabs>
          <w:tab w:val="num" w:pos="1209"/>
        </w:tabs>
        <w:ind w:left="1209" w:hanging="360"/>
      </w:pPr>
    </w:lvl>
  </w:abstractNum>
  <w:abstractNum w:abstractNumId="2">
    <w:nsid w:val="FFFFFF7F"/>
    <w:multiLevelType w:val="singleLevel"/>
    <w:tmpl w:val="EEA49D56"/>
    <w:lvl w:ilvl="0">
      <w:start w:val="1"/>
      <w:numFmt w:val="decimal"/>
      <w:lvlText w:val="%1."/>
      <w:lvlJc w:val="left"/>
      <w:pPr>
        <w:tabs>
          <w:tab w:val="num" w:pos="643"/>
        </w:tabs>
        <w:ind w:left="643" w:hanging="360"/>
      </w:pPr>
    </w:lvl>
  </w:abstractNum>
  <w:abstractNum w:abstractNumId="3">
    <w:nsid w:val="FFFFFF80"/>
    <w:multiLevelType w:val="singleLevel"/>
    <w:tmpl w:val="236A1B18"/>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00B0A4D6"/>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75187C42"/>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C324DACA"/>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98627A40"/>
    <w:lvl w:ilvl="0">
      <w:start w:val="1"/>
      <w:numFmt w:val="bullet"/>
      <w:lvlText w:val=""/>
      <w:lvlJc w:val="left"/>
      <w:pPr>
        <w:tabs>
          <w:tab w:val="num" w:pos="360"/>
        </w:tabs>
        <w:ind w:left="360" w:hanging="360"/>
      </w:pPr>
      <w:rPr>
        <w:rFonts w:ascii="Symbol" w:hAnsi="Symbol" w:hint="default"/>
      </w:rPr>
    </w:lvl>
  </w:abstractNum>
  <w:abstractNum w:abstractNumId="8">
    <w:nsid w:val="051B11FF"/>
    <w:multiLevelType w:val="hybridMultilevel"/>
    <w:tmpl w:val="7BA4D7F8"/>
    <w:lvl w:ilvl="0">
      <w:start w:val="1"/>
      <w:numFmt w:val="decimal"/>
      <w:lvlText w:val="%1."/>
      <w:lvlJc w:val="left"/>
      <w:pPr>
        <w:ind w:left="397" w:hanging="397"/>
      </w:pPr>
      <w:rPr>
        <w:rFonts w:hint="default"/>
        <w:b w:val="0"/>
        <w:bCs w:val="0"/>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9">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A435CB2"/>
    <w:multiLevelType w:val="hybridMultilevel"/>
    <w:tmpl w:val="17F200F2"/>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1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3">
    <w:nsid w:val="317500CD"/>
    <w:multiLevelType w:val="hybridMultilevel"/>
    <w:tmpl w:val="669E366A"/>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14">
    <w:nsid w:val="358E4BDF"/>
    <w:multiLevelType w:val="hybridMultilevel"/>
    <w:tmpl w:val="9B1C0E54"/>
    <w:lvl w:ilvl="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lang w:bidi="he-IL"/>
      </w:rPr>
    </w:lvl>
    <w:lvl w:ilvl="1" w:tentative="1">
      <w:start w:val="1"/>
      <w:numFmt w:val="bullet"/>
      <w:lvlText w:val="o"/>
      <w:lvlJc w:val="left"/>
      <w:pPr>
        <w:ind w:left="1654" w:hanging="360"/>
      </w:pPr>
      <w:rPr>
        <w:rFonts w:ascii="Courier New" w:hAnsi="Courier New" w:cs="Courier New" w:hint="default"/>
      </w:rPr>
    </w:lvl>
    <w:lvl w:ilvl="2" w:tentative="1">
      <w:start w:val="1"/>
      <w:numFmt w:val="bullet"/>
      <w:lvlText w:val=""/>
      <w:lvlJc w:val="left"/>
      <w:pPr>
        <w:ind w:left="2374" w:hanging="360"/>
      </w:pPr>
      <w:rPr>
        <w:rFonts w:ascii="Wingdings" w:hAnsi="Wingdings" w:hint="default"/>
      </w:rPr>
    </w:lvl>
    <w:lvl w:ilvl="3" w:tentative="1">
      <w:start w:val="1"/>
      <w:numFmt w:val="bullet"/>
      <w:lvlText w:val=""/>
      <w:lvlJc w:val="left"/>
      <w:pPr>
        <w:ind w:left="3094" w:hanging="360"/>
      </w:pPr>
      <w:rPr>
        <w:rFonts w:ascii="Symbol" w:hAnsi="Symbol" w:hint="default"/>
      </w:rPr>
    </w:lvl>
    <w:lvl w:ilvl="4" w:tentative="1">
      <w:start w:val="1"/>
      <w:numFmt w:val="bullet"/>
      <w:lvlText w:val="o"/>
      <w:lvlJc w:val="left"/>
      <w:pPr>
        <w:ind w:left="3814" w:hanging="360"/>
      </w:pPr>
      <w:rPr>
        <w:rFonts w:ascii="Courier New" w:hAnsi="Courier New" w:cs="Courier New" w:hint="default"/>
      </w:rPr>
    </w:lvl>
    <w:lvl w:ilvl="5" w:tentative="1">
      <w:start w:val="1"/>
      <w:numFmt w:val="bullet"/>
      <w:lvlText w:val=""/>
      <w:lvlJc w:val="left"/>
      <w:pPr>
        <w:ind w:left="4534" w:hanging="360"/>
      </w:pPr>
      <w:rPr>
        <w:rFonts w:ascii="Wingdings" w:hAnsi="Wingdings" w:hint="default"/>
      </w:rPr>
    </w:lvl>
    <w:lvl w:ilvl="6" w:tentative="1">
      <w:start w:val="1"/>
      <w:numFmt w:val="bullet"/>
      <w:lvlText w:val=""/>
      <w:lvlJc w:val="left"/>
      <w:pPr>
        <w:ind w:left="5254" w:hanging="360"/>
      </w:pPr>
      <w:rPr>
        <w:rFonts w:ascii="Symbol" w:hAnsi="Symbol" w:hint="default"/>
      </w:rPr>
    </w:lvl>
    <w:lvl w:ilvl="7" w:tentative="1">
      <w:start w:val="1"/>
      <w:numFmt w:val="bullet"/>
      <w:lvlText w:val="o"/>
      <w:lvlJc w:val="left"/>
      <w:pPr>
        <w:ind w:left="5974" w:hanging="360"/>
      </w:pPr>
      <w:rPr>
        <w:rFonts w:ascii="Courier New" w:hAnsi="Courier New" w:cs="Courier New" w:hint="default"/>
      </w:rPr>
    </w:lvl>
    <w:lvl w:ilvl="8" w:tentative="1">
      <w:start w:val="1"/>
      <w:numFmt w:val="bullet"/>
      <w:lvlText w:val=""/>
      <w:lvlJc w:val="left"/>
      <w:pPr>
        <w:ind w:left="6694" w:hanging="360"/>
      </w:pPr>
      <w:rPr>
        <w:rFonts w:ascii="Wingdings" w:hAnsi="Wingdings" w:hint="default"/>
      </w:rPr>
    </w:lvl>
  </w:abstractNum>
  <w:abstractNum w:abstractNumId="15">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nsid w:val="56042FAD"/>
    <w:multiLevelType w:val="hybridMultilevel"/>
    <w:tmpl w:val="C714E66C"/>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18">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9">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F0335A8"/>
    <w:multiLevelType w:val="hybridMultilevel"/>
    <w:tmpl w:val="4E1C1FBA"/>
    <w:lvl w:ilvl="0">
      <w:start w:val="1"/>
      <w:numFmt w:val="decimal"/>
      <w:lvlText w:val="%1."/>
      <w:lvlJc w:val="left"/>
      <w:pPr>
        <w:ind w:left="397" w:hanging="397"/>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2">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18"/>
  </w:num>
  <w:num w:numId="2" w16cid:durableId="159808484">
    <w:abstractNumId w:val="12"/>
  </w:num>
  <w:num w:numId="3" w16cid:durableId="2074310673">
    <w:abstractNumId w:val="15"/>
  </w:num>
  <w:num w:numId="4" w16cid:durableId="1596554476">
    <w:abstractNumId w:val="22"/>
  </w:num>
  <w:num w:numId="5" w16cid:durableId="781269690">
    <w:abstractNumId w:val="9"/>
  </w:num>
  <w:num w:numId="6" w16cid:durableId="1087919862">
    <w:abstractNumId w:val="16"/>
  </w:num>
  <w:num w:numId="7" w16cid:durableId="1266497691">
    <w:abstractNumId w:val="21"/>
  </w:num>
  <w:num w:numId="8" w16cid:durableId="1873692319">
    <w:abstractNumId w:val="11"/>
  </w:num>
  <w:num w:numId="9" w16cid:durableId="1057507424">
    <w:abstractNumId w:val="19"/>
  </w:num>
  <w:num w:numId="10" w16cid:durableId="1987541145">
    <w:abstractNumId w:val="14"/>
  </w:num>
  <w:num w:numId="11" w16cid:durableId="1822891089">
    <w:abstractNumId w:val="20"/>
  </w:num>
  <w:num w:numId="12" w16cid:durableId="1381248358">
    <w:abstractNumId w:val="17"/>
  </w:num>
  <w:num w:numId="13" w16cid:durableId="2144807135">
    <w:abstractNumId w:val="13"/>
  </w:num>
  <w:num w:numId="14" w16cid:durableId="922446898">
    <w:abstractNumId w:val="10"/>
  </w:num>
  <w:num w:numId="15" w16cid:durableId="367949431">
    <w:abstractNumId w:val="8"/>
  </w:num>
  <w:num w:numId="16" w16cid:durableId="2001231875">
    <w:abstractNumId w:val="3"/>
  </w:num>
  <w:num w:numId="17" w16cid:durableId="1469980398">
    <w:abstractNumId w:val="4"/>
  </w:num>
  <w:num w:numId="18" w16cid:durableId="1229271782">
    <w:abstractNumId w:val="5"/>
  </w:num>
  <w:num w:numId="19" w16cid:durableId="1576162847">
    <w:abstractNumId w:val="6"/>
  </w:num>
  <w:num w:numId="20" w16cid:durableId="177358265">
    <w:abstractNumId w:val="7"/>
  </w:num>
  <w:num w:numId="21" w16cid:durableId="762452930">
    <w:abstractNumId w:val="0"/>
  </w:num>
  <w:num w:numId="22" w16cid:durableId="464471802">
    <w:abstractNumId w:val="1"/>
  </w:num>
  <w:num w:numId="23" w16cid:durableId="1415737111">
    <w:abstractNumId w:val="2"/>
  </w:num>
  <w:num w:numId="24" w16cid:durableId="1950352713">
    <w:abstractNumId w:val="3"/>
  </w:num>
  <w:num w:numId="25" w16cid:durableId="1143736034">
    <w:abstractNumId w:val="4"/>
  </w:num>
  <w:num w:numId="26" w16cid:durableId="1131049012">
    <w:abstractNumId w:val="5"/>
  </w:num>
  <w:num w:numId="27" w16cid:durableId="931550597">
    <w:abstractNumId w:val="6"/>
  </w:num>
  <w:num w:numId="28" w16cid:durableId="950630961">
    <w:abstractNumId w:val="7"/>
  </w:num>
  <w:num w:numId="29" w16cid:durableId="379865491">
    <w:abstractNumId w:val="0"/>
  </w:num>
  <w:num w:numId="30" w16cid:durableId="385643920">
    <w:abstractNumId w:val="1"/>
  </w:num>
  <w:num w:numId="31" w16cid:durableId="169636985">
    <w:abstractNumId w:val="2"/>
  </w:num>
  <w:num w:numId="32" w16cid:durableId="835026932">
    <w:abstractNumId w:val="3"/>
  </w:num>
  <w:num w:numId="33" w16cid:durableId="954756029">
    <w:abstractNumId w:val="4"/>
  </w:num>
  <w:num w:numId="34" w16cid:durableId="1279214263">
    <w:abstractNumId w:val="5"/>
  </w:num>
  <w:num w:numId="35" w16cid:durableId="1562712564">
    <w:abstractNumId w:val="6"/>
  </w:num>
  <w:num w:numId="36" w16cid:durableId="278100654">
    <w:abstractNumId w:val="7"/>
  </w:num>
  <w:num w:numId="37" w16cid:durableId="2001689849">
    <w:abstractNumId w:val="0"/>
  </w:num>
  <w:num w:numId="38" w16cid:durableId="1865092055">
    <w:abstractNumId w:val="1"/>
  </w:num>
  <w:num w:numId="39" w16cid:durableId="1926987468">
    <w:abstractNumId w:val="2"/>
  </w:num>
  <w:num w:numId="40" w16cid:durableId="403529095">
    <w:abstractNumId w:val="3"/>
  </w:num>
  <w:num w:numId="41" w16cid:durableId="1366448628">
    <w:abstractNumId w:val="4"/>
  </w:num>
  <w:num w:numId="42" w16cid:durableId="1556744685">
    <w:abstractNumId w:val="5"/>
  </w:num>
  <w:num w:numId="43" w16cid:durableId="371731723">
    <w:abstractNumId w:val="6"/>
  </w:num>
  <w:num w:numId="44" w16cid:durableId="671227173">
    <w:abstractNumId w:val="7"/>
  </w:num>
  <w:num w:numId="45" w16cid:durableId="1124420107">
    <w:abstractNumId w:val="0"/>
  </w:num>
  <w:num w:numId="46" w16cid:durableId="1628274347">
    <w:abstractNumId w:val="1"/>
  </w:num>
  <w:num w:numId="47" w16cid:durableId="507794543">
    <w:abstractNumId w:val="2"/>
  </w:num>
  <w:num w:numId="48" w16cid:durableId="478959565">
    <w:abstractNumId w:val="3"/>
  </w:num>
  <w:num w:numId="49" w16cid:durableId="296381357">
    <w:abstractNumId w:val="4"/>
  </w:num>
  <w:num w:numId="50" w16cid:durableId="777023912">
    <w:abstractNumId w:val="5"/>
  </w:num>
  <w:num w:numId="51" w16cid:durableId="555895733">
    <w:abstractNumId w:val="6"/>
  </w:num>
  <w:num w:numId="52" w16cid:durableId="1019894344">
    <w:abstractNumId w:val="7"/>
  </w:num>
  <w:num w:numId="53" w16cid:durableId="2058580199">
    <w:abstractNumId w:val="0"/>
  </w:num>
  <w:num w:numId="54" w16cid:durableId="1208449510">
    <w:abstractNumId w:val="1"/>
  </w:num>
  <w:num w:numId="55" w16cid:durableId="532229155">
    <w:abstractNumId w:val="2"/>
  </w:num>
  <w:num w:numId="56" w16cid:durableId="1092094310">
    <w:abstractNumId w:val="3"/>
  </w:num>
  <w:num w:numId="57" w16cid:durableId="1181509917">
    <w:abstractNumId w:val="4"/>
  </w:num>
  <w:num w:numId="58" w16cid:durableId="1256210567">
    <w:abstractNumId w:val="5"/>
  </w:num>
  <w:num w:numId="59" w16cid:durableId="377584947">
    <w:abstractNumId w:val="6"/>
  </w:num>
  <w:num w:numId="60" w16cid:durableId="1179663350">
    <w:abstractNumId w:val="7"/>
  </w:num>
  <w:num w:numId="61" w16cid:durableId="2047944356">
    <w:abstractNumId w:val="0"/>
  </w:num>
  <w:num w:numId="62" w16cid:durableId="989752664">
    <w:abstractNumId w:val="1"/>
  </w:num>
  <w:num w:numId="63" w16cid:durableId="2070492007">
    <w:abstractNumId w:val="2"/>
  </w:num>
  <w:num w:numId="64" w16cid:durableId="1487436130">
    <w:abstractNumId w:val="3"/>
  </w:num>
  <w:num w:numId="65" w16cid:durableId="465516214">
    <w:abstractNumId w:val="4"/>
  </w:num>
  <w:num w:numId="66" w16cid:durableId="1412392850">
    <w:abstractNumId w:val="5"/>
  </w:num>
  <w:num w:numId="67" w16cid:durableId="2091266854">
    <w:abstractNumId w:val="6"/>
  </w:num>
  <w:num w:numId="68" w16cid:durableId="507251667">
    <w:abstractNumId w:val="7"/>
  </w:num>
  <w:num w:numId="69" w16cid:durableId="1306812601">
    <w:abstractNumId w:val="0"/>
  </w:num>
  <w:num w:numId="70" w16cid:durableId="879246324">
    <w:abstractNumId w:val="1"/>
  </w:num>
  <w:num w:numId="71" w16cid:durableId="1147012240">
    <w:abstractNumId w:val="2"/>
  </w:num>
  <w:num w:numId="72" w16cid:durableId="2068602828">
    <w:abstractNumId w:val="3"/>
  </w:num>
  <w:num w:numId="73" w16cid:durableId="234752313">
    <w:abstractNumId w:val="4"/>
  </w:num>
  <w:num w:numId="74" w16cid:durableId="920409835">
    <w:abstractNumId w:val="5"/>
  </w:num>
  <w:num w:numId="75" w16cid:durableId="2118983329">
    <w:abstractNumId w:val="6"/>
  </w:num>
  <w:num w:numId="76" w16cid:durableId="1653174222">
    <w:abstractNumId w:val="7"/>
  </w:num>
  <w:num w:numId="77" w16cid:durableId="670719769">
    <w:abstractNumId w:val="0"/>
  </w:num>
  <w:num w:numId="78" w16cid:durableId="1497382324">
    <w:abstractNumId w:val="1"/>
  </w:num>
  <w:num w:numId="79" w16cid:durableId="618298922">
    <w:abstractNumId w:val="2"/>
  </w:num>
  <w:num w:numId="80" w16cid:durableId="1872454879">
    <w:abstractNumId w:val="3"/>
  </w:num>
  <w:num w:numId="81" w16cid:durableId="1621761461">
    <w:abstractNumId w:val="4"/>
  </w:num>
  <w:num w:numId="82" w16cid:durableId="730467053">
    <w:abstractNumId w:val="5"/>
  </w:num>
  <w:num w:numId="83" w16cid:durableId="605815977">
    <w:abstractNumId w:val="6"/>
  </w:num>
  <w:num w:numId="84" w16cid:durableId="495921721">
    <w:abstractNumId w:val="7"/>
  </w:num>
  <w:num w:numId="85" w16cid:durableId="109671142">
    <w:abstractNumId w:val="0"/>
  </w:num>
  <w:num w:numId="86" w16cid:durableId="2139911551">
    <w:abstractNumId w:val="1"/>
  </w:num>
  <w:num w:numId="87" w16cid:durableId="898322378">
    <w:abstractNumId w:val="2"/>
  </w:num>
  <w:num w:numId="88" w16cid:durableId="20517715">
    <w:abstractNumId w:val="3"/>
  </w:num>
  <w:num w:numId="89" w16cid:durableId="1773820618">
    <w:abstractNumId w:val="4"/>
  </w:num>
  <w:num w:numId="90" w16cid:durableId="390546318">
    <w:abstractNumId w:val="5"/>
  </w:num>
  <w:num w:numId="91" w16cid:durableId="1115095477">
    <w:abstractNumId w:val="6"/>
  </w:num>
  <w:num w:numId="92" w16cid:durableId="1619337058">
    <w:abstractNumId w:val="7"/>
  </w:num>
  <w:num w:numId="93" w16cid:durableId="775750525">
    <w:abstractNumId w:val="0"/>
  </w:num>
  <w:num w:numId="94" w16cid:durableId="484709589">
    <w:abstractNumId w:val="1"/>
  </w:num>
  <w:num w:numId="95" w16cid:durableId="309481254">
    <w:abstractNumId w:val="2"/>
  </w:num>
  <w:num w:numId="96" w16cid:durableId="629825425">
    <w:abstractNumId w:val="3"/>
  </w:num>
  <w:num w:numId="97" w16cid:durableId="1026176043">
    <w:abstractNumId w:val="4"/>
  </w:num>
  <w:num w:numId="98" w16cid:durableId="1897542287">
    <w:abstractNumId w:val="5"/>
  </w:num>
  <w:num w:numId="99" w16cid:durableId="1378319221">
    <w:abstractNumId w:val="6"/>
  </w:num>
  <w:num w:numId="100" w16cid:durableId="2109931523">
    <w:abstractNumId w:val="7"/>
  </w:num>
  <w:num w:numId="101" w16cid:durableId="507603401">
    <w:abstractNumId w:val="0"/>
  </w:num>
  <w:num w:numId="102" w16cid:durableId="1329678516">
    <w:abstractNumId w:val="1"/>
  </w:num>
  <w:num w:numId="103" w16cid:durableId="1103843391">
    <w:abstractNumId w:val="2"/>
  </w:num>
  <w:num w:numId="104" w16cid:durableId="457577773">
    <w:abstractNumId w:val="3"/>
  </w:num>
  <w:num w:numId="105" w16cid:durableId="417559520">
    <w:abstractNumId w:val="4"/>
  </w:num>
  <w:num w:numId="106" w16cid:durableId="46610188">
    <w:abstractNumId w:val="5"/>
  </w:num>
  <w:num w:numId="107" w16cid:durableId="1058356555">
    <w:abstractNumId w:val="6"/>
  </w:num>
  <w:num w:numId="108" w16cid:durableId="1300725020">
    <w:abstractNumId w:val="7"/>
  </w:num>
  <w:num w:numId="109" w16cid:durableId="418411152">
    <w:abstractNumId w:val="0"/>
  </w:num>
  <w:num w:numId="110" w16cid:durableId="449783450">
    <w:abstractNumId w:val="1"/>
  </w:num>
  <w:num w:numId="111" w16cid:durableId="618995638">
    <w:abstractNumId w:val="2"/>
  </w:num>
  <w:num w:numId="112" w16cid:durableId="1181703912">
    <w:abstractNumId w:val="3"/>
  </w:num>
  <w:num w:numId="113" w16cid:durableId="1080440890">
    <w:abstractNumId w:val="4"/>
  </w:num>
  <w:num w:numId="114" w16cid:durableId="72090378">
    <w:abstractNumId w:val="5"/>
  </w:num>
  <w:num w:numId="115" w16cid:durableId="199057811">
    <w:abstractNumId w:val="6"/>
  </w:num>
  <w:num w:numId="116" w16cid:durableId="242498587">
    <w:abstractNumId w:val="7"/>
  </w:num>
  <w:num w:numId="117" w16cid:durableId="1278366016">
    <w:abstractNumId w:val="0"/>
  </w:num>
  <w:num w:numId="118" w16cid:durableId="576062897">
    <w:abstractNumId w:val="1"/>
  </w:num>
  <w:num w:numId="119" w16cid:durableId="1107772113">
    <w:abstractNumId w:val="2"/>
  </w:num>
  <w:num w:numId="120" w16cid:durableId="1812408206">
    <w:abstractNumId w:val="3"/>
  </w:num>
  <w:num w:numId="121" w16cid:durableId="1082332857">
    <w:abstractNumId w:val="4"/>
  </w:num>
  <w:num w:numId="122" w16cid:durableId="997535478">
    <w:abstractNumId w:val="5"/>
  </w:num>
  <w:num w:numId="123" w16cid:durableId="2003003348">
    <w:abstractNumId w:val="6"/>
  </w:num>
  <w:num w:numId="124" w16cid:durableId="1814253287">
    <w:abstractNumId w:val="7"/>
  </w:num>
  <w:num w:numId="125" w16cid:durableId="645860932">
    <w:abstractNumId w:val="0"/>
  </w:num>
  <w:num w:numId="126" w16cid:durableId="1685395391">
    <w:abstractNumId w:val="1"/>
  </w:num>
  <w:num w:numId="127" w16cid:durableId="1420523631">
    <w:abstractNumId w:val="2"/>
  </w:num>
  <w:num w:numId="128" w16cid:durableId="1019233853">
    <w:abstractNumId w:val="3"/>
  </w:num>
  <w:num w:numId="129" w16cid:durableId="899824833">
    <w:abstractNumId w:val="4"/>
  </w:num>
  <w:num w:numId="130" w16cid:durableId="1360931108">
    <w:abstractNumId w:val="5"/>
  </w:num>
  <w:num w:numId="131" w16cid:durableId="1121460863">
    <w:abstractNumId w:val="6"/>
  </w:num>
  <w:num w:numId="132" w16cid:durableId="1352487072">
    <w:abstractNumId w:val="7"/>
  </w:num>
  <w:num w:numId="133" w16cid:durableId="1320160353">
    <w:abstractNumId w:val="0"/>
  </w:num>
  <w:num w:numId="134" w16cid:durableId="1473593346">
    <w:abstractNumId w:val="1"/>
  </w:num>
  <w:num w:numId="135" w16cid:durableId="45840112">
    <w:abstractNumId w:val="2"/>
  </w:num>
  <w:num w:numId="136" w16cid:durableId="1990858540">
    <w:abstractNumId w:val="3"/>
  </w:num>
  <w:num w:numId="137" w16cid:durableId="136460100">
    <w:abstractNumId w:val="4"/>
  </w:num>
  <w:num w:numId="138" w16cid:durableId="997269498">
    <w:abstractNumId w:val="5"/>
  </w:num>
  <w:num w:numId="139" w16cid:durableId="2076780635">
    <w:abstractNumId w:val="6"/>
  </w:num>
  <w:num w:numId="140" w16cid:durableId="652680662">
    <w:abstractNumId w:val="7"/>
  </w:num>
  <w:num w:numId="141" w16cid:durableId="1162964236">
    <w:abstractNumId w:val="0"/>
  </w:num>
  <w:num w:numId="142" w16cid:durableId="1990742717">
    <w:abstractNumId w:val="1"/>
  </w:num>
  <w:num w:numId="143" w16cid:durableId="38286934">
    <w:abstractNumId w:val="2"/>
  </w:num>
  <w:num w:numId="144" w16cid:durableId="359477898">
    <w:abstractNumId w:val="3"/>
  </w:num>
  <w:num w:numId="145" w16cid:durableId="786319274">
    <w:abstractNumId w:val="4"/>
  </w:num>
  <w:num w:numId="146" w16cid:durableId="1090392429">
    <w:abstractNumId w:val="5"/>
  </w:num>
  <w:num w:numId="147" w16cid:durableId="286006536">
    <w:abstractNumId w:val="6"/>
  </w:num>
  <w:num w:numId="148" w16cid:durableId="1179194337">
    <w:abstractNumId w:val="7"/>
  </w:num>
  <w:num w:numId="149" w16cid:durableId="1756394600">
    <w:abstractNumId w:val="0"/>
  </w:num>
  <w:num w:numId="150" w16cid:durableId="256863527">
    <w:abstractNumId w:val="1"/>
  </w:num>
  <w:num w:numId="151" w16cid:durableId="204886707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56"/>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0888"/>
    <w:rsid w:val="00001899"/>
    <w:rsid w:val="000018EF"/>
    <w:rsid w:val="00001C6B"/>
    <w:rsid w:val="00001D5A"/>
    <w:rsid w:val="00001EF4"/>
    <w:rsid w:val="00002EF7"/>
    <w:rsid w:val="00003343"/>
    <w:rsid w:val="00003557"/>
    <w:rsid w:val="000036E2"/>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0C6"/>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41F"/>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34BD"/>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27F23"/>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88"/>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01E8"/>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1E2D"/>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AAF"/>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34F"/>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353"/>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5A30"/>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297C"/>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387"/>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76"/>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1AD1"/>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50D"/>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563"/>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3EFF"/>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254"/>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995"/>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4D8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064F"/>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758"/>
    <w:rsid w:val="009D1B21"/>
    <w:rsid w:val="009D2A1F"/>
    <w:rsid w:val="009D2BAC"/>
    <w:rsid w:val="009D33BC"/>
    <w:rsid w:val="009D41AC"/>
    <w:rsid w:val="009D4244"/>
    <w:rsid w:val="009D55EE"/>
    <w:rsid w:val="009D58A8"/>
    <w:rsid w:val="009D5970"/>
    <w:rsid w:val="009D59AE"/>
    <w:rsid w:val="009D5C32"/>
    <w:rsid w:val="009D6B5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0952"/>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6CE3"/>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9E5"/>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4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0E68"/>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1B60"/>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972"/>
    <w:rsid w:val="00B66A94"/>
    <w:rsid w:val="00B66EC1"/>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EEC"/>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242"/>
    <w:rsid w:val="00BB75F8"/>
    <w:rsid w:val="00BB7709"/>
    <w:rsid w:val="00BB779D"/>
    <w:rsid w:val="00BB7899"/>
    <w:rsid w:val="00BB789F"/>
    <w:rsid w:val="00BB7A4D"/>
    <w:rsid w:val="00BC068E"/>
    <w:rsid w:val="00BC107E"/>
    <w:rsid w:val="00BC1C7C"/>
    <w:rsid w:val="00BC205F"/>
    <w:rsid w:val="00BC31E2"/>
    <w:rsid w:val="00BC3738"/>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10B4"/>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327"/>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1FA"/>
    <w:rsid w:val="00D468B0"/>
    <w:rsid w:val="00D46A9C"/>
    <w:rsid w:val="00D46AEF"/>
    <w:rsid w:val="00D46D32"/>
    <w:rsid w:val="00D46EB7"/>
    <w:rsid w:val="00D46FA2"/>
    <w:rsid w:val="00D476EB"/>
    <w:rsid w:val="00D478AA"/>
    <w:rsid w:val="00D47F55"/>
    <w:rsid w:val="00D50FB7"/>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6B4"/>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49B0"/>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191D"/>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03F3"/>
    <w:rsid w:val="00E61A8D"/>
    <w:rsid w:val="00E62337"/>
    <w:rsid w:val="00E62809"/>
    <w:rsid w:val="00E63321"/>
    <w:rsid w:val="00E634AD"/>
    <w:rsid w:val="00E635BD"/>
    <w:rsid w:val="00E63670"/>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80"/>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27F0"/>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3A85"/>
    <w:rsid w:val="00FA41F1"/>
    <w:rsid w:val="00FA42BC"/>
    <w:rsid w:val="00FA4635"/>
    <w:rsid w:val="00FA509C"/>
    <w:rsid w:val="00FA5180"/>
    <w:rsid w:val="00FA58CA"/>
    <w:rsid w:val="00FA5C21"/>
    <w:rsid w:val="00FA5FCE"/>
    <w:rsid w:val="00FA655C"/>
    <w:rsid w:val="00FA6B30"/>
    <w:rsid w:val="00FA6B9A"/>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736"/>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9"/>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aliases w:val="Footnote Reference_0,Footnote Reference_0_0,Footnote Reference_0_0_0,Footnote Reference_1,Footnote Reference_1_0,Footnote Reference_2,Footnote Reference_2_0,Footnote Reference_3,Footnote Reference_4,Footnote text,fr,מ"/>
    <w:basedOn w:val="DefaultParagraphFont"/>
    <w:uiPriority w:val="99"/>
    <w:unhideWhenUsed/>
    <w:rsid w:val="004D350D"/>
    <w:rPr>
      <w:vertAlign w:val="superscript"/>
    </w:rPr>
  </w:style>
  <w:style w:type="character" w:styleId="CommentReference">
    <w:name w:val="annotation reference"/>
    <w:basedOn w:val="DefaultParagraphFont"/>
    <w:uiPriority w:val="99"/>
    <w:semiHidden/>
    <w:unhideWhenUsed/>
    <w:rsid w:val="00127F23"/>
    <w:rPr>
      <w:sz w:val="16"/>
      <w:szCs w:val="16"/>
    </w:rPr>
  </w:style>
  <w:style w:type="character" w:customStyle="1" w:styleId="124">
    <w:name w:val="אזכור לא מזוהה1"/>
    <w:basedOn w:val="DefaultParagraphFont"/>
    <w:uiPriority w:val="99"/>
    <w:semiHidden/>
    <w:unhideWhenUsed/>
    <w:rsid w:val="00127F23"/>
    <w:rPr>
      <w:color w:val="605E5C"/>
      <w:shd w:val="clear" w:color="auto" w:fill="E1DFDD"/>
    </w:rPr>
  </w:style>
  <w:style w:type="character" w:customStyle="1" w:styleId="29">
    <w:name w:val="אזכור לא מזוהה2"/>
    <w:basedOn w:val="DefaultParagraphFont"/>
    <w:uiPriority w:val="99"/>
    <w:semiHidden/>
    <w:unhideWhenUsed/>
    <w:rsid w:val="00127F23"/>
    <w:rPr>
      <w:color w:val="605E5C"/>
      <w:shd w:val="clear" w:color="auto" w:fill="E1DFDD"/>
    </w:rPr>
  </w:style>
  <w:style w:type="character" w:customStyle="1" w:styleId="35">
    <w:name w:val="אזכור לא מזוהה3"/>
    <w:basedOn w:val="DefaultParagraphFont"/>
    <w:uiPriority w:val="99"/>
    <w:semiHidden/>
    <w:unhideWhenUsed/>
    <w:rsid w:val="00127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emf" /><Relationship Id="rId28" Type="http://schemas.openxmlformats.org/officeDocument/2006/relationships/header" Target="header5.xml" /><Relationship Id="rId29" Type="http://schemas.openxmlformats.org/officeDocument/2006/relationships/footer" Target="footer4.xml" /><Relationship Id="rId3" Type="http://schemas.openxmlformats.org/officeDocument/2006/relationships/settings" Target="settings.xml" /><Relationship Id="rId30" Type="http://schemas.openxmlformats.org/officeDocument/2006/relationships/header" Target="header6.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3.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3.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3.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64EB82F-6FFF-444B-A287-739D86C0B632}"/>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41</TotalTime>
  <Pages>12</Pages>
  <Words>2656</Words>
  <Characters>13285</Characters>
  <Application>Microsoft Office Word</Application>
  <DocSecurity>0</DocSecurity>
  <Lines>110</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14</cp:revision>
  <cp:lastPrinted>2023-07-16T07:57:00Z</cp:lastPrinted>
  <dcterms:created xsi:type="dcterms:W3CDTF">2023-08-01T13:21:00Z</dcterms:created>
  <dcterms:modified xsi:type="dcterms:W3CDTF">2024-01-08T09:55:00Z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