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p w:rsidR="008B2E28" w:rsidP="001F3363" w14:paraId="1815C0C8" w14:textId="5B68F7B7">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37DCFD8B">
      <w:pPr>
        <w:rPr>
          <w:rtl/>
        </w:rPr>
      </w:pPr>
    </w:p>
    <w:p w:rsidR="008B2E28" w:rsidP="008D2388" w14:paraId="09862827" w14:textId="45E434C2">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04BF1FD6">
      <w:pPr>
        <w:spacing w:line="240" w:lineRule="atLeast"/>
        <w:jc w:val="center"/>
        <w:rPr>
          <w:rFonts w:ascii="Tahoma" w:hAnsi="Tahoma" w:cs="Tahoma"/>
          <w:sz w:val="22"/>
          <w:szCs w:val="22"/>
          <w:rtl/>
        </w:rPr>
      </w:pPr>
    </w:p>
    <w:p w:rsidR="003C32FE" w:rsidRPr="00170230" w:rsidP="003C32FE" w14:paraId="665C333F" w14:textId="5775CBF4">
      <w:pPr>
        <w:spacing w:line="240" w:lineRule="atLeast"/>
        <w:jc w:val="center"/>
        <w:rPr>
          <w:rFonts w:ascii="Tahoma" w:hAnsi="Tahoma" w:cs="Tahoma"/>
          <w:szCs w:val="18"/>
          <w:rtl/>
        </w:rPr>
      </w:pPr>
    </w:p>
    <w:p w:rsidR="003C32FE" w:rsidP="003C32FE" w14:paraId="7A26D94A" w14:textId="40B5625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3061355</wp:posOffset>
                </wp:positionH>
                <wp:positionV relativeFrom="paragraph">
                  <wp:posOffset>266638</wp:posOffset>
                </wp:positionV>
                <wp:extent cx="0" cy="3465871"/>
                <wp:effectExtent l="25400" t="0" r="25400" b="2667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6587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05pt,21pt" to="241.05pt,293.9pt" strokecolor="white"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-93345</wp:posOffset>
                </wp:positionH>
                <wp:positionV relativeFrom="paragraph">
                  <wp:posOffset>332740</wp:posOffset>
                </wp:positionV>
                <wp:extent cx="4566920" cy="4273550"/>
                <wp:effectExtent l="0" t="0" r="5080"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6692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26A2761B">
                            <w:pPr>
                              <w:pStyle w:val="a33"/>
                              <w:bidi/>
                              <w:rPr>
                                <w:rtl/>
                              </w:rPr>
                            </w:pPr>
                            <w:r>
                              <w:rPr>
                                <w:rFonts w:hint="cs"/>
                                <w:rtl/>
                              </w:rPr>
                              <w:t xml:space="preserve">דוח </w:t>
                            </w:r>
                            <w:r w:rsidRPr="00505A36" w:rsidR="00505A36">
                              <w:rPr>
                                <w:rtl/>
                              </w:rPr>
                              <w:t xml:space="preserve">מבקר המדינה | </w:t>
                            </w:r>
                            <w:r w:rsidR="00793C84">
                              <w:rPr>
                                <w:rtl/>
                              </w:rPr>
                              <w:t>שבט</w:t>
                            </w:r>
                            <w:r w:rsidRPr="00505A36" w:rsidR="00505A36">
                              <w:rPr>
                                <w:rtl/>
                              </w:rPr>
                              <w:t xml:space="preserve"> </w:t>
                            </w:r>
                            <w:r w:rsidRPr="00505A36" w:rsidR="00505A36">
                              <w:rPr>
                                <w:rtl/>
                              </w:rPr>
                              <w:t>התשפ״ד</w:t>
                            </w:r>
                            <w:r w:rsidRPr="00505A36" w:rsidR="00505A36">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1512D45B">
                            <w:pPr>
                              <w:pStyle w:val="-1"/>
                              <w:rPr>
                                <w:rtl/>
                              </w:rPr>
                            </w:pPr>
                            <w:r>
                              <w:rPr>
                                <w:rFonts w:hint="cs"/>
                                <w:rtl/>
                              </w:rPr>
                              <w:t>הרשות הממשלתית למים ו</w:t>
                            </w:r>
                            <w:r w:rsidR="009E049C">
                              <w:rPr>
                                <w:rFonts w:hint="cs"/>
                                <w:rtl/>
                              </w:rPr>
                              <w:t>ל</w:t>
                            </w:r>
                            <w:r>
                              <w:rPr>
                                <w:rFonts w:hint="cs"/>
                                <w:rtl/>
                              </w:rPr>
                              <w:t>ביוב</w:t>
                            </w:r>
                          </w:p>
                          <w:p w:rsidR="00F73EE0" w:rsidRPr="000F5023" w:rsidP="0072357A" w14:textId="61B55EA4">
                            <w:pPr>
                              <w:pStyle w:val="a32"/>
                              <w:bidi/>
                              <w:spacing w:before="120"/>
                              <w:rPr>
                                <w:rtl/>
                              </w:rPr>
                            </w:pPr>
                            <w:r w:rsidRPr="00163F05">
                              <w:rPr>
                                <w:rtl/>
                              </w:rPr>
                              <w:t>השבת מי קולחים, איכותם והשימוש בהם</w:t>
                            </w:r>
                            <w:r>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59.6pt;height:336.5pt;margin-top:26.2pt;margin-left:-7.3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26A2761B">
                      <w:pPr>
                        <w:pStyle w:val="a33"/>
                        <w:bidi/>
                        <w:rPr>
                          <w:rtl/>
                        </w:rPr>
                      </w:pPr>
                      <w:r>
                        <w:rPr>
                          <w:rFonts w:hint="cs"/>
                          <w:rtl/>
                        </w:rPr>
                        <w:t xml:space="preserve">דוח </w:t>
                      </w:r>
                      <w:r w:rsidRPr="00505A36" w:rsidR="00505A36">
                        <w:rPr>
                          <w:rtl/>
                        </w:rPr>
                        <w:t xml:space="preserve">מבקר המדינה | </w:t>
                      </w:r>
                      <w:r w:rsidR="00793C84">
                        <w:rPr>
                          <w:rtl/>
                        </w:rPr>
                        <w:t>שבט</w:t>
                      </w:r>
                      <w:r w:rsidRPr="00505A36" w:rsidR="00505A36">
                        <w:rPr>
                          <w:rtl/>
                        </w:rPr>
                        <w:t xml:space="preserve"> </w:t>
                      </w:r>
                      <w:r w:rsidRPr="00505A36" w:rsidR="00505A36">
                        <w:rPr>
                          <w:rtl/>
                        </w:rPr>
                        <w:t>התשפ״ד</w:t>
                      </w:r>
                      <w:r w:rsidRPr="00505A36" w:rsidR="00505A36">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1512D45B">
                      <w:pPr>
                        <w:pStyle w:val="-1"/>
                        <w:rPr>
                          <w:rtl/>
                        </w:rPr>
                      </w:pPr>
                      <w:r>
                        <w:rPr>
                          <w:rFonts w:hint="cs"/>
                          <w:rtl/>
                        </w:rPr>
                        <w:t>הרשות הממשלתית למים ו</w:t>
                      </w:r>
                      <w:r w:rsidR="009E049C">
                        <w:rPr>
                          <w:rFonts w:hint="cs"/>
                          <w:rtl/>
                        </w:rPr>
                        <w:t>ל</w:t>
                      </w:r>
                      <w:r>
                        <w:rPr>
                          <w:rFonts w:hint="cs"/>
                          <w:rtl/>
                        </w:rPr>
                        <w:t>ביוב</w:t>
                      </w:r>
                    </w:p>
                    <w:p w:rsidR="00F73EE0" w:rsidRPr="000F5023" w:rsidP="0072357A" w14:paraId="5464BE8D" w14:textId="61B55EA4">
                      <w:pPr>
                        <w:pStyle w:val="a32"/>
                        <w:bidi/>
                        <w:spacing w:before="120"/>
                        <w:rPr>
                          <w:rtl/>
                        </w:rPr>
                      </w:pPr>
                      <w:r w:rsidRPr="00163F05">
                        <w:rPr>
                          <w:rtl/>
                        </w:rPr>
                        <w:t>השבת מי קולחים, איכותם והשימוש בהם</w:t>
                      </w:r>
                      <w:r>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936A8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-90011</wp:posOffset>
                </wp:positionH>
                <wp:positionV relativeFrom="paragraph">
                  <wp:posOffset>1920558</wp:posOffset>
                </wp:positionV>
                <wp:extent cx="3026886" cy="0"/>
                <wp:effectExtent l="12700" t="12700" r="889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26886"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7.1pt,151.25pt" to="231.25pt,151.2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124A9851">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05380A5D">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-1604486</wp:posOffset>
                </wp:positionH>
                <wp:positionV relativeFrom="paragraph">
                  <wp:posOffset>-1179989</wp:posOffset>
                </wp:positionV>
                <wp:extent cx="7715250" cy="1543050"/>
                <wp:effectExtent l="0" t="0" r="6350" b="635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715250"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607.5pt;height:121.5pt;margin-top:-92.9pt;margin-left:-126.3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3F58BC" w14:paraId="4ED3AA37" w14:textId="4A65ADB8">
      <w:pPr>
        <w:pStyle w:val="7329"/>
        <w:spacing w:after="1200"/>
        <w:rPr>
          <w:rtl/>
        </w:rPr>
      </w:pPr>
      <w:r w:rsidRPr="00802F2E">
        <w:rPr>
          <w:noProof/>
          <w:rtl/>
        </w:rPr>
        <w:drawing>
          <wp:anchor distT="0" distB="0" distL="114300" distR="114300" simplePos="0" relativeHeight="251680768" behindDoc="0" locked="0" layoutInCell="1" allowOverlap="1">
            <wp:simplePos x="0" y="0"/>
            <wp:positionH relativeFrom="column">
              <wp:posOffset>3293110</wp:posOffset>
            </wp:positionH>
            <wp:positionV relativeFrom="paragraph">
              <wp:posOffset>719927</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163F05" w:rsidR="00163F05">
        <w:rPr>
          <w:noProof/>
          <w:rtl/>
        </w:rPr>
        <w:t>השבת מי קולחים, איכותם והשימוש בהם</w:t>
      </w:r>
      <w:r w:rsidRPr="00802F2E" w:rsidR="00147605">
        <w:rPr>
          <w:rFonts w:hint="cs"/>
          <w:rtl/>
        </w:rPr>
        <w:t xml:space="preserve"> </w:t>
      </w:r>
    </w:p>
    <w:p w:rsidR="00163F05" w:rsidRPr="006640EE" w:rsidP="00163F05" w14:paraId="1CC9EDD9" w14:textId="77777777">
      <w:pPr>
        <w:pStyle w:val="7392"/>
        <w:rPr>
          <w:rtl/>
        </w:rPr>
      </w:pPr>
      <w:r w:rsidRPr="006640EE">
        <w:rPr>
          <w:rtl/>
        </w:rPr>
        <w:t xml:space="preserve">בישראל מוזרמים בכל שנה כ-600 </w:t>
      </w:r>
      <w:r w:rsidRPr="006640EE">
        <w:rPr>
          <w:rtl/>
        </w:rPr>
        <w:t>מלמ"ק</w:t>
      </w:r>
      <w:r w:rsidRPr="006640EE">
        <w:rPr>
          <w:rtl/>
        </w:rPr>
        <w:t xml:space="preserve"> שפכים למערכת הביוב. מרביתם מטופלים במתקני טיהור שפכים (</w:t>
      </w:r>
      <w:r w:rsidRPr="006640EE">
        <w:rPr>
          <w:rtl/>
        </w:rPr>
        <w:t>מט"שים</w:t>
      </w:r>
      <w:r w:rsidRPr="006640EE">
        <w:rPr>
          <w:rtl/>
        </w:rPr>
        <w:t>), ויותר מ-80% מהם מועברים להשקיה חקלאית באמצעות מפעלים להשבת קולחים</w:t>
      </w:r>
      <w:r>
        <w:rPr>
          <w:vertAlign w:val="superscript"/>
          <w:rtl/>
        </w:rPr>
        <w:footnoteReference w:id="2"/>
      </w:r>
      <w:r w:rsidRPr="006640EE">
        <w:rPr>
          <w:rtl/>
        </w:rPr>
        <w:t xml:space="preserve">. השימוש במי קולחים פותר את בעיית סילוק השפכים ותורם לשמירה על איכות הסביבה ועל איכות מקורות המים הטבעיים. מפעלי השבת הקולחים ניזונים </w:t>
      </w:r>
      <w:r w:rsidRPr="006640EE">
        <w:rPr>
          <w:rtl/>
        </w:rPr>
        <w:t>מהמט"שים</w:t>
      </w:r>
      <w:r w:rsidRPr="006640EE">
        <w:rPr>
          <w:rtl/>
        </w:rPr>
        <w:t xml:space="preserve"> ומהווים את מערכת ההולכה שמובילה את מי הקולחים מהיצרנים (</w:t>
      </w:r>
      <w:r w:rsidRPr="006640EE">
        <w:rPr>
          <w:rtl/>
        </w:rPr>
        <w:t>מט"שים</w:t>
      </w:r>
      <w:r w:rsidRPr="006640EE">
        <w:rPr>
          <w:rtl/>
        </w:rPr>
        <w:t>) לצרכנים (החקלאים). משק הקולחים מורכב ממאות ספקים, שמרביתם פרטיים</w:t>
      </w:r>
      <w:r>
        <w:rPr>
          <w:vertAlign w:val="superscript"/>
          <w:rtl/>
        </w:rPr>
        <w:footnoteReference w:id="3"/>
      </w:r>
      <w:r w:rsidRPr="006640EE">
        <w:rPr>
          <w:rtl/>
        </w:rPr>
        <w:t xml:space="preserve">. </w:t>
      </w:r>
    </w:p>
    <w:p w:rsidR="007F4A20" w:rsidRPr="00F16A67" w:rsidP="00163F05" w14:paraId="0B41EED6" w14:textId="09B66DA2">
      <w:pPr>
        <w:pStyle w:val="7392"/>
        <w:rPr>
          <w:rtl/>
        </w:rPr>
      </w:pPr>
      <w:r w:rsidRPr="006640EE">
        <w:rPr>
          <w:rtl/>
        </w:rPr>
        <w:t xml:space="preserve">הסמכויות במשק הקולחים מבוזרות בין כמה </w:t>
      </w:r>
      <w:r w:rsidRPr="006640EE">
        <w:rPr>
          <w:rtl/>
        </w:rPr>
        <w:t>מאסדרים</w:t>
      </w:r>
      <w:r w:rsidRPr="006640EE">
        <w:rPr>
          <w:rtl/>
        </w:rPr>
        <w:t xml:space="preserve">, ובהם רשות המים, משרד הבריאות והמשרד להגנת הסביבה. הטיפול בנושא מוסדר בחוקים ובתקנות שונים, ובהם חוק המים, התשי"ט-1959, ותקנות בריאות העם (תקני איכות מי </w:t>
      </w:r>
      <w:r w:rsidRPr="006640EE">
        <w:rPr>
          <w:rtl/>
        </w:rPr>
        <w:t>קולחין</w:t>
      </w:r>
      <w:r w:rsidRPr="006640EE">
        <w:rPr>
          <w:rtl/>
        </w:rPr>
        <w:t xml:space="preserve"> וכללים לטיהור שפכים, התש"ע-2010) (התקנות). פיתוח תשתיות ההולכה ושיפור איכות הקולחים יאפשרו הן ניצול מיטבי של משאב הקולחים והן מזעור הסיכונים הסביבתיים והבריאותיים הגלומים בשימוש במשאב זה</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8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0"/>
        <w:gridCol w:w="278"/>
        <w:gridCol w:w="1644"/>
        <w:gridCol w:w="279"/>
        <w:gridCol w:w="1474"/>
        <w:gridCol w:w="279"/>
        <w:gridCol w:w="1642"/>
      </w:tblGrid>
      <w:tr w14:paraId="58B4726B" w14:textId="77777777" w:rsidTr="00090675">
        <w:tblPrEx>
          <w:tblW w:w="48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5" w:type="pct"/>
            <w:tcBorders>
              <w:bottom w:val="single" w:sz="12" w:space="0" w:color="000000" w:themeColor="text1"/>
            </w:tcBorders>
            <w:vAlign w:val="bottom"/>
          </w:tcPr>
          <w:p w:rsidR="00163F05" w:rsidRPr="00163F05" w:rsidP="00163F05" w14:paraId="23EB689E" w14:textId="39091E18">
            <w:pPr>
              <w:spacing w:after="60" w:line="240" w:lineRule="auto"/>
              <w:jc w:val="left"/>
              <w:rPr>
                <w:b/>
                <w:bCs/>
                <w:spacing w:val="-28"/>
                <w:rtl/>
              </w:rPr>
            </w:pPr>
            <w:r w:rsidRPr="00163F05">
              <w:rPr>
                <w:rFonts w:ascii="Tahoma" w:hAnsi="Tahoma" w:eastAsiaTheme="minorEastAsia" w:cs="Tahoma"/>
                <w:b/>
                <w:bCs/>
                <w:color w:val="0D0D0D" w:themeColor="text1" w:themeTint="F2"/>
                <w:spacing w:val="-10"/>
                <w:sz w:val="36"/>
                <w:szCs w:val="36"/>
                <w:rtl/>
              </w:rPr>
              <w:t xml:space="preserve">592 </w:t>
            </w:r>
            <w:r w:rsidRPr="00163F05">
              <w:rPr>
                <w:rFonts w:ascii="Tahoma" w:hAnsi="Tahoma" w:eastAsiaTheme="minorEastAsia" w:cs="Tahoma"/>
                <w:b/>
                <w:bCs/>
                <w:color w:val="0D0D0D" w:themeColor="text1" w:themeTint="F2"/>
                <w:spacing w:val="-10"/>
                <w:sz w:val="26"/>
                <w:szCs w:val="26"/>
                <w:rtl/>
              </w:rPr>
              <w:t>מלמ"ק</w:t>
            </w:r>
            <w:r w:rsidRPr="00163F05">
              <w:rPr>
                <w:rFonts w:ascii="Tahoma" w:hAnsi="Tahoma" w:eastAsiaTheme="minorEastAsia" w:cs="Tahoma"/>
                <w:b/>
                <w:bCs/>
                <w:color w:val="0D0D0D" w:themeColor="text1" w:themeTint="F2"/>
                <w:spacing w:val="-10"/>
                <w:sz w:val="36"/>
                <w:szCs w:val="36"/>
                <w:rtl/>
              </w:rPr>
              <w:t xml:space="preserve"> </w:t>
            </w:r>
          </w:p>
        </w:tc>
        <w:tc>
          <w:tcPr>
            <w:tcW w:w="195" w:type="pct"/>
          </w:tcPr>
          <w:p w:rsidR="00163F05" w:rsidRPr="00163F05" w:rsidP="00163F05" w14:paraId="19192EA5" w14:textId="77777777">
            <w:pPr>
              <w:spacing w:before="120" w:after="60" w:line="240" w:lineRule="auto"/>
              <w:jc w:val="left"/>
              <w:rPr>
                <w:b/>
                <w:bCs/>
                <w:rtl/>
              </w:rPr>
            </w:pPr>
          </w:p>
        </w:tc>
        <w:tc>
          <w:tcPr>
            <w:tcW w:w="1150" w:type="pct"/>
            <w:tcBorders>
              <w:bottom w:val="single" w:sz="12" w:space="0" w:color="000000" w:themeColor="text1"/>
            </w:tcBorders>
            <w:vAlign w:val="bottom"/>
          </w:tcPr>
          <w:p w:rsidR="00163F05" w:rsidRPr="00163F05" w:rsidP="00163F05" w14:paraId="761F4116" w14:textId="457BC173">
            <w:pPr>
              <w:pStyle w:val="2021"/>
              <w:spacing w:before="0" w:after="60"/>
              <w:rPr>
                <w:spacing w:val="-10"/>
                <w:rtl/>
              </w:rPr>
            </w:pPr>
            <w:r w:rsidRPr="00163F05">
              <w:rPr>
                <w:spacing w:val="-10"/>
                <w:rtl/>
              </w:rPr>
              <w:t xml:space="preserve">80% </w:t>
            </w:r>
          </w:p>
        </w:tc>
        <w:tc>
          <w:tcPr>
            <w:tcW w:w="195" w:type="pct"/>
          </w:tcPr>
          <w:p w:rsidR="00163F05" w:rsidRPr="00163F05" w:rsidP="00163F05" w14:paraId="2810DE55" w14:textId="77777777">
            <w:pPr>
              <w:spacing w:before="120" w:after="60" w:line="240" w:lineRule="auto"/>
              <w:jc w:val="left"/>
              <w:rPr>
                <w:b/>
                <w:bCs/>
                <w:rtl/>
              </w:rPr>
            </w:pPr>
          </w:p>
        </w:tc>
        <w:tc>
          <w:tcPr>
            <w:tcW w:w="1031" w:type="pct"/>
            <w:tcBorders>
              <w:bottom w:val="single" w:sz="12" w:space="0" w:color="000000" w:themeColor="text1"/>
            </w:tcBorders>
          </w:tcPr>
          <w:p w:rsidR="00163F05" w:rsidRPr="00163F05" w:rsidP="00163F05" w14:paraId="2A2E27BD" w14:textId="77177B2F">
            <w:pPr>
              <w:pStyle w:val="2021"/>
              <w:spacing w:before="0" w:after="60"/>
              <w:rPr>
                <w:spacing w:val="-20"/>
                <w:sz w:val="24"/>
                <w:rtl/>
              </w:rPr>
            </w:pPr>
            <w:r w:rsidRPr="00163F05">
              <w:rPr>
                <w:spacing w:val="-10"/>
                <w:rtl/>
              </w:rPr>
              <w:t xml:space="preserve">40 </w:t>
            </w:r>
            <w:r w:rsidR="00090675">
              <w:rPr>
                <w:spacing w:val="-10"/>
                <w:sz w:val="26"/>
                <w:szCs w:val="26"/>
                <w:rtl/>
              </w:rPr>
              <w:br/>
            </w:r>
            <w:r w:rsidRPr="00163F05">
              <w:rPr>
                <w:spacing w:val="-10"/>
                <w:sz w:val="26"/>
                <w:szCs w:val="26"/>
                <w:rtl/>
              </w:rPr>
              <w:t>מ-</w:t>
            </w:r>
            <w:r w:rsidRPr="00163F05">
              <w:rPr>
                <w:spacing w:val="-10"/>
                <w:rtl/>
              </w:rPr>
              <w:t>87</w:t>
            </w:r>
            <w:r w:rsidRPr="00163F05">
              <w:rPr>
                <w:rFonts w:hint="cs"/>
                <w:spacing w:val="-10"/>
                <w:rtl/>
              </w:rPr>
              <w:t xml:space="preserve"> </w:t>
            </w:r>
            <w:r w:rsidRPr="00163F05">
              <w:rPr>
                <w:spacing w:val="-10"/>
                <w:sz w:val="26"/>
                <w:szCs w:val="26"/>
                <w:rtl/>
              </w:rPr>
              <w:t xml:space="preserve">(46%) </w:t>
            </w:r>
          </w:p>
        </w:tc>
        <w:tc>
          <w:tcPr>
            <w:tcW w:w="195" w:type="pct"/>
          </w:tcPr>
          <w:p w:rsidR="00163F05" w:rsidRPr="00163F05" w:rsidP="00163F05" w14:paraId="47B754BA" w14:textId="77777777">
            <w:pPr>
              <w:pStyle w:val="2021"/>
              <w:spacing w:before="0" w:after="60"/>
              <w:rPr>
                <w:spacing w:val="-10"/>
                <w:rtl/>
              </w:rPr>
            </w:pPr>
          </w:p>
        </w:tc>
        <w:tc>
          <w:tcPr>
            <w:tcW w:w="1150" w:type="pct"/>
            <w:tcBorders>
              <w:bottom w:val="single" w:sz="12" w:space="0" w:color="000000" w:themeColor="text1"/>
            </w:tcBorders>
            <w:vAlign w:val="center"/>
          </w:tcPr>
          <w:p w:rsidR="00163F05" w:rsidRPr="00163F05" w:rsidP="00163F05" w14:paraId="5F3A3FF5" w14:textId="3DD11881">
            <w:pPr>
              <w:pStyle w:val="2021"/>
              <w:spacing w:before="0" w:after="60"/>
              <w:rPr>
                <w:spacing w:val="-10"/>
                <w:rtl/>
              </w:rPr>
            </w:pPr>
            <w:r w:rsidRPr="00163F05">
              <w:rPr>
                <w:spacing w:val="-10"/>
                <w:sz w:val="26"/>
                <w:szCs w:val="26"/>
                <w:rtl/>
              </w:rPr>
              <w:t>כ-</w:t>
            </w:r>
            <w:r w:rsidRPr="00163F05">
              <w:rPr>
                <w:spacing w:val="-10"/>
                <w:rtl/>
              </w:rPr>
              <w:t>40%</w:t>
            </w:r>
          </w:p>
        </w:tc>
      </w:tr>
      <w:tr w14:paraId="6DFAF81C" w14:textId="77777777" w:rsidTr="00090675">
        <w:tblPrEx>
          <w:tblW w:w="4848" w:type="pct"/>
          <w:tblLook w:val="04A0"/>
        </w:tblPrEx>
        <w:tc>
          <w:tcPr>
            <w:tcW w:w="1085" w:type="pct"/>
            <w:tcBorders>
              <w:top w:val="single" w:sz="12" w:space="0" w:color="000000" w:themeColor="text1"/>
            </w:tcBorders>
          </w:tcPr>
          <w:p w:rsidR="00163F05" w:rsidRPr="00E52143" w:rsidP="00163F05" w14:paraId="1D96599A" w14:textId="055D85C0">
            <w:pPr>
              <w:pStyle w:val="732021"/>
              <w:spacing w:before="0"/>
              <w:rPr>
                <w:rtl/>
              </w:rPr>
            </w:pPr>
            <w:r w:rsidRPr="006640EE">
              <w:rPr>
                <w:rtl/>
              </w:rPr>
              <w:t xml:space="preserve">שפכים טופלו </w:t>
            </w:r>
            <w:r w:rsidRPr="006640EE">
              <w:rPr>
                <w:rtl/>
              </w:rPr>
              <w:t>במט"שים</w:t>
            </w:r>
            <w:r w:rsidRPr="006640EE">
              <w:rPr>
                <w:rtl/>
              </w:rPr>
              <w:t xml:space="preserve"> בשנת 2020 (כ-95% מסך השפכים שיוצרו)</w:t>
            </w:r>
          </w:p>
        </w:tc>
        <w:tc>
          <w:tcPr>
            <w:tcW w:w="195" w:type="pct"/>
          </w:tcPr>
          <w:p w:rsidR="00163F05" w:rsidRPr="00E52143" w:rsidP="00163F05" w14:paraId="2BF81D8C" w14:textId="77777777">
            <w:pPr>
              <w:pStyle w:val="732021"/>
              <w:spacing w:before="0"/>
              <w:rPr>
                <w:rtl/>
              </w:rPr>
            </w:pPr>
          </w:p>
        </w:tc>
        <w:tc>
          <w:tcPr>
            <w:tcW w:w="1150" w:type="pct"/>
            <w:tcBorders>
              <w:top w:val="single" w:sz="12" w:space="0" w:color="000000" w:themeColor="text1"/>
            </w:tcBorders>
          </w:tcPr>
          <w:p w:rsidR="00163F05" w:rsidRPr="00E52143" w:rsidP="00163F05" w14:paraId="68924AF7" w14:textId="1DFA21E6">
            <w:pPr>
              <w:pStyle w:val="732021"/>
              <w:spacing w:before="0"/>
              <w:rPr>
                <w:rtl/>
              </w:rPr>
            </w:pPr>
            <w:r w:rsidRPr="006640EE">
              <w:rPr>
                <w:rtl/>
              </w:rPr>
              <w:t>מהשפכים בישראל מושבים בכל שנה להשקיה חקלאית. ישראל נמצאת במקום הראשון בעולם בנושא זה</w:t>
            </w:r>
          </w:p>
        </w:tc>
        <w:tc>
          <w:tcPr>
            <w:tcW w:w="195" w:type="pct"/>
          </w:tcPr>
          <w:p w:rsidR="00163F05" w:rsidRPr="00E52143" w:rsidP="00163F05" w14:paraId="4F52CE08" w14:textId="77777777">
            <w:pPr>
              <w:pStyle w:val="732021"/>
              <w:spacing w:before="0"/>
              <w:rPr>
                <w:rtl/>
              </w:rPr>
            </w:pPr>
          </w:p>
        </w:tc>
        <w:tc>
          <w:tcPr>
            <w:tcW w:w="1031" w:type="pct"/>
            <w:tcBorders>
              <w:top w:val="single" w:sz="12" w:space="0" w:color="000000" w:themeColor="text1"/>
            </w:tcBorders>
          </w:tcPr>
          <w:p w:rsidR="00163F05" w:rsidRPr="00090675" w:rsidP="00163F05" w14:paraId="0576A1E4" w14:textId="77777777">
            <w:pPr>
              <w:pStyle w:val="732021"/>
              <w:spacing w:before="0"/>
              <w:rPr>
                <w:spacing w:val="-4"/>
                <w:rtl/>
              </w:rPr>
            </w:pPr>
            <w:r w:rsidRPr="00090675">
              <w:rPr>
                <w:spacing w:val="-4"/>
                <w:rtl/>
              </w:rPr>
              <w:t>המט"שים</w:t>
            </w:r>
            <w:r w:rsidRPr="00090675">
              <w:rPr>
                <w:spacing w:val="-4"/>
                <w:rtl/>
              </w:rPr>
              <w:t xml:space="preserve"> הגדולים טיהרו את הקולחים ברמה הנמוכה מהרמה שנקבעה בתקנות. </w:t>
            </w:r>
            <w:r w:rsidRPr="00090675">
              <w:rPr>
                <w:spacing w:val="-4"/>
                <w:rtl/>
              </w:rPr>
              <w:t>מט"שים</w:t>
            </w:r>
            <w:r w:rsidRPr="00090675">
              <w:rPr>
                <w:spacing w:val="-4"/>
                <w:rtl/>
              </w:rPr>
              <w:t xml:space="preserve"> אלה טיהרו כ-34% מסך כמות הקולחים שטופלה </w:t>
            </w:r>
            <w:r w:rsidRPr="00090675">
              <w:rPr>
                <w:spacing w:val="-4"/>
                <w:rtl/>
              </w:rPr>
              <w:t>במט"שים</w:t>
            </w:r>
            <w:r w:rsidRPr="00090675">
              <w:rPr>
                <w:spacing w:val="-4"/>
                <w:rtl/>
              </w:rPr>
              <w:t xml:space="preserve"> הגדולים בשנת 2021</w:t>
            </w:r>
          </w:p>
          <w:p w:rsidR="00163F05" w:rsidRPr="00E52143" w:rsidP="00163F05" w14:paraId="203F9568" w14:textId="51EB6331">
            <w:pPr>
              <w:pStyle w:val="732021"/>
              <w:spacing w:before="0"/>
              <w:rPr>
                <w:rtl/>
              </w:rPr>
            </w:pPr>
          </w:p>
        </w:tc>
        <w:tc>
          <w:tcPr>
            <w:tcW w:w="195" w:type="pct"/>
          </w:tcPr>
          <w:p w:rsidR="00163F05" w:rsidRPr="00E52143" w:rsidP="00163F05" w14:paraId="42538096" w14:textId="77777777">
            <w:pPr>
              <w:pStyle w:val="732021"/>
              <w:spacing w:before="0"/>
              <w:rPr>
                <w:rtl/>
              </w:rPr>
            </w:pPr>
          </w:p>
        </w:tc>
        <w:tc>
          <w:tcPr>
            <w:tcW w:w="1150" w:type="pct"/>
            <w:tcBorders>
              <w:top w:val="single" w:sz="12" w:space="0" w:color="000000" w:themeColor="text1"/>
            </w:tcBorders>
          </w:tcPr>
          <w:p w:rsidR="00163F05" w:rsidRPr="006640EE" w:rsidP="00163F05" w14:paraId="6B2F84A4" w14:textId="77777777">
            <w:pPr>
              <w:pStyle w:val="732021"/>
              <w:spacing w:before="0"/>
              <w:rPr>
                <w:rtl/>
              </w:rPr>
            </w:pPr>
            <w:r w:rsidRPr="006640EE">
              <w:rPr>
                <w:rtl/>
              </w:rPr>
              <w:t xml:space="preserve">ממי הקולחים בשנת 2021 לא טוהרו לרמה שלישונית שמאפשרת השקיה חקלאית בלא מגבלות </w:t>
            </w:r>
          </w:p>
          <w:p w:rsidR="00163F05" w:rsidRPr="00E52143" w:rsidP="00163F05" w14:paraId="1878D11D" w14:textId="4E49402B">
            <w:pPr>
              <w:pStyle w:val="732021"/>
              <w:spacing w:before="0"/>
              <w:rPr>
                <w:rtl/>
              </w:rPr>
            </w:pPr>
          </w:p>
        </w:tc>
      </w:tr>
      <w:tr w14:paraId="1BD5A20C" w14:textId="77777777" w:rsidTr="00090675">
        <w:tblPrEx>
          <w:tblW w:w="4848" w:type="pct"/>
          <w:tblLook w:val="04A0"/>
        </w:tblPrEx>
        <w:tc>
          <w:tcPr>
            <w:tcW w:w="1085" w:type="pct"/>
            <w:tcBorders>
              <w:bottom w:val="single" w:sz="12" w:space="0" w:color="000000" w:themeColor="text1"/>
            </w:tcBorders>
            <w:vAlign w:val="bottom"/>
          </w:tcPr>
          <w:p w:rsidR="00163F05" w:rsidRPr="00163F05" w:rsidP="00163F05" w14:paraId="500D3B50" w14:textId="46984832">
            <w:pPr>
              <w:spacing w:after="60" w:line="240" w:lineRule="auto"/>
              <w:jc w:val="left"/>
              <w:rPr>
                <w:rFonts w:ascii="Tahoma" w:hAnsi="Tahoma" w:eastAsiaTheme="minorEastAsia" w:cs="Tahoma"/>
                <w:b/>
                <w:bCs/>
                <w:color w:val="0D0D0D" w:themeColor="text1" w:themeTint="F2"/>
                <w:spacing w:val="-10"/>
                <w:sz w:val="36"/>
                <w:szCs w:val="36"/>
                <w:rtl/>
              </w:rPr>
            </w:pPr>
            <w:r w:rsidRPr="00163F05">
              <w:rPr>
                <w:rFonts w:ascii="Tahoma" w:hAnsi="Tahoma" w:eastAsiaTheme="minorEastAsia" w:cs="Tahoma"/>
                <w:b/>
                <w:bCs/>
                <w:color w:val="0D0D0D" w:themeColor="text1" w:themeTint="F2"/>
                <w:spacing w:val="-10"/>
                <w:sz w:val="36"/>
                <w:szCs w:val="36"/>
                <w:rtl/>
              </w:rPr>
              <w:t>13</w:t>
            </w:r>
          </w:p>
        </w:tc>
        <w:tc>
          <w:tcPr>
            <w:tcW w:w="195" w:type="pct"/>
            <w:vAlign w:val="bottom"/>
          </w:tcPr>
          <w:p w:rsidR="00163F05" w:rsidRPr="00163F05" w:rsidP="00163F05"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150" w:type="pct"/>
            <w:tcBorders>
              <w:bottom w:val="single" w:sz="12" w:space="0" w:color="000000" w:themeColor="text1"/>
            </w:tcBorders>
            <w:vAlign w:val="bottom"/>
          </w:tcPr>
          <w:p w:rsidR="00163F05" w:rsidRPr="00163F05" w:rsidP="00163F05" w14:paraId="48896DF7" w14:textId="0C16770F">
            <w:pPr>
              <w:pStyle w:val="2021"/>
              <w:spacing w:before="0" w:after="60"/>
              <w:rPr>
                <w:spacing w:val="-10"/>
                <w:rtl/>
              </w:rPr>
            </w:pPr>
            <w:r w:rsidRPr="00163F05">
              <w:rPr>
                <w:rFonts w:hint="cs"/>
                <w:spacing w:val="-10"/>
                <w:rtl/>
              </w:rPr>
              <w:t>8</w:t>
            </w:r>
            <w:r w:rsidRPr="00163F05">
              <w:rPr>
                <w:spacing w:val="-10"/>
                <w:rtl/>
              </w:rPr>
              <w:t xml:space="preserve">% - </w:t>
            </w:r>
            <w:r w:rsidRPr="00163F05">
              <w:rPr>
                <w:rFonts w:hint="cs"/>
                <w:spacing w:val="-10"/>
                <w:rtl/>
              </w:rPr>
              <w:t>9</w:t>
            </w:r>
            <w:r w:rsidRPr="00163F05">
              <w:rPr>
                <w:spacing w:val="-10"/>
                <w:rtl/>
              </w:rPr>
              <w:t>%</w:t>
            </w:r>
          </w:p>
        </w:tc>
        <w:tc>
          <w:tcPr>
            <w:tcW w:w="195" w:type="pct"/>
            <w:vAlign w:val="bottom"/>
          </w:tcPr>
          <w:p w:rsidR="00163F05" w:rsidRPr="00163F05" w:rsidP="00163F05" w14:paraId="5B4C8A80" w14:textId="77777777">
            <w:pPr>
              <w:spacing w:after="60" w:line="240" w:lineRule="auto"/>
              <w:jc w:val="left"/>
              <w:rPr>
                <w:rFonts w:ascii="Tahoma" w:hAnsi="Tahoma" w:eastAsiaTheme="minorEastAsia" w:cs="Tahoma"/>
                <w:b/>
                <w:bCs/>
                <w:color w:val="0D0D0D" w:themeColor="text1" w:themeTint="F2"/>
                <w:spacing w:val="-10"/>
                <w:sz w:val="26"/>
                <w:szCs w:val="26"/>
                <w:rtl/>
              </w:rPr>
            </w:pPr>
          </w:p>
        </w:tc>
        <w:tc>
          <w:tcPr>
            <w:tcW w:w="1031" w:type="pct"/>
            <w:tcBorders>
              <w:bottom w:val="single" w:sz="12" w:space="0" w:color="000000" w:themeColor="text1"/>
            </w:tcBorders>
            <w:vAlign w:val="bottom"/>
          </w:tcPr>
          <w:p w:rsidR="00163F05" w:rsidRPr="00163F05" w:rsidP="00163F05" w14:paraId="226A2E50" w14:textId="07756754">
            <w:pPr>
              <w:spacing w:after="60" w:line="192" w:lineRule="auto"/>
              <w:jc w:val="left"/>
              <w:rPr>
                <w:rFonts w:ascii="Tahoma" w:hAnsi="Tahoma" w:eastAsiaTheme="minorEastAsia" w:cs="Tahoma"/>
                <w:b/>
                <w:bCs/>
                <w:color w:val="0D0D0D" w:themeColor="text1" w:themeTint="F2"/>
                <w:spacing w:val="-10"/>
                <w:sz w:val="26"/>
                <w:szCs w:val="26"/>
                <w:rtl/>
              </w:rPr>
            </w:pPr>
            <w:r w:rsidRPr="00163F05">
              <w:rPr>
                <w:rFonts w:ascii="Tahoma" w:hAnsi="Tahoma" w:eastAsiaTheme="minorEastAsia" w:cs="Tahoma"/>
                <w:b/>
                <w:bCs/>
                <w:color w:val="0D0D0D" w:themeColor="text1" w:themeTint="F2"/>
                <w:spacing w:val="-10"/>
                <w:sz w:val="36"/>
                <w:szCs w:val="36"/>
                <w:rtl/>
              </w:rPr>
              <w:t xml:space="preserve">1,544 </w:t>
            </w:r>
            <w:r w:rsidRPr="00163F05">
              <w:rPr>
                <w:rFonts w:ascii="Tahoma" w:hAnsi="Tahoma" w:eastAsiaTheme="minorEastAsia" w:cs="Tahoma"/>
                <w:b/>
                <w:bCs/>
                <w:color w:val="0D0D0D" w:themeColor="text1" w:themeTint="F2"/>
                <w:spacing w:val="-10"/>
                <w:sz w:val="26"/>
                <w:szCs w:val="26"/>
                <w:rtl/>
              </w:rPr>
              <w:t>תקלות</w:t>
            </w:r>
          </w:p>
        </w:tc>
        <w:tc>
          <w:tcPr>
            <w:tcW w:w="195" w:type="pct"/>
            <w:vAlign w:val="bottom"/>
          </w:tcPr>
          <w:p w:rsidR="00163F05" w:rsidRPr="00163F05" w:rsidP="00163F05"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50" w:type="pct"/>
            <w:tcBorders>
              <w:bottom w:val="single" w:sz="12" w:space="0" w:color="000000" w:themeColor="text1"/>
            </w:tcBorders>
            <w:vAlign w:val="bottom"/>
          </w:tcPr>
          <w:p w:rsidR="00163F05" w:rsidRPr="00163F05" w:rsidP="00163F05" w14:paraId="5AEEF263" w14:textId="16BBD713">
            <w:pPr>
              <w:spacing w:after="60" w:line="240" w:lineRule="auto"/>
              <w:jc w:val="left"/>
              <w:rPr>
                <w:rFonts w:ascii="Tahoma" w:hAnsi="Tahoma" w:eastAsiaTheme="minorEastAsia" w:cs="Tahoma"/>
                <w:b/>
                <w:bCs/>
                <w:color w:val="0D0D0D" w:themeColor="text1" w:themeTint="F2"/>
                <w:spacing w:val="-10"/>
                <w:sz w:val="36"/>
                <w:szCs w:val="36"/>
                <w:rtl/>
              </w:rPr>
            </w:pPr>
            <w:r w:rsidRPr="00163F05">
              <w:rPr>
                <w:rFonts w:ascii="Tahoma" w:hAnsi="Tahoma" w:eastAsiaTheme="minorEastAsia" w:cs="Tahoma"/>
                <w:b/>
                <w:bCs/>
                <w:color w:val="0D0D0D" w:themeColor="text1" w:themeTint="F2"/>
                <w:spacing w:val="-10"/>
                <w:sz w:val="26"/>
                <w:szCs w:val="26"/>
                <w:rtl/>
              </w:rPr>
              <w:t>כ-</w:t>
            </w:r>
            <w:r w:rsidRPr="00163F05">
              <w:rPr>
                <w:rFonts w:ascii="Tahoma" w:hAnsi="Tahoma" w:eastAsiaTheme="minorEastAsia" w:cs="Tahoma"/>
                <w:b/>
                <w:bCs/>
                <w:color w:val="0D0D0D" w:themeColor="text1" w:themeTint="F2"/>
                <w:spacing w:val="-10"/>
                <w:sz w:val="36"/>
                <w:szCs w:val="36"/>
                <w:rtl/>
              </w:rPr>
              <w:t xml:space="preserve">103 </w:t>
            </w:r>
            <w:r w:rsidRPr="00163F05">
              <w:rPr>
                <w:rFonts w:ascii="Tahoma" w:hAnsi="Tahoma" w:eastAsiaTheme="minorEastAsia" w:cs="Tahoma"/>
                <w:b/>
                <w:bCs/>
                <w:color w:val="0D0D0D" w:themeColor="text1" w:themeTint="F2"/>
                <w:spacing w:val="-10"/>
                <w:sz w:val="26"/>
                <w:szCs w:val="26"/>
                <w:rtl/>
              </w:rPr>
              <w:t>מלמ"ק</w:t>
            </w:r>
          </w:p>
        </w:tc>
      </w:tr>
      <w:tr w14:paraId="54154FA5" w14:textId="77777777" w:rsidTr="00090675">
        <w:tblPrEx>
          <w:tblW w:w="4848" w:type="pct"/>
          <w:tblLook w:val="04A0"/>
        </w:tblPrEx>
        <w:tc>
          <w:tcPr>
            <w:tcW w:w="1085" w:type="pct"/>
            <w:tcBorders>
              <w:top w:val="single" w:sz="12" w:space="0" w:color="000000" w:themeColor="text1"/>
            </w:tcBorders>
          </w:tcPr>
          <w:p w:rsidR="00163F05" w:rsidRPr="006640EE" w:rsidP="00163F05" w14:paraId="0FF4FBD5" w14:textId="77777777">
            <w:pPr>
              <w:pStyle w:val="732021"/>
              <w:spacing w:before="0"/>
              <w:rPr>
                <w:rtl/>
              </w:rPr>
            </w:pPr>
            <w:r w:rsidRPr="006640EE">
              <w:rPr>
                <w:rtl/>
              </w:rPr>
              <w:t>מטש"ים</w:t>
            </w:r>
            <w:r w:rsidRPr="006640EE">
              <w:rPr>
                <w:rtl/>
              </w:rPr>
              <w:t xml:space="preserve"> גדולים המטהרים 40% מהקולחים הגיעו בשנת 2021 לספיקה מלאה ואף עברו אותה</w:t>
            </w:r>
          </w:p>
          <w:p w:rsidR="00163F05" w:rsidRPr="004562F8" w:rsidP="00163F05" w14:paraId="6DB67748" w14:textId="18E478A4">
            <w:pPr>
              <w:pStyle w:val="732021"/>
              <w:spacing w:before="0" w:after="0"/>
              <w:rPr>
                <w:rtl/>
              </w:rPr>
            </w:pPr>
          </w:p>
        </w:tc>
        <w:tc>
          <w:tcPr>
            <w:tcW w:w="195" w:type="pct"/>
          </w:tcPr>
          <w:p w:rsidR="00163F05" w:rsidRPr="008D750B" w:rsidP="00163F05" w14:paraId="0C0AE598" w14:textId="77777777">
            <w:pPr>
              <w:pStyle w:val="732021"/>
              <w:spacing w:before="0" w:after="0"/>
              <w:rPr>
                <w:rtl/>
              </w:rPr>
            </w:pPr>
          </w:p>
        </w:tc>
        <w:tc>
          <w:tcPr>
            <w:tcW w:w="1150" w:type="pct"/>
            <w:tcBorders>
              <w:top w:val="single" w:sz="12" w:space="0" w:color="000000" w:themeColor="text1"/>
            </w:tcBorders>
          </w:tcPr>
          <w:p w:rsidR="00163F05" w:rsidRPr="00090675" w:rsidP="00163F05" w14:paraId="1916A301" w14:textId="428F1708">
            <w:pPr>
              <w:pStyle w:val="732021"/>
              <w:spacing w:before="0" w:after="0"/>
              <w:rPr>
                <w:spacing w:val="-8"/>
                <w:rtl/>
              </w:rPr>
            </w:pPr>
            <w:r w:rsidRPr="00090675">
              <w:rPr>
                <w:spacing w:val="-8"/>
                <w:rtl/>
              </w:rPr>
              <w:t>מהקולחים שימשו בשנים 2018 - 2020 להשקיה באזורים בעלי רגישות הידרולוגית גבוהה. על פי בחינה של הרשות הממשלתית למים המתבוססת על סקר הקולחים לשנת 2016, 100% מהקולחים ששימשו להשקיה באזורים בעלי רגישות הידרולוגית גבוהה לא עמדו בדרישות האיכות שנקבעו בתקנות</w:t>
            </w:r>
          </w:p>
        </w:tc>
        <w:tc>
          <w:tcPr>
            <w:tcW w:w="195" w:type="pct"/>
          </w:tcPr>
          <w:p w:rsidR="00163F05" w:rsidP="00163F05" w14:paraId="14782C57" w14:textId="77777777">
            <w:pPr>
              <w:pStyle w:val="732021"/>
              <w:spacing w:before="0" w:after="0"/>
              <w:rPr>
                <w:rtl/>
              </w:rPr>
            </w:pPr>
          </w:p>
        </w:tc>
        <w:tc>
          <w:tcPr>
            <w:tcW w:w="1031" w:type="pct"/>
            <w:tcBorders>
              <w:top w:val="single" w:sz="12" w:space="0" w:color="000000" w:themeColor="text1"/>
            </w:tcBorders>
          </w:tcPr>
          <w:p w:rsidR="00163F05" w:rsidRPr="0062456C" w:rsidP="00163F05" w14:paraId="6149CA50" w14:textId="11439FE3">
            <w:pPr>
              <w:pStyle w:val="732021"/>
              <w:spacing w:before="0" w:after="0"/>
              <w:rPr>
                <w:rtl/>
              </w:rPr>
            </w:pPr>
            <w:r w:rsidRPr="006640EE">
              <w:rPr>
                <w:rtl/>
              </w:rPr>
              <w:t>נרשמו במערכות הביוב והקולחים בשנת 2022, עלייה של 135% לעומת שנת 2017</w:t>
            </w:r>
          </w:p>
        </w:tc>
        <w:tc>
          <w:tcPr>
            <w:tcW w:w="195" w:type="pct"/>
          </w:tcPr>
          <w:p w:rsidR="00163F05" w:rsidRPr="00C92141" w:rsidP="00163F05" w14:paraId="66E34E8E" w14:textId="77777777">
            <w:pPr>
              <w:pStyle w:val="732021"/>
              <w:spacing w:before="0" w:after="0"/>
              <w:rPr>
                <w:rtl/>
              </w:rPr>
            </w:pPr>
          </w:p>
        </w:tc>
        <w:tc>
          <w:tcPr>
            <w:tcW w:w="1150" w:type="pct"/>
            <w:tcBorders>
              <w:top w:val="single" w:sz="12" w:space="0" w:color="000000" w:themeColor="text1"/>
            </w:tcBorders>
          </w:tcPr>
          <w:p w:rsidR="00163F05" w:rsidRPr="00C92141" w:rsidP="00163F05" w14:paraId="39498237" w14:textId="21C7A4F6">
            <w:pPr>
              <w:pStyle w:val="732021"/>
              <w:spacing w:before="0"/>
              <w:rPr>
                <w:rtl/>
              </w:rPr>
            </w:pPr>
            <w:r w:rsidRPr="006640EE">
              <w:rPr>
                <w:rtl/>
              </w:rPr>
              <w:t xml:space="preserve">קולחים מטוהרים הוזרמו לסביבה בשנת 2020 (כ-17% מכמות השפכים המטוהרים), כמות זו כוללת כ-13.5 </w:t>
            </w:r>
            <w:r w:rsidRPr="006640EE">
              <w:rPr>
                <w:rtl/>
              </w:rPr>
              <w:t>מלמ"ק</w:t>
            </w:r>
            <w:r w:rsidRPr="006640EE">
              <w:rPr>
                <w:rtl/>
              </w:rPr>
              <w:t xml:space="preserve"> שהוזרמו לשיקום נחל הירקון. </w:t>
            </w:r>
            <w:r>
              <w:rPr>
                <w:rtl/>
              </w:rPr>
              <w:br/>
            </w:r>
            <w:r w:rsidRPr="006640EE">
              <w:rPr>
                <w:rtl/>
              </w:rPr>
              <w:t>כ-87% מאותם קולחים הוזרמו כעודפים ולא עמדו באיכות הנדרשת בתקנות להזרמה לסביבה</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547CD126">
      <w:pPr>
        <w:pStyle w:val="7317"/>
        <w:rPr>
          <w:rtl/>
        </w:rPr>
      </w:pPr>
      <w:r w:rsidRPr="001F3363">
        <w:rPr>
          <w:noProof/>
        </w:rPr>
        <w:drawing>
          <wp:anchor distT="0" distB="0" distL="114300" distR="114300" simplePos="0" relativeHeight="251679744"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40EE" w:rsidR="00163F05">
        <w:rPr>
          <w:noProof/>
          <w:rtl/>
        </w:rPr>
        <w:t>בחודשים יולי 2022 עד פברואר 2023 בדק משרד מבקר המדינה את תפקוד משק הקולחים, לרבות היקפי הטיפול בשפכים, איכות הקולחים המופקים מהמטש"ים, פעילות המאסדרים בעניין הטיפול בשפכים, שיפור איכות הקולחים, השבת קולחים והשימוש בהם. הביקורת נערכה ברשות הממשלתית למים ולביוב (רשות המים), במשרד הבריאות ובמשרד להגנת הסביבה (גם המשרד להג"ס). בדיקות השלמה נערכו במשרד החקלאות ופיתוח הכפר (משרד החקלאות), באגף התקציבים במשרד האוצר (אג"ת), ברשות מקרקעי ישראל (רמ"י), במקורות חברת מים בע"מ (מקורות) ובמינהל האזרחי. כמו כן נערכו פגישות עם חוקרים מהאקדמיה</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705C4E70">
      <w:pPr>
        <w:pStyle w:val="7317"/>
        <w:rPr>
          <w:rtl/>
        </w:rPr>
      </w:pPr>
      <w:r w:rsidRPr="00163F05">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sidR="00163F05">
        <w:rPr>
          <w:rStyle w:val="7371"/>
          <w:rtl/>
        </w:rPr>
        <w:t>איכות הטיפול בשפכים</w:t>
      </w:r>
      <w:r w:rsidRPr="006640EE" w:rsidR="00163F05">
        <w:rPr>
          <w:rtl/>
        </w:rPr>
        <w:t xml:space="preserve"> </w:t>
      </w:r>
      <w:r w:rsidRPr="00163F05" w:rsidR="00163F05">
        <w:rPr>
          <w:rStyle w:val="7371"/>
          <w:rtl/>
        </w:rPr>
        <w:t>-</w:t>
      </w:r>
      <w:r w:rsidRPr="006640EE" w:rsidR="00163F05">
        <w:rPr>
          <w:rtl/>
        </w:rPr>
        <w:t xml:space="preserve"> 40 מ-87 </w:t>
      </w:r>
      <w:r w:rsidRPr="006640EE" w:rsidR="00163F05">
        <w:rPr>
          <w:rtl/>
        </w:rPr>
        <w:t>המט"שים</w:t>
      </w:r>
      <w:r w:rsidRPr="006640EE" w:rsidR="00163F05">
        <w:rPr>
          <w:rtl/>
        </w:rPr>
        <w:t xml:space="preserve"> הגדולים בישראל (46%) לא טיהרו את הקולחים ברמת טיהור שלישונית, המאפשרת השקיה למטרה חקלאית ללא מגבלות על סוג הגידול המושקה. </w:t>
      </w:r>
      <w:r w:rsidRPr="006640EE" w:rsidR="00163F05">
        <w:rPr>
          <w:rtl/>
        </w:rPr>
        <w:t>מט"שים</w:t>
      </w:r>
      <w:r w:rsidRPr="006640EE" w:rsidR="00163F05">
        <w:rPr>
          <w:rtl/>
        </w:rPr>
        <w:t xml:space="preserve"> אלה סיפקו 185.2 </w:t>
      </w:r>
      <w:r w:rsidRPr="006640EE" w:rsidR="00163F05">
        <w:rPr>
          <w:rtl/>
        </w:rPr>
        <w:t>מלמ"ק</w:t>
      </w:r>
      <w:r w:rsidRPr="006640EE" w:rsidR="00163F05">
        <w:rPr>
          <w:rtl/>
        </w:rPr>
        <w:t xml:space="preserve">, שהם כ-34% מסך כמות הקולחים שטוהרה </w:t>
      </w:r>
      <w:r w:rsidRPr="006640EE" w:rsidR="00163F05">
        <w:rPr>
          <w:rtl/>
        </w:rPr>
        <w:t>במט"שים</w:t>
      </w:r>
      <w:r w:rsidRPr="006640EE" w:rsidR="00163F05">
        <w:rPr>
          <w:rtl/>
        </w:rPr>
        <w:t xml:space="preserve"> הגדולים בשנת 2021. מתוך 40 </w:t>
      </w:r>
      <w:r w:rsidRPr="006640EE" w:rsidR="00163F05">
        <w:rPr>
          <w:rtl/>
        </w:rPr>
        <w:t>מט"שים</w:t>
      </w:r>
      <w:r w:rsidRPr="006640EE" w:rsidR="00163F05">
        <w:rPr>
          <w:rtl/>
        </w:rPr>
        <w:t xml:space="preserve"> אלה, 30 </w:t>
      </w:r>
      <w:r w:rsidRPr="006640EE" w:rsidR="00163F05">
        <w:rPr>
          <w:rtl/>
        </w:rPr>
        <w:t>מט"שים</w:t>
      </w:r>
      <w:r w:rsidRPr="006640EE" w:rsidR="00163F05">
        <w:rPr>
          <w:rtl/>
        </w:rPr>
        <w:t xml:space="preserve"> טיהרו את הקולחים לרמה שניונית, שבה יש מגבלות על סוג הגידול החקלאי המושקה;</w:t>
      </w:r>
      <w:r w:rsidR="00163F05">
        <w:rPr>
          <w:rFonts w:hint="cs"/>
          <w:rtl/>
        </w:rPr>
        <w:t xml:space="preserve"> </w:t>
      </w:r>
      <w:r w:rsidR="00163F05">
        <w:rPr>
          <w:rtl/>
        </w:rPr>
        <w:br/>
      </w:r>
      <w:r w:rsidRPr="006640EE" w:rsidR="00163F05">
        <w:rPr>
          <w:rtl/>
        </w:rPr>
        <w:t xml:space="preserve">ו-10 </w:t>
      </w:r>
      <w:r w:rsidRPr="006640EE" w:rsidR="00163F05">
        <w:rPr>
          <w:rtl/>
        </w:rPr>
        <w:t>מט"שים</w:t>
      </w:r>
      <w:r w:rsidRPr="006640EE" w:rsidR="00163F05">
        <w:rPr>
          <w:rtl/>
        </w:rPr>
        <w:t xml:space="preserve"> טיהרו את הקולחים לרמה נמוכה יותר. זאת אף על פי שנקבע בתקנות כי </w:t>
      </w:r>
      <w:r w:rsidRPr="006640EE" w:rsidR="00163F05">
        <w:rPr>
          <w:rtl/>
        </w:rPr>
        <w:t>מט"שים</w:t>
      </w:r>
      <w:r w:rsidRPr="006640EE" w:rsidR="00163F05">
        <w:rPr>
          <w:rtl/>
        </w:rPr>
        <w:t xml:space="preserve"> גדולים יטהרו קולחים לרמה שלישונית עד לשנת 2015. שימוש במי קולחים שאינם עומדים בסטנדרטים הנדרשים על פי התקנות עלול לסכן את בריאות הציבור. מי הקולחים עלולים לחלחל למי התהום ולזהמם וכן לזהם את הקרקע, את הנחלים ואת מי הים</w:t>
      </w:r>
      <w:r w:rsidRPr="00AF3B73">
        <w:rPr>
          <w:rtl/>
        </w:rPr>
        <w:t>.</w:t>
      </w:r>
    </w:p>
    <w:p w:rsidR="00EB672B" w:rsidRPr="00AF3B73" w:rsidP="00EB672B" w14:paraId="61697365" w14:textId="6C843367">
      <w:pPr>
        <w:pStyle w:val="7317"/>
      </w:pPr>
      <w:r w:rsidRPr="00163F05">
        <w:rPr>
          <w:rStyle w:val="7371"/>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sidR="00163F05">
        <w:rPr>
          <w:rStyle w:val="7371"/>
          <w:rtl/>
        </w:rPr>
        <w:t>איכות הקולחים בישראל ובמדינות ה-</w:t>
      </w:r>
      <w:r w:rsidRPr="00163F05" w:rsidR="00163F05">
        <w:rPr>
          <w:rStyle w:val="7371"/>
          <w:b/>
          <w:bCs w:val="0"/>
        </w:rPr>
        <w:t>OECD</w:t>
      </w:r>
      <w:r w:rsidRPr="00163F05" w:rsidR="00163F05">
        <w:rPr>
          <w:rStyle w:val="7371"/>
          <w:rtl/>
        </w:rPr>
        <w:t xml:space="preserve"> -</w:t>
      </w:r>
      <w:r w:rsidRPr="006640EE" w:rsidR="00163F05">
        <w:rPr>
          <w:rtl/>
        </w:rPr>
        <w:t xml:space="preserve"> אף שישראל מובילה בעולם מבחינת היקף השימוש בקולחים להשקיה חקלאית (ישראל משיבה יותר מ-80% מהקולחים להשקיה חקלאית. המדינה השנייה אחרי ישראל בהשבת קולחים לחקלאות היא ספרד, המשתמשת בכ-30% מהקולחים שלה להשקיה חקלאית), היקף הטיפול השלישוני בקולחים בשנת 2020 היה קטן לעומת המדינות המפותחות (כ-56% בשנת 2020). ב-12 מ-19 המדינות שנבדקו בביקורת (ובהן הולנד, צרפת ויפן) שיעור הקולחים המטוהרים לרמה שלישונית היה גדול מזה שבישראל</w:t>
      </w:r>
      <w:r w:rsidRPr="00AF3B73">
        <w:rPr>
          <w:rFonts w:hint="cs"/>
          <w:rtl/>
        </w:rPr>
        <w:t xml:space="preserve">. </w:t>
      </w:r>
    </w:p>
    <w:p w:rsidR="00163F05" w:rsidRPr="006640EE" w:rsidP="00163F05" w14:paraId="6F6526D0" w14:textId="2B30224D">
      <w:pPr>
        <w:pStyle w:val="7317"/>
      </w:pPr>
      <w:r w:rsidRPr="00163F05">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Pr>
          <w:rStyle w:val="7371"/>
          <w:rtl/>
        </w:rPr>
        <w:t>הזרמת עודפי שפכים וקולחים לסביבה</w:t>
      </w:r>
      <w:r w:rsidRPr="006640EE">
        <w:rPr>
          <w:rtl/>
        </w:rPr>
        <w:t xml:space="preserve"> - עודפי קולחים שאינם מטוהרים כנדרש בתקנות או שפכים גולמיים המסולקים לסביבה עלולים לזהם את הנחלים ולהיות מפגע סביבתי ותברואתי. בין היתר נמצא כדלהלן:</w:t>
      </w:r>
    </w:p>
    <w:p w:rsidR="00163F05" w:rsidRPr="006640EE" w:rsidP="0013081A" w14:paraId="168EF7F8" w14:textId="77777777">
      <w:pPr>
        <w:pStyle w:val="7317"/>
        <w:numPr>
          <w:ilvl w:val="0"/>
          <w:numId w:val="10"/>
        </w:numPr>
      </w:pPr>
      <w:r w:rsidRPr="006640EE">
        <w:rPr>
          <w:rtl/>
        </w:rPr>
        <w:t xml:space="preserve">בשנים 2010 - 2016 נרשמה מגמת ירידה בהיקפי הקולחים המוזרמים לסביבה (הן מבחינה אבסולוטית והן כשיעור מסך הקולחים). ואולם משנת 2016 קיימת מגמת </w:t>
      </w:r>
      <w:r w:rsidRPr="006640EE">
        <w:rPr>
          <w:rtl/>
        </w:rPr>
        <w:t xml:space="preserve">עלייה בהיקף הקולחים והשפכים המסולקים לסביבה (הן מבחינה אבסולוטית והן כשיעור מסך הקולחים), ושיעורם מסך הקולחים בשנת 2020 היה גדול מזה שהיה בשנת 2010. כך, בשנת 2020 סולקו לסביבה 115.45 </w:t>
      </w:r>
      <w:r w:rsidRPr="006640EE">
        <w:rPr>
          <w:rtl/>
        </w:rPr>
        <w:t>מלמ"ק</w:t>
      </w:r>
      <w:r w:rsidRPr="006640EE">
        <w:rPr>
          <w:rtl/>
        </w:rPr>
        <w:t xml:space="preserve"> (כולל כ-14 </w:t>
      </w:r>
      <w:r w:rsidRPr="006640EE">
        <w:rPr>
          <w:rtl/>
        </w:rPr>
        <w:t>מלמ"ק</w:t>
      </w:r>
      <w:r w:rsidRPr="006640EE">
        <w:rPr>
          <w:rtl/>
        </w:rPr>
        <w:t xml:space="preserve"> שטופלו והוזרמו לשיקום נחלים וכ-12.3 </w:t>
      </w:r>
      <w:r w:rsidRPr="006640EE">
        <w:rPr>
          <w:rtl/>
        </w:rPr>
        <w:t>מלמ"ק</w:t>
      </w:r>
      <w:r w:rsidRPr="006640EE">
        <w:rPr>
          <w:rtl/>
        </w:rPr>
        <w:t xml:space="preserve"> שפכים גולמיים), כמות הגדולה ב-72% מהכמות בשנת 2010, ושיעורם של קולחים אלה מסך הקולחים גדל מ-16.1% ל-17.5%.  </w:t>
      </w:r>
    </w:p>
    <w:p w:rsidR="00163F05" w:rsidRPr="006640EE" w:rsidP="0013081A" w14:paraId="05CBA90F" w14:textId="77777777">
      <w:pPr>
        <w:pStyle w:val="7317"/>
        <w:numPr>
          <w:ilvl w:val="0"/>
          <w:numId w:val="10"/>
        </w:numPr>
        <w:rPr>
          <w:rtl/>
        </w:rPr>
      </w:pPr>
      <w:r w:rsidRPr="006640EE">
        <w:rPr>
          <w:rtl/>
        </w:rPr>
        <w:t xml:space="preserve">האיכות של כ-88% מהשפכים והקולחים שהוזרמו בשנת 2020 לסביבה אינה תואמת את האיכות שנקבעה בתקנות איכות הקולחים לגבי הזרמת קולחים לנחל. </w:t>
      </w:r>
    </w:p>
    <w:p w:rsidR="00EB672B" w:rsidRPr="00AF3B73" w:rsidP="00EB672B" w14:paraId="42C157E6" w14:textId="321D0266">
      <w:pPr>
        <w:pStyle w:val="7317"/>
      </w:pPr>
      <w:r w:rsidRPr="00163F05">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sidR="00163F05">
        <w:rPr>
          <w:rStyle w:val="7371"/>
          <w:rtl/>
        </w:rPr>
        <w:t xml:space="preserve">ספיקה </w:t>
      </w:r>
      <w:r w:rsidRPr="00163F05" w:rsidR="00163F05">
        <w:rPr>
          <w:rStyle w:val="7371"/>
          <w:rtl/>
        </w:rPr>
        <w:t>במט"שים</w:t>
      </w:r>
      <w:r w:rsidRPr="00163F05" w:rsidR="00163F05">
        <w:rPr>
          <w:rStyle w:val="7371"/>
          <w:rtl/>
        </w:rPr>
        <w:t xml:space="preserve"> -</w:t>
      </w:r>
      <w:r w:rsidRPr="006640EE" w:rsidR="00163F05">
        <w:rPr>
          <w:rtl/>
        </w:rPr>
        <w:t xml:space="preserve"> כ-40% מהקולחים טוהרו ב-13 </w:t>
      </w:r>
      <w:r w:rsidRPr="006640EE" w:rsidR="00163F05">
        <w:rPr>
          <w:rtl/>
        </w:rPr>
        <w:t>מט"שים</w:t>
      </w:r>
      <w:r w:rsidRPr="006640EE" w:rsidR="00163F05">
        <w:rPr>
          <w:rtl/>
        </w:rPr>
        <w:t xml:space="preserve"> שמיצו את יכולת הספיקה שלהם (יותר מ-100%); כ-8.8% מהקולחים טוהרו ב-9 </w:t>
      </w:r>
      <w:r w:rsidRPr="006640EE" w:rsidR="00163F05">
        <w:rPr>
          <w:rtl/>
        </w:rPr>
        <w:t>מט"שים</w:t>
      </w:r>
      <w:r w:rsidRPr="006640EE" w:rsidR="00163F05">
        <w:rPr>
          <w:rtl/>
        </w:rPr>
        <w:t xml:space="preserve"> שספיקתם היא 90% - 100%; וכ-19.5% מהקולחים טוהרו ב-8 </w:t>
      </w:r>
      <w:r w:rsidRPr="006640EE" w:rsidR="00163F05">
        <w:rPr>
          <w:rtl/>
        </w:rPr>
        <w:t>מט"שים</w:t>
      </w:r>
      <w:r w:rsidRPr="006640EE" w:rsidR="00163F05">
        <w:rPr>
          <w:rtl/>
        </w:rPr>
        <w:t xml:space="preserve"> שהגיעו לניצול של 80% - 89% מספיקת התֶכֶן שלהם. מיצוי של קיבולת הטיפול בשפכים לצד פיתוח איטי של תשתיות טיהור שפכים מגבירים את הסיכון לאי-טיפול בשפכים, בשל מיצוי כושר הטיפול </w:t>
      </w:r>
      <w:r w:rsidRPr="006640EE" w:rsidR="00163F05">
        <w:rPr>
          <w:rtl/>
        </w:rPr>
        <w:t>במט"שים</w:t>
      </w:r>
      <w:r w:rsidRPr="006640EE" w:rsidR="00163F05">
        <w:rPr>
          <w:rtl/>
        </w:rPr>
        <w:t xml:space="preserve"> הקיימים. בעיה זו צפויה להחריף נוכח הגידול הטבעי בכמות השפכים</w:t>
      </w:r>
      <w:r w:rsidRPr="00AF3B73">
        <w:rPr>
          <w:rFonts w:hint="cs"/>
          <w:rtl/>
        </w:rPr>
        <w:t xml:space="preserve">. </w:t>
      </w:r>
    </w:p>
    <w:p w:rsidR="00163F05" w:rsidRPr="006640EE" w:rsidP="00163F05" w14:paraId="741A3A5C" w14:textId="368DE0BE">
      <w:pPr>
        <w:pStyle w:val="7317"/>
      </w:pPr>
      <w:r w:rsidRPr="00163F05">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Pr>
          <w:rStyle w:val="7371"/>
          <w:rtl/>
        </w:rPr>
        <w:t>השקיה באזורים בעלי רגישות הידרולוגית גבוהה -</w:t>
      </w:r>
      <w:r w:rsidRPr="006640EE">
        <w:rPr>
          <w:rtl/>
        </w:rPr>
        <w:t xml:space="preserve"> בשל הסכנה לזיהום הקרקע ומי התהום קיימת חשיבות רבה ליישום ההנחיות לגבי השקיה בקולחים. זאת בייחוד באזורים המוגדרים בעלי רגישות הידרולוגית בינונית ובעלי רגישות הידרולוגית גבוהה, שבהם הפוטנציאל לחלחול הזיהום למי התהום הוא גדול. בין היתר נמצא כדלהלן:</w:t>
      </w:r>
    </w:p>
    <w:p w:rsidR="00163F05" w:rsidRPr="00163F05" w:rsidP="0013081A" w14:paraId="2D3DCD2A" w14:textId="77777777">
      <w:pPr>
        <w:pStyle w:val="7317"/>
        <w:numPr>
          <w:ilvl w:val="0"/>
          <w:numId w:val="10"/>
        </w:numPr>
        <w:rPr>
          <w:rtl/>
        </w:rPr>
      </w:pPr>
      <w:r w:rsidRPr="00163F05">
        <w:rPr>
          <w:rtl/>
        </w:rPr>
        <w:t xml:space="preserve">נכון לשנת 2018, 9% מהקולחים (כולל </w:t>
      </w:r>
      <w:r w:rsidRPr="00163F05">
        <w:rPr>
          <w:rtl/>
        </w:rPr>
        <w:t>מהשפד"ן</w:t>
      </w:r>
      <w:r w:rsidRPr="00163F05">
        <w:rPr>
          <w:rtl/>
        </w:rPr>
        <w:t xml:space="preserve">) שימשו להשקיה באזורים בעלי רגישות הידרולוגית גבוהה. לדוגמה, קיימת השקיה בקולחים המטוהרים לרמה שניונית באזור מישור החוף הדרומי (בין אשדוד לאשקלון), המוגדר אזור בעל רגישות הידרולוגית גבוהה ובינונית. דוגמאות נוספות הן אזור הגליל העליון והאזור שממערב לכינרת, שנחשבים גם הם לאזורים בעלי רגישות הידרולוגית גבוהה. כ-8% מהקולחים (כולל </w:t>
      </w:r>
      <w:r w:rsidRPr="00163F05">
        <w:rPr>
          <w:rtl/>
        </w:rPr>
        <w:t>שפד"ן</w:t>
      </w:r>
      <w:r w:rsidRPr="00163F05">
        <w:rPr>
          <w:rtl/>
        </w:rPr>
        <w:t>) שימשו בשנת 2020 להשקיה באזורים בעלי רגישות הידרולוגית גבוהה.</w:t>
      </w:r>
    </w:p>
    <w:p w:rsidR="00163F05" w:rsidRPr="00163F05" w:rsidP="0013081A" w14:paraId="36F493E8" w14:textId="77777777">
      <w:pPr>
        <w:pStyle w:val="7317"/>
        <w:numPr>
          <w:ilvl w:val="0"/>
          <w:numId w:val="10"/>
        </w:numPr>
      </w:pPr>
      <w:bookmarkStart w:id="0" w:name="_Hlk131083650"/>
      <w:r w:rsidRPr="00163F05">
        <w:rPr>
          <w:rtl/>
        </w:rPr>
        <w:t xml:space="preserve">על פי בחינה של רשות המים בהתבסס על נתוני סקר הקולחים לשנת 2016 100% מהקולחים ששימשו להשקיה באזורים בעלי רגישות הידרולוגית גבוהה לא עמדו בדרישות האיכות; כ-32% מהקולחים ששימשו להשקיה באזורים בעלי רגישות הידרולוגית בינונית לא עמדו בדרישות האיכות. </w:t>
      </w:r>
    </w:p>
    <w:bookmarkEnd w:id="0"/>
    <w:p w:rsidR="00EB672B" w:rsidRPr="00AF3B73" w:rsidP="00EB672B" w14:paraId="1320DBEF" w14:textId="169E5C5C">
      <w:pPr>
        <w:pStyle w:val="7317"/>
        <w:rPr>
          <w:rtl/>
        </w:rPr>
      </w:pPr>
      <w:r w:rsidRPr="00163F05">
        <w:rPr>
          <w:rStyle w:val="7371"/>
          <w:rFonts w:hint="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sidR="00163F05">
        <w:rPr>
          <w:rStyle w:val="7371"/>
          <w:rtl/>
        </w:rPr>
        <w:t>חריגה מתקנות איכות הקולחים -</w:t>
      </w:r>
      <w:r w:rsidRPr="006640EE" w:rsidR="00163F05">
        <w:rPr>
          <w:rtl/>
        </w:rPr>
        <w:t xml:space="preserve"> 18% עד 42% </w:t>
      </w:r>
      <w:r w:rsidRPr="006640EE" w:rsidR="00163F05">
        <w:rPr>
          <w:rtl/>
        </w:rPr>
        <w:t>מהמט"שים</w:t>
      </w:r>
      <w:r w:rsidRPr="006640EE" w:rsidR="00163F05">
        <w:rPr>
          <w:rtl/>
        </w:rPr>
        <w:t xml:space="preserve"> (15 עד 34 </w:t>
      </w:r>
      <w:r w:rsidRPr="006640EE" w:rsidR="00163F05">
        <w:rPr>
          <w:rtl/>
        </w:rPr>
        <w:t>מהמט"שים</w:t>
      </w:r>
      <w:r w:rsidRPr="006640EE" w:rsidR="00163F05">
        <w:rPr>
          <w:rtl/>
        </w:rPr>
        <w:t xml:space="preserve"> הגדולים שדיווחו) חרגו בשנת 2021 בלפחות אחד מערכי היעד בפרמטרים השונים שנקבעו בתקנות איכות הקולחים. יצוין כי חריגות באיכות הקולחים נרשמו </w:t>
      </w:r>
      <w:r w:rsidRPr="006640EE" w:rsidR="00163F05">
        <w:rPr>
          <w:rtl/>
        </w:rPr>
        <w:t>במט"שים</w:t>
      </w:r>
      <w:r w:rsidRPr="006640EE" w:rsidR="00163F05">
        <w:rPr>
          <w:rtl/>
        </w:rPr>
        <w:t xml:space="preserve"> גם בשנים קודמות. כמו כן, מבדיקה מדגמית שערך משרד מבקר המדינה לגבי 30 מפעלי השבה, נמצא כי ל-24 מהם (80%) יש אתר אינטרנט. לגבי 24 המפעלים שיש להם אתר אינטרנט, 16 מהם (כ-67%) דיווחו באתר האינטרנט שלהם על איכות הקולחים במאגרים שבבעלותם. באתר האינטרנט של יתר 8 המפעלים (כ-33%) לא נמצאו נתונים כאמור. ל-6 מ-30 המפעלים שנדגמו (20%) אין אתר אינטרנט. עקב כך החריגות מהתקנות אינן מדווחות לציבור במלואן</w:t>
      </w:r>
      <w:r w:rsidRPr="00AF3B73">
        <w:rPr>
          <w:rFonts w:hint="cs"/>
          <w:rtl/>
        </w:rPr>
        <w:t>.</w:t>
      </w:r>
    </w:p>
    <w:p w:rsidR="00163F05" w:rsidRPr="00163F05" w:rsidP="00163F05" w14:paraId="2006E6F8" w14:textId="3767F4A3">
      <w:pPr>
        <w:pStyle w:val="7317"/>
      </w:pPr>
      <w:r w:rsidRPr="00163F05">
        <w:rPr>
          <w:rStyle w:val="7371"/>
          <w:rFonts w:hint="cs"/>
          <w:bCs w:val="0"/>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Pr>
          <w:rStyle w:val="7371"/>
          <w:rtl/>
        </w:rPr>
        <w:t>תקלות במערכות הביוב וההשבה -</w:t>
      </w:r>
      <w:r w:rsidRPr="00163F05">
        <w:rPr>
          <w:rtl/>
        </w:rPr>
        <w:t xml:space="preserve"> חלק </w:t>
      </w:r>
      <w:r w:rsidRPr="00163F05">
        <w:rPr>
          <w:rtl/>
        </w:rPr>
        <w:t>מההזרמות</w:t>
      </w:r>
      <w:r w:rsidRPr="00163F05">
        <w:rPr>
          <w:rtl/>
        </w:rPr>
        <w:t xml:space="preserve"> של קולחים לסביבה נובעות גם מתקלות. בין היתר נמצא כדלהלן:</w:t>
      </w:r>
    </w:p>
    <w:p w:rsidR="00163F05" w:rsidRPr="00163F05" w:rsidP="0013081A" w14:paraId="43D76DE4" w14:textId="77777777">
      <w:pPr>
        <w:pStyle w:val="7317"/>
        <w:numPr>
          <w:ilvl w:val="0"/>
          <w:numId w:val="10"/>
        </w:numPr>
      </w:pPr>
      <w:r w:rsidRPr="00163F05">
        <w:rPr>
          <w:rtl/>
        </w:rPr>
        <w:t>חלה עלייה של כ-135% במספר התקלות במערכות הביוב והקולחים שדווחו למוקד הסביבה בשנים 2017 עד 2022 (מ-657 תקלות בשנת 2017 ל-1,544 בשנת 2022).</w:t>
      </w:r>
    </w:p>
    <w:p w:rsidR="00163F05" w:rsidRPr="00163F05" w:rsidP="0013081A" w14:paraId="3A9FADB4" w14:textId="77777777">
      <w:pPr>
        <w:pStyle w:val="7317"/>
        <w:numPr>
          <w:ilvl w:val="0"/>
          <w:numId w:val="10"/>
        </w:numPr>
      </w:pPr>
      <w:r w:rsidRPr="00163F05">
        <w:rPr>
          <w:rtl/>
        </w:rPr>
        <w:t xml:space="preserve"> עם זאת, שיעור הודעות הקנס המהוות ברירות משפט בגין זרימת קולחים ושפכים לסביבה הוא כ-4% עד 5% מסך התקלות שנרשמו בכל שנה. לדוגמה, בשנת 2021 שלחה רשות הטבע והגנים רק 60 הודעות קנס מתוך 1,422 תקלות.  </w:t>
      </w:r>
    </w:p>
    <w:p w:rsidR="00EB672B" w:rsidRPr="00163F05" w:rsidP="0013081A" w14:paraId="6EA213E6" w14:textId="4757181F">
      <w:pPr>
        <w:pStyle w:val="7317"/>
        <w:numPr>
          <w:ilvl w:val="0"/>
          <w:numId w:val="10"/>
        </w:numPr>
        <w:rPr>
          <w:rtl/>
        </w:rPr>
      </w:pPr>
      <w:r w:rsidRPr="00163F05">
        <w:rPr>
          <w:rtl/>
        </w:rPr>
        <w:t>משרד מבקר המדינה דגם באופן אקראי 150 תקלות שדווחו למוקד הסביבה בשנת 2022 (כ-10% מסך התקלות בנושא ביוב וקולחים שדווחו למוקד הסביבה באותה השנה), ומצא כי אף תקלה לא דווחה לציבור בזמן אמת.</w:t>
      </w:r>
    </w:p>
    <w:p w:rsidR="00163F05" w:rsidP="00163F05" w14:paraId="7F3AE5CA" w14:textId="240EC01B">
      <w:pPr>
        <w:pStyle w:val="7317"/>
        <w:rPr>
          <w:rtl/>
        </w:rPr>
      </w:pPr>
      <w:r w:rsidRPr="00163F05">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1109825" name="תמונה 13110982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982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Pr>
          <w:rStyle w:val="7371"/>
          <w:rtl/>
        </w:rPr>
        <w:t>השפעה על בריאות הציבור -</w:t>
      </w:r>
      <w:r w:rsidRPr="006640EE">
        <w:rPr>
          <w:rtl/>
        </w:rPr>
        <w:t xml:space="preserve"> במחקרים שנערכו בישראל נמצאו עדויות להימצאות מזהמים שמקורם בתרופות. המזהמים הללו נמצאו בתוצרת תעשייתית וחקלאית ובגידולים חקלאיים שהושקו בקולחים, ובפרט בפירות וירקות. בקרב בני אדם שצרכו תוצרת חקלאית המושקית בקולחים נמצאו עדויות להימצאות ריכוזים נמוכים של מזהמים אלה. הגם שחוקרים מעריכים שלא נשקפת סכנה בריאותית מצריכת תוצרת זו, שכן ריכוז המזהמים שנמצא היה זניח, משרד הבריאות לא ביצע הערכת סיכונים כוללת של השפעות מיקרו-מזהמים על בריאות הציבור על אף ההשקיה הנרחבת של גידולים חקלאיים בקולחים</w:t>
      </w:r>
      <w:r w:rsidRPr="00AF3B73">
        <w:rPr>
          <w:rFonts w:hint="cs"/>
          <w:rtl/>
        </w:rPr>
        <w:t xml:space="preserve">. </w:t>
      </w:r>
    </w:p>
    <w:p w:rsidR="00163F05" w:rsidP="00163F05" w14:paraId="70A4A323" w14:textId="6A550FA6">
      <w:pPr>
        <w:pStyle w:val="7317"/>
        <w:rPr>
          <w:rtl/>
        </w:rPr>
      </w:pPr>
      <w:r w:rsidRPr="00163F05">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45998927" name="תמונה 17459989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989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Pr>
          <w:rStyle w:val="7371"/>
          <w:rtl/>
        </w:rPr>
        <w:t>מט"שים</w:t>
      </w:r>
      <w:r w:rsidRPr="00163F05">
        <w:rPr>
          <w:rStyle w:val="7371"/>
          <w:rtl/>
        </w:rPr>
        <w:t xml:space="preserve"> כחסמי דיור -</w:t>
      </w:r>
      <w:r w:rsidRPr="006640EE">
        <w:rPr>
          <w:rtl/>
        </w:rPr>
        <w:t xml:space="preserve"> מנתוני </w:t>
      </w:r>
      <w:r w:rsidRPr="006640EE">
        <w:rPr>
          <w:rtl/>
        </w:rPr>
        <w:t>רמ"י</w:t>
      </w:r>
      <w:r w:rsidRPr="006640EE">
        <w:rPr>
          <w:rtl/>
        </w:rPr>
        <w:t xml:space="preserve"> עולה כי 4 מ-14 </w:t>
      </w:r>
      <w:r w:rsidRPr="006640EE">
        <w:rPr>
          <w:rtl/>
        </w:rPr>
        <w:t>מט"שים</w:t>
      </w:r>
      <w:r w:rsidRPr="006640EE">
        <w:rPr>
          <w:rtl/>
        </w:rPr>
        <w:t xml:space="preserve"> שנבדקו מטפלים בכמויות שפכים הגדולות מ-90% מספיקת התכן שלהם, ואי אפשר לחבר אליהם את כל יחידות הדיור הנוספות שנדרש לחבר כבר כיום. כל יתר </w:t>
      </w:r>
      <w:r w:rsidRPr="006640EE">
        <w:rPr>
          <w:rtl/>
        </w:rPr>
        <w:t>המט"שים</w:t>
      </w:r>
      <w:r w:rsidRPr="006640EE">
        <w:rPr>
          <w:rtl/>
        </w:rPr>
        <w:t xml:space="preserve"> מטפלים בכמויות שפכים של 65% עד 90% מספיקת התכן שלהם, ואי-הרחבתם תמנע חיבור יחידות דיור אליהם בשנים הקרובות, 2024 - 2028. עד לשנת 2028 עשויים להיבנות כ-116,000 יחידות דיור מתוכננות. אם לא יורחבו </w:t>
      </w:r>
      <w:r w:rsidRPr="006640EE">
        <w:rPr>
          <w:rtl/>
        </w:rPr>
        <w:t>המט"שים</w:t>
      </w:r>
      <w:r w:rsidRPr="006640EE">
        <w:rPr>
          <w:rtl/>
        </w:rPr>
        <w:t xml:space="preserve"> הקיימים או ייבנו </w:t>
      </w:r>
      <w:r w:rsidRPr="006640EE">
        <w:rPr>
          <w:rtl/>
        </w:rPr>
        <w:t>מט"שים</w:t>
      </w:r>
      <w:r w:rsidRPr="006640EE">
        <w:rPr>
          <w:rtl/>
        </w:rPr>
        <w:t xml:space="preserve"> חדשים, קיים סיכון של אי-חיבור יחידות הדיור האלה </w:t>
      </w:r>
      <w:r w:rsidRPr="006640EE">
        <w:rPr>
          <w:rtl/>
        </w:rPr>
        <w:t>למט"ש</w:t>
      </w:r>
      <w:r w:rsidRPr="006640EE">
        <w:rPr>
          <w:rtl/>
        </w:rPr>
        <w:t xml:space="preserve"> כלשהו</w:t>
      </w:r>
      <w:r w:rsidRPr="00AF3B73">
        <w:rPr>
          <w:rFonts w:hint="cs"/>
          <w:rtl/>
        </w:rPr>
        <w:t xml:space="preserve">. </w:t>
      </w:r>
    </w:p>
    <w:p w:rsidR="00163F05" w:rsidP="00163F05" w14:paraId="65351CE5" w14:textId="78B2C19F">
      <w:pPr>
        <w:pStyle w:val="7317"/>
        <w:rPr>
          <w:rtl/>
        </w:rPr>
      </w:pPr>
      <w:r w:rsidRPr="00163F05">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59025714" name="תמונה 165902571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257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Pr>
          <w:rStyle w:val="7371"/>
          <w:rtl/>
        </w:rPr>
        <w:t>היעדר תוכנית אב למים וחקלאות -</w:t>
      </w:r>
      <w:r w:rsidRPr="006640EE">
        <w:rPr>
          <w:rtl/>
        </w:rPr>
        <w:t xml:space="preserve"> במועד סיום הביקורת לא הייתה למשרד החקלאות ולרשות המים תוכנית אב של מים לחקלאות. בהיעדר תוכנית אב מאושרת המשותפת למים ולחקלאות אין בידי רשות המים המידע הנדרש כדי לשקלל את כל צורכי המים הנחוצים לחקלאות וכן את צורכי החקלאות למי קולחים לטווח הארוך</w:t>
      </w:r>
      <w:r w:rsidRPr="00AF3B73">
        <w:rPr>
          <w:rFonts w:hint="cs"/>
          <w:rtl/>
        </w:rPr>
        <w:t xml:space="preserve">. </w:t>
      </w:r>
    </w:p>
    <w:p w:rsidR="00163F05" w:rsidP="00163F05" w14:paraId="33EC100C" w14:textId="5F2C9D8B">
      <w:pPr>
        <w:pStyle w:val="7317"/>
        <w:rPr>
          <w:rtl/>
        </w:rPr>
      </w:pPr>
      <w:r w:rsidRPr="00163F05">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88423043" name="תמונה 208842304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42304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63F05">
        <w:rPr>
          <w:rStyle w:val="7371"/>
          <w:rtl/>
        </w:rPr>
        <w:t>זיהום נחלים משפכי יהודה ושומרון (יו"ש) -</w:t>
      </w:r>
      <w:r w:rsidRPr="006640EE">
        <w:rPr>
          <w:rtl/>
        </w:rPr>
        <w:t xml:space="preserve"> מרבית השפכים בשטחי יו"ש - ביתיים ותעשייתיים - אינם עוברים טיפול נאות להסרת המזהמים, והם מוזרמים לנחלים או לבורות ספיגה. כ-84 </w:t>
      </w:r>
      <w:r w:rsidRPr="006640EE">
        <w:rPr>
          <w:rtl/>
        </w:rPr>
        <w:t>מלמ"ק</w:t>
      </w:r>
      <w:r w:rsidRPr="006640EE">
        <w:rPr>
          <w:rtl/>
        </w:rPr>
        <w:t xml:space="preserve"> מ-124 </w:t>
      </w:r>
      <w:r w:rsidRPr="006640EE">
        <w:rPr>
          <w:rtl/>
        </w:rPr>
        <w:t>מלמ"ק</w:t>
      </w:r>
      <w:r w:rsidRPr="006640EE">
        <w:rPr>
          <w:rtl/>
        </w:rPr>
        <w:t xml:space="preserve"> (כ-68%</w:t>
      </w:r>
      <w:r w:rsidRPr="006640EE">
        <w:t>(</w:t>
      </w:r>
      <w:r w:rsidRPr="006640EE">
        <w:rPr>
          <w:rtl/>
        </w:rPr>
        <w:t xml:space="preserve"> של שפכים שיוצרו ביו"ש בשנת </w:t>
      </w:r>
      <w:r w:rsidRPr="006640EE">
        <w:t>2022</w:t>
      </w:r>
      <w:r w:rsidRPr="006640EE">
        <w:rPr>
          <w:rtl/>
        </w:rPr>
        <w:t xml:space="preserve">, סולקו לנחלים ולסביבה ללא טיפול כלל. ממסמכי רשות המים מדצמבר 2021 עולה כי השפכים של הערים שכם, טול כרם וקלקיליה, השפכים של העיירה בית </w:t>
      </w:r>
      <w:r w:rsidRPr="006640EE">
        <w:rPr>
          <w:rtl/>
        </w:rPr>
        <w:t>ג'אלא</w:t>
      </w:r>
      <w:r w:rsidRPr="006640EE">
        <w:rPr>
          <w:rtl/>
        </w:rPr>
        <w:t xml:space="preserve">, </w:t>
      </w:r>
      <w:bookmarkStart w:id="1" w:name="_Hlk138156452"/>
      <w:r w:rsidRPr="006640EE">
        <w:rPr>
          <w:rtl/>
        </w:rPr>
        <w:t xml:space="preserve">השפכים </w:t>
      </w:r>
      <w:bookmarkEnd w:id="1"/>
      <w:r w:rsidRPr="006640EE">
        <w:rPr>
          <w:rtl/>
        </w:rPr>
        <w:t xml:space="preserve">של מערב בית לחם והשפכים של חלק מרצועת עזה מטופלים במתקנים בישראל ומוזרמים כקולחים להשקיה חקלאית בישראל. עוד עולה ממסמכי רשות המים כי "שפכי הערים חברון, חלחול וג'נין זורמים בנחלים בשטחי הרשות הפלסטינית, חוצים את גדר ההפרדה וזורמים בנחלים בישראל; חלק מהשפכים האלו מטופלים בישראל ומסולקים להשקיה חקלאית". זרימה של שפכים גולמיים ושל קולחים שאינם מטופלים כראוי משטחי יו"ש גורמת לזיהום חמור </w:t>
      </w:r>
      <w:r w:rsidRPr="006640EE">
        <w:rPr>
          <w:rtl/>
        </w:rPr>
        <w:t xml:space="preserve">של מי המעיינות. זיהום כזה עלול לחלחל ולזהם את מי התהום </w:t>
      </w:r>
      <w:r w:rsidRPr="006640EE">
        <w:rPr>
          <w:rtl/>
        </w:rPr>
        <w:t>באקוויפרים</w:t>
      </w:r>
      <w:r w:rsidRPr="006640EE">
        <w:rPr>
          <w:rtl/>
        </w:rPr>
        <w:t xml:space="preserve"> ולהשפיע על איכות מי השתייה</w:t>
      </w:r>
      <w:r w:rsidRPr="00AF3B73">
        <w:rPr>
          <w:rFonts w:hint="cs"/>
          <w:rtl/>
        </w:rPr>
        <w:t xml:space="preserve">. </w:t>
      </w:r>
    </w:p>
    <w:p w:rsidR="00EB672B" w:rsidRPr="000B463F" w:rsidP="00163F05"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531DE587">
      <w:pPr>
        <w:pStyle w:val="7317"/>
        <w:rPr>
          <w:rtl/>
        </w:rPr>
      </w:pPr>
      <w:r w:rsidRPr="00163F05">
        <w:rPr>
          <w:rStyle w:val="7371"/>
          <w:rtl/>
        </w:rPr>
        <w:t>השבת קולחים בישראל -</w:t>
      </w:r>
      <w:r w:rsidRPr="006640EE">
        <w:rPr>
          <w:rtl/>
        </w:rPr>
        <w:t xml:space="preserve"> ישראל היא המדינה המובילה בעולם בשיעור השבת הקולחים וניצולם להשקיה חקלאית, והיא משתמשת ביותר מ-80% מהקולחים</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22532776">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51F3C" w:rsidR="00163F05">
        <w:rPr>
          <w:rtl/>
        </w:rPr>
        <w:t xml:space="preserve">על רשות המים להשלים את הבחינה בנוגע לכלל </w:t>
      </w:r>
      <w:r w:rsidRPr="00251F3C" w:rsidR="00163F05">
        <w:rPr>
          <w:rtl/>
        </w:rPr>
        <w:t>המט"שים</w:t>
      </w:r>
      <w:r w:rsidRPr="00251F3C" w:rsidR="00163F05">
        <w:rPr>
          <w:rtl/>
        </w:rPr>
        <w:t xml:space="preserve"> ולגבש תוכנית מפורטת בשיתוף גורמי התכנון, </w:t>
      </w:r>
      <w:r w:rsidRPr="00251F3C" w:rsidR="00163F05">
        <w:rPr>
          <w:rtl/>
        </w:rPr>
        <w:t>רמ"י</w:t>
      </w:r>
      <w:r w:rsidRPr="00251F3C" w:rsidR="00163F05">
        <w:rPr>
          <w:rtl/>
        </w:rPr>
        <w:t xml:space="preserve"> </w:t>
      </w:r>
      <w:r w:rsidRPr="00251F3C" w:rsidR="00163F05">
        <w:rPr>
          <w:rtl/>
        </w:rPr>
        <w:t>ואג"ת</w:t>
      </w:r>
      <w:r w:rsidRPr="00251F3C" w:rsidR="00163F05">
        <w:rPr>
          <w:rtl/>
        </w:rPr>
        <w:t xml:space="preserve">, בראייה צופה פני עתיד. תוכנית כזאת מומלץ שתכלול סדרי עדיפויות, מתווה להרחבת </w:t>
      </w:r>
      <w:r w:rsidRPr="00251F3C" w:rsidR="00163F05">
        <w:rPr>
          <w:rtl/>
        </w:rPr>
        <w:t>המט"שים</w:t>
      </w:r>
      <w:r w:rsidRPr="00251F3C" w:rsidR="00163F05">
        <w:rPr>
          <w:rtl/>
        </w:rPr>
        <w:t xml:space="preserve"> במקומות הנדרשים ושדרוגם לרמה שלישונית וכן קביעת לוחות זמנים מפורטים לביצוע כל אלה לגבי כל </w:t>
      </w:r>
      <w:r w:rsidRPr="00251F3C" w:rsidR="00163F05">
        <w:rPr>
          <w:rtl/>
        </w:rPr>
        <w:t>מט"ש</w:t>
      </w:r>
      <w:r w:rsidRPr="00251F3C" w:rsidR="00163F05">
        <w:rPr>
          <w:rtl/>
        </w:rPr>
        <w:t xml:space="preserve">. כמו כן, על רשות המים לעקוב אחר יישום תוכניותיה בזמן אמת, כדי שיהיה אפשר לחבר את יחידות הדיור </w:t>
      </w:r>
      <w:r w:rsidRPr="00251F3C" w:rsidR="00163F05">
        <w:rPr>
          <w:rtl/>
        </w:rPr>
        <w:t>למט"שים</w:t>
      </w:r>
      <w:r w:rsidRPr="00251F3C" w:rsidR="00163F05">
        <w:rPr>
          <w:rtl/>
        </w:rPr>
        <w:t xml:space="preserve"> במועד ולמנוע היווצרות חסמים בנושא</w:t>
      </w:r>
      <w:r w:rsidRPr="007C7D40">
        <w:rPr>
          <w:rFonts w:hint="cs"/>
          <w:rtl/>
        </w:rPr>
        <w:t xml:space="preserve">. </w:t>
      </w:r>
    </w:p>
    <w:p w:rsidR="00EB672B" w:rsidRPr="007C7D40" w:rsidP="00EB672B" w14:paraId="723E2ABD" w14:textId="0278820E">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51F3C" w:rsidR="00163F05">
        <w:rPr>
          <w:rtl/>
        </w:rPr>
        <w:t xml:space="preserve">נוכח הצפי לגידול בעודפי הקולחים ובייצור שפכים בשל הגידול באוכלוסייה והגידול בצריכת המים, ונוכח היעדר פתרונות לגבי שימוש במלוא כמות הקולחים, אשר עשויים להיות מסולקים לסביבה ולנחלים - מומלץ כי רשות המים והמשרד </w:t>
      </w:r>
      <w:r w:rsidRPr="00251F3C" w:rsidR="00163F05">
        <w:rPr>
          <w:rtl/>
        </w:rPr>
        <w:t>להג"ס</w:t>
      </w:r>
      <w:r w:rsidRPr="00251F3C" w:rsidR="00163F05">
        <w:rPr>
          <w:rtl/>
        </w:rPr>
        <w:t xml:space="preserve"> יבחנו יחד פתרונות שונים להרחבת השימוש במי קולחים</w:t>
      </w:r>
      <w:r>
        <w:rPr>
          <w:vertAlign w:val="superscript"/>
          <w:rtl/>
        </w:rPr>
        <w:footnoteReference w:id="4"/>
      </w:r>
      <w:r w:rsidRPr="00251F3C" w:rsidR="00163F05">
        <w:rPr>
          <w:rtl/>
        </w:rPr>
        <w:t>, כך שהזרמת השפכים והקולחים לנחלים תצומצם</w:t>
      </w:r>
      <w:r w:rsidRPr="007C7D40">
        <w:rPr>
          <w:rtl/>
        </w:rPr>
        <w:t xml:space="preserve">. </w:t>
      </w:r>
    </w:p>
    <w:p w:rsidR="00EB672B" w:rsidRPr="007C7D40" w:rsidP="00EB672B" w14:paraId="55FA89EC" w14:textId="0D5D9F98">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51F3C" w:rsidR="00163F05">
        <w:rPr>
          <w:rtl/>
        </w:rPr>
        <w:t xml:space="preserve">מומלץ כי המשרד </w:t>
      </w:r>
      <w:r w:rsidRPr="00251F3C" w:rsidR="00163F05">
        <w:rPr>
          <w:rtl/>
        </w:rPr>
        <w:t>להג"ס</w:t>
      </w:r>
      <w:r w:rsidRPr="00251F3C" w:rsidR="00163F05">
        <w:rPr>
          <w:rtl/>
        </w:rPr>
        <w:t xml:space="preserve"> יבחן את הסיבות לעלייה בכמות הדיווחים על תקלות במערכות הביוב והקולחים. כן מומלץ כי המשרד </w:t>
      </w:r>
      <w:r w:rsidRPr="00251F3C" w:rsidR="00163F05">
        <w:rPr>
          <w:rtl/>
        </w:rPr>
        <w:t>להג"ס</w:t>
      </w:r>
      <w:r w:rsidRPr="00251F3C" w:rsidR="00163F05">
        <w:rPr>
          <w:rtl/>
        </w:rPr>
        <w:t xml:space="preserve"> יגבש עם רשות המים צעדים לצמצום אירועים של דליפת שפכים וקולחים לסביבה ולצמצום הנזקים הנגרמים מכך. זאת באמצעות עידוד הקמת תשתיות והרחבתן. נוסף על כך מומלץ כי המשרד </w:t>
      </w:r>
      <w:r w:rsidRPr="00251F3C" w:rsidR="00163F05">
        <w:rPr>
          <w:rtl/>
        </w:rPr>
        <w:t>להג"ס</w:t>
      </w:r>
      <w:r w:rsidRPr="00251F3C" w:rsidR="00163F05">
        <w:rPr>
          <w:rtl/>
        </w:rPr>
        <w:t xml:space="preserve"> יגבש נוהל לפרסום נתונים בזמן אמת בנוגע לתקלות מסוג זה, ויכלול בפרסום נתונים כגון מקום התקלה, על הסכנה הנשקפת ממנה לציבור והנחיות לציבור (למשל, איסור כניסה לאזור המזוהם). עם תיקון התקלה עליו להודיע לציבור על חלוף הסכנה ועל שינויים בהנחיותיו בעניין</w:t>
      </w:r>
      <w:r w:rsidRPr="007C7D40">
        <w:rPr>
          <w:rFonts w:hint="cs"/>
          <w:rtl/>
        </w:rPr>
        <w:t>.</w:t>
      </w:r>
    </w:p>
    <w:p w:rsidR="00EB672B" w:rsidRPr="007C7D40" w:rsidP="00EB672B" w14:paraId="078A06EB" w14:textId="44908D50">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51F3C" w:rsidR="00163F05">
        <w:rPr>
          <w:rtl/>
        </w:rPr>
        <w:t xml:space="preserve">מומלץ כי משרד הבריאות, המשרד </w:t>
      </w:r>
      <w:r w:rsidRPr="00251F3C" w:rsidR="00163F05">
        <w:rPr>
          <w:rtl/>
        </w:rPr>
        <w:t>להג"ס</w:t>
      </w:r>
      <w:r w:rsidRPr="00251F3C" w:rsidR="00163F05">
        <w:rPr>
          <w:rtl/>
        </w:rPr>
        <w:t xml:space="preserve">, רשות המים תוך התייעצות עם גורמים מהאקדמיה ימשיכו לחקור יחד את ההשלכות הבריאותיות והסביבתיות של השקיה בקולחים, ובהן ההשלכות של חשיפה מתמשכת לשאריות תרופות והשפעות צולבות בין תרופות. מומלץ כי הם יערכו סקר סיכונים מקיף ויעדכנו אותו מפעם לפעם בהתאם למידע </w:t>
      </w:r>
      <w:r w:rsidRPr="00251F3C" w:rsidR="00163F05">
        <w:rPr>
          <w:rtl/>
        </w:rPr>
        <w:t xml:space="preserve">המתעדכן בתחום. עוד מומלץ שהם יפרסמו את המלצותיהם לציבור, ינקטו את הפעולות הנחוצות לצמצום הסיכון ויפעלו </w:t>
      </w:r>
      <w:r w:rsidRPr="00251F3C" w:rsidR="00163F05">
        <w:rPr>
          <w:rtl/>
        </w:rPr>
        <w:t>לאסדרת</w:t>
      </w:r>
      <w:r w:rsidRPr="00251F3C" w:rsidR="00163F05">
        <w:rPr>
          <w:rtl/>
        </w:rPr>
        <w:t xml:space="preserve"> נושא זה ככל שיידרש</w:t>
      </w:r>
      <w:r w:rsidRPr="007C7D40">
        <w:rPr>
          <w:rFonts w:hint="cs"/>
          <w:rtl/>
        </w:rPr>
        <w:t>.</w:t>
      </w:r>
    </w:p>
    <w:p w:rsidR="00EB672B" w:rsidRPr="007C7D40" w:rsidP="00EB672B" w14:paraId="5538133A" w14:textId="4267C653">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51F3C" w:rsidR="00163F05">
        <w:rPr>
          <w:rtl/>
        </w:rPr>
        <w:t>מומלץ כי רשות המים תגבש תוכנית ארוכת טווח לפיתוח משק הקולחים, בשיתוף פעולה עם משרד החקלאות. זאת בהסתמך על צורכי החקלאות כפי שנקבעו</w:t>
      </w:r>
      <w:r w:rsidRPr="00396DF4" w:rsidR="00163F05">
        <w:rPr>
          <w:sz w:val="19"/>
          <w:szCs w:val="19"/>
          <w:rtl/>
        </w:rPr>
        <w:t xml:space="preserve"> במדיניות משרד החקלאות ובכפוף לבחינת חלופות וניתוח הכדאיות הכלכלית שלהן</w:t>
      </w:r>
      <w:r w:rsidRPr="007C7D40">
        <w:rPr>
          <w:rFonts w:hint="cs"/>
          <w:rtl/>
        </w:rPr>
        <w:t>.</w:t>
      </w:r>
    </w:p>
    <w:p w:rsidR="00571424" w:rsidP="00662020" w14:paraId="3414BBAA" w14:textId="75A463DC">
      <w:pPr>
        <w:pStyle w:val="738"/>
        <w:spacing w:before="0" w:after="0"/>
        <w:rPr>
          <w:rtl/>
        </w:rPr>
      </w:pPr>
      <w:r w:rsidRPr="00DC1D24">
        <w:rPr>
          <w:noProof/>
          <w:rtl/>
        </w:rPr>
        <mc:AlternateContent>
          <mc:Choice Requires="wpg">
            <w:drawing>
              <wp:anchor distT="0" distB="0" distL="114300" distR="114300" simplePos="0" relativeHeight="251677696" behindDoc="0" locked="0" layoutInCell="1" allowOverlap="1">
                <wp:simplePos x="0" y="0"/>
                <wp:positionH relativeFrom="margin">
                  <wp:posOffset>-101600</wp:posOffset>
                </wp:positionH>
                <wp:positionV relativeFrom="paragraph">
                  <wp:posOffset>166370</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101910" y="266506"/>
                            <a:ext cx="4528860" cy="347646"/>
                          </a:xfrm>
                          <a:prstGeom prst="rect">
                            <a:avLst/>
                          </a:prstGeom>
                          <a:solidFill>
                            <a:srgbClr val="F05260"/>
                          </a:solidFill>
                          <a:ln w="9525">
                            <a:noFill/>
                            <a:miter lim="800000"/>
                            <a:headEnd/>
                            <a:tailEnd/>
                          </a:ln>
                        </wps:spPr>
                        <wps:txbx>
                          <w:txbxContent>
                            <w:p w:rsidR="00571424" w:rsidRPr="00571424" w:rsidP="00571424" w14:textId="1E7BEF7A">
                              <w:pPr>
                                <w:pStyle w:val="7332"/>
                                <w:rPr>
                                  <w:rtl/>
                                </w:rPr>
                              </w:pPr>
                              <w:r w:rsidRPr="00571424">
                                <w:rPr>
                                  <w:rtl/>
                                </w:rPr>
                                <w:t xml:space="preserve">שיעור הקולחים המטוהרים לרמה שלישונית במדינות </w:t>
                              </w:r>
                              <w:r w:rsidR="00D471FF">
                                <w:rPr>
                                  <w:rtl/>
                                </w:rPr>
                                <w:br/>
                              </w:r>
                              <w:r w:rsidRPr="00571424">
                                <w:rPr>
                                  <w:rtl/>
                                </w:rPr>
                                <w:t>ה</w:t>
                              </w:r>
                              <w:r w:rsidR="00D471FF">
                                <w:rPr>
                                  <w:rFonts w:hint="cs"/>
                                  <w:rtl/>
                                </w:rPr>
                                <w:t>-</w:t>
                              </w:r>
                              <w:r w:rsidRPr="00571424" w:rsidR="00D471FF">
                                <w:t>OECD</w:t>
                              </w:r>
                              <w:r w:rsidR="00D471FF">
                                <w:rPr>
                                  <w:rFonts w:hint="cs"/>
                                  <w:rtl/>
                                </w:rPr>
                                <w:t xml:space="preserve">, </w:t>
                              </w:r>
                              <w:r w:rsidRPr="00571424">
                                <w:t>2020</w:t>
                              </w:r>
                            </w:p>
                            <w:p w:rsidR="000B31AA" w:rsidRPr="00524400" w:rsidP="00524400" w14:textId="17A48B2D">
                              <w:pPr>
                                <w:pStyle w:val="7332"/>
                              </w:pPr>
                              <w:r>
                                <w:rPr>
                                  <w:rtl/>
                                </w:rPr>
                                <w:softHyphen/>
                              </w:r>
                              <w:r>
                                <w:rPr>
                                  <w:rtl/>
                                </w:rPr>
                                <w:softHyphen/>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4" alt="&quot;&quot;" style="width:377pt;height:60.4pt;margin-top:13.1pt;margin-left:-8pt;mso-height-relative:margin;mso-position-horizontal-relative:margin;mso-width-relative:margin;position:absolute;z-index:251678720"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5" type="#_x0000_t75" style="width:47879;height:6148;mso-wrap-style:square;position:absolute;top:1815;visibility:visible">
                  <v:imagedata r:id="rId27" o:title=""/>
                </v:shape>
                <v:shape id="_x0000_s1036" type="#_x0000_t202" style="width:45288;height:3476;left:1019;mso-wrap-style:square;position:absolute;top:2665;visibility:visible;v-text-anchor:middle" fillcolor="#f05260" stroked="f">
                  <v:textbox>
                    <w:txbxContent>
                      <w:p w:rsidR="00571424" w:rsidRPr="00571424" w:rsidP="00571424" w14:paraId="4F809900" w14:textId="1E7BEF7A">
                        <w:pPr>
                          <w:pStyle w:val="7332"/>
                          <w:rPr>
                            <w:rtl/>
                          </w:rPr>
                        </w:pPr>
                        <w:r w:rsidRPr="00571424">
                          <w:rPr>
                            <w:rtl/>
                          </w:rPr>
                          <w:t xml:space="preserve">שיעור הקולחים המטוהרים לרמה שלישונית במדינות </w:t>
                        </w:r>
                        <w:r w:rsidR="00D471FF">
                          <w:rPr>
                            <w:rtl/>
                          </w:rPr>
                          <w:br/>
                        </w:r>
                        <w:r w:rsidRPr="00571424">
                          <w:rPr>
                            <w:rtl/>
                          </w:rPr>
                          <w:t>ה</w:t>
                        </w:r>
                        <w:r w:rsidR="00D471FF">
                          <w:rPr>
                            <w:rFonts w:hint="cs"/>
                            <w:rtl/>
                          </w:rPr>
                          <w:t>-</w:t>
                        </w:r>
                        <w:r w:rsidRPr="00571424" w:rsidR="00D471FF">
                          <w:t>OECD</w:t>
                        </w:r>
                        <w:r w:rsidR="00D471FF">
                          <w:rPr>
                            <w:rFonts w:hint="cs"/>
                            <w:rtl/>
                          </w:rPr>
                          <w:t xml:space="preserve">, </w:t>
                        </w:r>
                        <w:r w:rsidRPr="00571424">
                          <w:t>2020</w:t>
                        </w:r>
                      </w:p>
                      <w:p w:rsidR="000B31AA" w:rsidRPr="00524400" w:rsidP="00524400" w14:paraId="64B50804" w14:textId="17A48B2D">
                        <w:pPr>
                          <w:pStyle w:val="7332"/>
                        </w:pPr>
                        <w:r>
                          <w:rPr>
                            <w:rtl/>
                          </w:rPr>
                          <w:softHyphen/>
                        </w:r>
                        <w:r>
                          <w:rPr>
                            <w:rtl/>
                          </w:rPr>
                          <w:softHyphen/>
                        </w:r>
                      </w:p>
                    </w:txbxContent>
                  </v:textbox>
                </v:shape>
                <w10:wrap type="square"/>
              </v:group>
            </w:pict>
          </mc:Fallback>
        </mc:AlternateContent>
      </w:r>
    </w:p>
    <w:p w:rsidR="000B31AA" w:rsidRPr="000B31AA" w:rsidP="00662020" w14:paraId="1001632A" w14:textId="492A44F6">
      <w:pPr>
        <w:pStyle w:val="738"/>
        <w:spacing w:before="0" w:after="0"/>
        <w:rPr>
          <w:rtl/>
        </w:rPr>
      </w:pPr>
    </w:p>
    <w:p w:rsidR="000B31AA" w:rsidP="00571424" w14:paraId="5C1AE375" w14:textId="61CDE0B5">
      <w:pPr>
        <w:rPr>
          <w:rtl/>
        </w:rPr>
      </w:pPr>
      <w:r>
        <w:rPr>
          <w:noProof/>
          <w:rtl/>
          <w:lang w:val="he-IL"/>
        </w:rPr>
        <w:drawing>
          <wp:inline distT="0" distB="0" distL="0" distR="0">
            <wp:extent cx="4679315" cy="2787445"/>
            <wp:effectExtent l="0" t="0" r="0" b="0"/>
            <wp:docPr id="1410969364" name="תמונה 141096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69364" name="תמונה 1410969364"/>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694172" cy="2796295"/>
                    </a:xfrm>
                    <a:prstGeom prst="rect">
                      <a:avLst/>
                    </a:prstGeom>
                  </pic:spPr>
                </pic:pic>
              </a:graphicData>
            </a:graphic>
          </wp:inline>
        </w:drawing>
      </w:r>
    </w:p>
    <w:p w:rsidR="00571424" w:rsidRPr="00571424" w:rsidP="00571424" w14:paraId="11D21A8D" w14:textId="1C222AD2">
      <w:pPr>
        <w:pStyle w:val="738"/>
        <w:rPr>
          <w:rtl/>
        </w:rPr>
      </w:pPr>
      <w:r w:rsidRPr="00396DF4">
        <w:rPr>
          <w:rtl/>
        </w:rPr>
        <w:t>על פי אתר האינטרנט של ה-</w:t>
      </w:r>
      <w:r w:rsidRPr="00396DF4">
        <w:t>OECD</w:t>
      </w:r>
      <w:r w:rsidRPr="00396DF4">
        <w:rPr>
          <w:rtl/>
        </w:rPr>
        <w:t>, בעיבוד משרד מבקר המדינה</w:t>
      </w:r>
      <w:r w:rsidRPr="00D57BE9">
        <w:rPr>
          <w:rFonts w:hint="cs"/>
          <w:rtl/>
        </w:rPr>
        <w:t>.</w:t>
      </w:r>
    </w:p>
    <w:p w:rsidR="00571424" w14:paraId="6AF3E047"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E71DD" w:rsidP="004E71DD" w14:paraId="7C33D7DD" w14:textId="599602BD">
      <w:pPr>
        <w:pStyle w:val="73"/>
        <w:rPr>
          <w:rtl/>
        </w:rPr>
      </w:pPr>
      <w:r w:rsidRPr="00EF3061">
        <w:rPr>
          <w:rFonts w:hint="cs"/>
          <w:rtl/>
        </w:rPr>
        <w:t>סיכום</w:t>
      </w:r>
    </w:p>
    <w:p w:rsidR="00571424" w:rsidRPr="00251F3C" w:rsidP="00571424" w14:paraId="7FC2209C" w14:textId="77777777">
      <w:pPr>
        <w:widowControl w:val="0"/>
        <w:tabs>
          <w:tab w:val="left" w:pos="9604"/>
        </w:tabs>
        <w:spacing w:before="240" w:line="276" w:lineRule="auto"/>
        <w:ind w:left="-1"/>
        <w:rPr>
          <w:rFonts w:ascii="Tahoma" w:hAnsi="Tahoma" w:cs="Tahoma"/>
          <w:sz w:val="18"/>
          <w:szCs w:val="18"/>
          <w:rtl/>
        </w:rPr>
      </w:pPr>
      <w:r w:rsidRPr="00251F3C">
        <w:rPr>
          <w:rFonts w:ascii="Tahoma" w:hAnsi="Tahoma" w:cs="Tahoma"/>
          <w:sz w:val="18"/>
          <w:szCs w:val="18"/>
          <w:rtl/>
        </w:rPr>
        <w:t>בעשורים האחרונים קיימת בישראל עלייה בכמות השפכים המטופלים והמושבים להשקיה חקלאית ולשימושים נוספים. זאת בין היתר בשל הגידול</w:t>
      </w:r>
      <w:r w:rsidRPr="00251F3C">
        <w:rPr>
          <w:rFonts w:ascii="Tahoma" w:hAnsi="Tahoma" w:cs="Tahoma"/>
          <w:sz w:val="18"/>
          <w:szCs w:val="18"/>
        </w:rPr>
        <w:t xml:space="preserve"> </w:t>
      </w:r>
      <w:r w:rsidRPr="00251F3C">
        <w:rPr>
          <w:rFonts w:ascii="Tahoma" w:hAnsi="Tahoma" w:cs="Tahoma"/>
          <w:sz w:val="18"/>
          <w:szCs w:val="18"/>
          <w:rtl/>
        </w:rPr>
        <w:t>באוכלוסייה</w:t>
      </w:r>
      <w:r w:rsidRPr="00251F3C">
        <w:rPr>
          <w:rFonts w:ascii="Tahoma" w:hAnsi="Tahoma" w:cs="Tahoma"/>
          <w:sz w:val="18"/>
          <w:szCs w:val="18"/>
        </w:rPr>
        <w:t xml:space="preserve"> </w:t>
      </w:r>
      <w:r w:rsidRPr="00251F3C">
        <w:rPr>
          <w:rFonts w:ascii="Tahoma" w:hAnsi="Tahoma" w:cs="Tahoma"/>
          <w:sz w:val="18"/>
          <w:szCs w:val="18"/>
          <w:rtl/>
        </w:rPr>
        <w:t>והגידול בצריכת המים</w:t>
      </w:r>
      <w:r w:rsidRPr="00251F3C">
        <w:rPr>
          <w:rFonts w:ascii="Tahoma" w:hAnsi="Tahoma" w:cs="Tahoma"/>
          <w:sz w:val="18"/>
          <w:szCs w:val="18"/>
        </w:rPr>
        <w:t xml:space="preserve"> </w:t>
      </w:r>
      <w:r w:rsidRPr="00251F3C">
        <w:rPr>
          <w:rFonts w:ascii="Tahoma" w:hAnsi="Tahoma" w:cs="Tahoma"/>
          <w:sz w:val="18"/>
          <w:szCs w:val="18"/>
          <w:rtl/>
        </w:rPr>
        <w:t>הנגזר ממנה, דבר</w:t>
      </w:r>
      <w:r w:rsidRPr="00251F3C">
        <w:rPr>
          <w:rFonts w:ascii="Tahoma" w:hAnsi="Tahoma" w:cs="Tahoma"/>
          <w:sz w:val="18"/>
          <w:szCs w:val="18"/>
        </w:rPr>
        <w:t xml:space="preserve"> </w:t>
      </w:r>
      <w:r w:rsidRPr="00251F3C">
        <w:rPr>
          <w:rFonts w:ascii="Tahoma" w:hAnsi="Tahoma" w:cs="Tahoma"/>
          <w:sz w:val="18"/>
          <w:szCs w:val="18"/>
          <w:rtl/>
        </w:rPr>
        <w:t>שמגדיל את</w:t>
      </w:r>
      <w:r w:rsidRPr="00251F3C">
        <w:rPr>
          <w:rFonts w:ascii="Tahoma" w:hAnsi="Tahoma" w:cs="Tahoma"/>
          <w:sz w:val="18"/>
          <w:szCs w:val="18"/>
        </w:rPr>
        <w:t xml:space="preserve"> </w:t>
      </w:r>
      <w:r w:rsidRPr="00251F3C">
        <w:rPr>
          <w:rFonts w:ascii="Tahoma" w:hAnsi="Tahoma" w:cs="Tahoma"/>
          <w:sz w:val="18"/>
          <w:szCs w:val="18"/>
          <w:rtl/>
        </w:rPr>
        <w:t>כמות</w:t>
      </w:r>
      <w:r w:rsidRPr="00251F3C">
        <w:rPr>
          <w:rFonts w:ascii="Tahoma" w:hAnsi="Tahoma" w:cs="Tahoma"/>
          <w:sz w:val="18"/>
          <w:szCs w:val="18"/>
        </w:rPr>
        <w:t xml:space="preserve"> </w:t>
      </w:r>
      <w:r w:rsidRPr="00251F3C">
        <w:rPr>
          <w:rFonts w:ascii="Tahoma" w:hAnsi="Tahoma" w:cs="Tahoma"/>
          <w:sz w:val="18"/>
          <w:szCs w:val="18"/>
          <w:rtl/>
        </w:rPr>
        <w:t xml:space="preserve">השפכים הנוצרים. הממצאים המפורטים בדוח זה מלמדים על כך שמרבית השפכים מטופלים </w:t>
      </w:r>
      <w:r w:rsidRPr="00251F3C">
        <w:rPr>
          <w:rFonts w:ascii="Tahoma" w:hAnsi="Tahoma" w:cs="Tahoma"/>
          <w:sz w:val="18"/>
          <w:szCs w:val="18"/>
          <w:rtl/>
        </w:rPr>
        <w:t>במט"שים</w:t>
      </w:r>
      <w:r w:rsidRPr="00251F3C">
        <w:rPr>
          <w:rFonts w:ascii="Tahoma" w:hAnsi="Tahoma" w:cs="Tahoma"/>
          <w:sz w:val="18"/>
          <w:szCs w:val="18"/>
          <w:rtl/>
        </w:rPr>
        <w:t xml:space="preserve"> שהגיעו למיצוי יכולת הטיפול שלהם. כמו כן, כשליש מכמות הקולחים המיוצרת אינה עומדת בתקנות</w:t>
      </w:r>
      <w:r w:rsidRPr="00251F3C">
        <w:rPr>
          <w:rFonts w:ascii="Tahoma" w:hAnsi="Tahoma" w:cs="Tahoma"/>
          <w:sz w:val="18"/>
          <w:szCs w:val="18"/>
        </w:rPr>
        <w:t xml:space="preserve"> </w:t>
      </w:r>
      <w:r w:rsidRPr="00251F3C">
        <w:rPr>
          <w:rFonts w:ascii="Tahoma" w:hAnsi="Tahoma" w:cs="Tahoma"/>
          <w:sz w:val="18"/>
          <w:szCs w:val="18"/>
          <w:rtl/>
        </w:rPr>
        <w:t xml:space="preserve">האיכות הנדרשות, קולחים אלה משמשים להשקיה באזורים רגישים ומהווים פוטנציאל סכנה לסביבה ולבריאות הציבור. הגידול בכמויות השפכים לצד פיתוח איטי של תשתיות טיהור השפכים הנדרשות הביאו לכך שקולחים מוזרמים לנחלים ללא טיפול נאות ובניגוד לתקנות האיכות וגורמים למפגעים סביבתיים ותברואתיים. עוד עלה כי בשנים האחרונות ניכרת עלייה בכמות התקלות במשק הביוב והקולחים שאף אינן מדווחות לציבור. </w:t>
      </w:r>
    </w:p>
    <w:p w:rsidR="00571424" w:rsidRPr="00251F3C" w:rsidP="00571424" w14:paraId="5569FE53" w14:textId="77777777">
      <w:pPr>
        <w:widowControl w:val="0"/>
        <w:tabs>
          <w:tab w:val="left" w:pos="9604"/>
        </w:tabs>
        <w:spacing w:before="240" w:line="276" w:lineRule="auto"/>
        <w:ind w:left="-1"/>
        <w:rPr>
          <w:rFonts w:ascii="Tahoma" w:hAnsi="Tahoma" w:cs="Tahoma"/>
          <w:sz w:val="18"/>
          <w:szCs w:val="18"/>
          <w:rtl/>
        </w:rPr>
      </w:pPr>
      <w:r w:rsidRPr="00251F3C">
        <w:rPr>
          <w:rFonts w:ascii="Tahoma" w:hAnsi="Tahoma" w:cs="Tahoma"/>
          <w:sz w:val="18"/>
          <w:szCs w:val="18"/>
          <w:rtl/>
        </w:rPr>
        <w:t xml:space="preserve">השימוש הגובר במי קולחים להשקיה חקלאית מחייב הקפדה על איכותם, והידוק הפיקוח והבקרה על תהליכי הטיפול ועל השימוש במים אלה. על רשות המים, משרד הבריאות והמשרד להגנת הסביבה לפעול יחד ליישום מלא של תקנות איכות הקולחים ולהביא לשדרוג כלל </w:t>
      </w:r>
      <w:r w:rsidRPr="00251F3C">
        <w:rPr>
          <w:rFonts w:ascii="Tahoma" w:hAnsi="Tahoma" w:cs="Tahoma"/>
          <w:sz w:val="18"/>
          <w:szCs w:val="18"/>
          <w:rtl/>
        </w:rPr>
        <w:t>המט"שים</w:t>
      </w:r>
      <w:r w:rsidRPr="00251F3C">
        <w:rPr>
          <w:rFonts w:ascii="Tahoma" w:hAnsi="Tahoma" w:cs="Tahoma"/>
          <w:sz w:val="18"/>
          <w:szCs w:val="18"/>
          <w:rtl/>
        </w:rPr>
        <w:t xml:space="preserve"> לרמה הנדרשת. כן עליהם להקפיד על שמירה על איכות הקולחים בכל המקטעים, החל מהפקתם ועד לשימוש בהם בידי החקלאים. כמו כן, על רשות המים, משרד הבריאות, המשרד </w:t>
      </w:r>
      <w:r w:rsidRPr="00251F3C">
        <w:rPr>
          <w:rFonts w:ascii="Tahoma" w:hAnsi="Tahoma" w:cs="Tahoma"/>
          <w:sz w:val="18"/>
          <w:szCs w:val="18"/>
          <w:rtl/>
        </w:rPr>
        <w:t>להג"ס</w:t>
      </w:r>
      <w:r w:rsidRPr="00251F3C">
        <w:rPr>
          <w:rFonts w:ascii="Tahoma" w:hAnsi="Tahoma" w:cs="Tahoma"/>
          <w:sz w:val="18"/>
          <w:szCs w:val="18"/>
          <w:rtl/>
        </w:rPr>
        <w:t>, משרד האוצר ומשרד החקלאות לשלב זרועות לשם תכנון יעיל ומיטבי של משק הקולחים, אשר יביא לניצול מרבי של הקולחים ויבטיח שימוש בטוח בהם, בד בבד עם מזעור הסיכונים הבריאותיים והסביבתיים שעלולים לנבוע מהם.</w:t>
      </w:r>
    </w:p>
    <w:p w:rsidR="00571424" w:rsidRPr="00251F3C" w:rsidP="00571424" w14:paraId="5E4EA784" w14:textId="77777777">
      <w:pPr>
        <w:widowControl w:val="0"/>
        <w:tabs>
          <w:tab w:val="left" w:pos="9604"/>
        </w:tabs>
        <w:spacing w:before="240" w:line="276" w:lineRule="auto"/>
        <w:ind w:left="-1"/>
        <w:rPr>
          <w:rFonts w:ascii="Tahoma" w:hAnsi="Tahoma" w:cs="Tahoma"/>
          <w:sz w:val="18"/>
          <w:szCs w:val="18"/>
        </w:rPr>
      </w:pPr>
    </w:p>
    <w:p w:rsidR="00E56721" w:rsidRPr="00571424" w:rsidP="004E71DD" w14:paraId="1B37DAFD" w14:textId="77777777">
      <w:pPr>
        <w:widowControl w:val="0"/>
        <w:tabs>
          <w:tab w:val="left" w:pos="9604"/>
        </w:tabs>
        <w:spacing w:before="240" w:line="276" w:lineRule="auto"/>
        <w:ind w:left="-1"/>
        <w:rPr>
          <w:rFonts w:ascii="Tahoma" w:hAnsi="Tahoma" w:cs="Tahoma"/>
          <w:sz w:val="18"/>
          <w:szCs w:val="18"/>
          <w:rtl/>
        </w:rPr>
        <w:sectPr w:rsidSect="002A0BE9">
          <w:headerReference w:type="even" r:id="rId29"/>
          <w:footerReference w:type="even" r:id="rId30"/>
          <w:pgSz w:w="11906" w:h="16838" w:code="9"/>
          <w:pgMar w:top="3062" w:right="2268" w:bottom="2552" w:left="2268" w:header="1134" w:footer="1361" w:gutter="0"/>
          <w:pgNumType w:start="185"/>
          <w:cols w:space="708"/>
          <w:bidi/>
          <w:rtlGutter/>
          <w:docGrid w:linePitch="360"/>
        </w:sectPr>
      </w:pPr>
    </w:p>
    <w:p w:rsidR="00D57BE9" w:rsidP="002A0BE9" w14:paraId="3D558F60" w14:textId="57BFF13A">
      <w:pPr>
        <w:pStyle w:val="731"/>
        <w:bidi/>
        <w:rPr>
          <w:rtl/>
        </w:rPr>
      </w:pPr>
    </w:p>
    <w:sectPr w:rsidSect="00F35B8C">
      <w:headerReference w:type="default"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E7608" w14:paraId="6F890099" w14:textId="77777777">
      <w:pPr>
        <w:spacing w:line="240" w:lineRule="auto"/>
      </w:pPr>
      <w:r>
        <w:separator/>
      </w:r>
    </w:p>
    <w:p w:rsidR="003E7608" w14:paraId="75E8F174" w14:textId="77777777"/>
    <w:p w:rsidR="003E7608" w14:paraId="0483E35C" w14:textId="77777777"/>
    <w:p w:rsidR="003E7608" w14:paraId="52B5E968" w14:textId="77777777"/>
  </w:endnote>
  <w:endnote w:type="continuationSeparator" w:id="1">
    <w:p w:rsidR="003E7608" w14:paraId="43D9F1C4" w14:textId="77777777">
      <w:pPr>
        <w:spacing w:line="240" w:lineRule="auto"/>
      </w:pPr>
      <w:r>
        <w:continuationSeparator/>
      </w:r>
    </w:p>
    <w:p w:rsidR="003E7608" w14:paraId="1B1CD2B5" w14:textId="77777777"/>
    <w:p w:rsidR="003E7608" w14:paraId="3BCC2FD0" w14:textId="77777777"/>
    <w:p w:rsidR="003E7608" w14:paraId="235312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36" w14:paraId="1DC60E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A36" w14:paraId="22EE646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7608" w:rsidP="00E7235E" w14:paraId="60F407DA" w14:textId="77777777">
      <w:pPr>
        <w:spacing w:line="240" w:lineRule="auto"/>
      </w:pPr>
      <w:r>
        <w:separator/>
      </w:r>
    </w:p>
  </w:footnote>
  <w:footnote w:type="continuationSeparator" w:id="1">
    <w:p w:rsidR="003E7608" w:rsidP="00C23CC9" w14:paraId="3FCEE749" w14:textId="77777777">
      <w:pPr>
        <w:spacing w:line="240" w:lineRule="auto"/>
      </w:pPr>
      <w:r>
        <w:continuationSeparator/>
      </w:r>
    </w:p>
    <w:p w:rsidR="003E7608" w14:paraId="7F8BA851" w14:textId="77777777"/>
    <w:p w:rsidR="003E7608" w14:paraId="2BC53299" w14:textId="77777777"/>
    <w:p w:rsidR="003E7608" w14:paraId="4732E522" w14:textId="77777777"/>
  </w:footnote>
  <w:footnote w:id="2">
    <w:p w:rsidR="00163F05" w:rsidRPr="00163F05" w:rsidP="00DA7750" w14:paraId="3698A47D" w14:textId="77777777">
      <w:pPr>
        <w:pStyle w:val="733"/>
      </w:pPr>
      <w:r w:rsidRPr="00163F05">
        <w:rPr>
          <w:rStyle w:val="FootnoteReference2"/>
          <w:vertAlign w:val="baseline"/>
        </w:rPr>
        <w:footnoteRef/>
      </w:r>
      <w:r w:rsidRPr="00163F05">
        <w:rPr>
          <w:rtl/>
        </w:rPr>
        <w:t xml:space="preserve"> </w:t>
      </w:r>
      <w:r w:rsidRPr="00163F05">
        <w:rPr>
          <w:rtl/>
        </w:rPr>
        <w:tab/>
        <w:t>בדוח זה ייעשה שימוש בצורה "קולחים"</w:t>
      </w:r>
      <w:r w:rsidRPr="00163F05">
        <w:rPr>
          <w:rFonts w:hint="cs"/>
          <w:rtl/>
        </w:rPr>
        <w:t>, ב</w:t>
      </w:r>
      <w:r w:rsidRPr="00163F05">
        <w:rPr>
          <w:rtl/>
        </w:rPr>
        <w:t>שונה מהחקיקה בנושא, שבה נעשה שימוש בצורה "קולחין"</w:t>
      </w:r>
      <w:r w:rsidRPr="00163F05">
        <w:rPr>
          <w:rFonts w:hint="cs"/>
          <w:rtl/>
        </w:rPr>
        <w:t xml:space="preserve">. שתי הצורות </w:t>
      </w:r>
      <w:r w:rsidRPr="00163F05">
        <w:rPr>
          <w:rtl/>
        </w:rPr>
        <w:t>"קולחין" וקולחים", נכונות.</w:t>
      </w:r>
    </w:p>
  </w:footnote>
  <w:footnote w:id="3">
    <w:p w:rsidR="00163F05" w:rsidP="00DA7750" w14:paraId="0D0DF6CB" w14:textId="32054286">
      <w:pPr>
        <w:pStyle w:val="733"/>
      </w:pPr>
      <w:r w:rsidRPr="00163F05">
        <w:rPr>
          <w:rStyle w:val="FootnoteReference2"/>
          <w:vertAlign w:val="baseline"/>
        </w:rPr>
        <w:footnoteRef/>
      </w:r>
      <w:r w:rsidRPr="00163F05">
        <w:rPr>
          <w:rtl/>
        </w:rPr>
        <w:t xml:space="preserve"> </w:t>
      </w:r>
      <w:r w:rsidRPr="00163F05">
        <w:rPr>
          <w:rtl/>
        </w:rPr>
        <w:tab/>
      </w:r>
      <w:r w:rsidRPr="00163F05">
        <w:rPr>
          <w:rFonts w:hint="cs"/>
          <w:rtl/>
        </w:rPr>
        <w:t>לצידם פועלת חברת מקורות, שעד שנת 2019 היו בבעלותה מפעלים שטיפלו בכ-40% מהמשק. ואולם בהתאם להחלטת הממשלה 4514 מ-24.2.19 בדבר "יצירת תשתית להגדלת היקף הפיתוח במשק המים לשם התמודדות עם תקופות בצורת מתמשכות ותיקון החלטות ממשלה", הועברו כמה מפעלים מחברת מקורות ליזמים פרטיים.</w:t>
      </w:r>
      <w:r>
        <w:rPr>
          <w:rFonts w:hint="cs"/>
          <w:rtl/>
        </w:rPr>
        <w:t xml:space="preserve"> </w:t>
      </w:r>
    </w:p>
  </w:footnote>
  <w:footnote w:id="4">
    <w:p w:rsidR="00163F05" w:rsidRPr="00163F05" w:rsidP="00DA7750" w14:paraId="6421F4A7" w14:textId="77777777">
      <w:pPr>
        <w:pStyle w:val="733"/>
        <w:rPr>
          <w:rtl/>
        </w:rPr>
      </w:pPr>
      <w:r w:rsidRPr="00163F05">
        <w:rPr>
          <w:rStyle w:val="FootnoteReference2"/>
          <w:vertAlign w:val="baseline"/>
        </w:rPr>
        <w:footnoteRef/>
      </w:r>
      <w:r w:rsidRPr="00163F05">
        <w:rPr>
          <w:rtl/>
        </w:rPr>
        <w:t xml:space="preserve"> </w:t>
      </w:r>
      <w:r w:rsidRPr="00163F05">
        <w:rPr>
          <w:rtl/>
        </w:rPr>
        <w:tab/>
        <w:t xml:space="preserve">כגון הרחבת השימושים לתעשייה ולגינון ציבורי, התפלת מי הקולחים ושימוש בהם במקום </w:t>
      </w:r>
      <w:r w:rsidRPr="00163F05">
        <w:rPr>
          <w:rFonts w:hint="cs"/>
          <w:rtl/>
        </w:rPr>
        <w:t>ב</w:t>
      </w:r>
      <w:r w:rsidRPr="00163F05">
        <w:rPr>
          <w:rtl/>
        </w:rPr>
        <w:t>מים שפירים, כנהוג בחלק ממדינות אירופה, או שימוש במי קולחים מטוהרים באיכות הנדרשת לשיקום נחלים. את החלופות יש לבחון בשים לב לכדאיות כלכלית ולישימות וכנדרש בתקנות.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163F05" w14:textId="592A887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163F05" w:rsidR="00163F05">
                            <w:rPr>
                              <w:rFonts w:ascii="Tahoma" w:hAnsi="Tahoma" w:cs="Tahoma"/>
                              <w:b/>
                              <w:bCs/>
                              <w:rtl/>
                            </w:rPr>
                            <w:t>השבת מי קולחים, איכותם והשימוש בהם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163F05" w14:paraId="77809697" w14:textId="592A887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163F05" w:rsidR="00163F05">
                      <w:rPr>
                        <w:rFonts w:ascii="Tahoma" w:hAnsi="Tahoma" w:cs="Tahoma"/>
                        <w:b/>
                        <w:bCs/>
                        <w:rtl/>
                      </w:rPr>
                      <w:t>השבת מי קולחים, איכותם והשימוש בהם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3F980FA5">
                          <w:pPr>
                            <w:jc w:val="right"/>
                            <w:rPr>
                              <w:color w:val="0D0D0D" w:themeColor="text1" w:themeTint="F2"/>
                              <w:sz w:val="16"/>
                              <w:szCs w:val="16"/>
                            </w:rPr>
                          </w:pPr>
                          <w:r w:rsidRPr="00AF3B73">
                            <w:rPr>
                              <w:rFonts w:ascii="Tahoma" w:hAnsi="Tahoma" w:cs="Tahoma"/>
                              <w:color w:val="0D0D0D"/>
                              <w:sz w:val="16"/>
                              <w:szCs w:val="16"/>
                              <w:rtl/>
                            </w:rPr>
                            <w:t xml:space="preserve">דוח </w:t>
                          </w:r>
                          <w:r w:rsidRPr="00505A36" w:rsidR="00505A36">
                            <w:rPr>
                              <w:rFonts w:ascii="Tahoma" w:hAnsi="Tahoma" w:cs="Tahoma"/>
                              <w:color w:val="0D0D0D"/>
                              <w:sz w:val="16"/>
                              <w:szCs w:val="16"/>
                              <w:rtl/>
                            </w:rPr>
                            <w:t xml:space="preserve">מבקר המדינה | </w:t>
                          </w:r>
                          <w:r w:rsidR="00793C84">
                            <w:rPr>
                              <w:rFonts w:ascii="Tahoma" w:hAnsi="Tahoma" w:cs="Tahoma"/>
                              <w:color w:val="0D0D0D"/>
                              <w:sz w:val="16"/>
                              <w:szCs w:val="16"/>
                              <w:rtl/>
                            </w:rPr>
                            <w:t>שבט</w:t>
                          </w:r>
                          <w:r w:rsidRPr="00505A36" w:rsidR="00505A36">
                            <w:rPr>
                              <w:rFonts w:ascii="Tahoma" w:hAnsi="Tahoma" w:cs="Tahoma"/>
                              <w:color w:val="0D0D0D"/>
                              <w:sz w:val="16"/>
                              <w:szCs w:val="16"/>
                              <w:rtl/>
                            </w:rPr>
                            <w:t xml:space="preserve"> </w:t>
                          </w:r>
                          <w:r w:rsidRPr="00505A36" w:rsidR="00505A36">
                            <w:rPr>
                              <w:rFonts w:ascii="Tahoma" w:hAnsi="Tahoma" w:cs="Tahoma"/>
                              <w:color w:val="0D0D0D"/>
                              <w:sz w:val="16"/>
                              <w:szCs w:val="16"/>
                              <w:rtl/>
                            </w:rPr>
                            <w:t>התשפ״ד</w:t>
                          </w:r>
                          <w:r w:rsidRPr="00505A36" w:rsidR="00505A36">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3F980FA5">
                    <w:pPr>
                      <w:jc w:val="right"/>
                      <w:rPr>
                        <w:color w:val="0D0D0D" w:themeColor="text1" w:themeTint="F2"/>
                        <w:sz w:val="16"/>
                        <w:szCs w:val="16"/>
                      </w:rPr>
                    </w:pPr>
                    <w:r w:rsidRPr="00AF3B73">
                      <w:rPr>
                        <w:rFonts w:ascii="Tahoma" w:hAnsi="Tahoma" w:cs="Tahoma"/>
                        <w:color w:val="0D0D0D"/>
                        <w:sz w:val="16"/>
                        <w:szCs w:val="16"/>
                        <w:rtl/>
                      </w:rPr>
                      <w:t xml:space="preserve">דוח </w:t>
                    </w:r>
                    <w:r w:rsidRPr="00505A36" w:rsidR="00505A36">
                      <w:rPr>
                        <w:rFonts w:ascii="Tahoma" w:hAnsi="Tahoma" w:cs="Tahoma"/>
                        <w:color w:val="0D0D0D"/>
                        <w:sz w:val="16"/>
                        <w:szCs w:val="16"/>
                        <w:rtl/>
                      </w:rPr>
                      <w:t xml:space="preserve">מבקר המדינה | </w:t>
                    </w:r>
                    <w:r w:rsidR="00793C84">
                      <w:rPr>
                        <w:rFonts w:ascii="Tahoma" w:hAnsi="Tahoma" w:cs="Tahoma"/>
                        <w:color w:val="0D0D0D"/>
                        <w:sz w:val="16"/>
                        <w:szCs w:val="16"/>
                        <w:rtl/>
                      </w:rPr>
                      <w:t>שבט</w:t>
                    </w:r>
                    <w:r w:rsidRPr="00505A36" w:rsidR="00505A36">
                      <w:rPr>
                        <w:rFonts w:ascii="Tahoma" w:hAnsi="Tahoma" w:cs="Tahoma"/>
                        <w:color w:val="0D0D0D"/>
                        <w:sz w:val="16"/>
                        <w:szCs w:val="16"/>
                        <w:rtl/>
                      </w:rPr>
                      <w:t xml:space="preserve"> </w:t>
                    </w:r>
                    <w:r w:rsidRPr="00505A36" w:rsidR="00505A36">
                      <w:rPr>
                        <w:rFonts w:ascii="Tahoma" w:hAnsi="Tahoma" w:cs="Tahoma"/>
                        <w:color w:val="0D0D0D"/>
                        <w:sz w:val="16"/>
                        <w:szCs w:val="16"/>
                        <w:rtl/>
                      </w:rPr>
                      <w:t>התשפ״ד</w:t>
                    </w:r>
                    <w:r w:rsidRPr="00505A36" w:rsidR="00505A36">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0160" b="1714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0B3C766E">
                          <w:pPr>
                            <w:pStyle w:val="Heading1"/>
                            <w:spacing w:line="269" w:lineRule="auto"/>
                            <w:jc w:val="left"/>
                            <w:rPr>
                              <w:rFonts w:ascii="Tahoma" w:hAnsi="Tahoma" w:eastAsiaTheme="minorHAnsi" w:cs="Tahoma"/>
                              <w:bCs w:val="0"/>
                              <w:color w:val="0D0D0D" w:themeColor="text1" w:themeTint="F2"/>
                              <w:sz w:val="16"/>
                              <w:szCs w:val="16"/>
                              <w:u w:val="none"/>
                            </w:rPr>
                          </w:pPr>
                          <w:r w:rsidRPr="00163F05">
                            <w:rPr>
                              <w:rFonts w:ascii="Tahoma" w:hAnsi="Tahoma" w:eastAsiaTheme="minorHAnsi" w:cs="Tahoma"/>
                              <w:bCs w:val="0"/>
                              <w:color w:val="0D0D0D" w:themeColor="text1" w:themeTint="F2"/>
                              <w:sz w:val="16"/>
                              <w:szCs w:val="16"/>
                              <w:u w:val="none"/>
                              <w:rtl/>
                            </w:rPr>
                            <w:t>השבת מי קולחים, איכותם והשימוש בהם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0B3C766E">
                    <w:pPr>
                      <w:pStyle w:val="Heading1"/>
                      <w:spacing w:line="269" w:lineRule="auto"/>
                      <w:jc w:val="left"/>
                      <w:rPr>
                        <w:rFonts w:ascii="Tahoma" w:hAnsi="Tahoma" w:eastAsiaTheme="minorHAnsi" w:cs="Tahoma"/>
                        <w:bCs w:val="0"/>
                        <w:color w:val="0D0D0D" w:themeColor="text1" w:themeTint="F2"/>
                        <w:sz w:val="16"/>
                        <w:szCs w:val="16"/>
                        <w:u w:val="none"/>
                      </w:rPr>
                    </w:pPr>
                    <w:r w:rsidRPr="00163F05">
                      <w:rPr>
                        <w:rFonts w:ascii="Tahoma" w:hAnsi="Tahoma" w:eastAsiaTheme="minorHAnsi" w:cs="Tahoma"/>
                        <w:bCs w:val="0"/>
                        <w:color w:val="0D0D0D" w:themeColor="text1" w:themeTint="F2"/>
                        <w:sz w:val="16"/>
                        <w:szCs w:val="16"/>
                        <w:u w:val="none"/>
                        <w:rtl/>
                      </w:rPr>
                      <w:t>השבת מי קולחים, איכותם והשימוש בהם</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6A1B17" w14:textId="7954EF5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63F05" w:rsidR="00163F05">
                            <w:rPr>
                              <w:rFonts w:ascii="Tahoma" w:hAnsi="Tahoma" w:cs="Tahoma"/>
                              <w:b/>
                              <w:bCs/>
                              <w:rtl/>
                            </w:rPr>
                            <w:t>השבת מי קולחים, איכותם והשימוש בהם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6A1B17" w14:paraId="3B4CCAD6" w14:textId="7954EF5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63F05" w:rsidR="00163F05">
                      <w:rPr>
                        <w:rFonts w:ascii="Tahoma" w:hAnsi="Tahoma" w:cs="Tahoma"/>
                        <w:b/>
                        <w:bCs/>
                        <w:rtl/>
                      </w:rPr>
                      <w:t>השבת מי קולחים, איכותם והשימוש בהם</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6EB81136">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793C84">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6EB81136">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793C84">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4ABC437C"/>
    <w:multiLevelType w:val="hybridMultilevel"/>
    <w:tmpl w:val="A5BCA680"/>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355" w:hanging="360"/>
      </w:pPr>
      <w:rPr>
        <w:rFonts w:ascii="Courier New" w:hAnsi="Courier New" w:cs="Courier New" w:hint="default"/>
      </w:rPr>
    </w:lvl>
    <w:lvl w:ilvl="2" w:tentative="1">
      <w:start w:val="1"/>
      <w:numFmt w:val="bullet"/>
      <w:lvlText w:val=""/>
      <w:lvlJc w:val="left"/>
      <w:pPr>
        <w:ind w:left="3075" w:hanging="360"/>
      </w:pPr>
      <w:rPr>
        <w:rFonts w:ascii="Wingdings" w:hAnsi="Wingdings" w:hint="default"/>
      </w:rPr>
    </w:lvl>
    <w:lvl w:ilvl="3" w:tentative="1">
      <w:start w:val="1"/>
      <w:numFmt w:val="bullet"/>
      <w:lvlText w:val=""/>
      <w:lvlJc w:val="left"/>
      <w:pPr>
        <w:ind w:left="3795" w:hanging="360"/>
      </w:pPr>
      <w:rPr>
        <w:rFonts w:ascii="Symbol" w:hAnsi="Symbol" w:hint="default"/>
      </w:rPr>
    </w:lvl>
    <w:lvl w:ilvl="4" w:tentative="1">
      <w:start w:val="1"/>
      <w:numFmt w:val="bullet"/>
      <w:lvlText w:val="o"/>
      <w:lvlJc w:val="left"/>
      <w:pPr>
        <w:ind w:left="4515" w:hanging="360"/>
      </w:pPr>
      <w:rPr>
        <w:rFonts w:ascii="Courier New" w:hAnsi="Courier New" w:cs="Courier New" w:hint="default"/>
      </w:rPr>
    </w:lvl>
    <w:lvl w:ilvl="5" w:tentative="1">
      <w:start w:val="1"/>
      <w:numFmt w:val="bullet"/>
      <w:lvlText w:val=""/>
      <w:lvlJc w:val="left"/>
      <w:pPr>
        <w:ind w:left="5235" w:hanging="360"/>
      </w:pPr>
      <w:rPr>
        <w:rFonts w:ascii="Wingdings" w:hAnsi="Wingdings" w:hint="default"/>
      </w:rPr>
    </w:lvl>
    <w:lvl w:ilvl="6" w:tentative="1">
      <w:start w:val="1"/>
      <w:numFmt w:val="bullet"/>
      <w:lvlText w:val=""/>
      <w:lvlJc w:val="left"/>
      <w:pPr>
        <w:ind w:left="5955" w:hanging="360"/>
      </w:pPr>
      <w:rPr>
        <w:rFonts w:ascii="Symbol" w:hAnsi="Symbol" w:hint="default"/>
      </w:rPr>
    </w:lvl>
    <w:lvl w:ilvl="7" w:tentative="1">
      <w:start w:val="1"/>
      <w:numFmt w:val="bullet"/>
      <w:lvlText w:val="o"/>
      <w:lvlJc w:val="left"/>
      <w:pPr>
        <w:ind w:left="6675" w:hanging="360"/>
      </w:pPr>
      <w:rPr>
        <w:rFonts w:ascii="Courier New" w:hAnsi="Courier New" w:cs="Courier New" w:hint="default"/>
      </w:rPr>
    </w:lvl>
    <w:lvl w:ilvl="8" w:tentative="1">
      <w:start w:val="1"/>
      <w:numFmt w:val="bullet"/>
      <w:lvlText w:val=""/>
      <w:lvlJc w:val="left"/>
      <w:pPr>
        <w:ind w:left="7395" w:hanging="360"/>
      </w:pPr>
      <w:rPr>
        <w:rFonts w:ascii="Wingdings" w:hAnsi="Wingdings" w:hint="default"/>
      </w:rPr>
    </w:lvl>
  </w:abstractNum>
  <w:abstractNum w:abstractNumId="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6"/>
  </w:num>
  <w:num w:numId="2" w16cid:durableId="159808484">
    <w:abstractNumId w:val="2"/>
  </w:num>
  <w:num w:numId="3" w16cid:durableId="2074310673">
    <w:abstractNumId w:val="3"/>
  </w:num>
  <w:num w:numId="4" w16cid:durableId="1596554476">
    <w:abstractNumId w:val="9"/>
  </w:num>
  <w:num w:numId="5" w16cid:durableId="781269690">
    <w:abstractNumId w:val="0"/>
  </w:num>
  <w:num w:numId="6" w16cid:durableId="1087919862">
    <w:abstractNumId w:val="4"/>
  </w:num>
  <w:num w:numId="7" w16cid:durableId="1266497691">
    <w:abstractNumId w:val="8"/>
  </w:num>
  <w:num w:numId="8" w16cid:durableId="1873692319">
    <w:abstractNumId w:val="1"/>
  </w:num>
  <w:num w:numId="9" w16cid:durableId="1057507424">
    <w:abstractNumId w:val="7"/>
  </w:num>
  <w:num w:numId="10" w16cid:durableId="7117322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10F"/>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609"/>
    <w:rsid w:val="00085A22"/>
    <w:rsid w:val="00085B99"/>
    <w:rsid w:val="0008625B"/>
    <w:rsid w:val="00086738"/>
    <w:rsid w:val="00086BCD"/>
    <w:rsid w:val="00087176"/>
    <w:rsid w:val="00087686"/>
    <w:rsid w:val="00087F13"/>
    <w:rsid w:val="000901C8"/>
    <w:rsid w:val="0009042C"/>
    <w:rsid w:val="00090633"/>
    <w:rsid w:val="00090675"/>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73E"/>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4E4"/>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081A"/>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05"/>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37"/>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B54"/>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8FB"/>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1F3C"/>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0BE9"/>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301"/>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1F"/>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09B8"/>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5FC8"/>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B3"/>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BC5"/>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3CD"/>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13"/>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DF4"/>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608"/>
    <w:rsid w:val="003E77E9"/>
    <w:rsid w:val="003E798E"/>
    <w:rsid w:val="003E7E55"/>
    <w:rsid w:val="003F0032"/>
    <w:rsid w:val="003F06E0"/>
    <w:rsid w:val="003F0C61"/>
    <w:rsid w:val="003F0D90"/>
    <w:rsid w:val="003F0E51"/>
    <w:rsid w:val="003F1891"/>
    <w:rsid w:val="003F2708"/>
    <w:rsid w:val="003F2DBB"/>
    <w:rsid w:val="003F2F7C"/>
    <w:rsid w:val="003F316F"/>
    <w:rsid w:val="003F3D90"/>
    <w:rsid w:val="003F3E9D"/>
    <w:rsid w:val="003F4681"/>
    <w:rsid w:val="003F48CD"/>
    <w:rsid w:val="003F4A41"/>
    <w:rsid w:val="003F58BC"/>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7AA"/>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28BD"/>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6FBF"/>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A3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09"/>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424"/>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4D44"/>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0F6E"/>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FA"/>
    <w:rsid w:val="00604D69"/>
    <w:rsid w:val="006052E4"/>
    <w:rsid w:val="00605442"/>
    <w:rsid w:val="0060549B"/>
    <w:rsid w:val="00605538"/>
    <w:rsid w:val="00605776"/>
    <w:rsid w:val="006061F3"/>
    <w:rsid w:val="0060683C"/>
    <w:rsid w:val="00607532"/>
    <w:rsid w:val="00607C9B"/>
    <w:rsid w:val="006104FE"/>
    <w:rsid w:val="00610930"/>
    <w:rsid w:val="00610B37"/>
    <w:rsid w:val="00610C3E"/>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BD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0EE"/>
    <w:rsid w:val="00664533"/>
    <w:rsid w:val="0066498E"/>
    <w:rsid w:val="006659DD"/>
    <w:rsid w:val="00665B84"/>
    <w:rsid w:val="00666229"/>
    <w:rsid w:val="006662AD"/>
    <w:rsid w:val="006668CA"/>
    <w:rsid w:val="00666E99"/>
    <w:rsid w:val="0066760C"/>
    <w:rsid w:val="00667ABB"/>
    <w:rsid w:val="006708C9"/>
    <w:rsid w:val="00670B88"/>
    <w:rsid w:val="00670E84"/>
    <w:rsid w:val="0067240D"/>
    <w:rsid w:val="006726E0"/>
    <w:rsid w:val="00673247"/>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FE"/>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3EE"/>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2B93"/>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5C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3C84"/>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B01"/>
    <w:rsid w:val="00855D0F"/>
    <w:rsid w:val="008565BC"/>
    <w:rsid w:val="00856648"/>
    <w:rsid w:val="00856A67"/>
    <w:rsid w:val="00856B26"/>
    <w:rsid w:val="00856B71"/>
    <w:rsid w:val="00856C36"/>
    <w:rsid w:val="00856C93"/>
    <w:rsid w:val="00857390"/>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92E"/>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13E"/>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A84"/>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4D7"/>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018"/>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59"/>
    <w:rsid w:val="009B10AE"/>
    <w:rsid w:val="009B1240"/>
    <w:rsid w:val="009B1690"/>
    <w:rsid w:val="009B18D7"/>
    <w:rsid w:val="009B1C40"/>
    <w:rsid w:val="009B1FD6"/>
    <w:rsid w:val="009B23EE"/>
    <w:rsid w:val="009B257E"/>
    <w:rsid w:val="009B3610"/>
    <w:rsid w:val="009B37D3"/>
    <w:rsid w:val="009B391B"/>
    <w:rsid w:val="009B4C61"/>
    <w:rsid w:val="009B4CB0"/>
    <w:rsid w:val="009B4CE0"/>
    <w:rsid w:val="009B5208"/>
    <w:rsid w:val="009B54CF"/>
    <w:rsid w:val="009B5A8C"/>
    <w:rsid w:val="009B5C74"/>
    <w:rsid w:val="009B614C"/>
    <w:rsid w:val="009B661E"/>
    <w:rsid w:val="009B68A4"/>
    <w:rsid w:val="009B75F0"/>
    <w:rsid w:val="009B779A"/>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049C"/>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D8F"/>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C16"/>
    <w:rsid w:val="00A2617B"/>
    <w:rsid w:val="00A264EE"/>
    <w:rsid w:val="00A27672"/>
    <w:rsid w:val="00A27839"/>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413"/>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065"/>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C3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02F"/>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A28"/>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9D1"/>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957"/>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245"/>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AB4"/>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60A"/>
    <w:rsid w:val="00CB28EA"/>
    <w:rsid w:val="00CB30F5"/>
    <w:rsid w:val="00CB315D"/>
    <w:rsid w:val="00CB3496"/>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B64"/>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58A"/>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5CA"/>
    <w:rsid w:val="00CE48D3"/>
    <w:rsid w:val="00CE4942"/>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1FF"/>
    <w:rsid w:val="00D476EB"/>
    <w:rsid w:val="00D478AA"/>
    <w:rsid w:val="00D47F55"/>
    <w:rsid w:val="00D50FBA"/>
    <w:rsid w:val="00D51372"/>
    <w:rsid w:val="00D5162F"/>
    <w:rsid w:val="00D51AD6"/>
    <w:rsid w:val="00D51C50"/>
    <w:rsid w:val="00D525C5"/>
    <w:rsid w:val="00D5266D"/>
    <w:rsid w:val="00D52BBA"/>
    <w:rsid w:val="00D52C1C"/>
    <w:rsid w:val="00D52E2A"/>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750"/>
    <w:rsid w:val="00DA7D0B"/>
    <w:rsid w:val="00DB07CA"/>
    <w:rsid w:val="00DB0823"/>
    <w:rsid w:val="00DB0A27"/>
    <w:rsid w:val="00DB0D5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37D73"/>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9F1"/>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4B3"/>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5FC0"/>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B5B"/>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0BA"/>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08E"/>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2EE"/>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6F99"/>
    <w:rsid w:val="00FC740E"/>
    <w:rsid w:val="00FD02CC"/>
    <w:rsid w:val="00FD0929"/>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5703C5"/>
    <w:pPr>
      <w:keepNext/>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3423CD"/>
    <w:pPr>
      <w:keepNext w:val="0"/>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9"/>
    <w:rsid w:val="002516DF"/>
    <w:rPr>
      <w:rFonts w:eastAsia="Times New Roman"/>
      <w:bCs/>
      <w:szCs w:val="32"/>
    </w:rPr>
  </w:style>
  <w:style w:type="character" w:customStyle="1" w:styleId="30">
    <w:name w:val="כותרת 3 תו"/>
    <w:link w:val="31"/>
    <w:uiPriority w:val="9"/>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5703C5"/>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3423CD"/>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71424"/>
    <w:pPr>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71424"/>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5703C5"/>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5703C5"/>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character" w:styleId="FootnoteReference2">
    <w:name w:val="footnote reference"/>
    <w:aliases w:val="Footnote Reference_0,Footnote Reference_0_0,Footnote Reference_0_0_0,Footnote Reference_0_0_0_0,Footnote Reference_0_0_0_0_0,Footnote Reference_1,Footnote Reference_2,Footnote Reference_3,Footnote Reference_3_0,Footnote Reference_4"/>
    <w:basedOn w:val="DefaultParagraphFont"/>
    <w:uiPriority w:val="99"/>
    <w:unhideWhenUsed/>
    <w:rsid w:val="00163F05"/>
    <w:rPr>
      <w:vertAlign w:val="superscript"/>
    </w:rPr>
  </w:style>
  <w:style w:type="character" w:customStyle="1" w:styleId="Footnote">
    <w:name w:val="Footnote_"/>
    <w:basedOn w:val="DefaultParagraphFont"/>
    <w:link w:val="Footnote0"/>
    <w:rsid w:val="00DA7750"/>
    <w:rPr>
      <w:rFonts w:ascii="Tahoma" w:eastAsia="Tahoma" w:hAnsi="Tahoma" w:cs="Tahoma"/>
      <w:sz w:val="14"/>
      <w:szCs w:val="14"/>
      <w:shd w:val="clear" w:color="auto" w:fill="FFFFFF"/>
    </w:rPr>
  </w:style>
  <w:style w:type="character" w:customStyle="1" w:styleId="FootnoteBold">
    <w:name w:val="Footnote + Bold"/>
    <w:basedOn w:val="Footnote"/>
    <w:rsid w:val="00DA7750"/>
    <w:rPr>
      <w:rFonts w:ascii="Tahoma" w:eastAsia="Tahoma" w:hAnsi="Tahoma" w:cs="Tahoma"/>
      <w:b/>
      <w:bCs/>
      <w:color w:val="000000"/>
      <w:spacing w:val="0"/>
      <w:w w:val="100"/>
      <w:position w:val="0"/>
      <w:sz w:val="14"/>
      <w:szCs w:val="14"/>
      <w:shd w:val="clear" w:color="auto" w:fill="FFFFFF"/>
      <w:lang w:val="he-IL" w:eastAsia="he-IL" w:bidi="he-IL"/>
    </w:rPr>
  </w:style>
  <w:style w:type="paragraph" w:customStyle="1" w:styleId="Footnote0">
    <w:name w:val="Footnote"/>
    <w:basedOn w:val="Normal"/>
    <w:link w:val="Footnote"/>
    <w:rsid w:val="00DA7750"/>
    <w:pPr>
      <w:widowControl w:val="0"/>
      <w:shd w:val="clear" w:color="auto" w:fill="FFFFFF"/>
      <w:spacing w:line="202" w:lineRule="exact"/>
      <w:ind w:hanging="480"/>
      <w:jc w:val="left"/>
    </w:pPr>
    <w:rPr>
      <w:rFonts w:ascii="Tahoma" w:eastAsia="Tahoma" w:hAnsi="Tahoma" w:cs="Tahoma"/>
      <w:sz w:val="14"/>
      <w:szCs w:val="14"/>
    </w:rPr>
  </w:style>
  <w:style w:type="character" w:styleId="CommentReference">
    <w:name w:val="annotation reference"/>
    <w:basedOn w:val="DefaultParagraphFont"/>
    <w:uiPriority w:val="99"/>
    <w:semiHidden/>
    <w:unhideWhenUsed/>
    <w:rsid w:val="00DA7750"/>
    <w:rPr>
      <w:sz w:val="16"/>
      <w:szCs w:val="16"/>
    </w:rPr>
  </w:style>
  <w:style w:type="paragraph" w:customStyle="1" w:styleId="HeadHatzaotHok">
    <w:name w:val="Head HatzaotHok"/>
    <w:basedOn w:val="Normal"/>
    <w:rsid w:val="00DA7750"/>
    <w:pPr>
      <w:keepNext/>
      <w:keepLines/>
      <w:widowControl w:val="0"/>
      <w:autoSpaceDE w:val="0"/>
      <w:autoSpaceDN w:val="0"/>
      <w:adjustRightInd w:val="0"/>
      <w:snapToGrid w:val="0"/>
      <w:spacing w:before="240" w:line="360" w:lineRule="auto"/>
      <w:jc w:val="center"/>
      <w:textAlignment w:val="center"/>
    </w:pPr>
    <w:rPr>
      <w:rFonts w:ascii="Arial" w:eastAsia="Arial Unicode MS" w:hAnsi="Arial"/>
      <w:b/>
      <w:bCs/>
      <w:snapToGrid w:val="0"/>
      <w:color w:val="000000"/>
      <w:szCs w:val="26"/>
      <w:lang w:eastAsia="ja-JP"/>
    </w:rPr>
  </w:style>
  <w:style w:type="paragraph" w:customStyle="1" w:styleId="Hesber1st">
    <w:name w:val="Hesber 1st"/>
    <w:basedOn w:val="Normal"/>
    <w:rsid w:val="00DA7750"/>
    <w:pPr>
      <w:widowControl w:val="0"/>
      <w:tabs>
        <w:tab w:val="left" w:pos="680"/>
        <w:tab w:val="left" w:pos="1020"/>
      </w:tabs>
      <w:autoSpaceDE w:val="0"/>
      <w:autoSpaceDN w:val="0"/>
      <w:adjustRightInd w:val="0"/>
      <w:snapToGrid w:val="0"/>
      <w:spacing w:line="360" w:lineRule="auto"/>
      <w:textAlignment w:val="center"/>
    </w:pPr>
    <w:rPr>
      <w:rFonts w:ascii="Arial" w:eastAsia="Arial Unicode MS" w:hAnsi="Arial"/>
      <w:snapToGrid w:val="0"/>
      <w:color w:val="000000"/>
      <w:szCs w:val="26"/>
      <w:lang w:eastAsia="ja-JP"/>
    </w:rPr>
  </w:style>
  <w:style w:type="paragraph" w:customStyle="1" w:styleId="Hesber">
    <w:name w:val="Hesber"/>
    <w:basedOn w:val="Normal"/>
    <w:rsid w:val="00DA7750"/>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character" w:customStyle="1" w:styleId="124">
    <w:name w:val="אזכור לא מזוהה1"/>
    <w:basedOn w:val="DefaultParagraphFont"/>
    <w:uiPriority w:val="99"/>
    <w:semiHidden/>
    <w:unhideWhenUsed/>
    <w:rsid w:val="00DA7750"/>
    <w:rPr>
      <w:color w:val="605E5C"/>
      <w:shd w:val="clear" w:color="auto" w:fill="E1DFDD"/>
    </w:rPr>
  </w:style>
  <w:style w:type="character" w:customStyle="1" w:styleId="29">
    <w:name w:val="אזכור לא מזוהה2"/>
    <w:basedOn w:val="DefaultParagraphFont"/>
    <w:uiPriority w:val="99"/>
    <w:semiHidden/>
    <w:unhideWhenUsed/>
    <w:rsid w:val="00DA7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png" /><Relationship Id="rId28" Type="http://schemas.openxmlformats.org/officeDocument/2006/relationships/image" Target="media/image13.emf"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footer" Target="footer4.xml" /><Relationship Id="rId31" Type="http://schemas.openxmlformats.org/officeDocument/2006/relationships/header" Target="header6.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064B07CD-925B-4202-B214-52E238838D21}"/>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11</Pages>
  <Words>2107</Words>
  <Characters>10537</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2024-01-09T07:35:00Z</cp:lastPrinted>
  <dcterms:created xsi:type="dcterms:W3CDTF">2024-01-09T07:35:00Z</dcterms:created>
  <dcterms:modified xsi:type="dcterms:W3CDTF">2024-01-09T07:35:00Z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