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57B2217">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3063435</wp:posOffset>
                </wp:positionH>
                <wp:positionV relativeFrom="paragraph">
                  <wp:posOffset>258445</wp:posOffset>
                </wp:positionV>
                <wp:extent cx="0" cy="3782646"/>
                <wp:effectExtent l="25400" t="0" r="25400" b="279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8264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2pt,20.35pt" to="241.2pt,318.2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A5A1636">
                            <w:pPr>
                              <w:pStyle w:val="a33"/>
                              <w:bidi/>
                              <w:rPr>
                                <w:rtl/>
                              </w:rPr>
                            </w:pPr>
                            <w:r>
                              <w:rPr>
                                <w:rFonts w:hint="cs"/>
                                <w:rtl/>
                              </w:rPr>
                              <w:t xml:space="preserve">דוח </w:t>
                            </w:r>
                            <w:r w:rsidRPr="00243AA5" w:rsidR="00243AA5">
                              <w:rPr>
                                <w:rtl/>
                              </w:rPr>
                              <w:t xml:space="preserve">מבקר המדינה | </w:t>
                            </w:r>
                            <w:r w:rsidR="00AE645C">
                              <w:rPr>
                                <w:rtl/>
                              </w:rPr>
                              <w:t>שבט</w:t>
                            </w:r>
                            <w:r w:rsidRPr="00243AA5" w:rsidR="00243AA5">
                              <w:rPr>
                                <w:rtl/>
                              </w:rPr>
                              <w:t xml:space="preserve"> </w:t>
                            </w:r>
                            <w:r w:rsidRPr="00243AA5" w:rsidR="00243AA5">
                              <w:rPr>
                                <w:rtl/>
                              </w:rPr>
                              <w:t>התשפ״ד</w:t>
                            </w:r>
                            <w:r w:rsidRPr="00243AA5" w:rsidR="00243AA5">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EF8D1A4">
                            <w:pPr>
                              <w:pStyle w:val="-1"/>
                              <w:rPr>
                                <w:rtl/>
                              </w:rPr>
                            </w:pPr>
                            <w:r>
                              <w:rPr>
                                <w:rFonts w:hint="cs"/>
                                <w:rtl/>
                              </w:rPr>
                              <w:t>הרשות הממשלתית למים ולביוב</w:t>
                            </w:r>
                          </w:p>
                          <w:p w:rsidR="00F73EE0" w:rsidRPr="000F5023" w:rsidP="0072357A" w14:textId="0487095C">
                            <w:pPr>
                              <w:pStyle w:val="a32"/>
                              <w:bidi/>
                              <w:spacing w:before="120"/>
                              <w:rPr>
                                <w:rtl/>
                              </w:rPr>
                            </w:pPr>
                            <w:r w:rsidRPr="000321D0">
                              <w:rPr>
                                <w:rtl/>
                              </w:rPr>
                              <w:t>תאגידי המים והביוב - אסדרה, ניהול ופיקוח - ביקורת מעקב</w:t>
                            </w:r>
                            <w:r>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A5A1636">
                      <w:pPr>
                        <w:pStyle w:val="a33"/>
                        <w:bidi/>
                        <w:rPr>
                          <w:rtl/>
                        </w:rPr>
                      </w:pPr>
                      <w:r>
                        <w:rPr>
                          <w:rFonts w:hint="cs"/>
                          <w:rtl/>
                        </w:rPr>
                        <w:t xml:space="preserve">דוח </w:t>
                      </w:r>
                      <w:r w:rsidRPr="00243AA5" w:rsidR="00243AA5">
                        <w:rPr>
                          <w:rtl/>
                        </w:rPr>
                        <w:t xml:space="preserve">מבקר המדינה | </w:t>
                      </w:r>
                      <w:r w:rsidR="00AE645C">
                        <w:rPr>
                          <w:rtl/>
                        </w:rPr>
                        <w:t>שבט</w:t>
                      </w:r>
                      <w:r w:rsidRPr="00243AA5" w:rsidR="00243AA5">
                        <w:rPr>
                          <w:rtl/>
                        </w:rPr>
                        <w:t xml:space="preserve"> </w:t>
                      </w:r>
                      <w:r w:rsidRPr="00243AA5" w:rsidR="00243AA5">
                        <w:rPr>
                          <w:rtl/>
                        </w:rPr>
                        <w:t>התשפ״ד</w:t>
                      </w:r>
                      <w:r w:rsidRPr="00243AA5" w:rsidR="00243AA5">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EF8D1A4">
                      <w:pPr>
                        <w:pStyle w:val="-1"/>
                        <w:rPr>
                          <w:rtl/>
                        </w:rPr>
                      </w:pPr>
                      <w:r>
                        <w:rPr>
                          <w:rFonts w:hint="cs"/>
                          <w:rtl/>
                        </w:rPr>
                        <w:t>הרשות הממשלתית למים ולביוב</w:t>
                      </w:r>
                    </w:p>
                    <w:p w:rsidR="00F73EE0" w:rsidRPr="000F5023" w:rsidP="0072357A" w14:paraId="5464BE8D" w14:textId="0487095C">
                      <w:pPr>
                        <w:pStyle w:val="a32"/>
                        <w:bidi/>
                        <w:spacing w:before="120"/>
                        <w:rPr>
                          <w:rtl/>
                        </w:rPr>
                      </w:pPr>
                      <w:r w:rsidRPr="000321D0">
                        <w:rPr>
                          <w:rtl/>
                        </w:rPr>
                        <w:t>תאגידי המים והביוב - אסדרה, ניהול ופיקוח - ביקורת מעקב</w:t>
                      </w:r>
                      <w:r>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29B28DB">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324AD1" w14:paraId="4ED3AA37" w14:textId="4086CC59">
      <w:pPr>
        <w:pStyle w:val="7329"/>
        <w:spacing w:after="1200"/>
        <w:rPr>
          <w:rtl/>
        </w:rPr>
      </w:pPr>
      <w:r w:rsidRPr="00802F2E">
        <w:rPr>
          <w:noProof/>
          <w:rtl/>
        </w:rPr>
        <w:drawing>
          <wp:anchor distT="0" distB="0" distL="114300" distR="114300" simplePos="0" relativeHeight="251683840" behindDoc="0" locked="0" layoutInCell="1" allowOverlap="1">
            <wp:simplePos x="0" y="0"/>
            <wp:positionH relativeFrom="column">
              <wp:posOffset>3293110</wp:posOffset>
            </wp:positionH>
            <wp:positionV relativeFrom="paragraph">
              <wp:posOffset>976999</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0321D0" w:rsidR="000321D0">
        <w:rPr>
          <w:noProof/>
          <w:rtl/>
        </w:rPr>
        <w:t>תאגידי המים והביוב - אסדרה, ניהול ופיקוח - ביקורת מעקב</w:t>
      </w:r>
      <w:r w:rsidR="000321D0">
        <w:rPr>
          <w:rFonts w:hint="cs"/>
          <w:rtl/>
        </w:rPr>
        <w:t xml:space="preserve"> </w:t>
      </w:r>
    </w:p>
    <w:p w:rsidR="000321D0" w:rsidRPr="00A870C3" w:rsidP="000321D0" w14:paraId="57515E5A" w14:textId="77777777">
      <w:pPr>
        <w:pStyle w:val="7392"/>
        <w:rPr>
          <w:rtl/>
        </w:rPr>
      </w:pPr>
      <w:r w:rsidRPr="00A870C3">
        <w:rPr>
          <w:rtl/>
        </w:rPr>
        <w:t xml:space="preserve">חוק תאגידי מים וביוב, התשס"א-2001, מסדיר את העברת ניהול משק המים והביוב מהרשויות המקומיות לידי חברות ייעודיות שבבעלותן - תאגידי מים וביוב (רפורמת </w:t>
      </w:r>
      <w:r w:rsidRPr="00A870C3">
        <w:rPr>
          <w:rtl/>
        </w:rPr>
        <w:t>התיאגוד</w:t>
      </w:r>
      <w:r w:rsidRPr="00A870C3">
        <w:rPr>
          <w:rtl/>
        </w:rPr>
        <w:t xml:space="preserve">). </w:t>
      </w:r>
    </w:p>
    <w:p w:rsidR="000321D0" w:rsidRPr="00A870C3" w:rsidP="000321D0" w14:paraId="679D8047" w14:textId="77777777">
      <w:pPr>
        <w:pStyle w:val="7392"/>
        <w:rPr>
          <w:rtl/>
        </w:rPr>
      </w:pPr>
      <w:r w:rsidRPr="00A870C3">
        <w:rPr>
          <w:rtl/>
        </w:rPr>
        <w:t xml:space="preserve">העברת האחריות לניהול משק המים והביוב לידי תאגידי מים וביוב במסגרת רפורמת </w:t>
      </w:r>
      <w:r w:rsidRPr="00A870C3">
        <w:rPr>
          <w:rtl/>
        </w:rPr>
        <w:t>התיאגוד</w:t>
      </w:r>
      <w:r w:rsidRPr="00A870C3">
        <w:rPr>
          <w:rtl/>
        </w:rPr>
        <w:t xml:space="preserve"> נועדה לפתור כשלים מבניים שנוצרו בניהול משק המים והביוב ברשויות המקומיות, ובפרט תת-השקעות בתשתיות מים וביוב. זאת מכיוון שחלק מהרשויות המקומיות הפנו את כספי צרכני המים למימון פעילותן בתחומים מוניציפליים אחרים. התאגידים שהוקמו מספקים שירותי מים וביוב במשק כספי סגור שבו, ככלל, ההכנסות מצרכני המים אמורות להיות מופנות למימון מתן שירותי מים וביוב ולהשקעה בתשתיות המים והביוב.</w:t>
      </w:r>
    </w:p>
    <w:p w:rsidR="000321D0" w:rsidRPr="00A870C3" w:rsidP="000321D0" w14:paraId="204F1EFA" w14:textId="5316F6AF">
      <w:pPr>
        <w:pStyle w:val="7392"/>
        <w:rPr>
          <w:rtl/>
        </w:rPr>
      </w:pPr>
      <w:r w:rsidRPr="00A870C3">
        <w:rPr>
          <w:rtl/>
        </w:rPr>
        <w:t>באוקטובר 2020 פרסם משרד מבקר המדינה את הדוח "תאגידי מים וביוב - אסדרה, ניהול ופיקוח" (הדוח הקודם או הביקורת הקודמת)</w:t>
      </w:r>
      <w:r w:rsidRPr="00063645" w:rsidR="00063645">
        <w:rPr>
          <w:rStyle w:val="FootnoteReference2"/>
          <w:rtl/>
        </w:rPr>
        <w:t xml:space="preserve"> </w:t>
      </w:r>
      <w:r>
        <w:rPr>
          <w:rStyle w:val="FootnoteReference2"/>
          <w:rtl/>
        </w:rPr>
        <w:footnoteReference w:id="2"/>
      </w:r>
      <w:r w:rsidRPr="00A870C3">
        <w:rPr>
          <w:rtl/>
        </w:rPr>
        <w:t xml:space="preserve">. בדוח הקודם הושווה בין מצב התאגידים במועד תחילת רפורמת </w:t>
      </w:r>
      <w:r w:rsidRPr="00A870C3">
        <w:rPr>
          <w:rtl/>
        </w:rPr>
        <w:t>התיאגוד</w:t>
      </w:r>
      <w:r w:rsidRPr="00A870C3">
        <w:rPr>
          <w:rtl/>
        </w:rPr>
        <w:t>, בשנת 2011, שבו היו מאוגדים 52 תאגידים, לבין מצבם בשנת 2018, לפי מדדים פיננסיים וכמותיים ובהם רווחיות ואיתנות פיננסית, פחת מים, פחת גבייה, עלויות תפעול, השקעות, מענקים וסבסוד באמצעות התעריף.</w:t>
      </w:r>
    </w:p>
    <w:p w:rsidR="000321D0" w:rsidRPr="00A870C3" w:rsidP="000321D0" w14:paraId="166427FA" w14:textId="77777777">
      <w:pPr>
        <w:pStyle w:val="7392"/>
        <w:rPr>
          <w:rtl/>
        </w:rPr>
      </w:pPr>
      <w:r w:rsidRPr="00A870C3">
        <w:rPr>
          <w:rtl/>
        </w:rPr>
        <w:t xml:space="preserve">נכון למועד סיום ביקורת המעקב, ינואר 2023, חובת </w:t>
      </w:r>
      <w:r w:rsidRPr="00A870C3">
        <w:rPr>
          <w:rtl/>
        </w:rPr>
        <w:t>התיאגוד</w:t>
      </w:r>
      <w:r w:rsidRPr="00A870C3">
        <w:rPr>
          <w:rtl/>
        </w:rPr>
        <w:t xml:space="preserve"> חלה על עיריות ומועצות מקומיות אך אינה חלה על מועצות אזוריות.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8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5"/>
        <w:gridCol w:w="277"/>
        <w:gridCol w:w="1782"/>
        <w:gridCol w:w="277"/>
        <w:gridCol w:w="1531"/>
        <w:gridCol w:w="277"/>
        <w:gridCol w:w="1440"/>
      </w:tblGrid>
      <w:tr w14:paraId="58B4726B" w14:textId="77777777" w:rsidTr="003B5437">
        <w:tblPrEx>
          <w:tblW w:w="48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22" w:type="pct"/>
            <w:tcBorders>
              <w:bottom w:val="single" w:sz="12" w:space="0" w:color="000000" w:themeColor="text1"/>
            </w:tcBorders>
            <w:vAlign w:val="bottom"/>
          </w:tcPr>
          <w:p w:rsidR="003B5437" w:rsidRPr="000321D0" w:rsidP="003B5437" w14:paraId="23EB689E" w14:textId="31B3384E">
            <w:pPr>
              <w:spacing w:after="60" w:line="240" w:lineRule="auto"/>
              <w:jc w:val="left"/>
              <w:rPr>
                <w:b/>
                <w:bCs/>
                <w:spacing w:val="-28"/>
                <w:rtl/>
              </w:rPr>
            </w:pPr>
            <w:r w:rsidRPr="000321D0">
              <w:rPr>
                <w:rFonts w:ascii="Tahoma" w:hAnsi="Tahoma" w:eastAsiaTheme="minorEastAsia" w:cs="Tahoma"/>
                <w:b/>
                <w:bCs/>
                <w:color w:val="0D0D0D" w:themeColor="text1" w:themeTint="F2"/>
                <w:spacing w:val="-10"/>
                <w:sz w:val="36"/>
                <w:szCs w:val="36"/>
                <w:rtl/>
              </w:rPr>
              <w:t xml:space="preserve">6.25 </w:t>
            </w:r>
            <w:r w:rsidRPr="000321D0">
              <w:rPr>
                <w:rFonts w:ascii="Tahoma" w:hAnsi="Tahoma" w:eastAsiaTheme="minorEastAsia" w:cs="Tahoma"/>
                <w:b/>
                <w:bCs/>
                <w:color w:val="0D0D0D" w:themeColor="text1" w:themeTint="F2"/>
                <w:spacing w:val="-10"/>
                <w:sz w:val="26"/>
                <w:szCs w:val="26"/>
                <w:rtl/>
              </w:rPr>
              <w:t>מיליארד ש"ח</w:t>
            </w:r>
          </w:p>
        </w:tc>
        <w:tc>
          <w:tcPr>
            <w:tcW w:w="192" w:type="pct"/>
            <w:vAlign w:val="bottom"/>
          </w:tcPr>
          <w:p w:rsidR="003B5437" w:rsidRPr="000321D0" w:rsidP="003B5437" w14:paraId="19192EA5" w14:textId="77777777">
            <w:pPr>
              <w:spacing w:before="120" w:after="60" w:line="240" w:lineRule="auto"/>
              <w:jc w:val="left"/>
              <w:rPr>
                <w:b/>
                <w:bCs/>
                <w:rtl/>
              </w:rPr>
            </w:pPr>
          </w:p>
        </w:tc>
        <w:tc>
          <w:tcPr>
            <w:tcW w:w="1238" w:type="pct"/>
            <w:tcBorders>
              <w:bottom w:val="single" w:sz="12" w:space="0" w:color="000000" w:themeColor="text1"/>
            </w:tcBorders>
            <w:vAlign w:val="bottom"/>
          </w:tcPr>
          <w:p w:rsidR="003B5437" w:rsidRPr="000321D0" w:rsidP="003B5437" w14:paraId="761F4116" w14:textId="11F6BF6D">
            <w:pPr>
              <w:pStyle w:val="2021"/>
              <w:spacing w:before="0" w:after="60"/>
              <w:rPr>
                <w:spacing w:val="-10"/>
                <w:rtl/>
              </w:rPr>
            </w:pPr>
            <w:r w:rsidRPr="000321D0">
              <w:rPr>
                <w:spacing w:val="-10"/>
                <w:rtl/>
              </w:rPr>
              <w:t xml:space="preserve">56 </w:t>
            </w:r>
            <w:r w:rsidRPr="000321D0">
              <w:rPr>
                <w:spacing w:val="-10"/>
                <w:sz w:val="26"/>
                <w:szCs w:val="26"/>
                <w:rtl/>
              </w:rPr>
              <w:t>תאגידים</w:t>
            </w:r>
          </w:p>
        </w:tc>
        <w:tc>
          <w:tcPr>
            <w:tcW w:w="192" w:type="pct"/>
            <w:vAlign w:val="bottom"/>
          </w:tcPr>
          <w:p w:rsidR="003B5437" w:rsidRPr="000321D0" w:rsidP="003B5437" w14:paraId="2810DE55" w14:textId="77777777">
            <w:pPr>
              <w:spacing w:before="120" w:after="60" w:line="240" w:lineRule="auto"/>
              <w:jc w:val="left"/>
              <w:rPr>
                <w:b/>
                <w:bCs/>
                <w:rtl/>
              </w:rPr>
            </w:pPr>
          </w:p>
        </w:tc>
        <w:tc>
          <w:tcPr>
            <w:tcW w:w="1063" w:type="pct"/>
            <w:tcBorders>
              <w:bottom w:val="single" w:sz="12" w:space="0" w:color="000000" w:themeColor="text1"/>
            </w:tcBorders>
            <w:vAlign w:val="bottom"/>
          </w:tcPr>
          <w:p w:rsidR="003B5437" w:rsidRPr="000321D0" w:rsidP="003B5437" w14:paraId="2A2E27BD" w14:textId="091E78AF">
            <w:pPr>
              <w:pStyle w:val="2021"/>
              <w:spacing w:before="0" w:after="60"/>
              <w:rPr>
                <w:spacing w:val="-20"/>
                <w:sz w:val="24"/>
                <w:rtl/>
              </w:rPr>
            </w:pPr>
            <w:r w:rsidRPr="000321D0">
              <w:rPr>
                <w:spacing w:val="-10"/>
                <w:rtl/>
              </w:rPr>
              <w:t>23</w:t>
            </w:r>
          </w:p>
        </w:tc>
        <w:tc>
          <w:tcPr>
            <w:tcW w:w="192" w:type="pct"/>
            <w:vAlign w:val="bottom"/>
          </w:tcPr>
          <w:p w:rsidR="003B5437" w:rsidRPr="000321D0" w:rsidP="003B5437" w14:paraId="47B754BA" w14:textId="77777777">
            <w:pPr>
              <w:pStyle w:val="2021"/>
              <w:spacing w:before="0" w:after="60"/>
              <w:rPr>
                <w:spacing w:val="-10"/>
                <w:rtl/>
              </w:rPr>
            </w:pPr>
          </w:p>
        </w:tc>
        <w:tc>
          <w:tcPr>
            <w:tcW w:w="1000" w:type="pct"/>
            <w:tcBorders>
              <w:bottom w:val="single" w:sz="12" w:space="0" w:color="000000" w:themeColor="text1"/>
            </w:tcBorders>
            <w:vAlign w:val="bottom"/>
          </w:tcPr>
          <w:p w:rsidR="003B5437" w:rsidRPr="000321D0" w:rsidP="003B5437" w14:paraId="5F3A3FF5" w14:textId="6F0D5395">
            <w:pPr>
              <w:pStyle w:val="2021"/>
              <w:spacing w:before="0" w:after="60"/>
              <w:rPr>
                <w:spacing w:val="-10"/>
                <w:rtl/>
              </w:rPr>
            </w:pPr>
            <w:r w:rsidRPr="000321D0">
              <w:rPr>
                <w:spacing w:val="-10"/>
                <w:sz w:val="26"/>
                <w:szCs w:val="26"/>
                <w:rtl/>
              </w:rPr>
              <w:t>רק כ-</w:t>
            </w:r>
            <w:r w:rsidRPr="000321D0">
              <w:rPr>
                <w:spacing w:val="-10"/>
                <w:rtl/>
              </w:rPr>
              <w:t xml:space="preserve">7.5 </w:t>
            </w:r>
            <w:r w:rsidRPr="000321D0">
              <w:rPr>
                <w:spacing w:val="-10"/>
                <w:sz w:val="26"/>
                <w:szCs w:val="26"/>
                <w:rtl/>
              </w:rPr>
              <w:t xml:space="preserve">מיליוני ש"ח </w:t>
            </w:r>
            <w:r>
              <w:rPr>
                <w:spacing w:val="-10"/>
                <w:sz w:val="26"/>
                <w:szCs w:val="26"/>
                <w:rtl/>
              </w:rPr>
              <w:br/>
            </w:r>
            <w:r w:rsidRPr="000321D0">
              <w:rPr>
                <w:spacing w:val="-10"/>
                <w:sz w:val="26"/>
                <w:szCs w:val="26"/>
                <w:rtl/>
              </w:rPr>
              <w:t>(כ-1%)</w:t>
            </w:r>
            <w:r w:rsidRPr="000321D0">
              <w:rPr>
                <w:spacing w:val="-10"/>
                <w:rtl/>
              </w:rPr>
              <w:t xml:space="preserve"> </w:t>
            </w:r>
          </w:p>
        </w:tc>
      </w:tr>
      <w:tr w14:paraId="6DFAF81C" w14:textId="77777777" w:rsidTr="003B5437">
        <w:tblPrEx>
          <w:tblW w:w="4884" w:type="pct"/>
          <w:tblLook w:val="04A0"/>
        </w:tblPrEx>
        <w:tc>
          <w:tcPr>
            <w:tcW w:w="1122" w:type="pct"/>
            <w:tcBorders>
              <w:top w:val="single" w:sz="12" w:space="0" w:color="000000" w:themeColor="text1"/>
            </w:tcBorders>
          </w:tcPr>
          <w:p w:rsidR="003B5437" w:rsidRPr="00E52143" w:rsidP="003B5437" w14:paraId="1D96599A" w14:textId="272D5FC5">
            <w:pPr>
              <w:pStyle w:val="732021"/>
              <w:spacing w:before="0"/>
              <w:rPr>
                <w:rtl/>
              </w:rPr>
            </w:pPr>
            <w:r w:rsidRPr="00A870C3">
              <w:rPr>
                <w:rtl/>
              </w:rPr>
              <w:t>הסכום המצטבר של ההשקעות של כלל תאגידי המים והביוב בתשתיות משק המים והביוב בשנים 2018 - 2021</w:t>
            </w:r>
          </w:p>
        </w:tc>
        <w:tc>
          <w:tcPr>
            <w:tcW w:w="192" w:type="pct"/>
          </w:tcPr>
          <w:p w:rsidR="003B5437" w:rsidRPr="00E52143" w:rsidP="003B5437" w14:paraId="2BF81D8C" w14:textId="77777777">
            <w:pPr>
              <w:pStyle w:val="732021"/>
              <w:spacing w:before="0"/>
              <w:rPr>
                <w:rtl/>
              </w:rPr>
            </w:pPr>
          </w:p>
        </w:tc>
        <w:tc>
          <w:tcPr>
            <w:tcW w:w="1238" w:type="pct"/>
            <w:tcBorders>
              <w:top w:val="single" w:sz="12" w:space="0" w:color="000000" w:themeColor="text1"/>
            </w:tcBorders>
          </w:tcPr>
          <w:p w:rsidR="003B5437" w:rsidRPr="00E52143" w:rsidP="003B5437" w14:paraId="68924AF7" w14:textId="63ABA07D">
            <w:pPr>
              <w:pStyle w:val="732021"/>
              <w:spacing w:before="0"/>
              <w:rPr>
                <w:rtl/>
              </w:rPr>
            </w:pPr>
            <w:r w:rsidRPr="00A870C3">
              <w:rPr>
                <w:rtl/>
              </w:rPr>
              <w:t xml:space="preserve">קיימים במועד סיום ביקורת המעקב, אף שלפי מפת השיוך שקבעה הרשות הממשלתית למים ולביוב (רשות המים) ופרסמה במאי 2020 חלה חובה להתאגד </w:t>
            </w:r>
            <w:r w:rsidRPr="00A870C3">
              <w:rPr>
                <w:rtl/>
              </w:rPr>
              <w:br/>
            </w:r>
            <w:r w:rsidRPr="000321D0">
              <w:rPr>
                <w:spacing w:val="-6"/>
                <w:rtl/>
              </w:rPr>
              <w:t>ב-30 תאגידים אזוריים. עם זאת, יצוין כי בינואר 2023 בוטלה המגבלה שלפיה מספר התאגידים לא יעלה על 30</w:t>
            </w:r>
          </w:p>
        </w:tc>
        <w:tc>
          <w:tcPr>
            <w:tcW w:w="192" w:type="pct"/>
          </w:tcPr>
          <w:p w:rsidR="003B5437" w:rsidRPr="00E52143" w:rsidP="003B5437" w14:paraId="4F52CE08" w14:textId="77777777">
            <w:pPr>
              <w:pStyle w:val="732021"/>
              <w:spacing w:before="0"/>
              <w:rPr>
                <w:rtl/>
              </w:rPr>
            </w:pPr>
          </w:p>
        </w:tc>
        <w:tc>
          <w:tcPr>
            <w:tcW w:w="1063" w:type="pct"/>
            <w:tcBorders>
              <w:top w:val="single" w:sz="12" w:space="0" w:color="000000" w:themeColor="text1"/>
            </w:tcBorders>
          </w:tcPr>
          <w:p w:rsidR="003B5437" w:rsidRPr="00E52143" w:rsidP="003B5437" w14:paraId="203F9568" w14:textId="00FAB6F9">
            <w:pPr>
              <w:pStyle w:val="732021"/>
              <w:spacing w:before="0"/>
              <w:rPr>
                <w:rtl/>
              </w:rPr>
            </w:pPr>
            <w:r w:rsidRPr="00A870C3">
              <w:rPr>
                <w:rtl/>
              </w:rPr>
              <w:t xml:space="preserve">רשויות מקומיות החייבות </w:t>
            </w:r>
            <w:r w:rsidRPr="00A870C3">
              <w:rPr>
                <w:rtl/>
              </w:rPr>
              <w:t>בתיאגוד</w:t>
            </w:r>
            <w:r w:rsidRPr="00A870C3">
              <w:rPr>
                <w:rtl/>
              </w:rPr>
              <w:t xml:space="preserve"> טרם התאגדו בינואר 2023. בתקופת המעקב הצטרפה לתאגיד קיים רשות מקומית אחת בלבד - </w:t>
            </w:r>
            <w:r w:rsidRPr="00A870C3">
              <w:rPr>
                <w:rtl/>
              </w:rPr>
              <w:t>ג'יסר</w:t>
            </w:r>
            <w:r w:rsidRPr="00A870C3">
              <w:rPr>
                <w:rtl/>
              </w:rPr>
              <w:t xml:space="preserve"> </w:t>
            </w:r>
            <w:r>
              <w:rPr>
                <w:rtl/>
              </w:rPr>
              <w:br/>
            </w:r>
            <w:r w:rsidRPr="00A870C3">
              <w:rPr>
                <w:rtl/>
              </w:rPr>
              <w:t>א-זרקא</w:t>
            </w:r>
          </w:p>
        </w:tc>
        <w:tc>
          <w:tcPr>
            <w:tcW w:w="192" w:type="pct"/>
          </w:tcPr>
          <w:p w:rsidR="003B5437" w:rsidRPr="00E52143" w:rsidP="003B5437" w14:paraId="42538096" w14:textId="77777777">
            <w:pPr>
              <w:pStyle w:val="732021"/>
              <w:spacing w:before="0"/>
              <w:rPr>
                <w:rtl/>
              </w:rPr>
            </w:pPr>
          </w:p>
        </w:tc>
        <w:tc>
          <w:tcPr>
            <w:tcW w:w="1000" w:type="pct"/>
            <w:tcBorders>
              <w:top w:val="single" w:sz="12" w:space="0" w:color="000000" w:themeColor="text1"/>
            </w:tcBorders>
          </w:tcPr>
          <w:p w:rsidR="003B5437" w:rsidRPr="00E52143" w:rsidP="003B5437" w14:paraId="1878D11D" w14:textId="0E1635BF">
            <w:pPr>
              <w:pStyle w:val="732021"/>
              <w:spacing w:before="0"/>
              <w:rPr>
                <w:rtl/>
              </w:rPr>
            </w:pPr>
            <w:r w:rsidRPr="00A870C3">
              <w:rPr>
                <w:rtl/>
              </w:rPr>
              <w:t>יועדו כהחזר לצרכנים על ידי תאגיד מים אחד בלבד - מי אונו -</w:t>
            </w:r>
            <w:r w:rsidRPr="00A870C3">
              <w:rPr>
                <w:rFonts w:hint="cs"/>
                <w:rtl/>
              </w:rPr>
              <w:t xml:space="preserve"> </w:t>
            </w:r>
            <w:r w:rsidRPr="00A870C3">
              <w:rPr>
                <w:rtl/>
              </w:rPr>
              <w:t>בשנת 2022,</w:t>
            </w:r>
            <w:r w:rsidRPr="003C007E">
              <w:rPr>
                <w:rtl/>
              </w:rPr>
              <w:t xml:space="preserve"> </w:t>
            </w:r>
            <w:r w:rsidRPr="00A870C3">
              <w:rPr>
                <w:rtl/>
              </w:rPr>
              <w:t>מתוך כ-745.3 מיליוני ש"ח שהממונה אישר לייעדם כהחזר בכלל התאגידים בשנים 2014 - 2022</w:t>
            </w:r>
          </w:p>
        </w:tc>
      </w:tr>
      <w:tr w14:paraId="1BD5A20C" w14:textId="77777777" w:rsidTr="003B5437">
        <w:tblPrEx>
          <w:tblW w:w="4884" w:type="pct"/>
          <w:tblLook w:val="04A0"/>
        </w:tblPrEx>
        <w:trPr>
          <w:gridAfter w:val="1"/>
          <w:wAfter w:w="1000" w:type="dxa"/>
        </w:trPr>
        <w:tc>
          <w:tcPr>
            <w:tcW w:w="1122" w:type="pct"/>
            <w:tcBorders>
              <w:bottom w:val="single" w:sz="12" w:space="0" w:color="000000" w:themeColor="text1"/>
            </w:tcBorders>
            <w:vAlign w:val="bottom"/>
          </w:tcPr>
          <w:p w:rsidR="003B5437" w:rsidRPr="000321D0" w:rsidP="003B5437" w14:paraId="500D3B50" w14:textId="556561E1">
            <w:pPr>
              <w:pStyle w:val="2021"/>
              <w:spacing w:before="0" w:after="60"/>
              <w:rPr>
                <w:b w:val="0"/>
                <w:bCs w:val="0"/>
                <w:spacing w:val="-10"/>
                <w:rtl/>
              </w:rPr>
            </w:pPr>
            <w:r w:rsidRPr="000321D0">
              <w:rPr>
                <w:spacing w:val="-10"/>
                <w:sz w:val="26"/>
                <w:szCs w:val="26"/>
                <w:rtl/>
              </w:rPr>
              <w:t>כ-</w:t>
            </w:r>
            <w:r w:rsidRPr="003B5437">
              <w:rPr>
                <w:spacing w:val="-10"/>
                <w:rtl/>
              </w:rPr>
              <w:t>1.7</w:t>
            </w:r>
            <w:r w:rsidRPr="003B5437">
              <w:rPr>
                <w:spacing w:val="-10"/>
                <w:sz w:val="26"/>
                <w:szCs w:val="26"/>
                <w:rtl/>
              </w:rPr>
              <w:t xml:space="preserve"> </w:t>
            </w:r>
            <w:r w:rsidRPr="000321D0">
              <w:rPr>
                <w:spacing w:val="-10"/>
                <w:sz w:val="26"/>
                <w:szCs w:val="26"/>
                <w:rtl/>
              </w:rPr>
              <w:t>מיליוני ש"ח</w:t>
            </w:r>
          </w:p>
        </w:tc>
        <w:tc>
          <w:tcPr>
            <w:tcW w:w="192" w:type="pct"/>
            <w:vAlign w:val="bottom"/>
          </w:tcPr>
          <w:p w:rsidR="003B5437" w:rsidRPr="000321D0" w:rsidP="003B5437"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238" w:type="pct"/>
            <w:tcBorders>
              <w:bottom w:val="single" w:sz="12" w:space="0" w:color="000000" w:themeColor="text1"/>
            </w:tcBorders>
            <w:vAlign w:val="bottom"/>
          </w:tcPr>
          <w:p w:rsidR="003B5437" w:rsidRPr="000321D0" w:rsidP="003B5437" w14:paraId="48896DF7" w14:textId="5580E2BE">
            <w:pPr>
              <w:pStyle w:val="2021"/>
              <w:spacing w:before="0" w:after="60"/>
              <w:rPr>
                <w:spacing w:val="-10"/>
                <w:rtl/>
              </w:rPr>
            </w:pPr>
            <w:r w:rsidRPr="000321D0">
              <w:rPr>
                <w:spacing w:val="-10"/>
                <w:sz w:val="26"/>
                <w:szCs w:val="26"/>
                <w:rtl/>
              </w:rPr>
              <w:t>כ-</w:t>
            </w:r>
            <w:r w:rsidRPr="000321D0">
              <w:rPr>
                <w:spacing w:val="-10"/>
                <w:rtl/>
              </w:rPr>
              <w:t xml:space="preserve">162 </w:t>
            </w:r>
            <w:r w:rsidRPr="000321D0">
              <w:rPr>
                <w:spacing w:val="-10"/>
                <w:sz w:val="26"/>
                <w:szCs w:val="26"/>
                <w:rtl/>
              </w:rPr>
              <w:t>מיליוני</w:t>
            </w:r>
            <w:r w:rsidRPr="000321D0">
              <w:rPr>
                <w:rFonts w:hint="cs"/>
                <w:spacing w:val="-10"/>
                <w:sz w:val="26"/>
                <w:szCs w:val="26"/>
                <w:rtl/>
              </w:rPr>
              <w:t xml:space="preserve"> </w:t>
            </w:r>
            <w:r w:rsidRPr="000321D0">
              <w:rPr>
                <w:spacing w:val="-10"/>
                <w:sz w:val="26"/>
                <w:szCs w:val="26"/>
                <w:rtl/>
              </w:rPr>
              <w:t>ש"ח</w:t>
            </w:r>
          </w:p>
        </w:tc>
        <w:tc>
          <w:tcPr>
            <w:tcW w:w="192" w:type="pct"/>
            <w:vAlign w:val="bottom"/>
          </w:tcPr>
          <w:p w:rsidR="003B5437" w:rsidRPr="000321D0" w:rsidP="003B5437" w14:paraId="5B4C8A80" w14:textId="77777777">
            <w:pPr>
              <w:spacing w:after="60" w:line="240" w:lineRule="auto"/>
              <w:jc w:val="left"/>
              <w:rPr>
                <w:b/>
                <w:bCs/>
                <w:rtl/>
              </w:rPr>
            </w:pPr>
          </w:p>
        </w:tc>
        <w:tc>
          <w:tcPr>
            <w:tcW w:w="1063" w:type="pct"/>
            <w:tcBorders>
              <w:bottom w:val="single" w:sz="12" w:space="0" w:color="000000" w:themeColor="text1"/>
            </w:tcBorders>
            <w:vAlign w:val="bottom"/>
          </w:tcPr>
          <w:p w:rsidR="003B5437" w:rsidRPr="000321D0" w:rsidP="003B5437" w14:paraId="226A2E50" w14:textId="0578E8A8">
            <w:pPr>
              <w:spacing w:after="60" w:line="192" w:lineRule="auto"/>
              <w:jc w:val="left"/>
              <w:rPr>
                <w:rFonts w:ascii="Tahoma" w:hAnsi="Tahoma" w:eastAsiaTheme="minorEastAsia" w:cs="Tahoma"/>
                <w:b/>
                <w:bCs/>
                <w:color w:val="0D0D0D" w:themeColor="text1" w:themeTint="F2"/>
                <w:spacing w:val="-10"/>
                <w:sz w:val="36"/>
                <w:szCs w:val="36"/>
                <w:rtl/>
              </w:rPr>
            </w:pPr>
            <w:r w:rsidRPr="000321D0">
              <w:rPr>
                <w:rFonts w:ascii="Tahoma" w:hAnsi="Tahoma" w:eastAsiaTheme="minorEastAsia" w:cs="Tahoma"/>
                <w:b/>
                <w:bCs/>
                <w:color w:val="0D0D0D" w:themeColor="text1" w:themeTint="F2"/>
                <w:spacing w:val="-10"/>
                <w:sz w:val="26"/>
                <w:szCs w:val="26"/>
                <w:rtl/>
              </w:rPr>
              <w:t>כ-</w:t>
            </w:r>
            <w:r w:rsidRPr="000321D0">
              <w:rPr>
                <w:rFonts w:ascii="Tahoma" w:hAnsi="Tahoma" w:eastAsiaTheme="minorEastAsia" w:cs="Tahoma"/>
                <w:b/>
                <w:bCs/>
                <w:color w:val="0D0D0D" w:themeColor="text1" w:themeTint="F2"/>
                <w:spacing w:val="-10"/>
                <w:sz w:val="36"/>
                <w:szCs w:val="36"/>
                <w:rtl/>
              </w:rPr>
              <w:t xml:space="preserve">225 </w:t>
            </w:r>
            <w:r w:rsidRPr="000321D0">
              <w:rPr>
                <w:rFonts w:ascii="Tahoma" w:hAnsi="Tahoma" w:eastAsiaTheme="minorEastAsia" w:cs="Tahoma"/>
                <w:b/>
                <w:bCs/>
                <w:color w:val="0D0D0D" w:themeColor="text1" w:themeTint="F2"/>
                <w:spacing w:val="-10"/>
                <w:sz w:val="26"/>
                <w:szCs w:val="26"/>
                <w:rtl/>
              </w:rPr>
              <w:t>מיליוני ש"ח</w:t>
            </w:r>
          </w:p>
        </w:tc>
        <w:tc>
          <w:tcPr>
            <w:tcW w:w="192" w:type="pct"/>
            <w:vAlign w:val="bottom"/>
          </w:tcPr>
          <w:p w:rsidR="003B5437" w:rsidRPr="000321D0" w:rsidP="003B5437"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r>
      <w:tr w14:paraId="54154FA5" w14:textId="77777777" w:rsidTr="003B5437">
        <w:tblPrEx>
          <w:tblW w:w="4884" w:type="pct"/>
          <w:tblLook w:val="04A0"/>
        </w:tblPrEx>
        <w:trPr>
          <w:gridAfter w:val="1"/>
          <w:wAfter w:w="1000" w:type="dxa"/>
        </w:trPr>
        <w:tc>
          <w:tcPr>
            <w:tcW w:w="1122" w:type="pct"/>
            <w:tcBorders>
              <w:top w:val="single" w:sz="12" w:space="0" w:color="000000" w:themeColor="text1"/>
            </w:tcBorders>
          </w:tcPr>
          <w:p w:rsidR="003B5437" w:rsidRPr="004562F8" w:rsidP="003B5437" w14:paraId="6DB67748" w14:textId="3C678B46">
            <w:pPr>
              <w:pStyle w:val="732021"/>
              <w:spacing w:before="0" w:after="0"/>
              <w:rPr>
                <w:rtl/>
              </w:rPr>
            </w:pPr>
            <w:r w:rsidRPr="00A870C3">
              <w:rPr>
                <w:rtl/>
              </w:rPr>
              <w:t>ההפסד הממוצע של "תאגידים זכאים"</w:t>
            </w:r>
            <w:r>
              <w:rPr>
                <w:vertAlign w:val="superscript"/>
                <w:rtl/>
              </w:rPr>
              <w:footnoteReference w:id="3"/>
            </w:r>
            <w:r w:rsidRPr="00A870C3">
              <w:rPr>
                <w:rtl/>
              </w:rPr>
              <w:t xml:space="preserve"> בשנת 2021, לעומת רווח ממוצע לתאגיד של 7.3 מיליוני ש"ח בקרב התאגידים הלא-זכאים</w:t>
            </w:r>
          </w:p>
        </w:tc>
        <w:tc>
          <w:tcPr>
            <w:tcW w:w="192" w:type="pct"/>
          </w:tcPr>
          <w:p w:rsidR="003B5437" w:rsidRPr="008D750B" w:rsidP="003B5437" w14:paraId="0C0AE598" w14:textId="77777777">
            <w:pPr>
              <w:pStyle w:val="732021"/>
              <w:spacing w:before="0" w:after="0"/>
              <w:rPr>
                <w:rtl/>
              </w:rPr>
            </w:pPr>
          </w:p>
        </w:tc>
        <w:tc>
          <w:tcPr>
            <w:tcW w:w="1238" w:type="pct"/>
            <w:tcBorders>
              <w:top w:val="single" w:sz="12" w:space="0" w:color="000000" w:themeColor="text1"/>
            </w:tcBorders>
          </w:tcPr>
          <w:p w:rsidR="003B5437" w:rsidRPr="004562F8" w:rsidP="003B5437" w14:paraId="1916A301" w14:textId="19722412">
            <w:pPr>
              <w:pStyle w:val="732021"/>
              <w:spacing w:before="0" w:after="0"/>
              <w:rPr>
                <w:rtl/>
              </w:rPr>
            </w:pPr>
            <w:r w:rsidRPr="000321D0">
              <w:rPr>
                <w:spacing w:val="-6"/>
                <w:rtl/>
              </w:rPr>
              <w:t>סכום הסבסוד שקיבלו התאגידים הזכאים מיתר התאגידים באמצעות התעריף בשנת 2021, שבה היו 13 תאגידים זכאים. סכום זה גדול בכ-40% מסכום הסבסוד בשנת 2018 וכן גדול בכ-245% מסכום הסבסוד בשנת 2011, שבהן היו 11 תאגידים זכאים</w:t>
            </w:r>
          </w:p>
        </w:tc>
        <w:tc>
          <w:tcPr>
            <w:tcW w:w="192" w:type="pct"/>
          </w:tcPr>
          <w:p w:rsidR="003B5437" w:rsidP="003B5437" w14:paraId="14782C57" w14:textId="77777777">
            <w:pPr>
              <w:pStyle w:val="732021"/>
              <w:spacing w:before="0" w:after="0"/>
              <w:rPr>
                <w:rtl/>
              </w:rPr>
            </w:pPr>
          </w:p>
        </w:tc>
        <w:tc>
          <w:tcPr>
            <w:tcW w:w="1063" w:type="pct"/>
            <w:tcBorders>
              <w:top w:val="single" w:sz="12" w:space="0" w:color="000000" w:themeColor="text1"/>
            </w:tcBorders>
          </w:tcPr>
          <w:p w:rsidR="003B5437" w:rsidRPr="000321D0" w:rsidP="003B5437" w14:paraId="6149CA50" w14:textId="58400BFB">
            <w:pPr>
              <w:pStyle w:val="732021"/>
              <w:spacing w:before="0" w:after="0"/>
              <w:rPr>
                <w:spacing w:val="-6"/>
                <w:rtl/>
              </w:rPr>
            </w:pPr>
            <w:r w:rsidRPr="00A870C3">
              <w:rPr>
                <w:rtl/>
              </w:rPr>
              <w:t xml:space="preserve">ששיעורם כ-52% מתקציב ההטבה לזכאים במסגרת מנגנון הסיוע בחשבונות המים בשנים 2015 </w:t>
            </w:r>
            <w:r w:rsidRPr="00A870C3">
              <w:rPr>
                <w:rFonts w:hint="cs"/>
                <w:rtl/>
              </w:rPr>
              <w:t>-</w:t>
            </w:r>
            <w:r w:rsidRPr="00A870C3">
              <w:rPr>
                <w:rtl/>
              </w:rPr>
              <w:t xml:space="preserve"> 2021, לא נוצלו</w:t>
            </w:r>
          </w:p>
        </w:tc>
        <w:tc>
          <w:tcPr>
            <w:tcW w:w="192" w:type="pct"/>
          </w:tcPr>
          <w:p w:rsidR="003B5437" w:rsidRPr="00C92141" w:rsidP="003B5437" w14:paraId="66E34E8E" w14:textId="77777777">
            <w:pPr>
              <w:pStyle w:val="732021"/>
              <w:spacing w:before="0" w:after="0"/>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759F6045">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4544255</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70C3" w:rsidR="000321D0">
        <w:rPr>
          <w:noProof/>
          <w:rtl/>
        </w:rPr>
        <w:t>בינואר 2023 ביצע משרד מבקר המדינה ביקורת מעקב על דוח מבקר המדינה משנת 2020 בנושא תאגידי המים והביוב - אסדרה, ניהול ופיקוח</w:t>
      </w:r>
      <w:r>
        <w:rPr>
          <w:noProof/>
          <w:vertAlign w:val="superscript"/>
          <w:rtl/>
        </w:rPr>
        <w:footnoteReference w:id="4"/>
      </w:r>
      <w:r w:rsidRPr="00A870C3" w:rsidR="000321D0">
        <w:rPr>
          <w:noProof/>
          <w:rtl/>
        </w:rPr>
        <w:t>. בביקורת המעקב בדק משרד מבקר המדינה את פעולותיהם של הרשות הממשלתית למים ולביוב, משרד האוצר - אגף תקציבים וארבעה תאגידי מים וביוב בעלי מאפיינים שונים שנבדקו בביקורת הקודמת, "מי ברק", "נווה מדבר", "מי רמת גן" ו"מי לוד", לתיקון הליקויים העיקריים שצוינו בביקורת הקודמת. בדיקות השלמה בוצעו במשרד הפנים ובמרכז השלטון המקומי בישראל (מש"ם</w:t>
      </w:r>
      <w:r w:rsidR="000321D0">
        <w:rPr>
          <w:rFonts w:hint="cs"/>
          <w:rtl/>
        </w:rPr>
        <w:t>)</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2A497A48">
      <w:pPr>
        <w:pStyle w:val="7317"/>
        <w:rPr>
          <w:rtl/>
        </w:rPr>
      </w:pPr>
      <w:r w:rsidRPr="000321D0">
        <w:rPr>
          <w:rStyle w:val="0-0"/>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21D0" w:rsidR="000321D0">
        <w:rPr>
          <w:rStyle w:val="0-0"/>
          <w:rtl/>
        </w:rPr>
        <w:t>התיאגוד</w:t>
      </w:r>
      <w:r w:rsidRPr="000321D0" w:rsidR="000321D0">
        <w:rPr>
          <w:rStyle w:val="0-0"/>
          <w:rtl/>
        </w:rPr>
        <w:t xml:space="preserve"> האזורי</w:t>
      </w:r>
      <w:r w:rsidRPr="00A870C3" w:rsidR="000321D0">
        <w:rPr>
          <w:rtl/>
        </w:rPr>
        <w:t xml:space="preserve"> </w:t>
      </w:r>
      <w:r w:rsidRPr="000321D0" w:rsidR="000321D0">
        <w:rPr>
          <w:rStyle w:val="0-0"/>
          <w:rtl/>
        </w:rPr>
        <w:t xml:space="preserve">- </w:t>
      </w:r>
      <w:r w:rsidRPr="00A870C3" w:rsidR="000321D0">
        <w:rPr>
          <w:rtl/>
        </w:rPr>
        <w:t xml:space="preserve">בביקורת הקודמת עלה כי הוראות החוק בדבר </w:t>
      </w:r>
      <w:r w:rsidRPr="00A870C3" w:rsidR="000321D0">
        <w:rPr>
          <w:rtl/>
        </w:rPr>
        <w:t>תיאגוד</w:t>
      </w:r>
      <w:r w:rsidRPr="00A870C3" w:rsidR="000321D0">
        <w:rPr>
          <w:rtl/>
        </w:rPr>
        <w:t xml:space="preserve"> אזורי לא יושמו. מספר התאגידים לא צומצם, ומתווי </w:t>
      </w:r>
      <w:r w:rsidRPr="00A870C3" w:rsidR="000321D0">
        <w:rPr>
          <w:rtl/>
        </w:rPr>
        <w:t>התיאגוד</w:t>
      </w:r>
      <w:r w:rsidRPr="00A870C3" w:rsidR="000321D0">
        <w:rPr>
          <w:rtl/>
        </w:rPr>
        <w:t xml:space="preserve"> האזורי שהציעה הרשות בשנים 2013 ו-2019 לא יצאו לפועל על אף התמריצים והמענקים שהציעה רשות המים לעידוד </w:t>
      </w:r>
      <w:r w:rsidRPr="00A870C3" w:rsidR="000321D0">
        <w:rPr>
          <w:rtl/>
        </w:rPr>
        <w:t>התיאגוד</w:t>
      </w:r>
      <w:r w:rsidRPr="00A870C3" w:rsidR="000321D0">
        <w:rPr>
          <w:rtl/>
        </w:rPr>
        <w:t xml:space="preserve"> האזורי. </w:t>
      </w:r>
      <w:r w:rsidRPr="000321D0" w:rsidR="000321D0">
        <w:rPr>
          <w:rStyle w:val="0-0"/>
          <w:rtl/>
        </w:rPr>
        <w:t>ממצאי המעקב מעלים כי בתקופת המעקב הליקוי לא תוקן:</w:t>
      </w:r>
      <w:r w:rsidRPr="00A870C3" w:rsidR="000321D0">
        <w:t xml:space="preserve"> </w:t>
      </w:r>
      <w:r w:rsidRPr="00A870C3" w:rsidR="000321D0">
        <w:rPr>
          <w:rtl/>
        </w:rPr>
        <w:t xml:space="preserve">מתווה </w:t>
      </w:r>
      <w:r w:rsidRPr="00A870C3" w:rsidR="000321D0">
        <w:rPr>
          <w:rtl/>
        </w:rPr>
        <w:t>התיאגוד</w:t>
      </w:r>
      <w:r w:rsidRPr="00A870C3" w:rsidR="000321D0">
        <w:rPr>
          <w:rtl/>
        </w:rPr>
        <w:t xml:space="preserve"> האזורי לא יושם בתקופת המעקב, לא הוקמו תאגידים אזוריים לפי מפת השיוך שפורסמה במאי 2020, ומספר התאגידים נותר 56 במקום 30 כפי שנדרש בחוק בתקופת המעקב.</w:t>
      </w:r>
      <w:r w:rsidRPr="003C007E" w:rsidR="000321D0">
        <w:rPr>
          <w:rtl/>
        </w:rPr>
        <w:t xml:space="preserve"> </w:t>
      </w:r>
      <w:r w:rsidRPr="00A870C3" w:rsidR="000321D0">
        <w:rPr>
          <w:rtl/>
        </w:rPr>
        <w:t xml:space="preserve">עם זאת, יצוין כי במהלך תקופת המעקב נדונו בבית המשפט העליון עתירות בנושא, ולאחר תקופת המעקב ביוני 2023 פורסם תיקון מס' 15 לחוק תאגידי מים וביוב. על פי תיקון זה הוארך המועד הקובע ליישום חובת </w:t>
      </w:r>
      <w:r w:rsidRPr="00A870C3" w:rsidR="000321D0">
        <w:rPr>
          <w:rtl/>
        </w:rPr>
        <w:t>התיאגוד</w:t>
      </w:r>
      <w:r w:rsidRPr="00A870C3" w:rsidR="000321D0">
        <w:rPr>
          <w:rtl/>
        </w:rPr>
        <w:t xml:space="preserve"> האזורי ל-1 בינואר 2025 ובוטלה המגבלה ולפיה מספר התאגידים האזוריים לא יעלה על 30</w:t>
      </w:r>
      <w:r w:rsidRPr="00AF3B73">
        <w:rPr>
          <w:rtl/>
        </w:rPr>
        <w:t>.</w:t>
      </w:r>
    </w:p>
    <w:p w:rsidR="00EB672B" w:rsidRPr="00AF3B73" w:rsidP="00EB672B" w14:paraId="61697365" w14:textId="14B04202">
      <w:pPr>
        <w:pStyle w:val="7317"/>
      </w:pPr>
      <w:r w:rsidRPr="000321D0">
        <w:rPr>
          <w:rStyle w:val="0-0"/>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21D0" w:rsidR="000321D0">
        <w:rPr>
          <w:rStyle w:val="0-0"/>
          <w:rtl/>
        </w:rPr>
        <w:t xml:space="preserve">רשויות מקומיות החייבות </w:t>
      </w:r>
      <w:r w:rsidRPr="000321D0" w:rsidR="000321D0">
        <w:rPr>
          <w:rStyle w:val="0-0"/>
          <w:rtl/>
        </w:rPr>
        <w:t>בתיאגוד</w:t>
      </w:r>
      <w:r w:rsidRPr="000321D0" w:rsidR="000321D0">
        <w:rPr>
          <w:rStyle w:val="0-0"/>
          <w:rtl/>
        </w:rPr>
        <w:t xml:space="preserve"> שטרם התאגדו -</w:t>
      </w:r>
      <w:r w:rsidRPr="00A870C3" w:rsidR="000321D0">
        <w:rPr>
          <w:rtl/>
        </w:rPr>
        <w:t xml:space="preserve"> בביקורת הקודמת עלה כי 24 רשויות מקומיות החייבות </w:t>
      </w:r>
      <w:r w:rsidRPr="00A870C3" w:rsidR="000321D0">
        <w:rPr>
          <w:rtl/>
        </w:rPr>
        <w:t>בתיאגוד</w:t>
      </w:r>
      <w:r w:rsidRPr="00A870C3" w:rsidR="000321D0">
        <w:rPr>
          <w:rtl/>
        </w:rPr>
        <w:t xml:space="preserve"> לא התאגדו. </w:t>
      </w:r>
      <w:r w:rsidRPr="000321D0" w:rsidR="000321D0">
        <w:rPr>
          <w:rStyle w:val="0-0"/>
          <w:rtl/>
        </w:rPr>
        <w:t>ממצאי המעקב מעלים כי הליקוי לא תוקן:</w:t>
      </w:r>
      <w:r w:rsidRPr="00A870C3" w:rsidR="000321D0">
        <w:rPr>
          <w:rtl/>
        </w:rPr>
        <w:t xml:space="preserve"> בתקופת המעקב התאגדה, תוך הצטרפות לתאגיד רב-רשותי, רק רשות מקומית אחת החייבת </w:t>
      </w:r>
      <w:r w:rsidRPr="00A870C3" w:rsidR="000321D0">
        <w:rPr>
          <w:rtl/>
        </w:rPr>
        <w:t>בתיאגוד</w:t>
      </w:r>
      <w:r w:rsidRPr="00A870C3" w:rsidR="000321D0">
        <w:rPr>
          <w:rtl/>
        </w:rPr>
        <w:t xml:space="preserve"> (</w:t>
      </w:r>
      <w:r w:rsidRPr="00A870C3" w:rsidR="000321D0">
        <w:rPr>
          <w:rtl/>
        </w:rPr>
        <w:t>ג'יסר</w:t>
      </w:r>
      <w:r w:rsidRPr="00A870C3" w:rsidR="000321D0">
        <w:rPr>
          <w:rtl/>
        </w:rPr>
        <w:t xml:space="preserve"> א-זרקא), שדירוגה במדד החברתי-כלכלי</w:t>
      </w:r>
      <w:r>
        <w:rPr>
          <w:vertAlign w:val="superscript"/>
          <w:rtl/>
        </w:rPr>
        <w:footnoteReference w:id="5"/>
      </w:r>
      <w:r w:rsidRPr="00A870C3" w:rsidR="000321D0">
        <w:rPr>
          <w:rtl/>
        </w:rPr>
        <w:t xml:space="preserve"> הוא 2 - דירוג נמוך; ואילו 23 רשויות מקומיות החייבות </w:t>
      </w:r>
      <w:r w:rsidRPr="00A870C3" w:rsidR="000321D0">
        <w:rPr>
          <w:rtl/>
        </w:rPr>
        <w:t>בתיאגוד</w:t>
      </w:r>
      <w:r w:rsidRPr="00A870C3" w:rsidR="000321D0">
        <w:rPr>
          <w:rtl/>
        </w:rPr>
        <w:t xml:space="preserve"> שהמדד החברתי-כלכלי הממוצע שלהן הוא 6.3 לא התאגדו, על אף חובת ההתאגדות הקבועה בחוק</w:t>
      </w:r>
      <w:r w:rsidRPr="00AF3B73">
        <w:rPr>
          <w:rFonts w:hint="cs"/>
          <w:rtl/>
        </w:rPr>
        <w:t xml:space="preserve">. </w:t>
      </w:r>
    </w:p>
    <w:p w:rsidR="000321D0" w:rsidRPr="00A870C3" w:rsidP="000321D0" w14:paraId="30D08326" w14:textId="3EC215B2">
      <w:pPr>
        <w:pStyle w:val="7317"/>
      </w:pPr>
      <w:r w:rsidRPr="000321D0">
        <w:rPr>
          <w:rStyle w:val="0-0"/>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21D0">
        <w:rPr>
          <w:rStyle w:val="0-0"/>
          <w:rtl/>
        </w:rPr>
        <w:t>מדדים פיננסיים ותפעוליים בפעילות התאגידים הזכאים לעומת התאגידים הלא-זכאים -</w:t>
      </w:r>
      <w:r w:rsidRPr="00A870C3">
        <w:rPr>
          <w:rtl/>
        </w:rPr>
        <w:t xml:space="preserve"> בביקורת הקודמת עלה כי על אף הסבסוד והמענקים שקיבלו התאגידים הזכאים משנת 2010 נותרו רובם במצב הנזקק לסיוע. </w:t>
      </w:r>
      <w:r w:rsidRPr="000321D0">
        <w:rPr>
          <w:rStyle w:val="0-0"/>
          <w:rtl/>
        </w:rPr>
        <w:t xml:space="preserve">ממצאי המעקב מעלים כי הליקוי לא </w:t>
      </w:r>
      <w:r w:rsidRPr="000321D0">
        <w:rPr>
          <w:rStyle w:val="0-0"/>
          <w:rtl/>
        </w:rPr>
        <w:t>תוקן:</w:t>
      </w:r>
      <w:r w:rsidRPr="00A870C3">
        <w:t xml:space="preserve"> </w:t>
      </w:r>
      <w:r w:rsidRPr="00A870C3">
        <w:rPr>
          <w:rtl/>
        </w:rPr>
        <w:t xml:space="preserve">במהלך תקופת המעקב לא זו בלבד שמנגנון הסבסוד לא שירת את היעד של קידום התאגידים הזכאים לעצמאות כלכלית, אלא שהפער בינם לבין התאגידים הלא-זכאים גדל במידה ניכרת בהיבטים של רווחיות ואיתנות פיננסית ואף בהיבט התפעולי של פחת מים. הסיוע השוטף במסגרת הסבסוד הלך וגדל. להלן ממצאי ההשוואה בין מצב התאגידים הזכאים בשנת 2018, שבה היו 11 תאגידים זכאים, לבין מצבם בשנת 2021, שבה היו 13 תאגידים זכאים, וזאת לעומת מצבם של התאגידים הלא-זכאים בשנים אלה: </w:t>
      </w:r>
      <w:bookmarkStart w:id="1" w:name="_Hlk132630964"/>
    </w:p>
    <w:p w:rsidR="000321D0" w:rsidRPr="00A870C3" w:rsidP="006F6209" w14:paraId="4A4419A7" w14:textId="77777777">
      <w:pPr>
        <w:pStyle w:val="7317"/>
        <w:numPr>
          <w:ilvl w:val="0"/>
          <w:numId w:val="10"/>
        </w:numPr>
      </w:pPr>
      <w:r w:rsidRPr="000321D0">
        <w:rPr>
          <w:rStyle w:val="0-0"/>
          <w:rtl/>
        </w:rPr>
        <w:t>רווחיות -</w:t>
      </w:r>
      <w:r w:rsidRPr="00A870C3">
        <w:rPr>
          <w:rtl/>
        </w:rPr>
        <w:t xml:space="preserve"> </w:t>
      </w:r>
      <w:bookmarkStart w:id="2" w:name="_Hlk132630833"/>
      <w:r w:rsidRPr="00A870C3">
        <w:rPr>
          <w:rtl/>
        </w:rPr>
        <w:t xml:space="preserve">בשנים 2018 - 2021 </w:t>
      </w:r>
      <w:bookmarkEnd w:id="2"/>
      <w:r w:rsidRPr="00A870C3">
        <w:rPr>
          <w:rtl/>
        </w:rPr>
        <w:t>גדל סך הרווח של התאגידים הלא-זכאים בכ-17% (מ-267.67 מיליוני ש"ח ל-313.94 מיליוני ש"ח), אולם סך הרווח של התאגידים הזכאים פחת והם עברו מרווח (אומנם קטן, בסך כ-1.98 מיליוני ש"ח) להפסד (בסך כ-22.1 מיליוני ש"ח). בפרק זמן זה גדל הרווח השנתי הממוצע לתאגיד בקרב התאגידים הלא-זכאים בכ-23%, אולם הרווח השנתי הממוצע לתאגיד בקרב התאגידים הזכאים, שהיה כ-180,000 ש"ח בשנת 2018, פחת במידה ניכרת, הם עברו מרווח להפסד וסיימו את השנה בהפסד של כ-1.7 מיליוני ש"ח. כמו כן, בפרק זמן זה הרווח הממוצע לצרכן בתאגיד בקרב התאגידים הלא-זכאים עלה בכ-17%, אולם בקרב התאגידים הזכאים הרווח הממוצע לצרכן הפך להפסד.</w:t>
      </w:r>
      <w:bookmarkEnd w:id="1"/>
    </w:p>
    <w:p w:rsidR="000321D0" w:rsidRPr="00A870C3" w:rsidP="006F6209" w14:paraId="3198F522" w14:textId="77777777">
      <w:pPr>
        <w:pStyle w:val="7317"/>
        <w:numPr>
          <w:ilvl w:val="0"/>
          <w:numId w:val="10"/>
        </w:numPr>
      </w:pPr>
      <w:r w:rsidRPr="000321D0">
        <w:rPr>
          <w:rStyle w:val="0-0"/>
          <w:rtl/>
        </w:rPr>
        <w:t>איתנות פיננסית -</w:t>
      </w:r>
      <w:r w:rsidRPr="00A870C3">
        <w:rPr>
          <w:rtl/>
        </w:rPr>
        <w:t xml:space="preserve"> המעקב העלה כי המינוף הפיננסי הממוצע של התאגידים הזכאים עלה מ-59% בשנת 2018 ל-66% בשנת 2021. על אף הסיוע שניתן לתאגידים הזכאים מתעריף המים ומתקציב המדינה, לא התחזקה איתנותם הפיננסית הבאה לידי ביטוי במינוף הממוצע שלהם, והיא אף נחלשה במידה ניכרת.</w:t>
      </w:r>
    </w:p>
    <w:p w:rsidR="000321D0" w:rsidRPr="00A870C3" w:rsidP="006F6209" w14:paraId="5400EE8B" w14:textId="77777777">
      <w:pPr>
        <w:pStyle w:val="7317"/>
        <w:numPr>
          <w:ilvl w:val="0"/>
          <w:numId w:val="10"/>
        </w:numPr>
      </w:pPr>
      <w:r w:rsidRPr="000321D0">
        <w:rPr>
          <w:rStyle w:val="0-0"/>
          <w:rtl/>
        </w:rPr>
        <w:t>פחת מים -</w:t>
      </w:r>
      <w:r w:rsidRPr="00A870C3">
        <w:rPr>
          <w:rtl/>
        </w:rPr>
        <w:t xml:space="preserve"> המעקב העלה כי בשנים 2018 - 2021 שיעור פחת המים הממוצע ירד הן בתאגידים הזכאים (מ-21% ל-18%) והן בתאגידים הלא-זכאים (מ-7% ל-6%), דהיינו בממוצע חל שיפור בשיעורי פחת המים. עם זאת, שיעור הפחת הממוצע של התאגידים הזכאים נותר גדול פי שלושה מאשר בתאגידים הלא-זכאים. עוד עלה בביקורת המעקב כי גם בשנת 2021, כמו בשנת 2018, הערך הגבוה ביותר של פחת המים היה בתאגיד "נווה מדבר", והוא עלה מ-36.1% בשנת 2018 ל-40.3% בשנת 2021.</w:t>
      </w:r>
    </w:p>
    <w:p w:rsidR="000321D0" w:rsidRPr="00A870C3" w:rsidP="006F6209" w14:paraId="42CC387E" w14:textId="15132291">
      <w:pPr>
        <w:pStyle w:val="7317"/>
        <w:numPr>
          <w:ilvl w:val="0"/>
          <w:numId w:val="10"/>
        </w:numPr>
      </w:pPr>
      <w:r w:rsidRPr="000321D0">
        <w:rPr>
          <w:rStyle w:val="0-0"/>
          <w:rtl/>
        </w:rPr>
        <w:t>מנגנון הסבסוד המובנה בתעריף המים -</w:t>
      </w:r>
      <w:r w:rsidRPr="00A870C3">
        <w:rPr>
          <w:rtl/>
        </w:rPr>
        <w:t xml:space="preserve"> בשנים 2018 - 2021 חל גידול של </w:t>
      </w:r>
      <w:r w:rsidR="00DF5FC4">
        <w:rPr>
          <w:rtl/>
        </w:rPr>
        <w:br/>
      </w:r>
      <w:r w:rsidR="00DF5FC4">
        <w:rPr>
          <w:rFonts w:hint="cs"/>
          <w:rtl/>
        </w:rPr>
        <w:t>כ-</w:t>
      </w:r>
      <w:r w:rsidRPr="00A870C3">
        <w:rPr>
          <w:rtl/>
        </w:rPr>
        <w:t xml:space="preserve">40% בסכום הסבסוד השנתי שקיבלו התאגידים הזכאים מיתר התאגידים במסגרת התעריף, ובשנים 2011 - 2022 חל גידול של כ-245% בסכום הסבסוד השנתי האמור (47 מיליוני ש"ח בשנת 2011, 116 </w:t>
      </w:r>
      <w:r w:rsidRPr="00A870C3">
        <w:rPr>
          <w:rtl/>
        </w:rPr>
        <w:t>מליוני</w:t>
      </w:r>
      <w:r w:rsidRPr="00A870C3">
        <w:rPr>
          <w:rtl/>
        </w:rPr>
        <w:t xml:space="preserve"> ש"ח בשנת 2018 ו-162 מיליוני ש"ח בשנת 2021). </w:t>
      </w:r>
    </w:p>
    <w:p w:rsidR="00EB672B" w:rsidRPr="00AF3B73" w:rsidP="00EB672B" w14:paraId="42C157E6" w14:textId="7CBD2FF4">
      <w:pPr>
        <w:pStyle w:val="7317"/>
      </w:pPr>
      <w:r w:rsidRPr="000321D0">
        <w:rPr>
          <w:rStyle w:val="0-0"/>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21D0" w:rsidR="000321D0">
        <w:rPr>
          <w:rStyle w:val="0-0"/>
          <w:rtl/>
        </w:rPr>
        <w:t>ייעוד עודפים כספיים של תאגידי המים כהחזר לצרכנים -</w:t>
      </w:r>
      <w:r w:rsidRPr="00A870C3" w:rsidR="000321D0">
        <w:rPr>
          <w:rtl/>
        </w:rPr>
        <w:t xml:space="preserve"> משנת 2014 תאגידי המים רשאים לייעד את רווחיהם לחלוקה כדיבידנדים לרשויות המקומיות או להחזר כספי </w:t>
      </w:r>
      <w:r w:rsidRPr="00A870C3" w:rsidR="000321D0">
        <w:rPr>
          <w:rtl/>
        </w:rPr>
        <w:t>לצרכניהם</w:t>
      </w:r>
      <w:r w:rsidRPr="00A870C3" w:rsidR="000321D0">
        <w:rPr>
          <w:rtl/>
        </w:rPr>
        <w:t xml:space="preserve">. תאגיד המייעד את רווחיו כהחזר לצרכנים מוזיל את עלות שירותי המים והביוב </w:t>
      </w:r>
      <w:r w:rsidRPr="00A870C3" w:rsidR="000321D0">
        <w:rPr>
          <w:rtl/>
        </w:rPr>
        <w:t>לצרכניו</w:t>
      </w:r>
      <w:r w:rsidRPr="00A870C3" w:rsidR="000321D0">
        <w:rPr>
          <w:rtl/>
        </w:rPr>
        <w:t>. עלה כי בהתאם לכללי חלוקת רווחים אישר הממונה בשנים 2014 - 2022 ייעוד רווחים בסך כולל של כ-745.3 מיליוני ש"ח, מהם כ-737.8 מיליוני ש"ח חולקו כדיבידנדים לרשויות המקומיות בשנים 2014 - 2020 ורק כ-7.5 מיליוני ש"ח יועדו בשנת 2022 כהחזר לצרכנים על ידי תאגיד אחד בלבד - תאגיד מי אונו</w:t>
      </w:r>
      <w:r w:rsidRPr="00AF3B73">
        <w:rPr>
          <w:rFonts w:hint="cs"/>
          <w:rtl/>
        </w:rPr>
        <w:t xml:space="preserve">. </w:t>
      </w:r>
    </w:p>
    <w:p w:rsidR="00EB672B" w:rsidRPr="00AF3B73" w:rsidP="00EB672B" w14:paraId="0E55F83C" w14:textId="41DC8D43">
      <w:pPr>
        <w:pStyle w:val="7317"/>
      </w:pPr>
      <w:r w:rsidRPr="000321D0">
        <w:rPr>
          <w:rStyle w:val="0-0"/>
          <w:rFonts w:hint="cs"/>
          <w:noProof/>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321D0" w:rsidR="000321D0">
        <w:rPr>
          <w:rStyle w:val="0-0"/>
          <w:rtl/>
        </w:rPr>
        <w:t>הטיפול באוכלוסיות הראויות לקידום -</w:t>
      </w:r>
      <w:r w:rsidRPr="00A870C3" w:rsidR="000321D0">
        <w:rPr>
          <w:rtl/>
        </w:rPr>
        <w:t xml:space="preserve"> בביקורת הקודמת עלה כי על אף הנחיית ועדת הכספים ממאי 2017 ואף על פי שרשות המים שלחה למשרד האוצר כבר במאי 2017 הצעה </w:t>
      </w:r>
      <w:r w:rsidRPr="00A870C3" w:rsidR="000321D0">
        <w:rPr>
          <w:rtl/>
        </w:rPr>
        <w:t xml:space="preserve">לתיקון התקנות, לא הגיש משרד האוצר לוועדת הכספים הצעת תיקון לתקנות, ומנגנון הסיוע נותר ללא שינוי. </w:t>
      </w:r>
      <w:r w:rsidRPr="000321D0" w:rsidR="000321D0">
        <w:rPr>
          <w:rStyle w:val="0-0"/>
          <w:rtl/>
        </w:rPr>
        <w:t>ממצאי המעקב מעלים כי הליקוי לא תוקן:</w:t>
      </w:r>
      <w:r w:rsidRPr="00A870C3" w:rsidR="000321D0">
        <w:t xml:space="preserve"> </w:t>
      </w:r>
      <w:r w:rsidRPr="00A870C3" w:rsidR="000321D0">
        <w:rPr>
          <w:rtl/>
        </w:rPr>
        <w:t>מנגנון הסיוע לא תוקן, ומשרד האוצר לא הגיש לוועדת הכספים הצעה לתיקון התקנות. זאת על אף הנחיותיו של יו"ר ועדת הכלכלה דאז בדיון של ועדת הכלכלה בממצאי דוח הביקורת הקודמת בנושא בפברואר 2022, ואף שנציגי משרד האוצר ורשות המים הסכימו באותו דיון שמנגנון הסיוע הקיים אינו יעיל ויש להחליפו. בשנים 2015 - 2021 לא נוצלו כ-243 מילוני ש"ח שתוקצבו לצורכי הטבה לאוכלוסיות הזכאיות, ששיעורם כ-42% מהתקציב</w:t>
      </w:r>
      <w:r w:rsidRPr="00AF3B73">
        <w:rPr>
          <w:rFonts w:hint="cs"/>
          <w:rtl/>
        </w:rPr>
        <w:t xml:space="preserve">. </w:t>
      </w:r>
    </w:p>
    <w:p w:rsidR="00EB672B" w:rsidRPr="000B463F" w:rsidP="000321D0"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3FAC394D">
      <w:pPr>
        <w:pStyle w:val="7317"/>
        <w:rPr>
          <w:rtl/>
        </w:rPr>
      </w:pPr>
      <w:r w:rsidRPr="000321D0">
        <w:rPr>
          <w:rStyle w:val="7371"/>
          <w:rtl/>
        </w:rPr>
        <w:t>ייעוד רווחי תאגידי מים כהחזר לצרכנים</w:t>
      </w:r>
      <w:r w:rsidRPr="00A870C3">
        <w:rPr>
          <w:rtl/>
        </w:rPr>
        <w:t xml:space="preserve"> - משרד מבקר המדינה מציין לחיוב את החלטת דירקטוריון תאגיד מי אונו בע"מ לחלק את רווחיו בסך 7.5 מיליוני ש"ח כהחזר כספי </w:t>
      </w:r>
      <w:r w:rsidRPr="00A870C3">
        <w:rPr>
          <w:rtl/>
        </w:rPr>
        <w:t>לצרכניו</w:t>
      </w:r>
      <w:r w:rsidRPr="00A870C3">
        <w:rPr>
          <w:rtl/>
        </w:rPr>
        <w:t xml:space="preserve"> בשנת 2022, ובכך להוזיל עבורם את חשבונות המים והביוב לנוכח רווחי פעילותו באותה שנה</w:t>
      </w:r>
      <w:r w:rsidRPr="00CA4EB1">
        <w:rPr>
          <w:rFonts w:hint="cs"/>
          <w:rtl/>
        </w:rPr>
        <w:t>.</w:t>
      </w:r>
    </w:p>
    <w:p w:rsidR="00EB672B" w:rsidRPr="00CA4EB1" w:rsidP="00EB672B" w14:paraId="3D4B0578" w14:textId="140D4477">
      <w:pPr>
        <w:pStyle w:val="7317"/>
        <w:rPr>
          <w:rtl/>
        </w:rPr>
      </w:pPr>
      <w:r w:rsidRPr="000321D0">
        <w:rPr>
          <w:rStyle w:val="7371"/>
          <w:rtl/>
        </w:rPr>
        <w:t>פחת המים</w:t>
      </w:r>
      <w:r w:rsidRPr="00A870C3">
        <w:rPr>
          <w:rtl/>
        </w:rPr>
        <w:t xml:space="preserve"> - בביקורת המעקב עלה כי מאז הביקורת הקודמת התאגידים מי ברק ומי לוד צמצמו את פחת המים שלהם בשנים 2018 עד 2021</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478A63AB">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321D0" w:rsidR="000321D0">
        <w:rPr>
          <w:rtl/>
        </w:rPr>
        <w:t xml:space="preserve"> </w:t>
      </w:r>
      <w:r w:rsidRPr="00A870C3" w:rsidR="000321D0">
        <w:rPr>
          <w:rtl/>
        </w:rPr>
        <w:t xml:space="preserve">על רשות המים ומשרד האוצר למפות את כלל החסמים ליישום חובת </w:t>
      </w:r>
      <w:r w:rsidRPr="00A870C3" w:rsidR="000321D0">
        <w:rPr>
          <w:rtl/>
        </w:rPr>
        <w:t>התיאגוד</w:t>
      </w:r>
      <w:r w:rsidRPr="00A870C3" w:rsidR="000321D0">
        <w:rPr>
          <w:rtl/>
        </w:rPr>
        <w:t xml:space="preserve"> האזורי ולפעול למימוש פתרונות שיאפשרו את הסרת החסמים ופתרונות שיעודדו את הרשויות המקומיות להתאגד כנדרש</w:t>
      </w:r>
      <w:r w:rsidRPr="007C7D40">
        <w:rPr>
          <w:rFonts w:hint="cs"/>
          <w:rtl/>
        </w:rPr>
        <w:t xml:space="preserve">. </w:t>
      </w:r>
    </w:p>
    <w:p w:rsidR="00EB672B" w:rsidRPr="007C7D40" w:rsidP="00EB672B" w14:paraId="723E2ABD" w14:textId="1FA17055">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870C3" w:rsidR="000321D0">
        <w:rPr>
          <w:rtl/>
        </w:rPr>
        <w:t xml:space="preserve">על הרשויות המקומיות החייבות </w:t>
      </w:r>
      <w:r w:rsidRPr="00A870C3" w:rsidR="000321D0">
        <w:rPr>
          <w:rtl/>
        </w:rPr>
        <w:t>בתיאגוד</w:t>
      </w:r>
      <w:r w:rsidRPr="00A870C3" w:rsidR="000321D0">
        <w:rPr>
          <w:rtl/>
        </w:rPr>
        <w:t xml:space="preserve"> שלא התאגדו לפעול בהתאם לחוק ולהתאגד בתאגידי מים כנדרש. משרד מבקר המדינה ממליץ כי על מנת להביא ליישום חובת </w:t>
      </w:r>
      <w:r w:rsidRPr="00A870C3" w:rsidR="000321D0">
        <w:rPr>
          <w:rtl/>
        </w:rPr>
        <w:t>התיאגוד</w:t>
      </w:r>
      <w:r w:rsidRPr="00A870C3" w:rsidR="000321D0">
        <w:rPr>
          <w:rtl/>
        </w:rPr>
        <w:t xml:space="preserve"> החלה על פי החוק, משרד האוצר, רשות המים וכן משרד הפנים, </w:t>
      </w:r>
      <w:r w:rsidRPr="00A870C3" w:rsidR="000321D0">
        <w:rPr>
          <w:rtl/>
        </w:rPr>
        <w:t>מש"ם</w:t>
      </w:r>
      <w:r w:rsidRPr="00A870C3" w:rsidR="000321D0">
        <w:rPr>
          <w:rtl/>
        </w:rPr>
        <w:t xml:space="preserve"> והרשויות המקומיות, ישתפו פעולה ויפעלו למציאת פתרונות ולהסרת החסמים כדי להביא ליישום הוראות החוק בדבר התאגדותן, ובכלל זה כי הם יפעלו לצמצום הפער מבחינת מצב התשתיות בינן לבין הרשויות המקומיות שאיתן הן נדרשות להתאגד</w:t>
      </w:r>
      <w:r w:rsidRPr="007C7D40">
        <w:rPr>
          <w:rtl/>
        </w:rPr>
        <w:t xml:space="preserve">. </w:t>
      </w:r>
    </w:p>
    <w:p w:rsidR="00EB672B" w:rsidRPr="007C7D40" w:rsidP="00EB672B" w14:paraId="55FA89EC" w14:textId="34D68381">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870C3" w:rsidR="000321D0">
        <w:rPr>
          <w:rtl/>
        </w:rPr>
        <w:t xml:space="preserve">מומלץ כי רשות המים תשקול לקבוע תמריצים לייעוד רווחי תאגידים כהחזר </w:t>
      </w:r>
      <w:r w:rsidRPr="00A870C3" w:rsidR="000321D0">
        <w:rPr>
          <w:rtl/>
        </w:rPr>
        <w:t>לצרכניהם</w:t>
      </w:r>
      <w:r w:rsidRPr="00A870C3" w:rsidR="000321D0">
        <w:rPr>
          <w:rtl/>
        </w:rPr>
        <w:t>, או לחילופין תמריצים שיעודדו להשאירם במשק המים כדי שישמשו לביצוע תוכניות פיתוח נוספות</w:t>
      </w:r>
      <w:r>
        <w:rPr>
          <w:vertAlign w:val="superscript"/>
          <w:rtl/>
        </w:rPr>
        <w:footnoteReference w:id="6"/>
      </w:r>
      <w:r w:rsidRPr="007C7D40">
        <w:rPr>
          <w:rFonts w:hint="cs"/>
          <w:rtl/>
        </w:rPr>
        <w:t>.</w:t>
      </w:r>
    </w:p>
    <w:p w:rsidR="00EB672B" w:rsidRPr="007C7D40" w:rsidP="00EB672B" w14:paraId="078A06EB" w14:textId="18324B6B">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870C3" w:rsidR="000321D0">
        <w:rPr>
          <w:rtl/>
        </w:rPr>
        <w:t xml:space="preserve">משרד מבקר המדינה חוזר על המלצתו בביקורת הקודמת לשיתוף פעולה בין </w:t>
      </w:r>
      <w:r w:rsidRPr="00374B33" w:rsidR="00374B33">
        <w:rPr>
          <w:rtl/>
        </w:rPr>
        <w:t>משרד האוצר, משרד האנרגיה והתשתיות (משרד האנרגיה</w:t>
      </w:r>
      <w:r w:rsidR="00374B33">
        <w:rPr>
          <w:rFonts w:hint="cs"/>
          <w:rtl/>
        </w:rPr>
        <w:t>)</w:t>
      </w:r>
      <w:r w:rsidRPr="00A870C3" w:rsidR="000321D0">
        <w:rPr>
          <w:rtl/>
        </w:rPr>
        <w:t xml:space="preserve"> ורשות המים בנושא שיפור מצבם של תאגידים זכאים, ואף ממליץ כי אם הדבר יידרש כדי לגבש פתרון מערכתי כולל, משרד </w:t>
      </w:r>
      <w:r w:rsidRPr="00A870C3" w:rsidR="000321D0">
        <w:rPr>
          <w:rtl/>
        </w:rPr>
        <w:t>האנרגייה</w:t>
      </w:r>
      <w:r w:rsidRPr="00A870C3" w:rsidR="000321D0">
        <w:rPr>
          <w:rtl/>
        </w:rPr>
        <w:t xml:space="preserve"> ישקול להביא לדיון בממשלה הצעה להקים צוות בין-משרדי או ליזום דיונים </w:t>
      </w:r>
      <w:r w:rsidRPr="00A870C3" w:rsidR="000321D0">
        <w:rPr>
          <w:rtl/>
        </w:rPr>
        <w:t xml:space="preserve">משותפים. </w:t>
      </w:r>
      <w:r w:rsidRPr="00374B33" w:rsidR="00374B33">
        <w:rPr>
          <w:rtl/>
        </w:rPr>
        <w:t xml:space="preserve">מומלץ לשקול את האפשרות כי בצוות הבין-משרדי או </w:t>
      </w:r>
      <w:r w:rsidRPr="00374B33" w:rsidR="00374B33">
        <w:rPr>
          <w:rtl/>
        </w:rPr>
        <w:t>בדייונים</w:t>
      </w:r>
      <w:r w:rsidRPr="00374B33" w:rsidR="00374B33">
        <w:rPr>
          <w:rtl/>
        </w:rPr>
        <w:t xml:space="preserve"> משותפים אלה ישתתפו</w:t>
      </w:r>
      <w:r w:rsidRPr="00A870C3" w:rsidR="000321D0">
        <w:rPr>
          <w:rtl/>
        </w:rPr>
        <w:t xml:space="preserve">, נוסף על נציגי משרדי האוצר </w:t>
      </w:r>
      <w:r w:rsidRPr="00A870C3" w:rsidR="000321D0">
        <w:rPr>
          <w:rtl/>
        </w:rPr>
        <w:t>והאנרגייה</w:t>
      </w:r>
      <w:r w:rsidRPr="00A870C3" w:rsidR="000321D0">
        <w:rPr>
          <w:rtl/>
        </w:rPr>
        <w:t xml:space="preserve"> והתשתיות ורשות המים, גם נציגיהם של המשרד לביטחון הפנים, משטרת ישראל </w:t>
      </w:r>
      <w:r w:rsidRPr="00A870C3" w:rsidR="000321D0">
        <w:rPr>
          <w:rtl/>
        </w:rPr>
        <w:t>ומש"ם</w:t>
      </w:r>
      <w:r w:rsidRPr="00A870C3" w:rsidR="000321D0">
        <w:rPr>
          <w:rtl/>
        </w:rPr>
        <w:t xml:space="preserve">, בדומה לדיונים המתנהלים במועד סיום הביקורת בין רשות המים </w:t>
      </w:r>
      <w:r w:rsidRPr="00A870C3" w:rsidR="000321D0">
        <w:rPr>
          <w:rtl/>
        </w:rPr>
        <w:t>ומש"ם</w:t>
      </w:r>
      <w:r w:rsidRPr="00A870C3" w:rsidR="000321D0">
        <w:rPr>
          <w:rtl/>
        </w:rPr>
        <w:t xml:space="preserve">, בהשתתפות משרד </w:t>
      </w:r>
      <w:r w:rsidRPr="00A870C3" w:rsidR="000321D0">
        <w:rPr>
          <w:rtl/>
        </w:rPr>
        <w:t>האנרגייה</w:t>
      </w:r>
      <w:r w:rsidRPr="00A870C3" w:rsidR="000321D0">
        <w:rPr>
          <w:rtl/>
        </w:rPr>
        <w:t xml:space="preserve"> והתשתיות המתעדכן באמצעות רשות המים ומעביר את עמדתו באמצעותה. </w:t>
      </w:r>
      <w:r w:rsidRPr="00374B33" w:rsidR="00374B33">
        <w:rPr>
          <w:rtl/>
        </w:rPr>
        <w:t>השתתפותם של נציגי כלל הגופים האמורים בצוות הבין משרדי או בדיונים המשותפים תכליתה</w:t>
      </w:r>
      <w:r w:rsidR="00374B33">
        <w:rPr>
          <w:rFonts w:hint="cs"/>
          <w:rtl/>
        </w:rPr>
        <w:t xml:space="preserve"> </w:t>
      </w:r>
      <w:r w:rsidRPr="00A870C3" w:rsidR="000321D0">
        <w:rPr>
          <w:rtl/>
        </w:rPr>
        <w:t xml:space="preserve">להביא לפתרון מערכתי למצבם של התאגידים הזכאים מתוך ראייה כוללת המביאה בחשבון את כלל ההיבטים, כדי להביא לכך שתאגידים אלה יפעלו באופן עצמאי מהבחינה </w:t>
      </w:r>
      <w:r w:rsidR="00374B33">
        <w:rPr>
          <w:rFonts w:hint="cs"/>
          <w:rtl/>
        </w:rPr>
        <w:t>ה</w:t>
      </w:r>
      <w:r w:rsidRPr="00A870C3" w:rsidR="000321D0">
        <w:rPr>
          <w:rtl/>
        </w:rPr>
        <w:t>כלכלית, במקום שפעילותם תהיה תלויה יותר ויותר בסבסוד שוטף של תאגידים אחרים באמצעות התעריף. עוד מומלץ כי משרד האוצר, המשרד לביטחון הפנים ורשות המים יפעלו באופן פרטני מול כל אחד מהתאגידים הזכאים על מנת להביאם למצב של עצמאות כלכלית</w:t>
      </w:r>
      <w:r w:rsidRPr="007C7D40">
        <w:rPr>
          <w:rFonts w:hint="cs"/>
          <w:rtl/>
        </w:rPr>
        <w:t>.</w:t>
      </w:r>
    </w:p>
    <w:p w:rsidR="000321D0" w:rsidP="00EB672B" w14:paraId="5538133A" w14:textId="271AACB1">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870C3">
        <w:rPr>
          <w:rtl/>
        </w:rPr>
        <w:t>על משרד האוצר, האמון על הכנת התיקון לתקנות, לפעול לקידום הליך לשינוי מנגנון הסיוע לאוכלוסיות זכאיות באופן שיאפשר לזכאים להטבה זו לנצלה באופן יעיל ומועיל. כמו כן, מומלץ כי משרד האוצר יבחן את האפשרות לכלול קבוצות נוספות של מעוטי יכולת ברשימת הזכאים להטבה, כדי להקל עליהם את נטל תשלום חשבונות המים, בהיותם של המים מוצר צריכה חיוני. זאת, בד בבד עם</w:t>
      </w:r>
      <w:r w:rsidRPr="003C007E">
        <w:rPr>
          <w:rtl/>
        </w:rPr>
        <w:t xml:space="preserve"> </w:t>
      </w:r>
      <w:r w:rsidRPr="00A870C3">
        <w:rPr>
          <w:rtl/>
        </w:rPr>
        <w:t>קידום הליך לשינוי מנגנון הסיוע לאוכלוסיות זכאיות באופן שיאפשר לזכאים להטבה זו לנצלה באופן יעיל ומועיל</w:t>
      </w:r>
      <w:r w:rsidRPr="007C7D40">
        <w:rPr>
          <w:rFonts w:hint="cs"/>
          <w:rtl/>
        </w:rPr>
        <w:t>.</w:t>
      </w:r>
    </w:p>
    <w:p w:rsidR="000321D0" w14:paraId="4D0D457A" w14:textId="664A1D13">
      <w:pPr>
        <w:bidi w:val="0"/>
        <w:spacing w:after="200" w:line="276" w:lineRule="auto"/>
        <w:rPr>
          <w:rFonts w:ascii="Tahoma" w:hAnsi="Tahoma" w:cs="Tahoma"/>
          <w:color w:val="0D0D0D" w:themeColor="text1" w:themeTint="F2"/>
          <w:sz w:val="18"/>
          <w:szCs w:val="18"/>
        </w:rPr>
      </w:pPr>
      <w:r>
        <w:br w:type="page"/>
      </w:r>
    </w:p>
    <w:p w:rsidR="005D0F8C" w:rsidP="000321D0" w14:paraId="6DC28C4F" w14:textId="4CD46FC6">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-57343</wp:posOffset>
            </wp:positionH>
            <wp:positionV relativeFrom="paragraph">
              <wp:posOffset>-69802</wp:posOffset>
            </wp:positionV>
            <wp:extent cx="4771226" cy="1023816"/>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1226" cy="1023816"/>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83820</wp:posOffset>
                </wp:positionH>
                <wp:positionV relativeFrom="paragraph">
                  <wp:posOffset>46599</wp:posOffset>
                </wp:positionV>
                <wp:extent cx="4436745" cy="640862"/>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40862"/>
                        </a:xfrm>
                        <a:prstGeom prst="rect">
                          <a:avLst/>
                        </a:prstGeom>
                        <a:solidFill>
                          <a:srgbClr val="F05260"/>
                        </a:solidFill>
                        <a:ln w="9525">
                          <a:noFill/>
                          <a:miter lim="800000"/>
                          <a:headEnd/>
                          <a:tailEnd/>
                        </a:ln>
                      </wps:spPr>
                      <wps:txbx>
                        <w:txbxContent>
                          <w:p w:rsidR="005D0F8C" w:rsidRPr="005C7ABF" w:rsidP="00524400" w14:textId="0EE63713">
                            <w:pPr>
                              <w:pStyle w:val="7332"/>
                              <w:rPr>
                                <w:rtl/>
                              </w:rPr>
                            </w:pPr>
                            <w:r w:rsidRPr="000321D0">
                              <w:rPr>
                                <w:rtl/>
                              </w:rPr>
                              <w:t xml:space="preserve">הרווחים שתאגידי המים ייעדו לחלוקה כדיבידנדים לרשויות המקומיות וכהחזר לצרכנים (במיליוני ש"ח), ומספר התאגידים שייעדו רווחים למטרות אלה, 2005 - 2022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50.45pt;margin-top:3.65pt;margin-left:6.6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0EE63713">
                      <w:pPr>
                        <w:pStyle w:val="7332"/>
                        <w:rPr>
                          <w:rtl/>
                        </w:rPr>
                      </w:pPr>
                      <w:r w:rsidRPr="000321D0">
                        <w:rPr>
                          <w:rtl/>
                        </w:rPr>
                        <w:t xml:space="preserve">הרווחים שתאגידי המים ייעדו לחלוקה כדיבידנדים לרשויות המקומיות וכהחזר לצרכנים (במיליוני ש"ח), ומספר התאגידים שייעדו רווחים למטרות אלה, 2005 - 2022  </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P="00D57BE9" w14:paraId="29744092" w14:textId="548DAF94">
      <w:pPr>
        <w:rPr>
          <w:rtl/>
        </w:rPr>
      </w:pPr>
    </w:p>
    <w:p w:rsidR="000321D0" w:rsidRPr="00D57BE9" w:rsidP="00DF5FC4" w14:paraId="057FAF1A" w14:textId="5550A98E">
      <w:pPr>
        <w:jc w:val="center"/>
        <w:rPr>
          <w:rtl/>
        </w:rPr>
      </w:pPr>
      <w:r w:rsidRPr="003C007E">
        <w:rPr>
          <w:rFonts w:ascii="Tahoma" w:hAnsi="Tahoma" w:cs="Tahoma"/>
          <w:noProof/>
        </w:rPr>
        <w:drawing>
          <wp:inline distT="0" distB="0" distL="0" distR="0">
            <wp:extent cx="4546986" cy="4436084"/>
            <wp:effectExtent l="0" t="0" r="0" b="0"/>
            <wp:docPr id="1091173718" name="תמונה 109117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3718" name="תמונה 1091173718"/>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546986" cy="4436084"/>
                    </a:xfrm>
                    <a:prstGeom prst="rect">
                      <a:avLst/>
                    </a:prstGeom>
                    <a:ln w="25400">
                      <a:noFill/>
                    </a:ln>
                  </pic:spPr>
                </pic:pic>
              </a:graphicData>
            </a:graphic>
          </wp:inline>
        </w:drawing>
      </w:r>
    </w:p>
    <w:p w:rsidR="00362505" w:rsidP="00D57BE9" w14:paraId="0DA8F7B9" w14:textId="6B80616D">
      <w:pPr>
        <w:pStyle w:val="738"/>
        <w:rPr>
          <w:rtl/>
        </w:rPr>
      </w:pPr>
      <w:r w:rsidRPr="003C007E">
        <w:rPr>
          <w:rtl/>
        </w:rPr>
        <w:t>על פי נתוני רשות המים, בעיבוד משרד מבקר המדינה</w:t>
      </w:r>
      <w:r w:rsidRPr="00D57BE9" w:rsidR="005D0F8C">
        <w:rPr>
          <w:rFonts w:hint="cs"/>
          <w:rtl/>
        </w:rPr>
        <w:t>.</w:t>
      </w:r>
    </w:p>
    <w:p w:rsidR="00DE086D" w14:paraId="3ED1BF9E" w14:textId="0FB0DD34">
      <w:pPr>
        <w:bidi w:val="0"/>
        <w:spacing w:after="200" w:line="276" w:lineRule="auto"/>
        <w:rPr>
          <w:rFonts w:ascii="Tahoma" w:hAnsi="Tahoma" w:cs="Tahoma"/>
          <w:color w:val="0D0D0D" w:themeColor="text1" w:themeTint="F2"/>
          <w:sz w:val="16"/>
          <w:szCs w:val="16"/>
          <w:rtl/>
        </w:rPr>
      </w:pPr>
      <w:r>
        <w:rPr>
          <w:rtl/>
        </w:rPr>
        <w:br w:type="page"/>
      </w:r>
    </w:p>
    <w:p w:rsidR="00DE086D" w:rsidP="00DE086D" w14:paraId="455286CB" w14:textId="77777777">
      <w:pPr>
        <w:pStyle w:val="73"/>
        <w:rPr>
          <w:rtl/>
        </w:rPr>
      </w:pPr>
      <w:r w:rsidRPr="00EF3061">
        <w:rPr>
          <w:rFonts w:hint="cs"/>
          <w:rtl/>
        </w:rPr>
        <w:t>סיכום</w:t>
      </w:r>
    </w:p>
    <w:p w:rsidR="00DE086D" w:rsidRPr="00A870C3" w:rsidP="00DE086D" w14:paraId="0A09F384" w14:textId="5B3F96EB">
      <w:pPr>
        <w:widowControl w:val="0"/>
        <w:tabs>
          <w:tab w:val="left" w:pos="9604"/>
        </w:tabs>
        <w:spacing w:before="240" w:line="276" w:lineRule="auto"/>
        <w:ind w:left="-1"/>
        <w:rPr>
          <w:rFonts w:ascii="Tahoma" w:hAnsi="Tahoma" w:cs="Tahoma"/>
          <w:sz w:val="18"/>
          <w:szCs w:val="18"/>
          <w:rtl/>
        </w:rPr>
      </w:pPr>
      <w:r w:rsidRPr="00A870C3">
        <w:rPr>
          <w:rFonts w:ascii="Tahoma" w:hAnsi="Tahoma" w:cs="Tahoma"/>
          <w:sz w:val="18"/>
          <w:szCs w:val="18"/>
          <w:rtl/>
        </w:rPr>
        <w:t xml:space="preserve">העברת האחריות לניהול משק המים והביוב לידי תאגידי מים וביוב במסגרת רפורמת </w:t>
      </w:r>
      <w:r w:rsidRPr="00A870C3">
        <w:rPr>
          <w:rFonts w:ascii="Tahoma" w:hAnsi="Tahoma" w:cs="Tahoma"/>
          <w:sz w:val="18"/>
          <w:szCs w:val="18"/>
          <w:rtl/>
        </w:rPr>
        <w:t>התיאגוד</w:t>
      </w:r>
      <w:r w:rsidRPr="00A870C3">
        <w:rPr>
          <w:rFonts w:ascii="Tahoma" w:hAnsi="Tahoma" w:cs="Tahoma"/>
          <w:sz w:val="18"/>
          <w:szCs w:val="18"/>
          <w:rtl/>
        </w:rPr>
        <w:t xml:space="preserve"> נועדה בין היתר לפתור כשלים מבניים שנוצרו בניהול משק המים והביוב ברשויות המקומיות ולהבטיח רמת שירות נאותה וניהול עסקי ומקצועי. בביקורת הקודמת נבחנה בין היתר השגת יעדי הרפורמה.</w:t>
      </w:r>
    </w:p>
    <w:p w:rsidR="00DE086D" w:rsidRPr="00A870C3" w:rsidP="00DE086D" w14:paraId="3ACFB34B" w14:textId="318D96B4">
      <w:pPr>
        <w:widowControl w:val="0"/>
        <w:tabs>
          <w:tab w:val="left" w:pos="9604"/>
        </w:tabs>
        <w:spacing w:before="240" w:line="276" w:lineRule="auto"/>
        <w:ind w:left="-1"/>
        <w:rPr>
          <w:rFonts w:ascii="Tahoma" w:hAnsi="Tahoma" w:cs="Tahoma"/>
          <w:sz w:val="18"/>
          <w:szCs w:val="18"/>
          <w:rtl/>
        </w:rPr>
      </w:pPr>
      <w:r w:rsidRPr="00A870C3">
        <w:rPr>
          <w:rFonts w:ascii="Tahoma" w:hAnsi="Tahoma" w:cs="Tahoma"/>
          <w:sz w:val="18"/>
          <w:szCs w:val="18"/>
          <w:rtl/>
        </w:rPr>
        <w:t xml:space="preserve">ביקורת המעקב העלתה כי מאז סיום הביקורת הקודמת חלו שיפורים בנושאים מעטים שנבדקו בביקורת הקודמת. בין היתר, רשות מקומית אחת החייבת </w:t>
      </w:r>
      <w:r w:rsidRPr="00A870C3">
        <w:rPr>
          <w:rFonts w:ascii="Tahoma" w:hAnsi="Tahoma" w:cs="Tahoma"/>
          <w:sz w:val="18"/>
          <w:szCs w:val="18"/>
          <w:rtl/>
        </w:rPr>
        <w:t>בתיאגוד</w:t>
      </w:r>
      <w:r w:rsidRPr="00A870C3">
        <w:rPr>
          <w:rFonts w:ascii="Tahoma" w:hAnsi="Tahoma" w:cs="Tahoma"/>
          <w:sz w:val="18"/>
          <w:szCs w:val="18"/>
          <w:rtl/>
        </w:rPr>
        <w:t xml:space="preserve"> התאגדה, ומנהל רשות המים מינה בדצמבר 2022 צוות לבחינת מצבם של התאגידים הנתמכים, ובהם התאגידים הזכאים. עם זאת, ממצאי ביקורת המעקב מעידים כי הגופים המבוקרים לא תיקנו חלק גדול מהליקויים שעלו בביקורת הקודמת, ובין היתר: </w:t>
      </w:r>
      <w:r w:rsidRPr="00A870C3">
        <w:rPr>
          <w:rFonts w:ascii="Tahoma" w:hAnsi="Tahoma" w:cs="Tahoma"/>
          <w:sz w:val="18"/>
          <w:szCs w:val="18"/>
          <w:rtl/>
        </w:rPr>
        <w:t>התיאגוד</w:t>
      </w:r>
      <w:r w:rsidRPr="00A870C3">
        <w:rPr>
          <w:rFonts w:ascii="Tahoma" w:hAnsi="Tahoma" w:cs="Tahoma"/>
          <w:sz w:val="18"/>
          <w:szCs w:val="18"/>
          <w:rtl/>
        </w:rPr>
        <w:t xml:space="preserve"> האזורי לא יצא לפועל; 23 רשויות מקומיות החייבות </w:t>
      </w:r>
      <w:r w:rsidRPr="00A870C3">
        <w:rPr>
          <w:rFonts w:ascii="Tahoma" w:hAnsi="Tahoma" w:cs="Tahoma"/>
          <w:sz w:val="18"/>
          <w:szCs w:val="18"/>
          <w:rtl/>
        </w:rPr>
        <w:t>בתיאגוד</w:t>
      </w:r>
      <w:r w:rsidRPr="00A870C3">
        <w:rPr>
          <w:rFonts w:ascii="Tahoma" w:hAnsi="Tahoma" w:cs="Tahoma"/>
          <w:sz w:val="18"/>
          <w:szCs w:val="18"/>
          <w:rtl/>
        </w:rPr>
        <w:t xml:space="preserve"> לא התאגדו; לא יושמה המלצת משרד מבקר המדינה לפעול להסרת חסם משמעותי, שעורר התנגדות ברשויות המקומיות בעלות דירוג חברתי-כלכלי חזק ובינוני והפחית את נכונותן</w:t>
      </w:r>
      <w:r w:rsidRPr="00A870C3">
        <w:rPr>
          <w:rFonts w:ascii="Tahoma" w:hAnsi="Tahoma" w:cs="Tahoma"/>
          <w:sz w:val="18"/>
          <w:szCs w:val="18"/>
        </w:rPr>
        <w:t xml:space="preserve"> </w:t>
      </w:r>
      <w:r w:rsidRPr="00A870C3">
        <w:rPr>
          <w:rFonts w:ascii="Tahoma" w:hAnsi="Tahoma" w:cs="Tahoma"/>
          <w:sz w:val="18"/>
          <w:szCs w:val="18"/>
          <w:rtl/>
        </w:rPr>
        <w:t xml:space="preserve">להתאגד עם רשויות מקומיות בדירוג חברתי-כלכלי נמוך - הפער בין רשויות אלה מבחינת מצב התשתיות נוכח הזנחה רבת שנים בתחום זה ברשויות שדירוגן החברתי-כלכלי נמוך; על אף הסבסוד השוטף הממומן מתעריפי המים והמענקים הממומנים מתקציב המדינה, לא זו בלבד שלא הושג היעד של הבאת התאגידים הזכאים לעצמאות כלכלית, אלא שהפער בינם לבין התאגידים הלא-זכאים גדל במידה ניכרת בהיבטים של רווחיות ואיתנות פיננסית ואף בהיבט התפעולי של פחת מים, ותלותם במימון שוטף מתאגידי מים שאינם זכאים הלכה וגדלה (מ-47 מיליוני ש"ח בשנת 2011 ל-162 מיליוני ש"ח בשנת 2021). כמו כן, נמצא כי מנגנון הסיוע לאוכלוסיות ראויות לקידום אינו יעיל. </w:t>
      </w:r>
    </w:p>
    <w:p w:rsidR="00DE086D" w:rsidRPr="00A870C3" w:rsidP="00DE086D" w14:paraId="4D1E21C2" w14:textId="77777777">
      <w:pPr>
        <w:widowControl w:val="0"/>
        <w:tabs>
          <w:tab w:val="left" w:pos="9604"/>
        </w:tabs>
        <w:spacing w:before="240" w:line="276" w:lineRule="auto"/>
        <w:ind w:left="-1"/>
        <w:rPr>
          <w:rFonts w:ascii="Tahoma" w:hAnsi="Tahoma" w:cs="Tahoma"/>
          <w:sz w:val="18"/>
          <w:szCs w:val="18"/>
          <w:rtl/>
        </w:rPr>
      </w:pPr>
      <w:r w:rsidRPr="00A870C3">
        <w:rPr>
          <w:rFonts w:ascii="Tahoma" w:hAnsi="Tahoma" w:cs="Tahoma"/>
          <w:sz w:val="18"/>
          <w:szCs w:val="18"/>
          <w:rtl/>
        </w:rPr>
        <w:t>על משרד האוצר, רשות המים ומרכז השלטון המקומי בישראל לפעול לתיקון הליקויים שעלו בדוח זה.</w:t>
      </w:r>
    </w:p>
    <w:p w:rsidR="00DE086D" w:rsidP="00D57BE9" w14:paraId="0F22CE57" w14:textId="77777777">
      <w:pPr>
        <w:pStyle w:val="738"/>
        <w:rPr>
          <w:rtl/>
        </w:rPr>
      </w:pP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0B31AA" w:rsidP="00662020" w14:paraId="1001632A" w14:textId="2A08152E">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5DAB1A0B">
                              <w:pPr>
                                <w:pStyle w:val="7332"/>
                              </w:pPr>
                              <w:r w:rsidRPr="00271C9B">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28" o:title=""/>
                </v:shape>
                <v:shape id="_x0000_s1037" type="#_x0000_t202" style="width:44284;height:3476;left:2028;mso-wrap-style:square;position:absolute;top:2665;visibility:visible;v-text-anchor:middle" fillcolor="#f05260" stroked="f">
                  <v:textbox>
                    <w:txbxContent>
                      <w:p w:rsidR="000B31AA" w:rsidRPr="00524400" w:rsidP="00524400" w14:paraId="64B50804" w14:textId="5DAB1A0B">
                        <w:pPr>
                          <w:pStyle w:val="7332"/>
                        </w:pPr>
                        <w:r w:rsidRPr="00271C9B">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2982"/>
        <w:gridCol w:w="584"/>
        <w:gridCol w:w="758"/>
        <w:gridCol w:w="733"/>
        <w:gridCol w:w="685"/>
      </w:tblGrid>
      <w:tr w14:paraId="6C5BC994" w14:textId="77777777" w:rsidTr="000E6805">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271C9B" w:rsidP="003E5AE8" w14:paraId="76B971AE" w14:textId="77777777">
            <w:pPr>
              <w:pStyle w:val="73R"/>
            </w:pPr>
            <w:r w:rsidRPr="007E204E">
              <w:rPr>
                <w:b/>
                <w:bCs/>
                <w:rtl/>
              </w:rPr>
              <w:t>פרק הביקורת</w:t>
            </w:r>
          </w:p>
        </w:tc>
        <w:tc>
          <w:tcPr>
            <w:tcW w:w="2982" w:type="dxa"/>
            <w:vMerge w:val="restart"/>
            <w:shd w:val="clear" w:color="auto" w:fill="C8DCE4"/>
            <w:vAlign w:val="bottom"/>
          </w:tcPr>
          <w:p w:rsidR="00271C9B" w:rsidP="003E5AE8" w14:paraId="357D64F1"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271C9B" w:rsidRPr="00FA2D84" w:rsidP="003E5AE8" w14:paraId="26963AD5"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0E6805">
        <w:tblPrEx>
          <w:tblW w:w="7216" w:type="dxa"/>
          <w:tblInd w:w="397" w:type="dxa"/>
          <w:shd w:val="clear" w:color="auto" w:fill="DFECEF"/>
          <w:tblLook w:val="04A0"/>
        </w:tblPrEx>
        <w:trPr>
          <w:tblHeader/>
        </w:trPr>
        <w:tc>
          <w:tcPr>
            <w:tcW w:w="1474" w:type="dxa"/>
            <w:vMerge/>
            <w:shd w:val="clear" w:color="auto" w:fill="C8DCE4"/>
            <w:vAlign w:val="bottom"/>
          </w:tcPr>
          <w:p w:rsidR="00271C9B" w:rsidRPr="007E204E" w:rsidP="003E5AE8" w14:paraId="1851288E" w14:textId="77777777">
            <w:pPr>
              <w:pStyle w:val="73R"/>
              <w:rPr>
                <w:b/>
                <w:bCs/>
                <w:rtl/>
              </w:rPr>
            </w:pPr>
          </w:p>
        </w:tc>
        <w:tc>
          <w:tcPr>
            <w:tcW w:w="2982" w:type="dxa"/>
            <w:vMerge/>
            <w:shd w:val="clear" w:color="auto" w:fill="C8DCE4"/>
            <w:vAlign w:val="bottom"/>
          </w:tcPr>
          <w:p w:rsidR="00271C9B" w:rsidRPr="007E204E" w:rsidP="003E5AE8" w14:paraId="5F032ACA" w14:textId="77777777">
            <w:pPr>
              <w:pStyle w:val="73R"/>
              <w:rPr>
                <w:b/>
                <w:bCs/>
                <w:rtl/>
              </w:rPr>
            </w:pPr>
          </w:p>
        </w:tc>
        <w:tc>
          <w:tcPr>
            <w:tcW w:w="584" w:type="dxa"/>
            <w:shd w:val="clear" w:color="auto" w:fill="FF0100"/>
            <w:vAlign w:val="bottom"/>
          </w:tcPr>
          <w:p w:rsidR="00271C9B"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271C9B" w:rsidRPr="007E204E" w:rsidP="003E5AE8" w14:paraId="27D1829F"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271C9B" w:rsidRPr="007E204E" w:rsidP="003E5AE8" w14:paraId="2B8CC463"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271C9B"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F24A6B">
        <w:tblPrEx>
          <w:tblW w:w="7216" w:type="dxa"/>
          <w:tblInd w:w="397" w:type="dxa"/>
          <w:shd w:val="clear" w:color="auto" w:fill="DFECEF"/>
          <w:tblLook w:val="04A0"/>
        </w:tblPrEx>
        <w:tc>
          <w:tcPr>
            <w:tcW w:w="1474" w:type="dxa"/>
            <w:vMerge w:val="restart"/>
            <w:shd w:val="clear" w:color="auto" w:fill="DFECEF"/>
          </w:tcPr>
          <w:p w:rsidR="00271C9B" w:rsidRPr="00F24A6B" w:rsidP="00271C9B" w14:paraId="52B0D24F" w14:textId="17EC254E">
            <w:pPr>
              <w:pStyle w:val="73R"/>
              <w:rPr>
                <w:b/>
                <w:bCs/>
                <w:rtl/>
              </w:rPr>
            </w:pPr>
            <w:r w:rsidRPr="00F24A6B">
              <w:rPr>
                <w:rFonts w:hint="cs"/>
                <w:b/>
                <w:bCs/>
                <w:rtl/>
              </w:rPr>
              <w:t>התיאגוד</w:t>
            </w:r>
            <w:r w:rsidRPr="00F24A6B">
              <w:rPr>
                <w:rFonts w:hint="cs"/>
                <w:b/>
                <w:bCs/>
                <w:rtl/>
              </w:rPr>
              <w:t xml:space="preserve"> האזורי</w:t>
            </w:r>
          </w:p>
        </w:tc>
        <w:tc>
          <w:tcPr>
            <w:tcW w:w="2982" w:type="dxa"/>
            <w:tcBorders>
              <w:bottom w:val="single" w:sz="4" w:space="0" w:color="B5C8D1"/>
            </w:tcBorders>
            <w:shd w:val="clear" w:color="auto" w:fill="DFECEF"/>
            <w:vAlign w:val="center"/>
          </w:tcPr>
          <w:p w:rsidR="00271C9B" w:rsidP="00271C9B" w14:paraId="41D0A08C" w14:textId="4D6E15FC">
            <w:pPr>
              <w:pStyle w:val="73R"/>
              <w:rPr>
                <w:rtl/>
              </w:rPr>
            </w:pPr>
            <w:r w:rsidRPr="008455E9">
              <w:rPr>
                <w:rtl/>
              </w:rPr>
              <w:t xml:space="preserve">הוראות החוק בדבר </w:t>
            </w:r>
            <w:r w:rsidRPr="008455E9">
              <w:rPr>
                <w:rtl/>
              </w:rPr>
              <w:t>תיאגוד</w:t>
            </w:r>
            <w:r w:rsidRPr="008455E9">
              <w:rPr>
                <w:rtl/>
              </w:rPr>
              <w:t xml:space="preserve"> אזורי לא יושמו. מספר התאגידים לא צומצם</w:t>
            </w:r>
          </w:p>
        </w:tc>
        <w:tc>
          <w:tcPr>
            <w:tcW w:w="584" w:type="dxa"/>
            <w:tcBorders>
              <w:bottom w:val="single" w:sz="4" w:space="0" w:color="B5C8D1"/>
            </w:tcBorders>
            <w:shd w:val="clear" w:color="auto" w:fill="DFECEF"/>
          </w:tcPr>
          <w:p w:rsidR="00271C9B" w:rsidP="00271C9B" w14:paraId="7BABFDB0" w14:textId="4A751AD7">
            <w:pPr>
              <w:pStyle w:val="73R"/>
              <w:rPr>
                <w:rtl/>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-21395</wp:posOffset>
                      </wp:positionH>
                      <wp:positionV relativeFrom="paragraph">
                        <wp:posOffset>50165</wp:posOffset>
                      </wp:positionV>
                      <wp:extent cx="299426" cy="223520"/>
                      <wp:effectExtent l="12700" t="12700" r="18415" b="17780"/>
                      <wp:wrapNone/>
                      <wp:docPr id="2135526978" name="חץ שמאלה 2135526978"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29942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135526978" o:spid="_x0000_s1038" type="#_x0000_t66" alt="לא תוקן" style="width:23.6pt;height:17.6pt;margin-top:3.95pt;margin-left:-1.7pt;mso-height-percent:0;mso-height-relative:margin;mso-width-percent:0;mso-width-relative:margin;mso-wrap-distance-bottom:0;mso-wrap-distance-left:9pt;mso-wrap-distance-right:9pt;mso-wrap-distance-top:0;mso-wrap-style:square;position:absolute;visibility:visible;v-text-anchor:middle;z-index:251706368" adj="8062" fillcolor="#ff0100" strokecolor="#ff0100" strokeweight="2pt"/>
                  </w:pict>
                </mc:Fallback>
              </mc:AlternateContent>
            </w:r>
          </w:p>
        </w:tc>
        <w:tc>
          <w:tcPr>
            <w:tcW w:w="758" w:type="dxa"/>
            <w:tcBorders>
              <w:bottom w:val="single" w:sz="4" w:space="0" w:color="B5C8D1"/>
            </w:tcBorders>
            <w:shd w:val="clear" w:color="auto" w:fill="DFECEF"/>
          </w:tcPr>
          <w:p w:rsidR="00271C9B" w:rsidP="00271C9B" w14:paraId="1030392F" w14:textId="7F8ADD3C">
            <w:pPr>
              <w:pStyle w:val="73R"/>
              <w:rPr>
                <w:rtl/>
              </w:rPr>
            </w:pPr>
          </w:p>
        </w:tc>
        <w:tc>
          <w:tcPr>
            <w:tcW w:w="733" w:type="dxa"/>
            <w:tcBorders>
              <w:bottom w:val="single" w:sz="4" w:space="0" w:color="B5C8D1"/>
            </w:tcBorders>
            <w:shd w:val="clear" w:color="auto" w:fill="DFECEF"/>
          </w:tcPr>
          <w:p w:rsidR="00271C9B" w:rsidP="00271C9B" w14:paraId="250E7773" w14:textId="77777777">
            <w:pPr>
              <w:pStyle w:val="73R"/>
              <w:rPr>
                <w:rtl/>
              </w:rPr>
            </w:pPr>
          </w:p>
        </w:tc>
        <w:tc>
          <w:tcPr>
            <w:tcW w:w="685" w:type="dxa"/>
            <w:tcBorders>
              <w:bottom w:val="single" w:sz="4" w:space="0" w:color="B5C8D1"/>
            </w:tcBorders>
            <w:shd w:val="clear" w:color="auto" w:fill="DFECEF"/>
          </w:tcPr>
          <w:p w:rsidR="00271C9B" w:rsidP="00271C9B" w14:paraId="3709332C" w14:textId="115AE85F">
            <w:pPr>
              <w:pStyle w:val="73R"/>
              <w:rPr>
                <w:rtl/>
              </w:rPr>
            </w:pPr>
          </w:p>
        </w:tc>
      </w:tr>
      <w:tr w14:paraId="0E36FD75" w14:textId="77777777" w:rsidTr="00F24A6B">
        <w:tblPrEx>
          <w:tblW w:w="7216" w:type="dxa"/>
          <w:tblInd w:w="397" w:type="dxa"/>
          <w:shd w:val="clear" w:color="auto" w:fill="DFECEF"/>
          <w:tblLook w:val="04A0"/>
        </w:tblPrEx>
        <w:tc>
          <w:tcPr>
            <w:tcW w:w="1474" w:type="dxa"/>
            <w:vMerge/>
            <w:shd w:val="clear" w:color="auto" w:fill="F0F8F9"/>
          </w:tcPr>
          <w:p w:rsidR="00271C9B" w:rsidRPr="00F24A6B" w:rsidP="003E5AE8" w14:paraId="5E72EFE5" w14:textId="1DB747C9">
            <w:pPr>
              <w:pStyle w:val="73R"/>
              <w:rPr>
                <w:b/>
                <w:bCs/>
                <w:rtl/>
              </w:rPr>
            </w:pPr>
          </w:p>
        </w:tc>
        <w:tc>
          <w:tcPr>
            <w:tcW w:w="2982" w:type="dxa"/>
            <w:tcBorders>
              <w:top w:val="single" w:sz="4" w:space="0" w:color="B5C8D1"/>
            </w:tcBorders>
            <w:shd w:val="clear" w:color="auto" w:fill="DFECEF"/>
          </w:tcPr>
          <w:p w:rsidR="00271C9B" w:rsidP="003E5AE8" w14:paraId="543411AC" w14:textId="0B7D766E">
            <w:pPr>
              <w:pStyle w:val="73R"/>
              <w:rPr>
                <w:rtl/>
              </w:rPr>
            </w:pPr>
            <w:r w:rsidRPr="008455E9">
              <w:rPr>
                <w:rFonts w:hint="cs"/>
                <w:rtl/>
              </w:rPr>
              <w:t>מפות השיוך שפרסמה רשות המים לא יושמו</w:t>
            </w:r>
          </w:p>
        </w:tc>
        <w:tc>
          <w:tcPr>
            <w:tcW w:w="584" w:type="dxa"/>
            <w:tcBorders>
              <w:top w:val="single" w:sz="4" w:space="0" w:color="B5C8D1"/>
            </w:tcBorders>
            <w:shd w:val="clear" w:color="auto" w:fill="DFECEF"/>
          </w:tcPr>
          <w:p w:rsidR="00271C9B" w:rsidP="003E5AE8" w14:paraId="6C96E932" w14:textId="380D1605">
            <w:pPr>
              <w:pStyle w:val="73R"/>
              <w:rPr>
                <w:rtl/>
              </w:rPr>
            </w:pPr>
            <w:r w:rsidRPr="00973C85">
              <w:rPr>
                <w:noProof/>
                <w:rtl/>
              </w:rPr>
              <mc:AlternateContent>
                <mc:Choice Requires="wps">
                  <w:drawing>
                    <wp:anchor distT="0" distB="0" distL="114300" distR="114300" simplePos="0" relativeHeight="251703296" behindDoc="0" locked="0" layoutInCell="1" allowOverlap="1">
                      <wp:simplePos x="0" y="0"/>
                      <wp:positionH relativeFrom="column">
                        <wp:posOffset>-21395</wp:posOffset>
                      </wp:positionH>
                      <wp:positionV relativeFrom="paragraph">
                        <wp:posOffset>53340</wp:posOffset>
                      </wp:positionV>
                      <wp:extent cx="299426" cy="223520"/>
                      <wp:effectExtent l="12700" t="12700" r="18415" b="17780"/>
                      <wp:wrapNone/>
                      <wp:docPr id="1089536084" name="חץ שמאלה 1089536084"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29942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89536084" o:spid="_x0000_s1039" type="#_x0000_t66" alt="לא תוקן" style="width:23.6pt;height:17.6pt;margin-top:4.2pt;margin-left:-1.7pt;mso-height-percent:0;mso-height-relative:margin;mso-width-percent:0;mso-width-relative:margin;mso-wrap-distance-bottom:0;mso-wrap-distance-left:9pt;mso-wrap-distance-right:9pt;mso-wrap-distance-top:0;mso-wrap-style:square;position:absolute;visibility:visible;v-text-anchor:middle;z-index:251704320" adj="8062" fillcolor="#ff0100" strokecolor="#ff0100" strokeweight="2pt"/>
                  </w:pict>
                </mc:Fallback>
              </mc:AlternateContent>
            </w:r>
          </w:p>
        </w:tc>
        <w:tc>
          <w:tcPr>
            <w:tcW w:w="758" w:type="dxa"/>
            <w:tcBorders>
              <w:top w:val="single" w:sz="4" w:space="0" w:color="B5C8D1"/>
            </w:tcBorders>
            <w:shd w:val="clear" w:color="auto" w:fill="DFECEF"/>
          </w:tcPr>
          <w:p w:rsidR="00271C9B" w:rsidP="003E5AE8" w14:paraId="747D0AB6" w14:textId="52D154DB">
            <w:pPr>
              <w:pStyle w:val="73R"/>
              <w:rPr>
                <w:rtl/>
              </w:rPr>
            </w:pPr>
          </w:p>
        </w:tc>
        <w:tc>
          <w:tcPr>
            <w:tcW w:w="733" w:type="dxa"/>
            <w:tcBorders>
              <w:top w:val="single" w:sz="4" w:space="0" w:color="B5C8D1"/>
            </w:tcBorders>
            <w:shd w:val="clear" w:color="auto" w:fill="DFECEF"/>
          </w:tcPr>
          <w:p w:rsidR="00271C9B" w:rsidP="003E5AE8" w14:paraId="7C10E984" w14:textId="77777777">
            <w:pPr>
              <w:pStyle w:val="73R"/>
              <w:rPr>
                <w:rtl/>
              </w:rPr>
            </w:pPr>
          </w:p>
        </w:tc>
        <w:tc>
          <w:tcPr>
            <w:tcW w:w="685" w:type="dxa"/>
            <w:tcBorders>
              <w:top w:val="single" w:sz="4" w:space="0" w:color="B5C8D1"/>
            </w:tcBorders>
            <w:shd w:val="clear" w:color="auto" w:fill="DFECEF"/>
          </w:tcPr>
          <w:p w:rsidR="00271C9B" w:rsidP="003E5AE8" w14:paraId="2FDB6178" w14:textId="77777777">
            <w:pPr>
              <w:pStyle w:val="73R"/>
              <w:rPr>
                <w:rtl/>
              </w:rPr>
            </w:pPr>
          </w:p>
        </w:tc>
      </w:tr>
      <w:tr w14:paraId="5C8A1751" w14:textId="77777777" w:rsidTr="00271C9B">
        <w:tblPrEx>
          <w:tblW w:w="7216" w:type="dxa"/>
          <w:tblInd w:w="397" w:type="dxa"/>
          <w:shd w:val="clear" w:color="auto" w:fill="DFECEF"/>
          <w:tblLook w:val="04A0"/>
        </w:tblPrEx>
        <w:tc>
          <w:tcPr>
            <w:tcW w:w="1474" w:type="dxa"/>
            <w:shd w:val="clear" w:color="auto" w:fill="F0F8F9"/>
          </w:tcPr>
          <w:p w:rsidR="00271C9B" w:rsidRPr="00F24A6B" w:rsidP="00271C9B" w14:paraId="6EA62234" w14:textId="5185C9C3">
            <w:pPr>
              <w:pStyle w:val="73R"/>
              <w:rPr>
                <w:b/>
                <w:bCs/>
                <w:rtl/>
              </w:rPr>
            </w:pPr>
            <w:r w:rsidRPr="00F24A6B">
              <w:rPr>
                <w:b/>
                <w:bCs/>
                <w:rtl/>
              </w:rPr>
              <w:t xml:space="preserve">רשויות מקומיות החייבות </w:t>
            </w:r>
            <w:r w:rsidRPr="00F24A6B">
              <w:rPr>
                <w:b/>
                <w:bCs/>
                <w:rtl/>
              </w:rPr>
              <w:t>בתיאגוד</w:t>
            </w:r>
            <w:r w:rsidRPr="00F24A6B">
              <w:rPr>
                <w:b/>
                <w:bCs/>
                <w:rtl/>
              </w:rPr>
              <w:t xml:space="preserve"> שטרם התאגדו</w:t>
            </w:r>
          </w:p>
        </w:tc>
        <w:tc>
          <w:tcPr>
            <w:tcW w:w="2982" w:type="dxa"/>
            <w:shd w:val="clear" w:color="auto" w:fill="F0F8F9"/>
            <w:vAlign w:val="center"/>
          </w:tcPr>
          <w:p w:rsidR="00271C9B" w:rsidP="00271C9B" w14:paraId="6DAC9711" w14:textId="764EF999">
            <w:pPr>
              <w:pStyle w:val="73R"/>
              <w:rPr>
                <w:rtl/>
              </w:rPr>
            </w:pPr>
            <w:r w:rsidRPr="008455E9">
              <w:rPr>
                <w:rtl/>
              </w:rPr>
              <w:t xml:space="preserve">24 רשויות מקומיות החייבות </w:t>
            </w:r>
            <w:r w:rsidRPr="008455E9">
              <w:rPr>
                <w:rtl/>
              </w:rPr>
              <w:t>בתיאגוד</w:t>
            </w:r>
            <w:r w:rsidRPr="008455E9">
              <w:rPr>
                <w:rtl/>
              </w:rPr>
              <w:t xml:space="preserve"> לא התאגדו</w:t>
            </w:r>
            <w:r w:rsidRPr="008455E9">
              <w:rPr>
                <w:rFonts w:hint="cs"/>
                <w:rtl/>
              </w:rPr>
              <w:t xml:space="preserve"> (בתקופת המעקב התאגדה רשות מקומית אחת בלבד)</w:t>
            </w:r>
          </w:p>
        </w:tc>
        <w:tc>
          <w:tcPr>
            <w:tcW w:w="584" w:type="dxa"/>
            <w:shd w:val="clear" w:color="auto" w:fill="F0F8F9"/>
          </w:tcPr>
          <w:p w:rsidR="00271C9B" w:rsidP="00271C9B" w14:paraId="112C54F3" w14:textId="15BEBB2D">
            <w:pPr>
              <w:pStyle w:val="73R"/>
              <w:rPr>
                <w:rtl/>
              </w:rPr>
            </w:pPr>
            <w:r w:rsidRPr="00973C85">
              <w:rPr>
                <w:noProof/>
                <w:rtl/>
              </w:rPr>
              <mc:AlternateContent>
                <mc:Choice Requires="wps">
                  <w:drawing>
                    <wp:anchor distT="0" distB="0" distL="114300" distR="114300" simplePos="0" relativeHeight="251701248" behindDoc="0" locked="0" layoutInCell="1" allowOverlap="1">
                      <wp:simplePos x="0" y="0"/>
                      <wp:positionH relativeFrom="column">
                        <wp:posOffset>-21395</wp:posOffset>
                      </wp:positionH>
                      <wp:positionV relativeFrom="paragraph">
                        <wp:posOffset>219710</wp:posOffset>
                      </wp:positionV>
                      <wp:extent cx="299426" cy="223520"/>
                      <wp:effectExtent l="12700" t="12700" r="18415" b="17780"/>
                      <wp:wrapNone/>
                      <wp:docPr id="1435054681" name="חץ שמאלה 1435054681"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29942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35054681" o:spid="_x0000_s1040" type="#_x0000_t66" alt="לא תוקן" style="width:23.6pt;height:17.6pt;margin-top:17.3pt;margin-left:-1.7pt;mso-height-percent:0;mso-height-relative:margin;mso-width-percent:0;mso-width-relative:margin;mso-wrap-distance-bottom:0;mso-wrap-distance-left:9pt;mso-wrap-distance-right:9pt;mso-wrap-distance-top:0;mso-wrap-style:square;position:absolute;visibility:visible;v-text-anchor:middle;z-index:251702272" adj="8062" fillcolor="#ff0100" strokecolor="#ff0100" strokeweight="2pt"/>
                  </w:pict>
                </mc:Fallback>
              </mc:AlternateContent>
            </w:r>
          </w:p>
        </w:tc>
        <w:tc>
          <w:tcPr>
            <w:tcW w:w="758" w:type="dxa"/>
            <w:shd w:val="clear" w:color="auto" w:fill="F0F8F9"/>
          </w:tcPr>
          <w:p w:rsidR="00271C9B" w:rsidP="00271C9B" w14:paraId="6CC3A5CC" w14:textId="6A75778E">
            <w:pPr>
              <w:pStyle w:val="73R"/>
              <w:rPr>
                <w:rtl/>
              </w:rPr>
            </w:pPr>
          </w:p>
        </w:tc>
        <w:tc>
          <w:tcPr>
            <w:tcW w:w="733" w:type="dxa"/>
            <w:shd w:val="clear" w:color="auto" w:fill="F0F8F9"/>
          </w:tcPr>
          <w:p w:rsidR="00271C9B" w:rsidP="00271C9B" w14:paraId="28BC73CE" w14:textId="67913C68">
            <w:pPr>
              <w:pStyle w:val="73R"/>
              <w:rPr>
                <w:rtl/>
              </w:rPr>
            </w:pPr>
          </w:p>
        </w:tc>
        <w:tc>
          <w:tcPr>
            <w:tcW w:w="685" w:type="dxa"/>
            <w:shd w:val="clear" w:color="auto" w:fill="F0F8F9"/>
          </w:tcPr>
          <w:p w:rsidR="00271C9B" w:rsidP="00271C9B" w14:paraId="60B36081" w14:textId="77777777">
            <w:pPr>
              <w:pStyle w:val="73R"/>
              <w:rPr>
                <w:rtl/>
              </w:rPr>
            </w:pPr>
          </w:p>
        </w:tc>
      </w:tr>
      <w:tr w14:paraId="7E35F5BE" w14:textId="77777777" w:rsidTr="00F24A6B">
        <w:tblPrEx>
          <w:tblW w:w="7216" w:type="dxa"/>
          <w:tblInd w:w="397" w:type="dxa"/>
          <w:shd w:val="clear" w:color="auto" w:fill="DFECEF"/>
          <w:tblLook w:val="04A0"/>
        </w:tblPrEx>
        <w:tc>
          <w:tcPr>
            <w:tcW w:w="1474" w:type="dxa"/>
            <w:vMerge w:val="restart"/>
            <w:shd w:val="clear" w:color="auto" w:fill="DFECEF"/>
          </w:tcPr>
          <w:p w:rsidR="00271C9B" w:rsidRPr="00F24A6B" w:rsidP="00271C9B" w14:paraId="38AD7231" w14:textId="6DB6ADD7">
            <w:pPr>
              <w:pStyle w:val="73R"/>
              <w:rPr>
                <w:b/>
                <w:bCs/>
                <w:rtl/>
              </w:rPr>
            </w:pPr>
            <w:r w:rsidRPr="00F24A6B">
              <w:rPr>
                <w:b/>
                <w:bCs/>
                <w:rtl/>
              </w:rPr>
              <w:t>מדדים פיננסים ותפעוליים בפעילות התאגידים הזכאים  לעומת התאגידים הלא-זכאים</w:t>
            </w:r>
          </w:p>
        </w:tc>
        <w:tc>
          <w:tcPr>
            <w:tcW w:w="2982" w:type="dxa"/>
            <w:tcBorders>
              <w:bottom w:val="single" w:sz="4" w:space="0" w:color="B5C8D1"/>
            </w:tcBorders>
            <w:shd w:val="clear" w:color="auto" w:fill="DFECEF"/>
            <w:vAlign w:val="center"/>
          </w:tcPr>
          <w:p w:rsidR="00271C9B" w:rsidP="00271C9B" w14:paraId="0A002C70" w14:textId="4292FCC3">
            <w:pPr>
              <w:pStyle w:val="73R"/>
              <w:rPr>
                <w:rtl/>
              </w:rPr>
            </w:pPr>
            <w:r w:rsidRPr="008455E9">
              <w:rPr>
                <w:rtl/>
              </w:rPr>
              <w:t>על אף הסבסוד והמענקים שקיבלו התאגידים הזכאים משנת 2010 נותרו רובם במצב הנזקק לסיוע</w:t>
            </w:r>
          </w:p>
        </w:tc>
        <w:tc>
          <w:tcPr>
            <w:tcW w:w="584" w:type="dxa"/>
            <w:tcBorders>
              <w:bottom w:val="single" w:sz="4" w:space="0" w:color="B5C8D1"/>
            </w:tcBorders>
            <w:shd w:val="clear" w:color="auto" w:fill="DFECEF"/>
          </w:tcPr>
          <w:p w:rsidR="00271C9B" w:rsidP="00271C9B" w14:paraId="43B57B29" w14:textId="09937ABB">
            <w:pPr>
              <w:pStyle w:val="73R"/>
              <w:rPr>
                <w:rtl/>
              </w:rPr>
            </w:pPr>
            <w:r w:rsidRPr="00973C85">
              <w:rPr>
                <w:noProof/>
                <w:rtl/>
              </w:rPr>
              <mc:AlternateContent>
                <mc:Choice Requires="wps">
                  <w:drawing>
                    <wp:anchor distT="0" distB="0" distL="114300" distR="114300" simplePos="0" relativeHeight="251697152" behindDoc="0" locked="0" layoutInCell="1" allowOverlap="1">
                      <wp:simplePos x="0" y="0"/>
                      <wp:positionH relativeFrom="column">
                        <wp:posOffset>-14410</wp:posOffset>
                      </wp:positionH>
                      <wp:positionV relativeFrom="paragraph">
                        <wp:posOffset>118110</wp:posOffset>
                      </wp:positionV>
                      <wp:extent cx="299085" cy="223520"/>
                      <wp:effectExtent l="12700" t="12700" r="18415" b="17780"/>
                      <wp:wrapNone/>
                      <wp:docPr id="1962280735" name="חץ שמאלה 196228073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29908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41" type="#_x0000_t66" alt="לא תוקן" style="width:23.55pt;height:17.6pt;margin-top:9.3pt;margin-left:-1.15pt;mso-height-percent:0;mso-height-relative:margin;mso-width-percent:0;mso-width-relative:margin;mso-wrap-distance-bottom:0;mso-wrap-distance-left:9pt;mso-wrap-distance-right:9pt;mso-wrap-distance-top:0;mso-wrap-style:square;position:absolute;visibility:visible;v-text-anchor:middle;z-index:251698176" adj="8071" fillcolor="#ff0100" strokecolor="#ff0100" strokeweight="2pt"/>
                  </w:pict>
                </mc:Fallback>
              </mc:AlternateContent>
            </w:r>
          </w:p>
        </w:tc>
        <w:tc>
          <w:tcPr>
            <w:tcW w:w="758" w:type="dxa"/>
            <w:tcBorders>
              <w:bottom w:val="single" w:sz="4" w:space="0" w:color="B5C8D1"/>
            </w:tcBorders>
            <w:shd w:val="clear" w:color="auto" w:fill="DFECEF"/>
          </w:tcPr>
          <w:p w:rsidR="00271C9B" w:rsidP="00271C9B" w14:paraId="2442AFC2" w14:textId="18612D04">
            <w:pPr>
              <w:pStyle w:val="73R"/>
              <w:rPr>
                <w:rtl/>
              </w:rPr>
            </w:pPr>
          </w:p>
        </w:tc>
        <w:tc>
          <w:tcPr>
            <w:tcW w:w="733" w:type="dxa"/>
            <w:tcBorders>
              <w:bottom w:val="single" w:sz="4" w:space="0" w:color="B5C8D1"/>
            </w:tcBorders>
            <w:shd w:val="clear" w:color="auto" w:fill="DFECEF"/>
          </w:tcPr>
          <w:p w:rsidR="00271C9B" w:rsidP="00271C9B" w14:paraId="2D5D737A" w14:textId="77777777">
            <w:pPr>
              <w:pStyle w:val="73R"/>
              <w:rPr>
                <w:rtl/>
              </w:rPr>
            </w:pPr>
          </w:p>
        </w:tc>
        <w:tc>
          <w:tcPr>
            <w:tcW w:w="685" w:type="dxa"/>
            <w:tcBorders>
              <w:bottom w:val="single" w:sz="4" w:space="0" w:color="B5C8D1"/>
            </w:tcBorders>
            <w:shd w:val="clear" w:color="auto" w:fill="DFECEF"/>
          </w:tcPr>
          <w:p w:rsidR="00271C9B" w:rsidP="00271C9B" w14:paraId="7523EC87" w14:textId="77777777">
            <w:pPr>
              <w:pStyle w:val="73R"/>
              <w:rPr>
                <w:rtl/>
              </w:rPr>
            </w:pPr>
          </w:p>
        </w:tc>
      </w:tr>
      <w:tr w14:paraId="13C82713" w14:textId="77777777" w:rsidTr="00F24A6B">
        <w:tblPrEx>
          <w:tblW w:w="7216" w:type="dxa"/>
          <w:tblInd w:w="397" w:type="dxa"/>
          <w:shd w:val="clear" w:color="auto" w:fill="DFECEF"/>
          <w:tblLook w:val="04A0"/>
        </w:tblPrEx>
        <w:tc>
          <w:tcPr>
            <w:tcW w:w="1474" w:type="dxa"/>
            <w:vMerge/>
            <w:shd w:val="clear" w:color="auto" w:fill="DFECEF"/>
          </w:tcPr>
          <w:p w:rsidR="00271C9B" w:rsidRPr="00F24A6B" w:rsidP="003E5AE8" w14:paraId="77218038" w14:textId="44AE6550">
            <w:pPr>
              <w:pStyle w:val="73R"/>
              <w:rPr>
                <w:b/>
                <w:bCs/>
                <w:rtl/>
              </w:rPr>
            </w:pPr>
          </w:p>
        </w:tc>
        <w:tc>
          <w:tcPr>
            <w:tcW w:w="2982" w:type="dxa"/>
            <w:tcBorders>
              <w:top w:val="single" w:sz="4" w:space="0" w:color="B5C8D1"/>
            </w:tcBorders>
            <w:shd w:val="clear" w:color="auto" w:fill="DFECEF"/>
          </w:tcPr>
          <w:p w:rsidR="00271C9B" w:rsidP="003E5AE8" w14:paraId="5FA44D9C" w14:textId="21DD62F4">
            <w:pPr>
              <w:pStyle w:val="73R"/>
              <w:rPr>
                <w:rtl/>
              </w:rPr>
            </w:pPr>
            <w:r w:rsidRPr="008455E9">
              <w:rPr>
                <w:rtl/>
              </w:rPr>
              <w:t xml:space="preserve">בביקורת הקודמת המליץ משרד מבקר המדינה כי משרדי האוצר </w:t>
            </w:r>
            <w:r w:rsidRPr="008455E9">
              <w:rPr>
                <w:rtl/>
              </w:rPr>
              <w:t>והאנרגייה</w:t>
            </w:r>
            <w:r w:rsidRPr="008455E9">
              <w:rPr>
                <w:rtl/>
              </w:rPr>
              <w:t xml:space="preserve"> ורשות המים ישתפו פעולה ביניהם כדי לגבש פתרון בעניין הקשיים בהתמודדות עם הסוגיות הייחודיות לתאגידים הזכאים, על מנת לחתור לפתרון מערכתי שייתן מענה על תמהיל הבעיות המאפיינות תאגידים אלה</w:t>
            </w:r>
          </w:p>
        </w:tc>
        <w:tc>
          <w:tcPr>
            <w:tcW w:w="584" w:type="dxa"/>
            <w:tcBorders>
              <w:top w:val="single" w:sz="4" w:space="0" w:color="B5C8D1"/>
            </w:tcBorders>
            <w:shd w:val="clear" w:color="auto" w:fill="DFECEF"/>
          </w:tcPr>
          <w:p w:rsidR="00271C9B" w:rsidP="003E5AE8" w14:paraId="3D4248B7" w14:textId="423BA21F">
            <w:pPr>
              <w:pStyle w:val="73R"/>
              <w:rPr>
                <w:rtl/>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-21395</wp:posOffset>
                      </wp:positionH>
                      <wp:positionV relativeFrom="paragraph">
                        <wp:posOffset>311785</wp:posOffset>
                      </wp:positionV>
                      <wp:extent cx="299426" cy="223520"/>
                      <wp:effectExtent l="12700" t="12700" r="18415" b="17780"/>
                      <wp:wrapNone/>
                      <wp:docPr id="601693035" name="חץ שמאלה 60169303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29942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01693035" o:spid="_x0000_s1042" type="#_x0000_t66" alt="לא תוקן" style="width:23.6pt;height:17.6pt;margin-top:24.55pt;margin-left:-1.7pt;mso-height-percent:0;mso-height-relative:margin;mso-width-percent:0;mso-width-relative:margin;mso-wrap-distance-bottom:0;mso-wrap-distance-left:9pt;mso-wrap-distance-right:9pt;mso-wrap-distance-top:0;mso-wrap-style:square;position:absolute;visibility:visible;v-text-anchor:middle;z-index:251708416" adj="8062" fillcolor="#ff0100" strokecolor="#ff0100" strokeweight="2pt"/>
                  </w:pict>
                </mc:Fallback>
              </mc:AlternateContent>
            </w:r>
          </w:p>
        </w:tc>
        <w:tc>
          <w:tcPr>
            <w:tcW w:w="758" w:type="dxa"/>
            <w:tcBorders>
              <w:top w:val="single" w:sz="4" w:space="0" w:color="B5C8D1"/>
            </w:tcBorders>
            <w:shd w:val="clear" w:color="auto" w:fill="DFECEF"/>
          </w:tcPr>
          <w:p w:rsidR="00271C9B" w:rsidP="003E5AE8" w14:paraId="32EC75AA" w14:textId="77777777">
            <w:pPr>
              <w:pStyle w:val="73R"/>
              <w:rPr>
                <w:rtl/>
              </w:rPr>
            </w:pPr>
          </w:p>
        </w:tc>
        <w:tc>
          <w:tcPr>
            <w:tcW w:w="733" w:type="dxa"/>
            <w:tcBorders>
              <w:top w:val="single" w:sz="4" w:space="0" w:color="B5C8D1"/>
            </w:tcBorders>
            <w:shd w:val="clear" w:color="auto" w:fill="DFECEF"/>
          </w:tcPr>
          <w:p w:rsidR="00271C9B" w:rsidP="003E5AE8" w14:paraId="346AC4CA" w14:textId="22EEFA62">
            <w:pPr>
              <w:pStyle w:val="73R"/>
              <w:rPr>
                <w:rtl/>
              </w:rPr>
            </w:pPr>
          </w:p>
        </w:tc>
        <w:tc>
          <w:tcPr>
            <w:tcW w:w="685" w:type="dxa"/>
            <w:tcBorders>
              <w:top w:val="single" w:sz="4" w:space="0" w:color="B5C8D1"/>
            </w:tcBorders>
            <w:shd w:val="clear" w:color="auto" w:fill="DFECEF"/>
          </w:tcPr>
          <w:p w:rsidR="00271C9B" w:rsidP="003E5AE8" w14:paraId="7F0C3E8A" w14:textId="77777777">
            <w:pPr>
              <w:pStyle w:val="73R"/>
              <w:rPr>
                <w:rtl/>
              </w:rPr>
            </w:pPr>
          </w:p>
        </w:tc>
      </w:tr>
      <w:tr w14:paraId="5CB1B12E" w14:textId="77777777" w:rsidTr="00F24A6B">
        <w:tblPrEx>
          <w:tblW w:w="7216" w:type="dxa"/>
          <w:tblInd w:w="397" w:type="dxa"/>
          <w:shd w:val="clear" w:color="auto" w:fill="DFECEF"/>
          <w:tblLook w:val="04A0"/>
        </w:tblPrEx>
        <w:tc>
          <w:tcPr>
            <w:tcW w:w="1474" w:type="dxa"/>
            <w:vMerge w:val="restart"/>
            <w:shd w:val="clear" w:color="auto" w:fill="F0F8F9"/>
          </w:tcPr>
          <w:p w:rsidR="00271C9B" w:rsidRPr="00F24A6B" w:rsidP="00271C9B" w14:paraId="008FCFF5" w14:textId="0BEFDE4B">
            <w:pPr>
              <w:pStyle w:val="73R"/>
              <w:spacing w:after="240"/>
              <w:rPr>
                <w:b/>
                <w:bCs/>
                <w:spacing w:val="2"/>
                <w:rtl/>
              </w:rPr>
            </w:pPr>
            <w:r w:rsidRPr="00F24A6B">
              <w:rPr>
                <w:b/>
                <w:bCs/>
                <w:rtl/>
              </w:rPr>
              <w:t>דיווחי רשות המים לציבור בנושא תאגידי המים והביוב</w:t>
            </w:r>
          </w:p>
        </w:tc>
        <w:tc>
          <w:tcPr>
            <w:tcW w:w="2982" w:type="dxa"/>
            <w:tcBorders>
              <w:bottom w:val="single" w:sz="4" w:space="0" w:color="B5C8D1"/>
            </w:tcBorders>
            <w:shd w:val="clear" w:color="auto" w:fill="F0F8F9"/>
            <w:vAlign w:val="center"/>
          </w:tcPr>
          <w:p w:rsidR="00271C9B" w:rsidP="00271C9B" w14:paraId="61A4D12C" w14:textId="191D843A">
            <w:pPr>
              <w:pStyle w:val="73R"/>
              <w:spacing w:after="240"/>
              <w:rPr>
                <w:rtl/>
              </w:rPr>
            </w:pPr>
            <w:r w:rsidRPr="008455E9">
              <w:rPr>
                <w:rtl/>
              </w:rPr>
              <w:t>פרסום הדוחות הכספיים השנתיים של תאגידי המים והביוב באתר המרשתת של רשות המים</w:t>
            </w:r>
          </w:p>
        </w:tc>
        <w:tc>
          <w:tcPr>
            <w:tcW w:w="584" w:type="dxa"/>
            <w:tcBorders>
              <w:bottom w:val="single" w:sz="4" w:space="0" w:color="B5C8D1"/>
            </w:tcBorders>
            <w:shd w:val="clear" w:color="auto" w:fill="F0F8F9"/>
          </w:tcPr>
          <w:p w:rsidR="00271C9B" w:rsidP="00271C9B" w14:paraId="0AF96682" w14:textId="04C751FD">
            <w:pPr>
              <w:pStyle w:val="73R"/>
              <w:rPr>
                <w:rtl/>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-21395</wp:posOffset>
                      </wp:positionH>
                      <wp:positionV relativeFrom="paragraph">
                        <wp:posOffset>170180</wp:posOffset>
                      </wp:positionV>
                      <wp:extent cx="299426" cy="223520"/>
                      <wp:effectExtent l="12700" t="12700" r="18415" b="17780"/>
                      <wp:wrapNone/>
                      <wp:docPr id="1969942316" name="חץ שמאלה 1969942316"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29942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9942316" o:spid="_x0000_s1043" type="#_x0000_t66" alt="לא תוקן" style="width:23.6pt;height:17.6pt;margin-top:13.4pt;margin-left:-1.7pt;mso-height-percent:0;mso-height-relative:margin;mso-width-percent:0;mso-width-relative:margin;mso-wrap-distance-bottom:0;mso-wrap-distance-left:9pt;mso-wrap-distance-right:9pt;mso-wrap-distance-top:0;mso-wrap-style:square;position:absolute;visibility:visible;v-text-anchor:middle;z-index:251710464" adj="8062" fillcolor="#ff0100" strokecolor="#ff0100" strokeweight="2pt"/>
                  </w:pict>
                </mc:Fallback>
              </mc:AlternateContent>
            </w:r>
          </w:p>
        </w:tc>
        <w:tc>
          <w:tcPr>
            <w:tcW w:w="758" w:type="dxa"/>
            <w:tcBorders>
              <w:bottom w:val="single" w:sz="4" w:space="0" w:color="B5C8D1"/>
            </w:tcBorders>
            <w:shd w:val="clear" w:color="auto" w:fill="F0F8F9"/>
          </w:tcPr>
          <w:p w:rsidR="00271C9B" w:rsidP="00271C9B" w14:paraId="1CDE3909" w14:textId="594B0103">
            <w:pPr>
              <w:pStyle w:val="73R"/>
              <w:rPr>
                <w:rtl/>
              </w:rPr>
            </w:pPr>
          </w:p>
        </w:tc>
        <w:tc>
          <w:tcPr>
            <w:tcW w:w="733" w:type="dxa"/>
            <w:tcBorders>
              <w:bottom w:val="single" w:sz="4" w:space="0" w:color="B5C8D1"/>
            </w:tcBorders>
            <w:shd w:val="clear" w:color="auto" w:fill="F0F8F9"/>
          </w:tcPr>
          <w:p w:rsidR="00271C9B" w:rsidP="00271C9B" w14:paraId="143EBD67" w14:textId="77777777">
            <w:pPr>
              <w:pStyle w:val="73R"/>
              <w:rPr>
                <w:rtl/>
              </w:rPr>
            </w:pPr>
          </w:p>
        </w:tc>
        <w:tc>
          <w:tcPr>
            <w:tcW w:w="685" w:type="dxa"/>
            <w:tcBorders>
              <w:bottom w:val="single" w:sz="4" w:space="0" w:color="B5C8D1"/>
            </w:tcBorders>
            <w:shd w:val="clear" w:color="auto" w:fill="F0F8F9"/>
          </w:tcPr>
          <w:p w:rsidR="00271C9B" w:rsidP="00271C9B" w14:paraId="45F4D58F" w14:textId="77777777">
            <w:pPr>
              <w:pStyle w:val="73R"/>
              <w:rPr>
                <w:rtl/>
              </w:rPr>
            </w:pPr>
          </w:p>
        </w:tc>
      </w:tr>
      <w:tr w14:paraId="705B3505" w14:textId="77777777" w:rsidTr="00F24A6B">
        <w:tblPrEx>
          <w:tblW w:w="7216" w:type="dxa"/>
          <w:tblInd w:w="397" w:type="dxa"/>
          <w:shd w:val="clear" w:color="auto" w:fill="DFECEF"/>
          <w:tblLook w:val="04A0"/>
        </w:tblPrEx>
        <w:tc>
          <w:tcPr>
            <w:tcW w:w="1474" w:type="dxa"/>
            <w:vMerge/>
            <w:shd w:val="clear" w:color="auto" w:fill="F0F8F9"/>
          </w:tcPr>
          <w:p w:rsidR="00271C9B" w:rsidRPr="00F24A6B" w:rsidP="003E5AE8" w14:paraId="27E71092" w14:textId="5A2BFEFC">
            <w:pPr>
              <w:pStyle w:val="73R"/>
              <w:spacing w:after="240"/>
              <w:rPr>
                <w:b/>
                <w:bCs/>
                <w:rtl/>
              </w:rPr>
            </w:pPr>
          </w:p>
        </w:tc>
        <w:tc>
          <w:tcPr>
            <w:tcW w:w="2982" w:type="dxa"/>
            <w:tcBorders>
              <w:top w:val="single" w:sz="4" w:space="0" w:color="B5C8D1"/>
            </w:tcBorders>
            <w:shd w:val="clear" w:color="auto" w:fill="F0F8F9"/>
          </w:tcPr>
          <w:p w:rsidR="00271C9B" w:rsidP="003E5AE8" w14:paraId="79646E41" w14:textId="3139C2E8">
            <w:pPr>
              <w:pStyle w:val="73R"/>
              <w:spacing w:after="240"/>
              <w:rPr>
                <w:rtl/>
              </w:rPr>
            </w:pPr>
            <w:r w:rsidRPr="008455E9">
              <w:rPr>
                <w:rtl/>
              </w:rPr>
              <w:t>הדיווח על התאגידים במסגרת דוח הפעילות השנתי של רשות המים</w:t>
            </w:r>
          </w:p>
        </w:tc>
        <w:tc>
          <w:tcPr>
            <w:tcW w:w="584" w:type="dxa"/>
            <w:tcBorders>
              <w:top w:val="single" w:sz="4" w:space="0" w:color="B5C8D1"/>
            </w:tcBorders>
            <w:shd w:val="clear" w:color="auto" w:fill="F0F8F9"/>
          </w:tcPr>
          <w:p w:rsidR="00271C9B" w:rsidP="003E5AE8" w14:paraId="1CE69AF1" w14:textId="53288350">
            <w:pPr>
              <w:pStyle w:val="73R"/>
              <w:rPr>
                <w:rtl/>
              </w:rPr>
            </w:pPr>
          </w:p>
        </w:tc>
        <w:tc>
          <w:tcPr>
            <w:tcW w:w="758" w:type="dxa"/>
            <w:tcBorders>
              <w:top w:val="single" w:sz="4" w:space="0" w:color="B5C8D1"/>
            </w:tcBorders>
            <w:shd w:val="clear" w:color="auto" w:fill="F0F8F9"/>
          </w:tcPr>
          <w:p w:rsidR="00271C9B" w:rsidP="003E5AE8" w14:paraId="55D2D59C" w14:textId="67ED4C9F">
            <w:pPr>
              <w:pStyle w:val="73R"/>
              <w:rPr>
                <w:rtl/>
              </w:rPr>
            </w:pPr>
            <w:r w:rsidRPr="00973C85">
              <w:rPr>
                <w:noProof/>
                <w:rtl/>
              </w:rPr>
              <mc:AlternateContent>
                <mc:Choice Requires="wps">
                  <w:drawing>
                    <wp:anchor distT="0" distB="0" distL="114300" distR="114300" simplePos="0" relativeHeight="251695104" behindDoc="0" locked="0" layoutInCell="1" allowOverlap="1">
                      <wp:simplePos x="0" y="0"/>
                      <wp:positionH relativeFrom="column">
                        <wp:posOffset>-17683</wp:posOffset>
                      </wp:positionH>
                      <wp:positionV relativeFrom="paragraph">
                        <wp:posOffset>92808</wp:posOffset>
                      </wp:positionV>
                      <wp:extent cx="782027" cy="223520"/>
                      <wp:effectExtent l="12700" t="12700" r="18415"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82027"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44" type="#_x0000_t66" alt="תוקן במידה מועטה" style="width:61.6pt;height:17.6pt;margin-top:7.3pt;margin-left:-1.4pt;mso-height-percent:0;mso-height-relative:margin;mso-width-percent:0;mso-width-relative:margin;mso-wrap-distance-bottom:0;mso-wrap-distance-left:9pt;mso-wrap-distance-right:9pt;mso-wrap-distance-top:0;mso-wrap-style:square;position:absolute;visibility:visible;v-text-anchor:middle;z-index:251696128" adj="3087" fillcolor="#ffc002" strokecolor="#ffc002" strokeweight="2pt"/>
                  </w:pict>
                </mc:Fallback>
              </mc:AlternateContent>
            </w:r>
          </w:p>
        </w:tc>
        <w:tc>
          <w:tcPr>
            <w:tcW w:w="733" w:type="dxa"/>
            <w:tcBorders>
              <w:top w:val="single" w:sz="4" w:space="0" w:color="B5C8D1"/>
            </w:tcBorders>
            <w:shd w:val="clear" w:color="auto" w:fill="F0F8F9"/>
          </w:tcPr>
          <w:p w:rsidR="00271C9B" w:rsidP="003E5AE8" w14:paraId="14599525" w14:textId="54A531F6">
            <w:pPr>
              <w:pStyle w:val="73R"/>
              <w:rPr>
                <w:rtl/>
              </w:rPr>
            </w:pPr>
          </w:p>
        </w:tc>
        <w:tc>
          <w:tcPr>
            <w:tcW w:w="685" w:type="dxa"/>
            <w:tcBorders>
              <w:top w:val="single" w:sz="4" w:space="0" w:color="B5C8D1"/>
            </w:tcBorders>
            <w:shd w:val="clear" w:color="auto" w:fill="F0F8F9"/>
          </w:tcPr>
          <w:p w:rsidR="00271C9B" w:rsidP="003E5AE8" w14:paraId="4BBB6D41" w14:textId="77777777">
            <w:pPr>
              <w:pStyle w:val="73R"/>
              <w:rPr>
                <w:rtl/>
              </w:rPr>
            </w:pPr>
          </w:p>
        </w:tc>
      </w:tr>
      <w:tr w14:paraId="04D64242" w14:textId="77777777" w:rsidTr="00F24A6B">
        <w:tblPrEx>
          <w:tblW w:w="7216" w:type="dxa"/>
          <w:tblInd w:w="397" w:type="dxa"/>
          <w:shd w:val="clear" w:color="auto" w:fill="DFECEF"/>
          <w:tblLook w:val="04A0"/>
        </w:tblPrEx>
        <w:tc>
          <w:tcPr>
            <w:tcW w:w="1474" w:type="dxa"/>
            <w:vMerge w:val="restart"/>
            <w:shd w:val="clear" w:color="auto" w:fill="DFECEF"/>
          </w:tcPr>
          <w:p w:rsidR="00271C9B" w:rsidRPr="00F24A6B" w:rsidP="003E5AE8" w14:paraId="760DFBEC" w14:textId="7A5941DE">
            <w:pPr>
              <w:pStyle w:val="73R"/>
              <w:spacing w:after="240"/>
              <w:rPr>
                <w:b/>
                <w:bCs/>
                <w:rtl/>
              </w:rPr>
            </w:pPr>
            <w:r w:rsidRPr="00F24A6B">
              <w:rPr>
                <w:b/>
                <w:bCs/>
                <w:rtl/>
              </w:rPr>
              <w:t>הטיפול באוכלוסיות ראויות לקידום</w:t>
            </w:r>
          </w:p>
        </w:tc>
        <w:tc>
          <w:tcPr>
            <w:tcW w:w="2982" w:type="dxa"/>
            <w:tcBorders>
              <w:bottom w:val="single" w:sz="4" w:space="0" w:color="B5C8D1"/>
            </w:tcBorders>
            <w:shd w:val="clear" w:color="auto" w:fill="DFECEF"/>
          </w:tcPr>
          <w:p w:rsidR="00271C9B" w:rsidP="003E5AE8" w14:paraId="6E9DCA2D" w14:textId="2A675182">
            <w:pPr>
              <w:pStyle w:val="73R"/>
              <w:spacing w:after="240"/>
              <w:rPr>
                <w:rtl/>
              </w:rPr>
            </w:pPr>
            <w:r w:rsidRPr="008455E9">
              <w:rPr>
                <w:rtl/>
              </w:rPr>
              <w:t>מיצוי זכויות וניצול ההטבה</w:t>
            </w:r>
          </w:p>
        </w:tc>
        <w:tc>
          <w:tcPr>
            <w:tcW w:w="584" w:type="dxa"/>
            <w:tcBorders>
              <w:bottom w:val="single" w:sz="4" w:space="0" w:color="B5C8D1"/>
            </w:tcBorders>
            <w:shd w:val="clear" w:color="auto" w:fill="DFECEF"/>
          </w:tcPr>
          <w:p w:rsidR="00271C9B" w:rsidP="003E5AE8" w14:paraId="366224AC" w14:textId="4BBEDCF9">
            <w:pPr>
              <w:pStyle w:val="73R"/>
              <w:rPr>
                <w:rtl/>
              </w:rPr>
            </w:pPr>
          </w:p>
        </w:tc>
        <w:tc>
          <w:tcPr>
            <w:tcW w:w="758" w:type="dxa"/>
            <w:tcBorders>
              <w:bottom w:val="single" w:sz="4" w:space="0" w:color="B5C8D1"/>
            </w:tcBorders>
            <w:shd w:val="clear" w:color="auto" w:fill="DFECEF"/>
          </w:tcPr>
          <w:p w:rsidR="00271C9B" w:rsidP="003E5AE8" w14:paraId="6E25ABEE" w14:textId="7D37678E">
            <w:pPr>
              <w:pStyle w:val="73R"/>
              <w:rPr>
                <w:rtl/>
              </w:rPr>
            </w:pPr>
            <w:r w:rsidRPr="00973C85">
              <w:rPr>
                <w:noProof/>
                <w:rtl/>
              </w:rPr>
              <mc:AlternateContent>
                <mc:Choice Requires="wps">
                  <w:drawing>
                    <wp:anchor distT="0" distB="0" distL="114300" distR="114300" simplePos="0" relativeHeight="251699200" behindDoc="0" locked="0" layoutInCell="1" allowOverlap="1">
                      <wp:simplePos x="0" y="0"/>
                      <wp:positionH relativeFrom="column">
                        <wp:posOffset>-17683</wp:posOffset>
                      </wp:positionH>
                      <wp:positionV relativeFrom="paragraph">
                        <wp:posOffset>49823</wp:posOffset>
                      </wp:positionV>
                      <wp:extent cx="782027" cy="223520"/>
                      <wp:effectExtent l="12700" t="12700" r="18415" b="17780"/>
                      <wp:wrapNone/>
                      <wp:docPr id="215768549" name="חץ שמאלה 215768549"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82027"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15768549" o:spid="_x0000_s1045" type="#_x0000_t66" alt="תוקן במידה מועטה" style="width:61.6pt;height:17.6pt;margin-top:3.9pt;margin-left:-1.4pt;mso-height-percent:0;mso-height-relative:margin;mso-width-percent:0;mso-width-relative:margin;mso-wrap-distance-bottom:0;mso-wrap-distance-left:9pt;mso-wrap-distance-right:9pt;mso-wrap-distance-top:0;mso-wrap-style:square;position:absolute;visibility:visible;v-text-anchor:middle;z-index:251700224" adj="3087" fillcolor="#ffc002" strokecolor="#ffc002" strokeweight="2pt"/>
                  </w:pict>
                </mc:Fallback>
              </mc:AlternateContent>
            </w:r>
          </w:p>
        </w:tc>
        <w:tc>
          <w:tcPr>
            <w:tcW w:w="733" w:type="dxa"/>
            <w:tcBorders>
              <w:bottom w:val="single" w:sz="4" w:space="0" w:color="B5C8D1"/>
            </w:tcBorders>
            <w:shd w:val="clear" w:color="auto" w:fill="DFECEF"/>
          </w:tcPr>
          <w:p w:rsidR="00271C9B" w:rsidP="003E5AE8" w14:paraId="3641B44F" w14:textId="0D1BC3E9">
            <w:pPr>
              <w:pStyle w:val="73R"/>
              <w:rPr>
                <w:rtl/>
              </w:rPr>
            </w:pPr>
          </w:p>
        </w:tc>
        <w:tc>
          <w:tcPr>
            <w:tcW w:w="685" w:type="dxa"/>
            <w:tcBorders>
              <w:bottom w:val="single" w:sz="4" w:space="0" w:color="B5C8D1"/>
            </w:tcBorders>
            <w:shd w:val="clear" w:color="auto" w:fill="DFECEF"/>
          </w:tcPr>
          <w:p w:rsidR="00271C9B" w:rsidP="003E5AE8" w14:paraId="11AF1571" w14:textId="77777777">
            <w:pPr>
              <w:pStyle w:val="73R"/>
              <w:rPr>
                <w:rtl/>
              </w:rPr>
            </w:pPr>
          </w:p>
        </w:tc>
      </w:tr>
      <w:tr w14:paraId="7688E1C3" w14:textId="77777777" w:rsidTr="00F24A6B">
        <w:tblPrEx>
          <w:tblW w:w="7216" w:type="dxa"/>
          <w:tblInd w:w="397" w:type="dxa"/>
          <w:shd w:val="clear" w:color="auto" w:fill="DFECEF"/>
          <w:tblLook w:val="04A0"/>
        </w:tblPrEx>
        <w:tc>
          <w:tcPr>
            <w:tcW w:w="1474" w:type="dxa"/>
            <w:vMerge/>
            <w:shd w:val="clear" w:color="auto" w:fill="DFECEF"/>
          </w:tcPr>
          <w:p w:rsidR="00271C9B" w:rsidP="003E5AE8" w14:paraId="2AB885EA" w14:textId="27E69BE0">
            <w:pPr>
              <w:pStyle w:val="73R"/>
              <w:spacing w:after="240"/>
              <w:rPr>
                <w:rtl/>
              </w:rPr>
            </w:pPr>
          </w:p>
        </w:tc>
        <w:tc>
          <w:tcPr>
            <w:tcW w:w="2982" w:type="dxa"/>
            <w:tcBorders>
              <w:top w:val="single" w:sz="4" w:space="0" w:color="B5C8D1"/>
              <w:bottom w:val="single" w:sz="4" w:space="0" w:color="B5C8D1"/>
            </w:tcBorders>
            <w:shd w:val="clear" w:color="auto" w:fill="DFECEF"/>
          </w:tcPr>
          <w:p w:rsidR="00271C9B" w:rsidRPr="00FA2D84" w:rsidP="003E5AE8" w14:paraId="1751B1CB" w14:textId="6F22090B">
            <w:pPr>
              <w:pStyle w:val="73R"/>
              <w:spacing w:after="240"/>
              <w:rPr>
                <w:spacing w:val="2"/>
                <w:rtl/>
              </w:rPr>
            </w:pPr>
            <w:r w:rsidRPr="008455E9">
              <w:rPr>
                <w:rFonts w:hint="cs"/>
                <w:rtl/>
              </w:rPr>
              <w:t xml:space="preserve">אי-יישום </w:t>
            </w:r>
            <w:r w:rsidRPr="008455E9">
              <w:rPr>
                <w:rtl/>
              </w:rPr>
              <w:t>הנחיות ועדות הכנסת בעניין הצורך לשנות את מנגנון הסיוע</w:t>
            </w:r>
          </w:p>
        </w:tc>
        <w:tc>
          <w:tcPr>
            <w:tcW w:w="584" w:type="dxa"/>
            <w:tcBorders>
              <w:top w:val="single" w:sz="4" w:space="0" w:color="B5C8D1"/>
              <w:bottom w:val="single" w:sz="4" w:space="0" w:color="B5C8D1"/>
            </w:tcBorders>
            <w:shd w:val="clear" w:color="auto" w:fill="DFECEF"/>
          </w:tcPr>
          <w:p w:rsidR="00271C9B" w:rsidP="003E5AE8" w14:paraId="341E73A4" w14:textId="31517236">
            <w:pPr>
              <w:pStyle w:val="73R"/>
              <w:rPr>
                <w:rtl/>
              </w:rPr>
            </w:pPr>
            <w:r w:rsidRPr="00973C85">
              <w:rPr>
                <w:noProof/>
                <w:rtl/>
              </w:rPr>
              <mc:AlternateContent>
                <mc:Choice Requires="wps">
                  <w:drawing>
                    <wp:anchor distT="0" distB="0" distL="114300" distR="114300" simplePos="0" relativeHeight="251711488" behindDoc="0" locked="0" layoutInCell="1" allowOverlap="1">
                      <wp:simplePos x="0" y="0"/>
                      <wp:positionH relativeFrom="column">
                        <wp:posOffset>-21395</wp:posOffset>
                      </wp:positionH>
                      <wp:positionV relativeFrom="paragraph">
                        <wp:posOffset>106680</wp:posOffset>
                      </wp:positionV>
                      <wp:extent cx="299426" cy="223520"/>
                      <wp:effectExtent l="12700" t="12700" r="18415" b="17780"/>
                      <wp:wrapNone/>
                      <wp:docPr id="1334777226" name="חץ שמאלה 1334777226"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29942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34777226" o:spid="_x0000_s1046" type="#_x0000_t66" alt="לא תוקן" style="width:23.6pt;height:17.6pt;margin-top:8.4pt;margin-left:-1.7pt;mso-height-percent:0;mso-height-relative:margin;mso-width-percent:0;mso-width-relative:margin;mso-wrap-distance-bottom:0;mso-wrap-distance-left:9pt;mso-wrap-distance-right:9pt;mso-wrap-distance-top:0;mso-wrap-style:square;position:absolute;visibility:visible;v-text-anchor:middle;z-index:251712512" adj="8062" fillcolor="#ff0100" strokecolor="#ff0100" strokeweight="2pt"/>
                  </w:pict>
                </mc:Fallback>
              </mc:AlternateContent>
            </w:r>
          </w:p>
        </w:tc>
        <w:tc>
          <w:tcPr>
            <w:tcW w:w="758" w:type="dxa"/>
            <w:tcBorders>
              <w:top w:val="single" w:sz="4" w:space="0" w:color="B5C8D1"/>
              <w:bottom w:val="single" w:sz="4" w:space="0" w:color="B5C8D1"/>
            </w:tcBorders>
            <w:shd w:val="clear" w:color="auto" w:fill="DFECEF"/>
          </w:tcPr>
          <w:p w:rsidR="00271C9B" w:rsidP="003E5AE8" w14:paraId="0F472B94" w14:textId="37C3E0AB">
            <w:pPr>
              <w:pStyle w:val="73R"/>
              <w:rPr>
                <w:rtl/>
              </w:rPr>
            </w:pPr>
          </w:p>
        </w:tc>
        <w:tc>
          <w:tcPr>
            <w:tcW w:w="733" w:type="dxa"/>
            <w:tcBorders>
              <w:top w:val="single" w:sz="4" w:space="0" w:color="B5C8D1"/>
              <w:bottom w:val="single" w:sz="4" w:space="0" w:color="B5C8D1"/>
            </w:tcBorders>
            <w:shd w:val="clear" w:color="auto" w:fill="DFECEF"/>
          </w:tcPr>
          <w:p w:rsidR="00271C9B" w:rsidP="003E5AE8" w14:paraId="385F8DCE" w14:textId="77777777">
            <w:pPr>
              <w:pStyle w:val="73R"/>
              <w:rPr>
                <w:rtl/>
              </w:rPr>
            </w:pPr>
          </w:p>
        </w:tc>
        <w:tc>
          <w:tcPr>
            <w:tcW w:w="685" w:type="dxa"/>
            <w:tcBorders>
              <w:top w:val="single" w:sz="4" w:space="0" w:color="B5C8D1"/>
              <w:bottom w:val="single" w:sz="4" w:space="0" w:color="B5C8D1"/>
            </w:tcBorders>
            <w:shd w:val="clear" w:color="auto" w:fill="DFECEF"/>
          </w:tcPr>
          <w:p w:rsidR="00271C9B" w:rsidP="003E5AE8" w14:paraId="44CFE4CA" w14:textId="77777777">
            <w:pPr>
              <w:pStyle w:val="73R"/>
              <w:rPr>
                <w:rtl/>
              </w:rPr>
            </w:pPr>
          </w:p>
        </w:tc>
      </w:tr>
      <w:tr w14:paraId="1422C672" w14:textId="77777777" w:rsidTr="00F24A6B">
        <w:tblPrEx>
          <w:tblW w:w="7216" w:type="dxa"/>
          <w:tblInd w:w="397" w:type="dxa"/>
          <w:shd w:val="clear" w:color="auto" w:fill="DFECEF"/>
          <w:tblLook w:val="04A0"/>
        </w:tblPrEx>
        <w:tc>
          <w:tcPr>
            <w:tcW w:w="1474" w:type="dxa"/>
            <w:vMerge/>
            <w:shd w:val="clear" w:color="auto" w:fill="DFECEF"/>
          </w:tcPr>
          <w:p w:rsidR="00271C9B" w:rsidP="003E5AE8" w14:paraId="7C49E182" w14:textId="31E12B0D">
            <w:pPr>
              <w:pStyle w:val="73R"/>
              <w:spacing w:after="240"/>
              <w:rPr>
                <w:rtl/>
              </w:rPr>
            </w:pPr>
          </w:p>
        </w:tc>
        <w:tc>
          <w:tcPr>
            <w:tcW w:w="2982" w:type="dxa"/>
            <w:tcBorders>
              <w:top w:val="single" w:sz="4" w:space="0" w:color="B5C8D1"/>
            </w:tcBorders>
            <w:shd w:val="clear" w:color="auto" w:fill="DFECEF"/>
          </w:tcPr>
          <w:p w:rsidR="00271C9B" w:rsidP="003E5AE8" w14:paraId="4867646A" w14:textId="5D327353">
            <w:pPr>
              <w:pStyle w:val="73R"/>
              <w:spacing w:after="240"/>
              <w:rPr>
                <w:rtl/>
              </w:rPr>
            </w:pPr>
            <w:r w:rsidRPr="008455E9">
              <w:rPr>
                <w:rtl/>
              </w:rPr>
              <w:t>אוכלוסיית</w:t>
            </w:r>
            <w:r w:rsidRPr="008455E9">
              <w:rPr>
                <w:rFonts w:hint="cs"/>
                <w:rtl/>
              </w:rPr>
              <w:t xml:space="preserve"> ראויות לקידום</w:t>
            </w:r>
          </w:p>
        </w:tc>
        <w:tc>
          <w:tcPr>
            <w:tcW w:w="584" w:type="dxa"/>
            <w:tcBorders>
              <w:top w:val="single" w:sz="4" w:space="0" w:color="B5C8D1"/>
            </w:tcBorders>
            <w:shd w:val="clear" w:color="auto" w:fill="DFECEF"/>
          </w:tcPr>
          <w:p w:rsidR="00271C9B" w:rsidP="003E5AE8" w14:paraId="41841405" w14:textId="1C9750D2">
            <w:pPr>
              <w:pStyle w:val="73R"/>
              <w:rPr>
                <w:rtl/>
              </w:rPr>
            </w:pPr>
            <w:r w:rsidRPr="00973C85">
              <w:rPr>
                <w:noProof/>
                <w:rtl/>
              </w:rPr>
              <mc:AlternateContent>
                <mc:Choice Requires="wps">
                  <w:drawing>
                    <wp:anchor distT="0" distB="0" distL="114300" distR="114300" simplePos="0" relativeHeight="251713536" behindDoc="0" locked="0" layoutInCell="1" allowOverlap="1">
                      <wp:simplePos x="0" y="0"/>
                      <wp:positionH relativeFrom="column">
                        <wp:posOffset>-21395</wp:posOffset>
                      </wp:positionH>
                      <wp:positionV relativeFrom="paragraph">
                        <wp:posOffset>26035</wp:posOffset>
                      </wp:positionV>
                      <wp:extent cx="299426" cy="223520"/>
                      <wp:effectExtent l="12700" t="12700" r="18415" b="17780"/>
                      <wp:wrapNone/>
                      <wp:docPr id="887890238" name="חץ שמאלה 887890238"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299426"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87890238" o:spid="_x0000_s1047" type="#_x0000_t66" alt="לא תוקן" style="width:23.6pt;height:17.6pt;margin-top:2.05pt;margin-left:-1.7pt;mso-height-percent:0;mso-height-relative:margin;mso-width-percent:0;mso-width-relative:margin;mso-wrap-distance-bottom:0;mso-wrap-distance-left:9pt;mso-wrap-distance-right:9pt;mso-wrap-distance-top:0;mso-wrap-style:square;position:absolute;visibility:visible;v-text-anchor:middle;z-index:251714560" adj="8062" fillcolor="#ff0100" strokecolor="#ff0100" strokeweight="2pt"/>
                  </w:pict>
                </mc:Fallback>
              </mc:AlternateContent>
            </w:r>
          </w:p>
        </w:tc>
        <w:tc>
          <w:tcPr>
            <w:tcW w:w="758" w:type="dxa"/>
            <w:tcBorders>
              <w:top w:val="single" w:sz="4" w:space="0" w:color="B5C8D1"/>
            </w:tcBorders>
            <w:shd w:val="clear" w:color="auto" w:fill="DFECEF"/>
          </w:tcPr>
          <w:p w:rsidR="00271C9B" w:rsidP="002B1987" w14:paraId="0300D1AC" w14:textId="04A758B1">
            <w:pPr>
              <w:pStyle w:val="73R"/>
              <w:bidi w:val="0"/>
            </w:pPr>
          </w:p>
        </w:tc>
        <w:tc>
          <w:tcPr>
            <w:tcW w:w="733" w:type="dxa"/>
            <w:tcBorders>
              <w:top w:val="single" w:sz="4" w:space="0" w:color="B5C8D1"/>
            </w:tcBorders>
            <w:shd w:val="clear" w:color="auto" w:fill="DFECEF"/>
          </w:tcPr>
          <w:p w:rsidR="00271C9B" w:rsidP="003E5AE8" w14:paraId="51785C65" w14:textId="77777777">
            <w:pPr>
              <w:pStyle w:val="73R"/>
              <w:rPr>
                <w:rtl/>
              </w:rPr>
            </w:pPr>
          </w:p>
        </w:tc>
        <w:tc>
          <w:tcPr>
            <w:tcW w:w="685" w:type="dxa"/>
            <w:tcBorders>
              <w:top w:val="single" w:sz="4" w:space="0" w:color="B5C8D1"/>
            </w:tcBorders>
            <w:shd w:val="clear" w:color="auto" w:fill="DFECEF"/>
          </w:tcPr>
          <w:p w:rsidR="00271C9B" w:rsidP="003E5AE8" w14:paraId="117D6F48" w14:textId="3806F93C">
            <w:pPr>
              <w:pStyle w:val="73R"/>
              <w:rPr>
                <w:rtl/>
              </w:rPr>
            </w:pPr>
          </w:p>
        </w:tc>
      </w:tr>
    </w:tbl>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5A7BFC">
          <w:headerReference w:type="even" r:id="rId29"/>
          <w:footerReference w:type="even" r:id="rId30"/>
          <w:pgSz w:w="11906" w:h="16838" w:code="9"/>
          <w:pgMar w:top="3062" w:right="2268" w:bottom="2552" w:left="2268" w:header="1134" w:footer="1361" w:gutter="0"/>
          <w:pgNumType w:start="195"/>
          <w:cols w:space="708"/>
          <w:bidi/>
          <w:rtlGutter/>
          <w:docGrid w:linePitch="360"/>
        </w:sectPr>
      </w:pPr>
    </w:p>
    <w:p w:rsidR="00363CE5" w:rsidRPr="000D2811" w:rsidP="006A281A" w14:paraId="11C68176" w14:textId="4F352F40">
      <w:pPr>
        <w:bidi w:val="0"/>
        <w:spacing w:after="200" w:line="276" w:lineRule="auto"/>
        <w:rPr>
          <w:rtl/>
        </w:rPr>
      </w:pPr>
      <w:r>
        <w:rPr>
          <w:noProof/>
          <w:rtl/>
          <w:lang w:val="he-IL"/>
        </w:rPr>
        <mc:AlternateContent>
          <mc:Choice Requires="wps">
            <w:drawing>
              <wp:anchor distT="0" distB="0" distL="114300" distR="114300" simplePos="0" relativeHeight="251719680" behindDoc="0" locked="0" layoutInCell="1" allowOverlap="1">
                <wp:simplePos x="0" y="0"/>
                <wp:positionH relativeFrom="column">
                  <wp:posOffset>4282309</wp:posOffset>
                </wp:positionH>
                <wp:positionV relativeFrom="paragraph">
                  <wp:posOffset>6702995</wp:posOffset>
                </wp:positionV>
                <wp:extent cx="988142" cy="1172497"/>
                <wp:effectExtent l="0" t="0" r="15240" b="8890"/>
                <wp:wrapNone/>
                <wp:docPr id="123558901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988142" cy="117249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48" style="width:77.8pt;height:92.3pt;margin-top:527.8pt;margin-left:337.2pt;mso-width-percent:0;mso-width-relative:margin;mso-wrap-distance-bottom:0;mso-wrap-distance-left:9pt;mso-wrap-distance-right:9pt;mso-wrap-distance-top:0;mso-wrap-style:square;position:absolute;visibility:visible;v-text-anchor:middle;z-index:251720704" fillcolor="white" strokecolor="white" strokeweight="1.25pt"/>
            </w:pict>
          </mc:Fallback>
        </mc:AlternateContent>
      </w:r>
      <w:r w:rsidR="00DE086D">
        <w:rPr>
          <w:noProof/>
          <w:rtl/>
          <w:lang w:val="he-IL"/>
        </w:rPr>
        <mc:AlternateContent>
          <mc:Choice Requires="wps">
            <w:drawing>
              <wp:anchor distT="0" distB="0" distL="114300" distR="114300" simplePos="0" relativeHeight="251715584" behindDoc="0" locked="0" layoutInCell="1" allowOverlap="1">
                <wp:simplePos x="0" y="0"/>
                <wp:positionH relativeFrom="column">
                  <wp:posOffset>3839051</wp:posOffset>
                </wp:positionH>
                <wp:positionV relativeFrom="paragraph">
                  <wp:posOffset>7006749</wp:posOffset>
                </wp:positionV>
                <wp:extent cx="1585913" cy="864394"/>
                <wp:effectExtent l="0" t="0" r="14605" b="12065"/>
                <wp:wrapNone/>
                <wp:docPr id="2125532758" name="מלבן 2"/>
                <wp:cNvGraphicFramePr/>
                <a:graphic xmlns:a="http://schemas.openxmlformats.org/drawingml/2006/main">
                  <a:graphicData uri="http://schemas.microsoft.com/office/word/2010/wordprocessingShape">
                    <wps:wsp xmlns:wps="http://schemas.microsoft.com/office/word/2010/wordprocessingShape">
                      <wps:cNvSpPr/>
                      <wps:spPr>
                        <a:xfrm>
                          <a:off x="0" y="0"/>
                          <a:ext cx="1585913" cy="8643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 o:spid="_x0000_s1049" style="width:124.9pt;height:68.05pt;margin-top:551.7pt;margin-left:302.3pt;mso-wrap-distance-bottom:0;mso-wrap-distance-left:9pt;mso-wrap-distance-right:9pt;mso-wrap-distance-top:0;mso-wrap-style:square;position:absolute;visibility:visible;v-text-anchor:middle;z-index:251716608" fillcolor="white" strokecolor="white" strokeweight="1.25pt"/>
            </w:pict>
          </mc:Fallback>
        </mc:AlternateContent>
      </w:r>
      <w:r w:rsidR="000D2811">
        <w:rPr>
          <w:noProof/>
          <w:rtl/>
          <w:lang w:val="he-IL"/>
        </w:rPr>
        <mc:AlternateContent>
          <mc:Choice Requires="wps">
            <w:drawing>
              <wp:anchor distT="0" distB="0" distL="114300" distR="114300" simplePos="0" relativeHeight="251717632" behindDoc="0" locked="0" layoutInCell="1" allowOverlap="1">
                <wp:simplePos x="0" y="0"/>
                <wp:positionH relativeFrom="column">
                  <wp:posOffset>-1469677</wp:posOffset>
                </wp:positionH>
                <wp:positionV relativeFrom="paragraph">
                  <wp:posOffset>-764499</wp:posOffset>
                </wp:positionV>
                <wp:extent cx="6209071" cy="1172497"/>
                <wp:effectExtent l="0" t="0" r="13970" b="8890"/>
                <wp:wrapNone/>
                <wp:docPr id="206044769"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09071" cy="117249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50" style="width:488.9pt;height:92.3pt;margin-top:-60.2pt;margin-left:-115.7pt;mso-wrap-distance-bottom:0;mso-wrap-distance-left:9pt;mso-wrap-distance-right:9pt;mso-wrap-distance-top:0;mso-wrap-style:square;position:absolute;visibility:visible;v-text-anchor:middle;z-index:251718656" fillcolor="white" strokecolor="white" strokeweight="1.25pt"/>
            </w:pict>
          </mc:Fallback>
        </mc:AlternateContent>
      </w:r>
    </w:p>
    <w:sectPr w:rsidSect="00F35B8C">
      <w:headerReference w:type="default" r:id="rId3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53A20" w14:paraId="04AE15FF" w14:textId="77777777">
      <w:pPr>
        <w:spacing w:line="240" w:lineRule="auto"/>
      </w:pPr>
      <w:r>
        <w:separator/>
      </w:r>
    </w:p>
    <w:p w:rsidR="00E53A20" w14:paraId="258E9DB2" w14:textId="77777777"/>
    <w:p w:rsidR="00E53A20" w14:paraId="6B448922" w14:textId="77777777"/>
    <w:p w:rsidR="00E53A20" w14:paraId="3F4DC487" w14:textId="77777777"/>
  </w:endnote>
  <w:endnote w:type="continuationSeparator" w:id="1">
    <w:p w:rsidR="00E53A20" w14:paraId="39A00FC2" w14:textId="77777777">
      <w:pPr>
        <w:spacing w:line="240" w:lineRule="auto"/>
      </w:pPr>
      <w:r>
        <w:continuationSeparator/>
      </w:r>
    </w:p>
    <w:p w:rsidR="00E53A20" w14:paraId="4C89458A" w14:textId="77777777"/>
    <w:p w:rsidR="00E53A20" w14:paraId="493DA496" w14:textId="77777777"/>
    <w:p w:rsidR="00E53A20" w14:paraId="5CDFE6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437" w14:paraId="0F7A66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437" w14:paraId="1DE360E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3A20" w:rsidP="00E7235E" w14:paraId="22B0B45A" w14:textId="77777777">
      <w:pPr>
        <w:spacing w:line="240" w:lineRule="auto"/>
      </w:pPr>
      <w:r>
        <w:separator/>
      </w:r>
    </w:p>
  </w:footnote>
  <w:footnote w:type="continuationSeparator" w:id="1">
    <w:p w:rsidR="00E53A20" w:rsidP="00C23CC9" w14:paraId="58B37B7A" w14:textId="77777777">
      <w:pPr>
        <w:spacing w:line="240" w:lineRule="auto"/>
      </w:pPr>
      <w:r>
        <w:continuationSeparator/>
      </w:r>
    </w:p>
    <w:p w:rsidR="00E53A20" w14:paraId="7894DD25" w14:textId="77777777"/>
    <w:p w:rsidR="00E53A20" w14:paraId="01F4CEE1" w14:textId="77777777"/>
    <w:p w:rsidR="00E53A20" w14:paraId="27B139B9" w14:textId="77777777"/>
  </w:footnote>
  <w:footnote w:id="2">
    <w:p w:rsidR="00063645" w:rsidRPr="00DF5FC4" w:rsidP="00063645" w14:paraId="276441B2" w14:textId="77777777">
      <w:pPr>
        <w:pStyle w:val="712"/>
      </w:pPr>
      <w:r w:rsidRPr="00DF5FC4">
        <w:rPr>
          <w:rStyle w:val="FootnoteReference2"/>
          <w:vertAlign w:val="baseline"/>
        </w:rPr>
        <w:footnoteRef/>
      </w:r>
      <w:r w:rsidRPr="00DF5FC4">
        <w:rPr>
          <w:rtl/>
        </w:rPr>
        <w:t xml:space="preserve"> </w:t>
      </w:r>
      <w:r w:rsidRPr="00DF5FC4">
        <w:rPr>
          <w:rtl/>
        </w:rPr>
        <w:tab/>
      </w:r>
      <w:r w:rsidRPr="00DF5FC4">
        <w:rPr>
          <w:rFonts w:hint="cs"/>
          <w:rtl/>
        </w:rPr>
        <w:t xml:space="preserve">מבקר המדינה, </w:t>
      </w:r>
      <w:r w:rsidRPr="00DF5FC4">
        <w:rPr>
          <w:rFonts w:hint="cs"/>
          <w:b/>
          <w:bCs/>
          <w:rtl/>
        </w:rPr>
        <w:t>דוח שנתי 71א</w:t>
      </w:r>
      <w:r w:rsidRPr="00DF5FC4">
        <w:rPr>
          <w:rFonts w:hint="cs"/>
          <w:rtl/>
        </w:rPr>
        <w:t xml:space="preserve"> (אוקטובר 2020) "תאגידי מים וביוב - אסדרה, ניהול ופיקוח", עמ' 1391.</w:t>
      </w:r>
    </w:p>
  </w:footnote>
  <w:footnote w:id="3">
    <w:p w:rsidR="003B5437" w:rsidRPr="00363CE5" w:rsidP="00363CE5" w14:paraId="6B56C5DB" w14:textId="77777777">
      <w:pPr>
        <w:pStyle w:val="712"/>
      </w:pPr>
      <w:r w:rsidRPr="00363CE5">
        <w:rPr>
          <w:rStyle w:val="FootnoteReference2"/>
          <w:vertAlign w:val="baseline"/>
        </w:rPr>
        <w:footnoteRef/>
      </w:r>
      <w:r w:rsidRPr="00363CE5">
        <w:rPr>
          <w:rtl/>
        </w:rPr>
        <w:t xml:space="preserve">  </w:t>
      </w:r>
      <w:r w:rsidRPr="00363CE5">
        <w:rPr>
          <w:rtl/>
        </w:rPr>
        <w:tab/>
      </w:r>
      <w:r w:rsidRPr="00363CE5">
        <w:rPr>
          <w:rtl/>
        </w:rPr>
        <w:t>רשות המים הגדירה "תאגידים זכאים" כתאגידים חלשים, בעלי שיעורי פחת מים גבוהים במיוחד, שאינם מסוגלים להתקיים באופן עצמאי מהבחינה הפיננסית בשנים הראשונות להפעלתם, אשר זכאים למענקים ולנורמות מקילות.</w:t>
      </w:r>
    </w:p>
  </w:footnote>
  <w:footnote w:id="4">
    <w:p w:rsidR="000321D0" w:rsidRPr="00363CE5" w:rsidP="00363CE5" w14:paraId="35DD3184" w14:textId="77777777">
      <w:pPr>
        <w:pStyle w:val="712"/>
      </w:pPr>
      <w:r w:rsidRPr="00363CE5">
        <w:rPr>
          <w:rStyle w:val="FootnoteReference2"/>
          <w:vertAlign w:val="baseline"/>
        </w:rPr>
        <w:footnoteRef/>
      </w:r>
      <w:r w:rsidRPr="00363CE5">
        <w:rPr>
          <w:rtl/>
        </w:rPr>
        <w:t xml:space="preserve"> </w:t>
      </w:r>
      <w:r w:rsidRPr="00363CE5">
        <w:rPr>
          <w:rtl/>
        </w:rPr>
        <w:tab/>
      </w:r>
      <w:r w:rsidRPr="00363CE5">
        <w:rPr>
          <w:rtl/>
        </w:rPr>
        <w:t xml:space="preserve">מבקר המדינה, דוח שנתי 71א (2020), "תאגידי מים וביוב - אסדרה, ניהול ופיקוח", עמ' 1391. </w:t>
      </w:r>
    </w:p>
  </w:footnote>
  <w:footnote w:id="5">
    <w:p w:rsidR="000321D0" w:rsidRPr="00363CE5" w:rsidP="00363CE5" w14:paraId="48E10764" w14:textId="77777777">
      <w:pPr>
        <w:pStyle w:val="712"/>
        <w:rPr>
          <w:rtl/>
        </w:rPr>
      </w:pPr>
      <w:r w:rsidRPr="00363CE5">
        <w:rPr>
          <w:rStyle w:val="FootnoteReference2"/>
          <w:vertAlign w:val="baseline"/>
        </w:rPr>
        <w:footnoteRef/>
      </w:r>
      <w:r w:rsidRPr="00363CE5">
        <w:rPr>
          <w:rtl/>
        </w:rPr>
        <w:t xml:space="preserve"> </w:t>
      </w:r>
      <w:r w:rsidRPr="00363CE5">
        <w:rPr>
          <w:rtl/>
        </w:rPr>
        <w:tab/>
        <w:t>הלשכה המרכזית לסטטיסטיקה גיבשה מדד לאפיון הרשויות המקומיות בישראל לפי הרמה החברתית-כלכלית של האוכלוסייה בהן. הרשויות המקומיות סווגו לפי ערכי המדד לעשרה אשכולות, שבהם אשכול 1 מציין את הרמה החברתית-כלכלית הנמוכה ביותר ואשכול 10 מציין את הרמה החברתית-כלכלית הגבוהה ביותר.</w:t>
      </w:r>
    </w:p>
  </w:footnote>
  <w:footnote w:id="6">
    <w:p w:rsidR="000321D0" w:rsidRPr="00363CE5" w:rsidP="00363CE5" w14:paraId="46254C39" w14:textId="77777777">
      <w:pPr>
        <w:pStyle w:val="712"/>
        <w:rPr>
          <w:rtl/>
        </w:rPr>
      </w:pPr>
      <w:r w:rsidRPr="00363CE5">
        <w:rPr>
          <w:rStyle w:val="FootnoteReference2"/>
          <w:vertAlign w:val="baseline"/>
        </w:rPr>
        <w:footnoteRef/>
      </w:r>
      <w:r w:rsidRPr="00363CE5">
        <w:rPr>
          <w:rtl/>
        </w:rPr>
        <w:t xml:space="preserve"> </w:t>
      </w:r>
      <w:r w:rsidRPr="00363CE5">
        <w:rPr>
          <w:rtl/>
        </w:rPr>
        <w:tab/>
        <w:t>ת</w:t>
      </w:r>
      <w:r w:rsidRPr="00363CE5">
        <w:rPr>
          <w:rFonts w:hint="cs"/>
          <w:rtl/>
        </w:rPr>
        <w:t>ו</w:t>
      </w:r>
      <w:r w:rsidRPr="00363CE5">
        <w:rPr>
          <w:rtl/>
        </w:rPr>
        <w:t>כניות פ</w:t>
      </w:r>
      <w:r w:rsidRPr="00363CE5">
        <w:rPr>
          <w:rFonts w:hint="cs"/>
          <w:rtl/>
        </w:rPr>
        <w:t>י</w:t>
      </w:r>
      <w:r w:rsidRPr="00363CE5">
        <w:rPr>
          <w:rtl/>
        </w:rPr>
        <w:t>תוח נוספות מעבר להיקף של ת</w:t>
      </w:r>
      <w:r w:rsidRPr="00363CE5">
        <w:rPr>
          <w:rFonts w:hint="cs"/>
          <w:rtl/>
        </w:rPr>
        <w:t>ו</w:t>
      </w:r>
      <w:r w:rsidRPr="00363CE5">
        <w:rPr>
          <w:rtl/>
        </w:rPr>
        <w:t>כניות שביצוען נדרש על פי הכללים הקיימים לצורך אישור ייעוד הרווחים כדיבידנד או כהחזר צרכני</w:t>
      </w:r>
      <w:r w:rsidRPr="00363CE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EED127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321D0" w:rsidR="000321D0">
                            <w:rPr>
                              <w:rFonts w:ascii="Tahoma" w:hAnsi="Tahoma" w:cs="Tahoma"/>
                              <w:b/>
                              <w:bCs/>
                              <w:rtl/>
                            </w:rPr>
                            <w:t>תאגידי המים והביוב - אסדרה, ניהול ופיקוח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EED127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0321D0" w:rsidR="000321D0">
                      <w:rPr>
                        <w:rFonts w:ascii="Tahoma" w:hAnsi="Tahoma" w:cs="Tahoma"/>
                        <w:b/>
                        <w:bCs/>
                        <w:rtl/>
                      </w:rPr>
                      <w:t>תאגידי המים והביוב - אסדרה, ניהול ופיקוח - ביקורת מעקב</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492BBC2D">
                          <w:pPr>
                            <w:jc w:val="right"/>
                            <w:rPr>
                              <w:color w:val="0D0D0D" w:themeColor="text1" w:themeTint="F2"/>
                              <w:sz w:val="16"/>
                              <w:szCs w:val="16"/>
                            </w:rPr>
                          </w:pPr>
                          <w:r w:rsidRPr="00AF3B73">
                            <w:rPr>
                              <w:rFonts w:ascii="Tahoma" w:hAnsi="Tahoma" w:cs="Tahoma"/>
                              <w:color w:val="0D0D0D"/>
                              <w:sz w:val="16"/>
                              <w:szCs w:val="16"/>
                              <w:rtl/>
                            </w:rPr>
                            <w:t xml:space="preserve">דוח </w:t>
                          </w:r>
                          <w:r w:rsidRPr="00243AA5" w:rsidR="00243AA5">
                            <w:rPr>
                              <w:rFonts w:ascii="Tahoma" w:hAnsi="Tahoma" w:cs="Tahoma"/>
                              <w:color w:val="0D0D0D"/>
                              <w:sz w:val="16"/>
                              <w:szCs w:val="16"/>
                              <w:rtl/>
                            </w:rPr>
                            <w:t xml:space="preserve">מבקר המדינה | </w:t>
                          </w:r>
                          <w:r w:rsidR="00AE645C">
                            <w:rPr>
                              <w:rFonts w:ascii="Tahoma" w:hAnsi="Tahoma" w:cs="Tahoma"/>
                              <w:color w:val="0D0D0D"/>
                              <w:sz w:val="16"/>
                              <w:szCs w:val="16"/>
                              <w:rtl/>
                            </w:rPr>
                            <w:t>שבט</w:t>
                          </w:r>
                          <w:r w:rsidRPr="00243AA5" w:rsidR="00243AA5">
                            <w:rPr>
                              <w:rFonts w:ascii="Tahoma" w:hAnsi="Tahoma" w:cs="Tahoma"/>
                              <w:color w:val="0D0D0D"/>
                              <w:sz w:val="16"/>
                              <w:szCs w:val="16"/>
                              <w:rtl/>
                            </w:rPr>
                            <w:t xml:space="preserve"> </w:t>
                          </w:r>
                          <w:r w:rsidRPr="00243AA5" w:rsidR="00243AA5">
                            <w:rPr>
                              <w:rFonts w:ascii="Tahoma" w:hAnsi="Tahoma" w:cs="Tahoma"/>
                              <w:color w:val="0D0D0D"/>
                              <w:sz w:val="16"/>
                              <w:szCs w:val="16"/>
                              <w:rtl/>
                            </w:rPr>
                            <w:t>התשפ״ד</w:t>
                          </w:r>
                          <w:r w:rsidRPr="00243AA5" w:rsidR="00243AA5">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92BBC2D">
                    <w:pPr>
                      <w:jc w:val="right"/>
                      <w:rPr>
                        <w:color w:val="0D0D0D" w:themeColor="text1" w:themeTint="F2"/>
                        <w:sz w:val="16"/>
                        <w:szCs w:val="16"/>
                      </w:rPr>
                    </w:pPr>
                    <w:r w:rsidRPr="00AF3B73">
                      <w:rPr>
                        <w:rFonts w:ascii="Tahoma" w:hAnsi="Tahoma" w:cs="Tahoma"/>
                        <w:color w:val="0D0D0D"/>
                        <w:sz w:val="16"/>
                        <w:szCs w:val="16"/>
                        <w:rtl/>
                      </w:rPr>
                      <w:t xml:space="preserve">דוח </w:t>
                    </w:r>
                    <w:r w:rsidRPr="00243AA5" w:rsidR="00243AA5">
                      <w:rPr>
                        <w:rFonts w:ascii="Tahoma" w:hAnsi="Tahoma" w:cs="Tahoma"/>
                        <w:color w:val="0D0D0D"/>
                        <w:sz w:val="16"/>
                        <w:szCs w:val="16"/>
                        <w:rtl/>
                      </w:rPr>
                      <w:t xml:space="preserve">מבקר המדינה | </w:t>
                    </w:r>
                    <w:r w:rsidR="00AE645C">
                      <w:rPr>
                        <w:rFonts w:ascii="Tahoma" w:hAnsi="Tahoma" w:cs="Tahoma"/>
                        <w:color w:val="0D0D0D"/>
                        <w:sz w:val="16"/>
                        <w:szCs w:val="16"/>
                        <w:rtl/>
                      </w:rPr>
                      <w:t>שבט</w:t>
                    </w:r>
                    <w:r w:rsidRPr="00243AA5" w:rsidR="00243AA5">
                      <w:rPr>
                        <w:rFonts w:ascii="Tahoma" w:hAnsi="Tahoma" w:cs="Tahoma"/>
                        <w:color w:val="0D0D0D"/>
                        <w:sz w:val="16"/>
                        <w:szCs w:val="16"/>
                        <w:rtl/>
                      </w:rPr>
                      <w:t xml:space="preserve"> </w:t>
                    </w:r>
                    <w:r w:rsidRPr="00243AA5" w:rsidR="00243AA5">
                      <w:rPr>
                        <w:rFonts w:ascii="Tahoma" w:hAnsi="Tahoma" w:cs="Tahoma"/>
                        <w:color w:val="0D0D0D"/>
                        <w:sz w:val="16"/>
                        <w:szCs w:val="16"/>
                        <w:rtl/>
                      </w:rPr>
                      <w:t>התשפ״ד</w:t>
                    </w:r>
                    <w:r w:rsidRPr="00243AA5" w:rsidR="00243AA5">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6F4C58C3">
                          <w:pPr>
                            <w:pStyle w:val="Heading1"/>
                            <w:spacing w:line="269" w:lineRule="auto"/>
                            <w:jc w:val="left"/>
                            <w:rPr>
                              <w:rFonts w:ascii="Tahoma" w:hAnsi="Tahoma" w:eastAsiaTheme="minorHAnsi" w:cs="Tahoma"/>
                              <w:bCs w:val="0"/>
                              <w:color w:val="0D0D0D" w:themeColor="text1" w:themeTint="F2"/>
                              <w:sz w:val="16"/>
                              <w:szCs w:val="16"/>
                              <w:u w:val="none"/>
                            </w:rPr>
                          </w:pPr>
                          <w:r w:rsidRPr="000321D0">
                            <w:rPr>
                              <w:rFonts w:ascii="Tahoma" w:hAnsi="Tahoma" w:eastAsiaTheme="minorHAnsi" w:cs="Tahoma"/>
                              <w:bCs w:val="0"/>
                              <w:color w:val="0D0D0D" w:themeColor="text1" w:themeTint="F2"/>
                              <w:sz w:val="16"/>
                              <w:szCs w:val="16"/>
                              <w:u w:val="none"/>
                              <w:rtl/>
                            </w:rPr>
                            <w:t>תאגידי המים והביוב - אסדרה, ניהול ופיקוח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6F4C58C3">
                    <w:pPr>
                      <w:pStyle w:val="Heading1"/>
                      <w:spacing w:line="269" w:lineRule="auto"/>
                      <w:jc w:val="left"/>
                      <w:rPr>
                        <w:rFonts w:ascii="Tahoma" w:hAnsi="Tahoma" w:eastAsiaTheme="minorHAnsi" w:cs="Tahoma"/>
                        <w:bCs w:val="0"/>
                        <w:color w:val="0D0D0D" w:themeColor="text1" w:themeTint="F2"/>
                        <w:sz w:val="16"/>
                        <w:szCs w:val="16"/>
                        <w:u w:val="none"/>
                      </w:rPr>
                    </w:pPr>
                    <w:r w:rsidRPr="000321D0">
                      <w:rPr>
                        <w:rFonts w:ascii="Tahoma" w:hAnsi="Tahoma" w:eastAsiaTheme="minorHAnsi" w:cs="Tahoma"/>
                        <w:bCs w:val="0"/>
                        <w:color w:val="0D0D0D" w:themeColor="text1" w:themeTint="F2"/>
                        <w:sz w:val="16"/>
                        <w:szCs w:val="16"/>
                        <w:u w:val="none"/>
                        <w:rtl/>
                      </w:rPr>
                      <w:t>תאגידי המים והביוב - אסדרה, ניהול ופיקוח - ביקורת מעקב</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0321D0" w14:textId="0838933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321D0" w:rsidR="000321D0">
                            <w:rPr>
                              <w:rFonts w:ascii="Tahoma" w:hAnsi="Tahoma" w:cs="Tahoma"/>
                              <w:b/>
                              <w:bCs/>
                              <w:rtl/>
                            </w:rPr>
                            <w:t>תאגידי המים והביוב - אסדרה, ניהול ופיקוח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0321D0" w14:paraId="3B4CCAD6" w14:textId="0838933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321D0" w:rsidR="000321D0">
                      <w:rPr>
                        <w:rFonts w:ascii="Tahoma" w:hAnsi="Tahoma" w:cs="Tahoma"/>
                        <w:b/>
                        <w:bCs/>
                        <w:rtl/>
                      </w:rPr>
                      <w:t>תאגידי המים והביוב - אסדרה, ניהול ופיקוח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D79F95D">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AE645C">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5D79F95D">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AE645C">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76A183C"/>
    <w:lvl w:ilvl="0">
      <w:start w:val="1"/>
      <w:numFmt w:val="decimal"/>
      <w:lvlText w:val="%1."/>
      <w:lvlJc w:val="left"/>
      <w:pPr>
        <w:tabs>
          <w:tab w:val="num" w:pos="1492"/>
        </w:tabs>
        <w:ind w:left="1492" w:hanging="360"/>
      </w:pPr>
    </w:lvl>
  </w:abstractNum>
  <w:abstractNum w:abstractNumId="1">
    <w:nsid w:val="FFFFFF7D"/>
    <w:multiLevelType w:val="singleLevel"/>
    <w:tmpl w:val="5CB27AE6"/>
    <w:lvl w:ilvl="0">
      <w:start w:val="1"/>
      <w:numFmt w:val="decimal"/>
      <w:lvlText w:val="%1."/>
      <w:lvlJc w:val="left"/>
      <w:pPr>
        <w:tabs>
          <w:tab w:val="num" w:pos="1209"/>
        </w:tabs>
        <w:ind w:left="1209" w:hanging="360"/>
      </w:pPr>
    </w:lvl>
  </w:abstractNum>
  <w:abstractNum w:abstractNumId="2">
    <w:nsid w:val="FFFFFF7F"/>
    <w:multiLevelType w:val="singleLevel"/>
    <w:tmpl w:val="DED08D50"/>
    <w:lvl w:ilvl="0">
      <w:start w:val="1"/>
      <w:numFmt w:val="decimal"/>
      <w:lvlText w:val="%1."/>
      <w:lvlJc w:val="left"/>
      <w:pPr>
        <w:tabs>
          <w:tab w:val="num" w:pos="643"/>
        </w:tabs>
        <w:ind w:left="643" w:hanging="360"/>
      </w:pPr>
    </w:lvl>
  </w:abstractNum>
  <w:abstractNum w:abstractNumId="3">
    <w:nsid w:val="FFFFFF80"/>
    <w:multiLevelType w:val="singleLevel"/>
    <w:tmpl w:val="6FE07B7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A844EC4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26205E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5F5CA26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1F82458E"/>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AB45185"/>
    <w:multiLevelType w:val="hybridMultilevel"/>
    <w:tmpl w:val="487046C0"/>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627B60A7"/>
    <w:multiLevelType w:val="hybridMultilevel"/>
    <w:tmpl w:val="4B4C37E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4"/>
  </w:num>
  <w:num w:numId="2" w16cid:durableId="159808484">
    <w:abstractNumId w:val="10"/>
  </w:num>
  <w:num w:numId="3" w16cid:durableId="2074310673">
    <w:abstractNumId w:val="12"/>
  </w:num>
  <w:num w:numId="4" w16cid:durableId="1596554476">
    <w:abstractNumId w:val="18"/>
  </w:num>
  <w:num w:numId="5" w16cid:durableId="781269690">
    <w:abstractNumId w:val="8"/>
  </w:num>
  <w:num w:numId="6" w16cid:durableId="1087919862">
    <w:abstractNumId w:val="13"/>
  </w:num>
  <w:num w:numId="7" w16cid:durableId="1266497691">
    <w:abstractNumId w:val="16"/>
  </w:num>
  <w:num w:numId="8" w16cid:durableId="1873692319">
    <w:abstractNumId w:val="9"/>
  </w:num>
  <w:num w:numId="9" w16cid:durableId="1057507424">
    <w:abstractNumId w:val="15"/>
  </w:num>
  <w:num w:numId="10" w16cid:durableId="575289498">
    <w:abstractNumId w:val="11"/>
  </w:num>
  <w:num w:numId="11" w16cid:durableId="444429448">
    <w:abstractNumId w:val="17"/>
  </w:num>
  <w:num w:numId="12" w16cid:durableId="377778683">
    <w:abstractNumId w:val="3"/>
  </w:num>
  <w:num w:numId="13" w16cid:durableId="727999966">
    <w:abstractNumId w:val="4"/>
  </w:num>
  <w:num w:numId="14" w16cid:durableId="2127236054">
    <w:abstractNumId w:val="5"/>
  </w:num>
  <w:num w:numId="15" w16cid:durableId="1816069006">
    <w:abstractNumId w:val="6"/>
  </w:num>
  <w:num w:numId="16" w16cid:durableId="448475150">
    <w:abstractNumId w:val="7"/>
  </w:num>
  <w:num w:numId="17" w16cid:durableId="815727106">
    <w:abstractNumId w:val="0"/>
  </w:num>
  <w:num w:numId="18" w16cid:durableId="357122471">
    <w:abstractNumId w:val="1"/>
  </w:num>
  <w:num w:numId="19" w16cid:durableId="1469401233">
    <w:abstractNumId w:val="2"/>
  </w:num>
  <w:num w:numId="20" w16cid:durableId="310985663">
    <w:abstractNumId w:val="3"/>
  </w:num>
  <w:num w:numId="21" w16cid:durableId="398406737">
    <w:abstractNumId w:val="4"/>
  </w:num>
  <w:num w:numId="22" w16cid:durableId="1652521156">
    <w:abstractNumId w:val="5"/>
  </w:num>
  <w:num w:numId="23" w16cid:durableId="2144033131">
    <w:abstractNumId w:val="6"/>
  </w:num>
  <w:num w:numId="24" w16cid:durableId="1586648233">
    <w:abstractNumId w:val="7"/>
  </w:num>
  <w:num w:numId="25" w16cid:durableId="56825792">
    <w:abstractNumId w:val="0"/>
  </w:num>
  <w:num w:numId="26" w16cid:durableId="1428889839">
    <w:abstractNumId w:val="1"/>
  </w:num>
  <w:num w:numId="27" w16cid:durableId="2231520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106"/>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334"/>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1D0"/>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645"/>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5CB9"/>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18F"/>
    <w:rsid w:val="0009349C"/>
    <w:rsid w:val="00093B10"/>
    <w:rsid w:val="00093E30"/>
    <w:rsid w:val="0009432F"/>
    <w:rsid w:val="00094D5D"/>
    <w:rsid w:val="00094E0C"/>
    <w:rsid w:val="00094F15"/>
    <w:rsid w:val="0009524E"/>
    <w:rsid w:val="000953AB"/>
    <w:rsid w:val="0009559D"/>
    <w:rsid w:val="000963C8"/>
    <w:rsid w:val="00096A83"/>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56A"/>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811"/>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90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A30"/>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9FD"/>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2FFF"/>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2D"/>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EC3"/>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AA5"/>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1C9B"/>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3F0"/>
    <w:rsid w:val="002925B8"/>
    <w:rsid w:val="00292791"/>
    <w:rsid w:val="00292A58"/>
    <w:rsid w:val="00293FC3"/>
    <w:rsid w:val="00294150"/>
    <w:rsid w:val="00294251"/>
    <w:rsid w:val="00294784"/>
    <w:rsid w:val="00294AF0"/>
    <w:rsid w:val="00295A58"/>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1987"/>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15A5"/>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AD1"/>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657"/>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CE5"/>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4B33"/>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1AC"/>
    <w:rsid w:val="003A769E"/>
    <w:rsid w:val="003A780A"/>
    <w:rsid w:val="003A7F68"/>
    <w:rsid w:val="003B0B84"/>
    <w:rsid w:val="003B0BB0"/>
    <w:rsid w:val="003B0E50"/>
    <w:rsid w:val="003B1053"/>
    <w:rsid w:val="003B166B"/>
    <w:rsid w:val="003B1F61"/>
    <w:rsid w:val="003B23BE"/>
    <w:rsid w:val="003B30AD"/>
    <w:rsid w:val="003B4CBF"/>
    <w:rsid w:val="003B505F"/>
    <w:rsid w:val="003B5437"/>
    <w:rsid w:val="003B57EC"/>
    <w:rsid w:val="003B5853"/>
    <w:rsid w:val="003B5A1E"/>
    <w:rsid w:val="003B5E39"/>
    <w:rsid w:val="003B639B"/>
    <w:rsid w:val="003B6576"/>
    <w:rsid w:val="003B6636"/>
    <w:rsid w:val="003B6D05"/>
    <w:rsid w:val="003B71E3"/>
    <w:rsid w:val="003B7A94"/>
    <w:rsid w:val="003B7CBC"/>
    <w:rsid w:val="003C007E"/>
    <w:rsid w:val="003C0A02"/>
    <w:rsid w:val="003C1086"/>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2E"/>
    <w:rsid w:val="003E4D5A"/>
    <w:rsid w:val="003E58C2"/>
    <w:rsid w:val="003E5AE8"/>
    <w:rsid w:val="003E5FCA"/>
    <w:rsid w:val="003E66A4"/>
    <w:rsid w:val="003E672B"/>
    <w:rsid w:val="003E6790"/>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1BA"/>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16A"/>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4A4"/>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3E0D"/>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2F11"/>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3D3"/>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11A"/>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A65"/>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57D1E"/>
    <w:rsid w:val="005608B2"/>
    <w:rsid w:val="0056099A"/>
    <w:rsid w:val="00560A43"/>
    <w:rsid w:val="00560FD3"/>
    <w:rsid w:val="00561000"/>
    <w:rsid w:val="00561471"/>
    <w:rsid w:val="00561A46"/>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784"/>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BFC"/>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906"/>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3DD"/>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81A"/>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89F"/>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04E"/>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209"/>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6BF6"/>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2D4"/>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4FF3"/>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5CB6"/>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49"/>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C5B"/>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89C"/>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2B6"/>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5E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DF4"/>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0E34"/>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A4B"/>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6EDE"/>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377"/>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373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9BD"/>
    <w:rsid w:val="00971BE0"/>
    <w:rsid w:val="00971EFA"/>
    <w:rsid w:val="0097253D"/>
    <w:rsid w:val="009725A2"/>
    <w:rsid w:val="00972CE5"/>
    <w:rsid w:val="00973313"/>
    <w:rsid w:val="00973381"/>
    <w:rsid w:val="00973E62"/>
    <w:rsid w:val="00974130"/>
    <w:rsid w:val="00974399"/>
    <w:rsid w:val="00974915"/>
    <w:rsid w:val="009752C7"/>
    <w:rsid w:val="009759F2"/>
    <w:rsid w:val="009760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06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670"/>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2EF"/>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0C3"/>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97DE5"/>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0C9A"/>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45C"/>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53A"/>
    <w:rsid w:val="00B05E03"/>
    <w:rsid w:val="00B0644E"/>
    <w:rsid w:val="00B0675C"/>
    <w:rsid w:val="00B07A25"/>
    <w:rsid w:val="00B10403"/>
    <w:rsid w:val="00B1077D"/>
    <w:rsid w:val="00B107AF"/>
    <w:rsid w:val="00B10841"/>
    <w:rsid w:val="00B10B1F"/>
    <w:rsid w:val="00B11176"/>
    <w:rsid w:val="00B11A6E"/>
    <w:rsid w:val="00B123B7"/>
    <w:rsid w:val="00B13CB1"/>
    <w:rsid w:val="00B14BEA"/>
    <w:rsid w:val="00B167CE"/>
    <w:rsid w:val="00B16B62"/>
    <w:rsid w:val="00B16DD7"/>
    <w:rsid w:val="00B174BA"/>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ACA"/>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88A"/>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B7DA8"/>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23E"/>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149"/>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37"/>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64F"/>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76"/>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37958"/>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5BD5"/>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44E"/>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2F7E"/>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6D"/>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FC4"/>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5A52"/>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A20"/>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0B7"/>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A6F"/>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62F"/>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A6B"/>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D34"/>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C3C"/>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8C6"/>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5E"/>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2A08"/>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9"/>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5703C5"/>
    <w:pPr>
      <w:keepNext/>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Dell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E710B7"/>
    <w:pPr>
      <w:keepNext w:val="0"/>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9"/>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9"/>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5703C5"/>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E710B7"/>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0-">
    <w:name w:val="0-מידת תיקון הליקוי"/>
    <w:basedOn w:val="Normal"/>
    <w:link w:val="0-0"/>
    <w:qFormat/>
    <w:rsid w:val="00AE0C9A"/>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AE0C9A"/>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9">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5703C5"/>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5703C5"/>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character" w:styleId="FootnoteReference2">
    <w:name w:val="footnote reference"/>
    <w:aliases w:val="Footnote Reference_0,Footnote Reference_0_0,Footnote Reference_0_0_0,Footnote Reference_0_0_0_0,Footnote Reference_1,Footnote Reference_1_0,Footnote Reference_2,Footnote Reference_3,Footnote Reference_4,Footnote Reference_4_0,fr,מ"/>
    <w:basedOn w:val="DefaultParagraphFont"/>
    <w:uiPriority w:val="99"/>
    <w:unhideWhenUsed/>
    <w:rsid w:val="000321D0"/>
    <w:rPr>
      <w:vertAlign w:val="superscript"/>
    </w:rPr>
  </w:style>
  <w:style w:type="character" w:styleId="CommentReference">
    <w:name w:val="annotation reference"/>
    <w:basedOn w:val="DefaultParagraphFont"/>
    <w:uiPriority w:val="99"/>
    <w:semiHidden/>
    <w:unhideWhenUsed/>
    <w:rsid w:val="00363CE5"/>
    <w:rPr>
      <w:sz w:val="16"/>
      <w:szCs w:val="16"/>
    </w:rPr>
  </w:style>
  <w:style w:type="character" w:customStyle="1" w:styleId="124">
    <w:name w:val="אזכור לא מזוהה1"/>
    <w:basedOn w:val="DefaultParagraphFont"/>
    <w:uiPriority w:val="99"/>
    <w:semiHidden/>
    <w:unhideWhenUsed/>
    <w:rsid w:val="00363CE5"/>
    <w:rPr>
      <w:color w:val="605E5C"/>
      <w:shd w:val="clear" w:color="auto" w:fill="E1DFDD"/>
    </w:rPr>
  </w:style>
  <w:style w:type="paragraph" w:customStyle="1" w:styleId="714">
    <w:name w:val="71ג הזחה ראשונה ללא מספר"/>
    <w:basedOn w:val="Normal"/>
    <w:qFormat/>
    <w:rsid w:val="00363CE5"/>
    <w:pPr>
      <w:spacing w:after="180" w:line="260" w:lineRule="exact"/>
      <w:ind w:left="397"/>
    </w:pPr>
    <w:rPr>
      <w:rFonts w:ascii="Tahoma" w:hAnsi="Tahoma" w:cs="Tahoma"/>
      <w:color w:val="0D0D0D" w:themeColor="text1" w:themeTint="F2"/>
      <w:sz w:val="18"/>
      <w:szCs w:val="18"/>
    </w:rPr>
  </w:style>
  <w:style w:type="paragraph" w:customStyle="1" w:styleId="715">
    <w:name w:val="71ג הזחה ראשונה מספר"/>
    <w:basedOn w:val="ListParagraph"/>
    <w:qFormat/>
    <w:rsid w:val="00363CE5"/>
    <w:pPr>
      <w:spacing w:after="180" w:line="260" w:lineRule="exact"/>
      <w:ind w:left="397" w:hanging="397"/>
      <w:contextualSpacing w:val="0"/>
    </w:pPr>
    <w:rPr>
      <w:rFonts w:ascii="Tahoma" w:hAnsi="Tahoma" w:cs="Tahoma"/>
      <w:color w:val="0D0D0D" w:themeColor="text1" w:themeTint="F2"/>
      <w:sz w:val="18"/>
      <w:szCs w:val="18"/>
    </w:rPr>
  </w:style>
  <w:style w:type="paragraph" w:customStyle="1" w:styleId="71BULLETS">
    <w:name w:val="71ג בולטים BULLETS ריק"/>
    <w:basedOn w:val="ListParagraph"/>
    <w:qFormat/>
    <w:rsid w:val="00363CE5"/>
    <w:pPr>
      <w:widowControl w:val="0"/>
      <w:tabs>
        <w:tab w:val="num" w:pos="360"/>
      </w:tabs>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363CE5"/>
    <w:pPr>
      <w:ind w:left="794"/>
    </w:pPr>
  </w:style>
  <w:style w:type="paragraph" w:customStyle="1" w:styleId="717">
    <w:name w:val="71ג כותרת 7 בתוך טקסט"/>
    <w:basedOn w:val="715"/>
    <w:link w:val="717Char"/>
    <w:qFormat/>
    <w:rsid w:val="00363CE5"/>
    <w:rPr>
      <w:bCs/>
    </w:rPr>
  </w:style>
  <w:style w:type="character" w:customStyle="1" w:styleId="717Char">
    <w:name w:val="71ג כותרת 7 בתוך טקסט Char"/>
    <w:basedOn w:val="DefaultParagraphFont"/>
    <w:link w:val="717"/>
    <w:rsid w:val="00363CE5"/>
    <w:rPr>
      <w:rFonts w:ascii="Tahoma" w:hAnsi="Tahoma" w:cs="Tahoma"/>
      <w:bCs/>
      <w:color w:val="0D0D0D" w:themeColor="text1" w:themeTint="F2"/>
      <w:sz w:val="18"/>
      <w:szCs w:val="18"/>
    </w:rPr>
  </w:style>
  <w:style w:type="paragraph" w:customStyle="1" w:styleId="71R">
    <w:name w:val="71ג טבלה טקסט R"/>
    <w:basedOn w:val="Normal"/>
    <w:qFormat/>
    <w:rsid w:val="00363CE5"/>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363CE5"/>
    <w:pPr>
      <w:spacing w:before="120" w:after="120" w:line="240" w:lineRule="exact"/>
      <w:jc w:val="left"/>
    </w:pPr>
    <w:rPr>
      <w:rFonts w:ascii="Tahoma" w:hAnsi="Tahoma" w:eastAsiaTheme="minorEastAsia" w:cs="Tahoma"/>
      <w:b/>
      <w:bCs/>
      <w:color w:val="000000" w:themeColor="text1"/>
      <w:sz w:val="16"/>
      <w:szCs w:val="16"/>
    </w:rPr>
  </w:style>
  <w:style w:type="table" w:styleId="GridTable1Light">
    <w:name w:val="Grid Table 1 Light"/>
    <w:basedOn w:val="TableNormal"/>
    <w:uiPriority w:val="46"/>
    <w:rsid w:val="00363C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719">
    <w:name w:val="71ג טקסט רץ 9"/>
    <w:basedOn w:val="Normal"/>
    <w:link w:val="719Char"/>
    <w:qFormat/>
    <w:rsid w:val="00363CE5"/>
    <w:pPr>
      <w:spacing w:after="180" w:line="260" w:lineRule="exact"/>
      <w:outlineLvl w:val="3"/>
    </w:pPr>
    <w:rPr>
      <w:rFonts w:ascii="Tahoma" w:hAnsi="Tahoma" w:cs="Tahoma"/>
      <w:color w:val="0D0D0D" w:themeColor="text1" w:themeTint="F2"/>
      <w:sz w:val="18"/>
      <w:szCs w:val="18"/>
    </w:rPr>
  </w:style>
  <w:style w:type="character" w:customStyle="1" w:styleId="719Char">
    <w:name w:val="71ג טקסט רץ 9 Char"/>
    <w:basedOn w:val="DefaultParagraphFont"/>
    <w:link w:val="719"/>
    <w:rsid w:val="00363CE5"/>
    <w:rPr>
      <w:rFonts w:ascii="Tahoma" w:hAnsi="Tahoma" w:cs="Tahoma"/>
      <w:color w:val="0D0D0D" w:themeColor="text1" w:themeTint="F2"/>
      <w:sz w:val="18"/>
      <w:szCs w:val="18"/>
    </w:rPr>
  </w:style>
  <w:style w:type="paragraph" w:customStyle="1" w:styleId="7170">
    <w:name w:val="71ג כותרת 7 טקסט מודגש"/>
    <w:basedOn w:val="Normal"/>
    <w:link w:val="717Char0"/>
    <w:qFormat/>
    <w:rsid w:val="00363CE5"/>
    <w:pPr>
      <w:bidi w:val="0"/>
      <w:spacing w:after="180" w:line="260" w:lineRule="exact"/>
      <w:jc w:val="left"/>
      <w:outlineLvl w:val="3"/>
    </w:pPr>
    <w:rPr>
      <w:rFonts w:ascii="Tahoma" w:hAnsi="Tahoma" w:cs="Tahoma"/>
      <w:b/>
      <w:bCs/>
      <w:color w:val="0D0D0D" w:themeColor="text1" w:themeTint="F2"/>
      <w:sz w:val="18"/>
      <w:szCs w:val="18"/>
    </w:rPr>
  </w:style>
  <w:style w:type="character" w:customStyle="1" w:styleId="717Char0">
    <w:name w:val="71ג כותרת 7 טקסט מודגש Char"/>
    <w:basedOn w:val="DefaultParagraphFont"/>
    <w:link w:val="7170"/>
    <w:rsid w:val="00363CE5"/>
    <w:rPr>
      <w:rFonts w:ascii="Tahoma" w:hAnsi="Tahoma" w:cs="Tahoma"/>
      <w:b/>
      <w:bCs/>
      <w:color w:val="0D0D0D" w:themeColor="text1" w:themeTint="F2"/>
      <w:sz w:val="18"/>
      <w:szCs w:val="18"/>
    </w:rPr>
  </w:style>
  <w:style w:type="paragraph" w:customStyle="1" w:styleId="716">
    <w:name w:val="71ג כותרת באותיות לבנות באדום בתקציר"/>
    <w:basedOn w:val="Normal"/>
    <w:link w:val="71Char0"/>
    <w:qFormat/>
    <w:rsid w:val="00363CE5"/>
    <w:pPr>
      <w:spacing w:before="120" w:line="240" w:lineRule="atLeast"/>
      <w:ind w:left="170" w:right="113"/>
      <w:jc w:val="left"/>
    </w:pPr>
    <w:rPr>
      <w:rFonts w:ascii="Tahoma" w:hAnsi="Tahoma" w:cs="Tahoma"/>
      <w:b/>
      <w:color w:val="FFFFFF" w:themeColor="background1"/>
      <w:sz w:val="22"/>
      <w:szCs w:val="22"/>
    </w:rPr>
  </w:style>
  <w:style w:type="character" w:customStyle="1" w:styleId="71Char0">
    <w:name w:val="71ג כותרת באותיות לבנות באדום בתקציר Char"/>
    <w:basedOn w:val="DefaultParagraphFont"/>
    <w:link w:val="716"/>
    <w:rsid w:val="00363CE5"/>
    <w:rPr>
      <w:rFonts w:ascii="Tahoma" w:hAnsi="Tahoma" w:cs="Tahoma"/>
      <w:b/>
      <w:color w:val="FFFFFF" w:themeColor="background1"/>
      <w:sz w:val="22"/>
      <w:szCs w:val="22"/>
    </w:rPr>
  </w:style>
  <w:style w:type="paragraph" w:customStyle="1" w:styleId="718">
    <w:name w:val="71ג כותרת סיכום"/>
    <w:basedOn w:val="Normal"/>
    <w:qFormat/>
    <w:rsid w:val="00363CE5"/>
    <w:pPr>
      <w:spacing w:after="180" w:line="260" w:lineRule="exact"/>
    </w:pPr>
    <w:rPr>
      <w:rFonts w:ascii="Tahoma" w:hAnsi="Tahoma" w:cs="Tahoma"/>
      <w:b/>
      <w:bCs/>
      <w:color w:val="00305F"/>
      <w:sz w:val="32"/>
      <w:szCs w:val="32"/>
    </w:rPr>
  </w:style>
  <w:style w:type="paragraph" w:customStyle="1" w:styleId="71155">
    <w:name w:val="71ג כותרת גודל 15.5"/>
    <w:basedOn w:val="Normal"/>
    <w:link w:val="71155Char"/>
    <w:qFormat/>
    <w:rsid w:val="00363CE5"/>
    <w:pPr>
      <w:keepNext/>
      <w:spacing w:before="360" w:after="180" w:line="240" w:lineRule="atLeast"/>
      <w:jc w:val="left"/>
      <w:outlineLvl w:val="2"/>
    </w:pPr>
    <w:rPr>
      <w:rFonts w:ascii="Tahoma" w:eastAsia="Times New Roman" w:hAnsi="Tahoma" w:cs="Tahoma"/>
      <w:b/>
      <w:bCs/>
      <w:color w:val="00305F"/>
      <w:sz w:val="31"/>
      <w:szCs w:val="31"/>
    </w:rPr>
  </w:style>
  <w:style w:type="character" w:customStyle="1" w:styleId="71155Char">
    <w:name w:val="71ג כותרת גודל 15.5 Char"/>
    <w:basedOn w:val="DefaultParagraphFont"/>
    <w:link w:val="71155"/>
    <w:rsid w:val="00363CE5"/>
    <w:rPr>
      <w:rFonts w:ascii="Tahoma" w:eastAsia="Times New Roman" w:hAnsi="Tahoma" w:cs="Tahoma"/>
      <w:b/>
      <w:bCs/>
      <w:color w:val="00305F"/>
      <w:sz w:val="31"/>
      <w:szCs w:val="31"/>
    </w:rPr>
  </w:style>
  <w:style w:type="paragraph" w:customStyle="1" w:styleId="125">
    <w:name w:val="כותרת משנה1"/>
    <w:basedOn w:val="Normal"/>
    <w:rsid w:val="00363CE5"/>
    <w:pPr>
      <w:bidi w:val="0"/>
      <w:spacing w:before="100" w:beforeAutospacing="1" w:after="100" w:afterAutospacing="1" w:line="240" w:lineRule="auto"/>
      <w:jc w:val="left"/>
    </w:pPr>
    <w:rPr>
      <w:rFonts w:eastAsia="Times New Roman" w:cs="Times New Roman"/>
      <w:sz w:val="24"/>
    </w:rPr>
  </w:style>
  <w:style w:type="character" w:customStyle="1" w:styleId="call-to-action-span">
    <w:name w:val="call-to-action-span"/>
    <w:basedOn w:val="DefaultParagraphFont"/>
    <w:rsid w:val="00363CE5"/>
  </w:style>
  <w:style w:type="character" w:customStyle="1" w:styleId="estimated-time-span">
    <w:name w:val="estimated-time-span"/>
    <w:basedOn w:val="DefaultParagraphFont"/>
    <w:rsid w:val="00363CE5"/>
  </w:style>
  <w:style w:type="paragraph" w:customStyle="1" w:styleId="articlespeakable">
    <w:name w:val="article_speakable"/>
    <w:basedOn w:val="Normal"/>
    <w:rsid w:val="00363CE5"/>
    <w:pPr>
      <w:bidi w:val="0"/>
      <w:spacing w:before="100" w:beforeAutospacing="1" w:after="100" w:afterAutospacing="1" w:line="240" w:lineRule="auto"/>
      <w:jc w:val="left"/>
    </w:pPr>
    <w:rPr>
      <w:rFonts w:eastAsia="Times New Roman" w:cs="Times New Roman"/>
      <w:sz w:val="24"/>
    </w:rPr>
  </w:style>
  <w:style w:type="character" w:customStyle="1" w:styleId="ob-unit">
    <w:name w:val="ob-unit"/>
    <w:basedOn w:val="DefaultParagraphFont"/>
    <w:rsid w:val="00363CE5"/>
  </w:style>
  <w:style w:type="character" w:customStyle="1" w:styleId="media-description">
    <w:name w:val="media-description"/>
    <w:basedOn w:val="DefaultParagraphFont"/>
    <w:rsid w:val="00363CE5"/>
  </w:style>
  <w:style w:type="character" w:customStyle="1" w:styleId="media-credit">
    <w:name w:val="media-credit"/>
    <w:basedOn w:val="DefaultParagraphFont"/>
    <w:rsid w:val="00363CE5"/>
  </w:style>
  <w:style w:type="character" w:customStyle="1" w:styleId="infoseparator">
    <w:name w:val="infoseparator"/>
    <w:basedOn w:val="DefaultParagraphFont"/>
    <w:rsid w:val="00363CE5"/>
  </w:style>
  <w:style w:type="character" w:customStyle="1" w:styleId="datedisplay">
    <w:name w:val="datedisplay"/>
    <w:basedOn w:val="DefaultParagraphFont"/>
    <w:rsid w:val="00363CE5"/>
  </w:style>
  <w:style w:type="character" w:customStyle="1" w:styleId="numofimg">
    <w:name w:val="numofimg"/>
    <w:basedOn w:val="DefaultParagraphFont"/>
    <w:rsid w:val="00363CE5"/>
  </w:style>
  <w:style w:type="character" w:customStyle="1" w:styleId="trcrboxheaderspan">
    <w:name w:val="trc_rbox_header_span"/>
    <w:basedOn w:val="DefaultParagraphFont"/>
    <w:rsid w:val="00363CE5"/>
  </w:style>
  <w:style w:type="character" w:customStyle="1" w:styleId="video-label-box">
    <w:name w:val="video-label-box"/>
    <w:basedOn w:val="DefaultParagraphFont"/>
    <w:rsid w:val="00363CE5"/>
  </w:style>
  <w:style w:type="character" w:customStyle="1" w:styleId="video-label">
    <w:name w:val="video-label"/>
    <w:basedOn w:val="DefaultParagraphFont"/>
    <w:rsid w:val="00363CE5"/>
  </w:style>
  <w:style w:type="character" w:customStyle="1" w:styleId="branding">
    <w:name w:val="branding"/>
    <w:basedOn w:val="DefaultParagraphFont"/>
    <w:rsid w:val="00363CE5"/>
  </w:style>
  <w:style w:type="paragraph" w:customStyle="1" w:styleId="a35">
    <w:name w:val="הערות שוליים"/>
    <w:basedOn w:val="FootnoteText"/>
    <w:qFormat/>
    <w:rsid w:val="00363CE5"/>
    <w:pPr>
      <w:spacing w:after="60" w:line="312" w:lineRule="auto"/>
      <w:ind w:left="397" w:hanging="397"/>
    </w:pPr>
    <w:rPr>
      <w:rFonts w:ascii="Tahoma" w:hAnsi="Tahoma" w:cs="Tahoma"/>
      <w:sz w:val="16"/>
      <w:szCs w:val="16"/>
    </w:rPr>
  </w:style>
  <w:style w:type="table" w:styleId="GridTable5DarkAccent2">
    <w:name w:val="Grid Table 5 Dark Accent 2"/>
    <w:basedOn w:val="TableNormal"/>
    <w:uiPriority w:val="50"/>
    <w:rsid w:val="00363CE5"/>
    <w:pPr>
      <w:spacing w:after="0" w:line="240" w:lineRule="auto"/>
      <w:jc w:val="left"/>
    </w:pPr>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paragraph" w:customStyle="1" w:styleId="HeadHatzaotHok">
    <w:name w:val="Head HatzaotHok"/>
    <w:basedOn w:val="Normal"/>
    <w:rsid w:val="00363CE5"/>
    <w:pPr>
      <w:keepNext/>
      <w:keepLines/>
      <w:widowControl w:val="0"/>
      <w:snapToGrid w:val="0"/>
      <w:spacing w:before="240" w:line="360" w:lineRule="auto"/>
      <w:ind w:left="340"/>
      <w:contextualSpacing/>
      <w:jc w:val="center"/>
      <w:outlineLvl w:val="0"/>
    </w:pPr>
    <w:rPr>
      <w:rFonts w:ascii="Arial" w:eastAsia="Arial Unicode MS" w:hAnsi="Arial"/>
      <w:b/>
      <w:bCs/>
      <w:snapToGrid w:val="0"/>
      <w:szCs w:val="26"/>
    </w:rPr>
  </w:style>
  <w:style w:type="paragraph" w:customStyle="1" w:styleId="TableText">
    <w:name w:val="Table Text"/>
    <w:basedOn w:val="Normal"/>
    <w:rsid w:val="00363CE5"/>
    <w:pPr>
      <w:keepLines/>
      <w:widowControl w:val="0"/>
      <w:tabs>
        <w:tab w:val="left" w:pos="624"/>
        <w:tab w:val="left" w:pos="1247"/>
      </w:tabs>
      <w:snapToGrid w:val="0"/>
      <w:spacing w:line="360" w:lineRule="auto"/>
      <w:contextualSpacing/>
      <w:jc w:val="left"/>
    </w:pPr>
    <w:rPr>
      <w:rFonts w:ascii="Arial" w:eastAsia="Arial Unicode MS" w:hAnsi="Arial"/>
      <w:snapToGrid w:val="0"/>
      <w:szCs w:val="26"/>
    </w:rPr>
  </w:style>
  <w:style w:type="paragraph" w:customStyle="1" w:styleId="TableSideHeading">
    <w:name w:val="Table SideHeading"/>
    <w:basedOn w:val="TableText"/>
    <w:rsid w:val="00363CE5"/>
    <w:pPr>
      <w:outlineLvl w:val="2"/>
    </w:pPr>
  </w:style>
  <w:style w:type="paragraph" w:customStyle="1" w:styleId="TableBlock">
    <w:name w:val="Table Block"/>
    <w:basedOn w:val="TableText"/>
    <w:rsid w:val="00363CE5"/>
    <w:pPr>
      <w:jc w:val="both"/>
    </w:pPr>
  </w:style>
  <w:style w:type="paragraph" w:customStyle="1" w:styleId="Hesber">
    <w:name w:val="Hesber"/>
    <w:basedOn w:val="Normal"/>
    <w:rsid w:val="00363CE5"/>
    <w:pPr>
      <w:widowControl w:val="0"/>
      <w:snapToGrid w:val="0"/>
      <w:spacing w:line="360" w:lineRule="auto"/>
      <w:ind w:firstLine="340"/>
      <w:contextualSpacing/>
    </w:pPr>
    <w:rPr>
      <w:rFonts w:ascii="Arial" w:eastAsia="Arial Unicode MS" w:hAnsi="Arial"/>
      <w:snapToGrid w:val="0"/>
      <w:szCs w:val="26"/>
    </w:rPr>
  </w:style>
  <w:style w:type="paragraph" w:customStyle="1" w:styleId="Hesber1st">
    <w:name w:val="Hesber 1st"/>
    <w:basedOn w:val="Hesber"/>
    <w:rsid w:val="00363CE5"/>
    <w:pPr>
      <w:tabs>
        <w:tab w:val="left" w:pos="680"/>
        <w:tab w:val="left" w:pos="1020"/>
      </w:tabs>
      <w:ind w:firstLine="0"/>
    </w:pPr>
  </w:style>
  <w:style w:type="paragraph" w:customStyle="1" w:styleId="HeadDivreiHesber">
    <w:name w:val="Head DivreiHesber"/>
    <w:basedOn w:val="Normal"/>
    <w:rsid w:val="00363CE5"/>
    <w:pPr>
      <w:widowControl w:val="0"/>
      <w:snapToGrid w:val="0"/>
      <w:spacing w:before="360" w:after="120" w:line="360" w:lineRule="auto"/>
      <w:ind w:left="340"/>
      <w:contextualSpacing/>
      <w:jc w:val="center"/>
      <w:outlineLvl w:val="1"/>
    </w:pPr>
    <w:rPr>
      <w:rFonts w:ascii="Arial" w:eastAsia="Arial Unicode MS" w:hAnsi="Arial"/>
      <w:b/>
      <w:snapToGrid w:val="0"/>
      <w:spacing w:val="40"/>
      <w:szCs w:val="26"/>
    </w:rPr>
  </w:style>
  <w:style w:type="paragraph" w:customStyle="1" w:styleId="a36">
    <w:name w:val="דובר"/>
    <w:basedOn w:val="Normal"/>
    <w:next w:val="Normal"/>
    <w:rsid w:val="00363CE5"/>
    <w:pPr>
      <w:spacing w:line="240" w:lineRule="exact"/>
    </w:pPr>
    <w:rPr>
      <w:rFonts w:ascii="David" w:eastAsia="Times New Roman" w:hAnsi="David"/>
      <w:sz w:val="24"/>
      <w:u w:val="single"/>
      <w:lang w:eastAsia="he-IL"/>
    </w:rPr>
  </w:style>
  <w:style w:type="paragraph" w:customStyle="1" w:styleId="a37">
    <w:name w:val="אורח"/>
    <w:basedOn w:val="Normal"/>
    <w:next w:val="Normal"/>
    <w:rsid w:val="00363CE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363CE5"/>
    <w:pPr>
      <w:keepNext/>
      <w:spacing w:line="240" w:lineRule="exact"/>
    </w:pPr>
    <w:rPr>
      <w:rFonts w:eastAsia="Times New Roman"/>
      <w:sz w:val="24"/>
    </w:rPr>
  </w:style>
  <w:style w:type="character" w:customStyle="1" w:styleId="TagStyle">
    <w:name w:val="TagStyle"/>
    <w:basedOn w:val="DefaultParagraphFont"/>
    <w:rsid w:val="00363CE5"/>
    <w:rPr>
      <w:rFonts w:cs="Arial"/>
      <w:b/>
      <w:bCs w:val="0"/>
      <w:vanish/>
      <w:color w:val="010000"/>
      <w:bdr w:val="single" w:sz="4" w:space="0" w:color="FF66FF"/>
    </w:rPr>
  </w:style>
  <w:style w:type="numbering" w:customStyle="1" w:styleId="126">
    <w:name w:val="ללא רשימה1"/>
    <w:next w:val="NoList"/>
    <w:uiPriority w:val="99"/>
    <w:semiHidden/>
    <w:unhideWhenUsed/>
    <w:rsid w:val="00363CE5"/>
  </w:style>
  <w:style w:type="paragraph" w:customStyle="1" w:styleId="a38">
    <w:name w:val="נושא"/>
    <w:basedOn w:val="Normal"/>
    <w:next w:val="Normal"/>
    <w:rsid w:val="00363CE5"/>
    <w:pPr>
      <w:spacing w:line="240" w:lineRule="exact"/>
      <w:jc w:val="center"/>
      <w:outlineLvl w:val="1"/>
    </w:pPr>
    <w:rPr>
      <w:rFonts w:ascii="David" w:eastAsia="Times New Roman" w:hAnsi="David"/>
      <w:b/>
      <w:bCs/>
      <w:sz w:val="24"/>
      <w:u w:val="single"/>
    </w:rPr>
  </w:style>
  <w:style w:type="paragraph" w:customStyle="1" w:styleId="a39">
    <w:name w:val="מנהל"/>
    <w:basedOn w:val="Normal"/>
    <w:next w:val="Normal"/>
    <w:rsid w:val="00363CE5"/>
    <w:pPr>
      <w:spacing w:line="240" w:lineRule="exact"/>
      <w:ind w:firstLine="720"/>
      <w:jc w:val="center"/>
    </w:pPr>
    <w:rPr>
      <w:rFonts w:ascii="David" w:eastAsia="Times New Roman" w:hAnsi="David"/>
      <w:sz w:val="24"/>
    </w:rPr>
  </w:style>
  <w:style w:type="paragraph" w:customStyle="1" w:styleId="a40">
    <w:name w:val="שאילתה"/>
    <w:basedOn w:val="Normal"/>
    <w:next w:val="Normal"/>
    <w:rsid w:val="00363CE5"/>
    <w:pPr>
      <w:spacing w:line="240" w:lineRule="exact"/>
      <w:ind w:firstLine="720"/>
      <w:jc w:val="center"/>
    </w:pPr>
    <w:rPr>
      <w:rFonts w:ascii="David" w:eastAsia="Times New Roman" w:hAnsi="David"/>
      <w:b/>
      <w:bCs/>
      <w:sz w:val="24"/>
      <w:u w:val="single"/>
    </w:rPr>
  </w:style>
  <w:style w:type="paragraph" w:customStyle="1" w:styleId="a41">
    <w:name w:val="תאריך_עברי"/>
    <w:basedOn w:val="Normal"/>
    <w:next w:val="Normal"/>
    <w:rsid w:val="00363CE5"/>
    <w:pPr>
      <w:spacing w:line="360" w:lineRule="auto"/>
      <w:ind w:firstLine="720"/>
      <w:jc w:val="center"/>
    </w:pPr>
    <w:rPr>
      <w:rFonts w:ascii="Arial" w:eastAsia="Times New Roman" w:hAnsi="Arial" w:cs="Arial"/>
      <w:sz w:val="24"/>
    </w:rPr>
  </w:style>
  <w:style w:type="paragraph" w:customStyle="1" w:styleId="a42">
    <w:name w:val="שער_כותרת_מספר_ישיבה"/>
    <w:basedOn w:val="Normal"/>
    <w:next w:val="Normal"/>
    <w:rsid w:val="00363CE5"/>
    <w:pPr>
      <w:spacing w:line="360" w:lineRule="auto"/>
      <w:ind w:firstLine="720"/>
      <w:jc w:val="center"/>
    </w:pPr>
    <w:rPr>
      <w:rFonts w:ascii="Arial" w:eastAsia="Times New Roman" w:hAnsi="Arial" w:cs="Arial"/>
      <w:b/>
      <w:bCs/>
      <w:sz w:val="28"/>
      <w:szCs w:val="28"/>
      <w:u w:val="single"/>
    </w:rPr>
  </w:style>
  <w:style w:type="paragraph" w:customStyle="1" w:styleId="a43">
    <w:name w:val="שער_יום_תאריך_ישיבה"/>
    <w:basedOn w:val="Normal"/>
    <w:next w:val="Normal"/>
    <w:rsid w:val="00363CE5"/>
    <w:pPr>
      <w:spacing w:line="360" w:lineRule="auto"/>
      <w:ind w:firstLine="720"/>
      <w:jc w:val="center"/>
    </w:pPr>
    <w:rPr>
      <w:rFonts w:ascii="Arial" w:eastAsia="Times New Roman" w:hAnsi="Arial" w:cs="Arial"/>
      <w:sz w:val="24"/>
    </w:rPr>
  </w:style>
  <w:style w:type="paragraph" w:customStyle="1" w:styleId="a44">
    <w:name w:val="שער_ירושלים"/>
    <w:basedOn w:val="Normal"/>
    <w:next w:val="Normal"/>
    <w:rsid w:val="00363CE5"/>
    <w:pPr>
      <w:spacing w:line="360" w:lineRule="auto"/>
      <w:ind w:firstLine="720"/>
      <w:jc w:val="center"/>
    </w:pPr>
    <w:rPr>
      <w:rFonts w:ascii="Arial" w:eastAsia="Times New Roman" w:hAnsi="Arial" w:cs="Arial"/>
      <w:sz w:val="24"/>
    </w:rPr>
  </w:style>
  <w:style w:type="paragraph" w:customStyle="1" w:styleId="a45">
    <w:name w:val="שער_דברי_הכנסת"/>
    <w:basedOn w:val="Normal"/>
    <w:next w:val="Normal"/>
    <w:rsid w:val="00363CE5"/>
    <w:pPr>
      <w:spacing w:line="360" w:lineRule="auto"/>
      <w:ind w:firstLine="720"/>
      <w:jc w:val="left"/>
    </w:pPr>
    <w:rPr>
      <w:rFonts w:ascii="Arial" w:eastAsia="Times New Roman" w:hAnsi="Arial" w:cs="Arial"/>
      <w:b/>
      <w:bCs/>
      <w:sz w:val="22"/>
      <w:szCs w:val="22"/>
    </w:rPr>
  </w:style>
  <w:style w:type="paragraph" w:customStyle="1" w:styleId="a46">
    <w:name w:val="שער_מספר_חוברת"/>
    <w:basedOn w:val="Normal"/>
    <w:next w:val="Normal"/>
    <w:rsid w:val="00363CE5"/>
    <w:pPr>
      <w:spacing w:line="360" w:lineRule="auto"/>
      <w:ind w:firstLine="720"/>
      <w:jc w:val="left"/>
    </w:pPr>
    <w:rPr>
      <w:rFonts w:ascii="Arial" w:eastAsia="Times New Roman" w:hAnsi="Arial" w:cs="Arial"/>
      <w:b/>
      <w:bCs/>
      <w:sz w:val="22"/>
      <w:szCs w:val="22"/>
    </w:rPr>
  </w:style>
  <w:style w:type="paragraph" w:customStyle="1" w:styleId="a47">
    <w:name w:val="שער_מספר_ישיבה"/>
    <w:basedOn w:val="Normal"/>
    <w:next w:val="Normal"/>
    <w:rsid w:val="00363CE5"/>
    <w:pPr>
      <w:spacing w:line="360" w:lineRule="auto"/>
      <w:ind w:firstLine="720"/>
      <w:jc w:val="left"/>
    </w:pPr>
    <w:rPr>
      <w:rFonts w:ascii="Arial" w:eastAsia="Times New Roman" w:hAnsi="Arial" w:cs="Arial"/>
      <w:b/>
      <w:bCs/>
      <w:sz w:val="22"/>
      <w:szCs w:val="22"/>
    </w:rPr>
  </w:style>
  <w:style w:type="paragraph" w:customStyle="1" w:styleId="a48">
    <w:name w:val="הצבעה_מספר"/>
    <w:basedOn w:val="Normal"/>
    <w:next w:val="Normal"/>
    <w:rsid w:val="00363CE5"/>
    <w:pPr>
      <w:spacing w:line="360" w:lineRule="auto"/>
      <w:ind w:firstLine="720"/>
      <w:jc w:val="center"/>
    </w:pPr>
    <w:rPr>
      <w:rFonts w:ascii="David" w:eastAsia="Times New Roman" w:hAnsi="David"/>
      <w:b/>
      <w:bCs/>
      <w:sz w:val="24"/>
    </w:rPr>
  </w:style>
  <w:style w:type="paragraph" w:customStyle="1" w:styleId="--">
    <w:name w:val="הצבעה_בעד-נגד-נמנעים"/>
    <w:basedOn w:val="Normal"/>
    <w:next w:val="Normal"/>
    <w:rsid w:val="00363CE5"/>
    <w:pPr>
      <w:spacing w:line="360" w:lineRule="auto"/>
      <w:ind w:firstLine="720"/>
      <w:jc w:val="center"/>
    </w:pPr>
    <w:rPr>
      <w:rFonts w:ascii="David" w:eastAsia="Times New Roman" w:hAnsi="David"/>
      <w:sz w:val="24"/>
    </w:rPr>
  </w:style>
  <w:style w:type="paragraph" w:customStyle="1" w:styleId="a49">
    <w:name w:val="הצבעה_תוצאות"/>
    <w:basedOn w:val="Normal"/>
    <w:next w:val="Normal"/>
    <w:rsid w:val="00363CE5"/>
    <w:pPr>
      <w:spacing w:line="360" w:lineRule="auto"/>
      <w:ind w:firstLine="720"/>
      <w:jc w:val="center"/>
    </w:pPr>
    <w:rPr>
      <w:rFonts w:ascii="David" w:eastAsia="Times New Roman" w:hAnsi="David"/>
      <w:sz w:val="24"/>
    </w:rPr>
  </w:style>
  <w:style w:type="paragraph" w:customStyle="1" w:styleId="a50">
    <w:name w:val="שער_חוברת_ישיבות"/>
    <w:basedOn w:val="Normal"/>
    <w:next w:val="Normal"/>
    <w:rsid w:val="00363CE5"/>
    <w:pPr>
      <w:spacing w:line="360" w:lineRule="auto"/>
      <w:ind w:firstLine="720"/>
    </w:pPr>
    <w:rPr>
      <w:rFonts w:ascii="Arial" w:eastAsia="Times New Roman" w:hAnsi="Arial" w:cs="Arial"/>
      <w:b/>
      <w:bCs/>
      <w:sz w:val="22"/>
      <w:szCs w:val="22"/>
    </w:rPr>
  </w:style>
  <w:style w:type="paragraph" w:customStyle="1" w:styleId="a51">
    <w:name w:val="שער_חברת_תאריכים"/>
    <w:basedOn w:val="Normal"/>
    <w:next w:val="Normal"/>
    <w:rsid w:val="00363CE5"/>
    <w:pPr>
      <w:spacing w:line="360" w:lineRule="auto"/>
      <w:ind w:firstLine="720"/>
    </w:pPr>
    <w:rPr>
      <w:rFonts w:ascii="Arial" w:eastAsia="Times New Roman" w:hAnsi="Arial" w:cs="Arial"/>
      <w:b/>
      <w:bCs/>
      <w:sz w:val="22"/>
      <w:szCs w:val="22"/>
    </w:rPr>
  </w:style>
  <w:style w:type="paragraph" w:customStyle="1" w:styleId="-3">
    <w:name w:val="דובר-המשך"/>
    <w:basedOn w:val="a36"/>
    <w:next w:val="Normal"/>
    <w:rsid w:val="00363CE5"/>
  </w:style>
  <w:style w:type="paragraph" w:customStyle="1" w:styleId="-4">
    <w:name w:val="נושא-תת"/>
    <w:basedOn w:val="a38"/>
    <w:next w:val="Normal"/>
    <w:rsid w:val="00363CE5"/>
  </w:style>
  <w:style w:type="paragraph" w:customStyle="1" w:styleId="a52">
    <w:name w:val="תשובה"/>
    <w:basedOn w:val="a40"/>
    <w:next w:val="Normal"/>
    <w:rsid w:val="00363CE5"/>
  </w:style>
  <w:style w:type="paragraph" w:customStyle="1" w:styleId="a53">
    <w:name w:val="הפסקת_הישיבה"/>
    <w:basedOn w:val="Normal"/>
    <w:next w:val="Normal"/>
    <w:rsid w:val="00363CE5"/>
    <w:pPr>
      <w:spacing w:line="240" w:lineRule="exact"/>
      <w:ind w:firstLine="720"/>
    </w:pPr>
    <w:rPr>
      <w:rFonts w:eastAsia="Times New Roman"/>
      <w:b/>
      <w:bCs/>
      <w:sz w:val="24"/>
    </w:rPr>
  </w:style>
  <w:style w:type="paragraph" w:customStyle="1" w:styleId="a54">
    <w:name w:val="אחרי_כן"/>
    <w:basedOn w:val="Normal"/>
    <w:next w:val="Normal"/>
    <w:rsid w:val="00363CE5"/>
    <w:pPr>
      <w:spacing w:line="240" w:lineRule="exact"/>
      <w:ind w:firstLine="720"/>
    </w:pPr>
    <w:rPr>
      <w:rFonts w:ascii="David" w:eastAsia="Times New Roman" w:hAnsi="David"/>
      <w:b/>
      <w:bCs/>
      <w:sz w:val="24"/>
    </w:rPr>
  </w:style>
  <w:style w:type="paragraph" w:customStyle="1" w:styleId="a55">
    <w:name w:val="סיום_הישיבה"/>
    <w:basedOn w:val="Normal"/>
    <w:next w:val="Normal"/>
    <w:rsid w:val="00363CE5"/>
    <w:pPr>
      <w:spacing w:line="240" w:lineRule="exact"/>
      <w:ind w:firstLine="720"/>
    </w:pPr>
    <w:rPr>
      <w:rFonts w:eastAsia="Times New Roman"/>
      <w:b/>
      <w:bCs/>
      <w:sz w:val="24"/>
    </w:rPr>
  </w:style>
  <w:style w:type="paragraph" w:customStyle="1" w:styleId="DocVersion">
    <w:name w:val="DocVersion"/>
    <w:basedOn w:val="Normal"/>
    <w:qFormat/>
    <w:rsid w:val="00363CE5"/>
    <w:pPr>
      <w:spacing w:line="240" w:lineRule="exact"/>
      <w:ind w:firstLine="720"/>
      <w:jc w:val="right"/>
    </w:pPr>
    <w:rPr>
      <w:rFonts w:ascii="David" w:eastAsia="Times New Roman" w:hAnsi="David"/>
      <w:sz w:val="14"/>
      <w:szCs w:val="14"/>
    </w:rPr>
  </w:style>
  <w:style w:type="character" w:customStyle="1" w:styleId="718Char">
    <w:name w:val="71ג כותרת 8 בתוך טקסט Char"/>
    <w:basedOn w:val="DefaultParagraphFont"/>
    <w:link w:val="7180"/>
    <w:rsid w:val="00363CE5"/>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363CE5"/>
    <w:pPr>
      <w:spacing w:after="180" w:line="260" w:lineRule="exact"/>
    </w:pPr>
    <w:rPr>
      <w:rFonts w:ascii="Tahoma" w:hAnsi="Tahoma" w:cs="Tahoma"/>
      <w:color w:val="0D0D0D" w:themeColor="text1" w:themeTint="F2"/>
      <w:spacing w:val="20"/>
      <w:sz w:val="19"/>
      <w:szCs w:val="19"/>
    </w:rPr>
  </w:style>
  <w:style w:type="paragraph" w:customStyle="1" w:styleId="7110">
    <w:name w:val="71ג קוביה רצה"/>
    <w:basedOn w:val="Normal"/>
    <w:link w:val="71Char1"/>
    <w:qFormat/>
    <w:rsid w:val="00363CE5"/>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284" w:right="227"/>
    </w:pPr>
    <w:rPr>
      <w:rFonts w:ascii="Tahoma" w:eastAsia="Times New Roman" w:hAnsi="Tahoma" w:cs="Tahoma"/>
      <w:color w:val="0D0D0D" w:themeColor="text1" w:themeTint="F2"/>
      <w:sz w:val="18"/>
      <w:szCs w:val="18"/>
      <w:lang w:eastAsia="he-IL"/>
    </w:rPr>
  </w:style>
  <w:style w:type="character" w:customStyle="1" w:styleId="71Char1">
    <w:name w:val="71ג קוביה רצה Char"/>
    <w:basedOn w:val="DefaultParagraphFont"/>
    <w:link w:val="7110"/>
    <w:rsid w:val="00363CE5"/>
    <w:rPr>
      <w:rFonts w:ascii="Tahoma" w:eastAsia="Times New Roman" w:hAnsi="Tahoma" w:cs="Tahoma"/>
      <w:color w:val="0D0D0D" w:themeColor="text1" w:themeTint="F2"/>
      <w:sz w:val="18"/>
      <w:szCs w:val="18"/>
      <w:shd w:val="solid" w:color="CEEAF5" w:fill="auto"/>
      <w:lang w:eastAsia="he-IL"/>
    </w:rPr>
  </w:style>
  <w:style w:type="paragraph" w:customStyle="1" w:styleId="71512">
    <w:name w:val="71ג כותרת 5_12"/>
    <w:basedOn w:val="Normal"/>
    <w:link w:val="71512Char"/>
    <w:qFormat/>
    <w:rsid w:val="00363CE5"/>
    <w:pPr>
      <w:spacing w:before="240" w:after="180" w:line="240" w:lineRule="atLeast"/>
      <w:jc w:val="left"/>
      <w:outlineLvl w:val="4"/>
    </w:pPr>
    <w:rPr>
      <w:rFonts w:ascii="Tahoma" w:hAnsi="Tahoma" w:cs="Tahoma"/>
      <w:b/>
      <w:bCs/>
      <w:color w:val="00305F"/>
      <w:sz w:val="24"/>
    </w:rPr>
  </w:style>
  <w:style w:type="character" w:customStyle="1" w:styleId="71512Char">
    <w:name w:val="71ג כותרת 5_12 Char"/>
    <w:basedOn w:val="DefaultParagraphFont"/>
    <w:link w:val="71512"/>
    <w:rsid w:val="00363CE5"/>
    <w:rPr>
      <w:rFonts w:ascii="Tahoma" w:hAnsi="Tahoma" w:cs="Tahoma"/>
      <w:b/>
      <w:bCs/>
      <w:color w:val="00305F"/>
      <w:sz w:val="24"/>
    </w:rPr>
  </w:style>
  <w:style w:type="character" w:customStyle="1" w:styleId="102">
    <w:name w:val="אזכור לא מזוהה1_0"/>
    <w:basedOn w:val="DefaultParagraphFont"/>
    <w:uiPriority w:val="99"/>
    <w:semiHidden/>
    <w:unhideWhenUsed/>
    <w:rsid w:val="00363CE5"/>
    <w:rPr>
      <w:color w:val="605E5C"/>
      <w:shd w:val="clear" w:color="auto" w:fill="E1DFDD"/>
    </w:rPr>
  </w:style>
  <w:style w:type="character" w:customStyle="1" w:styleId="29">
    <w:name w:val="אזכור לא מזוהה2"/>
    <w:basedOn w:val="DefaultParagraphFont"/>
    <w:uiPriority w:val="99"/>
    <w:semiHidden/>
    <w:unhideWhenUsed/>
    <w:rsid w:val="00363CE5"/>
    <w:rPr>
      <w:color w:val="605E5C"/>
      <w:shd w:val="clear" w:color="auto" w:fill="E1DFDD"/>
    </w:rPr>
  </w:style>
  <w:style w:type="paragraph" w:customStyle="1" w:styleId="7121">
    <w:name w:val="71ג כותרת 2"/>
    <w:basedOn w:val="Normal"/>
    <w:link w:val="712Char"/>
    <w:qFormat/>
    <w:rsid w:val="00363CE5"/>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1"/>
    <w:rsid w:val="00363CE5"/>
    <w:rPr>
      <w:rFonts w:ascii="Tahoma" w:hAnsi="Tahoma" w:cs="Tahoma"/>
      <w:b/>
      <w:bCs/>
      <w:color w:val="00305F"/>
      <w:sz w:val="40"/>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image" Target="media/image13.pn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footer" Target="footer4.xml" /><Relationship Id="rId31" Type="http://schemas.openxmlformats.org/officeDocument/2006/relationships/header" Target="header6.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D79CF87-FE76-4A19-BC8E-55474A8B0584}"/>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1459</TotalTime>
  <Pages>12</Pages>
  <Words>2140</Words>
  <Characters>10700</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14</cp:revision>
  <cp:lastPrinted>2023-09-26T06:33:00Z</cp:lastPrinted>
  <dcterms:created xsi:type="dcterms:W3CDTF">2023-09-26T06:33:00Z</dcterms:created>
  <dcterms:modified xsi:type="dcterms:W3CDTF">2024-01-15T13:42:00Z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