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EA3086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3059249</wp:posOffset>
                </wp:positionH>
                <wp:positionV relativeFrom="paragraph">
                  <wp:posOffset>264795</wp:posOffset>
                </wp:positionV>
                <wp:extent cx="0" cy="4498521"/>
                <wp:effectExtent l="25400" t="0" r="25400" b="3556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49852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0.9pt,20.85pt" to="240.9pt,375.0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75131D8">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452DE">
                              <w:rPr>
                                <w:rFonts w:hint="cs"/>
                                <w:rtl/>
                              </w:rPr>
                              <w:t>שבט</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DC0A42">
                              <w:rPr>
                                <w:rFonts w:hint="cs"/>
                                <w:rtl/>
                              </w:rPr>
                              <w:t>ינואר</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EB19D87">
                            <w:pPr>
                              <w:pStyle w:val="-1"/>
                              <w:rPr>
                                <w:rtl/>
                              </w:rPr>
                            </w:pPr>
                            <w:r w:rsidRPr="00760EE5">
                              <w:rPr>
                                <w:rtl/>
                              </w:rPr>
                              <w:t>מערכת הביטחון</w:t>
                            </w:r>
                            <w:r w:rsidR="00AB2F78">
                              <w:rPr>
                                <w:rFonts w:hint="cs"/>
                                <w:rtl/>
                              </w:rPr>
                              <w:t xml:space="preserve"> </w:t>
                            </w:r>
                          </w:p>
                          <w:p w:rsidR="00F73EE0" w:rsidRPr="000F5023" w:rsidP="0072357A" w14:textId="2F87ED25">
                            <w:pPr>
                              <w:pStyle w:val="a32"/>
                              <w:bidi/>
                              <w:spacing w:before="120"/>
                              <w:rPr>
                                <w:rtl/>
                              </w:rPr>
                            </w:pPr>
                            <w:r w:rsidRPr="00760EE5">
                              <w:rPr>
                                <w:rtl/>
                              </w:rPr>
                              <w:t xml:space="preserve">רפורמת "נפש אחת" - טיפול משרד הביטחון בנכי צה"ל וכוחות הביטחון - </w:t>
                            </w:r>
                            <w:r>
                              <w:rPr>
                                <w:rtl/>
                              </w:rPr>
                              <w:br/>
                            </w:r>
                            <w:r w:rsidRPr="00760EE5">
                              <w:rPr>
                                <w:rtl/>
                              </w:rPr>
                              <w:t xml:space="preserve">דוח מיוחד </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75131D8">
                      <w:pPr>
                        <w:pStyle w:val="a33"/>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A452DE">
                        <w:rPr>
                          <w:rFonts w:hint="cs"/>
                          <w:rtl/>
                        </w:rPr>
                        <w:t>שבט</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DC0A42">
                        <w:rPr>
                          <w:rFonts w:hint="cs"/>
                          <w:rtl/>
                        </w:rPr>
                        <w:t>ינואר</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EB19D87">
                      <w:pPr>
                        <w:pStyle w:val="-1"/>
                        <w:rPr>
                          <w:rtl/>
                        </w:rPr>
                      </w:pPr>
                      <w:r w:rsidRPr="00760EE5">
                        <w:rPr>
                          <w:rtl/>
                        </w:rPr>
                        <w:t>מערכת הביטחון</w:t>
                      </w:r>
                      <w:r w:rsidR="00AB2F78">
                        <w:rPr>
                          <w:rFonts w:hint="cs"/>
                          <w:rtl/>
                        </w:rPr>
                        <w:t xml:space="preserve"> </w:t>
                      </w:r>
                    </w:p>
                    <w:p w:rsidR="00F73EE0" w:rsidRPr="000F5023" w:rsidP="0072357A" w14:paraId="5464BE8D" w14:textId="2F87ED25">
                      <w:pPr>
                        <w:pStyle w:val="a32"/>
                        <w:bidi/>
                        <w:spacing w:before="120"/>
                        <w:rPr>
                          <w:rtl/>
                        </w:rPr>
                      </w:pPr>
                      <w:r w:rsidRPr="00760EE5">
                        <w:rPr>
                          <w:rtl/>
                        </w:rPr>
                        <w:t xml:space="preserve">רפורמת "נפש אחת" - טיפול משרד הביטחון בנכי צה"ל וכוחות הביטחון - </w:t>
                      </w:r>
                      <w:r>
                        <w:rPr>
                          <w:rtl/>
                        </w:rPr>
                        <w:br/>
                      </w:r>
                      <w:r w:rsidRPr="00760EE5">
                        <w:rPr>
                          <w:rtl/>
                        </w:rPr>
                        <w:t xml:space="preserve">דוח מיוחד </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7B163959">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AF3B73" w14:paraId="4ED3AA37" w14:textId="17D358FF">
      <w:pPr>
        <w:pStyle w:val="7329"/>
        <w:spacing w:after="108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874102</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760EE5" w:rsidR="00760EE5">
        <w:rPr>
          <w:noProof/>
          <w:rtl/>
        </w:rPr>
        <w:t xml:space="preserve">רפורמת "נפש אחת" - טיפול משרד הביטחון בנכי צה"ל וכוחות הביטחון - דוח מיוחד </w:t>
      </w:r>
    </w:p>
    <w:p w:rsidR="00760EE5" w:rsidRPr="00CD151C" w:rsidP="00760EE5" w14:paraId="623F4C8C" w14:textId="77777777">
      <w:pPr>
        <w:pStyle w:val="7392"/>
        <w:rPr>
          <w:rtl/>
        </w:rPr>
      </w:pPr>
      <w:r w:rsidRPr="00CD151C">
        <w:rPr>
          <w:rtl/>
        </w:rPr>
        <w:t>אגף שיקום נכים (אגף השיקום או האגף) במשרד הביטחון (</w:t>
      </w:r>
      <w:r w:rsidRPr="00CD151C">
        <w:rPr>
          <w:rtl/>
        </w:rPr>
        <w:t>משהב"ט</w:t>
      </w:r>
      <w:r w:rsidRPr="00CD151C">
        <w:rPr>
          <w:rtl/>
        </w:rPr>
        <w:t>) מופקד על הטיפול בנכי צה"ל וכוחות הביטחון (נכי צה"ל), על שיקומם ועל שילובם באופן מיטבי בחברה, כמוגדר בחוק הנכים (תגמולים ושיקום), התשי"ט-1959</w:t>
      </w:r>
      <w:r w:rsidRPr="00CD151C">
        <w:rPr>
          <w:rFonts w:hint="cs"/>
          <w:rtl/>
        </w:rPr>
        <w:t xml:space="preserve">. </w:t>
      </w:r>
    </w:p>
    <w:p w:rsidR="00760EE5" w:rsidRPr="00CD151C" w:rsidP="00760EE5" w14:paraId="316893FE" w14:textId="77777777">
      <w:pPr>
        <w:pStyle w:val="7392"/>
        <w:rPr>
          <w:rtl/>
        </w:rPr>
      </w:pPr>
      <w:r w:rsidRPr="00CD151C">
        <w:rPr>
          <w:rFonts w:hint="cs"/>
          <w:rtl/>
        </w:rPr>
        <w:t xml:space="preserve">באפריל 2021 איציק </w:t>
      </w:r>
      <w:r w:rsidRPr="00CD151C">
        <w:rPr>
          <w:rFonts w:hint="cs"/>
          <w:rtl/>
        </w:rPr>
        <w:t>סעידיאן</w:t>
      </w:r>
      <w:r w:rsidRPr="00CD151C">
        <w:rPr>
          <w:rFonts w:hint="cs"/>
          <w:rtl/>
        </w:rPr>
        <w:t xml:space="preserve">, נכה צה"ל, הצית את עצמו מול מטה אגף השיקום. במאי אותה שנה החליטה הממשלה על רפורמת "נפש אחת", שמטרתה </w:t>
      </w:r>
      <w:r w:rsidRPr="00CD151C">
        <w:rPr>
          <w:rtl/>
        </w:rPr>
        <w:t>להביא לשיפור משמעותי של הטיפול והשיקום הניתנים לנכי צה"ל ומערכת הביטחון.</w:t>
      </w:r>
      <w:r w:rsidRPr="00CD151C">
        <w:rPr>
          <w:rFonts w:hint="cs"/>
          <w:rtl/>
        </w:rPr>
        <w:t xml:space="preserve"> </w:t>
      </w:r>
      <w:bookmarkStart w:id="1" w:name="_Hlk144273253"/>
      <w:r w:rsidRPr="00CD151C">
        <w:rPr>
          <w:rFonts w:hint="cs"/>
          <w:rtl/>
        </w:rPr>
        <w:t>תקציב הרפורמה לשנים 2021 - 2022 היה 1.5 מיליארד ש"ח (מתוכם 300 מיליון ש"ח עבור תקציב חד-פעמי)</w:t>
      </w:r>
      <w:bookmarkEnd w:id="1"/>
      <w:r w:rsidRPr="00CD151C">
        <w:rPr>
          <w:rFonts w:hint="cs"/>
          <w:rtl/>
        </w:rPr>
        <w:t xml:space="preserve">. </w:t>
      </w:r>
    </w:p>
    <w:p w:rsidR="00760EE5" w:rsidRPr="00CD151C" w:rsidP="00760EE5" w14:paraId="140237CA" w14:textId="237F8B4E">
      <w:pPr>
        <w:pStyle w:val="7392"/>
        <w:rPr>
          <w:rtl/>
        </w:rPr>
      </w:pPr>
      <w:r w:rsidRPr="00CD151C">
        <w:rPr>
          <w:rFonts w:hint="cs"/>
          <w:rtl/>
        </w:rPr>
        <w:t xml:space="preserve">במסגרת יישום הרפורמה הקים </w:t>
      </w:r>
      <w:r w:rsidRPr="00CD151C">
        <w:rPr>
          <w:rFonts w:hint="cs"/>
          <w:rtl/>
        </w:rPr>
        <w:t>משהב"ט</w:t>
      </w:r>
      <w:r w:rsidRPr="00CD151C">
        <w:rPr>
          <w:rFonts w:hint="cs"/>
          <w:rtl/>
        </w:rPr>
        <w:t xml:space="preserve"> במהלך שנת 2021 תשעה תתי-צוותים לגיבוש המלצות בנושאים שונים לצורך מימוש הרפורמה: </w:t>
      </w:r>
      <w:r w:rsidRPr="00CD151C">
        <w:rPr>
          <w:rFonts w:hint="eastAsia"/>
          <w:rtl/>
        </w:rPr>
        <w:t>שיפור</w:t>
      </w:r>
      <w:r w:rsidRPr="00CD151C">
        <w:rPr>
          <w:rtl/>
        </w:rPr>
        <w:t xml:space="preserve"> השירות </w:t>
      </w:r>
      <w:r w:rsidRPr="00CD151C">
        <w:rPr>
          <w:rFonts w:hint="eastAsia"/>
          <w:rtl/>
        </w:rPr>
        <w:t>לנכי</w:t>
      </w:r>
      <w:r w:rsidRPr="00CD151C">
        <w:rPr>
          <w:rtl/>
        </w:rPr>
        <w:t xml:space="preserve"> </w:t>
      </w:r>
      <w:r w:rsidRPr="00CD151C">
        <w:rPr>
          <w:rFonts w:hint="eastAsia"/>
          <w:rtl/>
        </w:rPr>
        <w:t>צה</w:t>
      </w:r>
      <w:r w:rsidRPr="00CD151C">
        <w:rPr>
          <w:rtl/>
        </w:rPr>
        <w:t>"ל</w:t>
      </w:r>
      <w:r w:rsidRPr="00CD151C">
        <w:rPr>
          <w:rFonts w:hint="cs"/>
          <w:rtl/>
        </w:rPr>
        <w:t xml:space="preserve">, </w:t>
      </w:r>
      <w:r w:rsidRPr="00CD151C">
        <w:rPr>
          <w:rFonts w:hint="eastAsia"/>
          <w:rtl/>
        </w:rPr>
        <w:t>מכלול</w:t>
      </w:r>
      <w:r w:rsidRPr="00CD151C">
        <w:rPr>
          <w:rtl/>
        </w:rPr>
        <w:t xml:space="preserve"> </w:t>
      </w:r>
      <w:r w:rsidRPr="00CD151C">
        <w:rPr>
          <w:rFonts w:hint="eastAsia"/>
          <w:rtl/>
        </w:rPr>
        <w:t>ההכרה</w:t>
      </w:r>
      <w:r w:rsidRPr="00CD151C">
        <w:rPr>
          <w:rtl/>
        </w:rPr>
        <w:t xml:space="preserve"> </w:t>
      </w:r>
      <w:r w:rsidRPr="00CD151C">
        <w:rPr>
          <w:rFonts w:hint="eastAsia"/>
          <w:rtl/>
        </w:rPr>
        <w:t>והטיפול</w:t>
      </w:r>
      <w:r w:rsidRPr="00CD151C">
        <w:rPr>
          <w:rtl/>
        </w:rPr>
        <w:t xml:space="preserve"> </w:t>
      </w:r>
      <w:r w:rsidRPr="00CD151C">
        <w:rPr>
          <w:rFonts w:hint="eastAsia"/>
          <w:rtl/>
        </w:rPr>
        <w:t>בנפגעי</w:t>
      </w:r>
      <w:r w:rsidRPr="00CD151C">
        <w:rPr>
          <w:rtl/>
        </w:rPr>
        <w:t xml:space="preserve"> </w:t>
      </w:r>
      <w:r w:rsidRPr="00CD151C">
        <w:rPr>
          <w:rFonts w:hint="eastAsia"/>
          <w:rtl/>
        </w:rPr>
        <w:t>פוסט-טראומה</w:t>
      </w:r>
      <w:r w:rsidRPr="00CD151C">
        <w:rPr>
          <w:rFonts w:hint="cs"/>
          <w:rtl/>
        </w:rPr>
        <w:t>,</w:t>
      </w:r>
      <w:r w:rsidRPr="00CD151C">
        <w:rPr>
          <w:rFonts w:hint="eastAsia"/>
          <w:rtl/>
        </w:rPr>
        <w:t xml:space="preserve"> יחסי</w:t>
      </w:r>
      <w:r w:rsidRPr="00CD151C">
        <w:rPr>
          <w:rtl/>
        </w:rPr>
        <w:t xml:space="preserve"> הגומלין עם צה"ל </w:t>
      </w:r>
      <w:r w:rsidRPr="00CD151C">
        <w:rPr>
          <w:rFonts w:hint="eastAsia"/>
          <w:rtl/>
        </w:rPr>
        <w:t>ורציפות</w:t>
      </w:r>
      <w:r w:rsidRPr="00CD151C">
        <w:rPr>
          <w:rtl/>
        </w:rPr>
        <w:t xml:space="preserve"> </w:t>
      </w:r>
      <w:r w:rsidRPr="00CD151C">
        <w:rPr>
          <w:rFonts w:hint="eastAsia"/>
          <w:rtl/>
        </w:rPr>
        <w:t>הטיפול</w:t>
      </w:r>
      <w:r w:rsidRPr="00CD151C">
        <w:rPr>
          <w:rFonts w:hint="cs"/>
          <w:rtl/>
        </w:rPr>
        <w:t>,</w:t>
      </w:r>
      <w:r w:rsidRPr="00CD151C">
        <w:rPr>
          <w:rFonts w:hint="eastAsia"/>
          <w:rtl/>
        </w:rPr>
        <w:t xml:space="preserve"> הליכי</w:t>
      </w:r>
      <w:r w:rsidRPr="00CD151C">
        <w:rPr>
          <w:rtl/>
        </w:rPr>
        <w:t xml:space="preserve"> ההכרה</w:t>
      </w:r>
      <w:r w:rsidRPr="00CD151C">
        <w:rPr>
          <w:rFonts w:hint="cs"/>
          <w:rtl/>
        </w:rPr>
        <w:t xml:space="preserve"> בנכי צה"ל, </w:t>
      </w:r>
      <w:r w:rsidRPr="00CD151C">
        <w:rPr>
          <w:rtl/>
        </w:rPr>
        <w:t>הוועדות הרפואיות (לקביעת דרגת נכות)</w:t>
      </w:r>
      <w:r w:rsidRPr="00CD151C">
        <w:rPr>
          <w:rFonts w:hint="cs"/>
          <w:rtl/>
        </w:rPr>
        <w:t xml:space="preserve">, </w:t>
      </w:r>
      <w:r w:rsidRPr="00CD151C">
        <w:rPr>
          <w:rtl/>
        </w:rPr>
        <w:t>שיפור השירות הרפואי לנכי צה"ל</w:t>
      </w:r>
      <w:r w:rsidRPr="00CD151C">
        <w:rPr>
          <w:rFonts w:hint="cs"/>
          <w:rtl/>
        </w:rPr>
        <w:t xml:space="preserve">, </w:t>
      </w:r>
      <w:r w:rsidRPr="00CD151C">
        <w:rPr>
          <w:rtl/>
        </w:rPr>
        <w:t>סל הזכאויות בתחום הדיור</w:t>
      </w:r>
      <w:r w:rsidRPr="00CD151C">
        <w:rPr>
          <w:rFonts w:hint="cs"/>
          <w:rtl/>
        </w:rPr>
        <w:t xml:space="preserve">, </w:t>
      </w:r>
      <w:r w:rsidRPr="00CD151C">
        <w:rPr>
          <w:rtl/>
        </w:rPr>
        <w:t>שיקום תעסוקתי</w:t>
      </w:r>
      <w:r w:rsidRPr="00CD151C">
        <w:rPr>
          <w:rFonts w:hint="cs"/>
          <w:rtl/>
        </w:rPr>
        <w:t xml:space="preserve"> </w:t>
      </w:r>
      <w:r w:rsidR="00320025">
        <w:rPr>
          <w:rFonts w:hint="cs"/>
          <w:rtl/>
        </w:rPr>
        <w:t>ו</w:t>
      </w:r>
      <w:r w:rsidRPr="00CD151C">
        <w:rPr>
          <w:rtl/>
        </w:rPr>
        <w:t>סל הזכאויות בתחום הרכב והניידות</w:t>
      </w:r>
      <w:r w:rsidRPr="00CD151C">
        <w:rPr>
          <w:rFonts w:hint="cs"/>
          <w:rtl/>
        </w:rPr>
        <w:t xml:space="preserve">. בהמשך הכין </w:t>
      </w:r>
      <w:r w:rsidRPr="00CD151C">
        <w:rPr>
          <w:rFonts w:hint="cs"/>
          <w:rtl/>
        </w:rPr>
        <w:t>משהב"ט</w:t>
      </w:r>
      <w:r w:rsidRPr="00CD151C">
        <w:rPr>
          <w:rFonts w:hint="cs"/>
          <w:rtl/>
        </w:rPr>
        <w:t xml:space="preserve"> תוכנית עבודה למימוש הרפורמה ובה כ-70 משימות.</w:t>
      </w:r>
    </w:p>
    <w:p w:rsidR="00760EE5" w:rsidRPr="00CD151C" w:rsidP="00760EE5" w14:paraId="342302EC" w14:textId="2AE8D67A">
      <w:pPr>
        <w:pStyle w:val="7392"/>
        <w:rPr>
          <w:rtl/>
        </w:rPr>
      </w:pPr>
      <w:r w:rsidRPr="00CD151C">
        <w:rPr>
          <w:rFonts w:hint="cs"/>
          <w:rtl/>
        </w:rPr>
        <w:t xml:space="preserve">בשנת 2022 טיפל אגף השיקום </w:t>
      </w:r>
      <w:r w:rsidRPr="00CD151C">
        <w:rPr>
          <w:rFonts w:hint="eastAsia"/>
          <w:rtl/>
        </w:rPr>
        <w:t>בכ</w:t>
      </w:r>
      <w:r w:rsidRPr="00CD151C">
        <w:rPr>
          <w:rtl/>
        </w:rPr>
        <w:t>-60,000</w:t>
      </w:r>
      <w:r w:rsidRPr="00CD151C">
        <w:rPr>
          <w:rFonts w:hint="cs"/>
          <w:rtl/>
        </w:rPr>
        <w:t xml:space="preserve"> נכים שדרגת נכותם 20% ומעלה, ובכלל זה </w:t>
      </w:r>
      <w:r>
        <w:rPr>
          <w:rtl/>
        </w:rPr>
        <w:br/>
      </w:r>
      <w:r w:rsidRPr="00CD151C">
        <w:rPr>
          <w:rFonts w:hint="cs"/>
          <w:rtl/>
        </w:rPr>
        <w:t xml:space="preserve">בכ-15,300 בעלי פגיעת ראש או פגיעה נפשית או הפרעת דחק פוסט-טראומטית </w:t>
      </w:r>
      <w:r w:rsidRPr="00CD151C">
        <w:rPr>
          <w:rFonts w:hint="cs"/>
        </w:rPr>
        <w:t>PTSD</w:t>
      </w:r>
      <w:r w:rsidRPr="00CD151C">
        <w:t>)</w:t>
      </w:r>
      <w:r>
        <w:rPr>
          <w:vertAlign w:val="superscript"/>
          <w:rtl/>
        </w:rPr>
        <w:footnoteReference w:id="2"/>
      </w:r>
      <w:r w:rsidRPr="00CD151C">
        <w:rPr>
          <w:rFonts w:hint="cs"/>
          <w:rtl/>
        </w:rPr>
        <w:t>). נכון למאי 2023,</w:t>
      </w:r>
      <w:r w:rsidR="00320025">
        <w:rPr>
          <w:rFonts w:hint="cs"/>
          <w:rtl/>
        </w:rPr>
        <w:t xml:space="preserve"> כ-</w:t>
      </w:r>
      <w:r w:rsidRPr="00CD151C">
        <w:rPr>
          <w:rFonts w:hint="cs"/>
          <w:rtl/>
        </w:rPr>
        <w:t xml:space="preserve">7,800 נכי צה"ל מוכרים בגין </w:t>
      </w:r>
      <w:r w:rsidRPr="00CD151C">
        <w:rPr>
          <w:rFonts w:hint="cs"/>
        </w:rPr>
        <w:t>PTSD</w:t>
      </w:r>
      <w:r w:rsidRPr="00CD151C">
        <w:rPr>
          <w:rFonts w:hint="cs"/>
          <w:rtl/>
        </w:rPr>
        <w:t>.</w:t>
      </w:r>
    </w:p>
    <w:p w:rsidR="007F4A20" w:rsidRPr="00F16A67" w:rsidP="00760EE5" w14:paraId="0B41EED6" w14:textId="02FE2579">
      <w:pPr>
        <w:pStyle w:val="7392"/>
        <w:rPr>
          <w:rtl/>
        </w:rPr>
      </w:pPr>
      <w:r w:rsidRPr="00CD151C">
        <w:rPr>
          <w:rtl/>
        </w:rPr>
        <w:t xml:space="preserve">דוח זה הוכן לפני פרוץ מלחמת "חרבות ברזל". נכון לסוף נובמבר 2023 טיפל אגף השיקום </w:t>
      </w:r>
      <w:r>
        <w:rPr>
          <w:rtl/>
        </w:rPr>
        <w:br/>
      </w:r>
      <w:r w:rsidRPr="00CD151C">
        <w:rPr>
          <w:rtl/>
        </w:rPr>
        <w:t>בכ-2,150 בקשות להכרה בנכות בעקבות המלחמה ואף הכיר בהליך מקוצר בכ-2,000 בקשות. במועד השלמת כתיבת דוח ביקורת זה טרם הסתיימה המלחמה, ולפיכך טרם התברר המספר הסופי של הנפגעים. הליקויים והפערים המפורטים בדוח זה, הנכונים לעיתוי שלפני פרוץ מלחמת "חרבות ברזל", ממחישים בצורה חדה את חשיבות הביקורת ונותנים משנה תוקף לחשיבות השלמת יישומה של רפורמת "נפש אחת" בכלל ובעת הזו בפרט, נוכח הגידול באוכלוסיית נכי צה"ל וכוחות הביטחון</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760EE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760EE5" w:rsidRPr="00760EE5" w:rsidP="00760EE5" w14:paraId="23EB689E" w14:textId="789350AB">
            <w:pPr>
              <w:spacing w:after="60" w:line="240" w:lineRule="auto"/>
              <w:jc w:val="left"/>
              <w:rPr>
                <w:rFonts w:ascii="Tahoma" w:hAnsi="Tahoma" w:cs="Tahoma"/>
                <w:b/>
                <w:bCs/>
                <w:spacing w:val="-28"/>
                <w:rtl/>
              </w:rPr>
            </w:pPr>
            <w:r w:rsidRPr="00760EE5">
              <w:rPr>
                <w:rFonts w:ascii="Tahoma" w:hAnsi="Tahoma" w:eastAsiaTheme="minorEastAsia" w:cs="Tahoma"/>
                <w:b/>
                <w:bCs/>
                <w:color w:val="0D0D0D" w:themeColor="text1" w:themeTint="F2"/>
                <w:spacing w:val="-10"/>
                <w:sz w:val="36"/>
                <w:szCs w:val="36"/>
                <w:rtl/>
              </w:rPr>
              <w:t>38%</w:t>
            </w:r>
          </w:p>
        </w:tc>
        <w:tc>
          <w:tcPr>
            <w:tcW w:w="188" w:type="pct"/>
            <w:vAlign w:val="bottom"/>
          </w:tcPr>
          <w:p w:rsidR="00760EE5" w:rsidRPr="00760EE5" w:rsidP="00760EE5" w14:paraId="19192EA5" w14:textId="77777777">
            <w:pPr>
              <w:spacing w:before="120" w:after="60" w:line="240" w:lineRule="auto"/>
              <w:jc w:val="left"/>
              <w:rPr>
                <w:rFonts w:ascii="Tahoma" w:hAnsi="Tahoma" w:cs="Tahoma"/>
                <w:b/>
                <w:bCs/>
                <w:rtl/>
              </w:rPr>
            </w:pPr>
          </w:p>
        </w:tc>
        <w:tc>
          <w:tcPr>
            <w:tcW w:w="1023" w:type="pct"/>
            <w:tcBorders>
              <w:bottom w:val="single" w:sz="12" w:space="0" w:color="000000" w:themeColor="text1"/>
            </w:tcBorders>
            <w:vAlign w:val="bottom"/>
          </w:tcPr>
          <w:p w:rsidR="00760EE5" w:rsidRPr="00760EE5" w:rsidP="00760EE5" w14:paraId="761F4116" w14:textId="52A0C634">
            <w:pPr>
              <w:pStyle w:val="2021"/>
              <w:spacing w:before="0" w:after="60"/>
              <w:rPr>
                <w:spacing w:val="-10"/>
                <w:rtl/>
              </w:rPr>
            </w:pPr>
            <w:r w:rsidRPr="00320025">
              <w:rPr>
                <w:spacing w:val="-10"/>
                <w:sz w:val="26"/>
                <w:szCs w:val="26"/>
                <w:rtl/>
              </w:rPr>
              <w:t>כ-</w:t>
            </w:r>
            <w:r w:rsidRPr="00760EE5">
              <w:rPr>
                <w:spacing w:val="-10"/>
                <w:rtl/>
              </w:rPr>
              <w:t xml:space="preserve">14% </w:t>
            </w:r>
            <w:r w:rsidRPr="00320025">
              <w:rPr>
                <w:spacing w:val="-10"/>
                <w:sz w:val="26"/>
                <w:szCs w:val="26"/>
                <w:rtl/>
              </w:rPr>
              <w:t>בלבד</w:t>
            </w:r>
          </w:p>
        </w:tc>
        <w:tc>
          <w:tcPr>
            <w:tcW w:w="188" w:type="pct"/>
            <w:vAlign w:val="bottom"/>
          </w:tcPr>
          <w:p w:rsidR="00760EE5" w:rsidRPr="00760EE5" w:rsidP="00760EE5" w14:paraId="2810DE55" w14:textId="77777777">
            <w:pPr>
              <w:spacing w:before="120" w:after="60" w:line="240" w:lineRule="auto"/>
              <w:jc w:val="left"/>
              <w:rPr>
                <w:rFonts w:ascii="Tahoma" w:hAnsi="Tahoma" w:cs="Tahoma"/>
                <w:b/>
                <w:bCs/>
                <w:rtl/>
              </w:rPr>
            </w:pPr>
          </w:p>
        </w:tc>
        <w:tc>
          <w:tcPr>
            <w:tcW w:w="1136" w:type="pct"/>
            <w:tcBorders>
              <w:bottom w:val="single" w:sz="12" w:space="0" w:color="000000" w:themeColor="text1"/>
            </w:tcBorders>
            <w:vAlign w:val="bottom"/>
          </w:tcPr>
          <w:p w:rsidR="00760EE5" w:rsidRPr="00760EE5" w:rsidP="00760EE5" w14:paraId="2A2E27BD" w14:textId="51B9DB74">
            <w:pPr>
              <w:pStyle w:val="2021"/>
              <w:spacing w:before="0" w:after="60"/>
              <w:rPr>
                <w:spacing w:val="-20"/>
                <w:sz w:val="24"/>
                <w:rtl/>
              </w:rPr>
            </w:pPr>
            <w:r w:rsidRPr="00320025">
              <w:rPr>
                <w:spacing w:val="-10"/>
                <w:sz w:val="26"/>
                <w:szCs w:val="26"/>
                <w:rtl/>
              </w:rPr>
              <w:t>עלייה של</w:t>
            </w:r>
            <w:r w:rsidRPr="00760EE5">
              <w:rPr>
                <w:spacing w:val="-10"/>
                <w:rtl/>
              </w:rPr>
              <w:t xml:space="preserve"> 50%</w:t>
            </w:r>
          </w:p>
        </w:tc>
        <w:tc>
          <w:tcPr>
            <w:tcW w:w="188" w:type="pct"/>
            <w:vAlign w:val="bottom"/>
          </w:tcPr>
          <w:p w:rsidR="00760EE5" w:rsidRPr="00760EE5" w:rsidP="00760EE5" w14:paraId="47B754BA" w14:textId="77777777">
            <w:pPr>
              <w:pStyle w:val="2021"/>
              <w:spacing w:before="0" w:after="60"/>
              <w:rPr>
                <w:spacing w:val="-10"/>
                <w:rtl/>
              </w:rPr>
            </w:pPr>
          </w:p>
        </w:tc>
        <w:tc>
          <w:tcPr>
            <w:tcW w:w="1128" w:type="pct"/>
            <w:tcBorders>
              <w:bottom w:val="single" w:sz="12" w:space="0" w:color="000000" w:themeColor="text1"/>
            </w:tcBorders>
            <w:vAlign w:val="bottom"/>
          </w:tcPr>
          <w:p w:rsidR="00760EE5" w:rsidRPr="00760EE5" w:rsidP="00760EE5" w14:paraId="5F3A3FF5" w14:textId="3A467CF1">
            <w:pPr>
              <w:pStyle w:val="2021"/>
              <w:spacing w:before="0" w:after="60"/>
              <w:rPr>
                <w:spacing w:val="-10"/>
                <w:rtl/>
              </w:rPr>
            </w:pPr>
            <w:r w:rsidRPr="00760EE5">
              <w:rPr>
                <w:spacing w:val="-10"/>
                <w:rtl/>
              </w:rPr>
              <w:t>5,959</w:t>
            </w:r>
          </w:p>
        </w:tc>
      </w:tr>
      <w:tr w14:paraId="6DFAF81C" w14:textId="77777777" w:rsidTr="00760EE5">
        <w:tblPrEx>
          <w:tblW w:w="5000" w:type="pct"/>
          <w:tblLook w:val="04A0"/>
        </w:tblPrEx>
        <w:tc>
          <w:tcPr>
            <w:tcW w:w="1149" w:type="pct"/>
            <w:tcBorders>
              <w:top w:val="single" w:sz="12" w:space="0" w:color="000000" w:themeColor="text1"/>
            </w:tcBorders>
          </w:tcPr>
          <w:p w:rsidR="00760EE5" w:rsidRPr="00E52143" w:rsidP="00760EE5" w14:paraId="1D96599A" w14:textId="0BC6B9AB">
            <w:pPr>
              <w:pStyle w:val="732021"/>
              <w:spacing w:before="0"/>
              <w:rPr>
                <w:rtl/>
              </w:rPr>
            </w:pPr>
            <w:r w:rsidRPr="00CD151C">
              <w:rPr>
                <w:rFonts w:hint="cs"/>
                <w:rtl/>
              </w:rPr>
              <w:t>שיעור הביצוע התקציבי המצטבר (כ-443 מיליון ש"ח) מתוך התקציב השוטף של הרפורמה (כ-1.2 מיליארד ש"ח) ללא התקציב החד-פעמי (300 מיליון ש"ח) בשנים 2021 - 2022</w:t>
            </w:r>
          </w:p>
        </w:tc>
        <w:tc>
          <w:tcPr>
            <w:tcW w:w="188" w:type="pct"/>
          </w:tcPr>
          <w:p w:rsidR="00760EE5" w:rsidRPr="00E52143" w:rsidP="00760EE5" w14:paraId="2BF81D8C" w14:textId="77777777">
            <w:pPr>
              <w:pStyle w:val="732021"/>
              <w:spacing w:before="0"/>
              <w:rPr>
                <w:rtl/>
              </w:rPr>
            </w:pPr>
          </w:p>
        </w:tc>
        <w:tc>
          <w:tcPr>
            <w:tcW w:w="1023" w:type="pct"/>
            <w:tcBorders>
              <w:top w:val="single" w:sz="12" w:space="0" w:color="000000" w:themeColor="text1"/>
            </w:tcBorders>
          </w:tcPr>
          <w:p w:rsidR="00760EE5" w:rsidRPr="00E52143" w:rsidP="00760EE5" w14:paraId="68924AF7" w14:textId="23A816A5">
            <w:pPr>
              <w:pStyle w:val="732021"/>
              <w:spacing w:before="0"/>
              <w:rPr>
                <w:rtl/>
              </w:rPr>
            </w:pPr>
            <w:r w:rsidRPr="00CD151C">
              <w:rPr>
                <w:rFonts w:hint="cs"/>
                <w:rtl/>
              </w:rPr>
              <w:t>שיעור הביצוע התקציבי המצטבר מתוך תקציב של 461 מיליון ש"ח שיועד למענה למתמודדים עם פוסט-טראומה בשנים 2021 - 2022</w:t>
            </w:r>
          </w:p>
        </w:tc>
        <w:tc>
          <w:tcPr>
            <w:tcW w:w="188" w:type="pct"/>
          </w:tcPr>
          <w:p w:rsidR="00760EE5" w:rsidRPr="00E52143" w:rsidP="00760EE5" w14:paraId="4F52CE08" w14:textId="77777777">
            <w:pPr>
              <w:pStyle w:val="732021"/>
              <w:spacing w:before="0"/>
              <w:rPr>
                <w:rtl/>
              </w:rPr>
            </w:pPr>
          </w:p>
        </w:tc>
        <w:tc>
          <w:tcPr>
            <w:tcW w:w="1136" w:type="pct"/>
            <w:tcBorders>
              <w:top w:val="single" w:sz="12" w:space="0" w:color="000000" w:themeColor="text1"/>
            </w:tcBorders>
          </w:tcPr>
          <w:p w:rsidR="00760EE5" w:rsidRPr="00E52143" w:rsidP="00760EE5" w14:paraId="203F9568" w14:textId="0B8A2676">
            <w:pPr>
              <w:pStyle w:val="732021"/>
              <w:spacing w:before="0"/>
              <w:rPr>
                <w:rtl/>
              </w:rPr>
            </w:pPr>
            <w:r w:rsidRPr="00CD151C">
              <w:rPr>
                <w:rFonts w:hint="cs"/>
                <w:rtl/>
              </w:rPr>
              <w:t>בהיקף הבקשות להכרה בנכות בין שנת 2022, כ</w:t>
            </w:r>
            <w:r w:rsidRPr="00CD151C">
              <w:rPr>
                <w:rtl/>
              </w:rPr>
              <w:t>שנה לאחר תחילת יישום רפורמת "נפש אחת"</w:t>
            </w:r>
            <w:r w:rsidRPr="00CD151C">
              <w:rPr>
                <w:rFonts w:hint="cs"/>
                <w:rtl/>
              </w:rPr>
              <w:t xml:space="preserve"> (4,215 בקשות), לשנת 2020 (2,802 בקשות)</w:t>
            </w:r>
          </w:p>
        </w:tc>
        <w:tc>
          <w:tcPr>
            <w:tcW w:w="188" w:type="pct"/>
          </w:tcPr>
          <w:p w:rsidR="00760EE5" w:rsidRPr="00E52143" w:rsidP="00760EE5" w14:paraId="42538096" w14:textId="77777777">
            <w:pPr>
              <w:pStyle w:val="732021"/>
              <w:spacing w:before="0"/>
              <w:rPr>
                <w:rtl/>
              </w:rPr>
            </w:pPr>
          </w:p>
        </w:tc>
        <w:tc>
          <w:tcPr>
            <w:tcW w:w="1128" w:type="pct"/>
            <w:tcBorders>
              <w:top w:val="single" w:sz="12" w:space="0" w:color="000000" w:themeColor="text1"/>
            </w:tcBorders>
          </w:tcPr>
          <w:p w:rsidR="00760EE5" w:rsidRPr="00E52143" w:rsidP="00760EE5" w14:paraId="1878D11D" w14:textId="6268C3C6">
            <w:pPr>
              <w:pStyle w:val="732021"/>
              <w:spacing w:before="0"/>
              <w:rPr>
                <w:rtl/>
              </w:rPr>
            </w:pPr>
            <w:r w:rsidRPr="00CD151C">
              <w:rPr>
                <w:rFonts w:hint="cs"/>
                <w:rtl/>
              </w:rPr>
              <w:t>מספר התיקים ה</w:t>
            </w:r>
            <w:r w:rsidRPr="00CD151C">
              <w:rPr>
                <w:rtl/>
              </w:rPr>
              <w:t xml:space="preserve">נמצאים בשלבים שונים של תהליך ההכרה </w:t>
            </w:r>
            <w:r w:rsidRPr="00CD151C">
              <w:rPr>
                <w:rFonts w:hint="cs"/>
                <w:rtl/>
              </w:rPr>
              <w:t>נכון ליולי 2023</w:t>
            </w:r>
          </w:p>
        </w:tc>
      </w:tr>
      <w:tr w14:paraId="1BD5A20C" w14:textId="77777777" w:rsidTr="00760EE5">
        <w:tblPrEx>
          <w:tblW w:w="5000" w:type="pct"/>
          <w:tblLook w:val="04A0"/>
        </w:tblPrEx>
        <w:tc>
          <w:tcPr>
            <w:tcW w:w="1149" w:type="pct"/>
            <w:tcBorders>
              <w:bottom w:val="single" w:sz="12" w:space="0" w:color="000000" w:themeColor="text1"/>
            </w:tcBorders>
            <w:vAlign w:val="bottom"/>
          </w:tcPr>
          <w:p w:rsidR="00760EE5" w:rsidRPr="00760EE5" w:rsidP="00CF0AAD" w14:paraId="500D3B50" w14:textId="6B2A9949">
            <w:pPr>
              <w:spacing w:after="60" w:line="240" w:lineRule="auto"/>
              <w:jc w:val="left"/>
              <w:rPr>
                <w:rFonts w:ascii="Tahoma" w:hAnsi="Tahoma" w:eastAsiaTheme="minorEastAsia" w:cs="Tahoma"/>
                <w:b/>
                <w:bCs/>
                <w:color w:val="0D0D0D" w:themeColor="text1" w:themeTint="F2"/>
                <w:spacing w:val="-10"/>
                <w:sz w:val="36"/>
                <w:szCs w:val="36"/>
                <w:rtl/>
              </w:rPr>
            </w:pPr>
            <w:r w:rsidRPr="00760EE5">
              <w:rPr>
                <w:rFonts w:ascii="Tahoma" w:hAnsi="Tahoma" w:eastAsiaTheme="minorEastAsia" w:cs="Tahoma"/>
                <w:b/>
                <w:bCs/>
                <w:color w:val="0D0D0D" w:themeColor="text1" w:themeTint="F2"/>
                <w:spacing w:val="-10"/>
                <w:sz w:val="36"/>
                <w:szCs w:val="36"/>
                <w:rtl/>
              </w:rPr>
              <w:t xml:space="preserve">53 </w:t>
            </w:r>
            <w:r w:rsidRPr="00320025">
              <w:rPr>
                <w:rFonts w:ascii="Tahoma" w:hAnsi="Tahoma" w:eastAsiaTheme="minorEastAsia" w:cs="Tahoma"/>
                <w:b/>
                <w:bCs/>
                <w:color w:val="0D0D0D" w:themeColor="text1" w:themeTint="F2"/>
                <w:spacing w:val="-10"/>
                <w:sz w:val="26"/>
                <w:szCs w:val="26"/>
                <w:rtl/>
              </w:rPr>
              <w:t>בלבד</w:t>
            </w:r>
          </w:p>
        </w:tc>
        <w:tc>
          <w:tcPr>
            <w:tcW w:w="188" w:type="pct"/>
            <w:vAlign w:val="bottom"/>
          </w:tcPr>
          <w:p w:rsidR="00760EE5" w:rsidRPr="00760EE5" w:rsidP="00CF0AAD"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760EE5" w:rsidRPr="00760EE5" w:rsidP="00CF0AAD" w14:paraId="48896DF7" w14:textId="3D1E9055">
            <w:pPr>
              <w:pStyle w:val="2021"/>
              <w:spacing w:before="0" w:after="60"/>
              <w:rPr>
                <w:spacing w:val="-10"/>
                <w:rtl/>
              </w:rPr>
            </w:pPr>
            <w:r w:rsidRPr="00760EE5">
              <w:rPr>
                <w:spacing w:val="-10"/>
                <w:rtl/>
              </w:rPr>
              <w:t>74% - 80%</w:t>
            </w:r>
          </w:p>
        </w:tc>
        <w:tc>
          <w:tcPr>
            <w:tcW w:w="188" w:type="pct"/>
            <w:vAlign w:val="bottom"/>
          </w:tcPr>
          <w:p w:rsidR="00760EE5" w:rsidRPr="00760EE5" w:rsidP="00CF0AAD" w14:paraId="5B4C8A80" w14:textId="77777777">
            <w:pPr>
              <w:spacing w:after="60" w:line="240" w:lineRule="auto"/>
              <w:jc w:val="left"/>
              <w:rPr>
                <w:rFonts w:ascii="Tahoma" w:hAnsi="Tahoma" w:cs="Tahoma"/>
                <w:b/>
                <w:bCs/>
                <w:rtl/>
              </w:rPr>
            </w:pPr>
          </w:p>
        </w:tc>
        <w:tc>
          <w:tcPr>
            <w:tcW w:w="1136" w:type="pct"/>
            <w:tcBorders>
              <w:bottom w:val="single" w:sz="12" w:space="0" w:color="000000" w:themeColor="text1"/>
            </w:tcBorders>
            <w:vAlign w:val="bottom"/>
          </w:tcPr>
          <w:p w:rsidR="00760EE5" w:rsidRPr="00760EE5" w:rsidP="00CF0AAD" w14:paraId="226A2E50" w14:textId="3E460429">
            <w:pPr>
              <w:spacing w:after="60" w:line="192" w:lineRule="auto"/>
              <w:jc w:val="left"/>
              <w:rPr>
                <w:rFonts w:ascii="Tahoma" w:hAnsi="Tahoma" w:eastAsiaTheme="minorEastAsia" w:cs="Tahoma"/>
                <w:b/>
                <w:bCs/>
                <w:color w:val="0D0D0D" w:themeColor="text1" w:themeTint="F2"/>
                <w:spacing w:val="-10"/>
                <w:sz w:val="36"/>
                <w:szCs w:val="36"/>
                <w:rtl/>
              </w:rPr>
            </w:pPr>
            <w:r w:rsidRPr="00320025">
              <w:rPr>
                <w:rFonts w:ascii="Tahoma" w:hAnsi="Tahoma" w:eastAsiaTheme="minorEastAsia" w:cs="Tahoma"/>
                <w:b/>
                <w:bCs/>
                <w:color w:val="0D0D0D" w:themeColor="text1" w:themeTint="F2"/>
                <w:spacing w:val="-10"/>
                <w:sz w:val="26"/>
                <w:szCs w:val="26"/>
                <w:rtl/>
              </w:rPr>
              <w:t>גידול של</w:t>
            </w:r>
            <w:r w:rsidRPr="00760EE5">
              <w:rPr>
                <w:rFonts w:ascii="Tahoma" w:hAnsi="Tahoma" w:eastAsiaTheme="minorEastAsia" w:cs="Tahoma"/>
                <w:b/>
                <w:bCs/>
                <w:color w:val="0D0D0D" w:themeColor="text1" w:themeTint="F2"/>
                <w:spacing w:val="-10"/>
                <w:sz w:val="36"/>
                <w:szCs w:val="36"/>
                <w:rtl/>
              </w:rPr>
              <w:t xml:space="preserve"> 52%</w:t>
            </w:r>
          </w:p>
        </w:tc>
        <w:tc>
          <w:tcPr>
            <w:tcW w:w="188" w:type="pct"/>
            <w:vAlign w:val="bottom"/>
          </w:tcPr>
          <w:p w:rsidR="00760EE5" w:rsidRPr="00760EE5" w:rsidP="00CF0AAD"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760EE5" w:rsidRPr="00760EE5" w:rsidP="00CF0AAD" w14:paraId="5AEEF263" w14:textId="550F43B3">
            <w:pPr>
              <w:spacing w:after="60" w:line="240" w:lineRule="auto"/>
              <w:jc w:val="left"/>
              <w:rPr>
                <w:rFonts w:ascii="Tahoma" w:hAnsi="Tahoma" w:eastAsiaTheme="minorEastAsia" w:cs="Tahoma"/>
                <w:b/>
                <w:bCs/>
                <w:color w:val="0D0D0D" w:themeColor="text1" w:themeTint="F2"/>
                <w:spacing w:val="-10"/>
                <w:sz w:val="36"/>
                <w:szCs w:val="36"/>
                <w:rtl/>
              </w:rPr>
            </w:pPr>
            <w:r w:rsidRPr="00760EE5">
              <w:rPr>
                <w:rFonts w:ascii="Tahoma" w:hAnsi="Tahoma" w:eastAsiaTheme="minorEastAsia" w:cs="Tahoma"/>
                <w:b/>
                <w:bCs/>
                <w:color w:val="0D0D0D" w:themeColor="text1" w:themeTint="F2"/>
                <w:spacing w:val="-10"/>
                <w:sz w:val="36"/>
                <w:szCs w:val="36"/>
                <w:rtl/>
              </w:rPr>
              <w:t>34%</w:t>
            </w:r>
          </w:p>
        </w:tc>
      </w:tr>
      <w:tr w14:paraId="54154FA5" w14:textId="77777777" w:rsidTr="00760EE5">
        <w:tblPrEx>
          <w:tblW w:w="5000" w:type="pct"/>
          <w:tblLook w:val="04A0"/>
        </w:tblPrEx>
        <w:tc>
          <w:tcPr>
            <w:tcW w:w="1149" w:type="pct"/>
            <w:tcBorders>
              <w:top w:val="single" w:sz="12" w:space="0" w:color="000000" w:themeColor="text1"/>
            </w:tcBorders>
          </w:tcPr>
          <w:p w:rsidR="00760EE5" w:rsidRPr="004562F8" w:rsidP="00760EE5" w14:paraId="6DB67748" w14:textId="199CC339">
            <w:pPr>
              <w:pStyle w:val="732021"/>
              <w:spacing w:before="0" w:after="0"/>
              <w:rPr>
                <w:rtl/>
              </w:rPr>
            </w:pPr>
            <w:r w:rsidRPr="00CD151C">
              <w:rPr>
                <w:rFonts w:hint="cs"/>
                <w:rtl/>
              </w:rPr>
              <w:t>הציון הממוצע של שביעות הרצון מהיחס ומהשירות שמקבלים נכי צה"ל מאגף השיקום, על פי התשובות לשאלון משרד מבקר המדינה* בסולם של 0 עד 100</w:t>
            </w:r>
          </w:p>
        </w:tc>
        <w:tc>
          <w:tcPr>
            <w:tcW w:w="188" w:type="pct"/>
          </w:tcPr>
          <w:p w:rsidR="00760EE5" w:rsidRPr="008D750B" w:rsidP="00760EE5" w14:paraId="0C0AE598" w14:textId="77777777">
            <w:pPr>
              <w:pStyle w:val="732021"/>
              <w:spacing w:before="0" w:after="0"/>
              <w:rPr>
                <w:rtl/>
              </w:rPr>
            </w:pPr>
          </w:p>
        </w:tc>
        <w:tc>
          <w:tcPr>
            <w:tcW w:w="1023" w:type="pct"/>
            <w:tcBorders>
              <w:top w:val="single" w:sz="12" w:space="0" w:color="000000" w:themeColor="text1"/>
            </w:tcBorders>
          </w:tcPr>
          <w:p w:rsidR="00760EE5" w:rsidRPr="004562F8" w:rsidP="00760EE5" w14:paraId="1916A301" w14:textId="6F08725D">
            <w:pPr>
              <w:pStyle w:val="732021"/>
              <w:spacing w:before="0" w:after="0"/>
              <w:rPr>
                <w:rtl/>
              </w:rPr>
            </w:pPr>
            <w:r w:rsidRPr="00CD151C">
              <w:rPr>
                <w:rFonts w:hint="cs"/>
                <w:rtl/>
              </w:rPr>
              <w:t>שיעור המשיבים שענו כי אינם מודעים או מודעים רק לחלק מההטבות האישיות ומההטבות לבני המשפחה שנוספו במסגרת הרפורמה,</w:t>
            </w:r>
            <w:r>
              <w:rPr>
                <w:rtl/>
              </w:rPr>
              <w:t xml:space="preserve"> </w:t>
            </w:r>
            <w:r w:rsidRPr="00CD151C">
              <w:rPr>
                <w:rtl/>
              </w:rPr>
              <w:t xml:space="preserve">על פי </w:t>
            </w:r>
            <w:r w:rsidRPr="00CD151C">
              <w:rPr>
                <w:rFonts w:hint="cs"/>
                <w:rtl/>
              </w:rPr>
              <w:t>ה</w:t>
            </w:r>
            <w:r w:rsidRPr="00CD151C">
              <w:rPr>
                <w:rtl/>
              </w:rPr>
              <w:t>תשובות לשאלון משרד מבקר המדינה</w:t>
            </w:r>
            <w:r w:rsidRPr="00CD151C">
              <w:rPr>
                <w:rFonts w:hint="cs"/>
                <w:rtl/>
              </w:rPr>
              <w:t>*</w:t>
            </w:r>
          </w:p>
        </w:tc>
        <w:tc>
          <w:tcPr>
            <w:tcW w:w="188" w:type="pct"/>
          </w:tcPr>
          <w:p w:rsidR="00760EE5" w:rsidP="00760EE5" w14:paraId="14782C57" w14:textId="77777777">
            <w:pPr>
              <w:pStyle w:val="732021"/>
              <w:spacing w:before="0" w:after="0"/>
              <w:rPr>
                <w:rtl/>
              </w:rPr>
            </w:pPr>
          </w:p>
        </w:tc>
        <w:tc>
          <w:tcPr>
            <w:tcW w:w="1136" w:type="pct"/>
            <w:tcBorders>
              <w:top w:val="single" w:sz="12" w:space="0" w:color="000000" w:themeColor="text1"/>
            </w:tcBorders>
          </w:tcPr>
          <w:p w:rsidR="00760EE5" w:rsidRPr="0062456C" w:rsidP="00760EE5" w14:paraId="6149CA50" w14:textId="1B5014A4">
            <w:pPr>
              <w:pStyle w:val="732021"/>
              <w:spacing w:before="0" w:after="0"/>
              <w:rPr>
                <w:rtl/>
              </w:rPr>
            </w:pPr>
            <w:r w:rsidRPr="00CD151C">
              <w:rPr>
                <w:rFonts w:hint="cs"/>
                <w:rtl/>
              </w:rPr>
              <w:t xml:space="preserve">בשיעור המשיבים </w:t>
            </w:r>
            <w:r w:rsidRPr="00CD151C">
              <w:rPr>
                <w:rtl/>
              </w:rPr>
              <w:t>ש</w:t>
            </w:r>
            <w:r w:rsidRPr="00CD151C">
              <w:rPr>
                <w:rFonts w:hint="cs"/>
                <w:rtl/>
              </w:rPr>
              <w:t xml:space="preserve">ענו כי </w:t>
            </w:r>
            <w:r w:rsidRPr="00CD151C">
              <w:rPr>
                <w:rtl/>
              </w:rPr>
              <w:t xml:space="preserve">הם מכירים או מכירים היטב את אתר </w:t>
            </w:r>
            <w:r w:rsidRPr="00CD151C">
              <w:rPr>
                <w:rFonts w:hint="cs"/>
                <w:rtl/>
              </w:rPr>
              <w:t>ה</w:t>
            </w:r>
            <w:r w:rsidRPr="00CD151C">
              <w:rPr>
                <w:rtl/>
              </w:rPr>
              <w:t xml:space="preserve">מרשתת של אגף השיקום בין השנים 2021 </w:t>
            </w:r>
            <w:r>
              <w:rPr>
                <w:rtl/>
              </w:rPr>
              <w:br/>
            </w:r>
            <w:r w:rsidRPr="00CD151C">
              <w:rPr>
                <w:rtl/>
              </w:rPr>
              <w:t>ל-202</w:t>
            </w:r>
            <w:r w:rsidRPr="00CD151C">
              <w:rPr>
                <w:rFonts w:hint="cs"/>
                <w:rtl/>
              </w:rPr>
              <w:t xml:space="preserve">3, </w:t>
            </w:r>
            <w:r w:rsidRPr="00CD151C">
              <w:rPr>
                <w:rtl/>
              </w:rPr>
              <w:t xml:space="preserve">על פי </w:t>
            </w:r>
            <w:r w:rsidRPr="00CD151C">
              <w:rPr>
                <w:rFonts w:hint="cs"/>
                <w:rtl/>
              </w:rPr>
              <w:t>ה</w:t>
            </w:r>
            <w:r w:rsidRPr="00CD151C">
              <w:rPr>
                <w:rtl/>
              </w:rPr>
              <w:t>תשובות לשאלון</w:t>
            </w:r>
            <w:r w:rsidRPr="00CD151C">
              <w:rPr>
                <w:rFonts w:hint="cs"/>
                <w:rtl/>
              </w:rPr>
              <w:t xml:space="preserve"> </w:t>
            </w:r>
            <w:r w:rsidRPr="00CD151C">
              <w:rPr>
                <w:rtl/>
              </w:rPr>
              <w:t>משרד מבקר המדינה</w:t>
            </w:r>
            <w:r w:rsidRPr="00CD151C">
              <w:rPr>
                <w:rFonts w:hint="cs"/>
                <w:rtl/>
              </w:rPr>
              <w:t>*</w:t>
            </w:r>
          </w:p>
        </w:tc>
        <w:tc>
          <w:tcPr>
            <w:tcW w:w="188" w:type="pct"/>
          </w:tcPr>
          <w:p w:rsidR="00760EE5" w:rsidRPr="00C92141" w:rsidP="00760EE5" w14:paraId="66E34E8E" w14:textId="77777777">
            <w:pPr>
              <w:pStyle w:val="732021"/>
              <w:spacing w:before="0" w:after="0"/>
              <w:rPr>
                <w:rtl/>
              </w:rPr>
            </w:pPr>
          </w:p>
        </w:tc>
        <w:tc>
          <w:tcPr>
            <w:tcW w:w="1128" w:type="pct"/>
            <w:tcBorders>
              <w:top w:val="single" w:sz="12" w:space="0" w:color="000000" w:themeColor="text1"/>
            </w:tcBorders>
          </w:tcPr>
          <w:p w:rsidR="00760EE5" w:rsidRPr="00C92141" w:rsidP="00760EE5" w14:paraId="39498237" w14:textId="5E2A7731">
            <w:pPr>
              <w:pStyle w:val="732021"/>
              <w:spacing w:before="0" w:after="0"/>
              <w:rPr>
                <w:rtl/>
              </w:rPr>
            </w:pPr>
            <w:r w:rsidRPr="00CD151C">
              <w:rPr>
                <w:rFonts w:hint="cs"/>
                <w:rtl/>
              </w:rPr>
              <w:t xml:space="preserve">מהתקנים שאושרו כתוספת לאגף </w:t>
            </w:r>
            <w:r w:rsidR="00320025">
              <w:rPr>
                <w:rFonts w:hint="cs"/>
                <w:rtl/>
              </w:rPr>
              <w:t>ה</w:t>
            </w:r>
            <w:r w:rsidRPr="00CD151C">
              <w:rPr>
                <w:rFonts w:hint="cs"/>
                <w:rtl/>
              </w:rPr>
              <w:t>שיקום לצורך שיפור השירות לנכי צה"ל לא אוישו (32 תקנים מתוך 95)</w:t>
            </w:r>
          </w:p>
        </w:tc>
      </w:tr>
    </w:tbl>
    <w:p w:rsidR="00760EE5" w:rsidRPr="00073375" w:rsidP="00760EE5" w14:paraId="66D1525A" w14:textId="73E46052">
      <w:pPr>
        <w:pStyle w:val="7300"/>
        <w:rPr>
          <w:rtl/>
        </w:rPr>
      </w:pPr>
      <w:r>
        <w:rPr>
          <w:rFonts w:hint="cs"/>
          <w:rtl/>
        </w:rPr>
        <w:t xml:space="preserve">* </w:t>
      </w:r>
      <w:r>
        <w:rPr>
          <w:rtl/>
        </w:rPr>
        <w:tab/>
      </w:r>
      <w:r w:rsidRPr="00073375">
        <w:rPr>
          <w:rtl/>
        </w:rPr>
        <w:t>ביוני 2023 הפיץ משרד מבקר המדינה שאלון לכ-17,000 נכי צה"ל</w:t>
      </w:r>
      <w:r>
        <w:rPr>
          <w:rFonts w:hint="cs"/>
          <w:rtl/>
        </w:rPr>
        <w:t xml:space="preserve">, ועליו השיבו </w:t>
      </w:r>
      <w:r w:rsidRPr="00073375">
        <w:rPr>
          <w:rtl/>
        </w:rPr>
        <w:t>5,777 נכים (כ-33%).</w:t>
      </w:r>
    </w:p>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760EE5" w:rsidRPr="00CD151C" w:rsidP="00760EE5" w14:paraId="37FB0F53" w14:textId="7A9BE8FE">
      <w:pPr>
        <w:pStyle w:val="7317"/>
        <w:framePr w:hSpace="180" w:wrap="around" w:vAnchor="text" w:hAnchor="text" w:xAlign="center" w:y="1"/>
        <w:suppressOverlap/>
        <w:rPr>
          <w:noProof/>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51C">
        <w:rPr>
          <w:noProof/>
          <w:rtl/>
        </w:rPr>
        <w:t xml:space="preserve">בחודשים </w:t>
      </w:r>
      <w:r w:rsidRPr="00CD151C">
        <w:rPr>
          <w:rFonts w:hint="cs"/>
          <w:noProof/>
          <w:rtl/>
        </w:rPr>
        <w:t>נובמבר</w:t>
      </w:r>
      <w:r w:rsidRPr="00CD151C">
        <w:rPr>
          <w:noProof/>
          <w:rtl/>
        </w:rPr>
        <w:t xml:space="preserve"> </w:t>
      </w:r>
      <w:r w:rsidRPr="00CD151C">
        <w:rPr>
          <w:rFonts w:hint="cs"/>
          <w:noProof/>
          <w:rtl/>
        </w:rPr>
        <w:t>2022</w:t>
      </w:r>
      <w:r w:rsidRPr="00CD151C">
        <w:rPr>
          <w:noProof/>
          <w:rtl/>
        </w:rPr>
        <w:t xml:space="preserve"> עד </w:t>
      </w:r>
      <w:r w:rsidRPr="00CD151C">
        <w:rPr>
          <w:rFonts w:hint="cs"/>
          <w:noProof/>
          <w:rtl/>
        </w:rPr>
        <w:t>יוני</w:t>
      </w:r>
      <w:r w:rsidRPr="00CD151C">
        <w:rPr>
          <w:noProof/>
          <w:rtl/>
        </w:rPr>
        <w:t xml:space="preserve"> </w:t>
      </w:r>
      <w:r w:rsidRPr="00CD151C">
        <w:rPr>
          <w:rFonts w:hint="cs"/>
          <w:noProof/>
          <w:rtl/>
        </w:rPr>
        <w:t>2023</w:t>
      </w:r>
      <w:r w:rsidRPr="00CD151C">
        <w:rPr>
          <w:noProof/>
          <w:rtl/>
        </w:rPr>
        <w:t xml:space="preserve"> </w:t>
      </w:r>
      <w:r w:rsidRPr="00CD151C">
        <w:rPr>
          <w:rFonts w:hint="cs"/>
          <w:noProof/>
          <w:rtl/>
        </w:rPr>
        <w:t xml:space="preserve">ערך </w:t>
      </w:r>
      <w:r w:rsidRPr="00CD151C">
        <w:rPr>
          <w:noProof/>
          <w:rtl/>
        </w:rPr>
        <w:t xml:space="preserve">משרד מבקר המדינה ביקורת בנושא </w:t>
      </w:r>
      <w:r w:rsidRPr="00CD151C">
        <w:rPr>
          <w:rFonts w:hint="cs"/>
          <w:noProof/>
          <w:rtl/>
        </w:rPr>
        <w:t>מימוש רפורמת "נפש אחת"</w:t>
      </w:r>
      <w:r w:rsidRPr="00CD151C">
        <w:rPr>
          <w:noProof/>
          <w:rtl/>
        </w:rPr>
        <w:t>.</w:t>
      </w:r>
      <w:r w:rsidRPr="00CD151C">
        <w:rPr>
          <w:rFonts w:hint="cs"/>
          <w:noProof/>
          <w:rtl/>
        </w:rPr>
        <w:t xml:space="preserve"> בדיקות השלמה נעשו עד תחילת אוגוסט 2023. להלן </w:t>
      </w:r>
      <w:r w:rsidRPr="00CD151C">
        <w:rPr>
          <w:noProof/>
          <w:rtl/>
        </w:rPr>
        <w:t xml:space="preserve">הנושאים העיקריים שנבדקו בביקורת: מימוש </w:t>
      </w:r>
      <w:r w:rsidRPr="00CD151C">
        <w:rPr>
          <w:rFonts w:hint="cs"/>
          <w:noProof/>
          <w:rtl/>
        </w:rPr>
        <w:t>ה</w:t>
      </w:r>
      <w:r w:rsidRPr="00CD151C">
        <w:rPr>
          <w:noProof/>
          <w:rtl/>
        </w:rPr>
        <w:t>רפור</w:t>
      </w:r>
      <w:r w:rsidRPr="00CD151C">
        <w:rPr>
          <w:rFonts w:hint="cs"/>
          <w:noProof/>
          <w:rtl/>
        </w:rPr>
        <w:t xml:space="preserve">מה </w:t>
      </w:r>
      <w:r w:rsidRPr="00CD151C">
        <w:rPr>
          <w:noProof/>
          <w:rtl/>
        </w:rPr>
        <w:t>בהיבטי תקציב ולוח זמנים</w:t>
      </w:r>
      <w:r w:rsidRPr="00CD151C">
        <w:rPr>
          <w:rFonts w:hint="cs"/>
          <w:noProof/>
          <w:rtl/>
        </w:rPr>
        <w:t>; בחינת מימוש היבטים שונים בתחומי הרפורמה האלה: "שער הכניסה" לאגף השיקום</w:t>
      </w:r>
      <w:r>
        <w:rPr>
          <w:noProof/>
          <w:vertAlign w:val="superscript"/>
          <w:rtl/>
        </w:rPr>
        <w:footnoteReference w:id="3"/>
      </w:r>
      <w:r w:rsidRPr="00CD151C">
        <w:rPr>
          <w:rFonts w:hint="cs"/>
          <w:noProof/>
          <w:rtl/>
        </w:rPr>
        <w:t>, המענה למתמודדים עם פוסט-טראומה, עיגון הטבות בחקיקה, מערכות תקשוב לרבות שירות דיגיטלי וממשקים עם גופים חיצוניים; הגדלת מצבת כוח האדם באגף</w:t>
      </w:r>
      <w:r w:rsidR="00320025">
        <w:rPr>
          <w:rFonts w:hint="cs"/>
          <w:noProof/>
          <w:rtl/>
        </w:rPr>
        <w:t xml:space="preserve"> השיקום</w:t>
      </w:r>
      <w:r w:rsidRPr="00CD151C">
        <w:rPr>
          <w:rFonts w:hint="cs"/>
          <w:noProof/>
          <w:rtl/>
        </w:rPr>
        <w:t xml:space="preserve">; ושביעות הרצון מהשירות שהאגף מעניק לנכי צה"ל. </w:t>
      </w:r>
      <w:r w:rsidRPr="00CD151C">
        <w:rPr>
          <w:noProof/>
          <w:rtl/>
        </w:rPr>
        <w:t xml:space="preserve">הביקורת נעשתה </w:t>
      </w:r>
      <w:r w:rsidRPr="00CD151C">
        <w:rPr>
          <w:rFonts w:hint="cs"/>
          <w:noProof/>
          <w:rtl/>
        </w:rPr>
        <w:t xml:space="preserve">במשהב"ט </w:t>
      </w:r>
      <w:r w:rsidRPr="00CD151C">
        <w:rPr>
          <w:noProof/>
          <w:rtl/>
        </w:rPr>
        <w:t xml:space="preserve">- </w:t>
      </w:r>
      <w:r w:rsidRPr="00CD151C">
        <w:rPr>
          <w:rFonts w:hint="cs"/>
          <w:noProof/>
          <w:rtl/>
        </w:rPr>
        <w:t xml:space="preserve">באגף השיקום, באגף התקציבים (את"ק), </w:t>
      </w:r>
      <w:r w:rsidRPr="00CD151C">
        <w:rPr>
          <w:rFonts w:hint="eastAsia"/>
          <w:noProof/>
          <w:rtl/>
        </w:rPr>
        <w:t>באגף</w:t>
      </w:r>
      <w:r w:rsidRPr="00CD151C">
        <w:rPr>
          <w:noProof/>
          <w:rtl/>
        </w:rPr>
        <w:t xml:space="preserve"> </w:t>
      </w:r>
      <w:r w:rsidRPr="00CD151C">
        <w:rPr>
          <w:rFonts w:hint="eastAsia"/>
          <w:noProof/>
          <w:rtl/>
        </w:rPr>
        <w:t>התקשוב</w:t>
      </w:r>
      <w:r w:rsidRPr="00CD151C">
        <w:rPr>
          <w:rFonts w:hint="cs"/>
          <w:noProof/>
          <w:rtl/>
        </w:rPr>
        <w:t xml:space="preserve"> ובלשכת היועץ המשפטי למערכת הביטחון (היועמ"ש למעהב"ט). בדיקות השלמה נעשו במשהב"ט - באגף התכנון </w:t>
      </w:r>
      <w:r w:rsidRPr="00CD151C">
        <w:rPr>
          <w:rFonts w:hint="eastAsia"/>
          <w:noProof/>
          <w:rtl/>
        </w:rPr>
        <w:t>וביחידה</w:t>
      </w:r>
      <w:r w:rsidRPr="00CD151C">
        <w:rPr>
          <w:noProof/>
          <w:rtl/>
        </w:rPr>
        <w:t xml:space="preserve"> </w:t>
      </w:r>
      <w:r w:rsidRPr="00CD151C">
        <w:rPr>
          <w:rFonts w:hint="eastAsia"/>
          <w:noProof/>
          <w:rtl/>
        </w:rPr>
        <w:t>מסוימת</w:t>
      </w:r>
      <w:r w:rsidRPr="00CD151C">
        <w:rPr>
          <w:rFonts w:hint="cs"/>
          <w:noProof/>
          <w:rtl/>
        </w:rPr>
        <w:t>, בארגון נכי צה"ל ובמשרד האוצר.</w:t>
      </w:r>
    </w:p>
    <w:p w:rsidR="00EB672B" w:rsidP="00760EE5" w14:paraId="21608E70" w14:textId="0CB4C52E">
      <w:pPr>
        <w:pStyle w:val="7317"/>
        <w:rPr>
          <w:rtl/>
        </w:rPr>
      </w:pPr>
      <w:r w:rsidRPr="00CD151C">
        <w:rPr>
          <w:rFonts w:hint="cs"/>
          <w:noProof/>
          <w:rtl/>
        </w:rPr>
        <w:t>ביוני 2023 הפיץ משרד מבקר המדינה שאלון לכ-17,000 נכי צה"ל</w:t>
      </w:r>
      <w:r>
        <w:rPr>
          <w:noProof/>
          <w:vertAlign w:val="superscript"/>
          <w:rtl/>
        </w:rPr>
        <w:footnoteReference w:id="4"/>
      </w:r>
      <w:r w:rsidRPr="00CD151C">
        <w:rPr>
          <w:rFonts w:hint="cs"/>
          <w:noProof/>
          <w:rtl/>
        </w:rPr>
        <w:t>. על השאלון השיבו 5,777 נכים (כ-33%</w:t>
      </w:r>
      <w:r>
        <w:rPr>
          <w:rFonts w:hint="cs"/>
          <w:rtl/>
        </w:rPr>
        <w:t>)</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7BB3D3EE">
      <w:pPr>
        <w:pStyle w:val="7317"/>
        <w:rPr>
          <w:rtl/>
        </w:rPr>
      </w:pPr>
      <w:r w:rsidRPr="00760EE5">
        <w:rPr>
          <w:rFonts w:hint="cs"/>
          <w:b/>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rFonts w:hint="cs"/>
          <w:b/>
          <w:bCs/>
          <w:rtl/>
        </w:rPr>
        <w:t xml:space="preserve">תקציב </w:t>
      </w:r>
      <w:r w:rsidRPr="00760EE5" w:rsidR="00760EE5">
        <w:rPr>
          <w:b/>
          <w:bCs/>
          <w:rtl/>
        </w:rPr>
        <w:t xml:space="preserve">רפורמת "נפש אחת" </w:t>
      </w:r>
      <w:r w:rsidRPr="00760EE5" w:rsidR="00760EE5">
        <w:rPr>
          <w:rFonts w:hint="cs"/>
          <w:b/>
          <w:bCs/>
          <w:rtl/>
        </w:rPr>
        <w:t>וביצועו -</w:t>
      </w:r>
      <w:r w:rsidRPr="00CD151C" w:rsidR="00760EE5">
        <w:rPr>
          <w:rFonts w:hint="cs"/>
          <w:rtl/>
        </w:rPr>
        <w:t xml:space="preserve"> תקציב הרפורמה לשנים 2021 - 2022 היה 1.5 מיליארד ש"ח (מתוכם 300 מיליון ש"ח עבור תקציב חד-פעמי). </w:t>
      </w:r>
      <w:r w:rsidRPr="00CD151C" w:rsidR="00760EE5">
        <w:rPr>
          <w:rtl/>
        </w:rPr>
        <w:t xml:space="preserve">הביצוע התקציבי המצטבר של תקציב </w:t>
      </w:r>
      <w:r w:rsidRPr="00CD151C" w:rsidR="00760EE5">
        <w:rPr>
          <w:rFonts w:hint="cs"/>
          <w:rtl/>
        </w:rPr>
        <w:t>ה</w:t>
      </w:r>
      <w:r w:rsidRPr="00CD151C" w:rsidR="00760EE5">
        <w:rPr>
          <w:rtl/>
        </w:rPr>
        <w:t>רפורמ</w:t>
      </w:r>
      <w:r w:rsidRPr="00CD151C" w:rsidR="00760EE5">
        <w:rPr>
          <w:rFonts w:hint="cs"/>
          <w:rtl/>
        </w:rPr>
        <w:t>ה</w:t>
      </w:r>
      <w:r w:rsidRPr="00CD151C" w:rsidR="00760EE5">
        <w:rPr>
          <w:rtl/>
        </w:rPr>
        <w:t xml:space="preserve"> בשנים </w:t>
      </w:r>
      <w:r w:rsidRPr="00CD151C" w:rsidR="00760EE5">
        <w:rPr>
          <w:rFonts w:hint="cs"/>
          <w:rtl/>
        </w:rPr>
        <w:t>אלה</w:t>
      </w:r>
      <w:r w:rsidRPr="00CD151C" w:rsidR="00760EE5">
        <w:rPr>
          <w:rtl/>
        </w:rPr>
        <w:t xml:space="preserve"> הסתכם </w:t>
      </w:r>
      <w:r w:rsidRPr="00CD151C" w:rsidR="00760EE5">
        <w:rPr>
          <w:rFonts w:hint="cs"/>
          <w:rtl/>
        </w:rPr>
        <w:t>ב</w:t>
      </w:r>
      <w:r w:rsidRPr="00CD151C" w:rsidR="00760EE5">
        <w:rPr>
          <w:rtl/>
        </w:rPr>
        <w:t xml:space="preserve">כ-443 מיליון ש"ח, </w:t>
      </w:r>
      <w:r w:rsidRPr="00CD151C" w:rsidR="00760EE5">
        <w:rPr>
          <w:rFonts w:hint="cs"/>
          <w:rtl/>
        </w:rPr>
        <w:t>ששיעורם</w:t>
      </w:r>
      <w:r w:rsidRPr="00CD151C" w:rsidR="00760EE5">
        <w:rPr>
          <w:rtl/>
        </w:rPr>
        <w:t xml:space="preserve"> כ-30% מסך התקציב שאושר</w:t>
      </w:r>
      <w:r w:rsidRPr="00CD151C" w:rsidR="00760EE5">
        <w:rPr>
          <w:rFonts w:hint="cs"/>
          <w:rtl/>
        </w:rPr>
        <w:t>.</w:t>
      </w:r>
      <w:r w:rsidRPr="00CD151C" w:rsidR="00760EE5">
        <w:rPr>
          <w:rtl/>
        </w:rPr>
        <w:t xml:space="preserve"> שיעור הביצוע התקציבי המצטבר מתוך התקציב השוטף של הרפורמה, ללא התקציב החד-פעמי </w:t>
      </w:r>
      <w:bookmarkStart w:id="2" w:name="_Hlk155274147"/>
      <w:r w:rsidRPr="00CD151C" w:rsidR="00760EE5">
        <w:rPr>
          <w:rtl/>
        </w:rPr>
        <w:t>(שעמד על כ-1.2 מיליארד ש"ח)</w:t>
      </w:r>
      <w:bookmarkEnd w:id="2"/>
      <w:r w:rsidRPr="00CD151C" w:rsidR="00760EE5">
        <w:rPr>
          <w:rFonts w:hint="cs"/>
          <w:rtl/>
        </w:rPr>
        <w:t>,</w:t>
      </w:r>
      <w:r w:rsidRPr="00CD151C" w:rsidR="00760EE5">
        <w:rPr>
          <w:rtl/>
        </w:rPr>
        <w:t xml:space="preserve"> עמד על כ-38%.</w:t>
      </w:r>
      <w:r w:rsidRPr="00CD151C" w:rsidR="00760EE5">
        <w:rPr>
          <w:rFonts w:hint="cs"/>
          <w:rtl/>
        </w:rPr>
        <w:t xml:space="preserve"> הביצוע התקציבי בתחומי המענה למתמודדים עם פוסט-טראומה ובתחום ההכרה בצוללי הקישון היה נמוך ועמד על כ-66 מיליון ש"ח ו-3 מיליון ש"ח, בהתאמה, מתוך 461 מיליון ש"ח ו-43 מיליון ש"ח שתוקצבו, בהתאמה (14% ו-7% בלבד, בהתאמה),</w:t>
      </w:r>
      <w:r w:rsidRPr="00CD151C" w:rsidR="00760EE5">
        <w:rPr>
          <w:rFonts w:hint="eastAsia"/>
          <w:rtl/>
        </w:rPr>
        <w:t xml:space="preserve"> </w:t>
      </w:r>
      <w:r w:rsidRPr="00CD151C" w:rsidR="00760EE5">
        <w:rPr>
          <w:rFonts w:hint="cs"/>
          <w:rtl/>
        </w:rPr>
        <w:t xml:space="preserve">וזאת נוכח </w:t>
      </w:r>
      <w:r w:rsidRPr="00CD151C" w:rsidR="00760EE5">
        <w:rPr>
          <w:rFonts w:hint="eastAsia"/>
          <w:rtl/>
        </w:rPr>
        <w:t>שיעורי</w:t>
      </w:r>
      <w:r w:rsidRPr="00CD151C" w:rsidR="00760EE5">
        <w:rPr>
          <w:rtl/>
        </w:rPr>
        <w:t xml:space="preserve"> </w:t>
      </w:r>
      <w:r w:rsidRPr="00CD151C" w:rsidR="00760EE5">
        <w:rPr>
          <w:rFonts w:hint="eastAsia"/>
          <w:rtl/>
        </w:rPr>
        <w:t>מיצוי</w:t>
      </w:r>
      <w:r w:rsidRPr="00CD151C" w:rsidR="00760EE5">
        <w:rPr>
          <w:rtl/>
        </w:rPr>
        <w:t xml:space="preserve"> </w:t>
      </w:r>
      <w:r w:rsidRPr="00CD151C" w:rsidR="00760EE5">
        <w:rPr>
          <w:rFonts w:hint="cs"/>
          <w:rtl/>
        </w:rPr>
        <w:t xml:space="preserve">נמוכים של </w:t>
      </w:r>
      <w:r w:rsidRPr="00CD151C" w:rsidR="00760EE5">
        <w:rPr>
          <w:rFonts w:hint="eastAsia"/>
          <w:rtl/>
        </w:rPr>
        <w:t>הזכויות</w:t>
      </w:r>
      <w:r w:rsidRPr="00CD151C" w:rsidR="00760EE5">
        <w:rPr>
          <w:rFonts w:hint="cs"/>
          <w:rtl/>
        </w:rPr>
        <w:t xml:space="preserve"> על ידי נכי צה"ל. </w:t>
      </w:r>
      <w:r w:rsidRPr="00CD151C" w:rsidR="00760EE5">
        <w:rPr>
          <w:rtl/>
        </w:rPr>
        <w:t xml:space="preserve">עוד עלה כי ישנם תחומים שבהם לא הצליח אגף השיקום להביא להתקדמות מספקת, כגון הטיפול באוכלוסייה המתבגרת (מימוש תקציבי של 7% בלבד, </w:t>
      </w:r>
      <w:r w:rsidRPr="00CD151C" w:rsidR="00760EE5">
        <w:rPr>
          <w:rFonts w:hint="cs"/>
          <w:rtl/>
        </w:rPr>
        <w:t>3</w:t>
      </w:r>
      <w:r w:rsidRPr="00CD151C" w:rsidR="00760EE5">
        <w:rPr>
          <w:rtl/>
        </w:rPr>
        <w:t xml:space="preserve"> מיליון ש"ח מתוך 42 מיליון ש"ח), וכן משימות שלא הושלמו </w:t>
      </w:r>
      <w:r w:rsidRPr="00CD151C" w:rsidR="00760EE5">
        <w:rPr>
          <w:rFonts w:hint="cs"/>
          <w:rtl/>
        </w:rPr>
        <w:t>ו</w:t>
      </w:r>
      <w:r w:rsidRPr="00CD151C" w:rsidR="00760EE5">
        <w:rPr>
          <w:rtl/>
        </w:rPr>
        <w:t xml:space="preserve">השלמתן תלויה גם בגורמים חיצוניים, כגון עיגון ההטבות בחקיקה לנכי צה"ל (15%, 76 מיליון ש"ח </w:t>
      </w:r>
      <w:r w:rsidRPr="00CD151C" w:rsidR="00760EE5">
        <w:rPr>
          <w:rtl/>
        </w:rPr>
        <w:t xml:space="preserve">מתוך 504 מיליון ש"ח), יצירת ממשקים </w:t>
      </w:r>
      <w:r w:rsidRPr="00CD151C" w:rsidR="00760EE5">
        <w:rPr>
          <w:rFonts w:hint="cs"/>
          <w:rtl/>
        </w:rPr>
        <w:t xml:space="preserve">עם </w:t>
      </w:r>
      <w:r w:rsidRPr="00CD151C" w:rsidR="00760EE5">
        <w:rPr>
          <w:rtl/>
        </w:rPr>
        <w:t>גופים חיצוניים להעברה ולקבל</w:t>
      </w:r>
      <w:r w:rsidRPr="00CD151C" w:rsidR="00760EE5">
        <w:rPr>
          <w:rFonts w:hint="cs"/>
          <w:rtl/>
        </w:rPr>
        <w:t xml:space="preserve">ה של </w:t>
      </w:r>
      <w:r w:rsidRPr="00CD151C" w:rsidR="00760EE5">
        <w:rPr>
          <w:rtl/>
        </w:rPr>
        <w:t>מידע והקמת מערכת תקשוב חדשה (18%, 29 מיליון ש"ח מתוך 164 מיליון ש"ח</w:t>
      </w:r>
      <w:r w:rsidR="00760EE5">
        <w:rPr>
          <w:rFonts w:hint="cs"/>
          <w:rtl/>
        </w:rPr>
        <w:t>)</w:t>
      </w:r>
      <w:r w:rsidRPr="00AF3B73">
        <w:rPr>
          <w:rtl/>
        </w:rPr>
        <w:t>.</w:t>
      </w:r>
    </w:p>
    <w:p w:rsidR="00EB672B" w:rsidRPr="00AF3B73" w:rsidP="00EB672B" w14:paraId="61697365" w14:textId="77D783D7">
      <w:pPr>
        <w:pStyle w:val="7317"/>
      </w:pPr>
      <w:r w:rsidRPr="00760EE5">
        <w:rPr>
          <w:rFonts w:hint="cs"/>
          <w:b/>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rFonts w:hint="cs"/>
          <w:b/>
          <w:bCs/>
          <w:rtl/>
        </w:rPr>
        <w:t>עמידה בלוחות זמנים למימוש הרפורמה -</w:t>
      </w:r>
      <w:r w:rsidRPr="00CD151C" w:rsidR="00760EE5">
        <w:rPr>
          <w:rFonts w:hint="cs"/>
          <w:rtl/>
        </w:rPr>
        <w:t xml:space="preserve"> בדיון סטטוס שקיים שר הביטחון באוגוסט 2021 הוצג תרשים </w:t>
      </w:r>
      <w:r w:rsidRPr="00CD151C" w:rsidR="00760EE5">
        <w:rPr>
          <w:rFonts w:hint="cs"/>
          <w:rtl/>
        </w:rPr>
        <w:t>גאנט</w:t>
      </w:r>
      <w:r w:rsidRPr="00CD151C" w:rsidR="00760EE5">
        <w:rPr>
          <w:rFonts w:hint="cs"/>
          <w:rtl/>
        </w:rPr>
        <w:t xml:space="preserve"> להשלמת אבני דרך מרכזיות ברפורמה המתוכננות לביצוע עד יולי 2022. ב</w:t>
      </w:r>
      <w:bookmarkStart w:id="3" w:name="_Hlk142989118"/>
      <w:r w:rsidRPr="00CD151C" w:rsidR="00760EE5">
        <w:rPr>
          <w:rFonts w:hint="cs"/>
          <w:rtl/>
        </w:rPr>
        <w:t xml:space="preserve">המשך עודכנו לוחות הזמנים הצפויים </w:t>
      </w:r>
      <w:r w:rsidRPr="00CD151C" w:rsidR="00760EE5">
        <w:rPr>
          <w:rFonts w:hint="eastAsia"/>
          <w:rtl/>
        </w:rPr>
        <w:t>להשלמת</w:t>
      </w:r>
      <w:r w:rsidRPr="00CD151C" w:rsidR="00760EE5">
        <w:rPr>
          <w:rtl/>
        </w:rPr>
        <w:t xml:space="preserve"> </w:t>
      </w:r>
      <w:r w:rsidRPr="00CD151C" w:rsidR="00760EE5">
        <w:rPr>
          <w:rFonts w:hint="eastAsia"/>
          <w:rtl/>
        </w:rPr>
        <w:t>המשימות</w:t>
      </w:r>
      <w:r w:rsidRPr="00CD151C" w:rsidR="00760EE5">
        <w:rPr>
          <w:rtl/>
        </w:rPr>
        <w:t xml:space="preserve"> </w:t>
      </w:r>
      <w:r w:rsidRPr="00CD151C" w:rsidR="00760EE5">
        <w:rPr>
          <w:rFonts w:hint="eastAsia"/>
          <w:rtl/>
        </w:rPr>
        <w:t>נוכח</w:t>
      </w:r>
      <w:r w:rsidRPr="00CD151C" w:rsidR="00760EE5">
        <w:rPr>
          <w:rtl/>
        </w:rPr>
        <w:t xml:space="preserve"> </w:t>
      </w:r>
      <w:r w:rsidRPr="00CD151C" w:rsidR="00760EE5">
        <w:rPr>
          <w:rFonts w:hint="eastAsia"/>
          <w:rtl/>
        </w:rPr>
        <w:t>חסמים</w:t>
      </w:r>
      <w:r w:rsidRPr="00CD151C" w:rsidR="00760EE5">
        <w:rPr>
          <w:rtl/>
        </w:rPr>
        <w:t xml:space="preserve"> </w:t>
      </w:r>
      <w:r w:rsidRPr="00CD151C" w:rsidR="00760EE5">
        <w:rPr>
          <w:rFonts w:hint="eastAsia"/>
          <w:rtl/>
        </w:rPr>
        <w:t>וקשיים</w:t>
      </w:r>
      <w:r w:rsidRPr="00CD151C" w:rsidR="00760EE5">
        <w:rPr>
          <w:rtl/>
        </w:rPr>
        <w:t xml:space="preserve"> </w:t>
      </w:r>
      <w:r w:rsidRPr="00CD151C" w:rsidR="00760EE5">
        <w:rPr>
          <w:rFonts w:hint="eastAsia"/>
          <w:rtl/>
        </w:rPr>
        <w:t>במימושן</w:t>
      </w:r>
      <w:bookmarkEnd w:id="3"/>
      <w:r w:rsidRPr="00CD151C" w:rsidR="00760EE5">
        <w:rPr>
          <w:rFonts w:hint="cs"/>
          <w:rtl/>
        </w:rPr>
        <w:t>, חלקן עד סוף שנת 2023. כתוצאה מכך, יותר</w:t>
      </w:r>
      <w:r w:rsidRPr="00CD151C" w:rsidR="00760EE5">
        <w:rPr>
          <w:rtl/>
        </w:rPr>
        <w:t xml:space="preserve"> משנתיים לאחר החלטת הממשלה </w:t>
      </w:r>
      <w:r w:rsidRPr="00CD151C" w:rsidR="00760EE5">
        <w:rPr>
          <w:rFonts w:hint="cs"/>
          <w:rtl/>
        </w:rPr>
        <w:t>מ</w:t>
      </w:r>
      <w:r w:rsidRPr="00CD151C" w:rsidR="00760EE5">
        <w:rPr>
          <w:rtl/>
        </w:rPr>
        <w:t>מאי 2021, הרפורמה כפי שתוכננה לא הושלמה בשלושה תחומי ליבה: עיגון ההטבות בחקיקה - כל ההטבות למעט בנוגע לרכב ולדיור עדיין לא הגיעו לכדי נוסח סופי</w:t>
      </w:r>
      <w:r w:rsidRPr="00CD151C" w:rsidR="00760EE5">
        <w:rPr>
          <w:rFonts w:hint="cs"/>
          <w:rtl/>
        </w:rPr>
        <w:t>,</w:t>
      </w:r>
      <w:r w:rsidRPr="00CD151C" w:rsidR="00760EE5">
        <w:rPr>
          <w:rtl/>
        </w:rPr>
        <w:t xml:space="preserve"> ותהליך תיקון חוק הנכים לא הסתיים; במענה למתמודדים עם פוסט-טראומה - </w:t>
      </w:r>
      <w:r w:rsidRPr="00CD151C" w:rsidR="00760EE5">
        <w:rPr>
          <w:rFonts w:hint="cs"/>
          <w:rtl/>
        </w:rPr>
        <w:t xml:space="preserve">לא הושלמו </w:t>
      </w:r>
      <w:r w:rsidRPr="00CD151C" w:rsidR="00760EE5">
        <w:rPr>
          <w:rtl/>
        </w:rPr>
        <w:t>משימות הנוגעות להרכב הווע</w:t>
      </w:r>
      <w:r w:rsidRPr="00CD151C" w:rsidR="00760EE5">
        <w:rPr>
          <w:rFonts w:hint="cs"/>
          <w:rtl/>
        </w:rPr>
        <w:t>דה הרפואית</w:t>
      </w:r>
      <w:r w:rsidRPr="00CD151C" w:rsidR="00760EE5">
        <w:rPr>
          <w:rtl/>
        </w:rPr>
        <w:t xml:space="preserve">, להכרה במחלות נלוות שבהן לקו נפגעי פוסט-טראומה ולעדכון ספר </w:t>
      </w:r>
      <w:r w:rsidRPr="00CD151C" w:rsidR="00760EE5">
        <w:rPr>
          <w:rFonts w:hint="cs"/>
          <w:rtl/>
        </w:rPr>
        <w:t>המבחנים</w:t>
      </w:r>
      <w:r w:rsidRPr="00CD151C" w:rsidR="00760EE5">
        <w:rPr>
          <w:rtl/>
        </w:rPr>
        <w:t xml:space="preserve"> - משימות שהשלמתן עשויה להקל משמעותית על שלב ההכרה בנפגעי פוסט-טראומה; מערכות התקשוב - </w:t>
      </w:r>
      <w:r w:rsidRPr="00CD151C" w:rsidR="00760EE5">
        <w:rPr>
          <w:rFonts w:hint="cs"/>
          <w:rtl/>
        </w:rPr>
        <w:t xml:space="preserve">לא הושלמה </w:t>
      </w:r>
      <w:r w:rsidRPr="00CD151C" w:rsidR="00760EE5">
        <w:rPr>
          <w:rtl/>
        </w:rPr>
        <w:t xml:space="preserve">הקמת מערכת תקשוב חדשה לאגף השיקום. </w:t>
      </w:r>
      <w:r w:rsidRPr="00CD151C" w:rsidR="00760EE5">
        <w:rPr>
          <w:rFonts w:hint="cs"/>
          <w:rtl/>
        </w:rPr>
        <w:t xml:space="preserve">אי-השלמת המשימות בתחומים אלה </w:t>
      </w:r>
      <w:r w:rsidRPr="00CD151C" w:rsidR="00760EE5">
        <w:rPr>
          <w:rtl/>
        </w:rPr>
        <w:t>פוגע</w:t>
      </w:r>
      <w:r w:rsidRPr="00CD151C" w:rsidR="00760EE5">
        <w:rPr>
          <w:rFonts w:hint="cs"/>
          <w:rtl/>
        </w:rPr>
        <w:t>ת</w:t>
      </w:r>
      <w:r w:rsidRPr="00CD151C" w:rsidR="00760EE5">
        <w:rPr>
          <w:rtl/>
        </w:rPr>
        <w:t xml:space="preserve"> ביכולת אגף השיקום להביא לשיפור משמעותי של הטיפול והשיקום הניתנים לנכי צה"ל</w:t>
      </w:r>
      <w:r w:rsidRPr="00AF3B73">
        <w:rPr>
          <w:rFonts w:hint="cs"/>
          <w:rtl/>
        </w:rPr>
        <w:t xml:space="preserve">. </w:t>
      </w:r>
    </w:p>
    <w:p w:rsidR="00EB672B" w:rsidRPr="00AF3B73" w:rsidP="00EB672B" w14:paraId="257CE09B" w14:textId="035ADF0C">
      <w:pPr>
        <w:pStyle w:val="7317"/>
        <w:rPr>
          <w:rtl/>
        </w:rPr>
      </w:pPr>
      <w:r w:rsidRPr="00760EE5">
        <w:rPr>
          <w:rFonts w:hint="cs"/>
          <w:b/>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b/>
          <w:bCs/>
          <w:rtl/>
        </w:rPr>
        <w:t xml:space="preserve">מימוש רכיבי הרפורמה </w:t>
      </w:r>
      <w:r w:rsidRPr="00760EE5" w:rsidR="00760EE5">
        <w:rPr>
          <w:rFonts w:hint="cs"/>
          <w:b/>
          <w:bCs/>
          <w:rtl/>
        </w:rPr>
        <w:t>ב</w:t>
      </w:r>
      <w:r w:rsidRPr="00760EE5" w:rsidR="00760EE5">
        <w:rPr>
          <w:b/>
          <w:bCs/>
          <w:rtl/>
        </w:rPr>
        <w:t>מענה למתמודדים עם פוסט-טראומה</w:t>
      </w:r>
      <w:r w:rsidRPr="00760EE5" w:rsidR="00760EE5">
        <w:rPr>
          <w:rFonts w:hint="cs"/>
          <w:b/>
          <w:bCs/>
          <w:rtl/>
        </w:rPr>
        <w:t xml:space="preserve"> -</w:t>
      </w:r>
      <w:r w:rsidRPr="00CD151C" w:rsidR="00760EE5">
        <w:rPr>
          <w:rFonts w:hint="cs"/>
          <w:rtl/>
        </w:rPr>
        <w:t xml:space="preserve"> </w:t>
      </w:r>
      <w:r w:rsidRPr="00CD151C" w:rsidR="00760EE5">
        <w:rPr>
          <w:rtl/>
        </w:rPr>
        <w:t xml:space="preserve">אגף השיקום אומנם פעל ליישומן של הרוב המכריע של המשימות האמורות בתחום המענה למתמודדים עם פוסט-טראומה, </w:t>
      </w:r>
      <w:r w:rsidRPr="00CD151C" w:rsidR="00760EE5">
        <w:rPr>
          <w:rFonts w:hint="cs"/>
          <w:rtl/>
        </w:rPr>
        <w:t>ו</w:t>
      </w:r>
      <w:r w:rsidRPr="00CD151C" w:rsidR="00760EE5">
        <w:rPr>
          <w:rtl/>
        </w:rPr>
        <w:t>אולם</w:t>
      </w:r>
      <w:r w:rsidRPr="00CD151C" w:rsidR="00760EE5">
        <w:rPr>
          <w:rFonts w:hint="cs"/>
          <w:rtl/>
        </w:rPr>
        <w:t xml:space="preserve"> </w:t>
      </w:r>
      <w:r w:rsidRPr="00CD151C" w:rsidR="00760EE5">
        <w:rPr>
          <w:rtl/>
        </w:rPr>
        <w:t>שיעורי המימוש בשנת 2022 של תקציבי הזכאויות שנוספו בעקבות הרפורמה ושיעור הזכאים שמימשו את זכאותם היו נמוכים: מתוך תקציב של 177 מיליון ש"ח מומשו 49 מיליון ש"ח (כ-28%)</w:t>
      </w:r>
      <w:r w:rsidRPr="00CD151C" w:rsidR="00760EE5">
        <w:rPr>
          <w:rFonts w:hint="cs"/>
          <w:rtl/>
        </w:rPr>
        <w:t>.</w:t>
      </w:r>
      <w:r w:rsidRPr="00CD151C" w:rsidR="00760EE5">
        <w:rPr>
          <w:rtl/>
        </w:rPr>
        <w:t xml:space="preserve"> כ-7% בלבד מאוכלוסיית נכי צה"ל </w:t>
      </w:r>
      <w:r w:rsidRPr="00CD151C" w:rsidR="00760EE5">
        <w:rPr>
          <w:rFonts w:hint="cs"/>
          <w:rtl/>
        </w:rPr>
        <w:t>בעלי</w:t>
      </w:r>
      <w:r w:rsidRPr="00CD151C" w:rsidR="00760EE5">
        <w:rPr>
          <w:rtl/>
        </w:rPr>
        <w:t xml:space="preserve"> פגיעת ראש או פגיעה נפשית או </w:t>
      </w:r>
      <w:r w:rsidRPr="00CD151C" w:rsidR="00760EE5">
        <w:t>PTSD</w:t>
      </w:r>
      <w:r w:rsidRPr="00CD151C" w:rsidR="00760EE5">
        <w:rPr>
          <w:rtl/>
        </w:rPr>
        <w:t xml:space="preserve"> מימשו את זכאותם לטיפול נפשי לילדי נכים ולבני משפחה, ניצול של כ-33% מהתקציב (22 מיליון ש"ח מתוך תקציב של 66 מ</w:t>
      </w:r>
      <w:r w:rsidRPr="00CD151C" w:rsidR="00760EE5">
        <w:rPr>
          <w:rFonts w:hint="cs"/>
          <w:rtl/>
        </w:rPr>
        <w:t xml:space="preserve">יליון </w:t>
      </w:r>
      <w:r w:rsidRPr="00CD151C" w:rsidR="00760EE5">
        <w:rPr>
          <w:rtl/>
        </w:rPr>
        <w:t>ש"ח); כ-19% מאוכלוסייה זו מימשו את זכאותם לטיפולים אלטרנטיביים (8.5 מיליון ש"ח); כ-6% בלבד מאוכלוסייה זו מימשו את זכאותם לשירותי חונכות לילדי</w:t>
      </w:r>
      <w:r w:rsidR="00320025">
        <w:rPr>
          <w:rFonts w:hint="cs"/>
          <w:rtl/>
        </w:rPr>
        <w:t xml:space="preserve"> הנכים</w:t>
      </w:r>
      <w:r w:rsidRPr="00CD151C" w:rsidR="00760EE5">
        <w:rPr>
          <w:rtl/>
        </w:rPr>
        <w:t xml:space="preserve"> (</w:t>
      </w:r>
      <w:r w:rsidRPr="00CD151C" w:rsidR="00760EE5">
        <w:rPr>
          <w:rFonts w:hint="cs"/>
          <w:rtl/>
        </w:rPr>
        <w:t>4</w:t>
      </w:r>
      <w:r w:rsidRPr="00CD151C" w:rsidR="00760EE5">
        <w:rPr>
          <w:rtl/>
        </w:rPr>
        <w:t xml:space="preserve"> מיליון ש"ח מתוך תקציב של 28 מיליון ש"ח)</w:t>
      </w:r>
      <w:r w:rsidRPr="00320025" w:rsidR="00320025">
        <w:rPr>
          <w:rtl/>
        </w:rPr>
        <w:t>, זאת בין היתר כיוון שהביקוש לחונכים גובר על ההיצע;</w:t>
      </w:r>
      <w:r w:rsidRPr="00CD151C" w:rsidR="00760EE5">
        <w:rPr>
          <w:rtl/>
        </w:rPr>
        <w:t xml:space="preserve"> וכ-1% בלבד מאוכלוסיית נכי צה"ל המוכרים בגין פגיעת </w:t>
      </w:r>
      <w:r w:rsidRPr="00CD151C" w:rsidR="00760EE5">
        <w:t>PTSD</w:t>
      </w:r>
      <w:r w:rsidRPr="00CD151C" w:rsidR="00760EE5">
        <w:rPr>
          <w:rtl/>
        </w:rPr>
        <w:t xml:space="preserve"> מימשו את זכאותם לכלב שירות (</w:t>
      </w:r>
      <w:r w:rsidRPr="00CD151C" w:rsidR="00760EE5">
        <w:rPr>
          <w:rFonts w:hint="cs"/>
          <w:rtl/>
        </w:rPr>
        <w:t>4</w:t>
      </w:r>
      <w:r w:rsidRPr="00CD151C" w:rsidR="00760EE5">
        <w:rPr>
          <w:rtl/>
        </w:rPr>
        <w:t xml:space="preserve"> מיליון ש"ח מתוך תקציב של 14 מיליון ש"ח), </w:t>
      </w:r>
      <w:r w:rsidRPr="00CD151C" w:rsidR="00760EE5">
        <w:rPr>
          <w:rFonts w:hint="cs"/>
          <w:rtl/>
        </w:rPr>
        <w:t>ו</w:t>
      </w:r>
      <w:r w:rsidRPr="00CD151C" w:rsidR="00760EE5">
        <w:rPr>
          <w:rtl/>
        </w:rPr>
        <w:t>זאת כיוון שקיים מחסור בכלבי שירות ועקב תקופת הכשרה של כשנה וחצי לכלבים</w:t>
      </w:r>
      <w:r w:rsidRPr="00AF3B73">
        <w:rPr>
          <w:rFonts w:hint="cs"/>
          <w:rtl/>
        </w:rPr>
        <w:t>.</w:t>
      </w:r>
    </w:p>
    <w:p w:rsidR="00EB672B" w:rsidRPr="00AF3B73" w:rsidP="00EB672B" w14:paraId="42C157E6" w14:textId="366C7598">
      <w:pPr>
        <w:pStyle w:val="7317"/>
      </w:pPr>
      <w:r w:rsidRPr="00760EE5">
        <w:rPr>
          <w:rFonts w:hint="cs"/>
          <w:b/>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rFonts w:hint="cs"/>
          <w:b/>
          <w:bCs/>
          <w:rtl/>
        </w:rPr>
        <w:t>עיגון הטבות וזכאויות לנכי צה"ל בחקיקה -</w:t>
      </w:r>
      <w:r w:rsidRPr="00CD151C" w:rsidR="00760EE5">
        <w:rPr>
          <w:rFonts w:hint="cs"/>
          <w:rtl/>
        </w:rPr>
        <w:t xml:space="preserve"> ביולי 2023 אישרה הכנסת בקריאה שנייה ושלישית את תיקון מס' 32 לחוק הנכים. במסגרת התיקון עוגנו כלל ההטבות בתחומי הרכב הרפואי</w:t>
      </w:r>
      <w:r>
        <w:rPr>
          <w:vertAlign w:val="superscript"/>
          <w:rtl/>
        </w:rPr>
        <w:footnoteReference w:id="5"/>
      </w:r>
      <w:r w:rsidRPr="00CD151C" w:rsidR="00760EE5">
        <w:rPr>
          <w:rFonts w:hint="cs"/>
          <w:rtl/>
        </w:rPr>
        <w:t xml:space="preserve"> והדיור לנכים. עם זאת, </w:t>
      </w:r>
      <w:r w:rsidRPr="00CD151C" w:rsidR="00760EE5">
        <w:rPr>
          <w:rtl/>
        </w:rPr>
        <w:t>משהב"ט</w:t>
      </w:r>
      <w:r w:rsidRPr="00CD151C" w:rsidR="00760EE5">
        <w:rPr>
          <w:rtl/>
        </w:rPr>
        <w:t xml:space="preserve"> בשיתוף </w:t>
      </w:r>
      <w:r w:rsidRPr="00CD151C" w:rsidR="00760EE5">
        <w:rPr>
          <w:rFonts w:hint="cs"/>
          <w:rtl/>
        </w:rPr>
        <w:t>ארגון נכי צה"ל</w:t>
      </w:r>
      <w:r w:rsidRPr="00CD151C" w:rsidR="00760EE5">
        <w:rPr>
          <w:rtl/>
        </w:rPr>
        <w:t xml:space="preserve"> עדיין לא גיבש </w:t>
      </w:r>
      <w:r w:rsidRPr="00CD151C" w:rsidR="00760EE5">
        <w:rPr>
          <w:rFonts w:hint="cs"/>
          <w:rtl/>
        </w:rPr>
        <w:t xml:space="preserve">סופית </w:t>
      </w:r>
      <w:r w:rsidRPr="00CD151C" w:rsidR="00760EE5">
        <w:rPr>
          <w:rtl/>
        </w:rPr>
        <w:t>את תזכיר החוק המלא</w:t>
      </w:r>
      <w:r w:rsidRPr="00CD151C" w:rsidR="00760EE5">
        <w:rPr>
          <w:rFonts w:hint="cs"/>
          <w:rtl/>
        </w:rPr>
        <w:t>,</w:t>
      </w:r>
      <w:r w:rsidRPr="00CD151C" w:rsidR="00760EE5">
        <w:rPr>
          <w:rtl/>
        </w:rPr>
        <w:t xml:space="preserve"> </w:t>
      </w:r>
      <w:r w:rsidRPr="00CD151C" w:rsidR="00760EE5">
        <w:rPr>
          <w:rFonts w:hint="cs"/>
          <w:rtl/>
        </w:rPr>
        <w:t>אף</w:t>
      </w:r>
      <w:r w:rsidRPr="00CD151C" w:rsidR="00760EE5">
        <w:rPr>
          <w:rtl/>
        </w:rPr>
        <w:t xml:space="preserve"> שחלפו כ-18 שנ</w:t>
      </w:r>
      <w:r w:rsidRPr="00CD151C" w:rsidR="00760EE5">
        <w:rPr>
          <w:rFonts w:hint="cs"/>
          <w:rtl/>
        </w:rPr>
        <w:t>ים</w:t>
      </w:r>
      <w:r w:rsidRPr="00CD151C" w:rsidR="00760EE5">
        <w:rPr>
          <w:rtl/>
        </w:rPr>
        <w:t xml:space="preserve"> ממועד חוות </w:t>
      </w:r>
      <w:r w:rsidRPr="00CD151C" w:rsidR="00760EE5">
        <w:rPr>
          <w:rFonts w:hint="cs"/>
          <w:rtl/>
        </w:rPr>
        <w:t>ה</w:t>
      </w:r>
      <w:r w:rsidRPr="00CD151C" w:rsidR="00760EE5">
        <w:rPr>
          <w:rtl/>
        </w:rPr>
        <w:t>דעת בשנת 2005</w:t>
      </w:r>
      <w:r w:rsidRPr="00CD151C" w:rsidR="00760EE5">
        <w:rPr>
          <w:rFonts w:hint="cs"/>
          <w:rtl/>
        </w:rPr>
        <w:t xml:space="preserve"> </w:t>
      </w:r>
      <w:r w:rsidRPr="00CD151C" w:rsidR="00760EE5">
        <w:rPr>
          <w:rtl/>
        </w:rPr>
        <w:t>של היועמ"ש לממשלה דאז</w:t>
      </w:r>
      <w:r w:rsidRPr="00CD151C" w:rsidR="00760EE5">
        <w:rPr>
          <w:rFonts w:hint="cs"/>
          <w:rtl/>
        </w:rPr>
        <w:t>,</w:t>
      </w:r>
      <w:r w:rsidRPr="00CD151C" w:rsidR="00760EE5">
        <w:rPr>
          <w:rtl/>
        </w:rPr>
        <w:t xml:space="preserve"> ולפיה יש מקום לקדם מהלך של הסדרה בחקיקה של כלל ההטבות הניתנות לנכי צה"ל, וכ-12 שנים מהחלטת הממשלה </w:t>
      </w:r>
      <w:r w:rsidRPr="00CD151C" w:rsidR="00760EE5">
        <w:rPr>
          <w:rFonts w:hint="cs"/>
          <w:rtl/>
        </w:rPr>
        <w:t>ו</w:t>
      </w:r>
      <w:r w:rsidRPr="00CD151C" w:rsidR="00760EE5">
        <w:rPr>
          <w:rtl/>
        </w:rPr>
        <w:t>לפיה עד להסדרת מתן ההטבות בחקיקה</w:t>
      </w:r>
      <w:r w:rsidRPr="00CD151C" w:rsidR="00760EE5">
        <w:rPr>
          <w:rFonts w:hint="cs"/>
          <w:rtl/>
        </w:rPr>
        <w:t>,</w:t>
      </w:r>
      <w:r w:rsidRPr="00CD151C" w:rsidR="00760EE5">
        <w:rPr>
          <w:rtl/>
        </w:rPr>
        <w:t xml:space="preserve"> </w:t>
      </w:r>
      <w:r w:rsidRPr="00CD151C" w:rsidR="00760EE5">
        <w:rPr>
          <w:rtl/>
        </w:rPr>
        <w:t>משהב"ט</w:t>
      </w:r>
      <w:r w:rsidRPr="00CD151C" w:rsidR="00760EE5">
        <w:rPr>
          <w:rtl/>
        </w:rPr>
        <w:t xml:space="preserve"> לא יקבל כל החלטה בעניין שינוי </w:t>
      </w:r>
      <w:r w:rsidRPr="00CD151C" w:rsidR="00760EE5">
        <w:rPr>
          <w:rFonts w:hint="cs"/>
          <w:rtl/>
        </w:rPr>
        <w:t>ה</w:t>
      </w:r>
      <w:r w:rsidRPr="00CD151C" w:rsidR="00760EE5">
        <w:rPr>
          <w:rtl/>
        </w:rPr>
        <w:t xml:space="preserve">הטבות הקיימות ממועד החלטה זו (ינואר 2012) </w:t>
      </w:r>
      <w:r w:rsidRPr="00CD151C" w:rsidR="00760EE5">
        <w:rPr>
          <w:rFonts w:hint="cs"/>
          <w:rtl/>
        </w:rPr>
        <w:t>ה</w:t>
      </w:r>
      <w:r w:rsidRPr="00CD151C" w:rsidR="00760EE5">
        <w:rPr>
          <w:rtl/>
        </w:rPr>
        <w:t>כרוכות בעלויות תקציביות כלשהן</w:t>
      </w:r>
      <w:r w:rsidRPr="00CD151C" w:rsidR="00760EE5">
        <w:rPr>
          <w:rFonts w:hint="cs"/>
          <w:rtl/>
        </w:rPr>
        <w:t xml:space="preserve">. לכל אורך שנים אלו </w:t>
      </w:r>
      <w:r w:rsidRPr="00CD151C" w:rsidR="00760EE5">
        <w:rPr>
          <w:rtl/>
        </w:rPr>
        <w:t xml:space="preserve">מתעכב המימוש המלא של </w:t>
      </w:r>
      <w:r w:rsidRPr="00CD151C" w:rsidR="00760EE5">
        <w:rPr>
          <w:rFonts w:hint="cs"/>
          <w:rtl/>
        </w:rPr>
        <w:t xml:space="preserve">עיגון הטבות בחקיקה, שהוא </w:t>
      </w:r>
      <w:r w:rsidRPr="00CD151C" w:rsidR="00760EE5">
        <w:rPr>
          <w:rtl/>
        </w:rPr>
        <w:t xml:space="preserve">רכיב </w:t>
      </w:r>
      <w:r w:rsidRPr="00CD151C" w:rsidR="00760EE5">
        <w:rPr>
          <w:rtl/>
        </w:rPr>
        <w:t>ליבתי</w:t>
      </w:r>
      <w:r w:rsidRPr="00CD151C" w:rsidR="00760EE5">
        <w:rPr>
          <w:rtl/>
        </w:rPr>
        <w:t xml:space="preserve"> ברפורמת "נפש אחת", </w:t>
      </w:r>
      <w:r w:rsidRPr="00CD151C" w:rsidR="00760EE5">
        <w:rPr>
          <w:rFonts w:hint="cs"/>
          <w:rtl/>
        </w:rPr>
        <w:t>ו</w:t>
      </w:r>
      <w:r w:rsidRPr="00CD151C" w:rsidR="00760EE5">
        <w:rPr>
          <w:rtl/>
        </w:rPr>
        <w:t>לו תרומה משמעותית לשיפור מצבם של נכי צה"ל.</w:t>
      </w:r>
      <w:r w:rsidRPr="00CD151C" w:rsidR="00760EE5">
        <w:rPr>
          <w:rFonts w:hint="cs"/>
          <w:rtl/>
        </w:rPr>
        <w:t xml:space="preserve"> יצוין כי תזכיר החוק המלא כולל </w:t>
      </w:r>
      <w:r w:rsidRPr="00CD151C" w:rsidR="00760EE5">
        <w:rPr>
          <w:rtl/>
        </w:rPr>
        <w:t xml:space="preserve">בין היתר הטבות </w:t>
      </w:r>
      <w:r w:rsidRPr="00CD151C" w:rsidR="00760EE5">
        <w:rPr>
          <w:rtl/>
        </w:rPr>
        <w:t xml:space="preserve">בחישובי תגמולים ומענקים, </w:t>
      </w:r>
      <w:r w:rsidRPr="00CD151C" w:rsidR="00760EE5">
        <w:rPr>
          <w:rFonts w:hint="cs"/>
          <w:rtl/>
        </w:rPr>
        <w:t xml:space="preserve">הטבות </w:t>
      </w:r>
      <w:r w:rsidRPr="00CD151C" w:rsidR="00760EE5">
        <w:rPr>
          <w:rtl/>
        </w:rPr>
        <w:t xml:space="preserve">בתחום </w:t>
      </w:r>
      <w:r w:rsidRPr="00CD151C" w:rsidR="00760EE5">
        <w:rPr>
          <w:rFonts w:hint="cs"/>
          <w:rtl/>
        </w:rPr>
        <w:t>ה</w:t>
      </w:r>
      <w:r w:rsidRPr="00CD151C" w:rsidR="00760EE5">
        <w:rPr>
          <w:rtl/>
        </w:rPr>
        <w:t xml:space="preserve">שיקום </w:t>
      </w:r>
      <w:r w:rsidRPr="00CD151C" w:rsidR="00760EE5">
        <w:rPr>
          <w:rFonts w:hint="cs"/>
          <w:rtl/>
        </w:rPr>
        <w:t>ה</w:t>
      </w:r>
      <w:r w:rsidRPr="00CD151C" w:rsidR="00760EE5">
        <w:rPr>
          <w:rtl/>
        </w:rPr>
        <w:t xml:space="preserve">תעסוקתי, </w:t>
      </w:r>
      <w:r w:rsidRPr="00CD151C" w:rsidR="00760EE5">
        <w:rPr>
          <w:rFonts w:hint="cs"/>
          <w:rtl/>
        </w:rPr>
        <w:t>ב</w:t>
      </w:r>
      <w:r w:rsidRPr="00CD151C" w:rsidR="00760EE5">
        <w:rPr>
          <w:rtl/>
        </w:rPr>
        <w:t xml:space="preserve">תחום </w:t>
      </w:r>
      <w:r w:rsidRPr="00CD151C" w:rsidR="00760EE5">
        <w:rPr>
          <w:rFonts w:hint="cs"/>
          <w:rtl/>
        </w:rPr>
        <w:t>ה</w:t>
      </w:r>
      <w:r w:rsidRPr="00CD151C" w:rsidR="00760EE5">
        <w:rPr>
          <w:rtl/>
        </w:rPr>
        <w:t xml:space="preserve">רווחה, בתחום </w:t>
      </w:r>
      <w:r w:rsidRPr="00CD151C" w:rsidR="00760EE5">
        <w:rPr>
          <w:rFonts w:hint="cs"/>
          <w:rtl/>
        </w:rPr>
        <w:t>ה</w:t>
      </w:r>
      <w:r w:rsidRPr="00CD151C" w:rsidR="00760EE5">
        <w:rPr>
          <w:rtl/>
        </w:rPr>
        <w:t xml:space="preserve">טיפולים </w:t>
      </w:r>
      <w:r w:rsidRPr="00CD151C" w:rsidR="00760EE5">
        <w:rPr>
          <w:rFonts w:hint="cs"/>
          <w:rtl/>
        </w:rPr>
        <w:t>ה</w:t>
      </w:r>
      <w:r w:rsidRPr="00CD151C" w:rsidR="00760EE5">
        <w:rPr>
          <w:rtl/>
        </w:rPr>
        <w:t>רפואיים ובהטבות לבני משפחה</w:t>
      </w:r>
      <w:r w:rsidRPr="00AF3B73">
        <w:rPr>
          <w:rFonts w:hint="cs"/>
          <w:rtl/>
        </w:rPr>
        <w:t xml:space="preserve">. </w:t>
      </w:r>
    </w:p>
    <w:p w:rsidR="00EB672B" w:rsidRPr="00AF3B73" w:rsidP="00EB672B" w14:paraId="0E55F83C" w14:textId="596E891B">
      <w:pPr>
        <w:pStyle w:val="7317"/>
      </w:pPr>
      <w:r w:rsidRPr="00760EE5">
        <w:rPr>
          <w:rFonts w:hint="cs"/>
          <w:b/>
          <w:b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b/>
          <w:bCs/>
          <w:rtl/>
        </w:rPr>
        <w:t>מימוש רכיבי הרפורמה בתחום מערכות התקשוב</w:t>
      </w:r>
      <w:r w:rsidRPr="00760EE5" w:rsidR="00760EE5">
        <w:rPr>
          <w:rFonts w:hint="cs"/>
          <w:b/>
          <w:bCs/>
          <w:rtl/>
        </w:rPr>
        <w:t xml:space="preserve"> </w:t>
      </w:r>
      <w:r w:rsidRPr="00760EE5" w:rsidR="00760EE5">
        <w:rPr>
          <w:b/>
          <w:bCs/>
          <w:rtl/>
        </w:rPr>
        <w:t>-</w:t>
      </w:r>
      <w:r w:rsidRPr="00CD151C" w:rsidR="00760EE5">
        <w:rPr>
          <w:rtl/>
        </w:rPr>
        <w:t xml:space="preserve"> בהחלטת הממשלה ממאי 2021 נקבע כי במסגרת התוכנית האופרטיבית למימוש רכיבי הרפורמה </w:t>
      </w:r>
      <w:r w:rsidRPr="00CD151C" w:rsidR="00760EE5">
        <w:rPr>
          <w:rFonts w:hint="cs"/>
          <w:rtl/>
        </w:rPr>
        <w:t>שיביא</w:t>
      </w:r>
      <w:r w:rsidRPr="00CD151C" w:rsidR="00760EE5">
        <w:rPr>
          <w:rtl/>
        </w:rPr>
        <w:t xml:space="preserve"> שר הביטחון ל</w:t>
      </w:r>
      <w:r w:rsidRPr="00CD151C" w:rsidR="00760EE5">
        <w:rPr>
          <w:rFonts w:hint="cs"/>
          <w:rtl/>
        </w:rPr>
        <w:t>אישור ה</w:t>
      </w:r>
      <w:r w:rsidRPr="00CD151C" w:rsidR="00760EE5">
        <w:rPr>
          <w:rtl/>
        </w:rPr>
        <w:t xml:space="preserve">ממשלה, </w:t>
      </w:r>
      <w:r w:rsidRPr="00CD151C" w:rsidR="00760EE5">
        <w:rPr>
          <w:rFonts w:hint="cs"/>
          <w:rtl/>
        </w:rPr>
        <w:t xml:space="preserve">הוא </w:t>
      </w:r>
      <w:r w:rsidRPr="00CD151C" w:rsidR="00760EE5">
        <w:rPr>
          <w:rtl/>
        </w:rPr>
        <w:t>י</w:t>
      </w:r>
      <w:r w:rsidRPr="00CD151C" w:rsidR="00760EE5">
        <w:rPr>
          <w:rFonts w:hint="cs"/>
          <w:rtl/>
        </w:rPr>
        <w:t>גי</w:t>
      </w:r>
      <w:r w:rsidRPr="00CD151C" w:rsidR="00760EE5">
        <w:rPr>
          <w:rtl/>
        </w:rPr>
        <w:t xml:space="preserve">ש </w:t>
      </w:r>
      <w:r w:rsidRPr="00CD151C" w:rsidR="00760EE5">
        <w:rPr>
          <w:rFonts w:hint="cs"/>
          <w:rtl/>
        </w:rPr>
        <w:t xml:space="preserve">המלצות </w:t>
      </w:r>
      <w:r w:rsidRPr="00CD151C" w:rsidR="00760EE5">
        <w:rPr>
          <w:rtl/>
        </w:rPr>
        <w:t>לק</w:t>
      </w:r>
      <w:r w:rsidRPr="00CD151C" w:rsidR="00760EE5">
        <w:rPr>
          <w:rFonts w:hint="cs"/>
          <w:rtl/>
        </w:rPr>
        <w:t>י</w:t>
      </w:r>
      <w:r w:rsidRPr="00CD151C" w:rsidR="00760EE5">
        <w:rPr>
          <w:rtl/>
        </w:rPr>
        <w:t>ד</w:t>
      </w:r>
      <w:r w:rsidRPr="00CD151C" w:rsidR="00760EE5">
        <w:rPr>
          <w:rFonts w:hint="cs"/>
          <w:rtl/>
        </w:rPr>
        <w:t>ו</w:t>
      </w:r>
      <w:r w:rsidRPr="00CD151C" w:rsidR="00760EE5">
        <w:rPr>
          <w:rtl/>
        </w:rPr>
        <w:t xml:space="preserve">ם רפורמה סדורה </w:t>
      </w:r>
      <w:r w:rsidRPr="00CD151C" w:rsidR="00760EE5">
        <w:rPr>
          <w:rFonts w:hint="cs"/>
          <w:rtl/>
        </w:rPr>
        <w:t>ש</w:t>
      </w:r>
      <w:r w:rsidRPr="00CD151C" w:rsidR="00760EE5">
        <w:rPr>
          <w:rtl/>
        </w:rPr>
        <w:t xml:space="preserve">תוביל לשיפור </w:t>
      </w:r>
      <w:r w:rsidRPr="00CD151C" w:rsidR="00760EE5">
        <w:rPr>
          <w:rtl/>
        </w:rPr>
        <w:t>מי</w:t>
      </w:r>
      <w:r w:rsidRPr="00CD151C" w:rsidR="00760EE5">
        <w:rPr>
          <w:rFonts w:hint="cs"/>
          <w:rtl/>
        </w:rPr>
        <w:t>י</w:t>
      </w:r>
      <w:r w:rsidRPr="00CD151C" w:rsidR="00760EE5">
        <w:rPr>
          <w:rtl/>
        </w:rPr>
        <w:t>די</w:t>
      </w:r>
      <w:r w:rsidRPr="00CD151C" w:rsidR="00760EE5">
        <w:rPr>
          <w:rtl/>
        </w:rPr>
        <w:t xml:space="preserve"> באיכות השירות המוענק לנכי צה"ל על ידי אגף השיקום</w:t>
      </w:r>
      <w:r w:rsidRPr="00CD151C" w:rsidR="00760EE5">
        <w:rPr>
          <w:rFonts w:hint="cs"/>
          <w:rtl/>
        </w:rPr>
        <w:t>,</w:t>
      </w:r>
      <w:r w:rsidRPr="00CD151C" w:rsidR="00760EE5">
        <w:rPr>
          <w:rtl/>
        </w:rPr>
        <w:t xml:space="preserve"> בין היתר באמצעות מעבר לשירות דיגיטלי</w:t>
      </w:r>
      <w:r w:rsidRPr="00CD151C" w:rsidR="00760EE5">
        <w:rPr>
          <w:rFonts w:hint="cs"/>
          <w:rtl/>
        </w:rPr>
        <w:t xml:space="preserve">. בחלוף יותר משנתיים מאז יצאה לדרך רפורמת "נפש אחת", לא החלה "המהפכה הדיגיטלית", כפי שהגדיר אותה מנכ"ל </w:t>
      </w:r>
      <w:r w:rsidRPr="00CD151C" w:rsidR="00760EE5">
        <w:rPr>
          <w:rFonts w:hint="cs"/>
          <w:rtl/>
        </w:rPr>
        <w:t>משהב"ט</w:t>
      </w:r>
      <w:r w:rsidRPr="00CD151C" w:rsidR="00760EE5">
        <w:rPr>
          <w:rFonts w:hint="cs"/>
          <w:rtl/>
        </w:rPr>
        <w:t xml:space="preserve"> דאז, למרות </w:t>
      </w:r>
      <w:r w:rsidRPr="00CD151C" w:rsidR="00760EE5">
        <w:rPr>
          <w:rtl/>
        </w:rPr>
        <w:t>חשיבות</w:t>
      </w:r>
      <w:r w:rsidRPr="00CD151C" w:rsidR="00760EE5">
        <w:rPr>
          <w:rFonts w:hint="cs"/>
          <w:rtl/>
        </w:rPr>
        <w:t>ה</w:t>
      </w:r>
      <w:r w:rsidRPr="00CD151C" w:rsidR="00760EE5">
        <w:rPr>
          <w:rtl/>
        </w:rPr>
        <w:t xml:space="preserve"> </w:t>
      </w:r>
      <w:r w:rsidRPr="00CD151C" w:rsidR="00760EE5">
        <w:rPr>
          <w:rFonts w:hint="cs"/>
          <w:rtl/>
        </w:rPr>
        <w:t>ה</w:t>
      </w:r>
      <w:r w:rsidRPr="00CD151C" w:rsidR="00760EE5">
        <w:rPr>
          <w:rtl/>
        </w:rPr>
        <w:t>קריטית להצלחת הרפורמה כולה</w:t>
      </w:r>
      <w:r w:rsidRPr="00CD151C" w:rsidR="00760EE5">
        <w:rPr>
          <w:rFonts w:hint="cs"/>
          <w:rtl/>
        </w:rPr>
        <w:t xml:space="preserve">. לפיכך, הפרויקט חזר לשלב הראשוני של בחינת האפשרויות לביצועו, ולא נוצל התקציב שיועד לכך בסך 150 מיליון ש"ח, אף שהאגף פעל </w:t>
      </w:r>
      <w:r w:rsidRPr="00CD151C" w:rsidR="00760EE5">
        <w:rPr>
          <w:rFonts w:hint="eastAsia"/>
          <w:rtl/>
        </w:rPr>
        <w:t>לביצוע</w:t>
      </w:r>
      <w:r w:rsidRPr="00CD151C" w:rsidR="00760EE5">
        <w:rPr>
          <w:rtl/>
        </w:rPr>
        <w:t xml:space="preserve"> </w:t>
      </w:r>
      <w:r w:rsidRPr="00CD151C" w:rsidR="00760EE5">
        <w:rPr>
          <w:rFonts w:hint="eastAsia"/>
          <w:rtl/>
        </w:rPr>
        <w:t>שיפורים</w:t>
      </w:r>
      <w:r w:rsidRPr="00CD151C" w:rsidR="00760EE5">
        <w:rPr>
          <w:rtl/>
        </w:rPr>
        <w:t xml:space="preserve"> </w:t>
      </w:r>
      <w:r w:rsidRPr="00CD151C" w:rsidR="00760EE5">
        <w:rPr>
          <w:rFonts w:hint="eastAsia"/>
          <w:rtl/>
        </w:rPr>
        <w:t>ושדרוגים</w:t>
      </w:r>
      <w:r w:rsidRPr="00CD151C" w:rsidR="00760EE5">
        <w:rPr>
          <w:rtl/>
        </w:rPr>
        <w:t xml:space="preserve"> </w:t>
      </w:r>
      <w:r w:rsidRPr="00CD151C" w:rsidR="00760EE5">
        <w:rPr>
          <w:rFonts w:hint="eastAsia"/>
          <w:rtl/>
        </w:rPr>
        <w:t>הן</w:t>
      </w:r>
      <w:r w:rsidRPr="00CD151C" w:rsidR="00760EE5">
        <w:rPr>
          <w:rtl/>
        </w:rPr>
        <w:t xml:space="preserve"> </w:t>
      </w:r>
      <w:r w:rsidRPr="00CD151C" w:rsidR="00760EE5">
        <w:rPr>
          <w:rFonts w:hint="eastAsia"/>
          <w:rtl/>
        </w:rPr>
        <w:t>באתר</w:t>
      </w:r>
      <w:r w:rsidRPr="00CD151C" w:rsidR="00760EE5">
        <w:rPr>
          <w:rtl/>
        </w:rPr>
        <w:t xml:space="preserve"> </w:t>
      </w:r>
      <w:r w:rsidRPr="00CD151C" w:rsidR="00760EE5">
        <w:rPr>
          <w:rFonts w:hint="eastAsia"/>
          <w:rtl/>
        </w:rPr>
        <w:t>האגף</w:t>
      </w:r>
      <w:r w:rsidRPr="00CD151C" w:rsidR="00760EE5">
        <w:rPr>
          <w:rtl/>
        </w:rPr>
        <w:t xml:space="preserve"> </w:t>
      </w:r>
      <w:r w:rsidRPr="00CD151C" w:rsidR="00760EE5">
        <w:rPr>
          <w:rFonts w:hint="eastAsia"/>
          <w:rtl/>
        </w:rPr>
        <w:t>במרשתת</w:t>
      </w:r>
      <w:r w:rsidRPr="00CD151C" w:rsidR="00760EE5">
        <w:rPr>
          <w:rFonts w:hint="cs"/>
          <w:rtl/>
        </w:rPr>
        <w:t>,</w:t>
      </w:r>
      <w:r w:rsidRPr="00CD151C" w:rsidR="00760EE5">
        <w:rPr>
          <w:rtl/>
        </w:rPr>
        <w:t xml:space="preserve"> לרבות באזור האישי</w:t>
      </w:r>
      <w:r w:rsidRPr="00CD151C" w:rsidR="00760EE5">
        <w:rPr>
          <w:rFonts w:hint="cs"/>
          <w:rtl/>
        </w:rPr>
        <w:t>,</w:t>
      </w:r>
      <w:r w:rsidRPr="00CD151C" w:rsidR="00760EE5">
        <w:rPr>
          <w:rtl/>
        </w:rPr>
        <w:t xml:space="preserve"> והן </w:t>
      </w:r>
      <w:r w:rsidRPr="00CD151C" w:rsidR="00760EE5">
        <w:rPr>
          <w:rFonts w:hint="eastAsia"/>
          <w:rtl/>
        </w:rPr>
        <w:t>במערכת</w:t>
      </w:r>
      <w:r w:rsidR="00320025">
        <w:rPr>
          <w:rFonts w:hint="cs"/>
          <w:rtl/>
        </w:rPr>
        <w:t xml:space="preserve"> התקשוב</w:t>
      </w:r>
      <w:r w:rsidRPr="00CD151C" w:rsidR="00760EE5">
        <w:rPr>
          <w:rtl/>
        </w:rPr>
        <w:t xml:space="preserve"> </w:t>
      </w:r>
      <w:r w:rsidRPr="00CD151C" w:rsidR="00760EE5">
        <w:rPr>
          <w:rFonts w:hint="eastAsia"/>
          <w:rtl/>
        </w:rPr>
        <w:t>המרכזית</w:t>
      </w:r>
      <w:r w:rsidRPr="00CD151C" w:rsidR="00760EE5">
        <w:rPr>
          <w:rtl/>
        </w:rPr>
        <w:t xml:space="preserve"> </w:t>
      </w:r>
      <w:r w:rsidRPr="00CD151C" w:rsidR="00760EE5">
        <w:rPr>
          <w:rFonts w:hint="eastAsia"/>
          <w:rtl/>
        </w:rPr>
        <w:t>של</w:t>
      </w:r>
      <w:r w:rsidRPr="00CD151C" w:rsidR="00760EE5">
        <w:rPr>
          <w:rtl/>
        </w:rPr>
        <w:t xml:space="preserve"> </w:t>
      </w:r>
      <w:r w:rsidRPr="00CD151C" w:rsidR="00760EE5">
        <w:rPr>
          <w:rFonts w:hint="eastAsia"/>
          <w:rtl/>
        </w:rPr>
        <w:t>האגף</w:t>
      </w:r>
      <w:r w:rsidRPr="00CD151C" w:rsidR="00760EE5">
        <w:rPr>
          <w:rtl/>
        </w:rPr>
        <w:t>.</w:t>
      </w:r>
      <w:r w:rsidRPr="00CD151C" w:rsidR="00760EE5">
        <w:rPr>
          <w:rFonts w:hint="cs"/>
          <w:rtl/>
        </w:rPr>
        <w:t xml:space="preserve"> אי-הקמתה של מערכת תקשוב מתקדמת ומתאימה אינה מאפשרת להעניק לנכי צה"ל שירות מהיר ואיכותי יותר ואף פוגעת בפעילותו של אגף השיקום</w:t>
      </w:r>
      <w:r w:rsidRPr="00AF3B73">
        <w:rPr>
          <w:rFonts w:hint="cs"/>
          <w:rtl/>
        </w:rPr>
        <w:t xml:space="preserve">. </w:t>
      </w:r>
    </w:p>
    <w:p w:rsidR="00EB672B" w:rsidRPr="00AF3B73" w:rsidP="00EB672B" w14:paraId="1320DBEF" w14:textId="001DC6FA">
      <w:pPr>
        <w:pStyle w:val="7317"/>
        <w:rPr>
          <w:rtl/>
        </w:rPr>
      </w:pPr>
      <w:r w:rsidRPr="00760EE5">
        <w:rPr>
          <w:rFonts w:hint="cs"/>
          <w:b/>
          <w:b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rFonts w:hint="cs"/>
          <w:b/>
          <w:bCs/>
          <w:rtl/>
        </w:rPr>
        <w:t>העברת מידע בין גופים שונים לצורך הענקת הטבות לנכי צה"ל ב"דחיפה" -</w:t>
      </w:r>
      <w:r w:rsidRPr="00CD151C" w:rsidR="00760EE5">
        <w:rPr>
          <w:rFonts w:hint="cs"/>
          <w:rtl/>
        </w:rPr>
        <w:t xml:space="preserve"> במסגרת הרפורמה נכללה הפעלה של ממשקים להעברת מידע בין גופים חיצוניים (משרד הבריאות לרבות </w:t>
      </w:r>
      <w:r w:rsidRPr="00CD151C" w:rsidR="00760EE5">
        <w:rPr>
          <w:rtl/>
        </w:rPr>
        <w:t>המכון הרפואי לבטיחות בדרכים</w:t>
      </w:r>
      <w:r w:rsidRPr="00CD151C" w:rsidR="00760EE5">
        <w:rPr>
          <w:rFonts w:hint="cs"/>
          <w:rtl/>
        </w:rPr>
        <w:t>, רשות המיסים, רשות האוכלוסין, המוסד לביטוח לאומי ומשרד התחבורה) לבין אגף השיקום כדי</w:t>
      </w:r>
      <w:r w:rsidRPr="00CD151C" w:rsidR="00760EE5">
        <w:rPr>
          <w:rtl/>
        </w:rPr>
        <w:t xml:space="preserve"> לשפר את תשתית המידע הקיים בידי האגף</w:t>
      </w:r>
      <w:r w:rsidRPr="00CD151C" w:rsidR="00760EE5">
        <w:rPr>
          <w:rFonts w:hint="cs"/>
          <w:rtl/>
        </w:rPr>
        <w:t xml:space="preserve">, באופן </w:t>
      </w:r>
      <w:r w:rsidRPr="00CD151C" w:rsidR="00760EE5">
        <w:rPr>
          <w:rtl/>
        </w:rPr>
        <w:t xml:space="preserve">שהוא יוכל </w:t>
      </w:r>
      <w:r w:rsidRPr="00320025" w:rsidR="00320025">
        <w:rPr>
          <w:rtl/>
        </w:rPr>
        <w:t>לשפר את השירות הניתן לזכאים ו</w:t>
      </w:r>
      <w:r w:rsidRPr="00CD151C" w:rsidR="00760EE5">
        <w:rPr>
          <w:rtl/>
        </w:rPr>
        <w:t>להעניק להם הטבות או תשלומים באופן אוטומטי (ב"דחיפה")</w:t>
      </w:r>
      <w:r w:rsidRPr="00CD151C" w:rsidR="00760EE5">
        <w:rPr>
          <w:rFonts w:hint="cs"/>
          <w:rtl/>
        </w:rPr>
        <w:t xml:space="preserve">. </w:t>
      </w:r>
      <w:r w:rsidRPr="00CD151C" w:rsidR="00760EE5">
        <w:rPr>
          <w:rFonts w:hint="cs"/>
          <w:rtl/>
        </w:rPr>
        <w:t>משהב"ט</w:t>
      </w:r>
      <w:r w:rsidRPr="00CD151C" w:rsidR="00760EE5">
        <w:rPr>
          <w:rFonts w:hint="cs"/>
          <w:rtl/>
        </w:rPr>
        <w:t xml:space="preserve"> לא השלים את ההפעלה של </w:t>
      </w:r>
      <w:r w:rsidRPr="00CD151C" w:rsidR="00760EE5">
        <w:rPr>
          <w:rtl/>
        </w:rPr>
        <w:t xml:space="preserve">הממשקים </w:t>
      </w:r>
      <w:r w:rsidRPr="00CD151C" w:rsidR="00760EE5">
        <w:rPr>
          <w:rFonts w:hint="cs"/>
          <w:rtl/>
        </w:rPr>
        <w:t>עם הגורמים החיצוניים - מלבד הממשק עם רשות המיסים והממשק עם רשות האוכלוסין שהם בשלבי עבודה מתקדמים יותר - וזאת כיוון ש</w:t>
      </w:r>
      <w:r w:rsidRPr="00CD151C" w:rsidR="00760EE5">
        <w:rPr>
          <w:rtl/>
        </w:rPr>
        <w:t>לא סיים לאפיין ולפתח את המערכות הנדרשות ואת השינויים הנדרשים במערכות אגף השיקום</w:t>
      </w:r>
      <w:r w:rsidRPr="00CD151C" w:rsidR="00760EE5">
        <w:rPr>
          <w:rFonts w:hint="cs"/>
          <w:rtl/>
        </w:rPr>
        <w:t>.</w:t>
      </w:r>
      <w:r w:rsidRPr="00CD151C" w:rsidR="00760EE5">
        <w:rPr>
          <w:rtl/>
        </w:rPr>
        <w:t xml:space="preserve"> </w:t>
      </w:r>
      <w:r w:rsidRPr="00CD151C" w:rsidR="00760EE5">
        <w:rPr>
          <w:rFonts w:hint="cs"/>
          <w:rtl/>
        </w:rPr>
        <w:t>כתוצאה מכך</w:t>
      </w:r>
      <w:r w:rsidRPr="00054004" w:rsidR="00760EE5">
        <w:rPr>
          <w:rtl/>
        </w:rPr>
        <w:t xml:space="preserve"> </w:t>
      </w:r>
      <w:r w:rsidRPr="00CD151C" w:rsidR="00760EE5">
        <w:rPr>
          <w:rtl/>
        </w:rPr>
        <w:t>האגף א</w:t>
      </w:r>
      <w:r w:rsidRPr="00CD151C" w:rsidR="00760EE5">
        <w:rPr>
          <w:rFonts w:hint="cs"/>
          <w:rtl/>
        </w:rPr>
        <w:t>ינו</w:t>
      </w:r>
      <w:r w:rsidRPr="00CD151C" w:rsidR="00760EE5">
        <w:rPr>
          <w:rtl/>
        </w:rPr>
        <w:t xml:space="preserve"> יכול להעניק לזכאים הטבות או תשלומים ב"דחיפה"</w:t>
      </w:r>
      <w:r w:rsidRPr="00CD151C" w:rsidR="00760EE5">
        <w:rPr>
          <w:rFonts w:hint="cs"/>
          <w:rtl/>
        </w:rPr>
        <w:t>,</w:t>
      </w:r>
      <w:r w:rsidRPr="00CD151C" w:rsidR="00760EE5">
        <w:rPr>
          <w:rtl/>
        </w:rPr>
        <w:t xml:space="preserve"> והדבר גם </w:t>
      </w:r>
      <w:r w:rsidRPr="00CD151C" w:rsidR="00760EE5">
        <w:rPr>
          <w:rFonts w:hint="cs"/>
          <w:rtl/>
        </w:rPr>
        <w:t>מ</w:t>
      </w:r>
      <w:r w:rsidRPr="00CD151C" w:rsidR="00760EE5">
        <w:rPr>
          <w:rtl/>
        </w:rPr>
        <w:t xml:space="preserve">אלץ </w:t>
      </w:r>
      <w:r w:rsidRPr="00CD151C" w:rsidR="00760EE5">
        <w:rPr>
          <w:rFonts w:hint="cs"/>
          <w:rtl/>
        </w:rPr>
        <w:t>אותם</w:t>
      </w:r>
      <w:r w:rsidRPr="00CD151C" w:rsidR="00760EE5">
        <w:rPr>
          <w:rtl/>
        </w:rPr>
        <w:t xml:space="preserve"> להמציא בכל פעם את כל המסמכים הנדרשים לשם קבלת ההטבות</w:t>
      </w:r>
      <w:r w:rsidRPr="00CD151C" w:rsidR="00760EE5">
        <w:rPr>
          <w:rFonts w:hint="cs"/>
          <w:rtl/>
        </w:rPr>
        <w:t xml:space="preserve">. כמו כן, </w:t>
      </w:r>
      <w:r w:rsidRPr="00CD151C" w:rsidR="00760EE5">
        <w:rPr>
          <w:rFonts w:hint="cs"/>
          <w:rtl/>
        </w:rPr>
        <w:t>משהב"ט</w:t>
      </w:r>
      <w:r w:rsidRPr="00CD151C" w:rsidR="00760EE5">
        <w:rPr>
          <w:rFonts w:hint="cs"/>
          <w:rtl/>
        </w:rPr>
        <w:t xml:space="preserve"> </w:t>
      </w:r>
      <w:r w:rsidRPr="00CD151C" w:rsidR="00760EE5">
        <w:rPr>
          <w:rFonts w:hint="eastAsia"/>
          <w:rtl/>
        </w:rPr>
        <w:t>לא</w:t>
      </w:r>
      <w:r w:rsidRPr="00CD151C" w:rsidR="00760EE5">
        <w:rPr>
          <w:rtl/>
        </w:rPr>
        <w:t xml:space="preserve"> </w:t>
      </w:r>
      <w:r w:rsidRPr="00CD151C" w:rsidR="00760EE5">
        <w:rPr>
          <w:rFonts w:hint="eastAsia"/>
          <w:rtl/>
        </w:rPr>
        <w:t>עמד</w:t>
      </w:r>
      <w:r w:rsidRPr="00CD151C" w:rsidR="00760EE5">
        <w:rPr>
          <w:rtl/>
        </w:rPr>
        <w:t xml:space="preserve"> </w:t>
      </w:r>
      <w:r w:rsidRPr="00CD151C" w:rsidR="00760EE5">
        <w:rPr>
          <w:rFonts w:hint="eastAsia"/>
          <w:rtl/>
        </w:rPr>
        <w:t>ביעדים</w:t>
      </w:r>
      <w:r w:rsidRPr="00CD151C" w:rsidR="00760EE5">
        <w:rPr>
          <w:rtl/>
        </w:rPr>
        <w:t xml:space="preserve"> </w:t>
      </w:r>
      <w:r w:rsidRPr="00CD151C" w:rsidR="00760EE5">
        <w:rPr>
          <w:rFonts w:hint="eastAsia"/>
          <w:rtl/>
        </w:rPr>
        <w:t>שנקבעו</w:t>
      </w:r>
      <w:r w:rsidRPr="00CD151C" w:rsidR="00760EE5">
        <w:rPr>
          <w:rtl/>
        </w:rPr>
        <w:t xml:space="preserve"> </w:t>
      </w:r>
      <w:r w:rsidRPr="00CD151C" w:rsidR="00760EE5">
        <w:rPr>
          <w:rFonts w:hint="eastAsia"/>
          <w:rtl/>
        </w:rPr>
        <w:t>בהחלטת</w:t>
      </w:r>
      <w:r w:rsidRPr="00CD151C" w:rsidR="00760EE5">
        <w:rPr>
          <w:rtl/>
        </w:rPr>
        <w:t xml:space="preserve"> </w:t>
      </w:r>
      <w:r w:rsidRPr="00CD151C" w:rsidR="00760EE5">
        <w:rPr>
          <w:rFonts w:hint="eastAsia"/>
          <w:rtl/>
        </w:rPr>
        <w:t>הממשלה</w:t>
      </w:r>
      <w:r w:rsidRPr="00CD151C" w:rsidR="00760EE5">
        <w:rPr>
          <w:rtl/>
        </w:rPr>
        <w:t xml:space="preserve"> </w:t>
      </w:r>
      <w:r w:rsidRPr="00CD151C" w:rsidR="00760EE5">
        <w:rPr>
          <w:rFonts w:hint="eastAsia"/>
          <w:rtl/>
        </w:rPr>
        <w:t>מ</w:t>
      </w:r>
      <w:r w:rsidRPr="00CD151C" w:rsidR="00760EE5">
        <w:rPr>
          <w:rFonts w:hint="cs"/>
          <w:rtl/>
        </w:rPr>
        <w:t xml:space="preserve">שנת </w:t>
      </w:r>
      <w:r w:rsidRPr="00CD151C" w:rsidR="00760EE5">
        <w:rPr>
          <w:rtl/>
        </w:rPr>
        <w:t>2016</w:t>
      </w:r>
      <w:r w:rsidRPr="00CD151C" w:rsidR="00760EE5">
        <w:rPr>
          <w:rFonts w:hint="cs"/>
          <w:rtl/>
        </w:rPr>
        <w:t xml:space="preserve"> ולפיה החל בשנים 2021 ו-2022, בהתאמה, משרד ממשלתי לא יבקש מהציבור אישור שהנפיק משרד ממשלתי אחר או מידע על אודותיו הקיים בידי משרד ממשלתי אחר</w:t>
      </w:r>
      <w:r w:rsidRPr="00AF3B73">
        <w:rPr>
          <w:rFonts w:hint="cs"/>
          <w:rtl/>
        </w:rPr>
        <w:t>.</w:t>
      </w:r>
    </w:p>
    <w:p w:rsidR="00EB672B" w:rsidP="00EB672B" w14:paraId="6EA213E6" w14:textId="6988AEE8">
      <w:pPr>
        <w:pStyle w:val="7317"/>
        <w:rPr>
          <w:rtl/>
        </w:rPr>
      </w:pPr>
      <w:r w:rsidRPr="00760EE5">
        <w:rPr>
          <w:rFonts w:hint="cs"/>
          <w:b/>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sidR="00760EE5">
        <w:rPr>
          <w:rFonts w:hint="cs"/>
          <w:b/>
          <w:bCs/>
          <w:rtl/>
        </w:rPr>
        <w:t>איוש</w:t>
      </w:r>
      <w:r w:rsidRPr="00760EE5" w:rsidR="00760EE5">
        <w:rPr>
          <w:b/>
          <w:bCs/>
          <w:rtl/>
        </w:rPr>
        <w:t xml:space="preserve"> </w:t>
      </w:r>
      <w:r w:rsidRPr="00760EE5" w:rsidR="00760EE5">
        <w:rPr>
          <w:rFonts w:hint="cs"/>
          <w:b/>
          <w:bCs/>
          <w:rtl/>
        </w:rPr>
        <w:t>תקני</w:t>
      </w:r>
      <w:r w:rsidRPr="00760EE5" w:rsidR="00760EE5">
        <w:rPr>
          <w:b/>
          <w:bCs/>
          <w:rtl/>
        </w:rPr>
        <w:t xml:space="preserve"> כוח-האדם באגף השיקום</w:t>
      </w:r>
      <w:r w:rsidRPr="00760EE5" w:rsidR="00760EE5">
        <w:rPr>
          <w:rFonts w:hint="cs"/>
          <w:b/>
          <w:bCs/>
          <w:rtl/>
        </w:rPr>
        <w:t xml:space="preserve"> -</w:t>
      </w:r>
      <w:r w:rsidRPr="00CD151C" w:rsidR="00760EE5">
        <w:rPr>
          <w:rFonts w:hint="cs"/>
          <w:rtl/>
        </w:rPr>
        <w:t xml:space="preserve"> במחצית השנייה של השנים 2021 ו-2022 אושרה תוספת של 95 תקני כוח אדם לאגף השיקום בשתי פעימות, 21 תקנים מתוכם יועדו למשרות במטה האגף והשאר למשרות שונות במחוזות האגף. </w:t>
      </w:r>
      <w:r w:rsidRPr="00CD151C" w:rsidR="00760EE5">
        <w:rPr>
          <w:rtl/>
        </w:rPr>
        <w:t xml:space="preserve">נכון </w:t>
      </w:r>
      <w:r w:rsidRPr="00CD151C" w:rsidR="00760EE5">
        <w:rPr>
          <w:rFonts w:hint="cs"/>
          <w:rtl/>
        </w:rPr>
        <w:t>ל</w:t>
      </w:r>
      <w:r w:rsidRPr="00CD151C" w:rsidR="00760EE5">
        <w:rPr>
          <w:rtl/>
        </w:rPr>
        <w:t>מאי 2023,</w:t>
      </w:r>
      <w:r w:rsidRPr="00CD151C" w:rsidR="00760EE5">
        <w:rPr>
          <w:rFonts w:hint="cs"/>
          <w:rtl/>
        </w:rPr>
        <w:t xml:space="preserve"> אוישו רק 63 תקנים מתוך 95 שאושרו (66%</w:t>
      </w:r>
      <w:r w:rsidR="00760EE5">
        <w:rPr>
          <w:rFonts w:hint="cs"/>
          <w:rtl/>
        </w:rPr>
        <w:t>)</w:t>
      </w:r>
      <w:r w:rsidRPr="00AF3B73">
        <w:rPr>
          <w:rFonts w:hint="cs"/>
          <w:rtl/>
        </w:rPr>
        <w:t xml:space="preserve">. </w:t>
      </w:r>
    </w:p>
    <w:p w:rsidR="00760EE5" w:rsidP="00760EE5" w14:paraId="17ED2BCB" w14:textId="2CD1C2B9">
      <w:pPr>
        <w:pStyle w:val="7317"/>
        <w:rPr>
          <w:rtl/>
        </w:rPr>
      </w:pPr>
      <w:r w:rsidRPr="00760EE5">
        <w:rPr>
          <w:rFonts w:hint="cs"/>
          <w:b/>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33104308" name="תמונה 83310430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0430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Pr>
          <w:b/>
          <w:bCs/>
          <w:rtl/>
        </w:rPr>
        <w:t>שביעות הרצון מהשירות שמעניק אגף השיקום לנכי צה"ל</w:t>
      </w:r>
      <w:r w:rsidRPr="00760EE5">
        <w:rPr>
          <w:rFonts w:hint="cs"/>
          <w:b/>
          <w:bCs/>
          <w:rtl/>
        </w:rPr>
        <w:t xml:space="preserve"> -</w:t>
      </w:r>
      <w:r w:rsidRPr="00CD151C">
        <w:rPr>
          <w:rFonts w:hint="cs"/>
          <w:rtl/>
        </w:rPr>
        <w:t xml:space="preserve"> על פי תשובות המשיבים לשאלון שהפיץ משרד מבקר המדינה, הציון הממוצע של שביעות הרצון של כלל המשיבים מהיחס ומהשירות שהם מקבלים מאגף השיקום הוא נמוך ועומד על 53 מתוך 100. 28% מהמשיבים השיבו שאינם מרוצים כלל או מרוצים במידה מועטה</w:t>
      </w:r>
      <w:r w:rsidRPr="00AF3B73">
        <w:rPr>
          <w:rFonts w:hint="cs"/>
          <w:rtl/>
        </w:rPr>
        <w:t xml:space="preserve">. </w:t>
      </w:r>
    </w:p>
    <w:p w:rsidR="00760EE5" w:rsidP="00760EE5" w14:paraId="4C66BD54" w14:textId="7098B118">
      <w:pPr>
        <w:pStyle w:val="7317"/>
        <w:rPr>
          <w:rtl/>
        </w:rPr>
      </w:pPr>
      <w:r w:rsidRPr="00760EE5">
        <w:rPr>
          <w:rFonts w:hint="cs"/>
          <w:b/>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58363164" name="תמונה 85836316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6316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Pr>
          <w:rFonts w:hint="cs"/>
          <w:b/>
          <w:bCs/>
          <w:rtl/>
        </w:rPr>
        <w:t>מודעות נכי צה"ל לזכויות ולהטבות -</w:t>
      </w:r>
      <w:r w:rsidRPr="00CD151C">
        <w:rPr>
          <w:rFonts w:hint="cs"/>
          <w:rtl/>
        </w:rPr>
        <w:t xml:space="preserve"> מהתשובות לשאלון שהפיץ משרד מבקר המדינה בקרב נכי צה"ל בעלי פגיעת ראש או פגיעה נפשית או </w:t>
      </w:r>
      <w:r w:rsidRPr="00CD151C">
        <w:rPr>
          <w:rFonts w:hint="cs"/>
        </w:rPr>
        <w:t>PTSD</w:t>
      </w:r>
      <w:r w:rsidRPr="00CD151C">
        <w:rPr>
          <w:rFonts w:hint="cs"/>
          <w:rtl/>
        </w:rPr>
        <w:t xml:space="preserve">, עולה כי שיעור גבוה </w:t>
      </w:r>
      <w:r w:rsidR="00CF0AAD">
        <w:rPr>
          <w:rtl/>
        </w:rPr>
        <w:br/>
      </w:r>
      <w:r w:rsidRPr="00CD151C">
        <w:rPr>
          <w:rFonts w:hint="cs"/>
          <w:rtl/>
        </w:rPr>
        <w:t>(74% - 80%) של משיבים</w:t>
      </w:r>
      <w:r w:rsidRPr="00CD151C">
        <w:rPr>
          <w:rtl/>
        </w:rPr>
        <w:t xml:space="preserve"> </w:t>
      </w:r>
      <w:r w:rsidRPr="00CD151C">
        <w:rPr>
          <w:rFonts w:hint="cs"/>
          <w:rtl/>
        </w:rPr>
        <w:t xml:space="preserve">אינם </w:t>
      </w:r>
      <w:r w:rsidRPr="00CD151C">
        <w:rPr>
          <w:rtl/>
        </w:rPr>
        <w:t>מודעים ל</w:t>
      </w:r>
      <w:r w:rsidRPr="00CD151C">
        <w:rPr>
          <w:rFonts w:hint="cs"/>
          <w:rtl/>
        </w:rPr>
        <w:t xml:space="preserve">סל ההטבות האישי או מודעים רק לחלק ממנו, ושיעור דומה של משיבים (74% - 79%) אינם מודעים לסל ההטבות לבני המשפחה או </w:t>
      </w:r>
      <w:r w:rsidRPr="00CD151C">
        <w:rPr>
          <w:rFonts w:hint="cs"/>
          <w:rtl/>
        </w:rPr>
        <w:t xml:space="preserve">לחלק ממנו. </w:t>
      </w:r>
      <w:r w:rsidRPr="00CD151C">
        <w:rPr>
          <w:rtl/>
        </w:rPr>
        <w:t>מצב זה של חוסר מודעות עלול למנוע קבלת טיפול</w:t>
      </w:r>
      <w:r w:rsidRPr="00CD151C">
        <w:rPr>
          <w:rFonts w:hint="cs"/>
          <w:rtl/>
        </w:rPr>
        <w:t>ים</w:t>
      </w:r>
      <w:r w:rsidRPr="00CD151C">
        <w:rPr>
          <w:rtl/>
        </w:rPr>
        <w:t xml:space="preserve"> נפשי</w:t>
      </w:r>
      <w:r w:rsidRPr="00CD151C">
        <w:rPr>
          <w:rFonts w:hint="cs"/>
          <w:rtl/>
        </w:rPr>
        <w:t>ים ואחרים</w:t>
      </w:r>
      <w:r w:rsidRPr="00CD151C">
        <w:rPr>
          <w:rtl/>
        </w:rPr>
        <w:t xml:space="preserve"> </w:t>
      </w:r>
      <w:r w:rsidRPr="00CD151C">
        <w:rPr>
          <w:rFonts w:hint="cs"/>
          <w:rtl/>
        </w:rPr>
        <w:t>מנכי צה"ל ומבני משפחותיהם</w:t>
      </w:r>
      <w:r w:rsidRPr="00AF3B73">
        <w:rPr>
          <w:rFonts w:hint="cs"/>
          <w:rtl/>
        </w:rPr>
        <w:t xml:space="preserve">. </w:t>
      </w:r>
    </w:p>
    <w:p w:rsidR="00760EE5" w:rsidP="00760EE5" w14:paraId="72D4D19F" w14:textId="5CE6B4C7">
      <w:pPr>
        <w:pStyle w:val="7317"/>
        <w:rPr>
          <w:rtl/>
        </w:rPr>
      </w:pPr>
      <w:r w:rsidRPr="00760EE5">
        <w:rPr>
          <w:rFonts w:hint="cs"/>
          <w:b/>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44620377" name="תמונה 94462037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2037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60EE5">
        <w:rPr>
          <w:rFonts w:hint="cs"/>
          <w:b/>
          <w:bCs/>
          <w:rtl/>
        </w:rPr>
        <w:t>שביעות רצון מהוועדות הרפואיות המחוזיות -</w:t>
      </w:r>
      <w:r w:rsidRPr="00CD151C">
        <w:rPr>
          <w:rFonts w:hint="cs"/>
          <w:rtl/>
        </w:rPr>
        <w:t xml:space="preserve"> בשנת 2022 84% מהוועדות הרפואיות התקיימו במחוזות ובמטה אגף השיקום, ו-</w:t>
      </w:r>
      <w:r w:rsidRPr="00CD151C">
        <w:rPr>
          <w:rtl/>
        </w:rPr>
        <w:t xml:space="preserve">16% מהוועדות הרפואיות היו ועדות חיצוניות - 9% מתוכן נערכו במרכז הרפואי שיבא - תל השומר ו-7% במרכז הרפואי לשיקום </w:t>
      </w:r>
      <w:r w:rsidRPr="00CD151C">
        <w:rPr>
          <w:rtl/>
        </w:rPr>
        <w:t>לוינשטיין</w:t>
      </w:r>
      <w:r w:rsidRPr="00CD151C">
        <w:rPr>
          <w:rtl/>
        </w:rPr>
        <w:t xml:space="preserve">. </w:t>
      </w:r>
      <w:r w:rsidRPr="00CD151C">
        <w:rPr>
          <w:rFonts w:hint="cs"/>
          <w:rtl/>
        </w:rPr>
        <w:t xml:space="preserve">על פי סקר של אגף השיקום ועל פי שאלון שהפיץ משרד מבקר המדינה, שביעות הרצון הכללית מהוועדות הרפואיות המחוזיות החיצוניות במרכז הרפואי שיבא - תל השומר ובמרכז הרפואי לשיקום </w:t>
      </w:r>
      <w:r w:rsidRPr="00CD151C">
        <w:rPr>
          <w:rFonts w:hint="cs"/>
          <w:rtl/>
        </w:rPr>
        <w:t>לוינשטיין</w:t>
      </w:r>
      <w:r w:rsidRPr="00206FD5">
        <w:rPr>
          <w:rtl/>
        </w:rPr>
        <w:t xml:space="preserve"> </w:t>
      </w:r>
      <w:r w:rsidRPr="00CD151C">
        <w:rPr>
          <w:rtl/>
        </w:rPr>
        <w:t>ושביעות הרצון מהיחס של חברי הווע</w:t>
      </w:r>
      <w:r w:rsidRPr="00CD151C">
        <w:rPr>
          <w:rFonts w:hint="cs"/>
          <w:rtl/>
        </w:rPr>
        <w:t>דות ה</w:t>
      </w:r>
      <w:r w:rsidRPr="00CD151C">
        <w:rPr>
          <w:rtl/>
        </w:rPr>
        <w:t>ר</w:t>
      </w:r>
      <w:r w:rsidRPr="00CD151C">
        <w:rPr>
          <w:rFonts w:hint="cs"/>
          <w:rtl/>
        </w:rPr>
        <w:t>פואיות</w:t>
      </w:r>
      <w:r w:rsidRPr="00CD151C">
        <w:rPr>
          <w:rtl/>
        </w:rPr>
        <w:t xml:space="preserve"> החיצוניות</w:t>
      </w:r>
      <w:r w:rsidRPr="00CD151C">
        <w:rPr>
          <w:rFonts w:hint="cs"/>
          <w:rtl/>
        </w:rPr>
        <w:t xml:space="preserve"> גבוהות יותר משביעות הרצון הכללית מהוועדות הרפואיות שנערכות במטה האגף ובמחוזות: שביעות הרצון מהוועדות הרפואיות החיצוניות עומדת על 3.57 - 4.27 בממוצע, ואילו שביעות הרצון הכללית מהוועדות הרפואיות במטה ובמחוזות עומדת על 2.54 - 3.91 בממוצע בסולם של 1 (הנמוך ביותר) עד 5 (הגבוה ביותר</w:t>
      </w:r>
      <w:r>
        <w:rPr>
          <w:rFonts w:hint="cs"/>
          <w:rtl/>
        </w:rPr>
        <w:t>)</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P="00EB672B" w14:paraId="34FBDC9B" w14:textId="6136D52D">
      <w:pPr>
        <w:pStyle w:val="7317"/>
        <w:rPr>
          <w:rtl/>
        </w:rPr>
      </w:pPr>
      <w:r w:rsidRPr="00760EE5">
        <w:rPr>
          <w:rFonts w:hint="cs"/>
          <w:b/>
          <w:bCs/>
          <w:rtl/>
        </w:rPr>
        <w:t>"מסלול ירוק" מבצעי להכרה בפוסט-טראומה -</w:t>
      </w:r>
      <w:r w:rsidRPr="00CD151C">
        <w:rPr>
          <w:rFonts w:hint="cs"/>
          <w:rtl/>
        </w:rPr>
        <w:t xml:space="preserve"> משרד מבקר המדינה מציין לחיוב כי בינואר 2021</w:t>
      </w:r>
      <w:r w:rsidRPr="00CD151C">
        <w:rPr>
          <w:rtl/>
        </w:rPr>
        <w:t xml:space="preserve"> </w:t>
      </w:r>
      <w:r w:rsidRPr="00CD151C">
        <w:rPr>
          <w:rFonts w:hint="cs"/>
          <w:rtl/>
        </w:rPr>
        <w:t>החל האגף בעבודת מטה לגיבוש אמות מידה להכרה ב</w:t>
      </w:r>
      <w:r w:rsidRPr="00CD151C">
        <w:rPr>
          <w:rtl/>
        </w:rPr>
        <w:t>"מסלול ירוק מבצעי</w:t>
      </w:r>
      <w:r w:rsidRPr="00CD151C">
        <w:rPr>
          <w:rFonts w:hint="cs"/>
          <w:rtl/>
        </w:rPr>
        <w:t xml:space="preserve"> חבלה נפשית"</w:t>
      </w:r>
      <w:r w:rsidRPr="00CD151C">
        <w:rPr>
          <w:rtl/>
        </w:rPr>
        <w:t xml:space="preserve"> כדי לקצר ולפשט את תהליכי ההכרה לנפגעי פוסט-טראומה וכדי לאפשר את כניסתם המהירה ככל הניתן לתהליך השיקום</w:t>
      </w:r>
      <w:r w:rsidRPr="00CD151C">
        <w:rPr>
          <w:rFonts w:hint="cs"/>
          <w:rtl/>
        </w:rPr>
        <w:t xml:space="preserve">. המסלול החל לפעול במרץ 2021. </w:t>
      </w:r>
      <w:r w:rsidRPr="00CD151C">
        <w:rPr>
          <w:rtl/>
        </w:rPr>
        <w:t>מנתוני</w:t>
      </w:r>
      <w:r w:rsidRPr="00CD151C">
        <w:rPr>
          <w:rFonts w:hint="cs"/>
          <w:rtl/>
        </w:rPr>
        <w:t xml:space="preserve"> אגף השיקום</w:t>
      </w:r>
      <w:r w:rsidRPr="00CD151C">
        <w:rPr>
          <w:rtl/>
        </w:rPr>
        <w:t xml:space="preserve"> עולה כי משך זמן הטיפול ב"מסלול הירוק" המבצעי קצר באופן </w:t>
      </w:r>
      <w:r w:rsidRPr="00CD151C">
        <w:rPr>
          <w:rFonts w:hint="cs"/>
          <w:rtl/>
        </w:rPr>
        <w:t>ניכר</w:t>
      </w:r>
      <w:r w:rsidRPr="00CD151C">
        <w:rPr>
          <w:rtl/>
        </w:rPr>
        <w:t xml:space="preserve"> ממשך זמן הטיפול במסלול הרגיל, הן בשלב ההכרה העקרונית (משך הזמן ב"מסלול הירוק" קצר בכ-64% עד 67% ממשך הזמן במסלול הרגיל</w:t>
      </w:r>
      <w:r w:rsidRPr="00CD151C">
        <w:rPr>
          <w:rFonts w:hint="cs"/>
          <w:rtl/>
        </w:rPr>
        <w:t xml:space="preserve"> -</w:t>
      </w:r>
      <w:r w:rsidRPr="00CD151C">
        <w:rPr>
          <w:rtl/>
        </w:rPr>
        <w:t xml:space="preserve"> </w:t>
      </w:r>
      <w:r w:rsidRPr="00CD151C">
        <w:rPr>
          <w:rFonts w:hint="cs"/>
          <w:rtl/>
        </w:rPr>
        <w:t>ה</w:t>
      </w:r>
      <w:r w:rsidRPr="00CD151C">
        <w:rPr>
          <w:rtl/>
        </w:rPr>
        <w:t>ממוצע ו</w:t>
      </w:r>
      <w:r w:rsidRPr="00CD151C">
        <w:rPr>
          <w:rFonts w:hint="cs"/>
          <w:rtl/>
        </w:rPr>
        <w:t>ה</w:t>
      </w:r>
      <w:r w:rsidRPr="00CD151C">
        <w:rPr>
          <w:rtl/>
        </w:rPr>
        <w:t xml:space="preserve">חציון </w:t>
      </w:r>
      <w:r w:rsidRPr="00CD151C">
        <w:rPr>
          <w:rFonts w:hint="cs"/>
          <w:rtl/>
        </w:rPr>
        <w:t>הם 65 ו-55 ימים ב"מסלול הירוק" לעומת 180 ו-168 ימים במסלול הרגיל, בהתאמה</w:t>
      </w:r>
      <w:r w:rsidRPr="00CD151C">
        <w:rPr>
          <w:rtl/>
        </w:rPr>
        <w:t>) והן במשך הזמן הכולל משלב הגשת הבקשה ועד לקביעת אחוזי נכות בווע</w:t>
      </w:r>
      <w:r w:rsidRPr="00CD151C">
        <w:rPr>
          <w:rFonts w:hint="cs"/>
          <w:rtl/>
        </w:rPr>
        <w:t>דה הרפואית</w:t>
      </w:r>
      <w:r w:rsidRPr="00CD151C">
        <w:rPr>
          <w:rtl/>
        </w:rPr>
        <w:t xml:space="preserve"> (משך הזמן ב</w:t>
      </w:r>
      <w:r w:rsidRPr="00CD151C">
        <w:rPr>
          <w:rFonts w:hint="cs"/>
          <w:rtl/>
        </w:rPr>
        <w:t>"</w:t>
      </w:r>
      <w:r w:rsidRPr="00CD151C">
        <w:rPr>
          <w:rtl/>
        </w:rPr>
        <w:t>מסלול הירוק</w:t>
      </w:r>
      <w:r w:rsidRPr="00CD151C">
        <w:rPr>
          <w:rFonts w:hint="cs"/>
          <w:rtl/>
        </w:rPr>
        <w:t>"</w:t>
      </w:r>
      <w:r w:rsidRPr="00CD151C">
        <w:rPr>
          <w:rtl/>
        </w:rPr>
        <w:t xml:space="preserve"> קצר בכ-44% עד 46% מהמסלול הרגיל</w:t>
      </w:r>
      <w:r w:rsidRPr="00CD151C">
        <w:rPr>
          <w:rFonts w:hint="cs"/>
          <w:rtl/>
        </w:rPr>
        <w:t xml:space="preserve"> -</w:t>
      </w:r>
      <w:r w:rsidRPr="00CD151C">
        <w:rPr>
          <w:rtl/>
        </w:rPr>
        <w:t xml:space="preserve"> </w:t>
      </w:r>
      <w:r w:rsidRPr="00CD151C">
        <w:rPr>
          <w:rFonts w:hint="cs"/>
          <w:rtl/>
        </w:rPr>
        <w:t>ה</w:t>
      </w:r>
      <w:r w:rsidRPr="00CD151C">
        <w:rPr>
          <w:rtl/>
        </w:rPr>
        <w:t>ממוצע ו</w:t>
      </w:r>
      <w:r w:rsidRPr="00CD151C">
        <w:rPr>
          <w:rFonts w:hint="cs"/>
          <w:rtl/>
        </w:rPr>
        <w:t>ה</w:t>
      </w:r>
      <w:r w:rsidRPr="00CD151C">
        <w:rPr>
          <w:rtl/>
        </w:rPr>
        <w:t>חציון</w:t>
      </w:r>
      <w:r w:rsidRPr="00CD151C">
        <w:rPr>
          <w:rFonts w:hint="cs"/>
          <w:rtl/>
        </w:rPr>
        <w:t xml:space="preserve"> הם</w:t>
      </w:r>
      <w:r w:rsidRPr="00CD151C">
        <w:rPr>
          <w:rtl/>
        </w:rPr>
        <w:t xml:space="preserve"> </w:t>
      </w:r>
      <w:r w:rsidRPr="00CD151C">
        <w:rPr>
          <w:rFonts w:hint="cs"/>
          <w:rtl/>
        </w:rPr>
        <w:t>144 ו-135 ב"מסלול ירוק" לעומת 256 ו-249 במסלול רגיל, בהתאמה</w:t>
      </w:r>
      <w:r>
        <w:rPr>
          <w:rFonts w:hint="cs"/>
          <w:rtl/>
        </w:rPr>
        <w:t>)</w:t>
      </w:r>
      <w:r w:rsidRPr="00CA4EB1">
        <w:rPr>
          <w:rFonts w:hint="cs"/>
          <w:rtl/>
        </w:rPr>
        <w:t>.</w:t>
      </w:r>
    </w:p>
    <w:p w:rsidR="00760EE5" w:rsidRPr="00CA4EB1" w:rsidP="00EB672B" w14:paraId="2053A015" w14:textId="7B57C18B">
      <w:pPr>
        <w:pStyle w:val="7317"/>
        <w:rPr>
          <w:rtl/>
        </w:rPr>
      </w:pPr>
      <w:r w:rsidRPr="00760EE5">
        <w:rPr>
          <w:rFonts w:hint="cs"/>
          <w:b/>
          <w:bCs/>
          <w:rtl/>
        </w:rPr>
        <w:t>טיפול אגף השיקום בתיקים ישנים -</w:t>
      </w:r>
      <w:r w:rsidRPr="00CD151C">
        <w:rPr>
          <w:rFonts w:hint="cs"/>
          <w:rtl/>
        </w:rPr>
        <w:t xml:space="preserve"> </w:t>
      </w:r>
      <w:r w:rsidRPr="00CD151C">
        <w:rPr>
          <w:rtl/>
        </w:rPr>
        <w:t xml:space="preserve">משרד מבקר המדינה מציין לחיוב את פעולתו של אגף השיקום לטיפול בכ-10,000 תיקים ישנים ולקבלת החלטה בעניינם. </w:t>
      </w:r>
      <w:r w:rsidRPr="00CD151C">
        <w:rPr>
          <w:rFonts w:hint="cs"/>
          <w:rtl/>
        </w:rPr>
        <w:t xml:space="preserve">יצוין כי </w:t>
      </w:r>
      <w:r w:rsidRPr="00CD151C">
        <w:rPr>
          <w:rtl/>
        </w:rPr>
        <w:t xml:space="preserve">למרות גידול </w:t>
      </w:r>
      <w:r w:rsidRPr="00CD151C">
        <w:rPr>
          <w:rFonts w:hint="cs"/>
          <w:rtl/>
        </w:rPr>
        <w:t xml:space="preserve">של </w:t>
      </w:r>
      <w:r w:rsidRPr="00CD151C">
        <w:rPr>
          <w:rtl/>
        </w:rPr>
        <w:t>כ-50% ביחס לשנת 2020 ושל כ-29% ביחס לשנת 2021</w:t>
      </w:r>
      <w:r w:rsidRPr="00CD151C">
        <w:rPr>
          <w:rFonts w:hint="cs"/>
          <w:rtl/>
        </w:rPr>
        <w:t xml:space="preserve"> </w:t>
      </w:r>
      <w:r w:rsidRPr="00CD151C">
        <w:rPr>
          <w:rtl/>
        </w:rPr>
        <w:t>במספר הבקשות שהוגשו ליחיד</w:t>
      </w:r>
      <w:r w:rsidR="00320025">
        <w:rPr>
          <w:rFonts w:hint="cs"/>
          <w:rtl/>
        </w:rPr>
        <w:t>ה</w:t>
      </w:r>
      <w:r w:rsidRPr="00CD151C">
        <w:rPr>
          <w:rtl/>
        </w:rPr>
        <w:t xml:space="preserve"> </w:t>
      </w:r>
      <w:r w:rsidR="00320025">
        <w:rPr>
          <w:rFonts w:hint="cs"/>
          <w:rtl/>
        </w:rPr>
        <w:t>ל</w:t>
      </w:r>
      <w:r w:rsidRPr="00CD151C">
        <w:rPr>
          <w:rtl/>
        </w:rPr>
        <w:t>הכרה</w:t>
      </w:r>
      <w:r w:rsidR="00320025">
        <w:rPr>
          <w:rFonts w:hint="cs"/>
          <w:rtl/>
        </w:rPr>
        <w:t xml:space="preserve"> וקביעת זכאות</w:t>
      </w:r>
      <w:r w:rsidRPr="00CD151C">
        <w:rPr>
          <w:rFonts w:hint="cs"/>
          <w:rtl/>
        </w:rPr>
        <w:t>,</w:t>
      </w:r>
      <w:r w:rsidRPr="00CD151C">
        <w:rPr>
          <w:rtl/>
        </w:rPr>
        <w:t xml:space="preserve"> בשנת 2022 הצליח האגף להגדיל ביותר מפי שניים את מספר התיקים שבעניינם התקבלה החלטה לעומת שנת 2020</w:t>
      </w:r>
      <w:r w:rsidR="00320025">
        <w:rPr>
          <w:rFonts w:hint="cs"/>
          <w:rtl/>
        </w:rPr>
        <w:t>.</w:t>
      </w:r>
    </w:p>
    <w:p w:rsidR="00320025" w:rsidRPr="00320025" w:rsidP="00320025" w14:paraId="6B7D4641" w14:textId="77777777">
      <w:pPr>
        <w:pStyle w:val="7317"/>
      </w:pPr>
      <w:r w:rsidRPr="00760EE5">
        <w:rPr>
          <w:rFonts w:hint="cs"/>
          <w:b/>
          <w:bCs/>
          <w:rtl/>
        </w:rPr>
        <w:t>היכרות של נכי צה"ל עם אתר המרשתת -</w:t>
      </w:r>
      <w:r w:rsidRPr="00320025">
        <w:rPr>
          <w:b/>
          <w:bCs/>
          <w:rtl/>
        </w:rPr>
        <w:t xml:space="preserve"> </w:t>
      </w:r>
      <w:r w:rsidRPr="00320025">
        <w:rPr>
          <w:rtl/>
        </w:rPr>
        <w:t>בהשוואה בין שאלון שהפיץ משרד מבקר המדינה בשנת 2021 לשאלון שהפיץ בשנת 2023 חל גידול של 52% בשיעור המשיבים שהשיבו שהם מכירים או מכירים היטב את אתר המרשתת של אגף השיקום וגידול של 65% בקרב המשיבים בני 61 ומעלה</w:t>
      </w:r>
      <w:r w:rsidRPr="00320025">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238D975F">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D151C" w:rsidR="00760EE5">
        <w:rPr>
          <w:rFonts w:hint="cs"/>
          <w:rtl/>
        </w:rPr>
        <w:t xml:space="preserve">מומלץ כי אגף השיקום יבצע פעולות יזומות להגדלת המודעות בקרב נכי צה"ל לזכויותיהם במסגרת רפורמת "נפש אחת" ולהגדלת שיעור המיצוי של זכויות אלה, יפעל בשיתוף הגורמים הרלוונטיים </w:t>
      </w:r>
      <w:r w:rsidRPr="00CD151C" w:rsidR="00760EE5">
        <w:rPr>
          <w:rFonts w:hint="cs"/>
          <w:rtl/>
        </w:rPr>
        <w:t>במשהב"ט</w:t>
      </w:r>
      <w:r w:rsidRPr="00CD151C" w:rsidR="00760EE5">
        <w:rPr>
          <w:rFonts w:hint="cs"/>
          <w:rtl/>
        </w:rPr>
        <w:t xml:space="preserve"> לרבות לשכת היועמ"ש </w:t>
      </w:r>
      <w:r w:rsidRPr="00CD151C" w:rsidR="00760EE5">
        <w:rPr>
          <w:rFonts w:hint="cs"/>
          <w:rtl/>
        </w:rPr>
        <w:t>למעהב"ט</w:t>
      </w:r>
      <w:r w:rsidRPr="00CD151C" w:rsidR="00760EE5">
        <w:rPr>
          <w:rFonts w:hint="cs"/>
          <w:rtl/>
        </w:rPr>
        <w:t xml:space="preserve"> וארגון נכי צה"ל, להאצת התהליכים בתחום עיגון יתר ההטבות בחקיקה בהתאם להחלטת הממשלה</w:t>
      </w:r>
      <w:r>
        <w:rPr>
          <w:vertAlign w:val="superscript"/>
          <w:rtl/>
        </w:rPr>
        <w:footnoteReference w:id="6"/>
      </w:r>
      <w:r w:rsidRPr="00CD151C" w:rsidR="00760EE5">
        <w:rPr>
          <w:rFonts w:hint="cs"/>
          <w:rtl/>
        </w:rPr>
        <w:t xml:space="preserve">, וכן יפעל להשלמת המשימות בתחום מערכות התקשוב בשיתוף הגורמים הרלוונטיים </w:t>
      </w:r>
      <w:r w:rsidRPr="00CD151C" w:rsidR="00760EE5">
        <w:rPr>
          <w:rFonts w:hint="cs"/>
          <w:rtl/>
        </w:rPr>
        <w:t>במשהב"ט</w:t>
      </w:r>
      <w:r w:rsidRPr="00CD151C" w:rsidR="00760EE5">
        <w:rPr>
          <w:rFonts w:hint="cs"/>
          <w:rtl/>
        </w:rPr>
        <w:t xml:space="preserve"> לרבות אגף התקשוב. זאת כדי לנצל באופן מיטבי את תוספות התקציב השנתיות שאושרו לו עבור רפורמת "נפש אחת" </w:t>
      </w:r>
      <w:bookmarkStart w:id="4" w:name="_Hlk142993317"/>
      <w:r w:rsidRPr="00CD151C" w:rsidR="00760EE5">
        <w:rPr>
          <w:rFonts w:hint="cs"/>
          <w:rtl/>
        </w:rPr>
        <w:t>ולהביא ל</w:t>
      </w:r>
      <w:r w:rsidRPr="00CD151C" w:rsidR="00760EE5">
        <w:rPr>
          <w:rtl/>
        </w:rPr>
        <w:t>שיפור משמעותי של הטיפול והשיקום הניתנים לנכי צה"ל</w:t>
      </w:r>
      <w:bookmarkEnd w:id="4"/>
      <w:r w:rsidRPr="007C7D40">
        <w:rPr>
          <w:rFonts w:hint="cs"/>
          <w:rtl/>
        </w:rPr>
        <w:t xml:space="preserve">. </w:t>
      </w:r>
    </w:p>
    <w:p w:rsidR="00EB672B" w:rsidRPr="007C7D40" w:rsidP="00EB672B" w14:paraId="723E2ABD" w14:textId="57E7BC95">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151C" w:rsidR="00760EE5">
        <w:rPr>
          <w:rtl/>
        </w:rPr>
        <w:t xml:space="preserve">מומלץ לאגף השיקום כי בחלוף </w:t>
      </w:r>
      <w:r w:rsidRPr="00CD151C" w:rsidR="00760EE5">
        <w:rPr>
          <w:rFonts w:hint="cs"/>
          <w:rtl/>
        </w:rPr>
        <w:t>יותר</w:t>
      </w:r>
      <w:r w:rsidRPr="00CD151C" w:rsidR="00760EE5">
        <w:rPr>
          <w:rtl/>
        </w:rPr>
        <w:t xml:space="preserve"> משנתיים מאז יצאה לדרך רפורמת "נפש אחת"</w:t>
      </w:r>
      <w:r w:rsidRPr="00CD151C" w:rsidR="00760EE5">
        <w:rPr>
          <w:rFonts w:hint="cs"/>
          <w:rtl/>
        </w:rPr>
        <w:t>, הוא</w:t>
      </w:r>
      <w:r w:rsidRPr="00CD151C" w:rsidR="00760EE5">
        <w:rPr>
          <w:rtl/>
        </w:rPr>
        <w:t xml:space="preserve"> יבצע סקר בקרב זכאים המתמודדים עם פוסט-טראומה למיפוי הצרכים עבור כל אחת מהזכאויות הניתנות במסגרת הרפורמה</w:t>
      </w:r>
      <w:r w:rsidRPr="00CD151C" w:rsidR="00760EE5">
        <w:rPr>
          <w:rFonts w:hint="cs"/>
          <w:rtl/>
        </w:rPr>
        <w:t>.</w:t>
      </w:r>
      <w:r w:rsidRPr="00CD151C" w:rsidR="00760EE5">
        <w:rPr>
          <w:rtl/>
        </w:rPr>
        <w:t xml:space="preserve"> זאת </w:t>
      </w:r>
      <w:r w:rsidRPr="00CD151C" w:rsidR="00760EE5">
        <w:rPr>
          <w:rFonts w:hint="cs"/>
          <w:rtl/>
        </w:rPr>
        <w:t xml:space="preserve">כדי </w:t>
      </w:r>
      <w:r w:rsidRPr="00CD151C" w:rsidR="00760EE5">
        <w:rPr>
          <w:rtl/>
        </w:rPr>
        <w:t>לדייק את נתוני אוכלוסיית היעד הפוטנציאלית מקרב הזכאים. הדבר יסייע לאגף לבצע הערכות ותכנון תקציבי מדויקים יותר לשנות העבודה הבאות ולשפר את שיעורי המימוש והביצוע התקציבי</w:t>
      </w:r>
      <w:r w:rsidRPr="007C7D40">
        <w:rPr>
          <w:rtl/>
        </w:rPr>
        <w:t xml:space="preserve">. </w:t>
      </w:r>
    </w:p>
    <w:p w:rsidR="00EB672B" w:rsidRPr="007C7D40" w:rsidP="00EB672B" w14:paraId="55FA89EC" w14:textId="48E18A05">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151C" w:rsidR="00760EE5">
        <w:rPr>
          <w:rtl/>
        </w:rPr>
        <w:t xml:space="preserve">מומלץ לאגף </w:t>
      </w:r>
      <w:r w:rsidRPr="00CD151C" w:rsidR="00760EE5">
        <w:rPr>
          <w:rFonts w:hint="cs"/>
          <w:rtl/>
        </w:rPr>
        <w:t>ה</w:t>
      </w:r>
      <w:r w:rsidRPr="00CD151C" w:rsidR="00760EE5">
        <w:rPr>
          <w:rtl/>
        </w:rPr>
        <w:t xml:space="preserve">שיקום </w:t>
      </w:r>
      <w:bookmarkStart w:id="5" w:name="_Hlk150774790"/>
      <w:r w:rsidRPr="00CD151C" w:rsidR="00760EE5">
        <w:rPr>
          <w:rtl/>
        </w:rPr>
        <w:t xml:space="preserve">לבחון באופן יסודי את הסיבות לשביעות הרצון הגבוהה יותר </w:t>
      </w:r>
      <w:bookmarkEnd w:id="5"/>
      <w:r w:rsidRPr="00CD151C" w:rsidR="00760EE5">
        <w:rPr>
          <w:rtl/>
        </w:rPr>
        <w:t>מהווע</w:t>
      </w:r>
      <w:r w:rsidRPr="00CD151C" w:rsidR="00760EE5">
        <w:rPr>
          <w:rFonts w:hint="cs"/>
          <w:rtl/>
        </w:rPr>
        <w:t>דות הרפואיות</w:t>
      </w:r>
      <w:r w:rsidRPr="00CD151C" w:rsidR="00760EE5">
        <w:rPr>
          <w:rtl/>
        </w:rPr>
        <w:t xml:space="preserve"> החיצוניות בהתייחס לאוכלוסיות הנכים השונות המופיעות בפני הווע</w:t>
      </w:r>
      <w:r w:rsidRPr="00CD151C" w:rsidR="00760EE5">
        <w:rPr>
          <w:rFonts w:hint="cs"/>
          <w:rtl/>
        </w:rPr>
        <w:t>דות הרפואיות</w:t>
      </w:r>
      <w:r w:rsidRPr="00CD151C" w:rsidR="00760EE5">
        <w:rPr>
          <w:rtl/>
        </w:rPr>
        <w:t xml:space="preserve"> השונות, ובהתאם לתוצאות בחינה זו לפעול </w:t>
      </w:r>
      <w:r w:rsidRPr="00CD151C" w:rsidR="00760EE5">
        <w:rPr>
          <w:rFonts w:hint="cs"/>
          <w:rtl/>
        </w:rPr>
        <w:t xml:space="preserve">כדי להעלות את שביעות הרצון גם </w:t>
      </w:r>
      <w:r w:rsidRPr="00CD151C" w:rsidR="00760EE5">
        <w:rPr>
          <w:rtl/>
        </w:rPr>
        <w:t xml:space="preserve"> מהווע</w:t>
      </w:r>
      <w:r w:rsidRPr="00CD151C" w:rsidR="00760EE5">
        <w:rPr>
          <w:rFonts w:hint="cs"/>
          <w:rtl/>
        </w:rPr>
        <w:t>דות הרפואיות</w:t>
      </w:r>
      <w:r w:rsidRPr="00CD151C" w:rsidR="00760EE5">
        <w:rPr>
          <w:rtl/>
        </w:rPr>
        <w:t xml:space="preserve"> </w:t>
      </w:r>
      <w:r w:rsidRPr="00CD151C" w:rsidR="00760EE5">
        <w:rPr>
          <w:rFonts w:hint="cs"/>
          <w:rtl/>
        </w:rPr>
        <w:t>המחוזיות</w:t>
      </w:r>
      <w:r w:rsidRPr="007C7D40">
        <w:rPr>
          <w:rFonts w:hint="cs"/>
          <w:rtl/>
        </w:rPr>
        <w:t>.</w:t>
      </w:r>
    </w:p>
    <w:p w:rsidR="00EB672B" w:rsidRPr="007C7D40" w:rsidP="00EB672B" w14:paraId="078A06EB" w14:textId="4BF196FA">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151C" w:rsidR="00760EE5">
        <w:rPr>
          <w:rtl/>
        </w:rPr>
        <w:t xml:space="preserve">מומלץ כי אגף השיקום יבחן כיצד ניתן </w:t>
      </w:r>
      <w:r w:rsidRPr="00CD151C" w:rsidR="00760EE5">
        <w:rPr>
          <w:rtl/>
        </w:rPr>
        <w:t>להנגיש</w:t>
      </w:r>
      <w:r w:rsidRPr="00CD151C" w:rsidR="00760EE5">
        <w:rPr>
          <w:rtl/>
        </w:rPr>
        <w:t xml:space="preserve"> באופן מלא </w:t>
      </w:r>
      <w:r w:rsidRPr="00CD151C" w:rsidR="00760EE5">
        <w:rPr>
          <w:rFonts w:hint="cs"/>
          <w:rtl/>
        </w:rPr>
        <w:t>ובכמה</w:t>
      </w:r>
      <w:r w:rsidRPr="00CD151C" w:rsidR="00760EE5">
        <w:rPr>
          <w:rtl/>
        </w:rPr>
        <w:t xml:space="preserve"> ערוצי תקשורת את המידע בנוגע לזכאות לטיפולים נפשיים </w:t>
      </w:r>
      <w:r w:rsidRPr="00CD151C" w:rsidR="00760EE5">
        <w:rPr>
          <w:rFonts w:hint="cs"/>
          <w:rtl/>
        </w:rPr>
        <w:t xml:space="preserve">כבר </w:t>
      </w:r>
      <w:r w:rsidRPr="00CD151C" w:rsidR="00760EE5">
        <w:rPr>
          <w:rtl/>
        </w:rPr>
        <w:t>בשלב ההכרה</w:t>
      </w:r>
      <w:r w:rsidRPr="00CD151C" w:rsidR="00760EE5">
        <w:rPr>
          <w:rFonts w:hint="cs"/>
          <w:rtl/>
        </w:rPr>
        <w:t>,</w:t>
      </w:r>
      <w:r w:rsidRPr="00CD151C" w:rsidR="00760EE5">
        <w:rPr>
          <w:rtl/>
        </w:rPr>
        <w:t xml:space="preserve"> </w:t>
      </w:r>
      <w:r w:rsidRPr="00CD151C" w:rsidR="00760EE5">
        <w:rPr>
          <w:rFonts w:hint="cs"/>
          <w:rtl/>
        </w:rPr>
        <w:t>את ה</w:t>
      </w:r>
      <w:r w:rsidRPr="00CD151C" w:rsidR="00760EE5">
        <w:rPr>
          <w:rtl/>
        </w:rPr>
        <w:t xml:space="preserve">מידע </w:t>
      </w:r>
      <w:r w:rsidRPr="00CD151C" w:rsidR="00760EE5">
        <w:rPr>
          <w:rFonts w:hint="cs"/>
          <w:rtl/>
        </w:rPr>
        <w:t>בנוגע ל</w:t>
      </w:r>
      <w:r w:rsidRPr="00CD151C" w:rsidR="00760EE5">
        <w:rPr>
          <w:rtl/>
        </w:rPr>
        <w:t xml:space="preserve">סלי ההטבות לנכים בעלי פגיעת ראש או פגיעה נפשית או </w:t>
      </w:r>
      <w:r w:rsidRPr="00CD151C" w:rsidR="00760EE5">
        <w:t>PTSD</w:t>
      </w:r>
      <w:r w:rsidRPr="00CD151C" w:rsidR="00760EE5">
        <w:rPr>
          <w:rtl/>
        </w:rPr>
        <w:t xml:space="preserve"> ועל אופן מימושם</w:t>
      </w:r>
      <w:r w:rsidRPr="00CD151C" w:rsidR="00760EE5">
        <w:rPr>
          <w:rFonts w:hint="cs"/>
          <w:rtl/>
        </w:rPr>
        <w:t>,</w:t>
      </w:r>
      <w:r w:rsidRPr="00CD151C" w:rsidR="00760EE5">
        <w:rPr>
          <w:rtl/>
        </w:rPr>
        <w:t xml:space="preserve"> וכן יבחן את הסיבות לכך שכמחצית מבעלי פגיעת ראש או פגיעה נפשית או </w:t>
      </w:r>
      <w:r w:rsidRPr="00CD151C" w:rsidR="00760EE5">
        <w:t>PTSD</w:t>
      </w:r>
      <w:r w:rsidRPr="00CD151C" w:rsidR="00760EE5">
        <w:rPr>
          <w:rtl/>
        </w:rPr>
        <w:t xml:space="preserve"> לא קיבלו מידע מאגף השיקום בנוגע לזכויותיהם לקבלת טיפול רפואי</w:t>
      </w:r>
      <w:r w:rsidRPr="00CD151C" w:rsidR="00760EE5">
        <w:rPr>
          <w:rFonts w:hint="cs"/>
          <w:rtl/>
        </w:rPr>
        <w:t>,</w:t>
      </w:r>
      <w:r w:rsidRPr="00CD151C" w:rsidR="00760EE5">
        <w:rPr>
          <w:rtl/>
        </w:rPr>
        <w:t xml:space="preserve"> לרבות טיפול נפשי </w:t>
      </w:r>
      <w:r w:rsidRPr="00CD151C" w:rsidR="00760EE5">
        <w:rPr>
          <w:rFonts w:hint="cs"/>
          <w:rtl/>
        </w:rPr>
        <w:t xml:space="preserve">כבר </w:t>
      </w:r>
      <w:r w:rsidRPr="00CD151C" w:rsidR="00760EE5">
        <w:rPr>
          <w:rtl/>
        </w:rPr>
        <w:t xml:space="preserve">בשלב ההכרה. זאת </w:t>
      </w:r>
      <w:r w:rsidRPr="00CD151C" w:rsidR="00760EE5">
        <w:rPr>
          <w:rFonts w:hint="cs"/>
          <w:rtl/>
        </w:rPr>
        <w:t>כדי</w:t>
      </w:r>
      <w:r w:rsidRPr="00CD151C" w:rsidR="00760EE5">
        <w:rPr>
          <w:rtl/>
        </w:rPr>
        <w:t xml:space="preserve"> להגדיל את המודעות וכפועל יוצא לתת מענה נפשי למבקשי הכרה, וב</w:t>
      </w:r>
      <w:r w:rsidRPr="00CD151C" w:rsidR="00760EE5">
        <w:rPr>
          <w:rFonts w:hint="cs"/>
          <w:rtl/>
        </w:rPr>
        <w:t>אורח זה</w:t>
      </w:r>
      <w:r w:rsidRPr="00CD151C" w:rsidR="00760EE5">
        <w:rPr>
          <w:rtl/>
        </w:rPr>
        <w:t xml:space="preserve"> להקל עליהם כבר בשלב הבקשה</w:t>
      </w:r>
      <w:r w:rsidRPr="007C7D40">
        <w:rPr>
          <w:rFonts w:hint="cs"/>
          <w:rtl/>
        </w:rPr>
        <w:t>.</w:t>
      </w:r>
    </w:p>
    <w:p w:rsidR="00EB672B" w:rsidRPr="007C7D40" w:rsidP="00EB672B" w14:paraId="5538133A" w14:textId="6B94DD57">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D151C" w:rsidR="00760EE5">
        <w:rPr>
          <w:rtl/>
        </w:rPr>
        <w:t xml:space="preserve">מומלץ כי </w:t>
      </w:r>
      <w:r w:rsidRPr="00CD151C" w:rsidR="00760EE5">
        <w:rPr>
          <w:rtl/>
        </w:rPr>
        <w:t>משהב"ט</w:t>
      </w:r>
      <w:r w:rsidRPr="00CD151C" w:rsidR="00760EE5">
        <w:rPr>
          <w:rtl/>
        </w:rPr>
        <w:t xml:space="preserve"> </w:t>
      </w:r>
      <w:r w:rsidRPr="00CD151C" w:rsidR="00760EE5">
        <w:rPr>
          <w:rFonts w:hint="cs"/>
          <w:rtl/>
        </w:rPr>
        <w:t>וארגון נכי צה"ל</w:t>
      </w:r>
      <w:r w:rsidRPr="00CD151C" w:rsidR="00760EE5">
        <w:rPr>
          <w:rtl/>
        </w:rPr>
        <w:t xml:space="preserve"> יכריעו בנושאים </w:t>
      </w:r>
      <w:r w:rsidRPr="00CD151C" w:rsidR="00760EE5">
        <w:rPr>
          <w:rFonts w:hint="cs"/>
          <w:rtl/>
        </w:rPr>
        <w:t>ש</w:t>
      </w:r>
      <w:r w:rsidRPr="00CD151C" w:rsidR="00760EE5">
        <w:rPr>
          <w:rtl/>
        </w:rPr>
        <w:t>בהם קיימות עדיין מחלוקות ביניהם</w:t>
      </w:r>
      <w:r w:rsidRPr="00CD151C" w:rsidR="00760EE5">
        <w:rPr>
          <w:rFonts w:hint="cs"/>
          <w:rtl/>
        </w:rPr>
        <w:t>,</w:t>
      </w:r>
      <w:r w:rsidRPr="00CD151C" w:rsidR="00760EE5">
        <w:rPr>
          <w:rtl/>
        </w:rPr>
        <w:t xml:space="preserve"> כדי להגיע להסכמות ולהוציא את עיגון ההטבות בחקיקה באופן מלא מן הכוח אל הפועל</w:t>
      </w:r>
      <w:r w:rsidRPr="00CD151C" w:rsidR="00760EE5">
        <w:rPr>
          <w:rFonts w:hint="cs"/>
          <w:rtl/>
        </w:rPr>
        <w:t>,</w:t>
      </w:r>
      <w:r w:rsidRPr="00CD151C" w:rsidR="00760EE5">
        <w:rPr>
          <w:rtl/>
        </w:rPr>
        <w:t xml:space="preserve"> זאת בהתאם להחלטת הממשלה ממאי 2021. להשלמת עיגון ההטבות בחקיקה חשיבות רבה בכלל ובעת הזו בפרט, נוכח הגידול באוכלוסיית נכי צה"ל וכוחות הביטחון בעקבות מלחמת "חרבות ברזל"</w:t>
      </w:r>
      <w:r w:rsidRPr="007C7D40">
        <w:rPr>
          <w:rFonts w:hint="cs"/>
          <w:rtl/>
        </w:rPr>
        <w:t>.</w:t>
      </w:r>
    </w:p>
    <w:p w:rsidR="00EB672B" w:rsidP="00EB672B" w14:paraId="63467834" w14:textId="6339CE1F">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CD151C" w:rsidR="00760EE5">
        <w:rPr>
          <w:rFonts w:hint="eastAsia"/>
          <w:rtl/>
        </w:rPr>
        <w:t>מומלץ</w:t>
      </w:r>
      <w:r w:rsidRPr="00CD151C" w:rsidR="00760EE5">
        <w:rPr>
          <w:rtl/>
        </w:rPr>
        <w:t xml:space="preserve"> כי </w:t>
      </w:r>
      <w:r w:rsidRPr="00CD151C" w:rsidR="00760EE5">
        <w:rPr>
          <w:rFonts w:hint="eastAsia"/>
          <w:rtl/>
        </w:rPr>
        <w:t>משהב</w:t>
      </w:r>
      <w:r w:rsidRPr="00CD151C" w:rsidR="00760EE5">
        <w:rPr>
          <w:rtl/>
        </w:rPr>
        <w:t>"ט</w:t>
      </w:r>
      <w:r w:rsidRPr="00CD151C" w:rsidR="00760EE5">
        <w:rPr>
          <w:rtl/>
        </w:rPr>
        <w:t xml:space="preserve"> </w:t>
      </w:r>
      <w:r w:rsidRPr="00CD151C" w:rsidR="00760EE5">
        <w:rPr>
          <w:rFonts w:hint="cs"/>
          <w:rtl/>
        </w:rPr>
        <w:t>יחליט</w:t>
      </w:r>
      <w:r w:rsidRPr="00CD151C" w:rsidR="00760EE5">
        <w:rPr>
          <w:rtl/>
        </w:rPr>
        <w:t xml:space="preserve"> בנוגע לצורך במערכת </w:t>
      </w:r>
      <w:r w:rsidRPr="00CD151C" w:rsidR="00760EE5">
        <w:rPr>
          <w:rFonts w:hint="eastAsia"/>
          <w:rtl/>
        </w:rPr>
        <w:t>תקשובית</w:t>
      </w:r>
      <w:r w:rsidRPr="00CD151C" w:rsidR="00760EE5">
        <w:rPr>
          <w:rtl/>
        </w:rPr>
        <w:t xml:space="preserve"> חדשה לאגף ובמ</w:t>
      </w:r>
      <w:r w:rsidRPr="00CD151C" w:rsidR="00760EE5">
        <w:rPr>
          <w:rFonts w:hint="eastAsia"/>
          <w:rtl/>
        </w:rPr>
        <w:t>קביל</w:t>
      </w:r>
      <w:r w:rsidRPr="00CD151C" w:rsidR="00760EE5">
        <w:rPr>
          <w:rtl/>
        </w:rPr>
        <w:t xml:space="preserve"> ימשיך לשמר ולשפר את המערכת הקיימת כדי </w:t>
      </w:r>
      <w:r w:rsidRPr="00CD151C" w:rsidR="00760EE5">
        <w:rPr>
          <w:rFonts w:hint="eastAsia"/>
          <w:rtl/>
        </w:rPr>
        <w:t>להעניק</w:t>
      </w:r>
      <w:r w:rsidRPr="00CD151C" w:rsidR="00760EE5">
        <w:rPr>
          <w:rtl/>
        </w:rPr>
        <w:t xml:space="preserve"> לנכי צה"ל </w:t>
      </w:r>
      <w:r w:rsidRPr="00CD151C" w:rsidR="00760EE5">
        <w:rPr>
          <w:rFonts w:hint="eastAsia"/>
          <w:rtl/>
        </w:rPr>
        <w:t>שירות</w:t>
      </w:r>
      <w:r w:rsidRPr="00CD151C" w:rsidR="00760EE5">
        <w:rPr>
          <w:rtl/>
        </w:rPr>
        <w:t xml:space="preserve"> </w:t>
      </w:r>
      <w:r w:rsidRPr="00CD151C" w:rsidR="00760EE5">
        <w:rPr>
          <w:rFonts w:hint="eastAsia"/>
          <w:rtl/>
        </w:rPr>
        <w:t>איכותי</w:t>
      </w:r>
      <w:r w:rsidRPr="00CD151C" w:rsidR="00760EE5">
        <w:rPr>
          <w:rtl/>
        </w:rPr>
        <w:t xml:space="preserve"> </w:t>
      </w:r>
      <w:r w:rsidRPr="00CD151C" w:rsidR="00760EE5">
        <w:rPr>
          <w:rFonts w:hint="eastAsia"/>
          <w:rtl/>
        </w:rPr>
        <w:t>ומהיר</w:t>
      </w:r>
      <w:r w:rsidRPr="00CD151C" w:rsidR="00760EE5">
        <w:rPr>
          <w:rtl/>
        </w:rPr>
        <w:t xml:space="preserve"> </w:t>
      </w:r>
      <w:r w:rsidRPr="00CD151C" w:rsidR="00760EE5">
        <w:rPr>
          <w:rFonts w:hint="eastAsia"/>
          <w:rtl/>
        </w:rPr>
        <w:t>יותר</w:t>
      </w:r>
      <w:r w:rsidRPr="00CD151C" w:rsidR="00760EE5">
        <w:rPr>
          <w:rFonts w:hint="cs"/>
          <w:rtl/>
        </w:rPr>
        <w:t>,</w:t>
      </w:r>
      <w:r w:rsidRPr="00CD151C" w:rsidR="00760EE5">
        <w:rPr>
          <w:rtl/>
        </w:rPr>
        <w:t xml:space="preserve"> בין היתר באמצעות מעבר לשירות דיגיטלי</w:t>
      </w:r>
      <w:r w:rsidRPr="00CD151C" w:rsidR="00760EE5">
        <w:rPr>
          <w:rFonts w:hint="cs"/>
          <w:rtl/>
        </w:rPr>
        <w:t>,</w:t>
      </w:r>
      <w:r w:rsidRPr="00CD151C" w:rsidR="00760EE5">
        <w:rPr>
          <w:rtl/>
        </w:rPr>
        <w:t xml:space="preserve"> </w:t>
      </w:r>
      <w:r w:rsidRPr="00CD151C" w:rsidR="00760EE5">
        <w:rPr>
          <w:rFonts w:hint="eastAsia"/>
          <w:rtl/>
        </w:rPr>
        <w:t>ובכך</w:t>
      </w:r>
      <w:r w:rsidRPr="00CD151C" w:rsidR="00760EE5">
        <w:rPr>
          <w:rtl/>
        </w:rPr>
        <w:t xml:space="preserve"> </w:t>
      </w:r>
      <w:r w:rsidRPr="00CD151C" w:rsidR="00760EE5">
        <w:rPr>
          <w:rFonts w:hint="eastAsia"/>
          <w:rtl/>
        </w:rPr>
        <w:t>להקל</w:t>
      </w:r>
      <w:r w:rsidRPr="00CD151C" w:rsidR="00760EE5">
        <w:rPr>
          <w:rtl/>
        </w:rPr>
        <w:t xml:space="preserve"> על </w:t>
      </w:r>
      <w:r w:rsidRPr="00CD151C" w:rsidR="00760EE5">
        <w:rPr>
          <w:rFonts w:hint="eastAsia"/>
          <w:rtl/>
        </w:rPr>
        <w:t>נכי</w:t>
      </w:r>
      <w:r w:rsidRPr="00CD151C" w:rsidR="00760EE5">
        <w:rPr>
          <w:rtl/>
        </w:rPr>
        <w:t xml:space="preserve"> </w:t>
      </w:r>
      <w:r w:rsidRPr="00CD151C" w:rsidR="00760EE5">
        <w:rPr>
          <w:rFonts w:hint="eastAsia"/>
          <w:rtl/>
        </w:rPr>
        <w:t>צה</w:t>
      </w:r>
      <w:r w:rsidRPr="00CD151C" w:rsidR="00760EE5">
        <w:rPr>
          <w:rtl/>
        </w:rPr>
        <w:t>"ל במימוש זכויותי</w:t>
      </w:r>
      <w:r w:rsidRPr="00CD151C" w:rsidR="00760EE5">
        <w:rPr>
          <w:rFonts w:hint="eastAsia"/>
          <w:rtl/>
        </w:rPr>
        <w:t>הם</w:t>
      </w:r>
      <w:r w:rsidRPr="00CD151C" w:rsidR="00760EE5">
        <w:rPr>
          <w:rtl/>
        </w:rPr>
        <w:t xml:space="preserve"> ועל </w:t>
      </w:r>
      <w:r w:rsidRPr="00CD151C" w:rsidR="00760EE5">
        <w:rPr>
          <w:rFonts w:hint="eastAsia"/>
          <w:rtl/>
        </w:rPr>
        <w:t>עובדי</w:t>
      </w:r>
      <w:r w:rsidRPr="00CD151C" w:rsidR="00760EE5">
        <w:rPr>
          <w:rtl/>
        </w:rPr>
        <w:t xml:space="preserve"> </w:t>
      </w:r>
      <w:r w:rsidRPr="00CD151C" w:rsidR="00760EE5">
        <w:rPr>
          <w:rFonts w:hint="eastAsia"/>
          <w:rtl/>
        </w:rPr>
        <w:t>האגף</w:t>
      </w:r>
      <w:r w:rsidRPr="00CD151C" w:rsidR="00760EE5">
        <w:rPr>
          <w:rtl/>
        </w:rPr>
        <w:t xml:space="preserve"> בטיפול ב</w:t>
      </w:r>
      <w:r w:rsidRPr="00CD151C" w:rsidR="00760EE5">
        <w:rPr>
          <w:rFonts w:hint="eastAsia"/>
          <w:rtl/>
        </w:rPr>
        <w:t>הם</w:t>
      </w:r>
      <w:r w:rsidRPr="00CD151C" w:rsidR="00760EE5">
        <w:rPr>
          <w:rtl/>
        </w:rPr>
        <w:t>.</w:t>
      </w:r>
      <w:r w:rsidRPr="00CD151C" w:rsidR="00760EE5">
        <w:rPr>
          <w:rFonts w:hint="cs"/>
          <w:rtl/>
        </w:rPr>
        <w:t xml:space="preserve"> כן מומלץ שישלים</w:t>
      </w:r>
      <w:r w:rsidRPr="00CD151C" w:rsidR="00760EE5">
        <w:rPr>
          <w:rtl/>
        </w:rPr>
        <w:t xml:space="preserve"> את הפעולות הנדרשות להפעלת הממשקים </w:t>
      </w:r>
      <w:r w:rsidRPr="00CD151C" w:rsidR="00760EE5">
        <w:rPr>
          <w:rtl/>
        </w:rPr>
        <w:t xml:space="preserve">עם הגורמים החיצוניים </w:t>
      </w:r>
      <w:r w:rsidRPr="00CD151C" w:rsidR="00760EE5">
        <w:rPr>
          <w:rFonts w:hint="cs"/>
          <w:rtl/>
        </w:rPr>
        <w:t>כדי</w:t>
      </w:r>
      <w:r w:rsidRPr="00CD151C" w:rsidR="00760EE5">
        <w:rPr>
          <w:rtl/>
        </w:rPr>
        <w:t xml:space="preserve"> לתת הטבות או תשלומים לנכי צה"ל ב</w:t>
      </w:r>
      <w:r w:rsidRPr="00CD151C" w:rsidR="00760EE5">
        <w:rPr>
          <w:rFonts w:hint="cs"/>
          <w:rtl/>
        </w:rPr>
        <w:t>"</w:t>
      </w:r>
      <w:r w:rsidRPr="00CD151C" w:rsidR="00760EE5">
        <w:rPr>
          <w:rtl/>
        </w:rPr>
        <w:t>דחיפה"</w:t>
      </w:r>
      <w:r w:rsidRPr="00CD151C" w:rsidR="00760EE5">
        <w:rPr>
          <w:rFonts w:hint="cs"/>
          <w:rtl/>
        </w:rPr>
        <w:t>,</w:t>
      </w:r>
      <w:r w:rsidRPr="00CD151C" w:rsidR="00760EE5">
        <w:rPr>
          <w:rtl/>
        </w:rPr>
        <w:t xml:space="preserve"> בלי לבקש אישורים או מידע מנכי צה"ל</w:t>
      </w:r>
      <w:r w:rsidRPr="008E57FE">
        <w:rPr>
          <w:rFonts w:hint="cs"/>
          <w:rtl/>
        </w:rPr>
        <w:t>.</w:t>
      </w:r>
    </w:p>
    <w:p w:rsidR="00760EE5" w:rsidP="00EB672B" w14:paraId="4EB5BA1F" w14:textId="77777777">
      <w:pPr>
        <w:pStyle w:val="7317"/>
        <w:rPr>
          <w:rtl/>
        </w:rPr>
      </w:pPr>
    </w:p>
    <w:p w:rsidR="00760EE5" w:rsidP="00EB672B" w14:paraId="460D66B4" w14:textId="77777777">
      <w:pPr>
        <w:pStyle w:val="7317"/>
        <w:rPr>
          <w:rtl/>
        </w:rPr>
      </w:pP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0C855581">
                            <w:pPr>
                              <w:pStyle w:val="7332"/>
                              <w:rPr>
                                <w:rtl/>
                              </w:rPr>
                            </w:pPr>
                            <w:r w:rsidRPr="00760EE5">
                              <w:rPr>
                                <w:rtl/>
                              </w:rPr>
                              <w:t>שביעות הרצון מהיחס ומהשירות של אגף השיקום בקרב כלל המשיבים ובחלוק</w:t>
                            </w:r>
                            <w:r w:rsidR="00045A4A">
                              <w:rPr>
                                <w:rFonts w:hint="cs"/>
                                <w:rtl/>
                              </w:rPr>
                              <w:t>תם</w:t>
                            </w:r>
                            <w:r w:rsidRPr="00760EE5">
                              <w:rPr>
                                <w:rtl/>
                              </w:rPr>
                              <w:t xml:space="preserve"> למחוזות</w:t>
                            </w:r>
                            <w:r w:rsidR="003C3DF6">
                              <w:rPr>
                                <w:rFonts w:hint="cs"/>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0C855581">
                      <w:pPr>
                        <w:pStyle w:val="7332"/>
                        <w:rPr>
                          <w:rtl/>
                        </w:rPr>
                      </w:pPr>
                      <w:r w:rsidRPr="00760EE5">
                        <w:rPr>
                          <w:rtl/>
                        </w:rPr>
                        <w:t>שביעות הרצון מהיחס ומהשירות של אגף השיקום בקרב כלל המשיבים ובחלוק</w:t>
                      </w:r>
                      <w:r w:rsidR="00045A4A">
                        <w:rPr>
                          <w:rFonts w:hint="cs"/>
                          <w:rtl/>
                        </w:rPr>
                        <w:t>תם</w:t>
                      </w:r>
                      <w:r w:rsidRPr="00760EE5">
                        <w:rPr>
                          <w:rtl/>
                        </w:rPr>
                        <w:t xml:space="preserve"> למחוזות</w:t>
                      </w:r>
                      <w:r w:rsidR="003C3DF6">
                        <w:rPr>
                          <w:rFonts w:hint="cs"/>
                          <w:rtl/>
                        </w:rPr>
                        <w:t xml:space="preserve"> </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571464" cy="2802322"/>
            <wp:effectExtent l="0" t="0" r="635"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571464" cy="2802322"/>
                    </a:xfrm>
                    <a:prstGeom prst="rect">
                      <a:avLst/>
                    </a:prstGeom>
                  </pic:spPr>
                </pic:pic>
              </a:graphicData>
            </a:graphic>
          </wp:inline>
        </w:drawing>
      </w:r>
    </w:p>
    <w:p w:rsidR="00362505" w:rsidRPr="00760EE5" w:rsidP="00760EE5" w14:paraId="0DA8F7B9" w14:textId="66827E11">
      <w:pPr>
        <w:pStyle w:val="7300"/>
        <w:rPr>
          <w:rtl/>
        </w:rPr>
      </w:pPr>
      <w:r w:rsidRPr="00760EE5">
        <w:rPr>
          <w:rFonts w:hint="cs"/>
          <w:rtl/>
        </w:rPr>
        <w:t>על פי התשובות לשאלון שהפיץ משרד מבקר המדינה, בעיבוד משרד מבקר המדינה</w:t>
      </w:r>
      <w:r w:rsidRPr="00760EE5"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760EE5" w:rsidRPr="00CD151C" w:rsidP="00760EE5" w14:paraId="38A52DE4" w14:textId="77777777">
      <w:pPr>
        <w:widowControl w:val="0"/>
        <w:tabs>
          <w:tab w:val="left" w:pos="9604"/>
        </w:tabs>
        <w:spacing w:before="240" w:line="276" w:lineRule="auto"/>
        <w:ind w:left="-1"/>
        <w:rPr>
          <w:rFonts w:ascii="Tahoma" w:hAnsi="Tahoma" w:cs="Tahoma"/>
          <w:sz w:val="18"/>
          <w:szCs w:val="18"/>
          <w:rtl/>
        </w:rPr>
      </w:pPr>
      <w:r w:rsidRPr="00CD151C">
        <w:rPr>
          <w:rFonts w:ascii="Tahoma" w:hAnsi="Tahoma" w:cs="Tahoma"/>
          <w:sz w:val="18"/>
          <w:szCs w:val="18"/>
          <w:rtl/>
        </w:rPr>
        <w:t xml:space="preserve">באפריל 2021 איציק </w:t>
      </w:r>
      <w:r w:rsidRPr="00CD151C">
        <w:rPr>
          <w:rFonts w:ascii="Tahoma" w:hAnsi="Tahoma" w:cs="Tahoma"/>
          <w:sz w:val="18"/>
          <w:szCs w:val="18"/>
          <w:rtl/>
        </w:rPr>
        <w:t>סעידיאן</w:t>
      </w:r>
      <w:r w:rsidRPr="00CD151C">
        <w:rPr>
          <w:rFonts w:ascii="Tahoma" w:hAnsi="Tahoma" w:cs="Tahoma"/>
          <w:sz w:val="18"/>
          <w:szCs w:val="18"/>
          <w:rtl/>
        </w:rPr>
        <w:t>, נכה צה"ל</w:t>
      </w:r>
      <w:r w:rsidRPr="00CD151C">
        <w:rPr>
          <w:rFonts w:ascii="Tahoma" w:hAnsi="Tahoma" w:cs="Tahoma" w:hint="cs"/>
          <w:sz w:val="18"/>
          <w:szCs w:val="18"/>
          <w:rtl/>
        </w:rPr>
        <w:t>,</w:t>
      </w:r>
      <w:r w:rsidRPr="00CD151C">
        <w:rPr>
          <w:rFonts w:ascii="Tahoma" w:hAnsi="Tahoma" w:cs="Tahoma"/>
          <w:sz w:val="18"/>
          <w:szCs w:val="18"/>
          <w:rtl/>
        </w:rPr>
        <w:t xml:space="preserve"> הצית את עצמו מול מטה אגף השיקום. </w:t>
      </w:r>
      <w:r w:rsidRPr="00CD151C">
        <w:rPr>
          <w:rFonts w:ascii="Tahoma" w:hAnsi="Tahoma" w:cs="Tahoma" w:hint="eastAsia"/>
          <w:sz w:val="18"/>
          <w:szCs w:val="18"/>
          <w:rtl/>
        </w:rPr>
        <w:t>בעקבות</w:t>
      </w:r>
      <w:r w:rsidRPr="00CD151C">
        <w:rPr>
          <w:rFonts w:ascii="Tahoma" w:hAnsi="Tahoma" w:cs="Tahoma"/>
          <w:sz w:val="18"/>
          <w:szCs w:val="18"/>
          <w:rtl/>
        </w:rPr>
        <w:t xml:space="preserve"> </w:t>
      </w:r>
      <w:r w:rsidRPr="00CD151C">
        <w:rPr>
          <w:rFonts w:ascii="Tahoma" w:hAnsi="Tahoma" w:cs="Tahoma" w:hint="eastAsia"/>
          <w:sz w:val="18"/>
          <w:szCs w:val="18"/>
          <w:rtl/>
        </w:rPr>
        <w:t>האירוע</w:t>
      </w:r>
      <w:r w:rsidRPr="00CD151C">
        <w:rPr>
          <w:rFonts w:ascii="Tahoma" w:hAnsi="Tahoma" w:cs="Tahoma"/>
          <w:sz w:val="18"/>
          <w:szCs w:val="18"/>
          <w:rtl/>
        </w:rPr>
        <w:t xml:space="preserve"> </w:t>
      </w:r>
      <w:r w:rsidRPr="00CD151C">
        <w:rPr>
          <w:rFonts w:ascii="Tahoma" w:hAnsi="Tahoma" w:cs="Tahoma" w:hint="eastAsia"/>
          <w:sz w:val="18"/>
          <w:szCs w:val="18"/>
          <w:rtl/>
        </w:rPr>
        <w:t>החליטה</w:t>
      </w:r>
      <w:r w:rsidRPr="00CD151C">
        <w:rPr>
          <w:rFonts w:ascii="Tahoma" w:hAnsi="Tahoma" w:cs="Tahoma"/>
          <w:sz w:val="18"/>
          <w:szCs w:val="18"/>
          <w:rtl/>
        </w:rPr>
        <w:t xml:space="preserve"> הממשלה במאי 2021 על רפורמת "נפש אחת" - צעד </w:t>
      </w:r>
      <w:r w:rsidRPr="00CD151C">
        <w:rPr>
          <w:rFonts w:ascii="Tahoma" w:hAnsi="Tahoma" w:cs="Tahoma" w:hint="eastAsia"/>
          <w:sz w:val="18"/>
          <w:szCs w:val="18"/>
          <w:rtl/>
        </w:rPr>
        <w:t>ש</w:t>
      </w:r>
      <w:r w:rsidRPr="00CD151C">
        <w:rPr>
          <w:rFonts w:ascii="Tahoma" w:hAnsi="Tahoma" w:cs="Tahoma"/>
          <w:sz w:val="18"/>
          <w:szCs w:val="18"/>
          <w:rtl/>
        </w:rPr>
        <w:t>מטרת</w:t>
      </w:r>
      <w:r w:rsidRPr="00CD151C">
        <w:rPr>
          <w:rFonts w:ascii="Tahoma" w:hAnsi="Tahoma" w:cs="Tahoma" w:hint="eastAsia"/>
          <w:sz w:val="18"/>
          <w:szCs w:val="18"/>
          <w:rtl/>
        </w:rPr>
        <w:t>ו</w:t>
      </w:r>
      <w:r w:rsidRPr="00CD151C">
        <w:rPr>
          <w:rFonts w:ascii="Tahoma" w:hAnsi="Tahoma" w:cs="Tahoma"/>
          <w:sz w:val="18"/>
          <w:szCs w:val="18"/>
          <w:rtl/>
        </w:rPr>
        <w:t xml:space="preserve"> להביא לשיפור משמעותי של הטיפול והשיקום הניתנים לנכי צה"ל ומערכת הביטחון</w:t>
      </w:r>
      <w:r w:rsidRPr="00CD151C">
        <w:rPr>
          <w:rFonts w:ascii="Tahoma" w:hAnsi="Tahoma" w:cs="Tahoma" w:hint="cs"/>
          <w:sz w:val="18"/>
          <w:szCs w:val="18"/>
          <w:rtl/>
        </w:rPr>
        <w:t>,</w:t>
      </w:r>
      <w:r w:rsidRPr="00CD151C">
        <w:rPr>
          <w:rFonts w:ascii="Tahoma" w:hAnsi="Tahoma" w:cs="Tahoma"/>
          <w:sz w:val="18"/>
          <w:szCs w:val="18"/>
          <w:rtl/>
        </w:rPr>
        <w:t xml:space="preserve"> בדגש על </w:t>
      </w:r>
      <w:r w:rsidRPr="00CD151C">
        <w:rPr>
          <w:rFonts w:ascii="Tahoma" w:hAnsi="Tahoma" w:cs="Tahoma" w:hint="eastAsia"/>
          <w:sz w:val="18"/>
          <w:szCs w:val="18"/>
          <w:rtl/>
        </w:rPr>
        <w:t>מענה</w:t>
      </w:r>
      <w:r w:rsidRPr="00CD151C">
        <w:rPr>
          <w:rFonts w:ascii="Tahoma" w:hAnsi="Tahoma" w:cs="Tahoma"/>
          <w:sz w:val="18"/>
          <w:szCs w:val="18"/>
          <w:rtl/>
        </w:rPr>
        <w:t xml:space="preserve"> </w:t>
      </w:r>
      <w:r w:rsidRPr="00CD151C">
        <w:rPr>
          <w:rFonts w:ascii="Tahoma" w:hAnsi="Tahoma" w:cs="Tahoma" w:hint="eastAsia"/>
          <w:sz w:val="18"/>
          <w:szCs w:val="18"/>
          <w:rtl/>
        </w:rPr>
        <w:t>מי</w:t>
      </w:r>
      <w:r w:rsidRPr="00CD151C">
        <w:rPr>
          <w:rFonts w:ascii="Tahoma" w:hAnsi="Tahoma" w:cs="Tahoma" w:hint="cs"/>
          <w:sz w:val="18"/>
          <w:szCs w:val="18"/>
          <w:rtl/>
        </w:rPr>
        <w:t>י</w:t>
      </w:r>
      <w:r w:rsidRPr="00CD151C">
        <w:rPr>
          <w:rFonts w:ascii="Tahoma" w:hAnsi="Tahoma" w:cs="Tahoma" w:hint="eastAsia"/>
          <w:sz w:val="18"/>
          <w:szCs w:val="18"/>
          <w:rtl/>
        </w:rPr>
        <w:t>די</w:t>
      </w:r>
      <w:r w:rsidRPr="00CD151C">
        <w:rPr>
          <w:rFonts w:ascii="Tahoma" w:hAnsi="Tahoma" w:cs="Tahoma"/>
          <w:sz w:val="18"/>
          <w:szCs w:val="18"/>
          <w:rtl/>
        </w:rPr>
        <w:t xml:space="preserve"> </w:t>
      </w:r>
      <w:r w:rsidRPr="00CD151C">
        <w:rPr>
          <w:rFonts w:ascii="Tahoma" w:hAnsi="Tahoma" w:cs="Tahoma" w:hint="eastAsia"/>
          <w:sz w:val="18"/>
          <w:szCs w:val="18"/>
          <w:rtl/>
        </w:rPr>
        <w:t>ל</w:t>
      </w:r>
      <w:r w:rsidRPr="00CD151C">
        <w:rPr>
          <w:rFonts w:ascii="Tahoma" w:hAnsi="Tahoma" w:cs="Tahoma"/>
          <w:sz w:val="18"/>
          <w:szCs w:val="18"/>
          <w:rtl/>
        </w:rPr>
        <w:t>נפגעי פוסט-טראומה ו</w:t>
      </w:r>
      <w:r w:rsidRPr="00CD151C">
        <w:rPr>
          <w:rFonts w:ascii="Tahoma" w:hAnsi="Tahoma" w:cs="Tahoma" w:hint="cs"/>
          <w:sz w:val="18"/>
          <w:szCs w:val="18"/>
          <w:rtl/>
        </w:rPr>
        <w:t>ל</w:t>
      </w:r>
      <w:r w:rsidRPr="00CD151C">
        <w:rPr>
          <w:rFonts w:ascii="Tahoma" w:hAnsi="Tahoma" w:cs="Tahoma"/>
          <w:sz w:val="18"/>
          <w:szCs w:val="18"/>
          <w:rtl/>
        </w:rPr>
        <w:t>בני משפחותיהם. ב</w:t>
      </w:r>
      <w:r w:rsidRPr="00CD151C">
        <w:rPr>
          <w:rFonts w:ascii="Tahoma" w:hAnsi="Tahoma" w:cs="Tahoma" w:hint="cs"/>
          <w:sz w:val="18"/>
          <w:szCs w:val="18"/>
          <w:rtl/>
        </w:rPr>
        <w:t>אורח זה</w:t>
      </w:r>
      <w:r w:rsidRPr="00CD151C">
        <w:rPr>
          <w:rFonts w:ascii="Tahoma" w:hAnsi="Tahoma" w:cs="Tahoma"/>
          <w:sz w:val="18"/>
          <w:szCs w:val="18"/>
          <w:rtl/>
        </w:rPr>
        <w:t xml:space="preserve"> תממש המדינה את מחויבותה המוסרית כלפי נכי צה"ל ו</w:t>
      </w:r>
      <w:r w:rsidRPr="00CD151C">
        <w:rPr>
          <w:rFonts w:ascii="Tahoma" w:hAnsi="Tahoma" w:cs="Tahoma" w:hint="cs"/>
          <w:sz w:val="18"/>
          <w:szCs w:val="18"/>
          <w:rtl/>
        </w:rPr>
        <w:t>כוחו</w:t>
      </w:r>
      <w:r w:rsidRPr="00CD151C">
        <w:rPr>
          <w:rFonts w:ascii="Tahoma" w:hAnsi="Tahoma" w:cs="Tahoma"/>
          <w:sz w:val="18"/>
          <w:szCs w:val="18"/>
          <w:rtl/>
        </w:rPr>
        <w:t>ת הביטחון.</w:t>
      </w:r>
    </w:p>
    <w:p w:rsidR="00760EE5" w:rsidRPr="00CD151C" w:rsidP="00760EE5" w14:paraId="33DE67EF" w14:textId="77777777">
      <w:pPr>
        <w:widowControl w:val="0"/>
        <w:tabs>
          <w:tab w:val="left" w:pos="9604"/>
        </w:tabs>
        <w:spacing w:before="240" w:line="276" w:lineRule="auto"/>
        <w:ind w:left="-1"/>
        <w:rPr>
          <w:rFonts w:ascii="Tahoma" w:hAnsi="Tahoma" w:cs="Tahoma"/>
          <w:sz w:val="18"/>
          <w:szCs w:val="18"/>
          <w:rtl/>
        </w:rPr>
      </w:pPr>
      <w:r w:rsidRPr="00CD151C">
        <w:rPr>
          <w:rFonts w:ascii="Tahoma" w:hAnsi="Tahoma" w:cs="Tahoma"/>
          <w:sz w:val="18"/>
          <w:szCs w:val="18"/>
          <w:rtl/>
        </w:rPr>
        <w:t>מלחמת "חרבות ברזל" החלה ביום שבת, 7.10.23, עת החל ירי רקטי כבד מרצועת עזה לעבר ישראל. ב</w:t>
      </w:r>
      <w:r w:rsidRPr="00CD151C">
        <w:rPr>
          <w:rFonts w:ascii="Tahoma" w:hAnsi="Tahoma" w:cs="Tahoma" w:hint="cs"/>
          <w:sz w:val="18"/>
          <w:szCs w:val="18"/>
          <w:rtl/>
        </w:rPr>
        <w:t>ו-זמנית</w:t>
      </w:r>
      <w:r w:rsidRPr="00CD151C">
        <w:rPr>
          <w:rFonts w:ascii="Tahoma" w:hAnsi="Tahoma" w:cs="Tahoma"/>
          <w:sz w:val="18"/>
          <w:szCs w:val="18"/>
          <w:rtl/>
        </w:rPr>
        <w:t xml:space="preserve"> חדרו אלפי מחבלים מרצועת עזה לתוך שטח ישראל, רובם מארגון חמאס, לרבות ליישובי עוטף עזה, וביצעו מסע הרג של כ-1,200 אנשים, בהם אזרחים, חיילים ואנשי כוחות הביטחון וההצלה וכן חטפו </w:t>
      </w:r>
      <w:r w:rsidRPr="00CD151C">
        <w:rPr>
          <w:rFonts w:ascii="Tahoma" w:hAnsi="Tahoma" w:cs="Tahoma" w:hint="cs"/>
          <w:sz w:val="18"/>
          <w:szCs w:val="18"/>
          <w:rtl/>
        </w:rPr>
        <w:t>יותר</w:t>
      </w:r>
      <w:r w:rsidRPr="00CD151C">
        <w:rPr>
          <w:rFonts w:ascii="Tahoma" w:hAnsi="Tahoma" w:cs="Tahoma"/>
          <w:sz w:val="18"/>
          <w:szCs w:val="18"/>
          <w:rtl/>
        </w:rPr>
        <w:t xml:space="preserve"> מ-240 אנשים, בהם חיילים, אזרחים ישראלים וזרים. מאז החלה הלחימה נפגעו אלפי אזרחים, חיילים ואנשי כוחות הביטחון וההצלה. יצוין כי נכון לסוף נובמבר 2023 טיפל אגף השיקום בכ-2,150 בקשות להכרה בנכות בעקבות המלחמה ואף הכיר בהליך מקוצר בכ-2,000 בקשות. במועד השלמת כתיבת דוח ביקורת זה טרם הסתיימה המלחמה</w:t>
      </w:r>
      <w:r w:rsidRPr="00CD151C">
        <w:rPr>
          <w:rFonts w:ascii="Tahoma" w:hAnsi="Tahoma" w:cs="Tahoma" w:hint="cs"/>
          <w:sz w:val="18"/>
          <w:szCs w:val="18"/>
          <w:rtl/>
        </w:rPr>
        <w:t>,</w:t>
      </w:r>
      <w:r w:rsidRPr="00CD151C">
        <w:rPr>
          <w:rFonts w:ascii="Tahoma" w:hAnsi="Tahoma" w:cs="Tahoma"/>
          <w:sz w:val="18"/>
          <w:szCs w:val="18"/>
          <w:rtl/>
        </w:rPr>
        <w:t xml:space="preserve"> ו</w:t>
      </w:r>
      <w:r w:rsidRPr="00CD151C">
        <w:rPr>
          <w:rFonts w:ascii="Tahoma" w:hAnsi="Tahoma" w:cs="Tahoma" w:hint="cs"/>
          <w:sz w:val="18"/>
          <w:szCs w:val="18"/>
          <w:rtl/>
        </w:rPr>
        <w:t>לפי</w:t>
      </w:r>
      <w:r w:rsidRPr="00CD151C">
        <w:rPr>
          <w:rFonts w:ascii="Tahoma" w:hAnsi="Tahoma" w:cs="Tahoma"/>
          <w:sz w:val="18"/>
          <w:szCs w:val="18"/>
          <w:rtl/>
        </w:rPr>
        <w:t>כך טרם התברר המספר הסופי של הנפגעים.</w:t>
      </w:r>
    </w:p>
    <w:p w:rsidR="00760EE5" w:rsidRPr="00CD151C" w:rsidP="00760EE5" w14:paraId="76460913" w14:textId="722DE6CA">
      <w:pPr>
        <w:widowControl w:val="0"/>
        <w:tabs>
          <w:tab w:val="left" w:pos="9604"/>
        </w:tabs>
        <w:spacing w:before="240" w:line="276" w:lineRule="auto"/>
        <w:ind w:left="-1"/>
        <w:rPr>
          <w:rFonts w:ascii="Tahoma" w:hAnsi="Tahoma" w:cs="Tahoma"/>
          <w:sz w:val="18"/>
          <w:szCs w:val="18"/>
          <w:rtl/>
        </w:rPr>
      </w:pPr>
      <w:r w:rsidRPr="00CD151C">
        <w:rPr>
          <w:rFonts w:ascii="Tahoma" w:hAnsi="Tahoma" w:cs="Tahoma"/>
          <w:sz w:val="18"/>
          <w:szCs w:val="18"/>
          <w:rtl/>
        </w:rPr>
        <w:t>הליקויים והפערים המפורטים בדוח זה, שכאמור נכונים לעיתוי שלפני פרוץ מלחמת "חרבות ברזל", ממחישים בצורה חדה את חשיבות הביקורת ונותנים משנה תוקף לחשיבות השלמת יישומה של רפורמת "נפש אחת" בכלל ובעת הזו בפרט, נוכח הגידול באוכלוסיית נכי צה"ל וכוחות הביטחון.</w:t>
      </w:r>
      <w:r w:rsidR="00045A4A">
        <w:rPr>
          <w:rFonts w:ascii="Tahoma" w:hAnsi="Tahoma" w:cs="Tahoma" w:hint="cs"/>
          <w:sz w:val="18"/>
          <w:szCs w:val="18"/>
          <w:rtl/>
        </w:rPr>
        <w:t xml:space="preserve"> </w:t>
      </w:r>
      <w:r w:rsidRPr="00CD151C">
        <w:rPr>
          <w:rFonts w:ascii="Tahoma" w:hAnsi="Tahoma" w:cs="Tahoma"/>
          <w:sz w:val="18"/>
          <w:szCs w:val="18"/>
          <w:rtl/>
        </w:rPr>
        <w:t xml:space="preserve">על כן מומלץ </w:t>
      </w:r>
      <w:r w:rsidRPr="00CD151C">
        <w:rPr>
          <w:rFonts w:ascii="Tahoma" w:hAnsi="Tahoma" w:cs="Tahoma" w:hint="cs"/>
          <w:sz w:val="18"/>
          <w:szCs w:val="18"/>
          <w:rtl/>
        </w:rPr>
        <w:t>ש</w:t>
      </w:r>
      <w:r w:rsidRPr="00CD151C">
        <w:rPr>
          <w:rFonts w:ascii="Tahoma" w:hAnsi="Tahoma" w:cs="Tahoma"/>
          <w:sz w:val="18"/>
          <w:szCs w:val="18"/>
          <w:rtl/>
        </w:rPr>
        <w:t xml:space="preserve">אגף השיקום </w:t>
      </w:r>
      <w:r w:rsidRPr="00CD151C">
        <w:rPr>
          <w:rFonts w:ascii="Tahoma" w:hAnsi="Tahoma" w:cs="Tahoma" w:hint="eastAsia"/>
          <w:sz w:val="18"/>
          <w:szCs w:val="18"/>
          <w:rtl/>
        </w:rPr>
        <w:t>ומשהב</w:t>
      </w:r>
      <w:r w:rsidRPr="00CD151C">
        <w:rPr>
          <w:rFonts w:ascii="Tahoma" w:hAnsi="Tahoma" w:cs="Tahoma"/>
          <w:sz w:val="18"/>
          <w:szCs w:val="18"/>
          <w:rtl/>
        </w:rPr>
        <w:t>"ט</w:t>
      </w:r>
      <w:r w:rsidRPr="00CD151C">
        <w:rPr>
          <w:rFonts w:ascii="Tahoma" w:hAnsi="Tahoma" w:cs="Tahoma"/>
          <w:sz w:val="18"/>
          <w:szCs w:val="18"/>
          <w:rtl/>
        </w:rPr>
        <w:t xml:space="preserve"> י</w:t>
      </w:r>
      <w:r w:rsidRPr="00CD151C">
        <w:rPr>
          <w:rFonts w:ascii="Tahoma" w:hAnsi="Tahoma" w:cs="Tahoma" w:hint="eastAsia"/>
          <w:sz w:val="18"/>
          <w:szCs w:val="18"/>
          <w:rtl/>
        </w:rPr>
        <w:t>בצעו</w:t>
      </w:r>
      <w:r w:rsidRPr="00CD151C">
        <w:rPr>
          <w:rFonts w:ascii="Tahoma" w:hAnsi="Tahoma" w:cs="Tahoma"/>
          <w:sz w:val="18"/>
          <w:szCs w:val="18"/>
          <w:rtl/>
        </w:rPr>
        <w:t xml:space="preserve"> פעולות יזומות להגדלת המודעות </w:t>
      </w:r>
      <w:r w:rsidRPr="00CD151C">
        <w:rPr>
          <w:rFonts w:ascii="Tahoma" w:hAnsi="Tahoma" w:cs="Tahoma" w:hint="eastAsia"/>
          <w:sz w:val="18"/>
          <w:szCs w:val="18"/>
          <w:rtl/>
        </w:rPr>
        <w:t>ולהנגשת</w:t>
      </w:r>
      <w:r w:rsidRPr="00CD151C">
        <w:rPr>
          <w:rFonts w:ascii="Tahoma" w:hAnsi="Tahoma" w:cs="Tahoma"/>
          <w:sz w:val="18"/>
          <w:szCs w:val="18"/>
          <w:rtl/>
        </w:rPr>
        <w:t xml:space="preserve"> המידע בקרב נכי צה"ל בנוגע לזכויות ולהטבות המגיעות להם ולהגדלת שיעור המיצוי של זכויות אלה, </w:t>
      </w:r>
      <w:r w:rsidRPr="00CD151C">
        <w:rPr>
          <w:rFonts w:ascii="Tahoma" w:hAnsi="Tahoma" w:cs="Tahoma" w:hint="cs"/>
          <w:sz w:val="18"/>
          <w:szCs w:val="18"/>
          <w:rtl/>
        </w:rPr>
        <w:t xml:space="preserve">וכן </w:t>
      </w:r>
      <w:r w:rsidRPr="00CD151C">
        <w:rPr>
          <w:rFonts w:ascii="Tahoma" w:hAnsi="Tahoma" w:cs="Tahoma"/>
          <w:sz w:val="18"/>
          <w:szCs w:val="18"/>
          <w:rtl/>
        </w:rPr>
        <w:t>יפעלו להאצת התהליכים בתחום עיגון ההטבות בחקיקה</w:t>
      </w:r>
      <w:r w:rsidRPr="00CD151C">
        <w:rPr>
          <w:rFonts w:ascii="Tahoma" w:hAnsi="Tahoma" w:cs="Tahoma" w:hint="cs"/>
          <w:sz w:val="18"/>
          <w:szCs w:val="18"/>
          <w:rtl/>
        </w:rPr>
        <w:t>,</w:t>
      </w:r>
      <w:r w:rsidRPr="00CD151C">
        <w:rPr>
          <w:rFonts w:ascii="Tahoma" w:hAnsi="Tahoma" w:cs="Tahoma"/>
          <w:sz w:val="18"/>
          <w:szCs w:val="18"/>
          <w:rtl/>
        </w:rPr>
        <w:t xml:space="preserve"> בשיתוף </w:t>
      </w:r>
      <w:r w:rsidRPr="00CD151C">
        <w:rPr>
          <w:rFonts w:ascii="Tahoma" w:hAnsi="Tahoma" w:cs="Tahoma" w:hint="cs"/>
          <w:sz w:val="18"/>
          <w:szCs w:val="18"/>
          <w:rtl/>
        </w:rPr>
        <w:t>ארגון נכי צה"ל</w:t>
      </w:r>
      <w:r w:rsidRPr="00CD151C">
        <w:rPr>
          <w:rFonts w:ascii="Tahoma" w:hAnsi="Tahoma" w:cs="Tahoma"/>
          <w:sz w:val="18"/>
          <w:szCs w:val="18"/>
          <w:rtl/>
        </w:rPr>
        <w:t xml:space="preserve">, </w:t>
      </w:r>
      <w:r w:rsidRPr="00CD151C">
        <w:rPr>
          <w:rFonts w:ascii="Tahoma" w:hAnsi="Tahoma" w:cs="Tahoma" w:hint="eastAsia"/>
          <w:sz w:val="18"/>
          <w:szCs w:val="18"/>
          <w:rtl/>
        </w:rPr>
        <w:t>וכן</w:t>
      </w:r>
      <w:r w:rsidRPr="00CD151C">
        <w:rPr>
          <w:rFonts w:ascii="Tahoma" w:hAnsi="Tahoma" w:cs="Tahoma"/>
          <w:sz w:val="18"/>
          <w:szCs w:val="18"/>
          <w:rtl/>
        </w:rPr>
        <w:t xml:space="preserve"> </w:t>
      </w:r>
      <w:r w:rsidRPr="00CD151C">
        <w:rPr>
          <w:rFonts w:ascii="Tahoma" w:hAnsi="Tahoma" w:cs="Tahoma" w:hint="eastAsia"/>
          <w:sz w:val="18"/>
          <w:szCs w:val="18"/>
          <w:rtl/>
        </w:rPr>
        <w:t>להשלמת</w:t>
      </w:r>
      <w:r w:rsidRPr="00CD151C">
        <w:rPr>
          <w:rFonts w:ascii="Tahoma" w:hAnsi="Tahoma" w:cs="Tahoma"/>
          <w:sz w:val="18"/>
          <w:szCs w:val="18"/>
          <w:rtl/>
        </w:rPr>
        <w:t xml:space="preserve"> </w:t>
      </w:r>
      <w:r w:rsidRPr="00CD151C">
        <w:rPr>
          <w:rFonts w:ascii="Tahoma" w:hAnsi="Tahoma" w:cs="Tahoma" w:hint="eastAsia"/>
          <w:sz w:val="18"/>
          <w:szCs w:val="18"/>
          <w:rtl/>
        </w:rPr>
        <w:t>המשימות</w:t>
      </w:r>
      <w:r w:rsidRPr="00CD151C">
        <w:rPr>
          <w:rFonts w:ascii="Tahoma" w:hAnsi="Tahoma" w:cs="Tahoma"/>
          <w:sz w:val="18"/>
          <w:szCs w:val="18"/>
          <w:rtl/>
        </w:rPr>
        <w:t xml:space="preserve"> </w:t>
      </w:r>
      <w:r w:rsidRPr="00CD151C">
        <w:rPr>
          <w:rFonts w:ascii="Tahoma" w:hAnsi="Tahoma" w:cs="Tahoma" w:hint="eastAsia"/>
          <w:sz w:val="18"/>
          <w:szCs w:val="18"/>
          <w:rtl/>
        </w:rPr>
        <w:t>בתחום</w:t>
      </w:r>
      <w:r w:rsidRPr="00CD151C">
        <w:rPr>
          <w:rFonts w:ascii="Tahoma" w:hAnsi="Tahoma" w:cs="Tahoma"/>
          <w:sz w:val="18"/>
          <w:szCs w:val="18"/>
          <w:rtl/>
        </w:rPr>
        <w:t xml:space="preserve"> </w:t>
      </w:r>
      <w:r w:rsidRPr="00CD151C">
        <w:rPr>
          <w:rFonts w:ascii="Tahoma" w:hAnsi="Tahoma" w:cs="Tahoma" w:hint="eastAsia"/>
          <w:sz w:val="18"/>
          <w:szCs w:val="18"/>
          <w:rtl/>
        </w:rPr>
        <w:t>מערכות</w:t>
      </w:r>
      <w:r w:rsidRPr="00CD151C">
        <w:rPr>
          <w:rFonts w:ascii="Tahoma" w:hAnsi="Tahoma" w:cs="Tahoma"/>
          <w:sz w:val="18"/>
          <w:szCs w:val="18"/>
          <w:rtl/>
        </w:rPr>
        <w:t xml:space="preserve"> </w:t>
      </w:r>
      <w:r w:rsidRPr="00CD151C">
        <w:rPr>
          <w:rFonts w:ascii="Tahoma" w:hAnsi="Tahoma" w:cs="Tahoma" w:hint="eastAsia"/>
          <w:sz w:val="18"/>
          <w:szCs w:val="18"/>
          <w:rtl/>
        </w:rPr>
        <w:t>התקשוב</w:t>
      </w:r>
      <w:r w:rsidRPr="00CD151C">
        <w:rPr>
          <w:rFonts w:ascii="Tahoma" w:hAnsi="Tahoma" w:cs="Tahoma"/>
          <w:sz w:val="18"/>
          <w:szCs w:val="18"/>
          <w:rtl/>
        </w:rPr>
        <w:t xml:space="preserve">. </w:t>
      </w:r>
      <w:r w:rsidRPr="00CD151C">
        <w:rPr>
          <w:rFonts w:ascii="Tahoma" w:hAnsi="Tahoma" w:cs="Tahoma" w:hint="eastAsia"/>
          <w:sz w:val="18"/>
          <w:szCs w:val="18"/>
          <w:rtl/>
        </w:rPr>
        <w:t>זאת</w:t>
      </w:r>
      <w:r w:rsidRPr="00CD151C">
        <w:rPr>
          <w:rFonts w:ascii="Tahoma" w:hAnsi="Tahoma" w:cs="Tahoma"/>
          <w:sz w:val="18"/>
          <w:szCs w:val="18"/>
          <w:rtl/>
        </w:rPr>
        <w:t xml:space="preserve"> </w:t>
      </w:r>
      <w:r w:rsidRPr="00CD151C">
        <w:rPr>
          <w:rFonts w:ascii="Tahoma" w:hAnsi="Tahoma" w:cs="Tahoma" w:hint="cs"/>
          <w:sz w:val="18"/>
          <w:szCs w:val="18"/>
          <w:rtl/>
        </w:rPr>
        <w:t>כדי</w:t>
      </w:r>
      <w:r w:rsidRPr="00CD151C">
        <w:rPr>
          <w:rFonts w:ascii="Tahoma" w:hAnsi="Tahoma" w:cs="Tahoma"/>
          <w:sz w:val="18"/>
          <w:szCs w:val="18"/>
          <w:rtl/>
        </w:rPr>
        <w:t xml:space="preserve"> </w:t>
      </w:r>
      <w:r w:rsidRPr="00CD151C">
        <w:rPr>
          <w:rFonts w:ascii="Tahoma" w:hAnsi="Tahoma" w:cs="Tahoma" w:hint="eastAsia"/>
          <w:sz w:val="18"/>
          <w:szCs w:val="18"/>
          <w:rtl/>
        </w:rPr>
        <w:t>לנצל</w:t>
      </w:r>
      <w:r w:rsidRPr="00CD151C">
        <w:rPr>
          <w:rFonts w:ascii="Tahoma" w:hAnsi="Tahoma" w:cs="Tahoma"/>
          <w:sz w:val="18"/>
          <w:szCs w:val="18"/>
          <w:rtl/>
        </w:rPr>
        <w:t xml:space="preserve"> </w:t>
      </w:r>
      <w:r w:rsidRPr="00CD151C">
        <w:rPr>
          <w:rFonts w:ascii="Tahoma" w:hAnsi="Tahoma" w:cs="Tahoma" w:hint="eastAsia"/>
          <w:sz w:val="18"/>
          <w:szCs w:val="18"/>
          <w:rtl/>
        </w:rPr>
        <w:t>באופן</w:t>
      </w:r>
      <w:r w:rsidRPr="00CD151C">
        <w:rPr>
          <w:rFonts w:ascii="Tahoma" w:hAnsi="Tahoma" w:cs="Tahoma"/>
          <w:sz w:val="18"/>
          <w:szCs w:val="18"/>
          <w:rtl/>
        </w:rPr>
        <w:t xml:space="preserve"> </w:t>
      </w:r>
      <w:r w:rsidRPr="00CD151C">
        <w:rPr>
          <w:rFonts w:ascii="Tahoma" w:hAnsi="Tahoma" w:cs="Tahoma" w:hint="eastAsia"/>
          <w:sz w:val="18"/>
          <w:szCs w:val="18"/>
          <w:rtl/>
        </w:rPr>
        <w:t>מיטבי</w:t>
      </w:r>
      <w:r w:rsidRPr="00CD151C">
        <w:rPr>
          <w:rFonts w:ascii="Tahoma" w:hAnsi="Tahoma" w:cs="Tahoma"/>
          <w:sz w:val="18"/>
          <w:szCs w:val="18"/>
          <w:rtl/>
        </w:rPr>
        <w:t xml:space="preserve"> </w:t>
      </w:r>
      <w:r w:rsidRPr="00CD151C">
        <w:rPr>
          <w:rFonts w:ascii="Tahoma" w:hAnsi="Tahoma" w:cs="Tahoma" w:hint="eastAsia"/>
          <w:sz w:val="18"/>
          <w:szCs w:val="18"/>
          <w:rtl/>
        </w:rPr>
        <w:t>את</w:t>
      </w:r>
      <w:r w:rsidRPr="00CD151C">
        <w:rPr>
          <w:rFonts w:ascii="Tahoma" w:hAnsi="Tahoma" w:cs="Tahoma"/>
          <w:sz w:val="18"/>
          <w:szCs w:val="18"/>
          <w:rtl/>
        </w:rPr>
        <w:t xml:space="preserve"> </w:t>
      </w:r>
      <w:r w:rsidRPr="00CD151C">
        <w:rPr>
          <w:rFonts w:ascii="Tahoma" w:hAnsi="Tahoma" w:cs="Tahoma" w:hint="eastAsia"/>
          <w:sz w:val="18"/>
          <w:szCs w:val="18"/>
          <w:rtl/>
        </w:rPr>
        <w:t>תוספות</w:t>
      </w:r>
      <w:r w:rsidRPr="00CD151C">
        <w:rPr>
          <w:rFonts w:ascii="Tahoma" w:hAnsi="Tahoma" w:cs="Tahoma"/>
          <w:sz w:val="18"/>
          <w:szCs w:val="18"/>
          <w:rtl/>
        </w:rPr>
        <w:t xml:space="preserve"> </w:t>
      </w:r>
      <w:r w:rsidRPr="00CD151C">
        <w:rPr>
          <w:rFonts w:ascii="Tahoma" w:hAnsi="Tahoma" w:cs="Tahoma" w:hint="eastAsia"/>
          <w:sz w:val="18"/>
          <w:szCs w:val="18"/>
          <w:rtl/>
        </w:rPr>
        <w:t>התקציב</w:t>
      </w:r>
      <w:r w:rsidRPr="00CD151C">
        <w:rPr>
          <w:rFonts w:ascii="Tahoma" w:hAnsi="Tahoma" w:cs="Tahoma"/>
          <w:sz w:val="18"/>
          <w:szCs w:val="18"/>
          <w:rtl/>
        </w:rPr>
        <w:t xml:space="preserve"> </w:t>
      </w:r>
      <w:r w:rsidRPr="00CD151C">
        <w:rPr>
          <w:rFonts w:ascii="Tahoma" w:hAnsi="Tahoma" w:cs="Tahoma" w:hint="eastAsia"/>
          <w:sz w:val="18"/>
          <w:szCs w:val="18"/>
          <w:rtl/>
        </w:rPr>
        <w:t>השנתיות</w:t>
      </w:r>
      <w:r w:rsidRPr="00CD151C">
        <w:rPr>
          <w:rFonts w:ascii="Tahoma" w:hAnsi="Tahoma" w:cs="Tahoma"/>
          <w:sz w:val="18"/>
          <w:szCs w:val="18"/>
          <w:rtl/>
        </w:rPr>
        <w:t xml:space="preserve"> </w:t>
      </w:r>
      <w:r w:rsidRPr="00CD151C">
        <w:rPr>
          <w:rFonts w:ascii="Tahoma" w:hAnsi="Tahoma" w:cs="Tahoma" w:hint="eastAsia"/>
          <w:sz w:val="18"/>
          <w:szCs w:val="18"/>
          <w:rtl/>
        </w:rPr>
        <w:t>שאושרו</w:t>
      </w:r>
      <w:r w:rsidRPr="00CD151C">
        <w:rPr>
          <w:rFonts w:ascii="Tahoma" w:hAnsi="Tahoma" w:cs="Tahoma"/>
          <w:sz w:val="18"/>
          <w:szCs w:val="18"/>
          <w:rtl/>
        </w:rPr>
        <w:t xml:space="preserve"> </w:t>
      </w:r>
      <w:r w:rsidRPr="00CD151C">
        <w:rPr>
          <w:rFonts w:ascii="Tahoma" w:hAnsi="Tahoma" w:cs="Tahoma" w:hint="eastAsia"/>
          <w:sz w:val="18"/>
          <w:szCs w:val="18"/>
          <w:rtl/>
        </w:rPr>
        <w:t>עבור</w:t>
      </w:r>
      <w:r w:rsidRPr="00CD151C">
        <w:rPr>
          <w:rFonts w:ascii="Tahoma" w:hAnsi="Tahoma" w:cs="Tahoma"/>
          <w:sz w:val="18"/>
          <w:szCs w:val="18"/>
          <w:rtl/>
        </w:rPr>
        <w:t xml:space="preserve"> </w:t>
      </w:r>
      <w:r w:rsidRPr="00CD151C">
        <w:rPr>
          <w:rFonts w:ascii="Tahoma" w:hAnsi="Tahoma" w:cs="Tahoma" w:hint="eastAsia"/>
          <w:sz w:val="18"/>
          <w:szCs w:val="18"/>
          <w:rtl/>
        </w:rPr>
        <w:t>רפורמת</w:t>
      </w:r>
      <w:r w:rsidRPr="00CD151C">
        <w:rPr>
          <w:rFonts w:ascii="Tahoma" w:hAnsi="Tahoma" w:cs="Tahoma"/>
          <w:sz w:val="18"/>
          <w:szCs w:val="18"/>
          <w:rtl/>
        </w:rPr>
        <w:t xml:space="preserve"> "נפש </w:t>
      </w:r>
      <w:r w:rsidRPr="00CD151C">
        <w:rPr>
          <w:rFonts w:ascii="Tahoma" w:hAnsi="Tahoma" w:cs="Tahoma" w:hint="eastAsia"/>
          <w:sz w:val="18"/>
          <w:szCs w:val="18"/>
          <w:rtl/>
        </w:rPr>
        <w:t>אחת</w:t>
      </w:r>
      <w:r w:rsidRPr="00CD151C">
        <w:rPr>
          <w:rFonts w:ascii="Tahoma" w:hAnsi="Tahoma" w:cs="Tahoma"/>
          <w:sz w:val="18"/>
          <w:szCs w:val="18"/>
          <w:rtl/>
        </w:rPr>
        <w:t xml:space="preserve">", </w:t>
      </w:r>
      <w:r w:rsidRPr="00CD151C">
        <w:rPr>
          <w:rFonts w:ascii="Tahoma" w:hAnsi="Tahoma" w:cs="Tahoma" w:hint="eastAsia"/>
          <w:sz w:val="18"/>
          <w:szCs w:val="18"/>
          <w:rtl/>
        </w:rPr>
        <w:t>להביא</w:t>
      </w:r>
      <w:r w:rsidRPr="00CD151C">
        <w:rPr>
          <w:rFonts w:ascii="Tahoma" w:hAnsi="Tahoma" w:cs="Tahoma"/>
          <w:sz w:val="18"/>
          <w:szCs w:val="18"/>
          <w:rtl/>
        </w:rPr>
        <w:t xml:space="preserve"> </w:t>
      </w:r>
      <w:r w:rsidRPr="00CD151C">
        <w:rPr>
          <w:rFonts w:ascii="Tahoma" w:hAnsi="Tahoma" w:cs="Tahoma" w:hint="eastAsia"/>
          <w:sz w:val="18"/>
          <w:szCs w:val="18"/>
          <w:rtl/>
        </w:rPr>
        <w:t>ל</w:t>
      </w:r>
      <w:r w:rsidRPr="00CD151C">
        <w:rPr>
          <w:rFonts w:ascii="Tahoma" w:hAnsi="Tahoma" w:cs="Tahoma"/>
          <w:sz w:val="18"/>
          <w:szCs w:val="18"/>
          <w:rtl/>
        </w:rPr>
        <w:t xml:space="preserve">שיפור משמעותי של הטיפול והשיקום הניתנים לנכי צה"ל </w:t>
      </w:r>
      <w:r w:rsidRPr="00CD151C">
        <w:rPr>
          <w:rFonts w:ascii="Tahoma" w:hAnsi="Tahoma" w:cs="Tahoma" w:hint="eastAsia"/>
          <w:sz w:val="18"/>
          <w:szCs w:val="18"/>
          <w:rtl/>
        </w:rPr>
        <w:t>ולהעניק</w:t>
      </w:r>
      <w:r w:rsidRPr="00CD151C">
        <w:rPr>
          <w:rFonts w:ascii="Tahoma" w:hAnsi="Tahoma" w:cs="Tahoma"/>
          <w:sz w:val="18"/>
          <w:szCs w:val="18"/>
          <w:rtl/>
        </w:rPr>
        <w:t xml:space="preserve"> לנכי צה"ל </w:t>
      </w:r>
      <w:r w:rsidRPr="00CD151C">
        <w:rPr>
          <w:rFonts w:ascii="Tahoma" w:hAnsi="Tahoma" w:cs="Tahoma" w:hint="eastAsia"/>
          <w:sz w:val="18"/>
          <w:szCs w:val="18"/>
          <w:rtl/>
        </w:rPr>
        <w:t>שירות</w:t>
      </w:r>
      <w:r w:rsidRPr="00CD151C">
        <w:rPr>
          <w:rFonts w:ascii="Tahoma" w:hAnsi="Tahoma" w:cs="Tahoma"/>
          <w:sz w:val="18"/>
          <w:szCs w:val="18"/>
          <w:rtl/>
        </w:rPr>
        <w:t xml:space="preserve"> </w:t>
      </w:r>
      <w:r w:rsidRPr="00CD151C">
        <w:rPr>
          <w:rFonts w:ascii="Tahoma" w:hAnsi="Tahoma" w:cs="Tahoma" w:hint="eastAsia"/>
          <w:sz w:val="18"/>
          <w:szCs w:val="18"/>
          <w:rtl/>
        </w:rPr>
        <w:t>איכותי</w:t>
      </w:r>
      <w:r w:rsidRPr="00CD151C">
        <w:rPr>
          <w:rFonts w:ascii="Tahoma" w:hAnsi="Tahoma" w:cs="Tahoma"/>
          <w:sz w:val="18"/>
          <w:szCs w:val="18"/>
          <w:rtl/>
        </w:rPr>
        <w:t xml:space="preserve"> </w:t>
      </w:r>
      <w:r w:rsidRPr="00CD151C">
        <w:rPr>
          <w:rFonts w:ascii="Tahoma" w:hAnsi="Tahoma" w:cs="Tahoma" w:hint="eastAsia"/>
          <w:sz w:val="18"/>
          <w:szCs w:val="18"/>
          <w:rtl/>
        </w:rPr>
        <w:t>ומהיר</w:t>
      </w:r>
      <w:r w:rsidRPr="00CD151C">
        <w:rPr>
          <w:rFonts w:ascii="Tahoma" w:hAnsi="Tahoma" w:cs="Tahoma"/>
          <w:sz w:val="18"/>
          <w:szCs w:val="18"/>
          <w:rtl/>
        </w:rPr>
        <w:t xml:space="preserve"> </w:t>
      </w:r>
      <w:r w:rsidRPr="00CD151C">
        <w:rPr>
          <w:rFonts w:ascii="Tahoma" w:hAnsi="Tahoma" w:cs="Tahoma" w:hint="eastAsia"/>
          <w:sz w:val="18"/>
          <w:szCs w:val="18"/>
          <w:rtl/>
        </w:rPr>
        <w:t>יותר</w:t>
      </w:r>
      <w:r w:rsidRPr="00CD151C">
        <w:rPr>
          <w:rFonts w:ascii="Tahoma" w:hAnsi="Tahoma" w:cs="Tahoma" w:hint="cs"/>
          <w:sz w:val="18"/>
          <w:szCs w:val="18"/>
          <w:rtl/>
        </w:rPr>
        <w:t>,</w:t>
      </w:r>
      <w:r w:rsidRPr="00CD151C">
        <w:rPr>
          <w:rFonts w:ascii="Tahoma" w:hAnsi="Tahoma" w:cs="Tahoma"/>
          <w:sz w:val="18"/>
          <w:szCs w:val="18"/>
          <w:rtl/>
        </w:rPr>
        <w:t xml:space="preserve"> בין היתר באמצעות מעבר לשירות דיגיטלי</w:t>
      </w:r>
      <w:r w:rsidRPr="00CD151C">
        <w:rPr>
          <w:rFonts w:ascii="Tahoma" w:hAnsi="Tahoma" w:cs="Tahoma" w:hint="cs"/>
          <w:sz w:val="18"/>
          <w:szCs w:val="18"/>
          <w:rtl/>
        </w:rPr>
        <w:t>,</w:t>
      </w:r>
      <w:r w:rsidRPr="00CD151C">
        <w:rPr>
          <w:rFonts w:ascii="Tahoma" w:hAnsi="Tahoma" w:cs="Tahoma"/>
          <w:sz w:val="18"/>
          <w:szCs w:val="18"/>
          <w:rtl/>
        </w:rPr>
        <w:t xml:space="preserve"> </w:t>
      </w:r>
      <w:r w:rsidRPr="00CD151C">
        <w:rPr>
          <w:rFonts w:ascii="Tahoma" w:hAnsi="Tahoma" w:cs="Tahoma" w:hint="eastAsia"/>
          <w:sz w:val="18"/>
          <w:szCs w:val="18"/>
          <w:rtl/>
        </w:rPr>
        <w:t>ובכך</w:t>
      </w:r>
      <w:r w:rsidRPr="00CD151C">
        <w:rPr>
          <w:rFonts w:ascii="Tahoma" w:hAnsi="Tahoma" w:cs="Tahoma"/>
          <w:sz w:val="18"/>
          <w:szCs w:val="18"/>
          <w:rtl/>
        </w:rPr>
        <w:t xml:space="preserve"> </w:t>
      </w:r>
      <w:r w:rsidRPr="00CD151C">
        <w:rPr>
          <w:rFonts w:ascii="Tahoma" w:hAnsi="Tahoma" w:cs="Tahoma" w:hint="eastAsia"/>
          <w:sz w:val="18"/>
          <w:szCs w:val="18"/>
          <w:rtl/>
        </w:rPr>
        <w:t>להקל</w:t>
      </w:r>
      <w:r w:rsidRPr="00CD151C">
        <w:rPr>
          <w:rFonts w:ascii="Tahoma" w:hAnsi="Tahoma" w:cs="Tahoma"/>
          <w:sz w:val="18"/>
          <w:szCs w:val="18"/>
          <w:rtl/>
        </w:rPr>
        <w:t xml:space="preserve"> על </w:t>
      </w:r>
      <w:r w:rsidRPr="00CD151C">
        <w:rPr>
          <w:rFonts w:ascii="Tahoma" w:hAnsi="Tahoma" w:cs="Tahoma" w:hint="eastAsia"/>
          <w:sz w:val="18"/>
          <w:szCs w:val="18"/>
          <w:rtl/>
        </w:rPr>
        <w:t>נכי</w:t>
      </w:r>
      <w:r w:rsidRPr="00CD151C">
        <w:rPr>
          <w:rFonts w:ascii="Tahoma" w:hAnsi="Tahoma" w:cs="Tahoma"/>
          <w:sz w:val="18"/>
          <w:szCs w:val="18"/>
          <w:rtl/>
        </w:rPr>
        <w:t xml:space="preserve"> </w:t>
      </w:r>
      <w:r w:rsidRPr="00CD151C">
        <w:rPr>
          <w:rFonts w:ascii="Tahoma" w:hAnsi="Tahoma" w:cs="Tahoma" w:hint="eastAsia"/>
          <w:sz w:val="18"/>
          <w:szCs w:val="18"/>
          <w:rtl/>
        </w:rPr>
        <w:t>צה</w:t>
      </w:r>
      <w:r w:rsidRPr="00CD151C">
        <w:rPr>
          <w:rFonts w:ascii="Tahoma" w:hAnsi="Tahoma" w:cs="Tahoma"/>
          <w:sz w:val="18"/>
          <w:szCs w:val="18"/>
          <w:rtl/>
        </w:rPr>
        <w:t>"ל במימוש זכויותי</w:t>
      </w:r>
      <w:r w:rsidRPr="00CD151C">
        <w:rPr>
          <w:rFonts w:ascii="Tahoma" w:hAnsi="Tahoma" w:cs="Tahoma" w:hint="eastAsia"/>
          <w:sz w:val="18"/>
          <w:szCs w:val="18"/>
          <w:rtl/>
        </w:rPr>
        <w:t>הם</w:t>
      </w:r>
      <w:r w:rsidRPr="00CD151C">
        <w:rPr>
          <w:rFonts w:ascii="Tahoma" w:hAnsi="Tahoma" w:cs="Tahoma"/>
          <w:sz w:val="18"/>
          <w:szCs w:val="18"/>
          <w:rtl/>
        </w:rPr>
        <w:t xml:space="preserve"> ועל </w:t>
      </w:r>
      <w:r w:rsidRPr="00CD151C">
        <w:rPr>
          <w:rFonts w:ascii="Tahoma" w:hAnsi="Tahoma" w:cs="Tahoma" w:hint="eastAsia"/>
          <w:sz w:val="18"/>
          <w:szCs w:val="18"/>
          <w:rtl/>
        </w:rPr>
        <w:t>עובדי</w:t>
      </w:r>
      <w:r w:rsidRPr="00CD151C">
        <w:rPr>
          <w:rFonts w:ascii="Tahoma" w:hAnsi="Tahoma" w:cs="Tahoma"/>
          <w:sz w:val="18"/>
          <w:szCs w:val="18"/>
          <w:rtl/>
        </w:rPr>
        <w:t xml:space="preserve"> </w:t>
      </w:r>
      <w:r w:rsidRPr="00CD151C">
        <w:rPr>
          <w:rFonts w:ascii="Tahoma" w:hAnsi="Tahoma" w:cs="Tahoma" w:hint="eastAsia"/>
          <w:sz w:val="18"/>
          <w:szCs w:val="18"/>
          <w:rtl/>
        </w:rPr>
        <w:t>האגף</w:t>
      </w:r>
      <w:r w:rsidRPr="00CD151C">
        <w:rPr>
          <w:rFonts w:ascii="Tahoma" w:hAnsi="Tahoma" w:cs="Tahoma"/>
          <w:sz w:val="18"/>
          <w:szCs w:val="18"/>
          <w:rtl/>
        </w:rPr>
        <w:t xml:space="preserve"> בטיפול ב</w:t>
      </w:r>
      <w:r w:rsidRPr="00CD151C">
        <w:rPr>
          <w:rFonts w:ascii="Tahoma" w:hAnsi="Tahoma" w:cs="Tahoma" w:hint="eastAsia"/>
          <w:sz w:val="18"/>
          <w:szCs w:val="18"/>
          <w:rtl/>
        </w:rPr>
        <w:t>הם</w:t>
      </w:r>
      <w:r w:rsidRPr="00CD151C">
        <w:rPr>
          <w:rFonts w:ascii="Tahoma" w:hAnsi="Tahoma" w:cs="Tahoma"/>
          <w:sz w:val="18"/>
          <w:szCs w:val="18"/>
          <w:rtl/>
        </w:rPr>
        <w:t>.</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062A85">
          <w:headerReference w:type="even" r:id="rId28"/>
          <w:footerReference w:type="even" r:id="rId29"/>
          <w:pgSz w:w="11906" w:h="16838" w:code="9"/>
          <w:pgMar w:top="3062" w:right="2268" w:bottom="2552" w:left="2268" w:header="1134" w:footer="1361" w:gutter="0"/>
          <w:pgNumType w:start="209"/>
          <w:cols w:space="708"/>
          <w:bidi/>
          <w:rtlGutter/>
          <w:docGrid w:linePitch="360"/>
        </w:sectPr>
      </w:pPr>
    </w:p>
    <w:p w:rsidR="00760EE5" w14:paraId="2C0752D4" w14:textId="6EA33FA0">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-1284605</wp:posOffset>
                </wp:positionH>
                <wp:positionV relativeFrom="paragraph">
                  <wp:posOffset>-564515</wp:posOffset>
                </wp:positionV>
                <wp:extent cx="6221186" cy="1118507"/>
                <wp:effectExtent l="0" t="0" r="1905" b="0"/>
                <wp:wrapNone/>
                <wp:docPr id="164985399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21186" cy="111850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89.85pt;height:88.05pt;margin-top:-44.45pt;margin-left:-101.15pt;mso-wrap-distance-bottom:0;mso-wrap-distance-left:9pt;mso-wrap-distance-right:9pt;mso-wrap-distance-top:0;mso-wrap-style:square;position:absolute;visibility:visible;v-text-anchor:middle;z-index:251700224" fillcolor="white" stroked="f" strokeweight="1.25pt"/>
            </w:pict>
          </mc:Fallback>
        </mc:AlternateContent>
      </w:r>
      <w:r>
        <w:rPr>
          <w:noProof/>
          <w:rtl/>
          <w:lang w:val="he-IL"/>
        </w:rPr>
        <mc:AlternateContent>
          <mc:Choice Requires="wps">
            <w:drawing>
              <wp:anchor distT="0" distB="0" distL="114300" distR="114300" simplePos="0" relativeHeight="251703296" behindDoc="0" locked="0" layoutInCell="1" allowOverlap="1">
                <wp:simplePos x="0" y="0"/>
                <wp:positionH relativeFrom="column">
                  <wp:posOffset>-1391194</wp:posOffset>
                </wp:positionH>
                <wp:positionV relativeFrom="paragraph">
                  <wp:posOffset>-678906</wp:posOffset>
                </wp:positionV>
                <wp:extent cx="6327321" cy="775607"/>
                <wp:effectExtent l="0" t="0" r="10160" b="12065"/>
                <wp:wrapNone/>
                <wp:docPr id="137288878"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327321" cy="77560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98.2pt;height:61.05pt;margin-top:-53.45pt;margin-left:-109.55pt;mso-wrap-distance-bottom:0;mso-wrap-distance-left:9pt;mso-wrap-distance-right:9pt;mso-wrap-distance-top:0;mso-wrap-style:square;position:absolute;visibility:visible;v-text-anchor:middle;z-index:251704320" fillcolor="white" strokecolor="white" strokeweight="1.25pt"/>
            </w:pict>
          </mc:Fallback>
        </mc:AlternateContent>
      </w:r>
      <w:r>
        <w:rPr>
          <w:noProof/>
          <w:rtl/>
          <w:lang w:val="he-IL"/>
        </w:rPr>
        <mc:AlternateContent>
          <mc:Choice Requires="wps">
            <w:drawing>
              <wp:anchor distT="0" distB="0" distL="114300" distR="114300" simplePos="0" relativeHeight="251701248" behindDoc="0" locked="0" layoutInCell="1" allowOverlap="1">
                <wp:simplePos x="0" y="0"/>
                <wp:positionH relativeFrom="column">
                  <wp:posOffset>4120152</wp:posOffset>
                </wp:positionH>
                <wp:positionV relativeFrom="paragraph">
                  <wp:posOffset>6668951</wp:posOffset>
                </wp:positionV>
                <wp:extent cx="1028700" cy="1118507"/>
                <wp:effectExtent l="0" t="0" r="0" b="0"/>
                <wp:wrapNone/>
                <wp:docPr id="202732162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028700" cy="111850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7" style="width:81pt;height:88.05pt;margin-top:525.1pt;margin-left:324.4pt;mso-width-percent:0;mso-width-relative:margin;mso-wrap-distance-bottom:0;mso-wrap-distance-left:9pt;mso-wrap-distance-right:9pt;mso-wrap-distance-top:0;mso-wrap-style:square;position:absolute;visibility:visible;v-text-anchor:middle;z-index:251702272" fillcolor="white" stroked="f"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70A2C" w14:paraId="6D85DC04" w14:textId="77777777">
      <w:pPr>
        <w:spacing w:line="240" w:lineRule="auto"/>
      </w:pPr>
      <w:r>
        <w:separator/>
      </w:r>
    </w:p>
    <w:p w:rsidR="00770A2C" w14:paraId="43567313" w14:textId="77777777"/>
    <w:p w:rsidR="00770A2C" w14:paraId="66896FD9" w14:textId="77777777"/>
    <w:p w:rsidR="00770A2C" w14:paraId="4194D0C4" w14:textId="77777777"/>
  </w:endnote>
  <w:endnote w:type="continuationSeparator" w:id="1">
    <w:p w:rsidR="00770A2C" w14:paraId="4A39B18C" w14:textId="77777777">
      <w:pPr>
        <w:spacing w:line="240" w:lineRule="auto"/>
      </w:pPr>
      <w:r>
        <w:continuationSeparator/>
      </w:r>
    </w:p>
    <w:p w:rsidR="00770A2C" w14:paraId="225D181C" w14:textId="77777777"/>
    <w:p w:rsidR="00770A2C" w14:paraId="6872B240" w14:textId="77777777"/>
    <w:p w:rsidR="00770A2C" w14:paraId="132D37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2DE" w14:paraId="442315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52DE" w14:paraId="410C149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0A2C" w:rsidP="00E7235E" w14:paraId="59256F0D" w14:textId="77777777">
      <w:pPr>
        <w:spacing w:line="240" w:lineRule="auto"/>
      </w:pPr>
      <w:r>
        <w:separator/>
      </w:r>
    </w:p>
  </w:footnote>
  <w:footnote w:type="continuationSeparator" w:id="1">
    <w:p w:rsidR="00770A2C" w:rsidP="00C23CC9" w14:paraId="18B0B47B" w14:textId="77777777">
      <w:pPr>
        <w:spacing w:line="240" w:lineRule="auto"/>
      </w:pPr>
      <w:r>
        <w:continuationSeparator/>
      </w:r>
    </w:p>
    <w:p w:rsidR="00770A2C" w14:paraId="4E08948C" w14:textId="77777777"/>
    <w:p w:rsidR="00770A2C" w14:paraId="3A378BBD" w14:textId="77777777"/>
    <w:p w:rsidR="00770A2C" w14:paraId="7FF89312" w14:textId="77777777"/>
  </w:footnote>
  <w:footnote w:id="2">
    <w:p w:rsidR="00760EE5" w:rsidRPr="00760EE5" w:rsidP="00593EC1" w14:paraId="65BC94A1" w14:textId="77777777">
      <w:pPr>
        <w:pStyle w:val="712"/>
        <w:rPr>
          <w:rtl/>
        </w:rPr>
      </w:pPr>
      <w:r w:rsidRPr="00760EE5">
        <w:rPr>
          <w:rStyle w:val="FootnoteReference2"/>
          <w:vertAlign w:val="baseline"/>
        </w:rPr>
        <w:footnoteRef/>
      </w:r>
      <w:r w:rsidRPr="00760EE5">
        <w:rPr>
          <w:rtl/>
        </w:rPr>
        <w:t xml:space="preserve"> </w:t>
      </w:r>
      <w:r w:rsidRPr="00760EE5">
        <w:rPr>
          <w:rtl/>
        </w:rPr>
        <w:tab/>
      </w:r>
      <w:r w:rsidRPr="00760EE5">
        <w:t xml:space="preserve">Post-traumatic </w:t>
      </w:r>
      <w:r w:rsidRPr="00760EE5">
        <w:t>Stress Disorder</w:t>
      </w:r>
      <w:r w:rsidRPr="00760EE5">
        <w:rPr>
          <w:rFonts w:hint="cs"/>
          <w:rtl/>
        </w:rPr>
        <w:t>.</w:t>
      </w:r>
    </w:p>
  </w:footnote>
  <w:footnote w:id="3">
    <w:p w:rsidR="00760EE5" w:rsidRPr="00760EE5" w:rsidP="00593EC1" w14:paraId="349240A0" w14:textId="77777777">
      <w:pPr>
        <w:pStyle w:val="712"/>
        <w:rPr>
          <w:rtl/>
        </w:rPr>
      </w:pPr>
      <w:r w:rsidRPr="00760EE5">
        <w:rPr>
          <w:rStyle w:val="FootnoteReference2"/>
          <w:vertAlign w:val="baseline"/>
        </w:rPr>
        <w:footnoteRef/>
      </w:r>
      <w:r w:rsidRPr="00760EE5">
        <w:rPr>
          <w:rStyle w:val="FootnoteReference2"/>
          <w:vertAlign w:val="baseline"/>
          <w:rtl/>
        </w:rPr>
        <w:t xml:space="preserve"> </w:t>
      </w:r>
      <w:r w:rsidRPr="00760EE5">
        <w:rPr>
          <w:rStyle w:val="FootnoteReference2"/>
          <w:vertAlign w:val="baseline"/>
          <w:rtl/>
        </w:rPr>
        <w:tab/>
      </w:r>
      <w:r w:rsidRPr="00760EE5">
        <w:rPr>
          <w:rtl/>
        </w:rPr>
        <w:t>שלב זה כולל את תהליך ההכרה וקביעת דרגת נכות על ידי וע</w:t>
      </w:r>
      <w:r w:rsidRPr="00760EE5">
        <w:rPr>
          <w:rFonts w:hint="cs"/>
          <w:rtl/>
        </w:rPr>
        <w:t>דה רפואית</w:t>
      </w:r>
      <w:r w:rsidRPr="00760EE5">
        <w:rPr>
          <w:rtl/>
        </w:rPr>
        <w:t>.</w:t>
      </w:r>
    </w:p>
  </w:footnote>
  <w:footnote w:id="4">
    <w:p w:rsidR="00760EE5" w:rsidRPr="00CB5A56" w:rsidP="00593EC1" w14:paraId="69C6110A" w14:textId="77777777">
      <w:pPr>
        <w:pStyle w:val="712"/>
      </w:pPr>
      <w:r w:rsidRPr="00760EE5">
        <w:rPr>
          <w:rStyle w:val="FootnoteReference2"/>
          <w:vertAlign w:val="baseline"/>
        </w:rPr>
        <w:footnoteRef/>
      </w:r>
      <w:r w:rsidRPr="00760EE5">
        <w:rPr>
          <w:rStyle w:val="FootnoteReference2"/>
          <w:vertAlign w:val="baseline"/>
          <w:rtl/>
        </w:rPr>
        <w:t xml:space="preserve"> </w:t>
      </w:r>
      <w:r w:rsidRPr="00760EE5">
        <w:rPr>
          <w:rStyle w:val="FootnoteReference2"/>
          <w:vertAlign w:val="baseline"/>
          <w:rtl/>
        </w:rPr>
        <w:tab/>
      </w:r>
      <w:r w:rsidRPr="00760EE5">
        <w:rPr>
          <w:rtl/>
        </w:rPr>
        <w:t xml:space="preserve">השאלון נשלח לקבוצות אוכלוסייה מקרב נכי צה"ל המטופלים באגף השיקום: (1) כלל הנכים המוכרים בגין פגיעת ראש או פגיעה נפשית או </w:t>
      </w:r>
      <w:r w:rsidRPr="00760EE5">
        <w:t>PTSD</w:t>
      </w:r>
      <w:r w:rsidRPr="00760EE5">
        <w:rPr>
          <w:rtl/>
        </w:rPr>
        <w:t xml:space="preserve">; (2) כלל הנכים שהגישו בקשה להכרה החל </w:t>
      </w:r>
      <w:r w:rsidRPr="00760EE5">
        <w:rPr>
          <w:rFonts w:hint="cs"/>
          <w:rtl/>
        </w:rPr>
        <w:t>ב</w:t>
      </w:r>
      <w:r w:rsidRPr="00760EE5">
        <w:rPr>
          <w:rtl/>
        </w:rPr>
        <w:t xml:space="preserve">ינואר 2022; (3) כלל הנכים שהיו בוועדה רפואית החל </w:t>
      </w:r>
      <w:r w:rsidRPr="00760EE5">
        <w:rPr>
          <w:rFonts w:hint="cs"/>
          <w:rtl/>
        </w:rPr>
        <w:t>ב</w:t>
      </w:r>
      <w:r w:rsidRPr="00760EE5">
        <w:rPr>
          <w:rtl/>
        </w:rPr>
        <w:t xml:space="preserve">ינואר 2022; (4) כלל הנכים שביקשו הפניה או מרשם מאגף השיקום החל </w:t>
      </w:r>
      <w:r w:rsidRPr="00760EE5">
        <w:rPr>
          <w:rFonts w:hint="cs"/>
          <w:rtl/>
        </w:rPr>
        <w:t>ב</w:t>
      </w:r>
      <w:r w:rsidRPr="00760EE5">
        <w:rPr>
          <w:rtl/>
        </w:rPr>
        <w:t>ינואר 2022. יצוין כי חלק מהנכים נכללים ביותר מקבוצת אוכלוסייה אחת.</w:t>
      </w:r>
    </w:p>
  </w:footnote>
  <w:footnote w:id="5">
    <w:p w:rsidR="00760EE5" w:rsidRPr="00760EE5" w:rsidP="00593EC1" w14:paraId="79E81A43" w14:textId="77777777">
      <w:pPr>
        <w:pStyle w:val="712"/>
        <w:rPr>
          <w:rtl/>
        </w:rPr>
      </w:pPr>
      <w:r w:rsidRPr="00760EE5">
        <w:rPr>
          <w:rStyle w:val="FootnoteReference2"/>
          <w:vertAlign w:val="baseline"/>
        </w:rPr>
        <w:footnoteRef/>
      </w:r>
      <w:r w:rsidRPr="00760EE5">
        <w:rPr>
          <w:rtl/>
        </w:rPr>
        <w:t xml:space="preserve"> </w:t>
      </w:r>
      <w:r w:rsidRPr="00760EE5">
        <w:rPr>
          <w:rtl/>
        </w:rPr>
        <w:tab/>
      </w:r>
      <w:r w:rsidRPr="00760EE5">
        <w:rPr>
          <w:rFonts w:hint="cs"/>
          <w:rtl/>
        </w:rPr>
        <w:t>כלי רכב אישי המשמש את נכה צה"ל הזכאי לכך</w:t>
      </w:r>
      <w:r w:rsidRPr="00760EE5">
        <w:rPr>
          <w:rtl/>
        </w:rPr>
        <w:t xml:space="preserve"> </w:t>
      </w:r>
      <w:r w:rsidRPr="00760EE5">
        <w:rPr>
          <w:rtl/>
        </w:rPr>
        <w:t>בהתנ</w:t>
      </w:r>
      <w:r w:rsidRPr="00760EE5">
        <w:rPr>
          <w:rFonts w:hint="cs"/>
          <w:rtl/>
        </w:rPr>
        <w:t>י</w:t>
      </w:r>
      <w:r w:rsidRPr="00760EE5">
        <w:rPr>
          <w:rtl/>
        </w:rPr>
        <w:t>ידות</w:t>
      </w:r>
      <w:r w:rsidRPr="00760EE5">
        <w:rPr>
          <w:rtl/>
        </w:rPr>
        <w:t xml:space="preserve"> בחיי היום</w:t>
      </w:r>
      <w:r w:rsidRPr="00760EE5">
        <w:rPr>
          <w:rFonts w:hint="cs"/>
          <w:rtl/>
        </w:rPr>
        <w:t>-</w:t>
      </w:r>
      <w:r w:rsidRPr="00760EE5">
        <w:rPr>
          <w:rtl/>
        </w:rPr>
        <w:t xml:space="preserve">יום, </w:t>
      </w:r>
      <w:r w:rsidRPr="00760EE5">
        <w:rPr>
          <w:rFonts w:hint="cs"/>
          <w:rtl/>
        </w:rPr>
        <w:t>והמותאם</w:t>
      </w:r>
      <w:r w:rsidRPr="00760EE5">
        <w:rPr>
          <w:rtl/>
        </w:rPr>
        <w:t xml:space="preserve"> למצב</w:t>
      </w:r>
      <w:r w:rsidRPr="00760EE5">
        <w:rPr>
          <w:rFonts w:hint="cs"/>
          <w:rtl/>
        </w:rPr>
        <w:t>ו</w:t>
      </w:r>
      <w:r w:rsidRPr="00760EE5">
        <w:rPr>
          <w:rtl/>
        </w:rPr>
        <w:t xml:space="preserve"> הרפואי</w:t>
      </w:r>
      <w:r w:rsidRPr="00760EE5">
        <w:rPr>
          <w:rFonts w:hint="cs"/>
          <w:rtl/>
        </w:rPr>
        <w:t>.</w:t>
      </w:r>
    </w:p>
  </w:footnote>
  <w:footnote w:id="6">
    <w:p w:rsidR="00760EE5" w:rsidRPr="00760EE5" w:rsidP="00593EC1" w14:paraId="09F4EF8E" w14:textId="77777777">
      <w:pPr>
        <w:pStyle w:val="712"/>
        <w:rPr>
          <w:rtl/>
        </w:rPr>
      </w:pPr>
      <w:r w:rsidRPr="00760EE5">
        <w:rPr>
          <w:rStyle w:val="FootnoteReference2"/>
          <w:vertAlign w:val="baseline"/>
        </w:rPr>
        <w:footnoteRef/>
      </w:r>
      <w:r w:rsidRPr="00760EE5">
        <w:rPr>
          <w:rtl/>
        </w:rPr>
        <w:t xml:space="preserve"> </w:t>
      </w:r>
      <w:r w:rsidRPr="00760EE5">
        <w:rPr>
          <w:rtl/>
        </w:rPr>
        <w:tab/>
        <w:t>א</w:t>
      </w:r>
      <w:r w:rsidRPr="00760EE5">
        <w:rPr>
          <w:rFonts w:hint="cs"/>
          <w:rtl/>
        </w:rPr>
        <w:t>ו</w:t>
      </w:r>
      <w:r w:rsidRPr="00760EE5">
        <w:rPr>
          <w:rtl/>
        </w:rPr>
        <w:t>מנם החלטת הממשלה לא כללה פירוט של ההטבות אולם יצוין כי מדובר בין היתר בהטבות בחישובי תגמולים ומענקים, בתחום השיקום התעסוקתי, בתחום הרווחה, בתחום הטיפולים הרפואיים ובהטבות לבני משפחה</w:t>
      </w:r>
      <w:r w:rsidRPr="00760EE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760EE5" w14:textId="1A47856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760EE5" w:rsidR="00760EE5">
                            <w:rPr>
                              <w:rFonts w:ascii="Tahoma" w:hAnsi="Tahoma" w:cs="Tahoma"/>
                              <w:b/>
                              <w:bCs/>
                              <w:spacing w:val="-4"/>
                              <w:rtl/>
                            </w:rPr>
                            <w:t>רפורמת "נפש אחת" - טיפול משרד הביטחון בנכי צה"ל וכוחות הביטחון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760EE5" w14:paraId="77809697" w14:textId="1A47856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760EE5" w:rsidR="00760EE5">
                      <w:rPr>
                        <w:rFonts w:ascii="Tahoma" w:hAnsi="Tahoma" w:cs="Tahoma"/>
                        <w:b/>
                        <w:bCs/>
                        <w:spacing w:val="-4"/>
                        <w:rtl/>
                      </w:rPr>
                      <w:t>רפורמת "נפש אחת" - טיפול משרד הביטחון בנכי צה"ל וכוחות הביטחון - דוח מיוחד</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0F2FDFF8">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452DE">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sidR="00DC0A42">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sidR="00DC0A42">
                            <w:rPr>
                              <w:rFonts w:ascii="Tahoma" w:hAnsi="Tahoma" w:cs="Tahoma" w:hint="cs"/>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0F2FDFF8">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A452DE">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sidR="00DC0A42">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sidR="00DC0A42">
                      <w:rPr>
                        <w:rFonts w:ascii="Tahoma" w:hAnsi="Tahoma" w:cs="Tahoma" w:hint="cs"/>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352258A5">
                          <w:pPr>
                            <w:pStyle w:val="Heading1"/>
                            <w:spacing w:line="269" w:lineRule="auto"/>
                            <w:jc w:val="left"/>
                            <w:rPr>
                              <w:rFonts w:ascii="Tahoma" w:hAnsi="Tahoma" w:eastAsiaTheme="minorHAnsi" w:cs="Tahoma"/>
                              <w:bCs w:val="0"/>
                              <w:color w:val="0D0D0D" w:themeColor="text1" w:themeTint="F2"/>
                              <w:sz w:val="16"/>
                              <w:szCs w:val="16"/>
                              <w:u w:val="none"/>
                            </w:rPr>
                          </w:pPr>
                          <w:r w:rsidRPr="00760EE5">
                            <w:rPr>
                              <w:rFonts w:ascii="Tahoma" w:hAnsi="Tahoma" w:eastAsiaTheme="minorHAnsi" w:cs="Tahoma"/>
                              <w:bCs w:val="0"/>
                              <w:color w:val="0D0D0D" w:themeColor="text1" w:themeTint="F2"/>
                              <w:sz w:val="16"/>
                              <w:szCs w:val="16"/>
                              <w:u w:val="none"/>
                              <w:rtl/>
                            </w:rPr>
                            <w:t>רפורמת "נפש אחת" - טיפול משרד הביטחון בנכי צה"ל וכוחות הביטחון - דוח מיוחד</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352258A5">
                    <w:pPr>
                      <w:pStyle w:val="Heading1"/>
                      <w:spacing w:line="269" w:lineRule="auto"/>
                      <w:jc w:val="left"/>
                      <w:rPr>
                        <w:rFonts w:ascii="Tahoma" w:hAnsi="Tahoma" w:eastAsiaTheme="minorHAnsi" w:cs="Tahoma"/>
                        <w:bCs w:val="0"/>
                        <w:color w:val="0D0D0D" w:themeColor="text1" w:themeTint="F2"/>
                        <w:sz w:val="16"/>
                        <w:szCs w:val="16"/>
                        <w:u w:val="none"/>
                      </w:rPr>
                    </w:pPr>
                    <w:r w:rsidRPr="00760EE5">
                      <w:rPr>
                        <w:rFonts w:ascii="Tahoma" w:hAnsi="Tahoma" w:eastAsiaTheme="minorHAnsi" w:cs="Tahoma"/>
                        <w:bCs w:val="0"/>
                        <w:color w:val="0D0D0D" w:themeColor="text1" w:themeTint="F2"/>
                        <w:sz w:val="16"/>
                        <w:szCs w:val="16"/>
                        <w:u w:val="none"/>
                        <w:rtl/>
                      </w:rPr>
                      <w:t>רפורמת "נפש אחת" - טיפול משרד הביטחון בנכי צה"ל וכוחות הביטחון - דוח מיוחד</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760EE5" w14:textId="77BEFB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60EE5" w:rsidR="00760EE5">
                            <w:rPr>
                              <w:rFonts w:ascii="Tahoma" w:hAnsi="Tahoma" w:cs="Tahoma"/>
                              <w:b/>
                              <w:bCs/>
                              <w:spacing w:val="-4"/>
                              <w:rtl/>
                            </w:rPr>
                            <w:t>רפורמת "נפש אחת" - טיפול משרד הביטחון בנכי צה"ל וכוחות הביטחון - דוח מיוחד</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760EE5" w14:paraId="3B4CCAD6" w14:textId="77BEFB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760EE5" w:rsidR="00760EE5">
                      <w:rPr>
                        <w:rFonts w:ascii="Tahoma" w:hAnsi="Tahoma" w:cs="Tahoma"/>
                        <w:b/>
                        <w:bCs/>
                        <w:spacing w:val="-4"/>
                        <w:rtl/>
                      </w:rPr>
                      <w:t>רפורמת "נפש אחת" - טיפול משרד הביטחון בנכי צה"ל וכוחות הביטחון - דוח מיוחד</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0AF8F3AD">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DC0A42">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sidR="00A452DE">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00DC0A42">
                            <w:rPr>
                              <w:rFonts w:ascii="Tahoma" w:hAnsi="Tahoma" w:cs="Tahoma" w:hint="cs"/>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0AF8F3AD">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DC0A42">
                      <w:rPr>
                        <w:rFonts w:ascii="Tahoma" w:hAnsi="Tahoma" w:cs="Tahoma" w:hint="cs"/>
                        <w:color w:val="0D0D0D"/>
                        <w:sz w:val="16"/>
                        <w:szCs w:val="16"/>
                        <w:rtl/>
                      </w:rPr>
                      <w:t>ינואר</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w:t>
                    </w:r>
                    <w:r w:rsidR="00A452DE">
                      <w:rPr>
                        <w:rFonts w:ascii="Tahoma" w:hAnsi="Tahoma" w:cs="Tahoma" w:hint="cs"/>
                        <w:color w:val="0D0D0D"/>
                        <w:sz w:val="16"/>
                        <w:szCs w:val="16"/>
                        <w:rtl/>
                      </w:rPr>
                      <w:t>שבט</w:t>
                    </w:r>
                    <w:r w:rsidRPr="00AF3B73">
                      <w:rPr>
                        <w:rFonts w:ascii="Tahoma" w:hAnsi="Tahoma" w:cs="Tahoma"/>
                        <w:color w:val="0D0D0D"/>
                        <w:sz w:val="16"/>
                        <w:szCs w:val="16"/>
                        <w:rtl/>
                      </w:rPr>
                      <w:t xml:space="preserve"> </w:t>
                    </w:r>
                    <w:r w:rsidR="00DC0A42">
                      <w:rPr>
                        <w:rFonts w:ascii="Tahoma" w:hAnsi="Tahoma" w:cs="Tahoma" w:hint="cs"/>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230276A"/>
    <w:multiLevelType w:val="multilevel"/>
    <w:tmpl w:val="D30E39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081D75FF"/>
    <w:multiLevelType w:val="hybridMultilevel"/>
    <w:tmpl w:val="979CA7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88216AB"/>
    <w:multiLevelType w:val="hybridMultilevel"/>
    <w:tmpl w:val="BB7ADECA"/>
    <w:lvl w:ilvl="0">
      <w:start w:val="1"/>
      <w:numFmt w:val="hebrew1"/>
      <w:pStyle w:val="126"/>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3">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E1F723C"/>
    <w:multiLevelType w:val="hybridMultilevel"/>
    <w:tmpl w:val="A6021CE6"/>
    <w:lvl w:ilvl="0">
      <w:start w:val="1"/>
      <w:numFmt w:val="decimal"/>
      <w:lvlText w:val="%1."/>
      <w:lvlJc w:val="left"/>
      <w:pPr>
        <w:ind w:left="397"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6">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705746"/>
    <w:multiLevelType w:val="hybridMultilevel"/>
    <w:tmpl w:val="A6DE3778"/>
    <w:lvl w:ilvl="0">
      <w:start w:val="1"/>
      <w:numFmt w:val="decimal"/>
      <w:lvlText w:val="%1."/>
      <w:lvlJc w:val="left"/>
      <w:pPr>
        <w:ind w:left="397"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8">
    <w:nsid w:val="21BF5246"/>
    <w:multiLevelType w:val="hybridMultilevel"/>
    <w:tmpl w:val="C4F81444"/>
    <w:lvl w:ilvl="0">
      <w:start w:val="1"/>
      <w:numFmt w:val="decimal"/>
      <w:lvlText w:val="%1."/>
      <w:lvlJc w:val="left"/>
      <w:pPr>
        <w:ind w:left="397"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9">
    <w:nsid w:val="291A11F7"/>
    <w:multiLevelType w:val="multilevel"/>
    <w:tmpl w:val="94E6A49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nsid w:val="30D17255"/>
    <w:multiLevelType w:val="hybridMultilevel"/>
    <w:tmpl w:val="F1AE1FFC"/>
    <w:lvl w:ilvl="0">
      <w:start w:val="1"/>
      <w:numFmt w:val="decimal"/>
      <w:pStyle w:val="a64"/>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2">
    <w:nsid w:val="316B14B9"/>
    <w:multiLevelType w:val="hybridMultilevel"/>
    <w:tmpl w:val="378E9214"/>
    <w:lvl w:ilvl="0">
      <w:start w:val="1"/>
      <w:numFmt w:val="decimal"/>
      <w:pStyle w:val="a62"/>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3">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3A86F96"/>
    <w:multiLevelType w:val="hybridMultilevel"/>
    <w:tmpl w:val="220A2AB2"/>
    <w:lvl w:ilvl="0">
      <w:start w:val="1"/>
      <w:numFmt w:val="decimal"/>
      <w:pStyle w:val="a66"/>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26">
    <w:nsid w:val="3A923526"/>
    <w:multiLevelType w:val="hybridMultilevel"/>
    <w:tmpl w:val="4E74417E"/>
    <w:lvl w:ilvl="0">
      <w:start w:val="1"/>
      <w:numFmt w:val="decimal"/>
      <w:pStyle w:val="a60"/>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0DC7E01"/>
    <w:multiLevelType w:val="hybridMultilevel"/>
    <w:tmpl w:val="5D24C320"/>
    <w:lvl w:ilvl="0">
      <w:start w:val="1"/>
      <w:numFmt w:val="decimal"/>
      <w:pStyle w:val="35"/>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9">
    <w:nsid w:val="441A6670"/>
    <w:multiLevelType w:val="hybridMultilevel"/>
    <w:tmpl w:val="369C82D6"/>
    <w:lvl w:ilvl="0">
      <w:start w:val="1"/>
      <w:numFmt w:val="hebrew1"/>
      <w:pStyle w:val="37"/>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30">
    <w:nsid w:val="4582521C"/>
    <w:multiLevelType w:val="hybridMultilevel"/>
    <w:tmpl w:val="5010DC08"/>
    <w:lvl w:ilvl="0">
      <w:start w:val="1"/>
      <w:numFmt w:val="decimal"/>
      <w:lvlText w:val="%1."/>
      <w:lvlJc w:val="left"/>
      <w:pPr>
        <w:ind w:left="397"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1">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2">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3">
    <w:nsid w:val="4DD35436"/>
    <w:multiLevelType w:val="hybridMultilevel"/>
    <w:tmpl w:val="EC1EC164"/>
    <w:lvl w:ilvl="0">
      <w:start w:val="1"/>
      <w:numFmt w:val="decimal"/>
      <w:pStyle w:val="29"/>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34">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7F64A0A"/>
    <w:multiLevelType w:val="multilevel"/>
    <w:tmpl w:val="27568D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5C211FC1"/>
    <w:multiLevelType w:val="multilevel"/>
    <w:tmpl w:val="AF828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41">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EC7BE9"/>
    <w:multiLevelType w:val="multilevel"/>
    <w:tmpl w:val="D30E39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7">
    <w:nsid w:val="7E431D00"/>
    <w:multiLevelType w:val="hybridMultilevel"/>
    <w:tmpl w:val="7576C230"/>
    <w:lvl w:ilvl="0">
      <w:start w:val="1"/>
      <w:numFmt w:val="decimal"/>
      <w:pStyle w:val="124"/>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16cid:durableId="1722511313">
    <w:abstractNumId w:val="37"/>
  </w:num>
  <w:num w:numId="2" w16cid:durableId="159808484">
    <w:abstractNumId w:val="20"/>
  </w:num>
  <w:num w:numId="3" w16cid:durableId="2074310673">
    <w:abstractNumId w:val="27"/>
  </w:num>
  <w:num w:numId="4" w16cid:durableId="1596554476">
    <w:abstractNumId w:val="46"/>
  </w:num>
  <w:num w:numId="5" w16cid:durableId="781269690">
    <w:abstractNumId w:val="10"/>
  </w:num>
  <w:num w:numId="6" w16cid:durableId="1087919862">
    <w:abstractNumId w:val="31"/>
  </w:num>
  <w:num w:numId="7" w16cid:durableId="1266497691">
    <w:abstractNumId w:val="39"/>
  </w:num>
  <w:num w:numId="8" w16cid:durableId="1873692319">
    <w:abstractNumId w:val="14"/>
  </w:num>
  <w:num w:numId="9" w16cid:durableId="1479689730">
    <w:abstractNumId w:val="13"/>
  </w:num>
  <w:num w:numId="10" w16cid:durableId="1861623203">
    <w:abstractNumId w:val="9"/>
  </w:num>
  <w:num w:numId="11" w16cid:durableId="1544710153">
    <w:abstractNumId w:val="32"/>
  </w:num>
  <w:num w:numId="12" w16cid:durableId="1057507424">
    <w:abstractNumId w:val="38"/>
  </w:num>
  <w:num w:numId="13" w16cid:durableId="1609385757">
    <w:abstractNumId w:val="42"/>
  </w:num>
  <w:num w:numId="14" w16cid:durableId="1208831065">
    <w:abstractNumId w:val="34"/>
  </w:num>
  <w:num w:numId="15" w16cid:durableId="1425805868">
    <w:abstractNumId w:val="43"/>
  </w:num>
  <w:num w:numId="16" w16cid:durableId="1455250565">
    <w:abstractNumId w:val="16"/>
  </w:num>
  <w:num w:numId="17" w16cid:durableId="1398552641">
    <w:abstractNumId w:val="45"/>
  </w:num>
  <w:num w:numId="18" w16cid:durableId="1752001909">
    <w:abstractNumId w:val="41"/>
  </w:num>
  <w:num w:numId="19" w16cid:durableId="1971200875">
    <w:abstractNumId w:val="24"/>
  </w:num>
  <w:num w:numId="20" w16cid:durableId="499739379">
    <w:abstractNumId w:val="23"/>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541280019">
    <w:abstractNumId w:val="19"/>
  </w:num>
  <w:num w:numId="1430" w16cid:durableId="1816726673">
    <w:abstractNumId w:val="35"/>
  </w:num>
  <w:num w:numId="1431" w16cid:durableId="242033910">
    <w:abstractNumId w:val="8"/>
  </w:num>
  <w:num w:numId="1432" w16cid:durableId="236020165">
    <w:abstractNumId w:val="44"/>
  </w:num>
  <w:num w:numId="1433" w16cid:durableId="111440414">
    <w:abstractNumId w:val="47"/>
  </w:num>
  <w:num w:numId="1434" w16cid:durableId="2091929484">
    <w:abstractNumId w:val="33"/>
  </w:num>
  <w:num w:numId="1435" w16cid:durableId="904297677">
    <w:abstractNumId w:val="28"/>
  </w:num>
  <w:num w:numId="1436" w16cid:durableId="1141385733">
    <w:abstractNumId w:val="12"/>
  </w:num>
  <w:num w:numId="1437" w16cid:durableId="1959070406">
    <w:abstractNumId w:val="29"/>
  </w:num>
  <w:num w:numId="1438" w16cid:durableId="2073380801">
    <w:abstractNumId w:val="40"/>
  </w:num>
  <w:num w:numId="1439" w16cid:durableId="113062978">
    <w:abstractNumId w:val="26"/>
  </w:num>
  <w:num w:numId="1440" w16cid:durableId="2008286299">
    <w:abstractNumId w:val="22"/>
  </w:num>
  <w:num w:numId="1441" w16cid:durableId="1040980983">
    <w:abstractNumId w:val="21"/>
  </w:num>
  <w:num w:numId="1442" w16cid:durableId="242298166">
    <w:abstractNumId w:val="25"/>
  </w:num>
  <w:num w:numId="1443" w16cid:durableId="1628052193">
    <w:abstractNumId w:val="36"/>
  </w:num>
  <w:num w:numId="1444" w16cid:durableId="6028826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5" w16cid:durableId="1364747088">
    <w:abstractNumId w:val="11"/>
  </w:num>
  <w:num w:numId="1446" w16cid:durableId="340931220">
    <w:abstractNumId w:val="15"/>
  </w:num>
  <w:num w:numId="1447" w16cid:durableId="864832832">
    <w:abstractNumId w:val="30"/>
  </w:num>
  <w:num w:numId="1448" w16cid:durableId="291667516">
    <w:abstractNumId w:val="17"/>
  </w:num>
  <w:num w:numId="1449" w16cid:durableId="38020701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5A4A"/>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004"/>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A8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375"/>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4E9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6DFB"/>
    <w:rsid w:val="001F76D7"/>
    <w:rsid w:val="00200434"/>
    <w:rsid w:val="00200E5B"/>
    <w:rsid w:val="00200FE9"/>
    <w:rsid w:val="002014C8"/>
    <w:rsid w:val="00202068"/>
    <w:rsid w:val="00202878"/>
    <w:rsid w:val="00202F8B"/>
    <w:rsid w:val="00203022"/>
    <w:rsid w:val="00203277"/>
    <w:rsid w:val="00203604"/>
    <w:rsid w:val="00203E25"/>
    <w:rsid w:val="00205724"/>
    <w:rsid w:val="00205C5F"/>
    <w:rsid w:val="002064F7"/>
    <w:rsid w:val="00206509"/>
    <w:rsid w:val="00206BDB"/>
    <w:rsid w:val="00206FD5"/>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122"/>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11"/>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5FAC"/>
    <w:rsid w:val="003063A3"/>
    <w:rsid w:val="003067B1"/>
    <w:rsid w:val="00306A3B"/>
    <w:rsid w:val="00306A59"/>
    <w:rsid w:val="003071E1"/>
    <w:rsid w:val="003073E1"/>
    <w:rsid w:val="00307A51"/>
    <w:rsid w:val="00307E76"/>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025"/>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4F"/>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4DB7"/>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3DC"/>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838"/>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39B7"/>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3EC1"/>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44B"/>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28"/>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DEE"/>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CFA"/>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EE5"/>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2C"/>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19B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17"/>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1C8"/>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702"/>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6DB"/>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2DE"/>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16F"/>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57AE"/>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B01"/>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E24"/>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5A56"/>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51C"/>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AAD"/>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6A1"/>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5B3"/>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46"/>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65"/>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465"/>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iPriority w:val="99"/>
    <w:unhideWhenUsed/>
    <w:rsid w:val="00760EE5"/>
    <w:rPr>
      <w:vertAlign w:val="superscript"/>
    </w:rPr>
  </w:style>
  <w:style w:type="character" w:styleId="CommentReference">
    <w:name w:val="annotation reference"/>
    <w:basedOn w:val="DefaultParagraphFont"/>
    <w:uiPriority w:val="99"/>
    <w:semiHidden/>
    <w:unhideWhenUsed/>
    <w:rsid w:val="00593EC1"/>
    <w:rPr>
      <w:sz w:val="16"/>
      <w:szCs w:val="16"/>
    </w:rPr>
  </w:style>
  <w:style w:type="table" w:styleId="PlainTable1">
    <w:name w:val="Plain Table 1"/>
    <w:basedOn w:val="TableNormal"/>
    <w:uiPriority w:val="41"/>
    <w:rsid w:val="00593E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593EC1"/>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rPr>
        <w:sz w:val="24"/>
        <w:szCs w:val="24"/>
      </w:rPr>
      <w:tblPr/>
      <w:tcPr>
        <w:tcBorders>
          <w:top w:val="nil"/>
          <w:left w:val="nil"/>
          <w:bottom w:val="single" w:sz="24" w:space="0" w:color="1CADE4" w:themeColor="accent1"/>
          <w:right w:val="nil"/>
          <w:insideH w:val="nil"/>
          <w:insideV w:val="nil"/>
        </w:tcBorders>
        <w:shd w:val="clear" w:color="auto" w:fill="FFFFFF" w:themeFill="background1"/>
      </w:tcPr>
    </w:tblStylePr>
    <w:tblStylePr w:type="lastRow">
      <w:tblPr/>
      <w:tcPr>
        <w:tcBorders>
          <w:top w:val="single" w:sz="8" w:space="0" w:color="1CADE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ADE4" w:themeColor="accent1"/>
          <w:insideH w:val="nil"/>
          <w:insideV w:val="nil"/>
        </w:tcBorders>
        <w:shd w:val="clear" w:color="auto" w:fill="FFFFFF" w:themeFill="background1"/>
      </w:tcPr>
    </w:tblStylePr>
    <w:tblStylePr w:type="lastCol">
      <w:tblPr/>
      <w:tcPr>
        <w:tcBorders>
          <w:top w:val="nil"/>
          <w:left w:val="single" w:sz="8" w:space="0" w:color="1CADE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top w:val="nil"/>
          <w:bottom w:val="nil"/>
          <w:insideH w:val="nil"/>
          <w:insideV w:val="nil"/>
        </w:tcBorders>
        <w:shd w:val="clear" w:color="auto" w:fill="C6EA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Light">
    <w:name w:val="Grid Table Light"/>
    <w:basedOn w:val="TableNormal"/>
    <w:uiPriority w:val="40"/>
    <w:rsid w:val="00593E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93EC1"/>
    <w:rPr>
      <w:color w:val="605E5C"/>
      <w:shd w:val="clear" w:color="auto" w:fill="E1DFDD"/>
    </w:rPr>
  </w:style>
  <w:style w:type="paragraph" w:customStyle="1" w:styleId="719">
    <w:name w:val="71ג׳ טקסט רץ 9"/>
    <w:basedOn w:val="Normal"/>
    <w:link w:val="7190"/>
    <w:qFormat/>
    <w:rsid w:val="00593EC1"/>
    <w:pPr>
      <w:spacing w:after="180" w:line="260" w:lineRule="exact"/>
    </w:pPr>
    <w:rPr>
      <w:rFonts w:ascii="Tahoma" w:hAnsi="Tahoma" w:cs="Tahoma"/>
      <w:color w:val="0D0D0D" w:themeColor="text1" w:themeTint="F2"/>
      <w:sz w:val="18"/>
      <w:szCs w:val="18"/>
    </w:rPr>
  </w:style>
  <w:style w:type="character" w:customStyle="1" w:styleId="7190">
    <w:name w:val="71ג׳ טקסט רץ 9 תו"/>
    <w:basedOn w:val="DefaultParagraphFont"/>
    <w:link w:val="719"/>
    <w:rsid w:val="00593EC1"/>
    <w:rPr>
      <w:rFonts w:ascii="Tahoma" w:hAnsi="Tahoma" w:cs="Tahoma"/>
      <w:color w:val="0D0D0D" w:themeColor="text1" w:themeTint="F2"/>
      <w:sz w:val="18"/>
      <w:szCs w:val="18"/>
    </w:rPr>
  </w:style>
  <w:style w:type="paragraph" w:customStyle="1" w:styleId="a35">
    <w:name w:val="פרטי הדוח ממה"/>
    <w:basedOn w:val="Normal"/>
    <w:qFormat/>
    <w:rsid w:val="00593EC1"/>
    <w:pPr>
      <w:spacing w:before="600" w:line="240" w:lineRule="auto"/>
      <w:ind w:left="284"/>
      <w:jc w:val="left"/>
    </w:pPr>
    <w:rPr>
      <w:rFonts w:ascii="Calibri" w:eastAsia="Calibri" w:hAnsi="Calibri" w:cs="Calibri"/>
      <w:noProof/>
      <w:color w:val="FFFFFF" w:themeColor="background1"/>
      <w:sz w:val="24"/>
    </w:rPr>
  </w:style>
  <w:style w:type="paragraph" w:customStyle="1" w:styleId="a36">
    <w:name w:val="כותרת הדוח ממה"/>
    <w:basedOn w:val="Normal"/>
    <w:link w:val="a37"/>
    <w:qFormat/>
    <w:rsid w:val="00593EC1"/>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7">
    <w:name w:val="כותרת הדוח ממה תו"/>
    <w:basedOn w:val="DefaultParagraphFont"/>
    <w:link w:val="a36"/>
    <w:rsid w:val="00593EC1"/>
    <w:rPr>
      <w:rFonts w:ascii="Calibri" w:hAnsi="Calibri" w:cs="Calibri"/>
      <w:b/>
      <w:bCs/>
      <w:color w:val="FFFFFF" w:themeColor="background1"/>
      <w:sz w:val="60"/>
      <w:szCs w:val="60"/>
    </w:rPr>
  </w:style>
  <w:style w:type="paragraph" w:customStyle="1" w:styleId="a38">
    <w:name w:val="טקסט שם מונח ממה"/>
    <w:basedOn w:val="Normal"/>
    <w:qFormat/>
    <w:rsid w:val="00593EC1"/>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9">
    <w:name w:val="טקסט הגדרת מונח ממה"/>
    <w:link w:val="a40"/>
    <w:qFormat/>
    <w:rsid w:val="00593EC1"/>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40">
    <w:name w:val="טקסט הגדרת מונח ממה תו"/>
    <w:basedOn w:val="DefaultParagraphFont"/>
    <w:link w:val="a39"/>
    <w:rsid w:val="00593EC1"/>
    <w:rPr>
      <w:rFonts w:ascii="Calibri" w:eastAsia="DengXian" w:hAnsi="Calibri" w:cs="Calibri"/>
      <w:color w:val="002060"/>
      <w:sz w:val="24"/>
      <w:lang w:val="en-GB"/>
    </w:rPr>
  </w:style>
  <w:style w:type="paragraph" w:customStyle="1" w:styleId="a41">
    <w:name w:val="מבוא ממה"/>
    <w:basedOn w:val="Normal"/>
    <w:next w:val="Normal"/>
    <w:link w:val="a42"/>
    <w:autoRedefine/>
    <w:qFormat/>
    <w:rsid w:val="00593EC1"/>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42">
    <w:name w:val="מבוא ממה תו"/>
    <w:basedOn w:val="DefaultParagraphFont"/>
    <w:link w:val="a41"/>
    <w:rsid w:val="00593EC1"/>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43">
    <w:name w:val="מראה מקום ממה"/>
    <w:basedOn w:val="Normal"/>
    <w:next w:val="Normal"/>
    <w:link w:val="a44"/>
    <w:qFormat/>
    <w:rsid w:val="00593EC1"/>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44">
    <w:name w:val="מראה מקום ממה תו"/>
    <w:basedOn w:val="DefaultParagraphFont"/>
    <w:link w:val="a43"/>
    <w:rsid w:val="00593EC1"/>
    <w:rPr>
      <w:rFonts w:ascii="Calibri" w:eastAsia="Calibri" w:hAnsi="Calibri" w:cs="Calibri"/>
      <w:b/>
      <w:bCs/>
      <w:color w:val="002060"/>
      <w:sz w:val="18"/>
      <w:szCs w:val="18"/>
      <w:shd w:val="solid" w:color="F3F7FF" w:fill="auto"/>
    </w:rPr>
  </w:style>
  <w:style w:type="paragraph" w:customStyle="1" w:styleId="a45">
    <w:name w:val="כותרת עליונה ממה"/>
    <w:basedOn w:val="Normal"/>
    <w:next w:val="Normal"/>
    <w:link w:val="a46"/>
    <w:qFormat/>
    <w:rsid w:val="00593EC1"/>
    <w:pPr>
      <w:spacing w:line="240" w:lineRule="auto"/>
      <w:ind w:left="737"/>
      <w:jc w:val="left"/>
    </w:pPr>
    <w:rPr>
      <w:rFonts w:ascii="Calibri" w:eastAsia="Calibri" w:hAnsi="Calibri" w:cs="Calibri"/>
      <w:color w:val="002060"/>
      <w:sz w:val="18"/>
      <w:szCs w:val="18"/>
    </w:rPr>
  </w:style>
  <w:style w:type="character" w:customStyle="1" w:styleId="a46">
    <w:name w:val="כותרת עליונה ממה תו"/>
    <w:basedOn w:val="DefaultParagraphFont"/>
    <w:link w:val="a45"/>
    <w:rsid w:val="00593EC1"/>
    <w:rPr>
      <w:rFonts w:ascii="Calibri" w:eastAsia="Calibri" w:hAnsi="Calibri" w:cs="Calibri"/>
      <w:color w:val="002060"/>
      <w:sz w:val="18"/>
      <w:szCs w:val="18"/>
    </w:rPr>
  </w:style>
  <w:style w:type="paragraph" w:customStyle="1" w:styleId="124">
    <w:name w:val="כותרת 1 ממה"/>
    <w:basedOn w:val="Normal"/>
    <w:next w:val="Normal"/>
    <w:link w:val="125"/>
    <w:qFormat/>
    <w:rsid w:val="00593EC1"/>
    <w:pPr>
      <w:keepNext/>
      <w:widowControl w:val="0"/>
      <w:numPr>
        <w:numId w:val="1433"/>
      </w:numPr>
      <w:spacing w:before="240" w:after="120" w:line="440" w:lineRule="exact"/>
      <w:jc w:val="left"/>
      <w:outlineLvl w:val="0"/>
    </w:pPr>
    <w:rPr>
      <w:rFonts w:ascii="Calibri" w:eastAsia="Calibri" w:hAnsi="Calibri" w:cs="Calibri"/>
      <w:b/>
      <w:bCs/>
      <w:color w:val="002060"/>
      <w:sz w:val="40"/>
      <w:szCs w:val="40"/>
    </w:rPr>
  </w:style>
  <w:style w:type="character" w:customStyle="1" w:styleId="125">
    <w:name w:val="כותרת 1 ממה תו"/>
    <w:basedOn w:val="DefaultParagraphFont"/>
    <w:link w:val="124"/>
    <w:rsid w:val="00593EC1"/>
    <w:rPr>
      <w:rFonts w:ascii="Calibri" w:eastAsia="Calibri" w:hAnsi="Calibri" w:cs="Calibri"/>
      <w:b/>
      <w:bCs/>
      <w:color w:val="002060"/>
      <w:sz w:val="40"/>
      <w:szCs w:val="40"/>
    </w:rPr>
  </w:style>
  <w:style w:type="paragraph" w:customStyle="1" w:styleId="29">
    <w:name w:val="כותרת 2 ממה"/>
    <w:basedOn w:val="Normal"/>
    <w:next w:val="Normal"/>
    <w:link w:val="217"/>
    <w:qFormat/>
    <w:rsid w:val="00593EC1"/>
    <w:pPr>
      <w:keepNext/>
      <w:widowControl w:val="0"/>
      <w:numPr>
        <w:numId w:val="1434"/>
      </w:numPr>
      <w:spacing w:before="240" w:line="280" w:lineRule="exact"/>
      <w:jc w:val="left"/>
      <w:outlineLvl w:val="1"/>
    </w:pPr>
    <w:rPr>
      <w:rFonts w:ascii="Calibri" w:eastAsia="Calibri" w:hAnsi="Calibri" w:cs="Calibri"/>
      <w:b/>
      <w:bCs/>
      <w:color w:val="002060"/>
      <w:sz w:val="36"/>
      <w:szCs w:val="36"/>
    </w:rPr>
  </w:style>
  <w:style w:type="character" w:customStyle="1" w:styleId="217">
    <w:name w:val="כותרת 2 ממה תו"/>
    <w:basedOn w:val="27"/>
    <w:link w:val="29"/>
    <w:rsid w:val="00593EC1"/>
    <w:rPr>
      <w:rFonts w:ascii="Calibri" w:eastAsia="Calibri" w:hAnsi="Calibri" w:cs="Calibri"/>
      <w:b/>
      <w:bCs/>
      <w:color w:val="002060"/>
      <w:sz w:val="36"/>
      <w:szCs w:val="36"/>
    </w:rPr>
  </w:style>
  <w:style w:type="paragraph" w:customStyle="1" w:styleId="35">
    <w:name w:val="כותרת 3 ממה"/>
    <w:basedOn w:val="Normal"/>
    <w:next w:val="Normal"/>
    <w:link w:val="36"/>
    <w:qFormat/>
    <w:rsid w:val="00593EC1"/>
    <w:pPr>
      <w:widowControl w:val="0"/>
      <w:numPr>
        <w:numId w:val="1435"/>
      </w:numPr>
      <w:spacing w:before="240" w:line="280" w:lineRule="exact"/>
      <w:jc w:val="left"/>
    </w:pPr>
    <w:rPr>
      <w:rFonts w:ascii="Calibri" w:eastAsia="Calibri" w:hAnsi="Calibri" w:cs="Calibri"/>
      <w:b/>
      <w:bCs/>
      <w:color w:val="002060"/>
      <w:sz w:val="28"/>
      <w:szCs w:val="28"/>
      <w:u w:val="single"/>
    </w:rPr>
  </w:style>
  <w:style w:type="character" w:customStyle="1" w:styleId="36">
    <w:name w:val="כותרת 3 ממה תו"/>
    <w:basedOn w:val="30"/>
    <w:link w:val="35"/>
    <w:rsid w:val="00593EC1"/>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593EC1"/>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593EC1"/>
    <w:rPr>
      <w:rFonts w:ascii="Calibri" w:eastAsia="Calibri" w:hAnsi="Calibri" w:cs="Calibri"/>
      <w:color w:val="002060"/>
      <w:sz w:val="28"/>
      <w:szCs w:val="28"/>
    </w:rPr>
  </w:style>
  <w:style w:type="paragraph" w:customStyle="1" w:styleId="126">
    <w:name w:val="רשימה1 ממה"/>
    <w:basedOn w:val="Normal"/>
    <w:link w:val="127"/>
    <w:qFormat/>
    <w:rsid w:val="00593EC1"/>
    <w:pPr>
      <w:widowControl w:val="0"/>
      <w:numPr>
        <w:numId w:val="1436"/>
      </w:numPr>
      <w:spacing w:line="280" w:lineRule="exact"/>
    </w:pPr>
    <w:rPr>
      <w:rFonts w:ascii="Calibri" w:eastAsia="Calibri" w:hAnsi="Calibri" w:cs="Calibri"/>
      <w:color w:val="002060"/>
      <w:sz w:val="24"/>
    </w:rPr>
  </w:style>
  <w:style w:type="character" w:customStyle="1" w:styleId="127">
    <w:name w:val="רשימה1 ממה תו"/>
    <w:basedOn w:val="DefaultParagraphFont"/>
    <w:link w:val="126"/>
    <w:rsid w:val="00593EC1"/>
    <w:rPr>
      <w:rFonts w:ascii="Calibri" w:eastAsia="Calibri" w:hAnsi="Calibri" w:cs="Calibri"/>
      <w:color w:val="002060"/>
      <w:sz w:val="24"/>
    </w:rPr>
  </w:style>
  <w:style w:type="paragraph" w:customStyle="1" w:styleId="219">
    <w:name w:val="רשימה2 ממה"/>
    <w:basedOn w:val="Normal"/>
    <w:link w:val="220"/>
    <w:qFormat/>
    <w:rsid w:val="00593EC1"/>
    <w:pPr>
      <w:widowControl w:val="0"/>
      <w:spacing w:line="280" w:lineRule="exact"/>
      <w:ind w:left="1871"/>
    </w:pPr>
    <w:rPr>
      <w:rFonts w:ascii="Calibri" w:eastAsia="Calibri" w:hAnsi="Calibri" w:cs="Calibri"/>
      <w:color w:val="002060"/>
      <w:sz w:val="24"/>
    </w:rPr>
  </w:style>
  <w:style w:type="character" w:customStyle="1" w:styleId="220">
    <w:name w:val="רשימה2 ממה תו"/>
    <w:basedOn w:val="DefaultParagraphFont"/>
    <w:link w:val="219"/>
    <w:rsid w:val="00593EC1"/>
    <w:rPr>
      <w:rFonts w:ascii="Calibri" w:eastAsia="Calibri" w:hAnsi="Calibri" w:cs="Calibri"/>
      <w:color w:val="002060"/>
      <w:sz w:val="24"/>
    </w:rPr>
  </w:style>
  <w:style w:type="paragraph" w:customStyle="1" w:styleId="37">
    <w:name w:val="רשימה3 ממה"/>
    <w:basedOn w:val="Normal"/>
    <w:link w:val="38"/>
    <w:qFormat/>
    <w:rsid w:val="00593EC1"/>
    <w:pPr>
      <w:widowControl w:val="0"/>
      <w:numPr>
        <w:numId w:val="1437"/>
      </w:numPr>
      <w:spacing w:line="280" w:lineRule="exact"/>
    </w:pPr>
    <w:rPr>
      <w:rFonts w:ascii="Calibri" w:eastAsia="Calibri" w:hAnsi="Calibri" w:cs="Calibri"/>
      <w:color w:val="002060"/>
      <w:sz w:val="24"/>
    </w:rPr>
  </w:style>
  <w:style w:type="character" w:customStyle="1" w:styleId="38">
    <w:name w:val="רשימה3 ממה תו"/>
    <w:basedOn w:val="DefaultParagraphFont"/>
    <w:link w:val="37"/>
    <w:rsid w:val="00593EC1"/>
    <w:rPr>
      <w:rFonts w:ascii="Calibri" w:eastAsia="Calibri" w:hAnsi="Calibri" w:cs="Calibri"/>
      <w:color w:val="002060"/>
      <w:sz w:val="24"/>
    </w:rPr>
  </w:style>
  <w:style w:type="paragraph" w:customStyle="1" w:styleId="44">
    <w:name w:val="רשימה4 ממה"/>
    <w:basedOn w:val="Normal"/>
    <w:link w:val="45"/>
    <w:qFormat/>
    <w:rsid w:val="00593EC1"/>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593EC1"/>
    <w:rPr>
      <w:rFonts w:ascii="Calibri" w:eastAsia="Calibri" w:hAnsi="Calibri" w:cs="Calibri"/>
      <w:color w:val="002060"/>
      <w:sz w:val="24"/>
    </w:rPr>
  </w:style>
  <w:style w:type="paragraph" w:customStyle="1" w:styleId="52">
    <w:name w:val="רשימה5 ממה"/>
    <w:basedOn w:val="Normal"/>
    <w:link w:val="53"/>
    <w:qFormat/>
    <w:rsid w:val="00593EC1"/>
    <w:pPr>
      <w:widowControl w:val="0"/>
      <w:numPr>
        <w:numId w:val="143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593EC1"/>
    <w:rPr>
      <w:rFonts w:ascii="Calibri" w:eastAsia="Calibri" w:hAnsi="Calibri" w:cs="Calibri"/>
      <w:color w:val="002060"/>
      <w:sz w:val="24"/>
    </w:rPr>
  </w:style>
  <w:style w:type="paragraph" w:customStyle="1" w:styleId="a47">
    <w:name w:val="הערת שוליים ממה"/>
    <w:basedOn w:val="Normal"/>
    <w:link w:val="a48"/>
    <w:qFormat/>
    <w:rsid w:val="00593EC1"/>
    <w:pPr>
      <w:widowControl w:val="0"/>
      <w:spacing w:line="280" w:lineRule="exact"/>
      <w:ind w:left="1985" w:hanging="851"/>
    </w:pPr>
    <w:rPr>
      <w:rFonts w:ascii="Calibri" w:eastAsia="Calibri" w:hAnsi="Calibri" w:cs="Calibri"/>
      <w:color w:val="002060"/>
      <w:sz w:val="24"/>
      <w:szCs w:val="20"/>
    </w:rPr>
  </w:style>
  <w:style w:type="character" w:customStyle="1" w:styleId="a48">
    <w:name w:val="הערת שוליים ממה תו"/>
    <w:basedOn w:val="DefaultParagraphFont"/>
    <w:link w:val="a47"/>
    <w:rsid w:val="00593EC1"/>
    <w:rPr>
      <w:rFonts w:ascii="Calibri" w:eastAsia="Calibri" w:hAnsi="Calibri" w:cs="Calibri"/>
      <w:color w:val="002060"/>
      <w:sz w:val="24"/>
      <w:szCs w:val="20"/>
    </w:rPr>
  </w:style>
  <w:style w:type="paragraph" w:customStyle="1" w:styleId="a49">
    <w:name w:val="הערת סיום ממה"/>
    <w:basedOn w:val="Normal"/>
    <w:link w:val="a50"/>
    <w:qFormat/>
    <w:rsid w:val="00593EC1"/>
    <w:pPr>
      <w:widowControl w:val="0"/>
      <w:spacing w:line="240" w:lineRule="auto"/>
      <w:ind w:left="1134"/>
    </w:pPr>
    <w:rPr>
      <w:rFonts w:ascii="Calibri" w:eastAsia="Calibri" w:hAnsi="Calibri" w:cs="Calibri"/>
      <w:color w:val="002060"/>
      <w:sz w:val="24"/>
      <w:szCs w:val="20"/>
    </w:rPr>
  </w:style>
  <w:style w:type="character" w:customStyle="1" w:styleId="a50">
    <w:name w:val="הערת סיום ממה תו"/>
    <w:basedOn w:val="DefaultParagraphFont"/>
    <w:link w:val="a49"/>
    <w:rsid w:val="00593EC1"/>
    <w:rPr>
      <w:rFonts w:ascii="Calibri" w:eastAsia="Calibri" w:hAnsi="Calibri" w:cs="Calibri"/>
      <w:color w:val="002060"/>
      <w:sz w:val="24"/>
      <w:szCs w:val="20"/>
    </w:rPr>
  </w:style>
  <w:style w:type="paragraph" w:customStyle="1" w:styleId="128">
    <w:name w:val="ליקוי/ממצא חיובי/המלצה1 ממה"/>
    <w:next w:val="Normal"/>
    <w:link w:val="129"/>
    <w:qFormat/>
    <w:rsid w:val="00593EC1"/>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9">
    <w:name w:val="ליקוי/ממצא חיובי/המלצה1 ממה תו"/>
    <w:basedOn w:val="DefaultParagraphFont"/>
    <w:link w:val="128"/>
    <w:rsid w:val="00593EC1"/>
    <w:rPr>
      <w:rFonts w:ascii="Calibri" w:eastAsia="Calibri" w:hAnsi="Calibri" w:cs="Calibri"/>
      <w:color w:val="002060"/>
      <w:sz w:val="24"/>
    </w:rPr>
  </w:style>
  <w:style w:type="paragraph" w:customStyle="1" w:styleId="221">
    <w:name w:val="ליקוי/ממצא חיובי/המלצה2 ממה"/>
    <w:basedOn w:val="Normal"/>
    <w:next w:val="Normal"/>
    <w:link w:val="222"/>
    <w:qFormat/>
    <w:rsid w:val="00593EC1"/>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22">
    <w:name w:val="ליקוי/ממצא חיובי/המלצה2 ממה תו"/>
    <w:basedOn w:val="129"/>
    <w:link w:val="221"/>
    <w:rsid w:val="00593EC1"/>
    <w:rPr>
      <w:rFonts w:ascii="Calibri" w:eastAsia="Calibri" w:hAnsi="Calibri" w:cs="Calibri"/>
      <w:color w:val="002060"/>
      <w:sz w:val="24"/>
    </w:rPr>
  </w:style>
  <w:style w:type="paragraph" w:customStyle="1" w:styleId="39">
    <w:name w:val="ליקוי/ממצא חיובי/המלצה3 ממה"/>
    <w:basedOn w:val="Normal"/>
    <w:link w:val="313"/>
    <w:qFormat/>
    <w:rsid w:val="00593EC1"/>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13">
    <w:name w:val="ליקוי/ממצא חיובי/המלצה3 ממה תו"/>
    <w:basedOn w:val="DefaultParagraphFont"/>
    <w:link w:val="39"/>
    <w:rsid w:val="00593EC1"/>
    <w:rPr>
      <w:rFonts w:ascii="Calibri" w:eastAsia="Calibri" w:hAnsi="Calibri" w:cs="Calibri"/>
      <w:color w:val="002060"/>
      <w:sz w:val="24"/>
    </w:rPr>
  </w:style>
  <w:style w:type="paragraph" w:customStyle="1" w:styleId="a51">
    <w:name w:val="נבנצאל ממה"/>
    <w:basedOn w:val="Normal"/>
    <w:next w:val="Normal"/>
    <w:link w:val="a52"/>
    <w:uiPriority w:val="99"/>
    <w:qFormat/>
    <w:rsid w:val="00593EC1"/>
    <w:pPr>
      <w:keepNext/>
      <w:spacing w:line="280" w:lineRule="exact"/>
      <w:jc w:val="left"/>
    </w:pPr>
    <w:rPr>
      <w:rFonts w:ascii="Calibri" w:eastAsia="Calibri" w:hAnsi="Calibri" w:cs="Calibri"/>
      <w:color w:val="002060"/>
      <w:szCs w:val="20"/>
    </w:rPr>
  </w:style>
  <w:style w:type="character" w:customStyle="1" w:styleId="a52">
    <w:name w:val="נבנצאל ממה תו"/>
    <w:basedOn w:val="DefaultParagraphFont"/>
    <w:link w:val="a51"/>
    <w:uiPriority w:val="99"/>
    <w:rsid w:val="00593EC1"/>
    <w:rPr>
      <w:rFonts w:ascii="Calibri" w:eastAsia="Calibri" w:hAnsi="Calibri" w:cs="Calibri"/>
      <w:color w:val="002060"/>
      <w:szCs w:val="20"/>
    </w:rPr>
  </w:style>
  <w:style w:type="paragraph" w:customStyle="1" w:styleId="a53">
    <w:name w:val="רגיל ממה"/>
    <w:basedOn w:val="Normal"/>
    <w:link w:val="a54"/>
    <w:qFormat/>
    <w:rsid w:val="00593EC1"/>
    <w:pPr>
      <w:widowControl w:val="0"/>
      <w:spacing w:line="280" w:lineRule="exact"/>
      <w:ind w:left="1134"/>
    </w:pPr>
    <w:rPr>
      <w:rFonts w:ascii="Calibri" w:eastAsia="Calibri" w:hAnsi="Calibri" w:cs="Calibri"/>
      <w:color w:val="002060"/>
      <w:sz w:val="24"/>
    </w:rPr>
  </w:style>
  <w:style w:type="character" w:customStyle="1" w:styleId="a54">
    <w:name w:val="רגיל ממה תו"/>
    <w:basedOn w:val="DefaultParagraphFont"/>
    <w:link w:val="a53"/>
    <w:rsid w:val="00593EC1"/>
    <w:rPr>
      <w:rFonts w:ascii="Calibri" w:eastAsia="Calibri" w:hAnsi="Calibri" w:cs="Calibri"/>
      <w:color w:val="002060"/>
      <w:sz w:val="24"/>
    </w:rPr>
  </w:style>
  <w:style w:type="paragraph" w:customStyle="1" w:styleId="a55">
    <w:name w:val="סיכום ממה"/>
    <w:basedOn w:val="Normal"/>
    <w:next w:val="Normal"/>
    <w:link w:val="a56"/>
    <w:qFormat/>
    <w:rsid w:val="00593EC1"/>
    <w:pPr>
      <w:spacing w:line="276" w:lineRule="auto"/>
      <w:ind w:left="1140"/>
    </w:pPr>
    <w:rPr>
      <w:rFonts w:ascii="Calibri" w:eastAsia="Calibri" w:hAnsi="Calibri" w:cs="Calibri"/>
      <w:b/>
      <w:bCs/>
      <w:color w:val="FFFFFF" w:themeColor="background1"/>
      <w:sz w:val="2"/>
      <w:szCs w:val="2"/>
    </w:rPr>
  </w:style>
  <w:style w:type="character" w:customStyle="1" w:styleId="a56">
    <w:name w:val="סיכום ממה תו"/>
    <w:basedOn w:val="DefaultParagraphFont"/>
    <w:link w:val="a55"/>
    <w:rsid w:val="00593EC1"/>
    <w:rPr>
      <w:rFonts w:ascii="Calibri" w:eastAsia="Calibri" w:hAnsi="Calibri" w:cs="Calibri"/>
      <w:b/>
      <w:bCs/>
      <w:color w:val="FFFFFF" w:themeColor="background1"/>
      <w:sz w:val="2"/>
      <w:szCs w:val="2"/>
    </w:rPr>
  </w:style>
  <w:style w:type="paragraph" w:customStyle="1" w:styleId="a57">
    <w:name w:val="טקסט סיכום ממה"/>
    <w:basedOn w:val="Normal"/>
    <w:next w:val="Normal"/>
    <w:qFormat/>
    <w:rsid w:val="00593EC1"/>
    <w:pPr>
      <w:widowControl w:val="0"/>
      <w:spacing w:after="240" w:line="280" w:lineRule="exact"/>
      <w:ind w:left="1140"/>
    </w:pPr>
    <w:rPr>
      <w:rFonts w:ascii="Calibri" w:eastAsia="Calibri" w:hAnsi="Calibri" w:cs="Calibri"/>
      <w:bCs/>
      <w:color w:val="002060"/>
      <w:sz w:val="24"/>
    </w:rPr>
  </w:style>
  <w:style w:type="paragraph" w:customStyle="1" w:styleId="a58">
    <w:name w:val="סיכום ביניים ממה"/>
    <w:basedOn w:val="Normal"/>
    <w:next w:val="Normal"/>
    <w:qFormat/>
    <w:rsid w:val="00593EC1"/>
    <w:pPr>
      <w:widowControl w:val="0"/>
      <w:spacing w:before="240" w:after="240"/>
      <w:ind w:left="1134"/>
    </w:pPr>
    <w:rPr>
      <w:rFonts w:ascii="Calibri" w:eastAsia="Calibri" w:hAnsi="Calibri" w:cs="Calibri"/>
      <w:noProof/>
      <w:color w:val="002060"/>
      <w:sz w:val="24"/>
    </w:rPr>
  </w:style>
  <w:style w:type="paragraph" w:customStyle="1" w:styleId="a59">
    <w:name w:val="טקסט סיכום ביניים ממה"/>
    <w:basedOn w:val="Normal"/>
    <w:next w:val="Normal"/>
    <w:qFormat/>
    <w:rsid w:val="00593EC1"/>
    <w:pPr>
      <w:widowControl w:val="0"/>
      <w:spacing w:after="240" w:line="280" w:lineRule="exact"/>
      <w:ind w:left="1134"/>
    </w:pPr>
    <w:rPr>
      <w:rFonts w:ascii="Calibri" w:eastAsia="Calibri" w:hAnsi="Calibri" w:cs="Calibri"/>
      <w:bCs/>
      <w:color w:val="002060"/>
      <w:sz w:val="24"/>
    </w:rPr>
  </w:style>
  <w:style w:type="paragraph" w:customStyle="1" w:styleId="a60">
    <w:name w:val="תרשים ממה"/>
    <w:basedOn w:val="Normal"/>
    <w:next w:val="Normal"/>
    <w:link w:val="a61"/>
    <w:qFormat/>
    <w:rsid w:val="00593EC1"/>
    <w:pPr>
      <w:keepNext/>
      <w:keepLines/>
      <w:widowControl w:val="0"/>
      <w:numPr>
        <w:numId w:val="1439"/>
      </w:numPr>
      <w:spacing w:line="280" w:lineRule="exact"/>
      <w:jc w:val="center"/>
      <w:outlineLvl w:val="6"/>
    </w:pPr>
    <w:rPr>
      <w:rFonts w:ascii="Calibri" w:eastAsia="Calibri" w:hAnsi="Calibri" w:cs="Calibri"/>
      <w:b/>
      <w:bCs/>
      <w:color w:val="002060"/>
      <w:sz w:val="24"/>
    </w:rPr>
  </w:style>
  <w:style w:type="character" w:customStyle="1" w:styleId="a61">
    <w:name w:val="תרשים ממה תו"/>
    <w:basedOn w:val="DefaultParagraphFont"/>
    <w:link w:val="a60"/>
    <w:rsid w:val="00593EC1"/>
    <w:rPr>
      <w:rFonts w:ascii="Calibri" w:eastAsia="Calibri" w:hAnsi="Calibri" w:cs="Calibri"/>
      <w:b/>
      <w:bCs/>
      <w:color w:val="002060"/>
      <w:sz w:val="24"/>
    </w:rPr>
  </w:style>
  <w:style w:type="paragraph" w:customStyle="1" w:styleId="a62">
    <w:name w:val="תמונה ממה"/>
    <w:basedOn w:val="Normal"/>
    <w:next w:val="Normal"/>
    <w:link w:val="a63"/>
    <w:qFormat/>
    <w:rsid w:val="00593EC1"/>
    <w:pPr>
      <w:keepNext/>
      <w:keepLines/>
      <w:widowControl w:val="0"/>
      <w:numPr>
        <w:numId w:val="1440"/>
      </w:numPr>
      <w:spacing w:line="280" w:lineRule="exact"/>
      <w:jc w:val="center"/>
      <w:outlineLvl w:val="6"/>
    </w:pPr>
    <w:rPr>
      <w:rFonts w:ascii="Calibri" w:eastAsia="Calibri" w:hAnsi="Calibri" w:cs="Calibri"/>
      <w:b/>
      <w:bCs/>
      <w:color w:val="002060"/>
      <w:sz w:val="24"/>
    </w:rPr>
  </w:style>
  <w:style w:type="character" w:customStyle="1" w:styleId="a63">
    <w:name w:val="תמונה ממה תו"/>
    <w:basedOn w:val="DefaultParagraphFont"/>
    <w:link w:val="a62"/>
    <w:rsid w:val="00593EC1"/>
    <w:rPr>
      <w:rFonts w:ascii="Calibri" w:eastAsia="Calibri" w:hAnsi="Calibri" w:cs="Calibri"/>
      <w:b/>
      <w:bCs/>
      <w:color w:val="002060"/>
      <w:sz w:val="24"/>
    </w:rPr>
  </w:style>
  <w:style w:type="paragraph" w:customStyle="1" w:styleId="a64">
    <w:name w:val="לוח ממה"/>
    <w:basedOn w:val="Normal"/>
    <w:next w:val="Normal"/>
    <w:link w:val="a65"/>
    <w:qFormat/>
    <w:rsid w:val="00593EC1"/>
    <w:pPr>
      <w:keepNext/>
      <w:keepLines/>
      <w:widowControl w:val="0"/>
      <w:numPr>
        <w:numId w:val="1441"/>
      </w:numPr>
      <w:spacing w:line="280" w:lineRule="exact"/>
      <w:jc w:val="center"/>
      <w:outlineLvl w:val="6"/>
    </w:pPr>
    <w:rPr>
      <w:rFonts w:ascii="Calibri" w:eastAsia="Calibri" w:hAnsi="Calibri" w:cs="Calibri"/>
      <w:b/>
      <w:bCs/>
      <w:color w:val="002060"/>
      <w:sz w:val="24"/>
    </w:rPr>
  </w:style>
  <w:style w:type="character" w:customStyle="1" w:styleId="a65">
    <w:name w:val="לוח ממה תו"/>
    <w:basedOn w:val="DefaultParagraphFont"/>
    <w:link w:val="a64"/>
    <w:rsid w:val="00593EC1"/>
    <w:rPr>
      <w:rFonts w:ascii="Calibri" w:eastAsia="Calibri" w:hAnsi="Calibri" w:cs="Calibri"/>
      <w:b/>
      <w:bCs/>
      <w:color w:val="002060"/>
      <w:sz w:val="24"/>
    </w:rPr>
  </w:style>
  <w:style w:type="paragraph" w:customStyle="1" w:styleId="a66">
    <w:name w:val="מפה ממה"/>
    <w:basedOn w:val="Normal"/>
    <w:next w:val="Normal"/>
    <w:link w:val="a67"/>
    <w:qFormat/>
    <w:rsid w:val="00593EC1"/>
    <w:pPr>
      <w:keepNext/>
      <w:keepLines/>
      <w:widowControl w:val="0"/>
      <w:numPr>
        <w:numId w:val="1442"/>
      </w:numPr>
      <w:spacing w:line="280" w:lineRule="exact"/>
      <w:jc w:val="center"/>
      <w:outlineLvl w:val="6"/>
    </w:pPr>
    <w:rPr>
      <w:rFonts w:ascii="Calibri" w:eastAsia="Calibri" w:hAnsi="Calibri" w:cs="Calibri"/>
      <w:b/>
      <w:bCs/>
      <w:color w:val="002060"/>
      <w:sz w:val="24"/>
    </w:rPr>
  </w:style>
  <w:style w:type="character" w:customStyle="1" w:styleId="a67">
    <w:name w:val="מפה ממה תו"/>
    <w:basedOn w:val="DefaultParagraphFont"/>
    <w:link w:val="a66"/>
    <w:rsid w:val="00593EC1"/>
    <w:rPr>
      <w:rFonts w:ascii="Calibri" w:eastAsia="Calibri" w:hAnsi="Calibri" w:cs="Calibri"/>
      <w:b/>
      <w:bCs/>
      <w:color w:val="002060"/>
      <w:sz w:val="24"/>
    </w:rPr>
  </w:style>
  <w:style w:type="paragraph" w:customStyle="1" w:styleId="a68">
    <w:name w:val="מקור ממה"/>
    <w:basedOn w:val="Normal"/>
    <w:next w:val="Normal"/>
    <w:qFormat/>
    <w:rsid w:val="00593EC1"/>
    <w:pPr>
      <w:keepNext/>
      <w:keepLines/>
      <w:widowControl w:val="0"/>
      <w:ind w:left="1134"/>
    </w:pPr>
    <w:rPr>
      <w:rFonts w:ascii="Calibri" w:eastAsia="Calibri" w:hAnsi="Calibri" w:cs="Calibri"/>
      <w:color w:val="002060"/>
      <w:szCs w:val="20"/>
    </w:rPr>
  </w:style>
  <w:style w:type="paragraph" w:customStyle="1" w:styleId="a69">
    <w:name w:val="אובייקט ממה"/>
    <w:basedOn w:val="Normal"/>
    <w:next w:val="Normal"/>
    <w:qFormat/>
    <w:rsid w:val="00593EC1"/>
    <w:pPr>
      <w:keepNext/>
      <w:widowControl w:val="0"/>
      <w:spacing w:line="269" w:lineRule="auto"/>
      <w:ind w:left="1134"/>
    </w:pPr>
    <w:rPr>
      <w:rFonts w:ascii="Calibri" w:eastAsia="Calibri" w:hAnsi="Calibri" w:cs="Calibri"/>
      <w:noProof/>
      <w:color w:val="002060"/>
      <w:sz w:val="24"/>
    </w:rPr>
  </w:style>
  <w:style w:type="paragraph" w:customStyle="1" w:styleId="a70">
    <w:name w:val="רכיבי המבוא ממה"/>
    <w:basedOn w:val="Normal"/>
    <w:link w:val="a71"/>
    <w:qFormat/>
    <w:rsid w:val="00593EC1"/>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71">
    <w:name w:val="רכיבי המבוא ממה תו"/>
    <w:basedOn w:val="DefaultParagraphFont"/>
    <w:link w:val="a70"/>
    <w:rsid w:val="00593EC1"/>
    <w:rPr>
      <w:rFonts w:ascii="Calibri" w:eastAsia="Calibri" w:hAnsi="Calibri" w:cs="Calibri"/>
      <w:color w:val="002060"/>
      <w:szCs w:val="20"/>
    </w:rPr>
  </w:style>
  <w:style w:type="paragraph" w:customStyle="1" w:styleId="a72">
    <w:name w:val="אייקון במבוא ממה"/>
    <w:basedOn w:val="Normal"/>
    <w:link w:val="a73"/>
    <w:qFormat/>
    <w:rsid w:val="00593EC1"/>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73">
    <w:name w:val="אייקון במבוא ממה תו"/>
    <w:basedOn w:val="DefaultParagraphFont"/>
    <w:link w:val="a72"/>
    <w:rsid w:val="00593EC1"/>
    <w:rPr>
      <w:rFonts w:ascii="Calibri" w:eastAsia="Calibri" w:hAnsi="Calibri" w:cs="Calibri"/>
      <w:bCs/>
      <w:color w:val="002060"/>
      <w:sz w:val="24"/>
      <w:szCs w:val="20"/>
    </w:rPr>
  </w:style>
  <w:style w:type="table" w:styleId="GridTable4Accent3">
    <w:name w:val="Grid Table 4 Accent 3"/>
    <w:basedOn w:val="TableNormal"/>
    <w:uiPriority w:val="49"/>
    <w:rsid w:val="00593EC1"/>
    <w:pPr>
      <w:spacing w:after="0" w:line="240" w:lineRule="auto"/>
    </w:p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421AD-9893-4A51-AB9F-D2E4FB3011EE}"/>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3</TotalTime>
  <Pages>12</Pages>
  <Words>2749</Words>
  <Characters>13747</Characters>
  <Application>Microsoft Office Word</Application>
  <DocSecurity>0</DocSecurity>
  <Lines>114</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2023-07-16T07:57:00Z</cp:lastPrinted>
  <dcterms:created xsi:type="dcterms:W3CDTF">2024-01-07T12:20:00Z</dcterms:created>
  <dcterms:modified xsi:type="dcterms:W3CDTF">2024-01-08T09:50:00Z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