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ackground w:color="ffffff">
    <v:background id="_x0000_s1025"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1921D02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192677</wp:posOffset>
                </wp:positionH>
                <wp:positionV relativeFrom="paragraph">
                  <wp:posOffset>1918516</wp:posOffset>
                </wp:positionV>
                <wp:extent cx="2748280" cy="0"/>
                <wp:effectExtent l="12700" t="12700" r="7620"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74828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15.15pt,151.05pt" to="231.55pt,151.05pt" strokecolor="white" strokeweight="1.5pt"/>
            </w:pict>
          </mc:Fallback>
        </mc:AlternateContent>
      </w:r>
      <w:r w:rsidR="00AC597D">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3059249</wp:posOffset>
                </wp:positionH>
                <wp:positionV relativeFrom="paragraph">
                  <wp:posOffset>256630</wp:posOffset>
                </wp:positionV>
                <wp:extent cx="0" cy="4355193"/>
                <wp:effectExtent l="25400" t="0" r="25400" b="2667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4355193"/>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0.9pt,20.2pt" to="240.9pt,363.15pt" strokecolor="white" strokeweight="4pt"/>
            </w:pict>
          </mc:Fallback>
        </mc:AlternateContent>
      </w:r>
      <w:r w:rsidRPr="0030415A" w:rsidR="008A71D4">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193040</wp:posOffset>
                </wp:positionH>
                <wp:positionV relativeFrom="paragraph">
                  <wp:posOffset>336550</wp:posOffset>
                </wp:positionV>
                <wp:extent cx="4276725" cy="4273550"/>
                <wp:effectExtent l="0" t="0" r="3175"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76725"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8A71D4" w:rsidRPr="0052031E" w:rsidP="008A71D4" w14:textId="557D201C">
                            <w:pPr>
                              <w:pStyle w:val="a33"/>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D50663">
                              <w:rPr>
                                <w:rFonts w:hint="cs"/>
                                <w:rtl/>
                              </w:rPr>
                              <w:t>שבט</w:t>
                            </w:r>
                            <w:r w:rsidRPr="00AF3B73" w:rsidR="00AF3B73">
                              <w:rPr>
                                <w:rtl/>
                              </w:rPr>
                              <w:t xml:space="preserve"> </w:t>
                            </w:r>
                            <w:r w:rsidRPr="00AF3B73" w:rsidR="00AF3B73">
                              <w:rPr>
                                <w:rtl/>
                              </w:rPr>
                              <w:t>התשפ"ד</w:t>
                            </w:r>
                            <w:r w:rsidR="00AF3B73">
                              <w:rPr>
                                <w:rFonts w:hint="cs"/>
                                <w:rtl/>
                              </w:rPr>
                              <w:t xml:space="preserve"> </w:t>
                            </w:r>
                            <w:r w:rsidRPr="0052031E">
                              <w:rPr>
                                <w:rtl/>
                              </w:rPr>
                              <w:t>|</w:t>
                            </w:r>
                            <w:r>
                              <w:rPr>
                                <w:rFonts w:hint="cs"/>
                                <w:rtl/>
                              </w:rPr>
                              <w:t xml:space="preserve"> </w:t>
                            </w:r>
                            <w:r w:rsidR="000D6A88">
                              <w:rPr>
                                <w:rFonts w:hint="cs"/>
                                <w:rtl/>
                              </w:rPr>
                              <w:t>ינואר</w:t>
                            </w:r>
                            <w:r>
                              <w:rPr>
                                <w:rFonts w:hint="cs"/>
                                <w:rtl/>
                              </w:rPr>
                              <w:t xml:space="preserve"> </w:t>
                            </w:r>
                            <w:r w:rsidR="000D6A88">
                              <w:rPr>
                                <w:rFonts w:hint="cs"/>
                                <w:rtl/>
                              </w:rPr>
                              <w:t>2024</w:t>
                            </w:r>
                            <w:r>
                              <w:rPr>
                                <w:rFonts w:hint="cs"/>
                                <w:rtl/>
                              </w:rPr>
                              <w:t xml:space="preserve"> </w:t>
                            </w:r>
                          </w:p>
                          <w:p w:rsidR="00F73EE0"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14A46EB1">
                            <w:pPr>
                              <w:pStyle w:val="-1"/>
                              <w:rPr>
                                <w:rtl/>
                              </w:rPr>
                            </w:pPr>
                            <w:r>
                              <w:rPr>
                                <w:rFonts w:hint="cs"/>
                                <w:rtl/>
                              </w:rPr>
                              <w:t>שלטון מקומי</w:t>
                            </w:r>
                          </w:p>
                          <w:p w:rsidR="00C30482" w:rsidRPr="000F5023" w:rsidP="00A40722" w14:textId="2544D798">
                            <w:pPr>
                              <w:pStyle w:val="a32"/>
                              <w:bidi/>
                              <w:spacing w:before="120"/>
                              <w:rPr>
                                <w:rtl/>
                              </w:rPr>
                            </w:pPr>
                            <w:r w:rsidRPr="00A40722">
                              <w:rPr>
                                <w:rtl/>
                              </w:rPr>
                              <w:t>ביקורת מעקב בנושא פרסום חוצות בתחום שיפוטן של הרשויות המקומיות - 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alt="&quot;&quot;" style="width:336.75pt;height:336.5pt;margin-top:26.5pt;margin-left:15.2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557D201C">
                      <w:pPr>
                        <w:pStyle w:val="a33"/>
                        <w:bidi/>
                        <w:rPr>
                          <w:rtl/>
                        </w:rPr>
                      </w:pPr>
                      <w:r>
                        <w:rPr>
                          <w:rFonts w:hint="cs"/>
                          <w:rtl/>
                        </w:rPr>
                        <w:t xml:space="preserve">דוח </w:t>
                      </w:r>
                      <w:r w:rsidRPr="0052031E">
                        <w:rPr>
                          <w:rtl/>
                        </w:rPr>
                        <w:t>מבקר המדינה</w:t>
                      </w:r>
                      <w:r>
                        <w:rPr>
                          <w:rFonts w:hint="cs"/>
                          <w:rtl/>
                        </w:rPr>
                        <w:t xml:space="preserve"> </w:t>
                      </w:r>
                      <w:r w:rsidRPr="0052031E">
                        <w:rPr>
                          <w:rtl/>
                        </w:rPr>
                        <w:t>|</w:t>
                      </w:r>
                      <w:r>
                        <w:rPr>
                          <w:rFonts w:hint="cs"/>
                          <w:rtl/>
                        </w:rPr>
                        <w:t xml:space="preserve"> </w:t>
                      </w:r>
                      <w:r w:rsidR="00D50663">
                        <w:rPr>
                          <w:rFonts w:hint="cs"/>
                          <w:rtl/>
                        </w:rPr>
                        <w:t>שבט</w:t>
                      </w:r>
                      <w:r w:rsidRPr="00AF3B73" w:rsidR="00AF3B73">
                        <w:rPr>
                          <w:rtl/>
                        </w:rPr>
                        <w:t xml:space="preserve"> </w:t>
                      </w:r>
                      <w:r w:rsidRPr="00AF3B73" w:rsidR="00AF3B73">
                        <w:rPr>
                          <w:rtl/>
                        </w:rPr>
                        <w:t>התשפ"ד</w:t>
                      </w:r>
                      <w:r w:rsidR="00AF3B73">
                        <w:rPr>
                          <w:rFonts w:hint="cs"/>
                          <w:rtl/>
                        </w:rPr>
                        <w:t xml:space="preserve"> </w:t>
                      </w:r>
                      <w:r w:rsidRPr="0052031E">
                        <w:rPr>
                          <w:rtl/>
                        </w:rPr>
                        <w:t>|</w:t>
                      </w:r>
                      <w:r>
                        <w:rPr>
                          <w:rFonts w:hint="cs"/>
                          <w:rtl/>
                        </w:rPr>
                        <w:t xml:space="preserve"> </w:t>
                      </w:r>
                      <w:r w:rsidR="000D6A88">
                        <w:rPr>
                          <w:rFonts w:hint="cs"/>
                          <w:rtl/>
                        </w:rPr>
                        <w:t>ינואר</w:t>
                      </w:r>
                      <w:r>
                        <w:rPr>
                          <w:rFonts w:hint="cs"/>
                          <w:rtl/>
                        </w:rPr>
                        <w:t xml:space="preserve"> </w:t>
                      </w:r>
                      <w:r w:rsidR="000D6A88">
                        <w:rPr>
                          <w:rFonts w:hint="cs"/>
                          <w:rtl/>
                        </w:rPr>
                        <w:t>2024</w:t>
                      </w:r>
                      <w:r>
                        <w:rPr>
                          <w:rFonts w:hint="cs"/>
                          <w:rtl/>
                        </w:rPr>
                        <w:t xml:space="preserve"> </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14A46EB1">
                      <w:pPr>
                        <w:pStyle w:val="-1"/>
                        <w:rPr>
                          <w:rtl/>
                        </w:rPr>
                      </w:pPr>
                      <w:r>
                        <w:rPr>
                          <w:rFonts w:hint="cs"/>
                          <w:rtl/>
                        </w:rPr>
                        <w:t>שלטון מקומי</w:t>
                      </w:r>
                    </w:p>
                    <w:p w:rsidR="00C30482" w:rsidRPr="000F5023" w:rsidP="00A40722" w14:paraId="5BE5E625" w14:textId="2544D798">
                      <w:pPr>
                        <w:pStyle w:val="a32"/>
                        <w:bidi/>
                        <w:spacing w:before="120"/>
                        <w:rPr>
                          <w:rtl/>
                        </w:rPr>
                      </w:pPr>
                      <w:r w:rsidRPr="00A40722">
                        <w:rPr>
                          <w:rtl/>
                        </w:rPr>
                        <w:t>ביקורת מעקב בנושא פרסום חוצות בתחום שיפוטן של הרשויות המקומיות - דוח מיוחד</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47DEA61A">
      <w:pPr>
        <w:spacing w:line="240" w:lineRule="atLeast"/>
        <w:jc w:val="center"/>
        <w:rPr>
          <w:rFonts w:ascii="Tahoma" w:hAnsi="Tahoma" w:cs="Tahoma"/>
          <w:sz w:val="22"/>
          <w:szCs w:val="22"/>
          <w:rtl/>
        </w:rPr>
      </w:pPr>
    </w:p>
    <w:p w:rsidR="00E35DF9" w:rsidRPr="00406E80" w:rsidP="008D2388" w14:paraId="5F398D7B" w14:textId="40000E46">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21BB7534">
      <w:pPr>
        <w:spacing w:line="240" w:lineRule="atLeast"/>
        <w:jc w:val="center"/>
        <w:rPr>
          <w:rFonts w:ascii="Tahoma" w:hAnsi="Tahoma" w:cs="Tahoma"/>
          <w:sz w:val="22"/>
          <w:szCs w:val="22"/>
          <w:rtl/>
        </w:rPr>
      </w:pPr>
    </w:p>
    <w:p w:rsidR="00E35DF9" w:rsidP="008D2388" w14:paraId="1081EBD1" w14:textId="4944B6D1">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93C72" w:rsidP="00AC597D" w14:paraId="4ED3AA37" w14:textId="42E8AE15">
      <w:pPr>
        <w:pStyle w:val="7329"/>
        <w:spacing w:after="1200"/>
        <w:rPr>
          <w:rtl/>
        </w:rPr>
      </w:pPr>
      <w:r w:rsidRPr="00802F2E">
        <w:rPr>
          <w:noProof/>
          <w:rtl/>
        </w:rPr>
        <mc:AlternateContent>
          <mc:Choice Requires="wps">
            <w:drawing>
              <wp:anchor distT="0" distB="0" distL="114300" distR="114300" simplePos="0" relativeHeight="251674624" behindDoc="0" locked="0" layoutInCell="1" allowOverlap="1">
                <wp:simplePos x="0" y="0"/>
                <wp:positionH relativeFrom="column">
                  <wp:posOffset>-656409</wp:posOffset>
                </wp:positionH>
                <wp:positionV relativeFrom="paragraph">
                  <wp:posOffset>227329</wp:posOffset>
                </wp:positionV>
                <wp:extent cx="194310" cy="6074229"/>
                <wp:effectExtent l="0" t="0" r="0" b="0"/>
                <wp:wrapNone/>
                <wp:docPr id="21" name="Rectangle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6074229"/>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alt="&quot;&quot;" style="width:15.3pt;height:478.3pt;margin-top:17.9pt;margin-left:-51.7pt;flip:y;mso-height-percent:0;mso-height-relative:margin;mso-width-percent:0;mso-width-relative:margin;mso-wrap-distance-bottom:0;mso-wrap-distance-left:9pt;mso-wrap-distance-right:9pt;mso-wrap-distance-top:0;mso-wrap-style:square;position:absolute;visibility:visible;v-text-anchor:middle;z-index:251675648" fillcolor="#00305f" stroked="f" strokeweight="1.25pt"/>
            </w:pict>
          </mc:Fallback>
        </mc:AlternateContent>
      </w:r>
      <w:r w:rsidRPr="00802F2E" w:rsidR="00AF3B73">
        <w:rPr>
          <w:noProof/>
          <w:rtl/>
        </w:rPr>
        <w:drawing>
          <wp:anchor distT="0" distB="0" distL="114300" distR="114300" simplePos="0" relativeHeight="251683840" behindDoc="0" locked="0" layoutInCell="1" allowOverlap="1">
            <wp:simplePos x="0" y="0"/>
            <wp:positionH relativeFrom="column">
              <wp:posOffset>3307469</wp:posOffset>
            </wp:positionH>
            <wp:positionV relativeFrom="paragraph">
              <wp:posOffset>984250</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9F37FD">
        <w:rPr>
          <w:noProof/>
          <w:rtl/>
        </w:rPr>
        <w:t xml:space="preserve">ביקורת מעקב בנושא פרסום חוצות בתחומי שיפוטן של הרשויות המקומיות - דוח מיוחד </w:t>
      </w:r>
    </w:p>
    <w:p w:rsidR="00CC6307" w:rsidRPr="00FC2937" w:rsidP="00CC6307" w14:paraId="282DA6B2" w14:textId="77777777">
      <w:pPr>
        <w:pStyle w:val="7392"/>
        <w:rPr>
          <w:rtl/>
        </w:rPr>
      </w:pPr>
      <w:r w:rsidRPr="00FC2937">
        <w:rPr>
          <w:rtl/>
        </w:rPr>
        <w:t xml:space="preserve">סעיף 246 לפקודת העיריות (נוסח חדש) קובע כי "העירייה תפקח על הצגת מודעות, שלטים </w:t>
      </w:r>
      <w:r w:rsidRPr="00FC2937">
        <w:rPr>
          <w:rtl/>
        </w:rPr>
        <w:t>וטבלות</w:t>
      </w:r>
      <w:r w:rsidRPr="00FC2937">
        <w:rPr>
          <w:rtl/>
        </w:rPr>
        <w:t xml:space="preserve"> במקומות עסק או על גבי לוחות או מקומות אחרים או תאסור הצגתם". בסעיף 146(10) לצו המועצות המקומיות</w:t>
      </w:r>
      <w:r w:rsidRPr="00FC2937">
        <w:rPr>
          <w:rFonts w:hint="cs"/>
          <w:rtl/>
        </w:rPr>
        <w:t>,</w:t>
      </w:r>
      <w:r w:rsidRPr="00FC2937">
        <w:rPr>
          <w:rtl/>
        </w:rPr>
        <w:t xml:space="preserve"> התשי"א-1950</w:t>
      </w:r>
      <w:r w:rsidRPr="00FC2937">
        <w:rPr>
          <w:rFonts w:hint="cs"/>
          <w:rtl/>
        </w:rPr>
        <w:t>,</w:t>
      </w:r>
      <w:r w:rsidRPr="00FC2937">
        <w:rPr>
          <w:rtl/>
        </w:rPr>
        <w:t xml:space="preserve"> נקבע כי מועצה מקומית רשאית להסדיר, להגביל או לאסור פרסומת רחוב.</w:t>
      </w:r>
    </w:p>
    <w:p w:rsidR="00CC6307" w:rsidRPr="00FC2937" w:rsidP="00CC6307" w14:paraId="7A60D0AE" w14:textId="77777777">
      <w:pPr>
        <w:pStyle w:val="7392"/>
        <w:rPr>
          <w:rtl/>
        </w:rPr>
      </w:pPr>
      <w:r w:rsidRPr="00FC2937">
        <w:rPr>
          <w:rtl/>
        </w:rPr>
        <w:t xml:space="preserve">תכליתם של הסעיפים בפקודת העיריות ובצו המועצות היא לשמור על חזות נאה ואסתטית של העיר ולמנוע מצב של חוסר סדר מבחינת מספר השלטים, </w:t>
      </w:r>
      <w:r w:rsidRPr="00FC2937">
        <w:rPr>
          <w:rFonts w:hint="cs"/>
          <w:rtl/>
        </w:rPr>
        <w:t>קביעת מקומם,</w:t>
      </w:r>
      <w:r w:rsidRPr="00FC2937">
        <w:rPr>
          <w:rtl/>
        </w:rPr>
        <w:t xml:space="preserve"> צורתם ומשך הצגתם, העלול לכער את פני העיר ולפגוע בסביבה, ברווחתם של תושבי העיר והמבקרים בה ובאיכות חייהם.</w:t>
      </w:r>
    </w:p>
    <w:p w:rsidR="00CC6307" w:rsidRPr="00FC2937" w:rsidP="00CC6307" w14:paraId="6F329121" w14:textId="7205160B">
      <w:pPr>
        <w:pStyle w:val="7392"/>
        <w:rPr>
          <w:rtl/>
        </w:rPr>
      </w:pPr>
      <w:r w:rsidRPr="00FC2937">
        <w:rPr>
          <w:rtl/>
        </w:rPr>
        <w:t>בתחו</w:t>
      </w:r>
      <w:r w:rsidRPr="00FC2937">
        <w:rPr>
          <w:rFonts w:hint="cs"/>
          <w:rtl/>
        </w:rPr>
        <w:t xml:space="preserve">ם שיפוטן של </w:t>
      </w:r>
      <w:r w:rsidRPr="00FC2937">
        <w:rPr>
          <w:rtl/>
        </w:rPr>
        <w:t xml:space="preserve">הרשויות המקומיות בכלל </w:t>
      </w:r>
      <w:r w:rsidRPr="00FC2937">
        <w:rPr>
          <w:rFonts w:hint="cs"/>
          <w:rtl/>
        </w:rPr>
        <w:t>ושל</w:t>
      </w:r>
      <w:r w:rsidRPr="00FC2937">
        <w:rPr>
          <w:rtl/>
        </w:rPr>
        <w:t xml:space="preserve"> הרשויות שנבדקו בפרט</w:t>
      </w:r>
      <w:r w:rsidRPr="00FC2937">
        <w:rPr>
          <w:rFonts w:hint="cs"/>
          <w:rtl/>
        </w:rPr>
        <w:t xml:space="preserve"> -</w:t>
      </w:r>
      <w:r w:rsidR="00CD2FEF">
        <w:rPr>
          <w:rFonts w:hint="cs"/>
          <w:rtl/>
        </w:rPr>
        <w:t xml:space="preserve"> </w:t>
      </w:r>
      <w:r w:rsidRPr="00FC2937">
        <w:rPr>
          <w:rFonts w:hint="cs"/>
          <w:rtl/>
        </w:rPr>
        <w:t xml:space="preserve">עיריות טבריה, כרמיאל </w:t>
      </w:r>
      <w:r w:rsidRPr="00FC2937">
        <w:rPr>
          <w:rFonts w:hint="cs"/>
          <w:rtl/>
        </w:rPr>
        <w:t>וסח'נין</w:t>
      </w:r>
      <w:r w:rsidRPr="00FC2937">
        <w:rPr>
          <w:rFonts w:hint="cs"/>
          <w:rtl/>
        </w:rPr>
        <w:t xml:space="preserve"> והמועצות המקומיות ירכא וכפר </w:t>
      </w:r>
      <w:r w:rsidRPr="00FC2937">
        <w:rPr>
          <w:rFonts w:hint="cs"/>
          <w:rtl/>
        </w:rPr>
        <w:t>יאסיף</w:t>
      </w:r>
      <w:r w:rsidRPr="00FC2937">
        <w:rPr>
          <w:rFonts w:hint="cs"/>
          <w:rtl/>
        </w:rPr>
        <w:t xml:space="preserve"> מוצגים</w:t>
      </w:r>
      <w:r w:rsidRPr="00FC2937">
        <w:rPr>
          <w:rtl/>
        </w:rPr>
        <w:t xml:space="preserve"> אלפי שלטי פרסום, חלקם במרחב הפרטי על מבני עסקים ומבני מגורים, וחלקם במרחב הציבורי במתקנים ציבוריים שהציבו הרשויות המקומיות לצורך </w:t>
      </w:r>
      <w:r w:rsidRPr="00FC2937">
        <w:rPr>
          <w:rFonts w:hint="cs"/>
          <w:rtl/>
        </w:rPr>
        <w:t>כך</w:t>
      </w:r>
      <w:r w:rsidRPr="00FC2937">
        <w:rPr>
          <w:rtl/>
        </w:rPr>
        <w:t xml:space="preserve">. מערך השילוט של הרשויות המקומיות משמש גם להעברת מסרים מסחריים לעוברים ושבים </w:t>
      </w:r>
      <w:r w:rsidRPr="00FC2937">
        <w:rPr>
          <w:rFonts w:hint="cs"/>
          <w:rtl/>
        </w:rPr>
        <w:t>בתחום שיפוטה</w:t>
      </w:r>
      <w:r w:rsidRPr="00FC2937">
        <w:rPr>
          <w:rtl/>
        </w:rPr>
        <w:t xml:space="preserve"> של הרשות המקומית, בכבישיה ובדרכיה.</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6672"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5"/>
        <w:gridCol w:w="323"/>
        <w:gridCol w:w="2081"/>
        <w:gridCol w:w="321"/>
        <w:gridCol w:w="2310"/>
      </w:tblGrid>
      <w:tr w14:paraId="58B4726B" w14:textId="77777777" w:rsidTr="00CC630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84" w:type="pct"/>
            <w:tcBorders>
              <w:bottom w:val="single" w:sz="12" w:space="0" w:color="000000" w:themeColor="text1"/>
            </w:tcBorders>
            <w:vAlign w:val="bottom"/>
          </w:tcPr>
          <w:p w:rsidR="00CC6307" w:rsidRPr="00CC6307" w:rsidP="00CC6307" w14:paraId="23EB689E" w14:textId="6DAFDE29">
            <w:pPr>
              <w:spacing w:after="60" w:line="240" w:lineRule="auto"/>
              <w:jc w:val="left"/>
              <w:rPr>
                <w:b/>
                <w:bCs/>
                <w:spacing w:val="-28"/>
                <w:rtl/>
              </w:rPr>
            </w:pPr>
            <w:r w:rsidRPr="00CC6307">
              <w:rPr>
                <w:rFonts w:ascii="Tahoma" w:hAnsi="Tahoma" w:eastAsiaTheme="minorEastAsia" w:cs="Tahoma" w:hint="cs"/>
                <w:b/>
                <w:bCs/>
                <w:color w:val="0D0D0D" w:themeColor="text1" w:themeTint="F2"/>
                <w:spacing w:val="-10"/>
                <w:sz w:val="36"/>
                <w:szCs w:val="36"/>
                <w:rtl/>
              </w:rPr>
              <w:t xml:space="preserve">30 </w:t>
            </w:r>
            <w:r w:rsidRPr="00CC6307">
              <w:rPr>
                <w:rFonts w:ascii="Tahoma" w:hAnsi="Tahoma" w:eastAsiaTheme="minorEastAsia" w:cs="Tahoma" w:hint="cs"/>
                <w:b/>
                <w:bCs/>
                <w:color w:val="0D0D0D" w:themeColor="text1" w:themeTint="F2"/>
                <w:spacing w:val="-10"/>
                <w:sz w:val="26"/>
                <w:szCs w:val="26"/>
                <w:rtl/>
              </w:rPr>
              <w:t>מתוך</w:t>
            </w:r>
            <w:r w:rsidRPr="00CC6307">
              <w:rPr>
                <w:rFonts w:ascii="Tahoma" w:hAnsi="Tahoma" w:eastAsiaTheme="minorEastAsia" w:cs="Tahoma" w:hint="cs"/>
                <w:b/>
                <w:bCs/>
                <w:color w:val="0D0D0D" w:themeColor="text1" w:themeTint="F2"/>
                <w:spacing w:val="-10"/>
                <w:sz w:val="36"/>
                <w:szCs w:val="36"/>
                <w:rtl/>
              </w:rPr>
              <w:t xml:space="preserve"> 257</w:t>
            </w:r>
          </w:p>
        </w:tc>
        <w:tc>
          <w:tcPr>
            <w:tcW w:w="219" w:type="pct"/>
            <w:vAlign w:val="bottom"/>
          </w:tcPr>
          <w:p w:rsidR="00CC6307" w:rsidRPr="00CC6307" w:rsidP="00CC6307" w14:paraId="19192EA5" w14:textId="77777777">
            <w:pPr>
              <w:spacing w:before="120" w:after="60" w:line="240" w:lineRule="auto"/>
              <w:jc w:val="left"/>
              <w:rPr>
                <w:b/>
                <w:bCs/>
                <w:rtl/>
              </w:rPr>
            </w:pPr>
          </w:p>
        </w:tc>
        <w:tc>
          <w:tcPr>
            <w:tcW w:w="1412" w:type="pct"/>
            <w:tcBorders>
              <w:bottom w:val="single" w:sz="12" w:space="0" w:color="000000" w:themeColor="text1"/>
            </w:tcBorders>
            <w:vAlign w:val="bottom"/>
          </w:tcPr>
          <w:p w:rsidR="00CC6307" w:rsidRPr="00CC6307" w:rsidP="00CC6307" w14:paraId="761F4116" w14:textId="5DFA6CCC">
            <w:pPr>
              <w:pStyle w:val="2021"/>
              <w:spacing w:before="0" w:after="60"/>
              <w:rPr>
                <w:spacing w:val="-10"/>
                <w:rtl/>
              </w:rPr>
            </w:pPr>
            <w:r w:rsidRPr="00CC6307">
              <w:rPr>
                <w:rFonts w:hint="cs"/>
                <w:spacing w:val="-10"/>
                <w:rtl/>
              </w:rPr>
              <w:t xml:space="preserve">28 </w:t>
            </w:r>
            <w:r w:rsidRPr="00CC6307">
              <w:rPr>
                <w:rFonts w:hint="cs"/>
                <w:spacing w:val="-10"/>
                <w:sz w:val="26"/>
                <w:szCs w:val="26"/>
                <w:rtl/>
              </w:rPr>
              <w:t>מיליון</w:t>
            </w:r>
            <w:r w:rsidRPr="00CC6307">
              <w:rPr>
                <w:rFonts w:hint="cs"/>
                <w:spacing w:val="-10"/>
                <w:rtl/>
              </w:rPr>
              <w:t xml:space="preserve"> </w:t>
            </w:r>
            <w:r w:rsidRPr="00CC6307">
              <w:rPr>
                <w:rFonts w:hint="cs"/>
                <w:spacing w:val="-10"/>
                <w:sz w:val="26"/>
                <w:szCs w:val="26"/>
                <w:rtl/>
              </w:rPr>
              <w:t>ש"ח</w:t>
            </w:r>
          </w:p>
        </w:tc>
        <w:tc>
          <w:tcPr>
            <w:tcW w:w="218" w:type="pct"/>
            <w:vAlign w:val="bottom"/>
          </w:tcPr>
          <w:p w:rsidR="00CC6307" w:rsidRPr="00CC6307" w:rsidP="00CC6307" w14:paraId="2810DE55" w14:textId="77777777">
            <w:pPr>
              <w:spacing w:before="120" w:after="60" w:line="240" w:lineRule="auto"/>
              <w:jc w:val="left"/>
              <w:rPr>
                <w:rFonts w:ascii="Tahoma" w:hAnsi="Tahoma" w:eastAsiaTheme="minorEastAsia" w:cs="Tahoma"/>
                <w:b/>
                <w:bCs/>
                <w:color w:val="0D0D0D" w:themeColor="text1" w:themeTint="F2"/>
                <w:spacing w:val="-10"/>
                <w:sz w:val="26"/>
                <w:szCs w:val="26"/>
                <w:rtl/>
              </w:rPr>
            </w:pPr>
          </w:p>
        </w:tc>
        <w:tc>
          <w:tcPr>
            <w:tcW w:w="1567" w:type="pct"/>
            <w:tcBorders>
              <w:bottom w:val="single" w:sz="12" w:space="0" w:color="000000" w:themeColor="text1"/>
            </w:tcBorders>
            <w:vAlign w:val="bottom"/>
          </w:tcPr>
          <w:p w:rsidR="00CC6307" w:rsidRPr="00CC6307" w:rsidP="00CC6307" w14:paraId="2A2E27BD" w14:textId="2C89F790">
            <w:pPr>
              <w:pStyle w:val="2021"/>
              <w:spacing w:before="0" w:after="60"/>
              <w:rPr>
                <w:spacing w:val="-10"/>
                <w:sz w:val="26"/>
                <w:szCs w:val="26"/>
                <w:rtl/>
              </w:rPr>
            </w:pPr>
            <w:r w:rsidRPr="00CC6307">
              <w:rPr>
                <w:spacing w:val="-10"/>
                <w:rtl/>
              </w:rPr>
              <w:t>3.685</w:t>
            </w:r>
            <w:r w:rsidRPr="00CC6307">
              <w:rPr>
                <w:spacing w:val="-10"/>
                <w:sz w:val="26"/>
                <w:szCs w:val="26"/>
                <w:rtl/>
              </w:rPr>
              <w:t xml:space="preserve"> מיליון ש"ח</w:t>
            </w:r>
          </w:p>
        </w:tc>
      </w:tr>
      <w:tr w14:paraId="6DFAF81C" w14:textId="77777777" w:rsidTr="00CC6307">
        <w:tblPrEx>
          <w:tblW w:w="5000" w:type="pct"/>
          <w:tblLook w:val="04A0"/>
        </w:tblPrEx>
        <w:tc>
          <w:tcPr>
            <w:tcW w:w="1584" w:type="pct"/>
            <w:tcBorders>
              <w:top w:val="single" w:sz="12" w:space="0" w:color="000000" w:themeColor="text1"/>
            </w:tcBorders>
          </w:tcPr>
          <w:p w:rsidR="00CC6307" w:rsidRPr="00E52143" w:rsidP="00CC6307" w14:paraId="1D96599A" w14:textId="1FF669D9">
            <w:pPr>
              <w:pStyle w:val="732021"/>
              <w:spacing w:before="0"/>
              <w:rPr>
                <w:rtl/>
              </w:rPr>
            </w:pPr>
            <w:r w:rsidRPr="00FC2937">
              <w:rPr>
                <w:rFonts w:hint="cs"/>
                <w:rtl/>
              </w:rPr>
              <w:t>הרשויות המקומיות לא התקינו חוקי עזר לפרסום ולשילוט, נכון לספטמבר 2022</w:t>
            </w:r>
          </w:p>
        </w:tc>
        <w:tc>
          <w:tcPr>
            <w:tcW w:w="219" w:type="pct"/>
          </w:tcPr>
          <w:p w:rsidR="00CC6307" w:rsidRPr="00E52143" w:rsidP="00CC6307" w14:paraId="2BF81D8C" w14:textId="77777777">
            <w:pPr>
              <w:pStyle w:val="732021"/>
              <w:spacing w:before="0"/>
              <w:rPr>
                <w:rtl/>
              </w:rPr>
            </w:pPr>
          </w:p>
        </w:tc>
        <w:tc>
          <w:tcPr>
            <w:tcW w:w="1412" w:type="pct"/>
            <w:tcBorders>
              <w:top w:val="single" w:sz="12" w:space="0" w:color="000000" w:themeColor="text1"/>
            </w:tcBorders>
          </w:tcPr>
          <w:p w:rsidR="00CC6307" w:rsidRPr="00FC2937" w:rsidP="00CC6307" w14:paraId="45098F06" w14:textId="6731C8D5">
            <w:pPr>
              <w:pStyle w:val="732021"/>
              <w:spacing w:before="0"/>
              <w:rPr>
                <w:rtl/>
              </w:rPr>
            </w:pPr>
            <w:r w:rsidRPr="00FC2937">
              <w:rPr>
                <w:rtl/>
              </w:rPr>
              <w:t>יתרות הפיגורים בגין אגרות שילוט של שלוש מתוך חמש הרשויות המקומיות שנבדקו (</w:t>
            </w:r>
            <w:r w:rsidRPr="00CC6307">
              <w:rPr>
                <w:b/>
                <w:bCs/>
                <w:rtl/>
              </w:rPr>
              <w:t>טבריה</w:t>
            </w:r>
            <w:r w:rsidRPr="00FC2937">
              <w:rPr>
                <w:rtl/>
              </w:rPr>
              <w:t xml:space="preserve">, </w:t>
            </w:r>
            <w:r w:rsidRPr="00CC6307">
              <w:rPr>
                <w:b/>
                <w:bCs/>
                <w:rtl/>
              </w:rPr>
              <w:t>כרמיאל</w:t>
            </w:r>
            <w:r w:rsidRPr="00FC2937">
              <w:rPr>
                <w:rtl/>
              </w:rPr>
              <w:t xml:space="preserve"> </w:t>
            </w:r>
            <w:r w:rsidRPr="008E69D9">
              <w:rPr>
                <w:rtl/>
              </w:rPr>
              <w:t>ו</w:t>
            </w:r>
            <w:r w:rsidRPr="00CC6307">
              <w:rPr>
                <w:b/>
                <w:bCs/>
                <w:rtl/>
              </w:rPr>
              <w:t>סח'נין</w:t>
            </w:r>
            <w:r w:rsidRPr="00FC2937">
              <w:rPr>
                <w:rtl/>
              </w:rPr>
              <w:t>) לסוף שנת 2021</w:t>
            </w:r>
            <w:r w:rsidRPr="00FC2937">
              <w:rPr>
                <w:rFonts w:hint="cs"/>
                <w:rtl/>
              </w:rPr>
              <w:t>.</w:t>
            </w:r>
            <w:r>
              <w:rPr>
                <w:rtl/>
              </w:rPr>
              <w:br/>
            </w:r>
            <w:r w:rsidRPr="00FC2937">
              <w:rPr>
                <w:rtl/>
              </w:rPr>
              <w:t>בירכא ו</w:t>
            </w:r>
            <w:r w:rsidRPr="00FC2937">
              <w:rPr>
                <w:rFonts w:hint="eastAsia"/>
                <w:rtl/>
              </w:rPr>
              <w:t>ב</w:t>
            </w:r>
            <w:r w:rsidRPr="00FC2937">
              <w:rPr>
                <w:rtl/>
              </w:rPr>
              <w:t xml:space="preserve">כפר </w:t>
            </w:r>
            <w:r w:rsidRPr="00FC2937">
              <w:rPr>
                <w:rtl/>
              </w:rPr>
              <w:t>יאסיף</w:t>
            </w:r>
            <w:r w:rsidRPr="00FC2937">
              <w:rPr>
                <w:rtl/>
              </w:rPr>
              <w:t xml:space="preserve"> אין מידע לגבי מספר שלטי החוצות </w:t>
            </w:r>
            <w:r w:rsidRPr="00FC2937">
              <w:rPr>
                <w:rFonts w:hint="cs"/>
                <w:rtl/>
              </w:rPr>
              <w:t>שבתחום שיפוטן</w:t>
            </w:r>
            <w:r w:rsidRPr="00FC2937">
              <w:rPr>
                <w:rtl/>
              </w:rPr>
              <w:t xml:space="preserve"> ו</w:t>
            </w:r>
            <w:r w:rsidRPr="00FC2937">
              <w:rPr>
                <w:rFonts w:hint="cs"/>
                <w:rtl/>
              </w:rPr>
              <w:t xml:space="preserve">אין </w:t>
            </w:r>
            <w:r w:rsidRPr="00FC2937">
              <w:rPr>
                <w:rtl/>
              </w:rPr>
              <w:t xml:space="preserve">אומדן מדויק </w:t>
            </w:r>
            <w:r w:rsidRPr="00FC2937">
              <w:rPr>
                <w:rFonts w:hint="cs"/>
                <w:rtl/>
              </w:rPr>
              <w:t>ש</w:t>
            </w:r>
            <w:r w:rsidRPr="00FC2937">
              <w:rPr>
                <w:rtl/>
              </w:rPr>
              <w:t xml:space="preserve">ל היקף אגרות השילוט </w:t>
            </w:r>
            <w:r w:rsidRPr="00FC2937">
              <w:rPr>
                <w:rFonts w:hint="cs"/>
                <w:rtl/>
              </w:rPr>
              <w:t>בשתיהן</w:t>
            </w:r>
          </w:p>
          <w:p w:rsidR="00CC6307" w:rsidRPr="00E52143" w:rsidP="00CC6307" w14:paraId="68924AF7" w14:textId="4B477A01">
            <w:pPr>
              <w:pStyle w:val="732021"/>
              <w:spacing w:before="0"/>
              <w:rPr>
                <w:rtl/>
              </w:rPr>
            </w:pPr>
          </w:p>
        </w:tc>
        <w:tc>
          <w:tcPr>
            <w:tcW w:w="218" w:type="pct"/>
          </w:tcPr>
          <w:p w:rsidR="00CC6307" w:rsidRPr="00E52143" w:rsidP="00CC6307" w14:paraId="4F52CE08" w14:textId="77777777">
            <w:pPr>
              <w:pStyle w:val="732021"/>
              <w:spacing w:before="0"/>
              <w:rPr>
                <w:rtl/>
              </w:rPr>
            </w:pPr>
          </w:p>
        </w:tc>
        <w:tc>
          <w:tcPr>
            <w:tcW w:w="1567" w:type="pct"/>
            <w:tcBorders>
              <w:top w:val="single" w:sz="12" w:space="0" w:color="000000" w:themeColor="text1"/>
            </w:tcBorders>
          </w:tcPr>
          <w:p w:rsidR="00CC6307" w:rsidRPr="00E52143" w:rsidP="00CC6307" w14:paraId="203F9568" w14:textId="42A3744F">
            <w:pPr>
              <w:pStyle w:val="732021"/>
              <w:spacing w:before="0"/>
              <w:rPr>
                <w:rtl/>
              </w:rPr>
            </w:pPr>
            <w:r w:rsidRPr="00FC2937">
              <w:rPr>
                <w:rFonts w:hint="cs"/>
                <w:rtl/>
              </w:rPr>
              <w:t>סך כל ההכנסות מאגרות שילוט בשלוש מתוך חמש הרשויות שנבדקו (</w:t>
            </w:r>
            <w:r w:rsidRPr="00CC6307">
              <w:rPr>
                <w:rFonts w:hint="eastAsia"/>
                <w:b/>
                <w:bCs/>
                <w:rtl/>
              </w:rPr>
              <w:t>טבריה</w:t>
            </w:r>
            <w:r w:rsidRPr="00FC2937">
              <w:rPr>
                <w:rFonts w:hint="cs"/>
                <w:rtl/>
              </w:rPr>
              <w:t xml:space="preserve">, </w:t>
            </w:r>
            <w:r w:rsidRPr="00CC6307">
              <w:rPr>
                <w:rFonts w:hint="eastAsia"/>
                <w:b/>
                <w:bCs/>
                <w:rtl/>
              </w:rPr>
              <w:t>כרמיאל</w:t>
            </w:r>
            <w:r w:rsidRPr="00FC2937">
              <w:rPr>
                <w:rFonts w:hint="cs"/>
                <w:rtl/>
              </w:rPr>
              <w:t xml:space="preserve">, </w:t>
            </w:r>
            <w:r w:rsidRPr="00CC6307">
              <w:rPr>
                <w:rFonts w:hint="eastAsia"/>
                <w:b/>
                <w:bCs/>
                <w:rtl/>
              </w:rPr>
              <w:t>סח</w:t>
            </w:r>
            <w:r w:rsidRPr="00CC6307">
              <w:rPr>
                <w:b/>
                <w:bCs/>
                <w:rtl/>
              </w:rPr>
              <w:t>'נין</w:t>
            </w:r>
            <w:r w:rsidRPr="00FC2937">
              <w:rPr>
                <w:rFonts w:hint="cs"/>
                <w:rtl/>
              </w:rPr>
              <w:t>) לשנת 2020</w:t>
            </w:r>
          </w:p>
        </w:tc>
      </w:tr>
      <w:tr w14:paraId="1BD5A20C" w14:textId="77777777" w:rsidTr="00456683">
        <w:tblPrEx>
          <w:tblW w:w="5000" w:type="pct"/>
          <w:tblLook w:val="04A0"/>
        </w:tblPrEx>
        <w:trPr>
          <w:gridAfter w:val="1"/>
          <w:wAfter w:w="1567" w:type="dxa"/>
        </w:trPr>
        <w:tc>
          <w:tcPr>
            <w:tcW w:w="1584" w:type="pct"/>
            <w:tcBorders>
              <w:bottom w:val="single" w:sz="12" w:space="0" w:color="000000" w:themeColor="text1"/>
            </w:tcBorders>
            <w:vAlign w:val="bottom"/>
          </w:tcPr>
          <w:p w:rsidR="00CC6307" w:rsidRPr="00CC6307" w:rsidP="00456683" w14:paraId="500D3B50" w14:textId="34985791">
            <w:pPr>
              <w:spacing w:after="58" w:line="240" w:lineRule="auto"/>
              <w:jc w:val="left"/>
              <w:rPr>
                <w:rFonts w:ascii="Tahoma" w:hAnsi="Tahoma" w:eastAsiaTheme="minorEastAsia" w:cs="Tahoma"/>
                <w:b/>
                <w:bCs/>
                <w:color w:val="0D0D0D" w:themeColor="text1" w:themeTint="F2"/>
                <w:spacing w:val="-10"/>
                <w:sz w:val="36"/>
                <w:szCs w:val="36"/>
                <w:rtl/>
              </w:rPr>
            </w:pPr>
            <w:r w:rsidRPr="00CC6307">
              <w:rPr>
                <w:rFonts w:ascii="Tahoma" w:hAnsi="Tahoma" w:eastAsiaTheme="minorEastAsia" w:cs="Tahoma" w:hint="cs"/>
                <w:b/>
                <w:bCs/>
                <w:color w:val="0D0D0D" w:themeColor="text1" w:themeTint="F2"/>
                <w:spacing w:val="-10"/>
                <w:sz w:val="36"/>
                <w:szCs w:val="36"/>
                <w:rtl/>
              </w:rPr>
              <w:t>13,500</w:t>
            </w:r>
          </w:p>
        </w:tc>
        <w:tc>
          <w:tcPr>
            <w:tcW w:w="219" w:type="pct"/>
            <w:vAlign w:val="bottom"/>
          </w:tcPr>
          <w:p w:rsidR="00CC6307" w:rsidRPr="00CC6307" w:rsidP="00456683" w14:paraId="26A950B1" w14:textId="77777777">
            <w:pPr>
              <w:spacing w:after="58"/>
              <w:jc w:val="left"/>
              <w:rPr>
                <w:rFonts w:ascii="Tahoma" w:hAnsi="Tahoma" w:eastAsiaTheme="minorEastAsia" w:cs="Tahoma"/>
                <w:b/>
                <w:bCs/>
                <w:color w:val="0D0D0D" w:themeColor="text1" w:themeTint="F2"/>
                <w:spacing w:val="-10"/>
                <w:sz w:val="36"/>
                <w:szCs w:val="36"/>
                <w:rtl/>
              </w:rPr>
            </w:pPr>
          </w:p>
        </w:tc>
        <w:tc>
          <w:tcPr>
            <w:tcW w:w="1412" w:type="pct"/>
            <w:tcBorders>
              <w:bottom w:val="single" w:sz="12" w:space="0" w:color="000000" w:themeColor="text1"/>
            </w:tcBorders>
            <w:vAlign w:val="bottom"/>
          </w:tcPr>
          <w:p w:rsidR="00CC6307" w:rsidRPr="00CC6307" w:rsidP="00456683" w14:paraId="48896DF7" w14:textId="43046935">
            <w:pPr>
              <w:pStyle w:val="2021"/>
              <w:spacing w:before="0" w:after="58"/>
              <w:rPr>
                <w:spacing w:val="-10"/>
                <w:rtl/>
              </w:rPr>
            </w:pPr>
            <w:r w:rsidRPr="00CC6307">
              <w:rPr>
                <w:spacing w:val="-10"/>
                <w:rtl/>
              </w:rPr>
              <w:t>9</w:t>
            </w:r>
            <w:r w:rsidRPr="00CC6307">
              <w:rPr>
                <w:rFonts w:hint="cs"/>
                <w:spacing w:val="-10"/>
                <w:rtl/>
              </w:rPr>
              <w:t xml:space="preserve"> </w:t>
            </w:r>
            <w:r w:rsidRPr="00CC6307">
              <w:rPr>
                <w:rFonts w:hint="cs"/>
                <w:spacing w:val="-10"/>
                <w:sz w:val="26"/>
                <w:szCs w:val="26"/>
                <w:rtl/>
              </w:rPr>
              <w:t>ו-</w:t>
            </w:r>
            <w:r w:rsidRPr="00CC6307">
              <w:rPr>
                <w:spacing w:val="-10"/>
                <w:rtl/>
              </w:rPr>
              <w:t>35</w:t>
            </w:r>
            <w:r w:rsidRPr="00CC6307">
              <w:rPr>
                <w:rFonts w:hint="cs"/>
                <w:spacing w:val="-10"/>
                <w:rtl/>
              </w:rPr>
              <w:t xml:space="preserve"> </w:t>
            </w:r>
            <w:r w:rsidRPr="00CC6307">
              <w:rPr>
                <w:rFonts w:hint="eastAsia"/>
                <w:spacing w:val="-10"/>
                <w:sz w:val="26"/>
                <w:szCs w:val="26"/>
                <w:rtl/>
              </w:rPr>
              <w:t>שנים</w:t>
            </w:r>
          </w:p>
        </w:tc>
        <w:tc>
          <w:tcPr>
            <w:tcW w:w="218" w:type="pct"/>
            <w:vAlign w:val="bottom"/>
          </w:tcPr>
          <w:p w:rsidR="00CC6307" w:rsidP="00CC6307" w14:paraId="5B4C8A80" w14:textId="77777777">
            <w:pPr>
              <w:spacing w:after="60" w:line="240" w:lineRule="auto"/>
              <w:jc w:val="left"/>
              <w:rPr>
                <w:rtl/>
              </w:rPr>
            </w:pPr>
          </w:p>
        </w:tc>
      </w:tr>
      <w:tr w14:paraId="54154FA5" w14:textId="77777777" w:rsidTr="00CC6307">
        <w:tblPrEx>
          <w:tblW w:w="5000" w:type="pct"/>
          <w:tblLook w:val="04A0"/>
        </w:tblPrEx>
        <w:trPr>
          <w:gridAfter w:val="1"/>
          <w:wAfter w:w="1567" w:type="dxa"/>
        </w:trPr>
        <w:tc>
          <w:tcPr>
            <w:tcW w:w="1584" w:type="pct"/>
            <w:tcBorders>
              <w:top w:val="single" w:sz="12" w:space="0" w:color="000000" w:themeColor="text1"/>
            </w:tcBorders>
          </w:tcPr>
          <w:p w:rsidR="00CC6307" w:rsidRPr="004562F8" w:rsidP="00CC6307" w14:paraId="6DB67748" w14:textId="5A2E9642">
            <w:pPr>
              <w:pStyle w:val="732021"/>
              <w:spacing w:before="0" w:after="0"/>
              <w:rPr>
                <w:rtl/>
              </w:rPr>
            </w:pPr>
            <w:r w:rsidRPr="00FC2937">
              <w:rPr>
                <w:rFonts w:hint="cs"/>
                <w:rtl/>
              </w:rPr>
              <w:t xml:space="preserve">מספר השלטים בתחום שיפוטן של חמש הרשויות המקומיות שנבדקו בשנת 2022, ובכלל זה הרשויות המקומיות </w:t>
            </w:r>
            <w:r w:rsidRPr="00CC6307">
              <w:rPr>
                <w:rFonts w:hint="eastAsia"/>
                <w:b/>
                <w:bCs/>
                <w:rtl/>
              </w:rPr>
              <w:t>ירכא</w:t>
            </w:r>
            <w:r w:rsidRPr="00FC2937">
              <w:rPr>
                <w:rFonts w:hint="cs"/>
                <w:rtl/>
              </w:rPr>
              <w:t xml:space="preserve"> </w:t>
            </w:r>
            <w:r w:rsidRPr="008E69D9">
              <w:rPr>
                <w:rFonts w:hint="cs"/>
                <w:rtl/>
              </w:rPr>
              <w:t>ו</w:t>
            </w:r>
            <w:r w:rsidRPr="00CC6307">
              <w:rPr>
                <w:rFonts w:hint="eastAsia"/>
                <w:b/>
                <w:bCs/>
                <w:rtl/>
              </w:rPr>
              <w:t>כפר</w:t>
            </w:r>
            <w:r w:rsidRPr="00FC2937">
              <w:rPr>
                <w:rFonts w:hint="cs"/>
                <w:rtl/>
              </w:rPr>
              <w:t xml:space="preserve"> </w:t>
            </w:r>
            <w:r w:rsidRPr="00CC6307">
              <w:rPr>
                <w:rFonts w:hint="cs"/>
                <w:b/>
                <w:bCs/>
                <w:rtl/>
              </w:rPr>
              <w:t>יאסיף</w:t>
            </w:r>
            <w:r w:rsidRPr="00FC2937">
              <w:rPr>
                <w:rFonts w:hint="cs"/>
                <w:rtl/>
              </w:rPr>
              <w:t xml:space="preserve"> שבהן לא נאספו נתונים מעודכנים על מספר השלטים שבתחום שיפוטן</w:t>
            </w:r>
          </w:p>
        </w:tc>
        <w:tc>
          <w:tcPr>
            <w:tcW w:w="219" w:type="pct"/>
          </w:tcPr>
          <w:p w:rsidR="00CC6307" w:rsidRPr="008D750B" w:rsidP="00CC6307" w14:paraId="0C0AE598" w14:textId="77777777">
            <w:pPr>
              <w:pStyle w:val="732021"/>
              <w:spacing w:before="0" w:after="0"/>
              <w:rPr>
                <w:rtl/>
              </w:rPr>
            </w:pPr>
          </w:p>
        </w:tc>
        <w:tc>
          <w:tcPr>
            <w:tcW w:w="1412" w:type="pct"/>
            <w:tcBorders>
              <w:top w:val="single" w:sz="12" w:space="0" w:color="000000" w:themeColor="text1"/>
            </w:tcBorders>
          </w:tcPr>
          <w:p w:rsidR="00CC6307" w:rsidRPr="00FC2937" w:rsidP="00CC6307" w14:paraId="6F7B3658" w14:textId="77777777">
            <w:pPr>
              <w:pStyle w:val="732021"/>
              <w:spacing w:before="0"/>
            </w:pPr>
            <w:r w:rsidRPr="00FC2937">
              <w:rPr>
                <w:rtl/>
              </w:rPr>
              <w:t xml:space="preserve">הרשויות </w:t>
            </w:r>
            <w:r w:rsidRPr="00CC6307">
              <w:rPr>
                <w:b/>
                <w:bCs/>
                <w:rtl/>
              </w:rPr>
              <w:t>ירכא</w:t>
            </w:r>
            <w:r w:rsidRPr="00FC2937">
              <w:rPr>
                <w:rtl/>
              </w:rPr>
              <w:t xml:space="preserve"> </w:t>
            </w:r>
            <w:r w:rsidRPr="008E69D9">
              <w:rPr>
                <w:rtl/>
              </w:rPr>
              <w:t>ו</w:t>
            </w:r>
            <w:r w:rsidRPr="00CC6307">
              <w:rPr>
                <w:b/>
                <w:bCs/>
                <w:rtl/>
              </w:rPr>
              <w:t>כפר</w:t>
            </w:r>
            <w:r w:rsidRPr="00FC2937">
              <w:rPr>
                <w:rtl/>
              </w:rPr>
              <w:t xml:space="preserve"> </w:t>
            </w:r>
            <w:r w:rsidRPr="00CC6307">
              <w:rPr>
                <w:b/>
                <w:bCs/>
                <w:rtl/>
              </w:rPr>
              <w:t>יאסיף</w:t>
            </w:r>
            <w:r w:rsidRPr="00FC2937">
              <w:rPr>
                <w:rtl/>
              </w:rPr>
              <w:t xml:space="preserve"> לא גבו אגרות שילוט במשך 9 שנים ו-35 שנים (בהתאמה) ממועד חקיקת חוקי העזר שלהן לשילוט </w:t>
            </w:r>
          </w:p>
          <w:p w:rsidR="00CC6307" w:rsidRPr="004562F8" w:rsidP="00CC6307" w14:paraId="1916A301" w14:textId="484739A4">
            <w:pPr>
              <w:pStyle w:val="732021"/>
              <w:spacing w:before="0" w:after="0"/>
              <w:rPr>
                <w:rtl/>
              </w:rPr>
            </w:pPr>
          </w:p>
        </w:tc>
        <w:tc>
          <w:tcPr>
            <w:tcW w:w="218" w:type="pct"/>
          </w:tcPr>
          <w:p w:rsidR="00CC6307" w:rsidP="00CC6307" w14:paraId="14782C57" w14:textId="77777777">
            <w:pPr>
              <w:pStyle w:val="732021"/>
              <w:spacing w:before="0" w:after="0"/>
              <w:rPr>
                <w:rtl/>
              </w:rPr>
            </w:pPr>
          </w:p>
        </w:tc>
      </w:tr>
    </w:tbl>
    <w:p w:rsidR="00420374" w:rsidRPr="00C62692" w:rsidP="00420374" w14:paraId="3FADD5EE" w14:textId="77777777">
      <w:pPr>
        <w:pStyle w:val="73"/>
        <w:rPr>
          <w:rtl/>
        </w:rPr>
      </w:pPr>
      <w:r w:rsidRPr="00C62692">
        <w:rPr>
          <w:rtl/>
        </w:rPr>
        <w:t>פעולות הביקורת</w:t>
      </w:r>
    </w:p>
    <w:p w:rsidR="00EB672B" w:rsidP="00EB672B" w14:paraId="21608E70" w14:textId="715FF081">
      <w:pPr>
        <w:pStyle w:val="7317"/>
        <w:rPr>
          <w:rtl/>
        </w:rPr>
      </w:pPr>
      <w:r w:rsidRPr="001F3363">
        <w:rPr>
          <w:noProof/>
        </w:rPr>
        <w:drawing>
          <wp:anchor distT="0" distB="0" distL="71755" distR="71755" simplePos="0" relativeHeight="251682816" behindDoc="0" locked="0" layoutInCell="1" allowOverlap="1">
            <wp:simplePos x="0" y="0"/>
            <wp:positionH relativeFrom="column">
              <wp:posOffset>4529260</wp:posOffset>
            </wp:positionH>
            <wp:positionV relativeFrom="paragraph">
              <wp:posOffset>50165</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2937" w:rsidR="00CC6307">
        <w:rPr>
          <w:rFonts w:hint="cs"/>
          <w:noProof/>
          <w:rtl/>
        </w:rPr>
        <w:t>בשנת 2015 פרסם משרד מבקר המדינה דוח בנושא "פרסום חוצות בתחומי הרשויות המקומיות"</w:t>
      </w:r>
      <w:r>
        <w:rPr>
          <w:noProof/>
          <w:vertAlign w:val="superscript"/>
          <w:rtl/>
        </w:rPr>
        <w:footnoteReference w:id="2"/>
      </w:r>
      <w:r w:rsidRPr="00FC2937" w:rsidR="00CC6307">
        <w:rPr>
          <w:rFonts w:hint="cs"/>
          <w:noProof/>
          <w:rtl/>
        </w:rPr>
        <w:t xml:space="preserve"> (הדוח הקודם או הביקורת הקודמת). בדוח נבדקו חמש רשויות מקומיות בצפון הארץ: ה</w:t>
      </w:r>
      <w:r w:rsidRPr="00FC2937" w:rsidR="00CC6307">
        <w:rPr>
          <w:rFonts w:hint="eastAsia"/>
          <w:noProof/>
          <w:rtl/>
        </w:rPr>
        <w:t>עיריות</w:t>
      </w:r>
      <w:r w:rsidRPr="00FC2937" w:rsidR="00CC6307">
        <w:rPr>
          <w:noProof/>
          <w:rtl/>
        </w:rPr>
        <w:t xml:space="preserve"> </w:t>
      </w:r>
      <w:r w:rsidRPr="00CC6307" w:rsidR="00CC6307">
        <w:rPr>
          <w:rFonts w:hint="eastAsia"/>
          <w:b/>
          <w:bCs/>
          <w:noProof/>
          <w:rtl/>
        </w:rPr>
        <w:t>טבריה</w:t>
      </w:r>
      <w:r w:rsidRPr="00FC2937" w:rsidR="00CC6307">
        <w:rPr>
          <w:noProof/>
          <w:rtl/>
        </w:rPr>
        <w:t xml:space="preserve">, </w:t>
      </w:r>
      <w:r w:rsidRPr="00CC6307" w:rsidR="00CC6307">
        <w:rPr>
          <w:rFonts w:hint="eastAsia"/>
          <w:b/>
          <w:bCs/>
          <w:noProof/>
          <w:rtl/>
        </w:rPr>
        <w:t>כרמיאל</w:t>
      </w:r>
      <w:r w:rsidRPr="00FC2937" w:rsidR="00CC6307">
        <w:rPr>
          <w:noProof/>
          <w:rtl/>
        </w:rPr>
        <w:t xml:space="preserve"> </w:t>
      </w:r>
      <w:r w:rsidRPr="008E69D9" w:rsidR="00CC6307">
        <w:rPr>
          <w:rFonts w:hint="eastAsia"/>
          <w:noProof/>
          <w:rtl/>
        </w:rPr>
        <w:t>ו</w:t>
      </w:r>
      <w:r w:rsidRPr="00CC6307" w:rsidR="00CC6307">
        <w:rPr>
          <w:rFonts w:hint="eastAsia"/>
          <w:b/>
          <w:bCs/>
          <w:noProof/>
          <w:rtl/>
        </w:rPr>
        <w:t>סח</w:t>
      </w:r>
      <w:r w:rsidRPr="00CC6307" w:rsidR="00CC6307">
        <w:rPr>
          <w:b/>
          <w:bCs/>
          <w:noProof/>
          <w:rtl/>
        </w:rPr>
        <w:t>'נין</w:t>
      </w:r>
      <w:r w:rsidRPr="00FC2937" w:rsidR="00CC6307">
        <w:rPr>
          <w:noProof/>
          <w:rtl/>
        </w:rPr>
        <w:t xml:space="preserve"> </w:t>
      </w:r>
      <w:r w:rsidRPr="00FC2937" w:rsidR="00CC6307">
        <w:rPr>
          <w:rFonts w:hint="eastAsia"/>
          <w:noProof/>
          <w:rtl/>
        </w:rPr>
        <w:t>והמועצות</w:t>
      </w:r>
      <w:r w:rsidRPr="00FC2937" w:rsidR="00CC6307">
        <w:rPr>
          <w:noProof/>
          <w:rtl/>
        </w:rPr>
        <w:t xml:space="preserve"> </w:t>
      </w:r>
      <w:r w:rsidRPr="00FC2937" w:rsidR="00CC6307">
        <w:rPr>
          <w:rFonts w:hint="eastAsia"/>
          <w:noProof/>
          <w:rtl/>
        </w:rPr>
        <w:t>המקומיות</w:t>
      </w:r>
      <w:r w:rsidRPr="00FC2937" w:rsidR="00CC6307">
        <w:rPr>
          <w:noProof/>
          <w:rtl/>
        </w:rPr>
        <w:t xml:space="preserve"> </w:t>
      </w:r>
      <w:r w:rsidRPr="00CC6307" w:rsidR="00CC6307">
        <w:rPr>
          <w:rFonts w:hint="eastAsia"/>
          <w:b/>
          <w:bCs/>
          <w:noProof/>
          <w:rtl/>
        </w:rPr>
        <w:t>ירכא</w:t>
      </w:r>
      <w:r w:rsidRPr="00FC2937" w:rsidR="00CC6307">
        <w:rPr>
          <w:noProof/>
          <w:rtl/>
        </w:rPr>
        <w:t xml:space="preserve"> </w:t>
      </w:r>
      <w:r w:rsidRPr="008E69D9" w:rsidR="00CC6307">
        <w:rPr>
          <w:rFonts w:hint="eastAsia"/>
          <w:noProof/>
          <w:rtl/>
        </w:rPr>
        <w:t>ו</w:t>
      </w:r>
      <w:r w:rsidRPr="00CC6307" w:rsidR="00CC6307">
        <w:rPr>
          <w:rFonts w:hint="eastAsia"/>
          <w:b/>
          <w:bCs/>
          <w:noProof/>
          <w:rtl/>
        </w:rPr>
        <w:t>כפר</w:t>
      </w:r>
      <w:r w:rsidRPr="00FC2937" w:rsidR="00CC6307">
        <w:rPr>
          <w:rFonts w:hint="cs"/>
          <w:noProof/>
          <w:rtl/>
        </w:rPr>
        <w:t xml:space="preserve"> </w:t>
      </w:r>
      <w:r w:rsidRPr="00CC6307" w:rsidR="00CC6307">
        <w:rPr>
          <w:rFonts w:hint="eastAsia"/>
          <w:b/>
          <w:bCs/>
          <w:noProof/>
          <w:rtl/>
        </w:rPr>
        <w:t>י</w:t>
      </w:r>
      <w:r w:rsidRPr="00CC6307" w:rsidR="00CC6307">
        <w:rPr>
          <w:rFonts w:hint="cs"/>
          <w:b/>
          <w:bCs/>
          <w:noProof/>
          <w:rtl/>
        </w:rPr>
        <w:t>א</w:t>
      </w:r>
      <w:r w:rsidRPr="00CC6307" w:rsidR="00CC6307">
        <w:rPr>
          <w:rFonts w:hint="eastAsia"/>
          <w:b/>
          <w:bCs/>
          <w:noProof/>
          <w:rtl/>
        </w:rPr>
        <w:t>סיף</w:t>
      </w:r>
      <w:r w:rsidRPr="00FC2937" w:rsidR="00CC6307">
        <w:rPr>
          <w:noProof/>
          <w:rtl/>
        </w:rPr>
        <w:t xml:space="preserve"> </w:t>
      </w:r>
      <w:r w:rsidRPr="00FC2937" w:rsidR="00CC6307">
        <w:rPr>
          <w:noProof/>
          <w:rtl/>
        </w:rPr>
        <w:t>(</w:t>
      </w:r>
      <w:r w:rsidRPr="00FC2937" w:rsidR="00CC6307">
        <w:rPr>
          <w:rFonts w:hint="eastAsia"/>
          <w:noProof/>
          <w:rtl/>
        </w:rPr>
        <w:t>הרשויות</w:t>
      </w:r>
      <w:r w:rsidRPr="00FC2937" w:rsidR="00CC6307">
        <w:rPr>
          <w:noProof/>
          <w:rtl/>
        </w:rPr>
        <w:t xml:space="preserve"> </w:t>
      </w:r>
      <w:r w:rsidRPr="00FC2937" w:rsidR="00CC6307">
        <w:rPr>
          <w:rFonts w:hint="eastAsia"/>
          <w:noProof/>
          <w:rtl/>
        </w:rPr>
        <w:t>המקומיות</w:t>
      </w:r>
      <w:r w:rsidRPr="00FC2937" w:rsidR="00CC6307">
        <w:rPr>
          <w:noProof/>
          <w:rtl/>
        </w:rPr>
        <w:t xml:space="preserve"> </w:t>
      </w:r>
      <w:r w:rsidRPr="00FC2937" w:rsidR="00CC6307">
        <w:rPr>
          <w:rFonts w:hint="eastAsia"/>
          <w:noProof/>
          <w:rtl/>
        </w:rPr>
        <w:t>שנבדקו</w:t>
      </w:r>
      <w:r w:rsidRPr="00FC2937" w:rsidR="00CC6307">
        <w:rPr>
          <w:noProof/>
          <w:rtl/>
        </w:rPr>
        <w:t xml:space="preserve">), </w:t>
      </w:r>
      <w:r w:rsidRPr="00FC2937" w:rsidR="00CC6307">
        <w:rPr>
          <w:rFonts w:hint="cs"/>
          <w:noProof/>
          <w:rtl/>
        </w:rPr>
        <w:t>וכן ה</w:t>
      </w:r>
      <w:r w:rsidRPr="00FC2937" w:rsidR="00CC6307">
        <w:rPr>
          <w:noProof/>
          <w:rtl/>
        </w:rPr>
        <w:t xml:space="preserve">חברה הכלכלית מיסודה של עיריית </w:t>
      </w:r>
      <w:r w:rsidRPr="008E69D9" w:rsidR="00CC6307">
        <w:rPr>
          <w:noProof/>
          <w:rtl/>
        </w:rPr>
        <w:t>טבריה</w:t>
      </w:r>
      <w:r w:rsidRPr="00FC2937" w:rsidR="00CC6307">
        <w:rPr>
          <w:noProof/>
          <w:rtl/>
        </w:rPr>
        <w:t xml:space="preserve"> (חכ"ל טבריה) ועמותת פסטיבל מחולות כרמיאל (עמותת פסטיבל כרמיאל).</w:t>
      </w:r>
      <w:r w:rsidRPr="00FC2937" w:rsidR="00CC6307">
        <w:rPr>
          <w:rFonts w:hint="cs"/>
          <w:noProof/>
          <w:rtl/>
        </w:rPr>
        <w:t xml:space="preserve"> </w:t>
      </w:r>
      <w:r w:rsidRPr="00FC2937" w:rsidR="00CC6307">
        <w:rPr>
          <w:noProof/>
          <w:rtl/>
        </w:rPr>
        <w:t>בביקורת הקודמת נ</w:t>
      </w:r>
      <w:r w:rsidRPr="00FC2937" w:rsidR="00CC6307">
        <w:rPr>
          <w:rFonts w:hint="eastAsia"/>
          <w:noProof/>
          <w:rtl/>
        </w:rPr>
        <w:t>בדקו</w:t>
      </w:r>
      <w:r w:rsidRPr="00FC2937" w:rsidR="00CC6307">
        <w:rPr>
          <w:rFonts w:hint="cs"/>
          <w:noProof/>
          <w:rtl/>
        </w:rPr>
        <w:t xml:space="preserve"> הנושאים שלהלן: מדיניות פרסום חוצות, ניהול פרסום החוצות, ניהול התקשרויות עם קבלני הפרסום, טיפול הרשויות המקומיות בהצבת שלטים בתחום שיפוטן וגביית אגרות שילוט ודמי שימוש במתקני פרסום. בחודשים יוני-דצמבר 2022 ביצע משרד מבקר המדינה ביקורת מעקב אחר פעולותיהן של הרשויות המקומיות והתאגידים לתיקון הליקויים העיקריים שהועלו בדוח הקודם. בדיקת השלמה נעשתה במשרד הפנים. בחודשים ינואר, פברואר ואפריל 2023 התקיימו סיורים ונעשו בדיקות השלמה בשלוש מהרשויות המקומיות שנבדקו: עיריית טבריה והמועצות המקומיות </w:t>
      </w:r>
      <w:r w:rsidRPr="00CC6307" w:rsidR="00CC6307">
        <w:rPr>
          <w:rFonts w:hint="cs"/>
          <w:b/>
          <w:bCs/>
          <w:noProof/>
          <w:rtl/>
        </w:rPr>
        <w:t>ירכא</w:t>
      </w:r>
      <w:r w:rsidRPr="00FC2937" w:rsidR="00CC6307">
        <w:rPr>
          <w:rFonts w:hint="cs"/>
          <w:noProof/>
          <w:rtl/>
        </w:rPr>
        <w:t xml:space="preserve"> </w:t>
      </w:r>
      <w:r w:rsidRPr="00CC6307" w:rsidR="00CC6307">
        <w:rPr>
          <w:rFonts w:hint="cs"/>
          <w:b/>
          <w:bCs/>
          <w:noProof/>
          <w:rtl/>
        </w:rPr>
        <w:t>וכפר</w:t>
      </w:r>
      <w:r w:rsidRPr="00FC2937" w:rsidR="00CC6307">
        <w:rPr>
          <w:rFonts w:hint="cs"/>
          <w:noProof/>
          <w:rtl/>
        </w:rPr>
        <w:t xml:space="preserve"> </w:t>
      </w:r>
      <w:r w:rsidRPr="00CC6307" w:rsidR="00CC6307">
        <w:rPr>
          <w:rFonts w:hint="cs"/>
          <w:b/>
          <w:bCs/>
          <w:noProof/>
          <w:rtl/>
        </w:rPr>
        <w:t>יאסיף</w:t>
      </w:r>
      <w:r>
        <w:rPr>
          <w:rFonts w:hint="cs"/>
          <w:rtl/>
        </w:rPr>
        <w:t>.</w:t>
      </w:r>
      <w:r w:rsidRPr="001F3363">
        <w:rPr>
          <w:rFonts w:hint="cs"/>
          <w:rtl/>
        </w:rPr>
        <w:t xml:space="preserve"> </w:t>
      </w:r>
    </w:p>
    <w:p w:rsidR="00EB672B" w:rsidRPr="00275281" w:rsidP="00EB672B" w14:paraId="104516F6" w14:textId="77777777">
      <w:pPr>
        <w:pStyle w:val="73"/>
        <w:rPr>
          <w:rtl/>
        </w:rPr>
      </w:pPr>
      <w:r w:rsidRPr="00275281">
        <w:rPr>
          <w:rFonts w:hint="cs"/>
          <w:rtl/>
        </w:rPr>
        <w:t>תמונת המצב העולה מן הביקורת</w:t>
      </w:r>
    </w:p>
    <w:p w:rsidR="00EB672B" w:rsidRPr="00CF6518" w:rsidP="00EB672B" w14:paraId="458E9EA7"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EB672B" w:rsidRPr="00AF3B73" w:rsidP="00EB672B" w14:paraId="0B694ADB" w14:textId="62EE91E5">
      <w:pPr>
        <w:pStyle w:val="7317"/>
        <w:rPr>
          <w:rtl/>
        </w:rPr>
      </w:pPr>
      <w:r w:rsidRPr="008E69D9">
        <w:rPr>
          <w:rFonts w:hint="cs"/>
          <w:b/>
          <w:noProof/>
          <w:rtl/>
        </w:rPr>
        <w:drawing>
          <wp:anchor distT="0" distB="0" distL="71755" distR="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E69D9" w:rsidR="00CC6307">
        <w:rPr>
          <w:rFonts w:hint="cs"/>
          <w:b/>
          <w:bCs/>
          <w:rtl/>
        </w:rPr>
        <w:t>קביעת מדיניות ותוכנית כוללת לפרסום ולשילוט -</w:t>
      </w:r>
      <w:r w:rsidRPr="00FC2937" w:rsidR="00CC6307">
        <w:rPr>
          <w:rFonts w:hint="cs"/>
          <w:rtl/>
        </w:rPr>
        <w:t xml:space="preserve"> בדוח הקודם עלה כי חמש הרשויות המקומיות שנבדקו לא קבעו תוכנית כוללת לשילוט בתחום שיפוטן, ולפיכך המערך להצבת שלטים במרחב הפרטי והציבורי שלהן לא נבחן בראייה רחבה ומערכתית הכוללת את כל מתקני הפרסום בתחום שיפוטן של כל אחת מהרשויות האלה. בביקורת המעקב הועלה כי שלוש מהרשויות המקומיות שנבדקו: </w:t>
      </w:r>
      <w:r w:rsidRPr="008E69D9" w:rsidR="00CC6307">
        <w:rPr>
          <w:rFonts w:hint="cs"/>
          <w:b/>
          <w:bCs/>
          <w:rtl/>
        </w:rPr>
        <w:t>ירכא</w:t>
      </w:r>
      <w:r w:rsidRPr="00FC2937" w:rsidR="00CC6307">
        <w:rPr>
          <w:rFonts w:hint="cs"/>
          <w:rtl/>
        </w:rPr>
        <w:t xml:space="preserve">, </w:t>
      </w:r>
      <w:r w:rsidRPr="008E69D9" w:rsidR="00CC6307">
        <w:rPr>
          <w:rFonts w:hint="cs"/>
          <w:b/>
          <w:bCs/>
          <w:rtl/>
        </w:rPr>
        <w:t>כפר</w:t>
      </w:r>
      <w:r w:rsidRPr="00FC2937" w:rsidR="00CC6307">
        <w:rPr>
          <w:rFonts w:hint="cs"/>
          <w:rtl/>
        </w:rPr>
        <w:t xml:space="preserve"> </w:t>
      </w:r>
      <w:r w:rsidRPr="008E69D9" w:rsidR="00CC6307">
        <w:rPr>
          <w:rFonts w:hint="cs"/>
          <w:b/>
          <w:bCs/>
          <w:rtl/>
        </w:rPr>
        <w:t>יאסיף</w:t>
      </w:r>
      <w:r w:rsidRPr="00FC2937" w:rsidR="00CC6307">
        <w:rPr>
          <w:rFonts w:hint="cs"/>
          <w:rtl/>
        </w:rPr>
        <w:t xml:space="preserve"> </w:t>
      </w:r>
      <w:r w:rsidRPr="00FC2937" w:rsidR="00CC6307">
        <w:rPr>
          <w:rFonts w:hint="cs"/>
          <w:rtl/>
        </w:rPr>
        <w:t>ו</w:t>
      </w:r>
      <w:r w:rsidRPr="008E69D9" w:rsidR="00CC6307">
        <w:rPr>
          <w:rFonts w:hint="cs"/>
          <w:b/>
          <w:bCs/>
          <w:rtl/>
        </w:rPr>
        <w:t>סח'נין</w:t>
      </w:r>
      <w:r w:rsidRPr="00FC2937" w:rsidR="00CC6307">
        <w:rPr>
          <w:rFonts w:hint="cs"/>
          <w:rtl/>
        </w:rPr>
        <w:t xml:space="preserve"> </w:t>
      </w:r>
      <w:r w:rsidRPr="00FC2937" w:rsidR="00CC6307">
        <w:rPr>
          <w:rFonts w:hint="eastAsia"/>
          <w:rtl/>
        </w:rPr>
        <w:t>לא</w:t>
      </w:r>
      <w:r w:rsidRPr="00FC2937" w:rsidR="00CC6307">
        <w:rPr>
          <w:rtl/>
        </w:rPr>
        <w:t xml:space="preserve"> </w:t>
      </w:r>
      <w:r w:rsidRPr="00FC2937" w:rsidR="00CC6307">
        <w:rPr>
          <w:rFonts w:hint="eastAsia"/>
          <w:rtl/>
        </w:rPr>
        <w:t>ת</w:t>
      </w:r>
      <w:r w:rsidRPr="00FC2937" w:rsidR="00CC6307">
        <w:rPr>
          <w:rFonts w:hint="cs"/>
          <w:rtl/>
        </w:rPr>
        <w:t>י</w:t>
      </w:r>
      <w:r w:rsidRPr="00FC2937" w:rsidR="00CC6307">
        <w:rPr>
          <w:rFonts w:hint="eastAsia"/>
          <w:rtl/>
        </w:rPr>
        <w:t>קנו</w:t>
      </w:r>
      <w:r w:rsidRPr="00FC2937" w:rsidR="00CC6307">
        <w:rPr>
          <w:rtl/>
        </w:rPr>
        <w:t xml:space="preserve"> </w:t>
      </w:r>
      <w:r w:rsidRPr="00FC2937" w:rsidR="00CC6307">
        <w:rPr>
          <w:rFonts w:hint="eastAsia"/>
          <w:rtl/>
        </w:rPr>
        <w:t>את</w:t>
      </w:r>
      <w:r w:rsidRPr="00FC2937" w:rsidR="00CC6307">
        <w:rPr>
          <w:rtl/>
        </w:rPr>
        <w:t xml:space="preserve"> </w:t>
      </w:r>
      <w:r w:rsidRPr="00FC2937" w:rsidR="00CC6307">
        <w:rPr>
          <w:rFonts w:hint="eastAsia"/>
          <w:rtl/>
        </w:rPr>
        <w:t>הליקוי</w:t>
      </w:r>
      <w:r w:rsidRPr="00FC2937" w:rsidR="00CC6307">
        <w:rPr>
          <w:rFonts w:hint="cs"/>
          <w:rtl/>
        </w:rPr>
        <w:t xml:space="preserve"> - הן לא קבעו מדיניות שתעגן את אמות המידה לעניין פרסום ושילוט בתחום שיפוטן כנדרש בחוקי העזר שלהן. עיריית </w:t>
      </w:r>
      <w:r w:rsidRPr="008E69D9" w:rsidR="00CC6307">
        <w:rPr>
          <w:rFonts w:hint="cs"/>
          <w:b/>
          <w:bCs/>
          <w:rtl/>
        </w:rPr>
        <w:t>טבריה</w:t>
      </w:r>
      <w:r w:rsidRPr="00FC2937" w:rsidR="00CC6307">
        <w:rPr>
          <w:rFonts w:hint="cs"/>
          <w:rtl/>
        </w:rPr>
        <w:t xml:space="preserve"> </w:t>
      </w:r>
      <w:r w:rsidRPr="00FC2937" w:rsidR="00CC6307">
        <w:rPr>
          <w:rFonts w:hint="eastAsia"/>
          <w:rtl/>
        </w:rPr>
        <w:t>תיקנה</w:t>
      </w:r>
      <w:r w:rsidRPr="00FC2937" w:rsidR="00CC6307">
        <w:rPr>
          <w:rtl/>
        </w:rPr>
        <w:t xml:space="preserve"> </w:t>
      </w:r>
      <w:r w:rsidRPr="00FC2937" w:rsidR="00CC6307">
        <w:rPr>
          <w:rFonts w:hint="eastAsia"/>
          <w:rtl/>
        </w:rPr>
        <w:t>את</w:t>
      </w:r>
      <w:r w:rsidRPr="00FC2937" w:rsidR="00CC6307">
        <w:rPr>
          <w:rtl/>
        </w:rPr>
        <w:t xml:space="preserve"> הליקוי </w:t>
      </w:r>
      <w:r w:rsidRPr="00FC2937" w:rsidR="00CC6307">
        <w:rPr>
          <w:rFonts w:hint="eastAsia"/>
          <w:rtl/>
        </w:rPr>
        <w:t>במידה</w:t>
      </w:r>
      <w:r w:rsidRPr="00FC2937" w:rsidR="00CC6307">
        <w:rPr>
          <w:rtl/>
        </w:rPr>
        <w:t xml:space="preserve"> </w:t>
      </w:r>
      <w:r w:rsidRPr="00FC2937" w:rsidR="00CC6307">
        <w:rPr>
          <w:rFonts w:hint="eastAsia"/>
          <w:rtl/>
        </w:rPr>
        <w:t>מועטה</w:t>
      </w:r>
      <w:r w:rsidRPr="00FC2937" w:rsidR="00CC6307">
        <w:rPr>
          <w:rFonts w:hint="cs"/>
          <w:rtl/>
        </w:rPr>
        <w:t xml:space="preserve"> - נמצא כי העירייה הכינה בשנת 2009 הנחיות לשילוט המתייחסות לאזורי התיירות בעיר בלבד, ולא הכינה תוכנית החלה על שאר חלקי העיר. עיריית </w:t>
      </w:r>
      <w:r w:rsidRPr="008E69D9" w:rsidR="00CC6307">
        <w:rPr>
          <w:rFonts w:hint="cs"/>
          <w:b/>
          <w:bCs/>
          <w:rtl/>
        </w:rPr>
        <w:t>כרמיאל</w:t>
      </w:r>
      <w:r w:rsidRPr="00FC2937" w:rsidR="00CC6307">
        <w:rPr>
          <w:rFonts w:hint="cs"/>
          <w:rtl/>
        </w:rPr>
        <w:t xml:space="preserve"> </w:t>
      </w:r>
      <w:r w:rsidRPr="00FC2937" w:rsidR="00CC6307">
        <w:rPr>
          <w:rFonts w:hint="eastAsia"/>
          <w:rtl/>
        </w:rPr>
        <w:t>תיקנה</w:t>
      </w:r>
      <w:r w:rsidRPr="00FC2937" w:rsidR="00CC6307">
        <w:rPr>
          <w:rtl/>
        </w:rPr>
        <w:t xml:space="preserve"> את הל</w:t>
      </w:r>
      <w:r w:rsidRPr="00FC2937" w:rsidR="00CC6307">
        <w:rPr>
          <w:rFonts w:hint="cs"/>
          <w:rtl/>
        </w:rPr>
        <w:t>י</w:t>
      </w:r>
      <w:r w:rsidRPr="00FC2937" w:rsidR="00CC6307">
        <w:rPr>
          <w:rtl/>
        </w:rPr>
        <w:t xml:space="preserve">קוי </w:t>
      </w:r>
      <w:r w:rsidRPr="00FC2937" w:rsidR="00CC6307">
        <w:rPr>
          <w:rFonts w:hint="eastAsia"/>
          <w:rtl/>
        </w:rPr>
        <w:t>במידה</w:t>
      </w:r>
      <w:r w:rsidRPr="00FC2937" w:rsidR="00CC6307">
        <w:rPr>
          <w:rtl/>
        </w:rPr>
        <w:t xml:space="preserve"> </w:t>
      </w:r>
      <w:r w:rsidRPr="00FC2937" w:rsidR="00CC6307">
        <w:rPr>
          <w:rFonts w:hint="eastAsia"/>
          <w:rtl/>
        </w:rPr>
        <w:t>מועטה</w:t>
      </w:r>
      <w:r w:rsidRPr="00FC2937" w:rsidR="00CC6307">
        <w:rPr>
          <w:rFonts w:hint="cs"/>
          <w:rtl/>
        </w:rPr>
        <w:t>. בעירייה לא נמצאו מסמכים המעידים כי היא אישרה את התוכנית שהגישה לה חברת ייעוץ בשנת 2017 לאותה מטרה, וכי היא פעלה ליישומה</w:t>
      </w:r>
      <w:r w:rsidRPr="00AF3B73">
        <w:rPr>
          <w:rtl/>
        </w:rPr>
        <w:t>.</w:t>
      </w:r>
    </w:p>
    <w:p w:rsidR="00EB672B" w:rsidRPr="00AF3B73" w:rsidP="00EB672B" w14:paraId="61697365" w14:textId="482BA087">
      <w:pPr>
        <w:pStyle w:val="7317"/>
      </w:pPr>
      <w:r w:rsidRPr="008E69D9">
        <w:rPr>
          <w:rFonts w:hint="cs"/>
          <w:b/>
          <w:noProof/>
          <w:rtl/>
        </w:rPr>
        <w:drawing>
          <wp:anchor distT="0" distB="0" distL="114300" distR="114300" simplePos="0" relativeHeight="2516920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E69D9" w:rsidR="00CC6307">
        <w:rPr>
          <w:rFonts w:hint="cs"/>
          <w:b/>
          <w:bCs/>
          <w:rtl/>
        </w:rPr>
        <w:t xml:space="preserve">העברת סמכויות לתאגידים העירוניים </w:t>
      </w:r>
      <w:r w:rsidRPr="008E69D9" w:rsidR="00CC6307">
        <w:rPr>
          <w:b/>
          <w:bCs/>
          <w:rtl/>
        </w:rPr>
        <w:t>-</w:t>
      </w:r>
      <w:r w:rsidRPr="00FC2937" w:rsidR="00CC6307">
        <w:rPr>
          <w:rFonts w:hint="cs"/>
          <w:rtl/>
        </w:rPr>
        <w:t xml:space="preserve"> </w:t>
      </w:r>
      <w:r w:rsidRPr="00FC2937" w:rsidR="00CC6307">
        <w:rPr>
          <w:rFonts w:hint="eastAsia"/>
          <w:rtl/>
        </w:rPr>
        <w:t>עיריית</w:t>
      </w:r>
      <w:r w:rsidRPr="00FC2937" w:rsidR="00CC6307">
        <w:rPr>
          <w:rFonts w:hint="cs"/>
          <w:rtl/>
        </w:rPr>
        <w:t xml:space="preserve"> </w:t>
      </w:r>
      <w:r w:rsidRPr="008E69D9" w:rsidR="00CC6307">
        <w:rPr>
          <w:rFonts w:hint="cs"/>
          <w:b/>
          <w:bCs/>
          <w:rtl/>
        </w:rPr>
        <w:t>טבריה</w:t>
      </w:r>
      <w:r w:rsidRPr="00FC2937" w:rsidR="00CC6307">
        <w:rPr>
          <w:rFonts w:hint="cs"/>
          <w:rtl/>
        </w:rPr>
        <w:t xml:space="preserve"> - בדוח הקודם צוין כי בשנים 2005 עד 2013 העבירה העירייה לידי חכ"ל טבריה את ניהול פרסום החוצות במתקנים העירוניים, ובכלל זה את פרסום המכרז וההתקשרות עם הזוכה, זאת אף שלא הביאה את הנושא לדיון במליאת המועצה ולא הציגה לפניה את הסמכויות שהועברו </w:t>
      </w:r>
      <w:r w:rsidRPr="00FC2937" w:rsidR="00CC6307">
        <w:rPr>
          <w:rFonts w:hint="cs"/>
          <w:rtl/>
        </w:rPr>
        <w:t>לחכ"ל</w:t>
      </w:r>
      <w:r w:rsidRPr="00FC2937" w:rsidR="00CC6307">
        <w:rPr>
          <w:rFonts w:hint="cs"/>
          <w:rtl/>
        </w:rPr>
        <w:t xml:space="preserve">, את הנימוקים והשיקולים לקבלת החלטה זו ואת פרטי ההתקשרות עם חכ"ל. בביקורת המעקב הועלה כי העירייה תיקנה את הליקוי באופן חלקי - מועצת העירייה אישרה בישיבתה </w:t>
      </w:r>
      <w:r w:rsidR="00CD2FEF">
        <w:rPr>
          <w:rtl/>
        </w:rPr>
        <w:br/>
      </w:r>
      <w:r w:rsidRPr="00FC2937" w:rsidR="00CC6307">
        <w:rPr>
          <w:rFonts w:hint="cs"/>
          <w:rtl/>
        </w:rPr>
        <w:t xml:space="preserve">ב-1.7.20 את טיוטת הסכם המסגרת בין העירייה ובין חכ"ל טבריה, ולפיו היא העבירה בין היתר לאחריות </w:t>
      </w:r>
      <w:r w:rsidRPr="00FC2937" w:rsidR="00CC6307">
        <w:rPr>
          <w:rFonts w:hint="cs"/>
          <w:rtl/>
        </w:rPr>
        <w:t>החכ"ל</w:t>
      </w:r>
      <w:r w:rsidRPr="00FC2937" w:rsidR="00CC6307">
        <w:rPr>
          <w:rFonts w:hint="cs"/>
          <w:rtl/>
        </w:rPr>
        <w:t xml:space="preserve"> את השכרת שטחי הפרסום בתחום שיפוטה של העיר. עם זאת, ההחלטה התקבלה בלי שהעירייה בדקה את הכדאיות הכלכלית ואת המשמעויות האחרות הכרוכות במהלך. </w:t>
      </w:r>
      <w:r w:rsidRPr="00FC2937" w:rsidR="00CC6307">
        <w:rPr>
          <w:rFonts w:hint="eastAsia"/>
          <w:rtl/>
        </w:rPr>
        <w:t>עיריית</w:t>
      </w:r>
      <w:r w:rsidRPr="00FC2937" w:rsidR="00CC6307">
        <w:rPr>
          <w:rFonts w:hint="cs"/>
          <w:rtl/>
        </w:rPr>
        <w:t xml:space="preserve"> </w:t>
      </w:r>
      <w:r w:rsidRPr="00EB2A24" w:rsidR="00CC6307">
        <w:rPr>
          <w:rFonts w:hint="cs"/>
          <w:b/>
          <w:bCs/>
          <w:rtl/>
        </w:rPr>
        <w:t>כרמיאל</w:t>
      </w:r>
      <w:r w:rsidRPr="00FC2937" w:rsidR="00CC6307">
        <w:rPr>
          <w:rFonts w:hint="cs"/>
          <w:rtl/>
        </w:rPr>
        <w:t xml:space="preserve"> - בדוח הקודם עלה כי בשנת 2000 העבירה עיריית </w:t>
      </w:r>
      <w:r w:rsidRPr="008E69D9" w:rsidR="00CC6307">
        <w:rPr>
          <w:rFonts w:hint="cs"/>
          <w:b/>
          <w:bCs/>
          <w:rtl/>
        </w:rPr>
        <w:t>כרמיאל</w:t>
      </w:r>
      <w:r w:rsidRPr="00FC2937" w:rsidR="00CC6307">
        <w:rPr>
          <w:rFonts w:hint="cs"/>
          <w:rtl/>
        </w:rPr>
        <w:t xml:space="preserve"> לעמותת פסטיבל כרמיאל את ניהול פרסום החוצות על עמודי תאורה בעיר. זאת בלי שהעניין הובא לדיון במליאת המועצה ולאישורה ובלי שהוצגו לפניה השיקולים להעברת הסמכויות. בביקורת המעקב הועלה כי </w:t>
      </w:r>
      <w:r w:rsidRPr="00FC2937" w:rsidR="00CC6307">
        <w:rPr>
          <w:rFonts w:hint="eastAsia"/>
          <w:rtl/>
        </w:rPr>
        <w:t>העירייה</w:t>
      </w:r>
      <w:r w:rsidRPr="00FC2937" w:rsidR="00CC6307">
        <w:rPr>
          <w:rFonts w:hint="cs"/>
          <w:rtl/>
        </w:rPr>
        <w:t xml:space="preserve"> </w:t>
      </w:r>
      <w:r w:rsidRPr="00FC2937" w:rsidR="00CC6307">
        <w:rPr>
          <w:rFonts w:hint="eastAsia"/>
          <w:rtl/>
        </w:rPr>
        <w:t>לא</w:t>
      </w:r>
      <w:r w:rsidRPr="00FC2937" w:rsidR="00CC6307">
        <w:rPr>
          <w:rtl/>
        </w:rPr>
        <w:t xml:space="preserve"> </w:t>
      </w:r>
      <w:r w:rsidRPr="00FC2937" w:rsidR="00CC6307">
        <w:rPr>
          <w:rFonts w:hint="eastAsia"/>
          <w:rtl/>
        </w:rPr>
        <w:t>ת</w:t>
      </w:r>
      <w:r w:rsidRPr="00FC2937" w:rsidR="00CC6307">
        <w:rPr>
          <w:rFonts w:hint="cs"/>
          <w:rtl/>
        </w:rPr>
        <w:t>י</w:t>
      </w:r>
      <w:r w:rsidRPr="00FC2937" w:rsidR="00CC6307">
        <w:rPr>
          <w:rFonts w:hint="eastAsia"/>
          <w:rtl/>
        </w:rPr>
        <w:t>קנה</w:t>
      </w:r>
      <w:r w:rsidRPr="00FC2937" w:rsidR="00CC6307">
        <w:rPr>
          <w:rtl/>
        </w:rPr>
        <w:t xml:space="preserve"> </w:t>
      </w:r>
      <w:r w:rsidRPr="00FC2937" w:rsidR="00CC6307">
        <w:rPr>
          <w:rFonts w:hint="eastAsia"/>
          <w:rtl/>
        </w:rPr>
        <w:t>את</w:t>
      </w:r>
      <w:r w:rsidRPr="00FC2937" w:rsidR="00CC6307">
        <w:rPr>
          <w:rtl/>
        </w:rPr>
        <w:t xml:space="preserve"> </w:t>
      </w:r>
      <w:r w:rsidRPr="00FC2937" w:rsidR="00CC6307">
        <w:rPr>
          <w:rFonts w:hint="eastAsia"/>
          <w:rtl/>
        </w:rPr>
        <w:t>הליקוי</w:t>
      </w:r>
      <w:r w:rsidRPr="00FC2937" w:rsidR="00CC6307">
        <w:rPr>
          <w:rFonts w:hint="cs"/>
          <w:rtl/>
        </w:rPr>
        <w:t xml:space="preserve"> - היא לא </w:t>
      </w:r>
      <w:r w:rsidRPr="00FC2937" w:rsidR="00CC6307">
        <w:rPr>
          <w:rFonts w:hint="cs"/>
          <w:rtl/>
        </w:rPr>
        <w:t>הביאה לאישור מועצת העירייה את נושא העברת האחריות לפרסום לידי עמותת פסטיבל כרמיאל</w:t>
      </w:r>
      <w:r w:rsidRPr="00AF3B73">
        <w:rPr>
          <w:rFonts w:hint="cs"/>
          <w:rtl/>
        </w:rPr>
        <w:t xml:space="preserve">. </w:t>
      </w:r>
    </w:p>
    <w:p w:rsidR="00EB672B" w:rsidRPr="00AF3B73" w:rsidP="00EB672B" w14:paraId="257CE09B" w14:textId="54A63BBC">
      <w:pPr>
        <w:pStyle w:val="7317"/>
        <w:rPr>
          <w:rtl/>
        </w:rPr>
      </w:pPr>
      <w:r w:rsidRPr="00EB2A24">
        <w:rPr>
          <w:rFonts w:hint="cs"/>
          <w:b/>
          <w:noProof/>
          <w:rtl/>
        </w:rPr>
        <w:drawing>
          <wp:anchor distT="0" distB="0" distL="114300" distR="114300" simplePos="0" relativeHeight="2516930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2A24" w:rsidR="00CC6307">
        <w:rPr>
          <w:rFonts w:hint="cs"/>
          <w:b/>
          <w:bCs/>
          <w:rtl/>
        </w:rPr>
        <w:t>הסכמי התקשרות בין העיריות לתאגידים העירוניים -</w:t>
      </w:r>
      <w:r w:rsidRPr="00FC2937" w:rsidR="00CC6307">
        <w:rPr>
          <w:rFonts w:hint="cs"/>
          <w:rtl/>
        </w:rPr>
        <w:t xml:space="preserve"> בדוח הקודם עלה כי העיריות </w:t>
      </w:r>
      <w:r w:rsidRPr="00EB2A24" w:rsidR="00CC6307">
        <w:rPr>
          <w:rFonts w:hint="cs"/>
          <w:b/>
          <w:bCs/>
          <w:rtl/>
        </w:rPr>
        <w:t>טבריה</w:t>
      </w:r>
      <w:r w:rsidRPr="00FC2937" w:rsidR="00CC6307">
        <w:rPr>
          <w:rFonts w:hint="cs"/>
          <w:rtl/>
        </w:rPr>
        <w:t xml:space="preserve"> ו</w:t>
      </w:r>
      <w:r w:rsidRPr="00EB2A24" w:rsidR="00CC6307">
        <w:rPr>
          <w:rFonts w:hint="cs"/>
          <w:b/>
          <w:bCs/>
          <w:rtl/>
        </w:rPr>
        <w:t>כרמיאל</w:t>
      </w:r>
      <w:r w:rsidRPr="00FC2937" w:rsidR="00CC6307">
        <w:rPr>
          <w:rFonts w:hint="cs"/>
          <w:rtl/>
        </w:rPr>
        <w:t xml:space="preserve"> לא הסדירו בהסכם בכתב את העברת ניהול פרסום החוצות לתאגיד העירוני חכ"ל טבריה ולעמותת פסטיבל כרמיאל. עוד עלה כי עם העברת ניהול פרסום החוצות לשני התאגידים חכ"ל טבריה ועמותת פסטיבל כרמיאל לא נקבעו מנגנונים להעברת ההכנסות לקופת העיריות, ולתגמול התאגידים העירוניים. עוד נמצא כי חכ"ל טבריה ועמותת פסטיבל כרמיאל אינן משלמות לעיריות </w:t>
      </w:r>
      <w:r w:rsidRPr="00EB2A24" w:rsidR="00CC6307">
        <w:rPr>
          <w:rFonts w:hint="eastAsia"/>
          <w:b/>
          <w:bCs/>
          <w:rtl/>
        </w:rPr>
        <w:t>טבריה</w:t>
      </w:r>
      <w:r w:rsidRPr="00FC2937" w:rsidR="00CC6307">
        <w:rPr>
          <w:rFonts w:hint="cs"/>
          <w:rtl/>
        </w:rPr>
        <w:t xml:space="preserve"> ו</w:t>
      </w:r>
      <w:r w:rsidRPr="00EB2A24" w:rsidR="00CC6307">
        <w:rPr>
          <w:rFonts w:hint="eastAsia"/>
          <w:b/>
          <w:bCs/>
          <w:rtl/>
        </w:rPr>
        <w:t>כרמיאל</w:t>
      </w:r>
      <w:r w:rsidRPr="00FC2937" w:rsidR="00CC6307">
        <w:rPr>
          <w:rFonts w:hint="cs"/>
          <w:rtl/>
        </w:rPr>
        <w:t xml:space="preserve"> חלק מההכנסות המתקבלות מניהול הפרסום ומגביית כספי השימוש בשלטי החוצות, המסתכמות במאות אלפי ש"ח בשנה בכל עיר. בביקורת המעקב נמצא כי </w:t>
      </w:r>
      <w:r w:rsidRPr="00FC2937" w:rsidR="00CC6307">
        <w:rPr>
          <w:rFonts w:hint="eastAsia"/>
          <w:rtl/>
        </w:rPr>
        <w:t>שתי</w:t>
      </w:r>
      <w:r w:rsidRPr="00FC2937" w:rsidR="00CC6307">
        <w:rPr>
          <w:rtl/>
        </w:rPr>
        <w:t xml:space="preserve"> </w:t>
      </w:r>
      <w:r w:rsidRPr="00FC2937" w:rsidR="00CC6307">
        <w:rPr>
          <w:rFonts w:hint="eastAsia"/>
          <w:rtl/>
        </w:rPr>
        <w:t>העיריות</w:t>
      </w:r>
      <w:r w:rsidRPr="00FC2937" w:rsidR="00CC6307">
        <w:rPr>
          <w:rtl/>
        </w:rPr>
        <w:t xml:space="preserve"> </w:t>
      </w:r>
      <w:r w:rsidRPr="00FC2937" w:rsidR="00CC6307">
        <w:rPr>
          <w:rFonts w:hint="eastAsia"/>
          <w:rtl/>
        </w:rPr>
        <w:t>לא</w:t>
      </w:r>
      <w:r w:rsidRPr="00FC2937" w:rsidR="00CC6307">
        <w:rPr>
          <w:rtl/>
        </w:rPr>
        <w:t xml:space="preserve"> </w:t>
      </w:r>
      <w:r w:rsidRPr="00FC2937" w:rsidR="00CC6307">
        <w:rPr>
          <w:rFonts w:hint="eastAsia"/>
          <w:rtl/>
        </w:rPr>
        <w:t>תיקנו</w:t>
      </w:r>
      <w:r w:rsidRPr="00FC2937" w:rsidR="00CC6307">
        <w:rPr>
          <w:rtl/>
        </w:rPr>
        <w:t xml:space="preserve"> </w:t>
      </w:r>
      <w:r w:rsidRPr="00FC2937" w:rsidR="00CC6307">
        <w:rPr>
          <w:rFonts w:hint="eastAsia"/>
          <w:rtl/>
        </w:rPr>
        <w:t>את</w:t>
      </w:r>
      <w:r w:rsidRPr="00FC2937" w:rsidR="00CC6307">
        <w:rPr>
          <w:rtl/>
        </w:rPr>
        <w:t xml:space="preserve"> </w:t>
      </w:r>
      <w:r w:rsidRPr="00FC2937" w:rsidR="00CC6307">
        <w:rPr>
          <w:rFonts w:hint="eastAsia"/>
          <w:rtl/>
        </w:rPr>
        <w:t>הליקוי</w:t>
      </w:r>
      <w:r w:rsidRPr="00FC2937" w:rsidR="00CC6307">
        <w:rPr>
          <w:rFonts w:hint="cs"/>
          <w:rtl/>
        </w:rPr>
        <w:t xml:space="preserve"> - עיריית טבריה לא חתמה עם חכ"ל טבריה על הסכם המעגן את אופן השכרת שטחי הפרסום ואת סכום דמי הניהול שישולמו </w:t>
      </w:r>
      <w:r w:rsidRPr="00FC2937" w:rsidR="00CC6307">
        <w:rPr>
          <w:rFonts w:hint="cs"/>
          <w:rtl/>
        </w:rPr>
        <w:t>לחכ"ל</w:t>
      </w:r>
      <w:r w:rsidRPr="00FC2937" w:rsidR="00CC6307">
        <w:rPr>
          <w:rFonts w:hint="cs"/>
          <w:rtl/>
        </w:rPr>
        <w:t xml:space="preserve"> טבריה, </w:t>
      </w:r>
      <w:r w:rsidRPr="00FC2937" w:rsidR="00CC6307">
        <w:rPr>
          <w:rFonts w:hint="cs"/>
          <w:rtl/>
        </w:rPr>
        <w:t>וחכ"ל</w:t>
      </w:r>
      <w:r w:rsidRPr="00FC2937" w:rsidR="00CC6307">
        <w:rPr>
          <w:rFonts w:hint="cs"/>
          <w:rtl/>
        </w:rPr>
        <w:t xml:space="preserve"> טבריה לא העבירה לעיריית </w:t>
      </w:r>
      <w:r w:rsidRPr="00EB2A24" w:rsidR="00CC6307">
        <w:rPr>
          <w:rFonts w:hint="cs"/>
          <w:b/>
          <w:bCs/>
          <w:rtl/>
        </w:rPr>
        <w:t>טבריה</w:t>
      </w:r>
      <w:r w:rsidRPr="00FC2937" w:rsidR="00CC6307">
        <w:rPr>
          <w:rFonts w:hint="cs"/>
          <w:rtl/>
        </w:rPr>
        <w:t xml:space="preserve"> חלק מדמי השימוש בסך 837,000 ש"ח שקיבלה בשנת 2021 מקבלן הפרסום; עיריית </w:t>
      </w:r>
      <w:r w:rsidRPr="00EB2A24" w:rsidR="00CC6307">
        <w:rPr>
          <w:rFonts w:hint="cs"/>
          <w:b/>
          <w:bCs/>
          <w:rtl/>
        </w:rPr>
        <w:t>כרמיאל</w:t>
      </w:r>
      <w:r w:rsidRPr="00FC2937" w:rsidR="00CC6307">
        <w:rPr>
          <w:rFonts w:hint="cs"/>
          <w:rtl/>
        </w:rPr>
        <w:t xml:space="preserve"> ועמותת פסטיבל כרמיאל לא חתמו על הסכם שיסדיר את העברת נושא פרסום החוצות לעמותה ואת אופן חלוקת הכספים שמקבלת העמותה מהקבלנים בעד השימוש בשלטי חוצות. עמותת פסטיבל כרמיאל לא העבירה לעירייה שום סכום מהכנסות הפרסום</w:t>
      </w:r>
      <w:r w:rsidRPr="00AF3B73">
        <w:rPr>
          <w:rFonts w:hint="cs"/>
          <w:rtl/>
        </w:rPr>
        <w:t>.</w:t>
      </w:r>
    </w:p>
    <w:p w:rsidR="00EB672B" w:rsidRPr="00AF3B73" w:rsidP="00EB672B" w14:paraId="42C157E6" w14:textId="1B5AE4AD">
      <w:pPr>
        <w:pStyle w:val="7317"/>
      </w:pPr>
      <w:r w:rsidRPr="00EB2A24">
        <w:rPr>
          <w:rFonts w:hint="cs"/>
          <w:b/>
          <w:noProof/>
          <w:rtl/>
        </w:rPr>
        <w:drawing>
          <wp:anchor distT="0" distB="0" distL="114300" distR="114300" simplePos="0" relativeHeight="2516940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2A24" w:rsidR="00CC6307">
        <w:rPr>
          <w:rFonts w:hint="cs"/>
          <w:b/>
          <w:bCs/>
          <w:rtl/>
        </w:rPr>
        <w:t xml:space="preserve">התקשרות עיריית כרמיאל לפרסום חוצות במתקני </w:t>
      </w:r>
      <w:r w:rsidRPr="00EB2A24" w:rsidR="00CC6307">
        <w:rPr>
          <w:rFonts w:hint="cs"/>
          <w:b/>
          <w:bCs/>
          <w:rtl/>
        </w:rPr>
        <w:t>בילבורד</w:t>
      </w:r>
      <w:r w:rsidRPr="00EB2A24" w:rsidR="00CC6307">
        <w:rPr>
          <w:rFonts w:hint="cs"/>
          <w:b/>
          <w:bCs/>
          <w:rtl/>
        </w:rPr>
        <w:t xml:space="preserve"> -</w:t>
      </w:r>
      <w:r w:rsidRPr="00FC2937" w:rsidR="00CC6307">
        <w:rPr>
          <w:rFonts w:hint="cs"/>
          <w:rtl/>
        </w:rPr>
        <w:t xml:space="preserve"> בדוח הקודם עלה כי בפברואר 2006 מסרה עיריית </w:t>
      </w:r>
      <w:r w:rsidRPr="00EB2A24" w:rsidR="00CC6307">
        <w:rPr>
          <w:rFonts w:hint="cs"/>
          <w:b/>
          <w:bCs/>
          <w:rtl/>
        </w:rPr>
        <w:t>כרמיאל</w:t>
      </w:r>
      <w:r w:rsidRPr="00FC2937" w:rsidR="00CC6307">
        <w:rPr>
          <w:rFonts w:hint="cs"/>
          <w:rtl/>
        </w:rPr>
        <w:t xml:space="preserve"> לחברה ב' את הזיכיון לפרסום מסחרי על גבי צד אחד של שישה מתקני </w:t>
      </w:r>
      <w:r w:rsidRPr="00FC2937" w:rsidR="00CC6307">
        <w:rPr>
          <w:rFonts w:hint="cs"/>
          <w:rtl/>
        </w:rPr>
        <w:t>בילבורד</w:t>
      </w:r>
      <w:r w:rsidRPr="00FC2937" w:rsidR="00CC6307">
        <w:rPr>
          <w:rFonts w:hint="cs"/>
          <w:rtl/>
        </w:rPr>
        <w:t xml:space="preserve"> שהוצבו בתחום שיפוטה למשך עשר שנים בלי שפרסמה מכרז, ובלא שביקשה הצעות מחיר בנושא, וכי היא פטרה את חברה ב' מתשלום דמי זיכיון. בעירייה לא נמצאו מסמכים שניתן ללמוד מהם על השיקולים לקבלת ההחלטה לפטור את חברה ב' מתשלום עבור מתן הזיכיון, ואף לא מסמכים הכוללים תחשיבים כלכליים המצדיקים את ההחלטה. בביקורת המעקב הועלה כי </w:t>
      </w:r>
      <w:r w:rsidRPr="00FC2937" w:rsidR="00CC6307">
        <w:rPr>
          <w:rFonts w:hint="eastAsia"/>
          <w:rtl/>
        </w:rPr>
        <w:t>העירייה</w:t>
      </w:r>
      <w:r w:rsidRPr="00FC2937" w:rsidR="00CC6307">
        <w:rPr>
          <w:rtl/>
        </w:rPr>
        <w:t xml:space="preserve"> ת</w:t>
      </w:r>
      <w:r w:rsidRPr="00FC2937" w:rsidR="00CC6307">
        <w:rPr>
          <w:rFonts w:hint="cs"/>
          <w:rtl/>
        </w:rPr>
        <w:t>י</w:t>
      </w:r>
      <w:r w:rsidRPr="00FC2937" w:rsidR="00CC6307">
        <w:rPr>
          <w:rtl/>
        </w:rPr>
        <w:t xml:space="preserve">קנה את הליקוי </w:t>
      </w:r>
      <w:r w:rsidRPr="00FC2937" w:rsidR="00CC6307">
        <w:rPr>
          <w:rFonts w:hint="eastAsia"/>
          <w:rtl/>
        </w:rPr>
        <w:t>במידה</w:t>
      </w:r>
      <w:r w:rsidRPr="00FC2937" w:rsidR="00CC6307">
        <w:rPr>
          <w:rtl/>
        </w:rPr>
        <w:t xml:space="preserve"> </w:t>
      </w:r>
      <w:r w:rsidRPr="00FC2937" w:rsidR="00CC6307">
        <w:rPr>
          <w:rFonts w:hint="eastAsia"/>
          <w:rtl/>
        </w:rPr>
        <w:t>מועטה</w:t>
      </w:r>
      <w:r w:rsidRPr="00FC2937" w:rsidR="00CC6307">
        <w:rPr>
          <w:rFonts w:hint="cs"/>
          <w:rtl/>
        </w:rPr>
        <w:t xml:space="preserve"> - בעקבות כך שפרסמה ביוני 2017 מכרז בנושא הקמה, הפעלה, תפעול ותחזוקה של תשעה מתקני </w:t>
      </w:r>
      <w:r w:rsidRPr="00FC2937" w:rsidR="00CC6307">
        <w:rPr>
          <w:rFonts w:hint="cs"/>
          <w:rtl/>
        </w:rPr>
        <w:t>בילבורד</w:t>
      </w:r>
      <w:r w:rsidRPr="00FC2937" w:rsidR="00CC6307">
        <w:rPr>
          <w:rFonts w:hint="cs"/>
          <w:rtl/>
        </w:rPr>
        <w:t xml:space="preserve"> ולמתן זכויות פרסום על גביהם, היא קיבלה שלוש הצעות מחיר מקבלני פרסום. ועדת המכרזים של העירייה החליטה בישיבתה בספטמבר 2017 לבחור בהצעה של חברה ב', שהייתה הגבוהה ביותר. חברה ב' המשיכה לפרסם על מתקני </w:t>
      </w:r>
      <w:r w:rsidRPr="00FC2937" w:rsidR="00CC6307">
        <w:rPr>
          <w:rFonts w:hint="cs"/>
          <w:rtl/>
        </w:rPr>
        <w:t>הבילבורד</w:t>
      </w:r>
      <w:r w:rsidRPr="00FC2937" w:rsidR="00CC6307">
        <w:rPr>
          <w:rFonts w:hint="cs"/>
          <w:rtl/>
        </w:rPr>
        <w:t xml:space="preserve"> מתחילת שנת 2018 בלא שחתמה על הסכם עם העירייה, בטענה כי נפלה בהצעתה "טעות סופר". עוד עלה כי חברה ב' לא שילמה לעירייה עד סוף שנת 2021 כל סכום, וכי העירייה לא נקטה נגדה שום צעדים. העירייה פעלה שלא בהתאם להחלטת ועדת המכרזים ושלא בהתאם לעקרונות דיני המכרזים ולכללי </w:t>
      </w:r>
      <w:r w:rsidRPr="00FC2937" w:rsidR="00CC6307">
        <w:rPr>
          <w:rFonts w:hint="cs"/>
          <w:rtl/>
        </w:rPr>
        <w:t>מינהל</w:t>
      </w:r>
      <w:r w:rsidRPr="00FC2937" w:rsidR="00CC6307">
        <w:rPr>
          <w:rFonts w:hint="cs"/>
          <w:rtl/>
        </w:rPr>
        <w:t xml:space="preserve"> תקין, ואף חתמה על הסכם המכיל תנאים שונים מהותית מתנאי המכרז ומהצעת החברה הזוכה. עקב כך הסכום ששילמה חברה ב' לעירייה בשנים 2018 עד 2022 היה קטן בכ-297,500 ש"ח מהסכום הנדרש על פי המכרז. עוד עלה כי חברה ב' לא המציאה לעירייה פוליסת ביטוח הכוללת את כל הכיסויים, שלא כנדרש בתנאי המכרז</w:t>
      </w:r>
      <w:r w:rsidRPr="00AF3B73">
        <w:rPr>
          <w:rFonts w:hint="cs"/>
          <w:rtl/>
        </w:rPr>
        <w:t xml:space="preserve">. </w:t>
      </w:r>
    </w:p>
    <w:p w:rsidR="00EB672B" w:rsidRPr="00AF3B73" w:rsidP="00EB672B" w14:paraId="0E55F83C" w14:textId="2F20866A">
      <w:pPr>
        <w:pStyle w:val="7317"/>
      </w:pPr>
      <w:r w:rsidRPr="00EB2A24">
        <w:rPr>
          <w:rFonts w:hint="cs"/>
          <w:b/>
          <w:bCs/>
          <w:noProof/>
          <w:rtl/>
        </w:rPr>
        <w:drawing>
          <wp:anchor distT="0" distB="0" distL="114300" distR="114300" simplePos="0" relativeHeight="2516951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2A24" w:rsidR="00CC6307">
        <w:rPr>
          <w:rFonts w:hint="cs"/>
          <w:b/>
          <w:bCs/>
          <w:rtl/>
        </w:rPr>
        <w:t>התקשרות עמותת פסטיבל כרמיאל לפרסום חוצות על מכווני תנועה -</w:t>
      </w:r>
      <w:r w:rsidRPr="00FC2937" w:rsidR="00CC6307">
        <w:rPr>
          <w:rFonts w:hint="cs"/>
          <w:rtl/>
        </w:rPr>
        <w:t xml:space="preserve"> בדוח הקודם הועלה כי עמותת פסטיבל כרמיאל חתמה בשנת 2012 על הסכם עם חברה ב' למשך חמש שנים, החל ב-1.1.13, עם אופציה להארכתו בשלוש שנים, שלפיו חברה ב' תמשיך לשווק מכווני תנועה ברחבי העיר. </w:t>
      </w:r>
      <w:r w:rsidRPr="00FC2937" w:rsidR="00CC6307">
        <w:rPr>
          <w:rtl/>
        </w:rPr>
        <w:t xml:space="preserve">הבדיקה העלתה כי עמותת פסטיבל כרמיאל התקשרה עם חברה ב' בלי שפרסמה מכרז ובלי שקיבלה הצעות מחיר כמתחייב על פי נוהל המכרזים </w:t>
      </w:r>
      <w:r w:rsidRPr="00FC2937" w:rsidR="00CC6307">
        <w:rPr>
          <w:rtl/>
        </w:rPr>
        <w:t>והדין</w:t>
      </w:r>
      <w:r w:rsidRPr="00FC2937" w:rsidR="00CC6307">
        <w:rPr>
          <w:rFonts w:hint="cs"/>
          <w:rtl/>
        </w:rPr>
        <w:t xml:space="preserve">. בביקורת המעקב עלה כי עמותת פסטיבל כרמיאל </w:t>
      </w:r>
      <w:r w:rsidRPr="00FC2937" w:rsidR="00CC6307">
        <w:rPr>
          <w:rFonts w:hint="eastAsia"/>
          <w:rtl/>
        </w:rPr>
        <w:t>תיקנה</w:t>
      </w:r>
      <w:r w:rsidRPr="00FC2937" w:rsidR="00CC6307">
        <w:rPr>
          <w:rtl/>
        </w:rPr>
        <w:t xml:space="preserve"> </w:t>
      </w:r>
      <w:r w:rsidRPr="00FC2937" w:rsidR="00CC6307">
        <w:rPr>
          <w:rFonts w:hint="eastAsia"/>
          <w:rtl/>
        </w:rPr>
        <w:t>את</w:t>
      </w:r>
      <w:r w:rsidRPr="00FC2937" w:rsidR="00CC6307">
        <w:rPr>
          <w:rtl/>
        </w:rPr>
        <w:t xml:space="preserve"> </w:t>
      </w:r>
      <w:r w:rsidRPr="00FC2937" w:rsidR="00CC6307">
        <w:rPr>
          <w:rFonts w:hint="eastAsia"/>
          <w:rtl/>
        </w:rPr>
        <w:t>הליקוי</w:t>
      </w:r>
      <w:r w:rsidRPr="00FC2937" w:rsidR="00CC6307">
        <w:rPr>
          <w:rtl/>
        </w:rPr>
        <w:t xml:space="preserve"> </w:t>
      </w:r>
      <w:r w:rsidRPr="00FC2937" w:rsidR="00CC6307">
        <w:rPr>
          <w:rFonts w:hint="eastAsia"/>
          <w:rtl/>
        </w:rPr>
        <w:t>במידה</w:t>
      </w:r>
      <w:r w:rsidRPr="00FC2937" w:rsidR="00CC6307">
        <w:rPr>
          <w:rtl/>
        </w:rPr>
        <w:t xml:space="preserve"> </w:t>
      </w:r>
      <w:r w:rsidRPr="00FC2937" w:rsidR="00CC6307">
        <w:rPr>
          <w:rFonts w:hint="eastAsia"/>
          <w:rtl/>
        </w:rPr>
        <w:t>מועטה</w:t>
      </w:r>
      <w:r w:rsidRPr="00FC2937" w:rsidR="00CC6307">
        <w:rPr>
          <w:rFonts w:hint="cs"/>
          <w:rtl/>
        </w:rPr>
        <w:t xml:space="preserve"> - באוגוסט 2014 פרסמה העמותה מכרז זוטא לאספקה, להתקנה ושימוש והפעלה של מכווני תנועה בתמורה לדמי שימוש שישלם הזכיין לעמותה. חברה ב' לא המציאה לעמותה ערבות בנקאית. חברה ב' הציבה 11 עד 13 מכוונים נ</w:t>
      </w:r>
      <w:r w:rsidRPr="00FC2937" w:rsidR="00CC6307">
        <w:rPr>
          <w:rFonts w:hint="eastAsia"/>
          <w:rtl/>
        </w:rPr>
        <w:t>וספים</w:t>
      </w:r>
      <w:r w:rsidRPr="00FC2937" w:rsidR="00CC6307">
        <w:rPr>
          <w:rFonts w:hint="cs"/>
          <w:rtl/>
        </w:rPr>
        <w:t xml:space="preserve"> בלא שקיבלה את אישור העירייה להצבתם ובלי שקיבלה מחשמלאי מוסמך אישור בדבר בטיחות המכוונים, שלא בהתאם להתחייבותה</w:t>
      </w:r>
      <w:r w:rsidRPr="00AF3B73">
        <w:rPr>
          <w:rFonts w:hint="cs"/>
          <w:rtl/>
        </w:rPr>
        <w:t xml:space="preserve">. </w:t>
      </w:r>
    </w:p>
    <w:p w:rsidR="00EB672B" w:rsidRPr="00AF3B73" w:rsidP="00EB672B" w14:paraId="1320DBEF" w14:textId="0DF27F56">
      <w:pPr>
        <w:pStyle w:val="7317"/>
        <w:rPr>
          <w:rtl/>
        </w:rPr>
      </w:pPr>
      <w:r w:rsidRPr="00EB2A24">
        <w:rPr>
          <w:rFonts w:hint="cs"/>
          <w:b/>
          <w:bCs/>
          <w:noProof/>
          <w:rtl/>
        </w:rPr>
        <w:drawing>
          <wp:anchor distT="0" distB="0" distL="114300" distR="114300" simplePos="0" relativeHeight="25169612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2A24" w:rsidR="00CC6307">
        <w:rPr>
          <w:rFonts w:hint="cs"/>
          <w:b/>
          <w:bCs/>
          <w:rtl/>
        </w:rPr>
        <w:t>התקשרות עמותת פסטיבל כרמיאל לפרסום חוצות על עמודי תאורה</w:t>
      </w:r>
      <w:r w:rsidRPr="00FC2937" w:rsidR="00CC6307">
        <w:rPr>
          <w:rFonts w:hint="cs"/>
          <w:rtl/>
        </w:rPr>
        <w:t xml:space="preserve"> - בדוח הקודם עלה כי במאי 2002 חתמה עמותת פסטיבל כרמיאל עם משווקת על הסכם שהתייחס לתקופת פסטיבל שנת 2002, בלי שפרסמה מכרז ובלי שנקטה הליך תחרותי. בהסכם נקבעה עמלה בשיעור של 33.3% מסך ההכנסות בפועל. ההתקשרות נמשכה עד מועד סיום הביקורת הקודמת - שנת 2015, בלי שהעמותה פרסמה מכרז, בלי שקיבלה הצעות נוספות לפרסום ובלי שחתמה על הסכם עם המשווקת. בבדיקת המעקב עלה כי עמותת פסטיבל כרמיאל </w:t>
      </w:r>
      <w:r w:rsidRPr="00FC2937" w:rsidR="00CC6307">
        <w:rPr>
          <w:rFonts w:hint="eastAsia"/>
          <w:rtl/>
        </w:rPr>
        <w:t>תיקנה</w:t>
      </w:r>
      <w:r w:rsidRPr="00FC2937" w:rsidR="00CC6307">
        <w:rPr>
          <w:rtl/>
        </w:rPr>
        <w:t xml:space="preserve"> </w:t>
      </w:r>
      <w:r w:rsidRPr="00FC2937" w:rsidR="00CC6307">
        <w:rPr>
          <w:rFonts w:hint="eastAsia"/>
          <w:rtl/>
        </w:rPr>
        <w:t>את</w:t>
      </w:r>
      <w:r w:rsidRPr="00FC2937" w:rsidR="00CC6307">
        <w:rPr>
          <w:rtl/>
        </w:rPr>
        <w:t xml:space="preserve"> </w:t>
      </w:r>
      <w:r w:rsidRPr="00FC2937" w:rsidR="00CC6307">
        <w:rPr>
          <w:rFonts w:hint="eastAsia"/>
          <w:rtl/>
        </w:rPr>
        <w:t>הליקוי</w:t>
      </w:r>
      <w:r w:rsidRPr="00FC2937" w:rsidR="00CC6307">
        <w:rPr>
          <w:rtl/>
        </w:rPr>
        <w:t xml:space="preserve"> </w:t>
      </w:r>
      <w:r w:rsidRPr="00FC2937" w:rsidR="00CC6307">
        <w:rPr>
          <w:rFonts w:hint="eastAsia"/>
          <w:rtl/>
        </w:rPr>
        <w:t>במידה</w:t>
      </w:r>
      <w:r w:rsidRPr="00FC2937" w:rsidR="00CC6307">
        <w:rPr>
          <w:rtl/>
        </w:rPr>
        <w:t xml:space="preserve"> </w:t>
      </w:r>
      <w:r w:rsidRPr="00FC2937" w:rsidR="00CC6307">
        <w:rPr>
          <w:rFonts w:hint="eastAsia"/>
          <w:rtl/>
        </w:rPr>
        <w:t>מועטה</w:t>
      </w:r>
      <w:r w:rsidRPr="00FC2937" w:rsidR="00CC6307">
        <w:rPr>
          <w:rtl/>
        </w:rPr>
        <w:t xml:space="preserve"> -</w:t>
      </w:r>
      <w:r w:rsidRPr="00FC2937" w:rsidR="00CC6307">
        <w:rPr>
          <w:rFonts w:hint="cs"/>
          <w:rtl/>
        </w:rPr>
        <w:t xml:space="preserve"> בשנת 2020 חתמה העמותה עם המשווקת על הסכם לקבלת שירותי ניהול לפעולות הפרסום תמורת עמלה בשיעור 33.3% מהסכום שתקבל העמותה עבור עבודתה. תוקפו של ההסכם היה עד אוגוסט 2022, והעמותה חתמה עליו בלי שפרסמה מכרז ובלי שביקשה הצעות מחיר. בהסכם לא נקבעו פרטים, כגון פרטים על עמודי התאורה, על האזורים שיותר לה לפרסם בהם ועל החובות והזכויות של הצדדים. תוקף ההסכם הוארך עד סוף שנת 2023, אולם העמותה לא ציינה מה היו הנימוקים להארכה ולא המציאה לידי משרד מבקר המדינה עותק של הסכם ההארכה</w:t>
      </w:r>
      <w:r w:rsidRPr="00AF3B73">
        <w:rPr>
          <w:rFonts w:hint="cs"/>
          <w:rtl/>
        </w:rPr>
        <w:t>.</w:t>
      </w:r>
    </w:p>
    <w:p w:rsidR="00EB672B" w:rsidP="00EB672B" w14:paraId="6EA213E6" w14:textId="3E2EE8D1">
      <w:pPr>
        <w:pStyle w:val="7317"/>
        <w:rPr>
          <w:rtl/>
        </w:rPr>
      </w:pPr>
      <w:r w:rsidRPr="00EB2A24">
        <w:rPr>
          <w:rFonts w:hint="cs"/>
          <w:b/>
          <w:noProof/>
          <w:rtl/>
        </w:rPr>
        <w:drawing>
          <wp:anchor distT="0" distB="0" distL="114300" distR="114300" simplePos="0" relativeHeight="25169715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2A24" w:rsidR="00CC6307">
        <w:rPr>
          <w:rFonts w:hint="cs"/>
          <w:b/>
          <w:bCs/>
          <w:rtl/>
        </w:rPr>
        <w:t xml:space="preserve">התקשרות חכ"ל טבריה עם חברה ד' למתן זיכיון על גשר ומתקני </w:t>
      </w:r>
      <w:r w:rsidRPr="00EB2A24" w:rsidR="00CC6307">
        <w:rPr>
          <w:rFonts w:hint="cs"/>
          <w:b/>
          <w:bCs/>
          <w:rtl/>
        </w:rPr>
        <w:t>בילבורד</w:t>
      </w:r>
      <w:r w:rsidRPr="00EB2A24" w:rsidR="00CC6307">
        <w:rPr>
          <w:rFonts w:hint="cs"/>
          <w:b/>
          <w:bCs/>
          <w:rtl/>
        </w:rPr>
        <w:t xml:space="preserve"> -</w:t>
      </w:r>
      <w:r w:rsidRPr="00FC2937" w:rsidR="00CC6307">
        <w:rPr>
          <w:rFonts w:hint="cs"/>
          <w:rtl/>
        </w:rPr>
        <w:t xml:space="preserve"> </w:t>
      </w:r>
      <w:r w:rsidRPr="00FC2937" w:rsidR="00CC6307">
        <w:rPr>
          <w:rFonts w:hint="eastAsia"/>
          <w:rtl/>
        </w:rPr>
        <w:t>ממצאים</w:t>
      </w:r>
      <w:r w:rsidRPr="00FC2937" w:rsidR="00CC6307">
        <w:rPr>
          <w:rtl/>
        </w:rPr>
        <w:t xml:space="preserve"> </w:t>
      </w:r>
      <w:r w:rsidRPr="00FC2937" w:rsidR="00CC6307">
        <w:rPr>
          <w:rFonts w:hint="eastAsia"/>
          <w:rtl/>
        </w:rPr>
        <w:t>מדוח</w:t>
      </w:r>
      <w:r w:rsidRPr="00FC2937" w:rsidR="00CC6307">
        <w:rPr>
          <w:rtl/>
        </w:rPr>
        <w:t xml:space="preserve"> </w:t>
      </w:r>
      <w:r w:rsidRPr="00FC2937" w:rsidR="00CC6307">
        <w:rPr>
          <w:rFonts w:hint="eastAsia"/>
          <w:rtl/>
        </w:rPr>
        <w:t>המעקב</w:t>
      </w:r>
      <w:r w:rsidRPr="00FC2937" w:rsidR="00CC6307">
        <w:rPr>
          <w:rFonts w:hint="cs"/>
          <w:rtl/>
        </w:rPr>
        <w:t xml:space="preserve"> - בשנת 2015 חתמה חכ"ל טבריה עם חברה ד', שזכתה במכרז פומבי בנושא הסכם להפעלת מתקני פרסום, על הסכם למתן זיכיון לפרסום על גשר עירוני להולכי רגל ועל מתקני </w:t>
      </w:r>
      <w:r w:rsidRPr="00FC2937" w:rsidR="00CC6307">
        <w:rPr>
          <w:rFonts w:hint="cs"/>
          <w:rtl/>
        </w:rPr>
        <w:t>בילבורד</w:t>
      </w:r>
      <w:r w:rsidRPr="00FC2937" w:rsidR="00CC6307">
        <w:rPr>
          <w:rFonts w:hint="cs"/>
          <w:rtl/>
        </w:rPr>
        <w:t xml:space="preserve">. ההתקשרות נמשכה עד שנת 2020. לפי ההסכם, חכ"ל טבריה מסרה לחברה ד' את הגשר ועוד שמונה מתקני </w:t>
      </w:r>
      <w:r w:rsidRPr="00FC2937" w:rsidR="00CC6307">
        <w:rPr>
          <w:rFonts w:hint="cs"/>
          <w:rtl/>
        </w:rPr>
        <w:t>בילבורד</w:t>
      </w:r>
      <w:r w:rsidRPr="00FC2937" w:rsidR="00CC6307">
        <w:rPr>
          <w:rFonts w:hint="cs"/>
          <w:rtl/>
        </w:rPr>
        <w:t>, סה"כ 16 פני פרסום</w:t>
      </w:r>
      <w:r>
        <w:rPr>
          <w:vertAlign w:val="superscript"/>
          <w:rtl/>
        </w:rPr>
        <w:footnoteReference w:id="3"/>
      </w:r>
      <w:r w:rsidRPr="00FC2937" w:rsidR="00CC6307">
        <w:rPr>
          <w:rFonts w:hint="cs"/>
          <w:rtl/>
        </w:rPr>
        <w:t xml:space="preserve">. חברה ד' התחייבה שתפעל בתוך שישה חודשים להחליף את מתקני </w:t>
      </w:r>
      <w:r w:rsidRPr="00FC2937" w:rsidR="00CC6307">
        <w:rPr>
          <w:rFonts w:hint="cs"/>
          <w:rtl/>
        </w:rPr>
        <w:t>הבילבורד</w:t>
      </w:r>
      <w:r w:rsidRPr="00FC2937" w:rsidR="00CC6307">
        <w:rPr>
          <w:rFonts w:hint="cs"/>
          <w:rtl/>
        </w:rPr>
        <w:t xml:space="preserve"> הקיימים במתקני </w:t>
      </w:r>
      <w:r w:rsidRPr="00FC2937" w:rsidR="00CC6307">
        <w:rPr>
          <w:rFonts w:hint="cs"/>
          <w:rtl/>
        </w:rPr>
        <w:t>בילבורד</w:t>
      </w:r>
      <w:r w:rsidRPr="00FC2937" w:rsidR="00CC6307">
        <w:rPr>
          <w:rFonts w:hint="cs"/>
          <w:rtl/>
        </w:rPr>
        <w:t xml:space="preserve"> חדשים ולהקים חמישה מתקני </w:t>
      </w:r>
      <w:r w:rsidRPr="00FC2937" w:rsidR="00CC6307">
        <w:rPr>
          <w:rFonts w:hint="cs"/>
          <w:rtl/>
        </w:rPr>
        <w:t>בילבורד</w:t>
      </w:r>
      <w:r w:rsidRPr="00FC2937" w:rsidR="00CC6307">
        <w:rPr>
          <w:rFonts w:hint="cs"/>
          <w:rtl/>
        </w:rPr>
        <w:t xml:space="preserve"> חדשים באופן שמספר מתקני </w:t>
      </w:r>
      <w:r w:rsidRPr="00FC2937" w:rsidR="00CC6307">
        <w:rPr>
          <w:rFonts w:hint="cs"/>
          <w:rtl/>
        </w:rPr>
        <w:t>הבילבורד</w:t>
      </w:r>
      <w:r w:rsidRPr="00FC2937" w:rsidR="00CC6307">
        <w:rPr>
          <w:rFonts w:hint="cs"/>
          <w:rtl/>
        </w:rPr>
        <w:t xml:space="preserve"> יהיה 13, ומספר פני הפרסום יגיע ל-26. חברה ד' החליפה את </w:t>
      </w:r>
      <w:r w:rsidRPr="00FC2937" w:rsidR="00CC6307">
        <w:rPr>
          <w:rFonts w:hint="cs"/>
          <w:rtl/>
        </w:rPr>
        <w:t>הבילבורדים</w:t>
      </w:r>
      <w:r w:rsidRPr="00FC2937" w:rsidR="00CC6307">
        <w:rPr>
          <w:rFonts w:hint="cs"/>
          <w:rtl/>
        </w:rPr>
        <w:t xml:space="preserve"> הישנים והקימה שישה </w:t>
      </w:r>
      <w:r w:rsidRPr="00FC2937" w:rsidR="00CC6307">
        <w:rPr>
          <w:rFonts w:hint="cs"/>
          <w:rtl/>
        </w:rPr>
        <w:t>בילבורדים</w:t>
      </w:r>
      <w:r w:rsidRPr="00FC2937" w:rsidR="00CC6307">
        <w:rPr>
          <w:rFonts w:hint="cs"/>
          <w:rtl/>
        </w:rPr>
        <w:t xml:space="preserve"> חדשים (אך</w:t>
      </w:r>
      <w:r w:rsidRPr="00FC2937" w:rsidR="00CC6307">
        <w:rPr>
          <w:rtl/>
        </w:rPr>
        <w:t xml:space="preserve"> </w:t>
      </w:r>
      <w:r w:rsidRPr="00FC2937" w:rsidR="00CC6307">
        <w:rPr>
          <w:rFonts w:hint="eastAsia"/>
          <w:rtl/>
        </w:rPr>
        <w:t>פרסמה</w:t>
      </w:r>
      <w:r w:rsidRPr="00FC2937" w:rsidR="00CC6307">
        <w:rPr>
          <w:rtl/>
        </w:rPr>
        <w:t xml:space="preserve"> </w:t>
      </w:r>
      <w:r w:rsidRPr="00FC2937" w:rsidR="00CC6307">
        <w:rPr>
          <w:rFonts w:hint="eastAsia"/>
          <w:rtl/>
        </w:rPr>
        <w:t>בשני</w:t>
      </w:r>
      <w:r w:rsidRPr="00FC2937" w:rsidR="00CC6307">
        <w:rPr>
          <w:rtl/>
        </w:rPr>
        <w:t xml:space="preserve"> </w:t>
      </w:r>
      <w:r w:rsidRPr="00FC2937" w:rsidR="00CC6307">
        <w:rPr>
          <w:rFonts w:hint="eastAsia"/>
          <w:rtl/>
        </w:rPr>
        <w:t>בילבורדים</w:t>
      </w:r>
      <w:r w:rsidRPr="00FC2937" w:rsidR="00CC6307">
        <w:rPr>
          <w:rtl/>
        </w:rPr>
        <w:t xml:space="preserve"> רק </w:t>
      </w:r>
      <w:r w:rsidRPr="00FC2937" w:rsidR="00CC6307">
        <w:rPr>
          <w:rFonts w:hint="eastAsia"/>
          <w:rtl/>
        </w:rPr>
        <w:t>על</w:t>
      </w:r>
      <w:r w:rsidRPr="00FC2937" w:rsidR="00CC6307">
        <w:rPr>
          <w:rtl/>
        </w:rPr>
        <w:t xml:space="preserve"> </w:t>
      </w:r>
      <w:r w:rsidRPr="00FC2937" w:rsidR="00CC6307">
        <w:rPr>
          <w:rFonts w:hint="eastAsia"/>
          <w:rtl/>
        </w:rPr>
        <w:t>צד</w:t>
      </w:r>
      <w:r w:rsidRPr="00FC2937" w:rsidR="00CC6307">
        <w:rPr>
          <w:rtl/>
        </w:rPr>
        <w:t xml:space="preserve"> </w:t>
      </w:r>
      <w:r w:rsidRPr="00FC2937" w:rsidR="00CC6307">
        <w:rPr>
          <w:rFonts w:hint="eastAsia"/>
          <w:rtl/>
        </w:rPr>
        <w:t>אחד</w:t>
      </w:r>
      <w:r w:rsidRPr="00FC2937" w:rsidR="00CC6307">
        <w:rPr>
          <w:rFonts w:hint="cs"/>
          <w:rtl/>
        </w:rPr>
        <w:t xml:space="preserve">), בלי שהגישה לעירייה בקשה להצבת מתקני </w:t>
      </w:r>
      <w:r w:rsidRPr="00FC2937" w:rsidR="00CC6307">
        <w:rPr>
          <w:rFonts w:hint="cs"/>
          <w:rtl/>
        </w:rPr>
        <w:t>הבילבורד</w:t>
      </w:r>
      <w:r w:rsidRPr="00FC2937" w:rsidR="00CC6307">
        <w:rPr>
          <w:rFonts w:hint="cs"/>
          <w:rtl/>
        </w:rPr>
        <w:t xml:space="preserve"> ולא קיבלה את אישור העירייה לכך כנדרש בהסכם ההפעלה. לפי ההסכם, חברה ד' הייתה אמורה לשלם </w:t>
      </w:r>
      <w:r w:rsidRPr="00FC2937" w:rsidR="00CC6307">
        <w:rPr>
          <w:rFonts w:hint="cs"/>
          <w:rtl/>
        </w:rPr>
        <w:t>לחכ"ל</w:t>
      </w:r>
      <w:r w:rsidRPr="00FC2937" w:rsidR="00CC6307">
        <w:rPr>
          <w:rFonts w:hint="cs"/>
          <w:rtl/>
        </w:rPr>
        <w:t xml:space="preserve"> טבריה בעד פרסום על הגשר ועל 26 פני הפרסום של מתקני </w:t>
      </w:r>
      <w:r w:rsidRPr="00FC2937" w:rsidR="00CC6307">
        <w:rPr>
          <w:rFonts w:hint="cs"/>
          <w:rtl/>
        </w:rPr>
        <w:t>הבילבורד</w:t>
      </w:r>
      <w:r w:rsidRPr="00FC2937" w:rsidR="00CC6307">
        <w:rPr>
          <w:rFonts w:hint="cs"/>
          <w:rtl/>
        </w:rPr>
        <w:t xml:space="preserve"> סכום כולל של 610,700 ש"ח בשנה כולל </w:t>
      </w:r>
      <w:r w:rsidRPr="00FC2937" w:rsidR="00CC6307">
        <w:rPr>
          <w:rFonts w:hint="cs"/>
          <w:rtl/>
        </w:rPr>
        <w:t>מע"ם</w:t>
      </w:r>
      <w:r w:rsidRPr="00FC2937" w:rsidR="00CC6307">
        <w:rPr>
          <w:rFonts w:hint="cs"/>
          <w:rtl/>
        </w:rPr>
        <w:t xml:space="preserve">. הביקורת העלתה כי הסכום שגבתה </w:t>
      </w:r>
      <w:r w:rsidRPr="00472405" w:rsidR="00472405">
        <w:rPr>
          <w:rtl/>
        </w:rPr>
        <w:t>החכ"ל</w:t>
      </w:r>
      <w:r w:rsidR="00472405">
        <w:rPr>
          <w:rFonts w:hint="cs"/>
          <w:rtl/>
        </w:rPr>
        <w:t xml:space="preserve"> </w:t>
      </w:r>
      <w:r w:rsidRPr="00FC2937" w:rsidR="00CC6307">
        <w:rPr>
          <w:rFonts w:hint="cs"/>
          <w:rtl/>
        </w:rPr>
        <w:t>מחברה ד' עבור התקופה שמינואר 2016 עד יולי 2020 היה קטן בכ-554,000 ש"ח מהסכום שהתחייבה עליו בהסכם</w:t>
      </w:r>
      <w:r w:rsidRPr="00AF3B73">
        <w:rPr>
          <w:rFonts w:hint="cs"/>
          <w:rtl/>
        </w:rPr>
        <w:t xml:space="preserve">. </w:t>
      </w:r>
    </w:p>
    <w:p w:rsidR="00CC6307" w:rsidP="00CC6307" w14:paraId="2EDB9E4E" w14:textId="10F70A9D">
      <w:pPr>
        <w:pStyle w:val="7317"/>
        <w:rPr>
          <w:rtl/>
        </w:rPr>
      </w:pPr>
      <w:r w:rsidRPr="00EB2A24">
        <w:rPr>
          <w:rFonts w:hint="cs"/>
          <w:b/>
          <w:noProof/>
          <w:rtl/>
        </w:rPr>
        <w:drawing>
          <wp:anchor distT="0" distB="0" distL="114300" distR="114300" simplePos="0" relativeHeight="25170022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360668047" name="תמונה 136066804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6804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2A24">
        <w:rPr>
          <w:rFonts w:hint="cs"/>
          <w:b/>
          <w:bCs/>
          <w:rtl/>
        </w:rPr>
        <w:t>מאגר נתונים בדבר שלטים שהתקינו בעלי עסקים בתחומי הרשויות -</w:t>
      </w:r>
      <w:r w:rsidRPr="00FC2937">
        <w:rPr>
          <w:rFonts w:hint="cs"/>
          <w:rtl/>
        </w:rPr>
        <w:t xml:space="preserve"> בדוח הקודם עלה כי בידי הרשויות המקומיות </w:t>
      </w:r>
      <w:r w:rsidRPr="00EB2A24">
        <w:rPr>
          <w:rFonts w:hint="cs"/>
          <w:b/>
          <w:bCs/>
          <w:rtl/>
        </w:rPr>
        <w:t>ירכא</w:t>
      </w:r>
      <w:r w:rsidRPr="00FC2937">
        <w:rPr>
          <w:rFonts w:hint="cs"/>
          <w:rtl/>
        </w:rPr>
        <w:t xml:space="preserve">, </w:t>
      </w:r>
      <w:r w:rsidRPr="00EB2A24">
        <w:rPr>
          <w:rFonts w:hint="cs"/>
          <w:b/>
          <w:bCs/>
          <w:rtl/>
        </w:rPr>
        <w:t>כפר</w:t>
      </w:r>
      <w:r w:rsidRPr="00FC2937">
        <w:rPr>
          <w:rFonts w:hint="cs"/>
          <w:rtl/>
        </w:rPr>
        <w:t xml:space="preserve"> </w:t>
      </w:r>
      <w:r w:rsidRPr="00EB2A24">
        <w:rPr>
          <w:rFonts w:hint="cs"/>
          <w:b/>
          <w:bCs/>
          <w:rtl/>
        </w:rPr>
        <w:t>יאסיף</w:t>
      </w:r>
      <w:r w:rsidRPr="00FC2937">
        <w:rPr>
          <w:rFonts w:hint="cs"/>
          <w:rtl/>
        </w:rPr>
        <w:t xml:space="preserve"> </w:t>
      </w:r>
      <w:r w:rsidRPr="00FC2937">
        <w:rPr>
          <w:rFonts w:hint="cs"/>
          <w:rtl/>
        </w:rPr>
        <w:t>ו</w:t>
      </w:r>
      <w:r w:rsidRPr="00EB2A24">
        <w:rPr>
          <w:rFonts w:hint="cs"/>
          <w:b/>
          <w:bCs/>
          <w:rtl/>
        </w:rPr>
        <w:t>סח'נין</w:t>
      </w:r>
      <w:r w:rsidRPr="00FC2937">
        <w:rPr>
          <w:rFonts w:hint="cs"/>
          <w:rtl/>
        </w:rPr>
        <w:t xml:space="preserve"> לא היה מידע מלא ומאגר נתונים מעודכן בעניין מספר השלטים שהותקנו בתחום שיפוטן. בתחום השיפוט</w:t>
      </w:r>
      <w:r w:rsidRPr="00FC2937">
        <w:rPr>
          <w:rtl/>
        </w:rPr>
        <w:t xml:space="preserve"> של רשויות מקומיות אלה הותקנו שלטים </w:t>
      </w:r>
      <w:r w:rsidRPr="00FC2937">
        <w:rPr>
          <w:rFonts w:hint="eastAsia"/>
          <w:rtl/>
        </w:rPr>
        <w:t>מסוגים</w:t>
      </w:r>
      <w:r w:rsidRPr="00FC2937">
        <w:rPr>
          <w:rFonts w:hint="cs"/>
          <w:rtl/>
        </w:rPr>
        <w:t xml:space="preserve"> </w:t>
      </w:r>
      <w:r w:rsidRPr="00FC2937">
        <w:rPr>
          <w:rFonts w:hint="eastAsia"/>
          <w:rtl/>
        </w:rPr>
        <w:t>שונים</w:t>
      </w:r>
      <w:r w:rsidRPr="00FC2937">
        <w:rPr>
          <w:rtl/>
        </w:rPr>
        <w:t xml:space="preserve"> </w:t>
      </w:r>
      <w:r w:rsidRPr="00FC2937">
        <w:rPr>
          <w:rFonts w:hint="cs"/>
          <w:rtl/>
        </w:rPr>
        <w:t xml:space="preserve">בידי קבלני פרסום ואחרים </w:t>
      </w:r>
      <w:r w:rsidRPr="00FC2937">
        <w:rPr>
          <w:rtl/>
        </w:rPr>
        <w:t>בל</w:t>
      </w:r>
      <w:r w:rsidRPr="00FC2937">
        <w:rPr>
          <w:rFonts w:hint="cs"/>
          <w:rtl/>
        </w:rPr>
        <w:t xml:space="preserve">י </w:t>
      </w:r>
      <w:r w:rsidRPr="00FC2937">
        <w:rPr>
          <w:rtl/>
        </w:rPr>
        <w:t>שק</w:t>
      </w:r>
      <w:r w:rsidRPr="00FC2937">
        <w:rPr>
          <w:rFonts w:hint="cs"/>
          <w:rtl/>
        </w:rPr>
        <w:t>י</w:t>
      </w:r>
      <w:r w:rsidRPr="00FC2937">
        <w:rPr>
          <w:rtl/>
        </w:rPr>
        <w:t>בלו אישור</w:t>
      </w:r>
      <w:r w:rsidRPr="00FC2937">
        <w:rPr>
          <w:rFonts w:hint="cs"/>
          <w:rtl/>
        </w:rPr>
        <w:t xml:space="preserve"> להצבתם וללא האישורים הנדרשים כמתחייב מחוקי העזר של הרשויות המקומיות.</w:t>
      </w:r>
      <w:r w:rsidRPr="00FC2937">
        <w:rPr>
          <w:rtl/>
        </w:rPr>
        <w:t xml:space="preserve"> </w:t>
      </w:r>
      <w:r w:rsidRPr="00FC2937">
        <w:rPr>
          <w:rFonts w:hint="cs"/>
          <w:rtl/>
        </w:rPr>
        <w:t>ב</w:t>
      </w:r>
      <w:r w:rsidRPr="00FC2937">
        <w:rPr>
          <w:rFonts w:hint="eastAsia"/>
          <w:rtl/>
        </w:rPr>
        <w:t>ביקורת</w:t>
      </w:r>
      <w:r w:rsidRPr="00FC2937">
        <w:rPr>
          <w:rtl/>
        </w:rPr>
        <w:t xml:space="preserve"> המעקב </w:t>
      </w:r>
      <w:r w:rsidRPr="00FC2937">
        <w:rPr>
          <w:rFonts w:hint="cs"/>
          <w:rtl/>
        </w:rPr>
        <w:t xml:space="preserve">הועלה </w:t>
      </w:r>
      <w:r w:rsidRPr="00FC2937">
        <w:rPr>
          <w:rtl/>
        </w:rPr>
        <w:t xml:space="preserve">כי </w:t>
      </w:r>
      <w:r w:rsidRPr="00FC2937">
        <w:rPr>
          <w:rFonts w:hint="cs"/>
          <w:rtl/>
        </w:rPr>
        <w:t xml:space="preserve">עיריית </w:t>
      </w:r>
      <w:r w:rsidRPr="00EB2A24">
        <w:rPr>
          <w:rFonts w:hint="cs"/>
          <w:b/>
          <w:bCs/>
          <w:rtl/>
        </w:rPr>
        <w:t>סח'נין</w:t>
      </w:r>
      <w:r w:rsidRPr="00FC2937">
        <w:rPr>
          <w:rFonts w:hint="cs"/>
          <w:rtl/>
        </w:rPr>
        <w:t xml:space="preserve"> </w:t>
      </w:r>
      <w:r w:rsidRPr="00FC2937">
        <w:rPr>
          <w:rFonts w:hint="eastAsia"/>
          <w:rtl/>
        </w:rPr>
        <w:t>תיקנה</w:t>
      </w:r>
      <w:r w:rsidRPr="00FC2937">
        <w:rPr>
          <w:rFonts w:hint="cs"/>
          <w:rtl/>
        </w:rPr>
        <w:t xml:space="preserve"> את </w:t>
      </w:r>
      <w:r w:rsidRPr="00FC2937">
        <w:rPr>
          <w:rFonts w:hint="eastAsia"/>
          <w:rtl/>
        </w:rPr>
        <w:t>הליקוי</w:t>
      </w:r>
      <w:r w:rsidRPr="00FC2937">
        <w:rPr>
          <w:rtl/>
        </w:rPr>
        <w:t xml:space="preserve"> </w:t>
      </w:r>
      <w:r w:rsidRPr="00FC2937">
        <w:rPr>
          <w:rFonts w:hint="eastAsia"/>
          <w:rtl/>
        </w:rPr>
        <w:t>באופן</w:t>
      </w:r>
      <w:r w:rsidRPr="00FC2937">
        <w:rPr>
          <w:rtl/>
        </w:rPr>
        <w:t xml:space="preserve"> </w:t>
      </w:r>
      <w:r w:rsidRPr="00FC2937">
        <w:rPr>
          <w:rFonts w:hint="eastAsia"/>
          <w:rtl/>
        </w:rPr>
        <w:t>מלא</w:t>
      </w:r>
      <w:r w:rsidRPr="00FC2937">
        <w:rPr>
          <w:rFonts w:hint="cs"/>
          <w:rtl/>
        </w:rPr>
        <w:t xml:space="preserve"> - </w:t>
      </w:r>
      <w:r w:rsidRPr="00FC2937">
        <w:rPr>
          <w:rFonts w:hint="eastAsia"/>
          <w:rtl/>
        </w:rPr>
        <w:t>בתחילת</w:t>
      </w:r>
      <w:r w:rsidRPr="00FC2937">
        <w:rPr>
          <w:rtl/>
        </w:rPr>
        <w:t xml:space="preserve"> </w:t>
      </w:r>
      <w:r w:rsidRPr="00FC2937">
        <w:rPr>
          <w:rFonts w:hint="eastAsia"/>
          <w:rtl/>
        </w:rPr>
        <w:t>שנת</w:t>
      </w:r>
      <w:r w:rsidRPr="00FC2937">
        <w:rPr>
          <w:rtl/>
        </w:rPr>
        <w:t xml:space="preserve"> 2023 </w:t>
      </w:r>
      <w:r w:rsidRPr="00FC2937">
        <w:rPr>
          <w:rFonts w:hint="cs"/>
          <w:rtl/>
        </w:rPr>
        <w:t xml:space="preserve">היא ביצעה סקר שילוט באמצעות חברה חיצונית והחלה לחייב באגרת שילוט. המועצה המקומית </w:t>
      </w:r>
      <w:r w:rsidRPr="00EB2A24">
        <w:rPr>
          <w:rFonts w:hint="cs"/>
          <w:b/>
          <w:bCs/>
          <w:rtl/>
        </w:rPr>
        <w:t>ירכא</w:t>
      </w:r>
      <w:r w:rsidRPr="00FC2937">
        <w:rPr>
          <w:rFonts w:hint="cs"/>
          <w:rtl/>
        </w:rPr>
        <w:t xml:space="preserve"> תיקנה את </w:t>
      </w:r>
      <w:r w:rsidRPr="00FC2937">
        <w:rPr>
          <w:rFonts w:hint="eastAsia"/>
          <w:rtl/>
        </w:rPr>
        <w:t>הליקוי</w:t>
      </w:r>
      <w:r w:rsidRPr="00FC2937">
        <w:rPr>
          <w:rtl/>
        </w:rPr>
        <w:t xml:space="preserve"> </w:t>
      </w:r>
      <w:r w:rsidRPr="00FC2937">
        <w:rPr>
          <w:rFonts w:hint="eastAsia"/>
          <w:rtl/>
        </w:rPr>
        <w:t>במידה</w:t>
      </w:r>
      <w:r w:rsidRPr="00FC2937">
        <w:rPr>
          <w:rtl/>
        </w:rPr>
        <w:t xml:space="preserve"> </w:t>
      </w:r>
      <w:r w:rsidRPr="00FC2937">
        <w:rPr>
          <w:rFonts w:hint="eastAsia"/>
          <w:rtl/>
        </w:rPr>
        <w:t>מועטה</w:t>
      </w:r>
      <w:r w:rsidRPr="00FC2937">
        <w:rPr>
          <w:rFonts w:hint="cs"/>
          <w:rtl/>
        </w:rPr>
        <w:t xml:space="preserve"> -</w:t>
      </w:r>
      <w:r w:rsidRPr="00FC2937">
        <w:rPr>
          <w:rtl/>
        </w:rPr>
        <w:t xml:space="preserve"> </w:t>
      </w:r>
      <w:r w:rsidRPr="00FC2937">
        <w:rPr>
          <w:rFonts w:hint="cs"/>
          <w:rtl/>
        </w:rPr>
        <w:t xml:space="preserve">עד סוף אפריל 2023 לא סיימה המועצה להטמיע במאגר המידע שלה את כל נתוני סקר השילוט שביצעה עבורה חברה ו', ולכן למועצה אין מידע שלם על מספרם של כלל השלטים בתחום שיפוטה. המועצה המקומית </w:t>
      </w:r>
      <w:r w:rsidRPr="00EB2A24">
        <w:rPr>
          <w:rFonts w:hint="cs"/>
          <w:b/>
          <w:bCs/>
          <w:rtl/>
        </w:rPr>
        <w:t>כפר</w:t>
      </w:r>
      <w:r w:rsidRPr="00FC2937">
        <w:rPr>
          <w:rFonts w:hint="cs"/>
          <w:rtl/>
        </w:rPr>
        <w:t xml:space="preserve"> </w:t>
      </w:r>
      <w:r w:rsidRPr="00EB2A24">
        <w:rPr>
          <w:rFonts w:hint="cs"/>
          <w:b/>
          <w:bCs/>
          <w:rtl/>
        </w:rPr>
        <w:t>יאסיף</w:t>
      </w:r>
      <w:r w:rsidRPr="00FC2937">
        <w:rPr>
          <w:rFonts w:hint="cs"/>
          <w:rtl/>
        </w:rPr>
        <w:t xml:space="preserve"> </w:t>
      </w:r>
      <w:r w:rsidRPr="00FC2937">
        <w:rPr>
          <w:rFonts w:hint="eastAsia"/>
          <w:rtl/>
        </w:rPr>
        <w:t>לא</w:t>
      </w:r>
      <w:r w:rsidRPr="00FC2937">
        <w:rPr>
          <w:rtl/>
        </w:rPr>
        <w:t xml:space="preserve"> </w:t>
      </w:r>
      <w:r w:rsidRPr="00FC2937">
        <w:rPr>
          <w:rFonts w:hint="eastAsia"/>
          <w:rtl/>
        </w:rPr>
        <w:t>ת</w:t>
      </w:r>
      <w:r w:rsidRPr="00FC2937">
        <w:rPr>
          <w:rFonts w:hint="cs"/>
          <w:rtl/>
        </w:rPr>
        <w:t>י</w:t>
      </w:r>
      <w:r w:rsidRPr="00FC2937">
        <w:rPr>
          <w:rFonts w:hint="eastAsia"/>
          <w:rtl/>
        </w:rPr>
        <w:t>קנה</w:t>
      </w:r>
      <w:r w:rsidRPr="00FC2937">
        <w:rPr>
          <w:rtl/>
        </w:rPr>
        <w:t xml:space="preserve"> </w:t>
      </w:r>
      <w:r w:rsidRPr="00FC2937">
        <w:rPr>
          <w:rFonts w:hint="eastAsia"/>
          <w:rtl/>
        </w:rPr>
        <w:t>את</w:t>
      </w:r>
      <w:r w:rsidRPr="00FC2937">
        <w:rPr>
          <w:rtl/>
        </w:rPr>
        <w:t xml:space="preserve"> </w:t>
      </w:r>
      <w:r w:rsidRPr="00FC2937">
        <w:rPr>
          <w:rFonts w:hint="eastAsia"/>
          <w:rtl/>
        </w:rPr>
        <w:t>הליקוי</w:t>
      </w:r>
      <w:r w:rsidRPr="00FC2937">
        <w:rPr>
          <w:rFonts w:hint="cs"/>
          <w:rtl/>
        </w:rPr>
        <w:t xml:space="preserve"> - בדוח הקודם עלה כי בשנת 2014 היא ביצעה סקר שילוט, וכי הסקר העלה שהוצבו בתחום שיפוטה 1,489 שלטים. אולם בסקר היו כפילויות, ובמועד סיום הביקורת הקודמת בפברואר 2015 לא היה בידי המועצה מידע על מספרם המדויק של השלטים המוצבים בתחום שיפוטה. בביקורת המעקב עלה כי המועצה הפסיקה את הטמעת הסקר במערכת הגבייה שלה, והיא אף הפסיקה לגבות אגרת שילוט. המועצה לא נקטה כל מהלך כדי לעדכן את הסקר או לבצע סקר חדש במקומו, ועקב כך לא היה לה כלל מאגר נתונים על מספר השלטים שבתחום שיפוטה ועל סוגיהם</w:t>
      </w:r>
      <w:r w:rsidRPr="00AF3B73">
        <w:rPr>
          <w:rFonts w:hint="cs"/>
          <w:rtl/>
        </w:rPr>
        <w:t xml:space="preserve">. </w:t>
      </w:r>
    </w:p>
    <w:p w:rsidR="00CC6307" w:rsidP="00CC6307" w14:paraId="6A079D58" w14:textId="3E4C6A3F">
      <w:pPr>
        <w:pStyle w:val="7317"/>
        <w:rPr>
          <w:rtl/>
        </w:rPr>
      </w:pPr>
      <w:r w:rsidRPr="00EB2A24">
        <w:rPr>
          <w:rFonts w:hint="cs"/>
          <w:b/>
          <w:noProof/>
          <w:rtl/>
        </w:rPr>
        <w:drawing>
          <wp:anchor distT="0" distB="0" distL="114300" distR="114300" simplePos="0" relativeHeight="25170124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867561326" name="תמונה 8675613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6132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2A24">
        <w:rPr>
          <w:rFonts w:hint="cs"/>
          <w:b/>
          <w:bCs/>
          <w:rtl/>
        </w:rPr>
        <w:t>טיפול הרשויות המקומיות בהצבת שלטים בתחום שיפוטן -</w:t>
      </w:r>
      <w:r w:rsidRPr="00FC2937">
        <w:rPr>
          <w:rFonts w:hint="cs"/>
          <w:rtl/>
        </w:rPr>
        <w:t xml:space="preserve"> בדוח הקודם עלה כי בתחום שיפוטן של ארבע הרשויות המקומיות - </w:t>
      </w:r>
      <w:r w:rsidRPr="00EB2A24">
        <w:rPr>
          <w:rFonts w:hint="cs"/>
          <w:b/>
          <w:bCs/>
          <w:rtl/>
        </w:rPr>
        <w:t>טבריה</w:t>
      </w:r>
      <w:r w:rsidRPr="00FC2937">
        <w:rPr>
          <w:rFonts w:hint="cs"/>
          <w:rtl/>
        </w:rPr>
        <w:t xml:space="preserve">, </w:t>
      </w:r>
      <w:r w:rsidRPr="00EB2A24">
        <w:rPr>
          <w:rFonts w:hint="cs"/>
          <w:b/>
          <w:bCs/>
          <w:rtl/>
        </w:rPr>
        <w:t>ירכא</w:t>
      </w:r>
      <w:r w:rsidRPr="00FC2937">
        <w:rPr>
          <w:rFonts w:hint="cs"/>
          <w:rtl/>
        </w:rPr>
        <w:t xml:space="preserve">, </w:t>
      </w:r>
      <w:r w:rsidRPr="00EB2A24">
        <w:rPr>
          <w:rFonts w:hint="cs"/>
          <w:b/>
          <w:bCs/>
          <w:rtl/>
        </w:rPr>
        <w:t>כפר</w:t>
      </w:r>
      <w:r w:rsidRPr="00FC2937">
        <w:rPr>
          <w:rFonts w:hint="cs"/>
          <w:rtl/>
        </w:rPr>
        <w:t xml:space="preserve"> </w:t>
      </w:r>
      <w:r w:rsidRPr="00EB2A24">
        <w:rPr>
          <w:rFonts w:hint="cs"/>
          <w:b/>
          <w:bCs/>
          <w:rtl/>
        </w:rPr>
        <w:t>יאסיף</w:t>
      </w:r>
      <w:r w:rsidRPr="00FC2937">
        <w:rPr>
          <w:rtl/>
        </w:rPr>
        <w:t xml:space="preserve"> </w:t>
      </w:r>
      <w:r w:rsidRPr="00FC2937">
        <w:rPr>
          <w:rFonts w:hint="cs"/>
          <w:rtl/>
        </w:rPr>
        <w:t>ו</w:t>
      </w:r>
      <w:r w:rsidRPr="00EB2A24">
        <w:rPr>
          <w:rFonts w:hint="eastAsia"/>
          <w:b/>
          <w:bCs/>
          <w:rtl/>
        </w:rPr>
        <w:t>סח</w:t>
      </w:r>
      <w:r w:rsidRPr="00EB2A24">
        <w:rPr>
          <w:b/>
          <w:bCs/>
          <w:rtl/>
        </w:rPr>
        <w:t>'נין</w:t>
      </w:r>
      <w:r w:rsidRPr="00EB2A24">
        <w:rPr>
          <w:b/>
          <w:bCs/>
          <w:rtl/>
        </w:rPr>
        <w:t xml:space="preserve"> </w:t>
      </w:r>
      <w:r w:rsidRPr="00FC2937">
        <w:rPr>
          <w:rFonts w:hint="cs"/>
          <w:rtl/>
        </w:rPr>
        <w:t xml:space="preserve">- הציבו מפרסמים ובעלי עסקים </w:t>
      </w:r>
      <w:r w:rsidRPr="00FC2937">
        <w:rPr>
          <w:rtl/>
        </w:rPr>
        <w:t xml:space="preserve">שלטים במרחב הציבורי </w:t>
      </w:r>
      <w:r w:rsidRPr="00FC2937">
        <w:rPr>
          <w:rFonts w:hint="eastAsia"/>
          <w:rtl/>
        </w:rPr>
        <w:t>שלא</w:t>
      </w:r>
      <w:r w:rsidRPr="00FC2937">
        <w:rPr>
          <w:rtl/>
        </w:rPr>
        <w:t xml:space="preserve"> כדין </w:t>
      </w:r>
      <w:r w:rsidRPr="00FC2937">
        <w:rPr>
          <w:rFonts w:hint="eastAsia"/>
          <w:rtl/>
        </w:rPr>
        <w:t>ו</w:t>
      </w:r>
      <w:r w:rsidRPr="00FC2937">
        <w:rPr>
          <w:rtl/>
        </w:rPr>
        <w:t>ללא קבלת האישורים הדר</w:t>
      </w:r>
      <w:r w:rsidRPr="00FC2937">
        <w:rPr>
          <w:rFonts w:hint="eastAsia"/>
          <w:rtl/>
        </w:rPr>
        <w:t>ו</w:t>
      </w:r>
      <w:r w:rsidRPr="00FC2937">
        <w:rPr>
          <w:rtl/>
        </w:rPr>
        <w:t>שי</w:t>
      </w:r>
      <w:r w:rsidRPr="00FC2937">
        <w:rPr>
          <w:rFonts w:hint="eastAsia"/>
          <w:rtl/>
        </w:rPr>
        <w:t>ם</w:t>
      </w:r>
      <w:r w:rsidRPr="00FC2937">
        <w:rPr>
          <w:rFonts w:hint="cs"/>
          <w:rtl/>
        </w:rPr>
        <w:t>,</w:t>
      </w:r>
      <w:r w:rsidRPr="00FC2937">
        <w:rPr>
          <w:rtl/>
        </w:rPr>
        <w:t xml:space="preserve"> </w:t>
      </w:r>
      <w:r w:rsidRPr="00FC2937">
        <w:rPr>
          <w:rFonts w:hint="cs"/>
          <w:rtl/>
        </w:rPr>
        <w:t>וכי</w:t>
      </w:r>
      <w:r w:rsidRPr="00FC2937">
        <w:rPr>
          <w:rtl/>
        </w:rPr>
        <w:t xml:space="preserve"> הרשויות לא נקטו </w:t>
      </w:r>
      <w:r w:rsidRPr="00FC2937">
        <w:rPr>
          <w:rFonts w:hint="cs"/>
          <w:rtl/>
        </w:rPr>
        <w:t>את ה</w:t>
      </w:r>
      <w:r w:rsidRPr="00FC2937">
        <w:rPr>
          <w:rtl/>
        </w:rPr>
        <w:t xml:space="preserve">אמצעים העומדים לרשותן להסרת </w:t>
      </w:r>
      <w:r w:rsidRPr="00FC2937">
        <w:rPr>
          <w:rFonts w:hint="eastAsia"/>
          <w:rtl/>
        </w:rPr>
        <w:t>השלטים</w:t>
      </w:r>
      <w:r w:rsidRPr="00FC2937">
        <w:rPr>
          <w:rtl/>
        </w:rPr>
        <w:t xml:space="preserve"> שהוצבו שלא כדין. ביקורת המעקב העלתה כי </w:t>
      </w:r>
      <w:r w:rsidRPr="00FC2937">
        <w:rPr>
          <w:rFonts w:hint="cs"/>
          <w:rtl/>
        </w:rPr>
        <w:t xml:space="preserve">אותן </w:t>
      </w:r>
      <w:r w:rsidRPr="00FC2937">
        <w:rPr>
          <w:rFonts w:hint="eastAsia"/>
          <w:rtl/>
        </w:rPr>
        <w:t>ארבע</w:t>
      </w:r>
      <w:r w:rsidRPr="00FC2937">
        <w:rPr>
          <w:rtl/>
        </w:rPr>
        <w:t xml:space="preserve"> </w:t>
      </w:r>
      <w:r w:rsidRPr="00FC2937">
        <w:rPr>
          <w:rFonts w:hint="eastAsia"/>
          <w:rtl/>
        </w:rPr>
        <w:t>רשויות</w:t>
      </w:r>
      <w:r w:rsidRPr="00FC2937">
        <w:rPr>
          <w:rtl/>
        </w:rPr>
        <w:t xml:space="preserve"> לא ת</w:t>
      </w:r>
      <w:r w:rsidRPr="00FC2937">
        <w:rPr>
          <w:rFonts w:hint="eastAsia"/>
          <w:rtl/>
        </w:rPr>
        <w:t>י</w:t>
      </w:r>
      <w:r w:rsidRPr="00FC2937">
        <w:rPr>
          <w:rtl/>
        </w:rPr>
        <w:t xml:space="preserve">קנו את הליקוי </w:t>
      </w:r>
      <w:r w:rsidRPr="00FC2937">
        <w:rPr>
          <w:rFonts w:hint="cs"/>
          <w:rtl/>
        </w:rPr>
        <w:t>- נמצא כי הותקנו בתחום שיפוטן</w:t>
      </w:r>
      <w:r w:rsidRPr="00FC2937">
        <w:rPr>
          <w:rtl/>
        </w:rPr>
        <w:t xml:space="preserve"> </w:t>
      </w:r>
      <w:r w:rsidRPr="00FC2937">
        <w:rPr>
          <w:rFonts w:hint="cs"/>
          <w:rtl/>
        </w:rPr>
        <w:t xml:space="preserve">שלטים </w:t>
      </w:r>
      <w:r w:rsidRPr="00FC2937">
        <w:rPr>
          <w:rtl/>
        </w:rPr>
        <w:t xml:space="preserve">בשטחים פרטיים </w:t>
      </w:r>
      <w:r w:rsidRPr="00FC2937">
        <w:rPr>
          <w:rFonts w:hint="cs"/>
          <w:rtl/>
        </w:rPr>
        <w:t>וצ</w:t>
      </w:r>
      <w:r w:rsidRPr="00FC2937">
        <w:rPr>
          <w:rFonts w:hint="eastAsia"/>
          <w:rtl/>
        </w:rPr>
        <w:t>יבוריים</w:t>
      </w:r>
      <w:r w:rsidRPr="00FC2937">
        <w:rPr>
          <w:rtl/>
        </w:rPr>
        <w:t xml:space="preserve"> </w:t>
      </w:r>
      <w:r w:rsidRPr="00FC2937">
        <w:rPr>
          <w:rFonts w:hint="cs"/>
          <w:rtl/>
        </w:rPr>
        <w:t>על קירות בתים וגדרות, על מדרכות ועל כבישים, ללא אישורן ובלא שהן פעלו להסרתם. בביקורת</w:t>
      </w:r>
      <w:r w:rsidRPr="00FC2937">
        <w:rPr>
          <w:rtl/>
        </w:rPr>
        <w:t xml:space="preserve"> </w:t>
      </w:r>
      <w:r w:rsidRPr="00FC2937">
        <w:rPr>
          <w:rFonts w:hint="cs"/>
          <w:rtl/>
        </w:rPr>
        <w:t>ה</w:t>
      </w:r>
      <w:r w:rsidRPr="00FC2937">
        <w:rPr>
          <w:rFonts w:hint="eastAsia"/>
          <w:rtl/>
        </w:rPr>
        <w:t>מעקב</w:t>
      </w:r>
      <w:r w:rsidRPr="00FC2937">
        <w:rPr>
          <w:rFonts w:hint="cs"/>
          <w:rtl/>
        </w:rPr>
        <w:t xml:space="preserve"> עלה כי חמש הרשויות המקומיות שנבדקו לא פעלו לאכוף את הוראות חוקי העזר שלהן לשילוט ולא דרשו מבעלי עסקים שהציבו שלטים בתחום עסקיה</w:t>
      </w:r>
      <w:r w:rsidRPr="00FC2937">
        <w:rPr>
          <w:rFonts w:hint="eastAsia"/>
          <w:rtl/>
        </w:rPr>
        <w:t>ם</w:t>
      </w:r>
      <w:r w:rsidRPr="00FC2937">
        <w:rPr>
          <w:rtl/>
        </w:rPr>
        <w:t xml:space="preserve"> וממפרסמים על מתקנים ציבוריים להגיש בקשה ל</w:t>
      </w:r>
      <w:r w:rsidRPr="00FC2937">
        <w:rPr>
          <w:rFonts w:hint="eastAsia"/>
          <w:rtl/>
        </w:rPr>
        <w:t>קבלת</w:t>
      </w:r>
      <w:r w:rsidRPr="00FC2937">
        <w:rPr>
          <w:rtl/>
        </w:rPr>
        <w:t xml:space="preserve"> רישיון </w:t>
      </w:r>
      <w:r w:rsidRPr="00FC2937">
        <w:rPr>
          <w:rFonts w:hint="eastAsia"/>
          <w:rtl/>
        </w:rPr>
        <w:t>להצבת</w:t>
      </w:r>
      <w:r w:rsidRPr="00FC2937">
        <w:rPr>
          <w:rtl/>
        </w:rPr>
        <w:t xml:space="preserve"> </w:t>
      </w:r>
      <w:r w:rsidRPr="00FC2937">
        <w:rPr>
          <w:rFonts w:hint="eastAsia"/>
          <w:rtl/>
        </w:rPr>
        <w:t>שלטים</w:t>
      </w:r>
      <w:r w:rsidRPr="00FC2937">
        <w:rPr>
          <w:rtl/>
        </w:rPr>
        <w:t xml:space="preserve"> </w:t>
      </w:r>
      <w:r w:rsidRPr="00FC2937">
        <w:rPr>
          <w:rFonts w:hint="cs"/>
          <w:rtl/>
        </w:rPr>
        <w:t>בתחום שיפוטן</w:t>
      </w:r>
      <w:r w:rsidRPr="00FC2937">
        <w:rPr>
          <w:rtl/>
        </w:rPr>
        <w:t xml:space="preserve">. </w:t>
      </w:r>
      <w:r w:rsidRPr="00FC2937">
        <w:rPr>
          <w:rFonts w:hint="cs"/>
          <w:rtl/>
        </w:rPr>
        <w:t>לפי</w:t>
      </w:r>
      <w:r w:rsidRPr="00FC2937">
        <w:rPr>
          <w:rFonts w:hint="eastAsia"/>
          <w:rtl/>
        </w:rPr>
        <w:t>כך</w:t>
      </w:r>
      <w:r w:rsidRPr="00FC2937">
        <w:rPr>
          <w:rtl/>
        </w:rPr>
        <w:t xml:space="preserve"> כל השלטים המוצבים בתחו</w:t>
      </w:r>
      <w:r w:rsidRPr="00FC2937">
        <w:rPr>
          <w:rFonts w:hint="cs"/>
          <w:rtl/>
        </w:rPr>
        <w:t>ם</w:t>
      </w:r>
      <w:r w:rsidRPr="00FC2937">
        <w:rPr>
          <w:rtl/>
        </w:rPr>
        <w:t xml:space="preserve"> </w:t>
      </w:r>
      <w:r w:rsidRPr="00FC2937">
        <w:rPr>
          <w:rFonts w:hint="cs"/>
          <w:rtl/>
        </w:rPr>
        <w:t xml:space="preserve">שיפוטן של </w:t>
      </w:r>
      <w:r w:rsidRPr="00FC2937">
        <w:rPr>
          <w:rtl/>
        </w:rPr>
        <w:t xml:space="preserve">הרשויות המקומיות שנבדקו הוצבו למעשה ללא רישיון. </w:t>
      </w:r>
      <w:r w:rsidRPr="00FC2937">
        <w:rPr>
          <w:rFonts w:hint="eastAsia"/>
          <w:rtl/>
        </w:rPr>
        <w:t>עיריית</w:t>
      </w:r>
      <w:r w:rsidRPr="00FC2937">
        <w:rPr>
          <w:rtl/>
        </w:rPr>
        <w:t xml:space="preserve"> </w:t>
      </w:r>
      <w:r w:rsidRPr="00EB2A24">
        <w:rPr>
          <w:b/>
          <w:bCs/>
          <w:rtl/>
        </w:rPr>
        <w:t>טבריה</w:t>
      </w:r>
      <w:r w:rsidRPr="00FC2937">
        <w:rPr>
          <w:rtl/>
        </w:rPr>
        <w:t xml:space="preserve"> החלה מתחילת שנת 2023 לנקוט צעדים להסדרת ר</w:t>
      </w:r>
      <w:r w:rsidRPr="00FC2937">
        <w:rPr>
          <w:rFonts w:hint="eastAsia"/>
          <w:rtl/>
        </w:rPr>
        <w:t>ישיונות</w:t>
      </w:r>
      <w:r w:rsidRPr="00FC2937">
        <w:rPr>
          <w:rtl/>
        </w:rPr>
        <w:t xml:space="preserve"> </w:t>
      </w:r>
      <w:r w:rsidRPr="00FC2937">
        <w:rPr>
          <w:rFonts w:hint="eastAsia"/>
          <w:rtl/>
        </w:rPr>
        <w:t>לשילוט</w:t>
      </w:r>
      <w:r w:rsidRPr="00FC2937">
        <w:rPr>
          <w:rtl/>
        </w:rPr>
        <w:t xml:space="preserve"> </w:t>
      </w:r>
      <w:r w:rsidRPr="00FC2937">
        <w:rPr>
          <w:rFonts w:hint="cs"/>
          <w:rtl/>
        </w:rPr>
        <w:t>בתחום שיפוטה</w:t>
      </w:r>
      <w:r w:rsidRPr="00FC2937">
        <w:rPr>
          <w:rtl/>
        </w:rPr>
        <w:t xml:space="preserve">. בחודשים ינואר-אפריל 2023 היא פנתה </w:t>
      </w:r>
      <w:r w:rsidRPr="00FC2937">
        <w:rPr>
          <w:rFonts w:hint="cs"/>
          <w:rtl/>
        </w:rPr>
        <w:t>ב</w:t>
      </w:r>
      <w:r w:rsidRPr="00FC2937">
        <w:rPr>
          <w:rtl/>
        </w:rPr>
        <w:t xml:space="preserve">יוזמתה ל-168 בעלי עסקים </w:t>
      </w:r>
      <w:r w:rsidRPr="00FC2937">
        <w:rPr>
          <w:rFonts w:hint="cs"/>
          <w:rtl/>
        </w:rPr>
        <w:t xml:space="preserve">בבקשה שיוציאו </w:t>
      </w:r>
      <w:r w:rsidRPr="00FC2937">
        <w:rPr>
          <w:rtl/>
        </w:rPr>
        <w:t>רישיונות לשלטים שבבעלותם</w:t>
      </w:r>
      <w:r w:rsidRPr="00FC2937">
        <w:rPr>
          <w:rFonts w:hint="cs"/>
          <w:rtl/>
        </w:rPr>
        <w:t>,</w:t>
      </w:r>
      <w:r w:rsidRPr="00FC2937">
        <w:rPr>
          <w:rtl/>
        </w:rPr>
        <w:t xml:space="preserve"> ו</w:t>
      </w:r>
      <w:r w:rsidRPr="00FC2937">
        <w:rPr>
          <w:rFonts w:hint="cs"/>
          <w:rtl/>
        </w:rPr>
        <w:t xml:space="preserve">בעקבות כך </w:t>
      </w:r>
      <w:r w:rsidRPr="00FC2937">
        <w:rPr>
          <w:rtl/>
        </w:rPr>
        <w:t xml:space="preserve">הם הגישו בקשות להוצאת </w:t>
      </w:r>
      <w:r w:rsidRPr="00FC2937">
        <w:rPr>
          <w:rFonts w:hint="cs"/>
          <w:rtl/>
        </w:rPr>
        <w:t>ה</w:t>
      </w:r>
      <w:r w:rsidRPr="00FC2937">
        <w:rPr>
          <w:rtl/>
        </w:rPr>
        <w:t>רישיונות</w:t>
      </w:r>
      <w:r w:rsidRPr="00AF3B73">
        <w:rPr>
          <w:rFonts w:hint="cs"/>
          <w:rtl/>
        </w:rPr>
        <w:t xml:space="preserve">. </w:t>
      </w:r>
    </w:p>
    <w:p w:rsidR="00CC6307" w:rsidP="00CC6307" w14:paraId="7DD162B3" w14:textId="77777777">
      <w:pPr>
        <w:pStyle w:val="7317"/>
        <w:rPr>
          <w:rtl/>
        </w:rPr>
      </w:pPr>
      <w:r w:rsidRPr="0063556C">
        <w:rPr>
          <w:rStyle w:val="7372"/>
          <w:rFonts w:hint="cs"/>
          <w:noProof/>
          <w:rtl/>
        </w:rPr>
        <w:drawing>
          <wp:anchor distT="0" distB="0" distL="114300" distR="114300" simplePos="0" relativeHeight="25170227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821531234" name="תמונה 182153123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3123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C2937">
        <w:rPr>
          <w:rStyle w:val="7372"/>
          <w:rFonts w:hint="cs"/>
          <w:rtl/>
        </w:rPr>
        <w:t>גביית אגרת שילוט - גבייה מקבלני</w:t>
      </w:r>
      <w:r>
        <w:rPr>
          <w:rFonts w:hint="cs"/>
          <w:rtl/>
        </w:rPr>
        <w:t xml:space="preserve"> </w:t>
      </w:r>
      <w:r w:rsidRPr="00CC6307">
        <w:rPr>
          <w:rFonts w:hint="cs"/>
          <w:b/>
          <w:bCs/>
          <w:rtl/>
        </w:rPr>
        <w:t>פרסום</w:t>
      </w:r>
    </w:p>
    <w:p w:rsidR="00CC6307" w:rsidRPr="00FC2937" w:rsidP="00472405" w14:paraId="29C998A4" w14:textId="77777777">
      <w:pPr>
        <w:pStyle w:val="7317"/>
        <w:numPr>
          <w:ilvl w:val="0"/>
          <w:numId w:val="10"/>
        </w:numPr>
      </w:pPr>
      <w:r w:rsidRPr="00EB2A24">
        <w:rPr>
          <w:rFonts w:hint="cs"/>
          <w:b/>
          <w:bCs/>
          <w:rtl/>
        </w:rPr>
        <w:t>עיריית טבריה -</w:t>
      </w:r>
      <w:r w:rsidRPr="00FC2937">
        <w:rPr>
          <w:rFonts w:hint="cs"/>
          <w:rtl/>
        </w:rPr>
        <w:t xml:space="preserve"> בדוח הקודם עלה כי חובות של שני קבלני פרסום בגין אגרת שילוט בתחילת שנת 2015 הסתכמו בכ-685,000 ש"ח. בביקורת המעקב הועלה כי עיריית </w:t>
      </w:r>
      <w:r w:rsidRPr="00EB2A24">
        <w:rPr>
          <w:rFonts w:hint="eastAsia"/>
          <w:b/>
          <w:bCs/>
          <w:rtl/>
        </w:rPr>
        <w:t>טבריה</w:t>
      </w:r>
      <w:r w:rsidRPr="00FC2937">
        <w:rPr>
          <w:rtl/>
        </w:rPr>
        <w:t xml:space="preserve"> </w:t>
      </w:r>
      <w:r w:rsidRPr="00FC2937">
        <w:rPr>
          <w:rFonts w:hint="eastAsia"/>
          <w:rtl/>
        </w:rPr>
        <w:t>לא</w:t>
      </w:r>
      <w:r w:rsidRPr="00FC2937">
        <w:rPr>
          <w:rtl/>
        </w:rPr>
        <w:t xml:space="preserve"> </w:t>
      </w:r>
      <w:r w:rsidRPr="00FC2937">
        <w:rPr>
          <w:rFonts w:hint="eastAsia"/>
          <w:rtl/>
        </w:rPr>
        <w:t>תיקנה</w:t>
      </w:r>
      <w:r w:rsidRPr="00FC2937">
        <w:rPr>
          <w:rtl/>
        </w:rPr>
        <w:t xml:space="preserve"> </w:t>
      </w:r>
      <w:r w:rsidRPr="00FC2937">
        <w:rPr>
          <w:rFonts w:hint="eastAsia"/>
          <w:rtl/>
        </w:rPr>
        <w:t>את</w:t>
      </w:r>
      <w:r w:rsidRPr="00FC2937">
        <w:rPr>
          <w:rtl/>
        </w:rPr>
        <w:t xml:space="preserve"> </w:t>
      </w:r>
      <w:r w:rsidRPr="00FC2937">
        <w:rPr>
          <w:rFonts w:hint="eastAsia"/>
          <w:rtl/>
        </w:rPr>
        <w:t>הליקוי</w:t>
      </w:r>
      <w:r w:rsidRPr="00FC2937">
        <w:rPr>
          <w:rFonts w:hint="cs"/>
          <w:rtl/>
        </w:rPr>
        <w:t xml:space="preserve"> </w:t>
      </w:r>
      <w:r w:rsidRPr="00FC2937">
        <w:rPr>
          <w:rtl/>
        </w:rPr>
        <w:t>-</w:t>
      </w:r>
      <w:r w:rsidRPr="00FC2937">
        <w:rPr>
          <w:rFonts w:hint="cs"/>
          <w:rtl/>
        </w:rPr>
        <w:t xml:space="preserve"> היא לא גבתה משני קבלני הפרסום האמורים את החובות הגדולים שצברו עד נובמבר 2022, שסכומם הכולל היה כ-1.5 מיליון ש"ח. עם זאת, יצוין כי העירייה ניסתה כמה פעמים לעקל את חשבונות הבנק של שני קבלני הפרסום, אך לא הצליחה לגבות מהם שום סכום מאגרת שילוט. העירייה גם לא הקפידה לגבות מכל החייבים אגרת שילוט, ולמרות שיעורי הגבייה הגבוהים מהחיוב השנתי (כ-94% בממוצע בשנים 2019 - 2021), הסתכמו יתרות הפיגורים של החייבים באגרת שילוט בסוף שנת 2021 בכ-20.6 מיליון ש"ח.</w:t>
      </w:r>
    </w:p>
    <w:p w:rsidR="00CC6307" w:rsidRPr="00FC2937" w:rsidP="00472405" w14:paraId="35F1838D" w14:textId="77777777">
      <w:pPr>
        <w:pStyle w:val="7317"/>
        <w:numPr>
          <w:ilvl w:val="0"/>
          <w:numId w:val="10"/>
        </w:numPr>
      </w:pPr>
      <w:r w:rsidRPr="00EB2A24">
        <w:rPr>
          <w:rFonts w:hint="cs"/>
          <w:b/>
          <w:bCs/>
          <w:rtl/>
        </w:rPr>
        <w:t>עיריית כרמיאל -</w:t>
      </w:r>
      <w:r w:rsidRPr="00FC2937">
        <w:rPr>
          <w:rFonts w:hint="cs"/>
          <w:rtl/>
        </w:rPr>
        <w:t xml:space="preserve"> בביקורת הקודמת עלה כי עיריית </w:t>
      </w:r>
      <w:r w:rsidRPr="00EB2A24">
        <w:rPr>
          <w:rFonts w:hint="cs"/>
          <w:b/>
          <w:bCs/>
          <w:rtl/>
        </w:rPr>
        <w:t>כרמיאל</w:t>
      </w:r>
      <w:r w:rsidRPr="00FC2937">
        <w:rPr>
          <w:rFonts w:hint="cs"/>
          <w:rtl/>
        </w:rPr>
        <w:t xml:space="preserve"> אינה מחייבת את המפרסמים על עמודי תאורה בעיר באגרת שילוט כמתחייב בחוקי העזר של העירייה. ביקורת המעקב העלתה כי עיריית </w:t>
      </w:r>
      <w:r w:rsidRPr="00EB2A24">
        <w:rPr>
          <w:rFonts w:hint="cs"/>
          <w:b/>
          <w:bCs/>
          <w:rtl/>
        </w:rPr>
        <w:t>כרמיאל</w:t>
      </w:r>
      <w:r w:rsidRPr="00FC2937">
        <w:rPr>
          <w:rFonts w:hint="cs"/>
          <w:rtl/>
        </w:rPr>
        <w:t xml:space="preserve"> </w:t>
      </w:r>
      <w:r w:rsidRPr="00FC2937">
        <w:rPr>
          <w:rFonts w:hint="eastAsia"/>
          <w:rtl/>
        </w:rPr>
        <w:t>לא</w:t>
      </w:r>
      <w:r w:rsidRPr="00FC2937">
        <w:rPr>
          <w:rtl/>
        </w:rPr>
        <w:t xml:space="preserve"> </w:t>
      </w:r>
      <w:r w:rsidRPr="00FC2937">
        <w:rPr>
          <w:rFonts w:hint="eastAsia"/>
          <w:rtl/>
        </w:rPr>
        <w:t>תיקנה</w:t>
      </w:r>
      <w:r w:rsidRPr="00FC2937">
        <w:rPr>
          <w:rtl/>
        </w:rPr>
        <w:t xml:space="preserve"> </w:t>
      </w:r>
      <w:r w:rsidRPr="00FC2937">
        <w:rPr>
          <w:rFonts w:hint="eastAsia"/>
          <w:rtl/>
        </w:rPr>
        <w:t>את</w:t>
      </w:r>
      <w:r w:rsidRPr="00FC2937">
        <w:rPr>
          <w:rtl/>
        </w:rPr>
        <w:t xml:space="preserve"> </w:t>
      </w:r>
      <w:r w:rsidRPr="00FC2937">
        <w:rPr>
          <w:rFonts w:hint="eastAsia"/>
          <w:rtl/>
        </w:rPr>
        <w:t>הליקוי</w:t>
      </w:r>
      <w:r w:rsidRPr="00FC2937">
        <w:rPr>
          <w:rtl/>
        </w:rPr>
        <w:t xml:space="preserve"> </w:t>
      </w:r>
      <w:r w:rsidRPr="00FC2937">
        <w:rPr>
          <w:rFonts w:hint="cs"/>
          <w:rtl/>
        </w:rPr>
        <w:t xml:space="preserve">- היא אינה גובה מהמפרסמים על עמודי תאורה, לא בעצמה ולא באמצעות עמותת פסטיבל כרמיאל, </w:t>
      </w:r>
      <w:r w:rsidRPr="00FC2937">
        <w:rPr>
          <w:rFonts w:hint="cs"/>
          <w:rtl/>
        </w:rPr>
        <w:t xml:space="preserve">אגרת שילוט בגין שלטים עגולים ושלטים מלבניים המוצבים על עמודי תאורה. העירייה לא הקפידה לגבות אגרת שילוט מכל המפרסמים בתחום שיפוטה, ולמרות שיעורי הגבייה </w:t>
      </w:r>
      <w:r w:rsidRPr="00FC2937">
        <w:rPr>
          <w:rFonts w:hint="eastAsia"/>
          <w:rtl/>
        </w:rPr>
        <w:t>הגבוהים</w:t>
      </w:r>
      <w:r w:rsidRPr="00FC2937">
        <w:rPr>
          <w:rtl/>
        </w:rPr>
        <w:t xml:space="preserve"> מהחיוב </w:t>
      </w:r>
      <w:r w:rsidRPr="00FC2937">
        <w:rPr>
          <w:rFonts w:hint="eastAsia"/>
          <w:rtl/>
        </w:rPr>
        <w:t>השנתי</w:t>
      </w:r>
      <w:r w:rsidRPr="00FC2937">
        <w:rPr>
          <w:rFonts w:hint="cs"/>
          <w:rtl/>
        </w:rPr>
        <w:t xml:space="preserve"> (כ-93% בממוצע בשנים 2019 - 2021) הסתכמו יתרות הפיגורים של החייבים באגרת שילוט בסוף שנת 2021 בכ-530,000 ש"ח.</w:t>
      </w:r>
    </w:p>
    <w:p w:rsidR="00CC6307" w:rsidRPr="00FC2937" w:rsidP="00472405" w14:paraId="0D508600" w14:textId="77777777">
      <w:pPr>
        <w:pStyle w:val="7317"/>
        <w:numPr>
          <w:ilvl w:val="0"/>
          <w:numId w:val="10"/>
        </w:numPr>
      </w:pPr>
      <w:r w:rsidRPr="00EB2A24">
        <w:rPr>
          <w:rFonts w:hint="cs"/>
          <w:b/>
          <w:bCs/>
          <w:rtl/>
        </w:rPr>
        <w:t xml:space="preserve">עיריית </w:t>
      </w:r>
      <w:r w:rsidRPr="00EB2A24">
        <w:rPr>
          <w:rFonts w:hint="cs"/>
          <w:b/>
          <w:bCs/>
          <w:rtl/>
        </w:rPr>
        <w:t>סח'נין</w:t>
      </w:r>
      <w:r w:rsidRPr="00EB2A24">
        <w:rPr>
          <w:rFonts w:hint="cs"/>
          <w:b/>
          <w:bCs/>
          <w:rtl/>
        </w:rPr>
        <w:t xml:space="preserve"> -</w:t>
      </w:r>
      <w:r w:rsidRPr="00FC2937">
        <w:rPr>
          <w:rFonts w:hint="cs"/>
          <w:rtl/>
        </w:rPr>
        <w:t xml:space="preserve"> בדוח הקודם עלה כי עיריית </w:t>
      </w:r>
      <w:r w:rsidRPr="00EB2A24">
        <w:rPr>
          <w:rFonts w:hint="cs"/>
          <w:b/>
          <w:bCs/>
          <w:rtl/>
        </w:rPr>
        <w:t>סח'נין</w:t>
      </w:r>
      <w:r w:rsidRPr="00FC2937">
        <w:rPr>
          <w:rFonts w:hint="cs"/>
          <w:rtl/>
        </w:rPr>
        <w:t xml:space="preserve"> גבתה בשנים 2009 עד 2013 אגרת שילוט בסכום כולל של 150,000 ש"ח, וכי שיעור הגבייה מכלל הסכומים שעמדו לגבייה בשנים האמורות היה 4% עד 11%. ביקורת המעקב העלתה כי העירייה </w:t>
      </w:r>
      <w:r w:rsidRPr="00FC2937">
        <w:rPr>
          <w:rFonts w:hint="eastAsia"/>
          <w:rtl/>
        </w:rPr>
        <w:t>תיקנה</w:t>
      </w:r>
      <w:r w:rsidRPr="00FC2937">
        <w:rPr>
          <w:rtl/>
        </w:rPr>
        <w:t xml:space="preserve"> </w:t>
      </w:r>
      <w:r w:rsidRPr="00FC2937">
        <w:rPr>
          <w:rFonts w:hint="eastAsia"/>
          <w:rtl/>
        </w:rPr>
        <w:t>את</w:t>
      </w:r>
      <w:r w:rsidRPr="00FC2937">
        <w:rPr>
          <w:rtl/>
        </w:rPr>
        <w:t xml:space="preserve"> </w:t>
      </w:r>
      <w:r w:rsidRPr="00FC2937">
        <w:rPr>
          <w:rFonts w:hint="eastAsia"/>
          <w:rtl/>
        </w:rPr>
        <w:t>הליקוי</w:t>
      </w:r>
      <w:r w:rsidRPr="00FC2937">
        <w:rPr>
          <w:rtl/>
        </w:rPr>
        <w:t xml:space="preserve"> </w:t>
      </w:r>
      <w:r w:rsidRPr="00FC2937">
        <w:rPr>
          <w:rFonts w:hint="eastAsia"/>
          <w:rtl/>
        </w:rPr>
        <w:t>במידה</w:t>
      </w:r>
      <w:r w:rsidRPr="00FC2937">
        <w:rPr>
          <w:rtl/>
        </w:rPr>
        <w:t xml:space="preserve"> </w:t>
      </w:r>
      <w:r w:rsidRPr="00FC2937">
        <w:rPr>
          <w:rFonts w:hint="eastAsia"/>
          <w:rtl/>
        </w:rPr>
        <w:t>רבה</w:t>
      </w:r>
      <w:r w:rsidRPr="00FC2937">
        <w:rPr>
          <w:rFonts w:hint="cs"/>
          <w:rtl/>
        </w:rPr>
        <w:t xml:space="preserve"> - בשנים 2019 עד 2021 היא גבתה מהמפרסמים בתחום שיפוטה סכום כולל של כ-703,000 ש"ח, ששיעורו כ-4% מכלל הסכומים שעמדו לגבייה בתקופה זו. עם זאת, יתרות הפיגורים של חייבי אגרת שילוט בסוף שנת 2021 הסתכמו בכ-6.9 מיליון ש"ח.</w:t>
      </w:r>
    </w:p>
    <w:p w:rsidR="00CC6307" w:rsidRPr="00FC2937" w:rsidP="00472405" w14:paraId="6531764E" w14:textId="77777777">
      <w:pPr>
        <w:pStyle w:val="7317"/>
        <w:numPr>
          <w:ilvl w:val="0"/>
          <w:numId w:val="10"/>
        </w:numPr>
      </w:pPr>
      <w:r w:rsidRPr="00EB2A24">
        <w:rPr>
          <w:rFonts w:hint="cs"/>
          <w:b/>
          <w:bCs/>
          <w:rtl/>
        </w:rPr>
        <w:t xml:space="preserve">המועצה המקומית ירכא - </w:t>
      </w:r>
      <w:r w:rsidRPr="00FC2937">
        <w:rPr>
          <w:rFonts w:hint="cs"/>
          <w:rtl/>
        </w:rPr>
        <w:t xml:space="preserve">בדוח הקודם עלה כי במועד סיום הביקורת הקודמת, בפברואר 2015, לא גבתה העירייה אגרת שילוט מהמפרסמים בתחום שיפוטה, לפי חוק העזר. ביקורת המעקב העלתה כי המועצה </w:t>
      </w:r>
      <w:r w:rsidRPr="00FC2937">
        <w:rPr>
          <w:rFonts w:hint="eastAsia"/>
          <w:rtl/>
        </w:rPr>
        <w:t>ת</w:t>
      </w:r>
      <w:r w:rsidRPr="00FC2937">
        <w:rPr>
          <w:rFonts w:hint="cs"/>
          <w:rtl/>
        </w:rPr>
        <w:t>י</w:t>
      </w:r>
      <w:r w:rsidRPr="00FC2937">
        <w:rPr>
          <w:rFonts w:hint="eastAsia"/>
          <w:rtl/>
        </w:rPr>
        <w:t>קנה</w:t>
      </w:r>
      <w:r w:rsidRPr="00FC2937">
        <w:rPr>
          <w:rtl/>
        </w:rPr>
        <w:t xml:space="preserve"> </w:t>
      </w:r>
      <w:r w:rsidRPr="00FC2937">
        <w:rPr>
          <w:rFonts w:hint="eastAsia"/>
          <w:rtl/>
        </w:rPr>
        <w:t>את</w:t>
      </w:r>
      <w:r w:rsidRPr="00FC2937">
        <w:rPr>
          <w:rtl/>
        </w:rPr>
        <w:t xml:space="preserve"> </w:t>
      </w:r>
      <w:r w:rsidRPr="00FC2937">
        <w:rPr>
          <w:rFonts w:hint="eastAsia"/>
          <w:rtl/>
        </w:rPr>
        <w:t>הליקוי</w:t>
      </w:r>
      <w:r w:rsidRPr="00FC2937">
        <w:rPr>
          <w:rtl/>
        </w:rPr>
        <w:t xml:space="preserve"> </w:t>
      </w:r>
      <w:r w:rsidRPr="00FC2937">
        <w:rPr>
          <w:rFonts w:hint="eastAsia"/>
          <w:rtl/>
        </w:rPr>
        <w:t>במידה</w:t>
      </w:r>
      <w:r w:rsidRPr="00FC2937">
        <w:rPr>
          <w:rtl/>
        </w:rPr>
        <w:t xml:space="preserve"> </w:t>
      </w:r>
      <w:r w:rsidRPr="00FC2937">
        <w:rPr>
          <w:rFonts w:hint="eastAsia"/>
          <w:rtl/>
        </w:rPr>
        <w:t>מועטה</w:t>
      </w:r>
      <w:r w:rsidRPr="00FC2937">
        <w:rPr>
          <w:rFonts w:hint="cs"/>
          <w:rtl/>
        </w:rPr>
        <w:t xml:space="preserve"> </w:t>
      </w:r>
      <w:r w:rsidRPr="00FC2937">
        <w:rPr>
          <w:rFonts w:hint="eastAsia"/>
          <w:rtl/>
        </w:rPr>
        <w:t>היא</w:t>
      </w:r>
      <w:r w:rsidRPr="00FC2937">
        <w:rPr>
          <w:rtl/>
        </w:rPr>
        <w:t xml:space="preserve"> החלה לחייב את בעלי השלטים באגרת שילוט ולגבות אגרת שילוט </w:t>
      </w:r>
      <w:r w:rsidRPr="00FC2937">
        <w:rPr>
          <w:rFonts w:hint="eastAsia"/>
          <w:rtl/>
        </w:rPr>
        <w:t>החל</w:t>
      </w:r>
      <w:r w:rsidRPr="00FC2937">
        <w:rPr>
          <w:rtl/>
        </w:rPr>
        <w:t xml:space="preserve"> </w:t>
      </w:r>
      <w:r w:rsidRPr="00FC2937">
        <w:rPr>
          <w:rFonts w:hint="eastAsia"/>
          <w:rtl/>
        </w:rPr>
        <w:t>מספטמבר</w:t>
      </w:r>
      <w:r w:rsidRPr="00FC2937">
        <w:rPr>
          <w:rtl/>
        </w:rPr>
        <w:t xml:space="preserve"> 2022</w:t>
      </w:r>
      <w:r w:rsidRPr="00FC2937">
        <w:rPr>
          <w:rFonts w:hint="cs"/>
          <w:rtl/>
        </w:rPr>
        <w:t>.</w:t>
      </w:r>
    </w:p>
    <w:p w:rsidR="00CC6307" w:rsidRPr="00FC2937" w:rsidP="00472405" w14:paraId="3594730A" w14:textId="77777777">
      <w:pPr>
        <w:pStyle w:val="7317"/>
        <w:numPr>
          <w:ilvl w:val="0"/>
          <w:numId w:val="10"/>
        </w:numPr>
      </w:pPr>
      <w:r w:rsidRPr="00EB2A24">
        <w:rPr>
          <w:rFonts w:hint="cs"/>
          <w:b/>
          <w:bCs/>
          <w:rtl/>
        </w:rPr>
        <w:t xml:space="preserve">המועצה המקומית כפר </w:t>
      </w:r>
      <w:r w:rsidRPr="00EB2A24">
        <w:rPr>
          <w:rFonts w:hint="cs"/>
          <w:b/>
          <w:bCs/>
          <w:rtl/>
        </w:rPr>
        <w:t>יאסיף</w:t>
      </w:r>
      <w:r w:rsidRPr="00EB2A24">
        <w:rPr>
          <w:rFonts w:hint="cs"/>
          <w:b/>
          <w:bCs/>
          <w:rtl/>
        </w:rPr>
        <w:t xml:space="preserve"> -</w:t>
      </w:r>
      <w:r w:rsidRPr="00FC2937">
        <w:rPr>
          <w:rFonts w:hint="cs"/>
          <w:rtl/>
        </w:rPr>
        <w:t xml:space="preserve"> בדוח הקודם עלה כי המועצה לא חייבה את קבלני השילוט והמפרסמים בתחום שיפוטה באגרת שילוט. ביקורת המעקב העלתה כי </w:t>
      </w:r>
      <w:r w:rsidRPr="00FC2937">
        <w:rPr>
          <w:rFonts w:hint="eastAsia"/>
          <w:rtl/>
        </w:rPr>
        <w:t>המועצה</w:t>
      </w:r>
      <w:r w:rsidRPr="00FC2937">
        <w:rPr>
          <w:rtl/>
        </w:rPr>
        <w:t xml:space="preserve"> </w:t>
      </w:r>
      <w:r w:rsidRPr="00FC2937">
        <w:rPr>
          <w:rFonts w:hint="eastAsia"/>
          <w:rtl/>
        </w:rPr>
        <w:t>לא</w:t>
      </w:r>
      <w:r w:rsidRPr="00FC2937">
        <w:rPr>
          <w:rtl/>
        </w:rPr>
        <w:t xml:space="preserve"> </w:t>
      </w:r>
      <w:r w:rsidRPr="00FC2937">
        <w:rPr>
          <w:rFonts w:hint="eastAsia"/>
          <w:rtl/>
        </w:rPr>
        <w:t>תיקנה</w:t>
      </w:r>
      <w:r w:rsidRPr="00FC2937">
        <w:rPr>
          <w:rtl/>
        </w:rPr>
        <w:t xml:space="preserve"> </w:t>
      </w:r>
      <w:r w:rsidRPr="00FC2937">
        <w:rPr>
          <w:rFonts w:hint="eastAsia"/>
          <w:rtl/>
        </w:rPr>
        <w:t>את</w:t>
      </w:r>
      <w:r w:rsidRPr="00FC2937">
        <w:rPr>
          <w:rtl/>
        </w:rPr>
        <w:t xml:space="preserve"> </w:t>
      </w:r>
      <w:r w:rsidRPr="00FC2937">
        <w:rPr>
          <w:rFonts w:hint="eastAsia"/>
          <w:rtl/>
        </w:rPr>
        <w:t>הל</w:t>
      </w:r>
      <w:r w:rsidRPr="00FC2937">
        <w:rPr>
          <w:rFonts w:hint="cs"/>
          <w:rtl/>
        </w:rPr>
        <w:t>י</w:t>
      </w:r>
      <w:r w:rsidRPr="00FC2937">
        <w:rPr>
          <w:rFonts w:hint="eastAsia"/>
          <w:rtl/>
        </w:rPr>
        <w:t>קוי</w:t>
      </w:r>
      <w:r w:rsidRPr="00FC2937">
        <w:rPr>
          <w:rFonts w:hint="cs"/>
          <w:rtl/>
        </w:rPr>
        <w:t xml:space="preserve"> - המועצה אינה גובה אגרת שילוט מבעלי עסקים וממפרסמים בתחום שיפוטה.</w:t>
      </w:r>
    </w:p>
    <w:p w:rsidR="00CC6307" w:rsidP="00CC6307" w14:paraId="56D1829F" w14:textId="02ABA575">
      <w:pPr>
        <w:pStyle w:val="7317"/>
        <w:rPr>
          <w:rtl/>
        </w:rPr>
      </w:pPr>
      <w:r w:rsidRPr="00EB2A24">
        <w:rPr>
          <w:rFonts w:hint="cs"/>
          <w:b/>
          <w:noProof/>
          <w:rtl/>
        </w:rPr>
        <w:drawing>
          <wp:anchor distT="0" distB="0" distL="114300" distR="114300" simplePos="0" relativeHeight="25170329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12355035" name="תמונה 91235503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5503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2A24">
        <w:rPr>
          <w:rFonts w:hint="cs"/>
          <w:b/>
          <w:bCs/>
          <w:rtl/>
        </w:rPr>
        <w:t>חיוב בדמי שימוש וגבייתם - חכ"ל טבריה -</w:t>
      </w:r>
      <w:r w:rsidRPr="00FC2937">
        <w:rPr>
          <w:rFonts w:hint="cs"/>
          <w:rtl/>
        </w:rPr>
        <w:t xml:space="preserve"> בדוח הקודם עלה כי חובותיו של קבלן א' בגין פרסום על שלטי דגל הסתכמו במועד סיום הביקורת הקודמת בכ-55,000 ש"ח. בביקורת המעקב הועלה כי חכ"ל </w:t>
      </w:r>
      <w:r w:rsidRPr="00FC2937">
        <w:rPr>
          <w:rFonts w:hint="eastAsia"/>
          <w:rtl/>
        </w:rPr>
        <w:t>תיקנה</w:t>
      </w:r>
      <w:r w:rsidRPr="00FC2937">
        <w:rPr>
          <w:rtl/>
        </w:rPr>
        <w:t xml:space="preserve"> </w:t>
      </w:r>
      <w:r w:rsidRPr="00FC2937">
        <w:rPr>
          <w:rFonts w:hint="eastAsia"/>
          <w:rtl/>
        </w:rPr>
        <w:t>את</w:t>
      </w:r>
      <w:r w:rsidRPr="00FC2937">
        <w:rPr>
          <w:rtl/>
        </w:rPr>
        <w:t xml:space="preserve"> </w:t>
      </w:r>
      <w:r w:rsidRPr="00FC2937">
        <w:rPr>
          <w:rFonts w:hint="eastAsia"/>
          <w:rtl/>
        </w:rPr>
        <w:t>הליקוי</w:t>
      </w:r>
      <w:r w:rsidRPr="00FC2937">
        <w:rPr>
          <w:rtl/>
        </w:rPr>
        <w:t xml:space="preserve"> </w:t>
      </w:r>
      <w:r w:rsidRPr="00FC2937">
        <w:rPr>
          <w:rFonts w:hint="eastAsia"/>
          <w:rtl/>
        </w:rPr>
        <w:t>במידה</w:t>
      </w:r>
      <w:r w:rsidRPr="00FC2937">
        <w:rPr>
          <w:rtl/>
        </w:rPr>
        <w:t xml:space="preserve"> </w:t>
      </w:r>
      <w:r w:rsidRPr="00FC2937">
        <w:rPr>
          <w:rFonts w:hint="eastAsia"/>
          <w:rtl/>
        </w:rPr>
        <w:t>מועטה</w:t>
      </w:r>
      <w:r w:rsidRPr="00FC2937">
        <w:rPr>
          <w:rFonts w:hint="cs"/>
          <w:rtl/>
        </w:rPr>
        <w:t xml:space="preserve"> - הקבלן שילם את חובותיו עד סוף שנת 2015, אולם עבור השנים 2016 עד 2021 </w:t>
      </w:r>
      <w:r w:rsidRPr="00C503CD" w:rsidR="00C503CD">
        <w:rPr>
          <w:rtl/>
        </w:rPr>
        <w:t xml:space="preserve">הוא לא שילם </w:t>
      </w:r>
      <w:r w:rsidRPr="00C503CD" w:rsidR="00C503CD">
        <w:rPr>
          <w:rtl/>
        </w:rPr>
        <w:t>לחכ"ל</w:t>
      </w:r>
      <w:r w:rsidRPr="00C503CD" w:rsidR="00C503CD">
        <w:rPr>
          <w:rtl/>
        </w:rPr>
        <w:t xml:space="preserve"> טבריה סכום כלשהו</w:t>
      </w:r>
      <w:r w:rsidRPr="00FC2937">
        <w:rPr>
          <w:rFonts w:hint="cs"/>
          <w:rtl/>
        </w:rPr>
        <w:t xml:space="preserve">. </w:t>
      </w:r>
      <w:r w:rsidRPr="00FC2937">
        <w:rPr>
          <w:rFonts w:hint="cs"/>
          <w:rtl/>
        </w:rPr>
        <w:t>בחכ"ל</w:t>
      </w:r>
      <w:r w:rsidRPr="00FC2937">
        <w:rPr>
          <w:rFonts w:hint="cs"/>
          <w:rtl/>
        </w:rPr>
        <w:t xml:space="preserve"> טבריה לא חושב היקף</w:t>
      </w:r>
      <w:r w:rsidRPr="00FC2937">
        <w:rPr>
          <w:rtl/>
        </w:rPr>
        <w:t xml:space="preserve"> </w:t>
      </w:r>
      <w:r w:rsidRPr="00FC2937">
        <w:rPr>
          <w:rFonts w:hint="eastAsia"/>
          <w:rtl/>
        </w:rPr>
        <w:t>חובותיו</w:t>
      </w:r>
      <w:r w:rsidRPr="00FC2937">
        <w:rPr>
          <w:rtl/>
        </w:rPr>
        <w:t xml:space="preserve"> עד מועד סיום הב</w:t>
      </w:r>
      <w:r w:rsidRPr="00FC2937">
        <w:rPr>
          <w:rFonts w:hint="eastAsia"/>
          <w:rtl/>
        </w:rPr>
        <w:t>יקורת</w:t>
      </w:r>
      <w:r w:rsidRPr="00FC2937">
        <w:rPr>
          <w:rtl/>
        </w:rPr>
        <w:t xml:space="preserve">. </w:t>
      </w:r>
      <w:r w:rsidRPr="00FC2937">
        <w:rPr>
          <w:rFonts w:hint="cs"/>
          <w:rtl/>
        </w:rPr>
        <w:t xml:space="preserve">כמו כן, נמצא כי </w:t>
      </w:r>
      <w:r w:rsidRPr="00FC2937">
        <w:rPr>
          <w:rtl/>
        </w:rPr>
        <w:t xml:space="preserve">חכ"ל טבריה לא </w:t>
      </w:r>
      <w:r w:rsidRPr="00FC2937">
        <w:rPr>
          <w:rFonts w:hint="eastAsia"/>
          <w:rtl/>
        </w:rPr>
        <w:t>נקטה</w:t>
      </w:r>
      <w:r w:rsidRPr="00FC2937">
        <w:rPr>
          <w:rtl/>
        </w:rPr>
        <w:t xml:space="preserve"> </w:t>
      </w:r>
      <w:r w:rsidRPr="00FC2937">
        <w:rPr>
          <w:rFonts w:hint="cs"/>
          <w:rtl/>
        </w:rPr>
        <w:t xml:space="preserve">את </w:t>
      </w:r>
      <w:r w:rsidRPr="00FC2937">
        <w:rPr>
          <w:rFonts w:hint="eastAsia"/>
          <w:rtl/>
        </w:rPr>
        <w:t>כל</w:t>
      </w:r>
      <w:r w:rsidRPr="00FC2937">
        <w:rPr>
          <w:rtl/>
        </w:rPr>
        <w:t xml:space="preserve"> </w:t>
      </w:r>
      <w:r w:rsidRPr="00FC2937">
        <w:rPr>
          <w:rFonts w:hint="eastAsia"/>
          <w:rtl/>
        </w:rPr>
        <w:t>האמצעים</w:t>
      </w:r>
      <w:r w:rsidRPr="00FC2937">
        <w:rPr>
          <w:rtl/>
        </w:rPr>
        <w:t xml:space="preserve"> </w:t>
      </w:r>
      <w:r w:rsidRPr="00FC2937">
        <w:rPr>
          <w:rFonts w:hint="eastAsia"/>
          <w:rtl/>
        </w:rPr>
        <w:t>העומדים</w:t>
      </w:r>
      <w:r w:rsidRPr="00FC2937">
        <w:rPr>
          <w:rtl/>
        </w:rPr>
        <w:t xml:space="preserve"> </w:t>
      </w:r>
      <w:r w:rsidRPr="00FC2937">
        <w:rPr>
          <w:rFonts w:hint="eastAsia"/>
          <w:rtl/>
        </w:rPr>
        <w:t>לרשותה</w:t>
      </w:r>
      <w:r w:rsidRPr="00FC2937">
        <w:rPr>
          <w:rtl/>
        </w:rPr>
        <w:t>,</w:t>
      </w:r>
      <w:r w:rsidRPr="00FC2937">
        <w:rPr>
          <w:rFonts w:hint="cs"/>
          <w:rtl/>
        </w:rPr>
        <w:t xml:space="preserve"> </w:t>
      </w:r>
      <w:r w:rsidRPr="00FC2937">
        <w:rPr>
          <w:rtl/>
        </w:rPr>
        <w:t xml:space="preserve">לרבות </w:t>
      </w:r>
      <w:r w:rsidRPr="00FC2937">
        <w:rPr>
          <w:rFonts w:hint="eastAsia"/>
          <w:rtl/>
        </w:rPr>
        <w:t>אמצעים</w:t>
      </w:r>
      <w:r w:rsidRPr="00FC2937">
        <w:rPr>
          <w:rtl/>
        </w:rPr>
        <w:t xml:space="preserve"> </w:t>
      </w:r>
      <w:r w:rsidRPr="00FC2937">
        <w:rPr>
          <w:rFonts w:hint="eastAsia"/>
          <w:rtl/>
        </w:rPr>
        <w:t>משפטיים</w:t>
      </w:r>
      <w:r w:rsidRPr="00FC2937">
        <w:rPr>
          <w:rFonts w:hint="cs"/>
          <w:rtl/>
        </w:rPr>
        <w:t>,</w:t>
      </w:r>
      <w:r w:rsidRPr="00FC2937">
        <w:rPr>
          <w:rtl/>
        </w:rPr>
        <w:t xml:space="preserve"> </w:t>
      </w:r>
      <w:r w:rsidRPr="00FC2937">
        <w:rPr>
          <w:rFonts w:hint="eastAsia"/>
          <w:rtl/>
        </w:rPr>
        <w:t>כדי</w:t>
      </w:r>
      <w:r w:rsidRPr="00FC2937">
        <w:rPr>
          <w:rtl/>
        </w:rPr>
        <w:t xml:space="preserve"> </w:t>
      </w:r>
      <w:r w:rsidRPr="00FC2937">
        <w:rPr>
          <w:rFonts w:hint="eastAsia"/>
          <w:rtl/>
        </w:rPr>
        <w:t>לגבות</w:t>
      </w:r>
      <w:r w:rsidRPr="00FC2937">
        <w:rPr>
          <w:rtl/>
        </w:rPr>
        <w:t xml:space="preserve"> </w:t>
      </w:r>
      <w:r w:rsidRPr="00FC2937">
        <w:rPr>
          <w:rFonts w:hint="eastAsia"/>
          <w:rtl/>
        </w:rPr>
        <w:t>מקבלן</w:t>
      </w:r>
      <w:r w:rsidRPr="00FC2937">
        <w:rPr>
          <w:rtl/>
        </w:rPr>
        <w:t xml:space="preserve"> </w:t>
      </w:r>
      <w:r w:rsidRPr="00FC2937">
        <w:rPr>
          <w:rFonts w:hint="eastAsia"/>
          <w:rtl/>
        </w:rPr>
        <w:t>שלטי</w:t>
      </w:r>
      <w:r w:rsidRPr="00FC2937">
        <w:rPr>
          <w:rtl/>
        </w:rPr>
        <w:t xml:space="preserve"> </w:t>
      </w:r>
      <w:r w:rsidRPr="00FC2937">
        <w:rPr>
          <w:rFonts w:hint="cs"/>
          <w:rtl/>
        </w:rPr>
        <w:t>ה</w:t>
      </w:r>
      <w:r w:rsidRPr="00FC2937">
        <w:rPr>
          <w:rFonts w:hint="eastAsia"/>
          <w:rtl/>
        </w:rPr>
        <w:t>דגל</w:t>
      </w:r>
      <w:r w:rsidRPr="00FC2937">
        <w:rPr>
          <w:rtl/>
        </w:rPr>
        <w:t xml:space="preserve"> </w:t>
      </w:r>
      <w:r w:rsidRPr="00FC2937">
        <w:rPr>
          <w:rFonts w:hint="eastAsia"/>
          <w:rtl/>
        </w:rPr>
        <w:t>את</w:t>
      </w:r>
      <w:r w:rsidRPr="00FC2937">
        <w:rPr>
          <w:rtl/>
        </w:rPr>
        <w:t xml:space="preserve"> </w:t>
      </w:r>
      <w:r w:rsidRPr="00FC2937">
        <w:rPr>
          <w:rFonts w:hint="eastAsia"/>
          <w:rtl/>
        </w:rPr>
        <w:t>הסכומים</w:t>
      </w:r>
      <w:r w:rsidRPr="00FC2937">
        <w:rPr>
          <w:rtl/>
        </w:rPr>
        <w:t xml:space="preserve"> </w:t>
      </w:r>
      <w:r w:rsidRPr="00FC2937">
        <w:rPr>
          <w:rFonts w:hint="eastAsia"/>
          <w:rtl/>
        </w:rPr>
        <w:t>המגיעים</w:t>
      </w:r>
      <w:r w:rsidRPr="00FC2937">
        <w:rPr>
          <w:rtl/>
        </w:rPr>
        <w:t xml:space="preserve"> </w:t>
      </w:r>
      <w:r w:rsidRPr="00FC2937">
        <w:rPr>
          <w:rFonts w:hint="eastAsia"/>
          <w:rtl/>
        </w:rPr>
        <w:t>לה</w:t>
      </w:r>
      <w:r w:rsidRPr="00AF3B73">
        <w:rPr>
          <w:rFonts w:hint="cs"/>
          <w:rtl/>
        </w:rPr>
        <w:t xml:space="preserve">. </w:t>
      </w:r>
    </w:p>
    <w:p w:rsidR="00CC6307" w:rsidP="00CC6307" w14:paraId="6BEC940F" w14:textId="2EA9D9BD">
      <w:pPr>
        <w:pStyle w:val="7317"/>
        <w:rPr>
          <w:rtl/>
        </w:rPr>
      </w:pPr>
      <w:r w:rsidRPr="00EB2A24">
        <w:rPr>
          <w:rFonts w:hint="cs"/>
          <w:b/>
          <w:noProof/>
          <w:rtl/>
        </w:rPr>
        <w:drawing>
          <wp:anchor distT="0" distB="0" distL="114300" distR="114300" simplePos="0" relativeHeight="25170432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39029577" name="תמונה 43902957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2957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2A24">
        <w:rPr>
          <w:rFonts w:hint="cs"/>
          <w:b/>
          <w:bCs/>
          <w:rtl/>
        </w:rPr>
        <w:t>עמותת פסטיבל כרמיאל -</w:t>
      </w:r>
      <w:r w:rsidRPr="00FC2937">
        <w:rPr>
          <w:rFonts w:hint="cs"/>
          <w:rtl/>
        </w:rPr>
        <w:t xml:space="preserve"> בדוח הקודם עלה כי עמותת פסטיבל כרמיאל לא עמדה על כך שתקבל מחברה ב' את התמורה בעד כל תקופת ההתקשרות באמצעות המחאות </w:t>
      </w:r>
      <w:r w:rsidRPr="00FC2937">
        <w:rPr>
          <w:rFonts w:hint="cs"/>
          <w:rtl/>
        </w:rPr>
        <w:t>מעותדות</w:t>
      </w:r>
      <w:r w:rsidRPr="00FC2937">
        <w:rPr>
          <w:rFonts w:hint="cs"/>
          <w:rtl/>
        </w:rPr>
        <w:t xml:space="preserve"> כפי שנקבע בהסכם במשך תשע שנים. בביקורת המעקב עלה כי עמותת הפסטיבל </w:t>
      </w:r>
      <w:r w:rsidRPr="00FC2937">
        <w:rPr>
          <w:rFonts w:hint="eastAsia"/>
          <w:rtl/>
        </w:rPr>
        <w:t>תיקנה</w:t>
      </w:r>
      <w:r w:rsidRPr="00FC2937">
        <w:rPr>
          <w:rtl/>
        </w:rPr>
        <w:t xml:space="preserve"> </w:t>
      </w:r>
      <w:r w:rsidRPr="00FC2937">
        <w:rPr>
          <w:rFonts w:hint="eastAsia"/>
          <w:rtl/>
        </w:rPr>
        <w:t>את</w:t>
      </w:r>
      <w:r w:rsidRPr="00FC2937">
        <w:rPr>
          <w:rtl/>
        </w:rPr>
        <w:t xml:space="preserve"> </w:t>
      </w:r>
      <w:r w:rsidRPr="00FC2937">
        <w:rPr>
          <w:rFonts w:hint="eastAsia"/>
          <w:rtl/>
        </w:rPr>
        <w:t>הליקוי</w:t>
      </w:r>
      <w:r w:rsidRPr="00FC2937">
        <w:rPr>
          <w:rtl/>
        </w:rPr>
        <w:t xml:space="preserve"> </w:t>
      </w:r>
      <w:r w:rsidRPr="00FC2937">
        <w:rPr>
          <w:rFonts w:hint="eastAsia"/>
          <w:rtl/>
        </w:rPr>
        <w:t>במידה</w:t>
      </w:r>
      <w:r w:rsidRPr="00FC2937">
        <w:rPr>
          <w:rtl/>
        </w:rPr>
        <w:t xml:space="preserve"> </w:t>
      </w:r>
      <w:r w:rsidRPr="00FC2937">
        <w:rPr>
          <w:rFonts w:hint="eastAsia"/>
          <w:rtl/>
        </w:rPr>
        <w:t>מועטה</w:t>
      </w:r>
      <w:r w:rsidRPr="00FC2937">
        <w:rPr>
          <w:rFonts w:hint="cs"/>
          <w:rtl/>
        </w:rPr>
        <w:t xml:space="preserve"> - העמותה גבתה מחברה ב' הסכום שנקבע בהסכם - כ-50,000 ש"ח בעד כל אחת מהשנים 2015 עד 2020. אולם עבור השנים 2020 עד 2022 חברה ב' לא שילמה לעמותה דמי זיכיון בעד פרסום על גבי המכוונים, והעמותה לא נקטה נגדה שום צעדים. זאת אף שלפי ההסכם חברה ב' הייתה צריכה לשלם לעמותה כ-130,500 ש"ח בעד הפרסום בשנים אלה</w:t>
      </w:r>
      <w:r w:rsidRPr="00AF3B73">
        <w:rPr>
          <w:rFonts w:hint="cs"/>
          <w:rtl/>
        </w:rPr>
        <w:t xml:space="preserve">. </w:t>
      </w:r>
    </w:p>
    <w:p w:rsidR="00EB672B" w:rsidRPr="006F49D3" w:rsidP="006F49D3" w14:paraId="021D9A4C" w14:textId="77777777">
      <w:pPr>
        <w:pStyle w:val="7327"/>
        <w:rPr>
          <w:rtl/>
        </w:rPr>
      </w:pPr>
      <w:r w:rsidRPr="006F49D3">
        <w:rPr>
          <w:rFonts w:hint="cs"/>
          <w:rtl/>
        </w:rPr>
        <w:t>עיקרי המלצות הביקורת</w:t>
      </w:r>
    </w:p>
    <w:p w:rsidR="00EB672B" w:rsidRPr="007C7D40" w:rsidP="00EB672B" w14:paraId="44B516F2" w14:textId="12AB82DC">
      <w:pPr>
        <w:pStyle w:val="7317"/>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FC2937" w:rsidR="00CC6307">
        <w:rPr>
          <w:rtl/>
        </w:rPr>
        <w:t xml:space="preserve">מומלץ שמשרד הפנים ינחה את הרשויות המקומיות שטרם התקינו חוקי עזר בנושא </w:t>
      </w:r>
      <w:r w:rsidRPr="00FC2937" w:rsidR="00CC6307">
        <w:rPr>
          <w:rFonts w:hint="cs"/>
          <w:rtl/>
        </w:rPr>
        <w:t xml:space="preserve">שילוט לבחון התקנת חוק עזר, </w:t>
      </w:r>
      <w:r w:rsidRPr="00FC2937" w:rsidR="00CC6307">
        <w:rPr>
          <w:rtl/>
        </w:rPr>
        <w:t xml:space="preserve">זאת כדי להסדיר את אופן הצבת השלטים </w:t>
      </w:r>
      <w:r w:rsidRPr="00FC2937" w:rsidR="00CC6307">
        <w:rPr>
          <w:rFonts w:hint="cs"/>
          <w:rtl/>
        </w:rPr>
        <w:t>בתחום שיפוטן</w:t>
      </w:r>
      <w:r w:rsidRPr="00FC2937" w:rsidR="00CC6307">
        <w:rPr>
          <w:rtl/>
        </w:rPr>
        <w:t xml:space="preserve"> ולאפשר להן לגבות אגרת שילוט</w:t>
      </w:r>
      <w:r w:rsidRPr="00FC2937" w:rsidR="00CC6307">
        <w:rPr>
          <w:rFonts w:hint="cs"/>
          <w:rtl/>
        </w:rPr>
        <w:t xml:space="preserve"> </w:t>
      </w:r>
      <w:r w:rsidRPr="00FC2937" w:rsidR="00CC6307">
        <w:rPr>
          <w:rtl/>
        </w:rPr>
        <w:t>ולהגדיל את הכנסותיהן העצמיות</w:t>
      </w:r>
      <w:r w:rsidRPr="007C7D40">
        <w:rPr>
          <w:rFonts w:hint="cs"/>
          <w:rtl/>
        </w:rPr>
        <w:t xml:space="preserve">. </w:t>
      </w:r>
    </w:p>
    <w:p w:rsidR="00EB672B" w:rsidRPr="007C7D40" w:rsidP="00EB672B" w14:paraId="723E2ABD" w14:textId="2E6B09E8">
      <w:pPr>
        <w:pStyle w:val="7317"/>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C2937" w:rsidR="00CC6307">
        <w:rPr>
          <w:rtl/>
        </w:rPr>
        <w:t>מומלץ ש</w:t>
      </w:r>
      <w:r w:rsidRPr="00FC2937" w:rsidR="00CC6307">
        <w:rPr>
          <w:rFonts w:hint="cs"/>
          <w:rtl/>
        </w:rPr>
        <w:t xml:space="preserve">ארבע </w:t>
      </w:r>
      <w:r w:rsidRPr="00FC2937" w:rsidR="00CC6307">
        <w:rPr>
          <w:rtl/>
        </w:rPr>
        <w:t xml:space="preserve">הרשויות המקומיות </w:t>
      </w:r>
      <w:r w:rsidRPr="00FC2937" w:rsidR="00CC6307">
        <w:rPr>
          <w:rFonts w:hint="cs"/>
          <w:rtl/>
        </w:rPr>
        <w:t xml:space="preserve">- </w:t>
      </w:r>
      <w:r w:rsidRPr="00EB2A24" w:rsidR="00CC6307">
        <w:rPr>
          <w:rFonts w:hint="cs"/>
          <w:b/>
          <w:bCs/>
          <w:rtl/>
        </w:rPr>
        <w:t>כרמיאל</w:t>
      </w:r>
      <w:r w:rsidRPr="00FC2937" w:rsidR="00CC6307">
        <w:rPr>
          <w:rFonts w:hint="cs"/>
          <w:rtl/>
        </w:rPr>
        <w:t xml:space="preserve">, </w:t>
      </w:r>
      <w:r w:rsidRPr="00EB2A24" w:rsidR="00CC6307">
        <w:rPr>
          <w:rFonts w:hint="cs"/>
          <w:b/>
          <w:bCs/>
          <w:rtl/>
        </w:rPr>
        <w:t>ירכא</w:t>
      </w:r>
      <w:r w:rsidRPr="00FC2937" w:rsidR="00CC6307">
        <w:rPr>
          <w:rFonts w:hint="cs"/>
          <w:rtl/>
        </w:rPr>
        <w:t xml:space="preserve">, </w:t>
      </w:r>
      <w:r w:rsidRPr="00EB2A24" w:rsidR="00CC6307">
        <w:rPr>
          <w:rFonts w:hint="cs"/>
          <w:b/>
          <w:bCs/>
          <w:rtl/>
        </w:rPr>
        <w:t>כפר</w:t>
      </w:r>
      <w:r w:rsidRPr="00FC2937" w:rsidR="00CC6307">
        <w:rPr>
          <w:rFonts w:hint="cs"/>
          <w:rtl/>
        </w:rPr>
        <w:t xml:space="preserve"> </w:t>
      </w:r>
      <w:r w:rsidRPr="00EB2A24" w:rsidR="00CC6307">
        <w:rPr>
          <w:rFonts w:hint="cs"/>
          <w:b/>
          <w:bCs/>
          <w:rtl/>
        </w:rPr>
        <w:t>יאסיף</w:t>
      </w:r>
      <w:r w:rsidRPr="00FC2937" w:rsidR="00CC6307">
        <w:rPr>
          <w:rFonts w:hint="cs"/>
          <w:rtl/>
        </w:rPr>
        <w:t xml:space="preserve"> </w:t>
      </w:r>
      <w:r w:rsidRPr="00FC2937" w:rsidR="00CC6307">
        <w:rPr>
          <w:rFonts w:hint="cs"/>
          <w:rtl/>
        </w:rPr>
        <w:t>ו</w:t>
      </w:r>
      <w:r w:rsidRPr="00EB2A24" w:rsidR="00CC6307">
        <w:rPr>
          <w:rFonts w:hint="cs"/>
          <w:b/>
          <w:bCs/>
          <w:rtl/>
        </w:rPr>
        <w:t>סח'נין</w:t>
      </w:r>
      <w:r w:rsidRPr="00FC2937" w:rsidR="00CC6307">
        <w:rPr>
          <w:rFonts w:hint="cs"/>
          <w:rtl/>
        </w:rPr>
        <w:t xml:space="preserve"> - י</w:t>
      </w:r>
      <w:r w:rsidRPr="00FC2937" w:rsidR="00CC6307">
        <w:rPr>
          <w:rtl/>
        </w:rPr>
        <w:t>פעל</w:t>
      </w:r>
      <w:r w:rsidRPr="00FC2937" w:rsidR="00CC6307">
        <w:rPr>
          <w:rFonts w:hint="cs"/>
          <w:rtl/>
        </w:rPr>
        <w:t>ו</w:t>
      </w:r>
      <w:r w:rsidRPr="00FC2937" w:rsidR="00CC6307">
        <w:rPr>
          <w:rtl/>
        </w:rPr>
        <w:t xml:space="preserve"> לקביעת מדיניות להצבת </w:t>
      </w:r>
      <w:r w:rsidRPr="00FC2937" w:rsidR="00CC6307">
        <w:rPr>
          <w:rFonts w:hint="cs"/>
          <w:rtl/>
        </w:rPr>
        <w:t>שלטים</w:t>
      </w:r>
      <w:r w:rsidRPr="00FC2937" w:rsidR="00CC6307">
        <w:rPr>
          <w:rtl/>
        </w:rPr>
        <w:t xml:space="preserve"> במרחב הפרטי</w:t>
      </w:r>
      <w:r w:rsidRPr="00FC2937" w:rsidR="00CC6307">
        <w:rPr>
          <w:rFonts w:hint="cs"/>
          <w:rtl/>
        </w:rPr>
        <w:t xml:space="preserve"> והציבורי </w:t>
      </w:r>
      <w:r w:rsidRPr="00FC2937" w:rsidR="00CC6307">
        <w:rPr>
          <w:rtl/>
        </w:rPr>
        <w:t>שלה</w:t>
      </w:r>
      <w:r w:rsidRPr="00FC2937" w:rsidR="00CC6307">
        <w:rPr>
          <w:rFonts w:hint="cs"/>
          <w:rtl/>
        </w:rPr>
        <w:t>ן</w:t>
      </w:r>
      <w:r w:rsidRPr="00FC2937" w:rsidR="00CC6307">
        <w:rPr>
          <w:rtl/>
        </w:rPr>
        <w:t xml:space="preserve"> כמתחייב מחוק</w:t>
      </w:r>
      <w:r w:rsidRPr="00FC2937" w:rsidR="00CC6307">
        <w:rPr>
          <w:rFonts w:hint="cs"/>
          <w:rtl/>
        </w:rPr>
        <w:t>י</w:t>
      </w:r>
      <w:r w:rsidRPr="00FC2937" w:rsidR="00CC6307">
        <w:rPr>
          <w:rtl/>
        </w:rPr>
        <w:t xml:space="preserve"> העזר</w:t>
      </w:r>
      <w:r w:rsidRPr="00FC2937" w:rsidR="00CC6307">
        <w:rPr>
          <w:rFonts w:hint="cs"/>
          <w:rtl/>
        </w:rPr>
        <w:t xml:space="preserve"> שלהן</w:t>
      </w:r>
      <w:r w:rsidRPr="00FC2937" w:rsidR="00CC6307">
        <w:rPr>
          <w:rtl/>
        </w:rPr>
        <w:t>.</w:t>
      </w:r>
      <w:r w:rsidRPr="00FC2937" w:rsidR="00CC6307">
        <w:rPr>
          <w:rFonts w:hint="cs"/>
          <w:rtl/>
        </w:rPr>
        <w:t xml:space="preserve"> </w:t>
      </w:r>
      <w:r w:rsidRPr="00FC2937" w:rsidR="00CC6307">
        <w:rPr>
          <w:rtl/>
        </w:rPr>
        <w:t>זאת כדי לשמור על בטיחותם,</w:t>
      </w:r>
      <w:r w:rsidRPr="00FC2937" w:rsidR="00CC6307">
        <w:rPr>
          <w:rFonts w:hint="cs"/>
          <w:rtl/>
        </w:rPr>
        <w:t xml:space="preserve"> </w:t>
      </w:r>
      <w:r w:rsidRPr="00FC2937" w:rsidR="00CC6307">
        <w:rPr>
          <w:rtl/>
        </w:rPr>
        <w:t xml:space="preserve">רווחתם ואיכות חייהם של התושבים ולממש </w:t>
      </w:r>
      <w:r w:rsidRPr="00FC2937" w:rsidR="00CC6307">
        <w:rPr>
          <w:rFonts w:hint="cs"/>
          <w:rtl/>
        </w:rPr>
        <w:t>את ה</w:t>
      </w:r>
      <w:r w:rsidRPr="00FC2937" w:rsidR="00CC6307">
        <w:rPr>
          <w:rtl/>
        </w:rPr>
        <w:t xml:space="preserve">פוטנציאל </w:t>
      </w:r>
      <w:r w:rsidRPr="00FC2937" w:rsidR="00CC6307">
        <w:rPr>
          <w:rFonts w:hint="cs"/>
          <w:rtl/>
        </w:rPr>
        <w:t>ה</w:t>
      </w:r>
      <w:r w:rsidRPr="00FC2937" w:rsidR="00CC6307">
        <w:rPr>
          <w:rtl/>
        </w:rPr>
        <w:t>מסחרי</w:t>
      </w:r>
      <w:r w:rsidRPr="00FC2937" w:rsidR="00CC6307">
        <w:rPr>
          <w:rFonts w:hint="cs"/>
          <w:rtl/>
        </w:rPr>
        <w:t xml:space="preserve"> של הרשויות</w:t>
      </w:r>
      <w:r w:rsidRPr="00FC2937" w:rsidR="00CC6307">
        <w:rPr>
          <w:rtl/>
        </w:rPr>
        <w:t>.</w:t>
      </w:r>
      <w:r w:rsidRPr="00FC2937" w:rsidR="00CC6307">
        <w:rPr>
          <w:rFonts w:hint="cs"/>
          <w:rtl/>
        </w:rPr>
        <w:t xml:space="preserve"> עוד מומלץ שעיריית </w:t>
      </w:r>
      <w:r w:rsidRPr="00EB2A24" w:rsidR="00CC6307">
        <w:rPr>
          <w:rFonts w:hint="cs"/>
          <w:b/>
          <w:bCs/>
          <w:rtl/>
        </w:rPr>
        <w:t>טבריה</w:t>
      </w:r>
      <w:r w:rsidRPr="00FC2937" w:rsidR="00CC6307">
        <w:rPr>
          <w:rFonts w:hint="cs"/>
          <w:rtl/>
        </w:rPr>
        <w:t xml:space="preserve"> תכין הנחיות ומדיניות בנוגע לשילוט בכל תחומי העיר, נוסף על השילוט באזור התיירותי בעיר</w:t>
      </w:r>
      <w:r w:rsidRPr="007C7D40">
        <w:rPr>
          <w:rtl/>
        </w:rPr>
        <w:t xml:space="preserve">. </w:t>
      </w:r>
    </w:p>
    <w:p w:rsidR="00EB672B" w:rsidRPr="007C7D40" w:rsidP="00EB672B" w14:paraId="55FA89EC" w14:textId="483BF0EC">
      <w:pPr>
        <w:pStyle w:val="7317"/>
        <w:rPr>
          <w:rtl/>
        </w:rPr>
      </w:pPr>
      <w:r w:rsidRPr="0063556C">
        <w:rPr>
          <w:rStyle w:val="7372"/>
          <w:rFonts w:hint="cs"/>
          <w:noProof/>
          <w:rtl/>
        </w:rPr>
        <w:drawing>
          <wp:anchor distT="0" distB="1440180" distL="107950" distR="114300" simplePos="0" relativeHeight="25168691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C2937" w:rsidR="00CC6307">
        <w:rPr>
          <w:rtl/>
        </w:rPr>
        <w:t xml:space="preserve">מומלץ שעיריות </w:t>
      </w:r>
      <w:r w:rsidRPr="00EB2A24" w:rsidR="00CC6307">
        <w:rPr>
          <w:b/>
          <w:bCs/>
          <w:rtl/>
        </w:rPr>
        <w:t>טבריה</w:t>
      </w:r>
      <w:r w:rsidRPr="00FC2937" w:rsidR="00CC6307">
        <w:rPr>
          <w:rtl/>
        </w:rPr>
        <w:t xml:space="preserve"> ו</w:t>
      </w:r>
      <w:r w:rsidRPr="00EB2A24" w:rsidR="00CC6307">
        <w:rPr>
          <w:b/>
          <w:bCs/>
          <w:rtl/>
        </w:rPr>
        <w:t>כרמיאל</w:t>
      </w:r>
      <w:r w:rsidRPr="00FC2937" w:rsidR="00CC6307">
        <w:rPr>
          <w:rtl/>
        </w:rPr>
        <w:t xml:space="preserve"> יסדירו את נושא העברת שילוט </w:t>
      </w:r>
      <w:r w:rsidRPr="00FC2937" w:rsidR="00CC6307">
        <w:rPr>
          <w:rFonts w:hint="cs"/>
          <w:rtl/>
        </w:rPr>
        <w:t>ה</w:t>
      </w:r>
      <w:r w:rsidRPr="00FC2937" w:rsidR="00CC6307">
        <w:rPr>
          <w:rtl/>
        </w:rPr>
        <w:t xml:space="preserve">חוצות לתאגידיהן בהסכם בכתב שיכלול את </w:t>
      </w:r>
      <w:r w:rsidRPr="00FC2937" w:rsidR="00CC6307">
        <w:rPr>
          <w:rFonts w:hint="cs"/>
          <w:rtl/>
        </w:rPr>
        <w:t>ה</w:t>
      </w:r>
      <w:r w:rsidRPr="00FC2937" w:rsidR="00CC6307">
        <w:rPr>
          <w:rtl/>
        </w:rPr>
        <w:t>חובות ו</w:t>
      </w:r>
      <w:r w:rsidRPr="00FC2937" w:rsidR="00CC6307">
        <w:rPr>
          <w:rFonts w:hint="cs"/>
          <w:rtl/>
        </w:rPr>
        <w:t>ה</w:t>
      </w:r>
      <w:r w:rsidRPr="00FC2937" w:rsidR="00CC6307">
        <w:rPr>
          <w:rtl/>
        </w:rPr>
        <w:t>זכויות של הצדדים</w:t>
      </w:r>
      <w:r w:rsidRPr="00FC2937" w:rsidR="00CC6307">
        <w:rPr>
          <w:rFonts w:hint="cs"/>
          <w:rtl/>
        </w:rPr>
        <w:t>,</w:t>
      </w:r>
      <w:r w:rsidRPr="00FC2937" w:rsidR="00CC6307">
        <w:rPr>
          <w:rtl/>
        </w:rPr>
        <w:t xml:space="preserve"> </w:t>
      </w:r>
      <w:r w:rsidRPr="00FC2937" w:rsidR="00CC6307">
        <w:rPr>
          <w:rFonts w:hint="cs"/>
          <w:rtl/>
        </w:rPr>
        <w:t>ובכלל זה יקבעו בהסכם את</w:t>
      </w:r>
      <w:r w:rsidRPr="00FC2937" w:rsidR="00CC6307">
        <w:rPr>
          <w:rtl/>
        </w:rPr>
        <w:t xml:space="preserve"> דמי </w:t>
      </w:r>
      <w:r w:rsidRPr="00FC2937" w:rsidR="00CC6307">
        <w:rPr>
          <w:rFonts w:hint="cs"/>
          <w:rtl/>
        </w:rPr>
        <w:t>ה</w:t>
      </w:r>
      <w:r w:rsidRPr="00FC2937" w:rsidR="00CC6307">
        <w:rPr>
          <w:rtl/>
        </w:rPr>
        <w:t>ניהול ש</w:t>
      </w:r>
      <w:r w:rsidRPr="00FC2937" w:rsidR="00CC6307">
        <w:rPr>
          <w:rFonts w:hint="cs"/>
          <w:rtl/>
        </w:rPr>
        <w:t>הן י</w:t>
      </w:r>
      <w:r w:rsidRPr="00FC2937" w:rsidR="00CC6307">
        <w:rPr>
          <w:rtl/>
        </w:rPr>
        <w:t>שלמ</w:t>
      </w:r>
      <w:r w:rsidRPr="00FC2937" w:rsidR="00CC6307">
        <w:rPr>
          <w:rFonts w:hint="cs"/>
          <w:rtl/>
        </w:rPr>
        <w:t>ו</w:t>
      </w:r>
      <w:r w:rsidRPr="00FC2937" w:rsidR="00CC6307">
        <w:rPr>
          <w:rtl/>
        </w:rPr>
        <w:t xml:space="preserve"> לתאגידיהן </w:t>
      </w:r>
      <w:r w:rsidRPr="00FC2937" w:rsidR="00CC6307">
        <w:rPr>
          <w:rFonts w:hint="cs"/>
          <w:rtl/>
        </w:rPr>
        <w:t>בעד</w:t>
      </w:r>
      <w:r w:rsidRPr="00FC2937" w:rsidR="00CC6307">
        <w:rPr>
          <w:rtl/>
        </w:rPr>
        <w:t xml:space="preserve"> ניהול מערך השילוט</w:t>
      </w:r>
      <w:r w:rsidRPr="007C7D40">
        <w:rPr>
          <w:rFonts w:hint="cs"/>
          <w:rtl/>
        </w:rPr>
        <w:t>.</w:t>
      </w:r>
    </w:p>
    <w:p w:rsidR="00EB672B" w:rsidRPr="007C7D40" w:rsidP="00EB672B" w14:paraId="078A06EB" w14:textId="1FBBE04E">
      <w:pPr>
        <w:pStyle w:val="7317"/>
        <w:rPr>
          <w:rtl/>
        </w:rPr>
      </w:pPr>
      <w:r w:rsidRPr="0063556C">
        <w:rPr>
          <w:rStyle w:val="7372"/>
          <w:rFonts w:hint="cs"/>
          <w:noProof/>
          <w:rtl/>
        </w:rPr>
        <w:drawing>
          <wp:anchor distT="0" distB="1440180" distL="107950" distR="114300" simplePos="0" relativeHeight="25168793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C2937" w:rsidR="00CC6307">
        <w:rPr>
          <w:rtl/>
        </w:rPr>
        <w:t xml:space="preserve">על עיריית </w:t>
      </w:r>
      <w:r w:rsidRPr="00EB2A24" w:rsidR="00CC6307">
        <w:rPr>
          <w:b/>
          <w:bCs/>
          <w:rtl/>
        </w:rPr>
        <w:t>כרמיאל</w:t>
      </w:r>
      <w:r w:rsidRPr="00FC2937" w:rsidR="00CC6307">
        <w:rPr>
          <w:rFonts w:hint="cs"/>
          <w:rtl/>
        </w:rPr>
        <w:t>,</w:t>
      </w:r>
      <w:r w:rsidRPr="00FC2937" w:rsidR="00CC6307">
        <w:rPr>
          <w:rtl/>
        </w:rPr>
        <w:t xml:space="preserve"> עמותת פסטיבל כרמיאל</w:t>
      </w:r>
      <w:r w:rsidRPr="00FC2937" w:rsidR="00CC6307">
        <w:rPr>
          <w:rFonts w:hint="cs"/>
          <w:rtl/>
        </w:rPr>
        <w:t>,</w:t>
      </w:r>
      <w:r w:rsidRPr="00FC2937" w:rsidR="00CC6307">
        <w:rPr>
          <w:rtl/>
        </w:rPr>
        <w:t xml:space="preserve"> </w:t>
      </w:r>
      <w:r w:rsidRPr="00FC2937" w:rsidR="00CC6307">
        <w:rPr>
          <w:rFonts w:hint="eastAsia"/>
          <w:rtl/>
        </w:rPr>
        <w:t>ו</w:t>
      </w:r>
      <w:r w:rsidRPr="00FC2937" w:rsidR="00CC6307">
        <w:rPr>
          <w:rtl/>
        </w:rPr>
        <w:t>חכ"ל</w:t>
      </w:r>
      <w:r w:rsidRPr="00FC2937" w:rsidR="00CC6307">
        <w:rPr>
          <w:rtl/>
        </w:rPr>
        <w:t xml:space="preserve"> טבריה</w:t>
      </w:r>
      <w:r w:rsidRPr="00FC2937" w:rsidR="00CC6307">
        <w:rPr>
          <w:rFonts w:hint="cs"/>
          <w:rtl/>
        </w:rPr>
        <w:t xml:space="preserve"> לוודא</w:t>
      </w:r>
      <w:r w:rsidRPr="00FC2937" w:rsidR="00CC6307">
        <w:rPr>
          <w:rtl/>
        </w:rPr>
        <w:t xml:space="preserve"> שקבלני </w:t>
      </w:r>
      <w:r w:rsidRPr="00FC2937" w:rsidR="00CC6307">
        <w:rPr>
          <w:rFonts w:hint="cs"/>
          <w:rtl/>
        </w:rPr>
        <w:t>ה</w:t>
      </w:r>
      <w:r w:rsidRPr="00FC2937" w:rsidR="00CC6307">
        <w:rPr>
          <w:rtl/>
        </w:rPr>
        <w:t>שילוט ימלאו בקפדנות את סעיפי ההסכמים</w:t>
      </w:r>
      <w:r w:rsidRPr="00FC2937" w:rsidR="00CC6307">
        <w:rPr>
          <w:rFonts w:hint="cs"/>
          <w:rtl/>
        </w:rPr>
        <w:t xml:space="preserve"> שנחתמו איתם</w:t>
      </w:r>
      <w:r w:rsidRPr="007C7D40">
        <w:rPr>
          <w:rFonts w:hint="cs"/>
          <w:rtl/>
        </w:rPr>
        <w:t>.</w:t>
      </w:r>
    </w:p>
    <w:p w:rsidR="00EB672B" w:rsidRPr="007C7D40" w:rsidP="00EB672B" w14:paraId="5538133A" w14:textId="2DCF538E">
      <w:pPr>
        <w:pStyle w:val="7317"/>
      </w:pPr>
      <w:r w:rsidRPr="0063556C">
        <w:rPr>
          <w:rStyle w:val="7372"/>
          <w:rFonts w:hint="cs"/>
          <w:noProof/>
          <w:rtl/>
        </w:rPr>
        <w:drawing>
          <wp:anchor distT="0" distB="1440180" distL="107950" distR="114300" simplePos="0" relativeHeight="251688960"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FC2937" w:rsidR="00CC6307">
        <w:rPr>
          <w:rtl/>
        </w:rPr>
        <w:t xml:space="preserve">על </w:t>
      </w:r>
      <w:r w:rsidRPr="00FC2937" w:rsidR="00CC6307">
        <w:rPr>
          <w:rFonts w:hint="cs"/>
          <w:rtl/>
        </w:rPr>
        <w:t>ה</w:t>
      </w:r>
      <w:r w:rsidRPr="00FC2937" w:rsidR="00CC6307">
        <w:rPr>
          <w:rtl/>
        </w:rPr>
        <w:t xml:space="preserve">מועצות </w:t>
      </w:r>
      <w:r w:rsidRPr="00FC2937" w:rsidR="00CC6307">
        <w:rPr>
          <w:rFonts w:hint="cs"/>
          <w:rtl/>
        </w:rPr>
        <w:t>ה</w:t>
      </w:r>
      <w:r w:rsidRPr="00FC2937" w:rsidR="00CC6307">
        <w:rPr>
          <w:rtl/>
        </w:rPr>
        <w:t xml:space="preserve">מקומיות </w:t>
      </w:r>
      <w:r w:rsidRPr="00EB2A24" w:rsidR="00CC6307">
        <w:rPr>
          <w:b/>
          <w:bCs/>
          <w:rtl/>
        </w:rPr>
        <w:t>ירכא</w:t>
      </w:r>
      <w:r w:rsidRPr="00FC2937" w:rsidR="00CC6307">
        <w:rPr>
          <w:rtl/>
        </w:rPr>
        <w:t xml:space="preserve"> ו</w:t>
      </w:r>
      <w:r w:rsidRPr="00EB2A24" w:rsidR="00CC6307">
        <w:rPr>
          <w:b/>
          <w:bCs/>
          <w:rtl/>
        </w:rPr>
        <w:t xml:space="preserve">כפר </w:t>
      </w:r>
      <w:r w:rsidRPr="00EB2A24" w:rsidR="00CC6307">
        <w:rPr>
          <w:b/>
          <w:bCs/>
          <w:rtl/>
        </w:rPr>
        <w:t>י</w:t>
      </w:r>
      <w:r w:rsidRPr="00EB2A24" w:rsidR="00CC6307">
        <w:rPr>
          <w:rFonts w:hint="cs"/>
          <w:b/>
          <w:bCs/>
          <w:rtl/>
        </w:rPr>
        <w:t>א</w:t>
      </w:r>
      <w:r w:rsidRPr="00EB2A24" w:rsidR="00CC6307">
        <w:rPr>
          <w:b/>
          <w:bCs/>
          <w:rtl/>
        </w:rPr>
        <w:t>סיף</w:t>
      </w:r>
      <w:r w:rsidRPr="00EB2A24" w:rsidR="00CC6307">
        <w:rPr>
          <w:b/>
          <w:bCs/>
          <w:rtl/>
        </w:rPr>
        <w:t xml:space="preserve"> </w:t>
      </w:r>
      <w:r w:rsidRPr="00FC2937" w:rsidR="00CC6307">
        <w:rPr>
          <w:rtl/>
        </w:rPr>
        <w:t xml:space="preserve">לפעול </w:t>
      </w:r>
      <w:r w:rsidRPr="00FC2937" w:rsidR="00CC6307">
        <w:rPr>
          <w:rFonts w:hint="cs"/>
          <w:rtl/>
        </w:rPr>
        <w:t>להקמת</w:t>
      </w:r>
      <w:r w:rsidRPr="00FC2937" w:rsidR="00CC6307">
        <w:rPr>
          <w:rtl/>
        </w:rPr>
        <w:t xml:space="preserve"> מאגר מידע מלא ועדכני</w:t>
      </w:r>
      <w:r w:rsidRPr="00FC2937" w:rsidR="00CC6307">
        <w:rPr>
          <w:rFonts w:hint="cs"/>
          <w:rtl/>
        </w:rPr>
        <w:t xml:space="preserve"> על מתקני השילוט</w:t>
      </w:r>
      <w:r w:rsidRPr="00FC2937" w:rsidR="00CC6307">
        <w:rPr>
          <w:rtl/>
        </w:rPr>
        <w:t>,</w:t>
      </w:r>
      <w:r w:rsidRPr="00FC2937" w:rsidR="00CC6307">
        <w:rPr>
          <w:rFonts w:hint="cs"/>
          <w:rtl/>
        </w:rPr>
        <w:t xml:space="preserve"> וכן עליהן </w:t>
      </w:r>
      <w:r w:rsidRPr="00FC2937" w:rsidR="00CC6307">
        <w:rPr>
          <w:rtl/>
        </w:rPr>
        <w:t xml:space="preserve">לחייב את </w:t>
      </w:r>
      <w:r w:rsidRPr="00FC2937" w:rsidR="00CC6307">
        <w:rPr>
          <w:rFonts w:hint="cs"/>
          <w:rtl/>
        </w:rPr>
        <w:t>בעלי העסקים</w:t>
      </w:r>
      <w:r w:rsidRPr="00FC2937" w:rsidR="00CC6307">
        <w:rPr>
          <w:rtl/>
        </w:rPr>
        <w:t xml:space="preserve"> באגרת שילוט בהתאם לתעריפים שנקבעו בחוקי </w:t>
      </w:r>
      <w:r w:rsidRPr="00FC2937" w:rsidR="00CC6307">
        <w:rPr>
          <w:rFonts w:hint="cs"/>
          <w:rtl/>
        </w:rPr>
        <w:t>ה</w:t>
      </w:r>
      <w:r w:rsidRPr="00FC2937" w:rsidR="00CC6307">
        <w:rPr>
          <w:rtl/>
        </w:rPr>
        <w:t>עזר שלהן</w:t>
      </w:r>
      <w:r w:rsidRPr="007C7D40">
        <w:rPr>
          <w:rFonts w:hint="cs"/>
          <w:rtl/>
        </w:rPr>
        <w:t>.</w:t>
      </w:r>
    </w:p>
    <w:p w:rsidR="00EB672B" w:rsidP="00EB672B" w14:paraId="63467834" w14:textId="33892B20">
      <w:pPr>
        <w:pStyle w:val="7317"/>
        <w:rPr>
          <w:rtl/>
        </w:rPr>
      </w:pPr>
      <w:r w:rsidRPr="0063556C">
        <w:rPr>
          <w:rStyle w:val="7372"/>
          <w:rFonts w:hint="cs"/>
          <w:noProof/>
          <w:rtl/>
        </w:rPr>
        <w:drawing>
          <wp:anchor distT="0" distB="1440180" distL="107950" distR="114300" simplePos="0" relativeHeight="25168998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C2937" w:rsidR="00CC6307">
        <w:rPr>
          <w:rtl/>
        </w:rPr>
        <w:t>על חמש הרשויות המקומיות שנבדקו ל</w:t>
      </w:r>
      <w:r w:rsidRPr="00FC2937" w:rsidR="00CC6307">
        <w:rPr>
          <w:rFonts w:hint="cs"/>
          <w:rtl/>
        </w:rPr>
        <w:t>אכוף את חוקי העזר שלהן ולדרוש</w:t>
      </w:r>
      <w:r w:rsidRPr="00FC2937" w:rsidR="00CC6307">
        <w:rPr>
          <w:rtl/>
        </w:rPr>
        <w:t xml:space="preserve"> </w:t>
      </w:r>
      <w:r w:rsidRPr="00FC2937" w:rsidR="00CC6307">
        <w:rPr>
          <w:rFonts w:hint="cs"/>
          <w:rtl/>
        </w:rPr>
        <w:t>מ</w:t>
      </w:r>
      <w:r w:rsidRPr="00FC2937" w:rsidR="00CC6307">
        <w:rPr>
          <w:rtl/>
        </w:rPr>
        <w:t xml:space="preserve">בעלי </w:t>
      </w:r>
      <w:r w:rsidRPr="00FC2937" w:rsidR="00CC6307">
        <w:rPr>
          <w:rFonts w:hint="cs"/>
          <w:rtl/>
        </w:rPr>
        <w:t>ה</w:t>
      </w:r>
      <w:r w:rsidRPr="00FC2937" w:rsidR="00CC6307">
        <w:rPr>
          <w:rtl/>
        </w:rPr>
        <w:t xml:space="preserve">עסקים </w:t>
      </w:r>
      <w:r w:rsidRPr="00FC2937" w:rsidR="00CC6307">
        <w:rPr>
          <w:rFonts w:hint="cs"/>
          <w:rtl/>
        </w:rPr>
        <w:t>להגיש</w:t>
      </w:r>
      <w:r w:rsidRPr="00FC2937" w:rsidR="00CC6307">
        <w:rPr>
          <w:rtl/>
        </w:rPr>
        <w:t xml:space="preserve"> בקש</w:t>
      </w:r>
      <w:r w:rsidRPr="00FC2937" w:rsidR="00CC6307">
        <w:rPr>
          <w:rFonts w:hint="cs"/>
          <w:rtl/>
        </w:rPr>
        <w:t xml:space="preserve">ה </w:t>
      </w:r>
      <w:r w:rsidRPr="00FC2937" w:rsidR="00CC6307">
        <w:rPr>
          <w:rtl/>
        </w:rPr>
        <w:t>ל</w:t>
      </w:r>
      <w:r w:rsidRPr="00FC2937" w:rsidR="00CC6307">
        <w:rPr>
          <w:rFonts w:hint="cs"/>
          <w:rtl/>
        </w:rPr>
        <w:t xml:space="preserve">רישיון להצבת </w:t>
      </w:r>
      <w:r w:rsidRPr="00FC2937" w:rsidR="00CC6307">
        <w:rPr>
          <w:rtl/>
        </w:rPr>
        <w:t xml:space="preserve">שלטים </w:t>
      </w:r>
      <w:r w:rsidRPr="00FC2937" w:rsidR="00CC6307">
        <w:rPr>
          <w:rFonts w:hint="cs"/>
          <w:rtl/>
        </w:rPr>
        <w:t>בתחום שיפוטן</w:t>
      </w:r>
      <w:r w:rsidRPr="008E57FE">
        <w:rPr>
          <w:rFonts w:hint="cs"/>
          <w:rtl/>
        </w:rPr>
        <w:t>.</w:t>
      </w:r>
    </w:p>
    <w:p w:rsidR="00362505" w:rsidP="00362505" w14:paraId="74A7651D" w14:textId="436775BE">
      <w:pPr>
        <w:pStyle w:val="7317"/>
        <w:rPr>
          <w:rtl/>
        </w:rPr>
      </w:pPr>
      <w:r w:rsidRPr="0063556C">
        <w:rPr>
          <w:rStyle w:val="7372"/>
          <w:rFonts w:hint="cs"/>
          <w:noProof/>
          <w:rtl/>
        </w:rPr>
        <w:drawing>
          <wp:anchor distT="0" distB="1440180" distL="107950" distR="114300" simplePos="0" relativeHeight="25169817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C2937" w:rsidR="00CC6307">
        <w:rPr>
          <w:rtl/>
        </w:rPr>
        <w:t xml:space="preserve">על </w:t>
      </w:r>
      <w:r w:rsidRPr="00FC2937" w:rsidR="00CC6307">
        <w:rPr>
          <w:rFonts w:hint="cs"/>
          <w:rtl/>
        </w:rPr>
        <w:t>ה</w:t>
      </w:r>
      <w:r w:rsidRPr="00FC2937" w:rsidR="00CC6307">
        <w:rPr>
          <w:rtl/>
        </w:rPr>
        <w:t xml:space="preserve">עיריות </w:t>
      </w:r>
      <w:r w:rsidRPr="00EB2A24" w:rsidR="00CC6307">
        <w:rPr>
          <w:b/>
          <w:bCs/>
          <w:rtl/>
        </w:rPr>
        <w:t>טבריה</w:t>
      </w:r>
      <w:r w:rsidRPr="00FC2937" w:rsidR="00CC6307">
        <w:rPr>
          <w:rtl/>
        </w:rPr>
        <w:t xml:space="preserve"> </w:t>
      </w:r>
      <w:r w:rsidRPr="00FC2937" w:rsidR="00CC6307">
        <w:rPr>
          <w:rtl/>
        </w:rPr>
        <w:t>ו</w:t>
      </w:r>
      <w:r w:rsidRPr="00EB2A24" w:rsidR="00CC6307">
        <w:rPr>
          <w:b/>
          <w:bCs/>
          <w:rtl/>
        </w:rPr>
        <w:t>סח'נין</w:t>
      </w:r>
      <w:r w:rsidRPr="00FC2937" w:rsidR="00CC6307">
        <w:rPr>
          <w:rtl/>
        </w:rPr>
        <w:t xml:space="preserve"> ו</w:t>
      </w:r>
      <w:r w:rsidRPr="00FC2937" w:rsidR="00CC6307">
        <w:rPr>
          <w:rFonts w:hint="cs"/>
          <w:rtl/>
        </w:rPr>
        <w:t>ה</w:t>
      </w:r>
      <w:r w:rsidRPr="00FC2937" w:rsidR="00CC6307">
        <w:rPr>
          <w:rtl/>
        </w:rPr>
        <w:t xml:space="preserve">מועצות </w:t>
      </w:r>
      <w:r w:rsidRPr="00FC2937" w:rsidR="00CC6307">
        <w:rPr>
          <w:rFonts w:hint="cs"/>
          <w:rtl/>
        </w:rPr>
        <w:t>ה</w:t>
      </w:r>
      <w:r w:rsidRPr="00FC2937" w:rsidR="00CC6307">
        <w:rPr>
          <w:rtl/>
        </w:rPr>
        <w:t xml:space="preserve">מקומיות </w:t>
      </w:r>
      <w:r w:rsidRPr="00EB2A24" w:rsidR="00CC6307">
        <w:rPr>
          <w:b/>
          <w:bCs/>
          <w:rtl/>
        </w:rPr>
        <w:t>יר</w:t>
      </w:r>
      <w:r w:rsidR="00EB2A24">
        <w:rPr>
          <w:rFonts w:hint="cs"/>
          <w:b/>
          <w:bCs/>
          <w:rtl/>
        </w:rPr>
        <w:t>כ</w:t>
      </w:r>
      <w:r w:rsidRPr="00EB2A24" w:rsidR="00CC6307">
        <w:rPr>
          <w:b/>
          <w:bCs/>
          <w:rtl/>
        </w:rPr>
        <w:t>א</w:t>
      </w:r>
      <w:r w:rsidRPr="00FC2937" w:rsidR="00CC6307">
        <w:rPr>
          <w:rtl/>
        </w:rPr>
        <w:t xml:space="preserve"> ו</w:t>
      </w:r>
      <w:r w:rsidRPr="00EB2A24" w:rsidR="00CC6307">
        <w:rPr>
          <w:b/>
          <w:bCs/>
          <w:rtl/>
        </w:rPr>
        <w:t xml:space="preserve">כפר </w:t>
      </w:r>
      <w:r w:rsidRPr="00EB2A24" w:rsidR="00CC6307">
        <w:rPr>
          <w:b/>
          <w:bCs/>
          <w:rtl/>
        </w:rPr>
        <w:t>י</w:t>
      </w:r>
      <w:r w:rsidRPr="00EB2A24" w:rsidR="00CC6307">
        <w:rPr>
          <w:rFonts w:hint="cs"/>
          <w:b/>
          <w:bCs/>
          <w:rtl/>
        </w:rPr>
        <w:t>א</w:t>
      </w:r>
      <w:r w:rsidRPr="00EB2A24" w:rsidR="00CC6307">
        <w:rPr>
          <w:b/>
          <w:bCs/>
          <w:rtl/>
        </w:rPr>
        <w:t>סיף</w:t>
      </w:r>
      <w:r w:rsidRPr="00FC2937" w:rsidR="00CC6307">
        <w:rPr>
          <w:rtl/>
        </w:rPr>
        <w:t xml:space="preserve"> לפעול לכך שבעלי עסקים לא יתקינו </w:t>
      </w:r>
      <w:r w:rsidRPr="00FC2937" w:rsidR="00CC6307">
        <w:rPr>
          <w:rFonts w:hint="cs"/>
          <w:rtl/>
        </w:rPr>
        <w:t xml:space="preserve">שלטים </w:t>
      </w:r>
      <w:r w:rsidRPr="00FC2937" w:rsidR="00CC6307">
        <w:rPr>
          <w:rtl/>
        </w:rPr>
        <w:t xml:space="preserve">בשטחים </w:t>
      </w:r>
      <w:r w:rsidRPr="00FC2937" w:rsidR="00CC6307">
        <w:rPr>
          <w:rFonts w:hint="cs"/>
          <w:rtl/>
        </w:rPr>
        <w:t>ה</w:t>
      </w:r>
      <w:r w:rsidRPr="00FC2937" w:rsidR="00CC6307">
        <w:rPr>
          <w:rtl/>
        </w:rPr>
        <w:t>ציבוריים שלהן ללא אישורן</w:t>
      </w:r>
      <w:r w:rsidRPr="008E57FE">
        <w:rPr>
          <w:rFonts w:hint="cs"/>
          <w:rtl/>
        </w:rPr>
        <w:t>.</w:t>
      </w:r>
    </w:p>
    <w:p w:rsidR="00362505" w:rsidP="00362505" w14:paraId="64F1A374" w14:textId="37717A09">
      <w:pPr>
        <w:pStyle w:val="7317"/>
        <w:rPr>
          <w:rtl/>
        </w:rPr>
      </w:pPr>
      <w:r w:rsidRPr="0063556C">
        <w:rPr>
          <w:rStyle w:val="7372"/>
          <w:rFonts w:hint="cs"/>
          <w:noProof/>
          <w:rtl/>
        </w:rPr>
        <w:drawing>
          <wp:anchor distT="0" distB="1440180" distL="107950" distR="114300" simplePos="0" relativeHeight="25169920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FC2937" w:rsidR="00CC6307">
        <w:rPr>
          <w:rtl/>
        </w:rPr>
        <w:t xml:space="preserve">על </w:t>
      </w:r>
      <w:r w:rsidRPr="00FC2937" w:rsidR="00CC6307">
        <w:rPr>
          <w:rFonts w:hint="cs"/>
          <w:rtl/>
        </w:rPr>
        <w:t>ה</w:t>
      </w:r>
      <w:r w:rsidRPr="00FC2937" w:rsidR="00CC6307">
        <w:rPr>
          <w:rtl/>
        </w:rPr>
        <w:t xml:space="preserve">עיריות </w:t>
      </w:r>
      <w:r w:rsidRPr="00EB2A24" w:rsidR="00CC6307">
        <w:rPr>
          <w:b/>
          <w:bCs/>
          <w:rtl/>
        </w:rPr>
        <w:t>טבריה</w:t>
      </w:r>
      <w:r w:rsidRPr="00FC2937" w:rsidR="00CC6307">
        <w:rPr>
          <w:rtl/>
        </w:rPr>
        <w:t xml:space="preserve"> ו</w:t>
      </w:r>
      <w:r w:rsidRPr="00EB2A24" w:rsidR="00CC6307">
        <w:rPr>
          <w:b/>
          <w:bCs/>
          <w:rtl/>
        </w:rPr>
        <w:t>כרמיאל</w:t>
      </w:r>
      <w:r w:rsidRPr="00FC2937" w:rsidR="00CC6307">
        <w:rPr>
          <w:rtl/>
        </w:rPr>
        <w:t xml:space="preserve"> לגבות אגרות שילוט מקבלני שילוט </w:t>
      </w:r>
      <w:r w:rsidRPr="00FC2937" w:rsidR="00CC6307">
        <w:rPr>
          <w:rFonts w:hint="cs"/>
          <w:rtl/>
        </w:rPr>
        <w:t>ומ</w:t>
      </w:r>
      <w:r w:rsidRPr="00FC2937" w:rsidR="00CC6307">
        <w:rPr>
          <w:rtl/>
        </w:rPr>
        <w:t xml:space="preserve">בעלי השלטים </w:t>
      </w:r>
      <w:r w:rsidRPr="00FC2937" w:rsidR="00CC6307">
        <w:rPr>
          <w:rFonts w:hint="cs"/>
          <w:rtl/>
        </w:rPr>
        <w:t>שבתחום שיפוטן.</w:t>
      </w:r>
      <w:r w:rsidRPr="00FC2937" w:rsidR="00CC6307">
        <w:rPr>
          <w:rtl/>
        </w:rPr>
        <w:t xml:space="preserve"> </w:t>
      </w:r>
      <w:r w:rsidRPr="00FC2937" w:rsidR="00CC6307">
        <w:rPr>
          <w:rFonts w:hint="cs"/>
          <w:rtl/>
        </w:rPr>
        <w:t>כמו</w:t>
      </w:r>
      <w:r w:rsidRPr="00FC2937" w:rsidR="00CC6307">
        <w:rPr>
          <w:rtl/>
        </w:rPr>
        <w:t xml:space="preserve"> </w:t>
      </w:r>
      <w:r w:rsidRPr="00FC2937" w:rsidR="00CC6307">
        <w:rPr>
          <w:rFonts w:hint="cs"/>
          <w:rtl/>
        </w:rPr>
        <w:t xml:space="preserve">כן </w:t>
      </w:r>
      <w:r w:rsidRPr="00FC2937" w:rsidR="00CC6307">
        <w:rPr>
          <w:rtl/>
        </w:rPr>
        <w:t>עליהן לגבות דמי שימוש מקבלני פרסום עבור שימוש במתקני הפרסום שלהן.</w:t>
      </w:r>
      <w:r w:rsidRPr="00FC2937" w:rsidR="00CC6307">
        <w:rPr>
          <w:rFonts w:hint="cs"/>
          <w:rtl/>
        </w:rPr>
        <w:t xml:space="preserve"> </w:t>
      </w:r>
      <w:r w:rsidRPr="00FC2937" w:rsidR="00CC6307">
        <w:rPr>
          <w:rtl/>
        </w:rPr>
        <w:t xml:space="preserve">על עיריית </w:t>
      </w:r>
      <w:r w:rsidRPr="00EB2A24" w:rsidR="00CC6307">
        <w:rPr>
          <w:b/>
          <w:bCs/>
          <w:rtl/>
        </w:rPr>
        <w:t>סח'נין</w:t>
      </w:r>
      <w:r w:rsidRPr="00FC2937" w:rsidR="00CC6307">
        <w:rPr>
          <w:rtl/>
        </w:rPr>
        <w:t xml:space="preserve"> </w:t>
      </w:r>
      <w:r w:rsidRPr="00FC2937" w:rsidR="00CC6307">
        <w:rPr>
          <w:rFonts w:hint="eastAsia"/>
          <w:rtl/>
        </w:rPr>
        <w:t>ו</w:t>
      </w:r>
      <w:r w:rsidRPr="00FC2937" w:rsidR="00CC6307">
        <w:rPr>
          <w:rFonts w:hint="cs"/>
          <w:rtl/>
        </w:rPr>
        <w:t>ה</w:t>
      </w:r>
      <w:r w:rsidRPr="00FC2937" w:rsidR="00CC6307">
        <w:rPr>
          <w:rtl/>
        </w:rPr>
        <w:t xml:space="preserve">מועצה </w:t>
      </w:r>
      <w:r w:rsidRPr="00FC2937" w:rsidR="00CC6307">
        <w:rPr>
          <w:rFonts w:hint="cs"/>
          <w:rtl/>
        </w:rPr>
        <w:t>ה</w:t>
      </w:r>
      <w:r w:rsidRPr="00FC2937" w:rsidR="00CC6307">
        <w:rPr>
          <w:rtl/>
        </w:rPr>
        <w:t xml:space="preserve">מקומית </w:t>
      </w:r>
      <w:r w:rsidRPr="00EB2A24" w:rsidR="00CC6307">
        <w:rPr>
          <w:b/>
          <w:bCs/>
          <w:rtl/>
        </w:rPr>
        <w:t>ירכא</w:t>
      </w:r>
      <w:r w:rsidRPr="00FC2937" w:rsidR="00CC6307">
        <w:rPr>
          <w:rtl/>
        </w:rPr>
        <w:t xml:space="preserve"> להמשיך לגבות אגרת שילוט מ</w:t>
      </w:r>
      <w:r w:rsidRPr="00FC2937" w:rsidR="00CC6307">
        <w:rPr>
          <w:rFonts w:hint="eastAsia"/>
          <w:rtl/>
        </w:rPr>
        <w:t>כ</w:t>
      </w:r>
      <w:r w:rsidRPr="00FC2937" w:rsidR="00CC6307">
        <w:rPr>
          <w:rtl/>
        </w:rPr>
        <w:t xml:space="preserve">ל </w:t>
      </w:r>
      <w:r w:rsidRPr="00FC2937" w:rsidR="00CC6307">
        <w:rPr>
          <w:rFonts w:hint="eastAsia"/>
          <w:rtl/>
        </w:rPr>
        <w:t>בעלי</w:t>
      </w:r>
      <w:r w:rsidRPr="00FC2937" w:rsidR="00CC6307">
        <w:rPr>
          <w:rtl/>
        </w:rPr>
        <w:t xml:space="preserve"> </w:t>
      </w:r>
      <w:r w:rsidRPr="00FC2937" w:rsidR="00CC6307">
        <w:rPr>
          <w:rFonts w:hint="eastAsia"/>
          <w:rtl/>
        </w:rPr>
        <w:t>ה</w:t>
      </w:r>
      <w:r w:rsidRPr="00FC2937" w:rsidR="00CC6307">
        <w:rPr>
          <w:rtl/>
        </w:rPr>
        <w:t xml:space="preserve">עסקים </w:t>
      </w:r>
      <w:r w:rsidRPr="00FC2937" w:rsidR="00CC6307">
        <w:rPr>
          <w:rFonts w:hint="cs"/>
          <w:rtl/>
        </w:rPr>
        <w:t>שבתחום שיפוטן</w:t>
      </w:r>
      <w:r w:rsidRPr="00FC2937" w:rsidR="00CC6307">
        <w:rPr>
          <w:rtl/>
        </w:rPr>
        <w:t xml:space="preserve">. על </w:t>
      </w:r>
      <w:r w:rsidRPr="00FC2937" w:rsidR="00CC6307">
        <w:rPr>
          <w:rFonts w:hint="cs"/>
          <w:rtl/>
        </w:rPr>
        <w:t>ה</w:t>
      </w:r>
      <w:r w:rsidRPr="00FC2937" w:rsidR="00CC6307">
        <w:rPr>
          <w:rtl/>
        </w:rPr>
        <w:t xml:space="preserve">מועצה </w:t>
      </w:r>
      <w:r w:rsidRPr="00FC2937" w:rsidR="00CC6307">
        <w:rPr>
          <w:rFonts w:hint="cs"/>
          <w:rtl/>
        </w:rPr>
        <w:t>ה</w:t>
      </w:r>
      <w:r w:rsidRPr="00FC2937" w:rsidR="00CC6307">
        <w:rPr>
          <w:rtl/>
        </w:rPr>
        <w:t xml:space="preserve">מקומית </w:t>
      </w:r>
      <w:r w:rsidRPr="00EB2A24" w:rsidR="00CC6307">
        <w:rPr>
          <w:b/>
          <w:bCs/>
          <w:rtl/>
        </w:rPr>
        <w:t>כפר</w:t>
      </w:r>
      <w:r w:rsidRPr="00FC2937" w:rsidR="00CC6307">
        <w:rPr>
          <w:rtl/>
        </w:rPr>
        <w:t xml:space="preserve"> </w:t>
      </w:r>
      <w:r w:rsidRPr="00EB2A24" w:rsidR="00CC6307">
        <w:rPr>
          <w:b/>
          <w:bCs/>
          <w:rtl/>
        </w:rPr>
        <w:t>י</w:t>
      </w:r>
      <w:r w:rsidRPr="00EB2A24" w:rsidR="00CC6307">
        <w:rPr>
          <w:rFonts w:hint="eastAsia"/>
          <w:b/>
          <w:bCs/>
          <w:rtl/>
        </w:rPr>
        <w:t>א</w:t>
      </w:r>
      <w:r w:rsidRPr="00EB2A24" w:rsidR="00CC6307">
        <w:rPr>
          <w:b/>
          <w:bCs/>
          <w:rtl/>
        </w:rPr>
        <w:t>סיף</w:t>
      </w:r>
      <w:r w:rsidRPr="00FC2937" w:rsidR="00CC6307">
        <w:rPr>
          <w:rtl/>
        </w:rPr>
        <w:t xml:space="preserve"> </w:t>
      </w:r>
      <w:r w:rsidRPr="00FC2937" w:rsidR="00CC6307">
        <w:rPr>
          <w:rFonts w:hint="cs"/>
          <w:rtl/>
        </w:rPr>
        <w:t>לבצע</w:t>
      </w:r>
      <w:r w:rsidRPr="00FC2937" w:rsidR="00CC6307">
        <w:rPr>
          <w:rtl/>
        </w:rPr>
        <w:t xml:space="preserve"> סקר שילוט ול</w:t>
      </w:r>
      <w:r w:rsidRPr="00FC2937" w:rsidR="00CC6307">
        <w:rPr>
          <w:rFonts w:hint="eastAsia"/>
          <w:rtl/>
        </w:rPr>
        <w:t>חייב</w:t>
      </w:r>
      <w:r w:rsidRPr="00FC2937" w:rsidR="00CC6307">
        <w:rPr>
          <w:rtl/>
        </w:rPr>
        <w:t xml:space="preserve"> </w:t>
      </w:r>
      <w:r w:rsidRPr="00FC2937" w:rsidR="00CC6307">
        <w:rPr>
          <w:rFonts w:hint="eastAsia"/>
          <w:rtl/>
        </w:rPr>
        <w:t>את</w:t>
      </w:r>
      <w:r w:rsidRPr="00FC2937" w:rsidR="00CC6307">
        <w:rPr>
          <w:rtl/>
        </w:rPr>
        <w:t xml:space="preserve"> </w:t>
      </w:r>
      <w:r w:rsidRPr="00FC2937" w:rsidR="00CC6307">
        <w:rPr>
          <w:rFonts w:hint="eastAsia"/>
          <w:rtl/>
        </w:rPr>
        <w:t>בעלי</w:t>
      </w:r>
      <w:r w:rsidRPr="00FC2937" w:rsidR="00CC6307">
        <w:rPr>
          <w:rtl/>
        </w:rPr>
        <w:t xml:space="preserve"> </w:t>
      </w:r>
      <w:r w:rsidRPr="00FC2937" w:rsidR="00CC6307">
        <w:rPr>
          <w:rFonts w:hint="eastAsia"/>
          <w:rtl/>
        </w:rPr>
        <w:t>העסקים</w:t>
      </w:r>
      <w:r w:rsidRPr="00FC2937" w:rsidR="00CC6307">
        <w:rPr>
          <w:rtl/>
        </w:rPr>
        <w:t xml:space="preserve"> </w:t>
      </w:r>
      <w:r w:rsidRPr="00FC2937" w:rsidR="00CC6307">
        <w:rPr>
          <w:rFonts w:hint="cs"/>
          <w:rtl/>
        </w:rPr>
        <w:t>שבתחום שיפוטה</w:t>
      </w:r>
      <w:r w:rsidRPr="00FC2937" w:rsidR="00CC6307">
        <w:rPr>
          <w:rtl/>
        </w:rPr>
        <w:t xml:space="preserve"> </w:t>
      </w:r>
      <w:r w:rsidRPr="00FC2937" w:rsidR="00CC6307">
        <w:rPr>
          <w:rFonts w:hint="eastAsia"/>
          <w:rtl/>
        </w:rPr>
        <w:t>ב</w:t>
      </w:r>
      <w:r w:rsidRPr="00FC2937" w:rsidR="00CC6307">
        <w:rPr>
          <w:rtl/>
        </w:rPr>
        <w:t>אגרת שילוט כמתחייב מחוק העזר שלה</w:t>
      </w:r>
      <w:r w:rsidRPr="008E57FE">
        <w:rPr>
          <w:rFonts w:hint="cs"/>
          <w:rtl/>
        </w:rPr>
        <w:t>.</w:t>
      </w:r>
    </w:p>
    <w:p w:rsidR="008E69D9" w14:paraId="1A6BFB75" w14:textId="77777777">
      <w:pPr>
        <w:bidi w:val="0"/>
        <w:spacing w:after="200" w:line="276" w:lineRule="auto"/>
        <w:rPr>
          <w:rStyle w:val="7372"/>
          <w:rtl/>
        </w:rPr>
      </w:pPr>
      <w:r>
        <w:rPr>
          <w:rStyle w:val="7372"/>
          <w:rtl/>
        </w:rPr>
        <w:br w:type="page"/>
      </w:r>
    </w:p>
    <w:p w:rsidR="005D0F8C" w:rsidP="00EB672B" w14:paraId="6DC28C4F" w14:textId="518E2A6B">
      <w:pPr>
        <w:pStyle w:val="7317"/>
        <w:rPr>
          <w:rtl/>
        </w:rPr>
      </w:pPr>
      <w:r w:rsidRPr="00D527BD">
        <w:rPr>
          <w:noProof/>
          <w:szCs w:val="20"/>
          <w:rtl/>
        </w:rPr>
        <w:drawing>
          <wp:anchor distT="0" distB="0" distL="114300" distR="114300" simplePos="0" relativeHeight="251677696"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sidRPr="00D527BD" w:rsidR="004E71DD">
        <w:rPr>
          <w:noProof/>
          <w:szCs w:val="20"/>
          <w:rtl/>
        </w:rPr>
        <mc:AlternateContent>
          <mc:Choice Requires="wps">
            <w:drawing>
              <wp:anchor distT="0" distB="0" distL="114300" distR="114300" simplePos="0" relativeHeight="251678720" behindDoc="0" locked="0" layoutInCell="1" allowOverlap="1">
                <wp:simplePos x="0" y="0"/>
                <wp:positionH relativeFrom="column">
                  <wp:posOffset>86976</wp:posOffset>
                </wp:positionH>
                <wp:positionV relativeFrom="paragraph">
                  <wp:posOffset>44978</wp:posOffset>
                </wp:positionV>
                <wp:extent cx="4436745" cy="435128"/>
                <wp:effectExtent l="0" t="0" r="0" b="254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rsidR="005D0F8C" w:rsidRPr="005C7ABF" w:rsidP="00524400" w14:textId="091E1D7B">
                            <w:pPr>
                              <w:pStyle w:val="7332"/>
                              <w:rPr>
                                <w:rtl/>
                              </w:rPr>
                            </w:pPr>
                            <w:r w:rsidRPr="008E69D9">
                              <w:rPr>
                                <w:rtl/>
                              </w:rPr>
                              <w:t>מספר הרשויות המקומיות שלא התקינו חוקי עזר בנושא מודעות ושילוט,  לפי מחוזות, נכון לספטמבר 2022</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3.55pt;margin-left:6.85pt;mso-height-percent:0;mso-height-relative:margin;mso-width-percent:0;mso-width-relative:margin;mso-wrap-distance-bottom:0;mso-wrap-distance-left:9pt;mso-wrap-distance-right:9pt;mso-wrap-distance-top:0;mso-wrap-style:square;position:absolute;visibility:visible;v-text-anchor:middle;z-index:251679744" fillcolor="#f05260" stroked="f">
                <v:textbox>
                  <w:txbxContent>
                    <w:p w:rsidR="005D0F8C" w:rsidRPr="005C7ABF" w:rsidP="00524400" w14:paraId="1D5D7976" w14:textId="091E1D7B">
                      <w:pPr>
                        <w:pStyle w:val="7332"/>
                        <w:rPr>
                          <w:rtl/>
                        </w:rPr>
                      </w:pPr>
                      <w:r w:rsidRPr="008E69D9">
                        <w:rPr>
                          <w:rtl/>
                        </w:rPr>
                        <w:t>מספר הרשויות המקומיות שלא התקינו חוקי עזר בנושא מודעות ושילוט,  לפי מחוזות, נכון לספטמבר 2022</w:t>
                      </w:r>
                    </w:p>
                  </w:txbxContent>
                </v:textbox>
              </v:shape>
            </w:pict>
          </mc:Fallback>
        </mc:AlternateContent>
      </w:r>
      <w:r>
        <w:rPr>
          <w:rtl/>
        </w:rPr>
        <w:t xml:space="preserve"> </w:t>
      </w:r>
    </w:p>
    <w:p w:rsidR="005D0F8C" w:rsidP="005D0F8C" w14:paraId="5B8DB107" w14:textId="20FFFE4E">
      <w:pPr>
        <w:pStyle w:val="7317"/>
        <w:rPr>
          <w:rtl/>
        </w:rPr>
      </w:pPr>
    </w:p>
    <w:p w:rsidR="005D0F8C" w:rsidRPr="00D57BE9" w:rsidP="00D57BE9" w14:paraId="65CD3CF9" w14:textId="09F08590">
      <w:pPr>
        <w:rPr>
          <w:rtl/>
        </w:rPr>
      </w:pPr>
    </w:p>
    <w:p w:rsidR="00D57BE9" w:rsidRPr="00D57BE9" w:rsidP="00D57BE9" w14:paraId="29744092" w14:textId="06EF01F3">
      <w:pPr>
        <w:rPr>
          <w:rtl/>
        </w:rPr>
      </w:pPr>
      <w:r>
        <w:rPr>
          <w:noProof/>
          <w:rtl/>
          <w:lang w:val="he-IL"/>
        </w:rPr>
        <w:drawing>
          <wp:inline distT="0" distB="0" distL="0" distR="0">
            <wp:extent cx="4646651" cy="4043680"/>
            <wp:effectExtent l="0" t="0" r="0" b="0"/>
            <wp:docPr id="25259201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4660469" cy="4055705"/>
                    </a:xfrm>
                    <a:prstGeom prst="rect">
                      <a:avLst/>
                    </a:prstGeom>
                  </pic:spPr>
                </pic:pic>
              </a:graphicData>
            </a:graphic>
          </wp:inline>
        </w:drawing>
      </w:r>
    </w:p>
    <w:p w:rsidR="00362505" w:rsidP="00D57BE9" w14:paraId="0DA8F7B9" w14:textId="631C1E63">
      <w:pPr>
        <w:pStyle w:val="738"/>
        <w:rPr>
          <w:rtl/>
        </w:rPr>
      </w:pPr>
      <w:r w:rsidRPr="004D342F">
        <w:rPr>
          <w:rFonts w:eastAsia="Calibri" w:hint="cs"/>
          <w:rtl/>
        </w:rPr>
        <w:t>על פי נתוני משרד הפנים, בעיבוד משרד מבקר המדינה</w:t>
      </w:r>
      <w:r w:rsidRPr="00D57BE9" w:rsidR="005D0F8C">
        <w:rPr>
          <w:rFonts w:hint="cs"/>
          <w:rtl/>
        </w:rPr>
        <w:t>.</w:t>
      </w:r>
    </w:p>
    <w:p w:rsidR="008E69D9" w:rsidP="008E69D9" w14:paraId="7C53659D" w14:textId="77777777">
      <w:pPr>
        <w:pStyle w:val="73"/>
        <w:rPr>
          <w:rtl/>
        </w:rPr>
      </w:pPr>
      <w:r w:rsidRPr="00EF3061">
        <w:rPr>
          <w:rFonts w:hint="cs"/>
          <w:rtl/>
        </w:rPr>
        <w:t>סיכום</w:t>
      </w:r>
    </w:p>
    <w:p w:rsidR="008E69D9" w:rsidRPr="008919A7" w:rsidP="008E69D9" w14:paraId="19BAD6B5" w14:textId="77777777">
      <w:pPr>
        <w:widowControl w:val="0"/>
        <w:tabs>
          <w:tab w:val="left" w:pos="9604"/>
        </w:tabs>
        <w:spacing w:before="240" w:line="276" w:lineRule="auto"/>
        <w:ind w:left="-1"/>
        <w:rPr>
          <w:rFonts w:ascii="Tahoma" w:hAnsi="Tahoma" w:cs="Tahoma"/>
          <w:sz w:val="18"/>
          <w:szCs w:val="18"/>
          <w:rtl/>
        </w:rPr>
      </w:pPr>
      <w:r w:rsidRPr="008919A7">
        <w:rPr>
          <w:rFonts w:ascii="Tahoma" w:hAnsi="Tahoma" w:cs="Tahoma" w:hint="cs"/>
          <w:sz w:val="18"/>
          <w:szCs w:val="18"/>
          <w:rtl/>
        </w:rPr>
        <w:t>מטרת התקנתם של חוקי עזר לשילוט היא לאפשר לרשויות המקומיות לפקח על הצבת שלטים ומתקני פרסום כדי לשמור על חזות נאה ואסתטית של היישוב וכדי לקיים את האיזון הראוי בין שמירה על איכות הסביבה ובין שיקולים כלכליים של מפרסמים ובעלי עסקים המבקשים להעביר מסרים מסחריים לעוברים ושבים בתחום הרשות המקומית. לכן על פי חוקי העזר על הרשויות המקומיות לקבוע אמות מידה בנוגע למקום השלטים, לאופן הצבתם, לצורתם, למידותיהם, לצבעם ולסוג החומר שממנו הם עשויים, וזאת כדי למנוע חוסר סדר, דבר שעלול לכער את פני היישוב ולפגוע בסביבתו, ברווחת התושבים והמבקרים בו ובאיכות חייהם.</w:t>
      </w:r>
    </w:p>
    <w:p w:rsidR="008E69D9" w:rsidP="008E69D9" w14:paraId="6DD7C940" w14:textId="2FCBA7DC">
      <w:pPr>
        <w:widowControl w:val="0"/>
        <w:tabs>
          <w:tab w:val="left" w:pos="9604"/>
        </w:tabs>
        <w:spacing w:before="240" w:line="276" w:lineRule="auto"/>
        <w:ind w:left="-1"/>
        <w:rPr>
          <w:rFonts w:ascii="Tahoma" w:hAnsi="Tahoma" w:cs="Tahoma"/>
          <w:sz w:val="18"/>
          <w:szCs w:val="18"/>
          <w:rtl/>
        </w:rPr>
      </w:pPr>
      <w:r w:rsidRPr="008919A7">
        <w:rPr>
          <w:rFonts w:ascii="Tahoma" w:hAnsi="Tahoma" w:cs="Tahoma" w:hint="cs"/>
          <w:sz w:val="18"/>
          <w:szCs w:val="18"/>
          <w:rtl/>
        </w:rPr>
        <w:t xml:space="preserve">ביקורת המעקב העלתה כי חמש הרשויות המקומיות שנבדקו - </w:t>
      </w:r>
      <w:r w:rsidRPr="00EB2A24">
        <w:rPr>
          <w:rFonts w:ascii="Tahoma" w:hAnsi="Tahoma" w:cs="Tahoma" w:hint="cs"/>
          <w:b/>
          <w:bCs/>
          <w:color w:val="0D0D0D" w:themeColor="text1" w:themeTint="F2"/>
          <w:sz w:val="18"/>
          <w:szCs w:val="18"/>
          <w:rtl/>
        </w:rPr>
        <w:t>טבריה</w:t>
      </w:r>
      <w:r w:rsidRPr="008919A7">
        <w:rPr>
          <w:rFonts w:ascii="Tahoma" w:hAnsi="Tahoma" w:cs="Tahoma" w:hint="cs"/>
          <w:sz w:val="18"/>
          <w:szCs w:val="18"/>
          <w:rtl/>
        </w:rPr>
        <w:t xml:space="preserve">, </w:t>
      </w:r>
      <w:r w:rsidRPr="00EB2A24">
        <w:rPr>
          <w:rFonts w:ascii="Tahoma" w:hAnsi="Tahoma" w:cs="Tahoma" w:hint="cs"/>
          <w:b/>
          <w:bCs/>
          <w:color w:val="0D0D0D" w:themeColor="text1" w:themeTint="F2"/>
          <w:sz w:val="18"/>
          <w:szCs w:val="18"/>
          <w:rtl/>
        </w:rPr>
        <w:t>ירכא</w:t>
      </w:r>
      <w:r w:rsidRPr="008919A7">
        <w:rPr>
          <w:rFonts w:ascii="Tahoma" w:hAnsi="Tahoma" w:cs="Tahoma" w:hint="cs"/>
          <w:sz w:val="18"/>
          <w:szCs w:val="18"/>
          <w:rtl/>
        </w:rPr>
        <w:t xml:space="preserve">, </w:t>
      </w:r>
      <w:r w:rsidRPr="00EB2A24">
        <w:rPr>
          <w:rFonts w:ascii="Tahoma" w:hAnsi="Tahoma" w:cs="Tahoma" w:hint="cs"/>
          <w:b/>
          <w:bCs/>
          <w:color w:val="0D0D0D" w:themeColor="text1" w:themeTint="F2"/>
          <w:sz w:val="18"/>
          <w:szCs w:val="18"/>
          <w:rtl/>
        </w:rPr>
        <w:t>כפר</w:t>
      </w:r>
      <w:r w:rsidRPr="008919A7">
        <w:rPr>
          <w:rFonts w:ascii="Tahoma" w:hAnsi="Tahoma" w:cs="Tahoma" w:hint="cs"/>
          <w:sz w:val="18"/>
          <w:szCs w:val="18"/>
          <w:rtl/>
        </w:rPr>
        <w:t xml:space="preserve"> </w:t>
      </w:r>
      <w:r w:rsidRPr="00EB2A24">
        <w:rPr>
          <w:rFonts w:ascii="Tahoma" w:hAnsi="Tahoma" w:cs="Tahoma" w:hint="cs"/>
          <w:b/>
          <w:bCs/>
          <w:color w:val="0D0D0D" w:themeColor="text1" w:themeTint="F2"/>
          <w:sz w:val="18"/>
          <w:szCs w:val="18"/>
          <w:rtl/>
        </w:rPr>
        <w:t>יאסיף</w:t>
      </w:r>
      <w:r w:rsidRPr="008919A7">
        <w:rPr>
          <w:rFonts w:ascii="Tahoma" w:hAnsi="Tahoma" w:cs="Tahoma" w:hint="cs"/>
          <w:sz w:val="18"/>
          <w:szCs w:val="18"/>
          <w:rtl/>
        </w:rPr>
        <w:t xml:space="preserve">, </w:t>
      </w:r>
      <w:r w:rsidRPr="00EB2A24">
        <w:rPr>
          <w:rFonts w:ascii="Tahoma" w:hAnsi="Tahoma" w:cs="Tahoma" w:hint="cs"/>
          <w:b/>
          <w:bCs/>
          <w:color w:val="0D0D0D" w:themeColor="text1" w:themeTint="F2"/>
          <w:sz w:val="18"/>
          <w:szCs w:val="18"/>
          <w:rtl/>
        </w:rPr>
        <w:t>כרמיאל</w:t>
      </w:r>
      <w:r w:rsidRPr="008919A7">
        <w:rPr>
          <w:rFonts w:ascii="Tahoma" w:hAnsi="Tahoma" w:cs="Tahoma" w:hint="cs"/>
          <w:sz w:val="18"/>
          <w:szCs w:val="18"/>
          <w:rtl/>
        </w:rPr>
        <w:t xml:space="preserve"> </w:t>
      </w:r>
      <w:r w:rsidRPr="008919A7">
        <w:rPr>
          <w:rFonts w:ascii="Tahoma" w:hAnsi="Tahoma" w:cs="Tahoma" w:hint="cs"/>
          <w:sz w:val="18"/>
          <w:szCs w:val="18"/>
          <w:rtl/>
        </w:rPr>
        <w:t>ו</w:t>
      </w:r>
      <w:r w:rsidRPr="00EB2A24">
        <w:rPr>
          <w:rFonts w:ascii="Tahoma" w:hAnsi="Tahoma" w:cs="Tahoma" w:hint="cs"/>
          <w:b/>
          <w:bCs/>
          <w:color w:val="0D0D0D" w:themeColor="text1" w:themeTint="F2"/>
          <w:sz w:val="18"/>
          <w:szCs w:val="18"/>
          <w:rtl/>
        </w:rPr>
        <w:t>סח'נין</w:t>
      </w:r>
      <w:r w:rsidRPr="008919A7">
        <w:rPr>
          <w:rFonts w:ascii="Tahoma" w:hAnsi="Tahoma" w:cs="Tahoma" w:hint="cs"/>
          <w:sz w:val="18"/>
          <w:szCs w:val="18"/>
          <w:rtl/>
        </w:rPr>
        <w:t xml:space="preserve"> - </w:t>
      </w:r>
      <w:r w:rsidRPr="008919A7">
        <w:rPr>
          <w:rFonts w:ascii="Tahoma" w:hAnsi="Tahoma" w:cs="Tahoma" w:hint="eastAsia"/>
          <w:sz w:val="18"/>
          <w:szCs w:val="18"/>
          <w:rtl/>
        </w:rPr>
        <w:t>לא</w:t>
      </w:r>
      <w:r w:rsidRPr="008919A7">
        <w:rPr>
          <w:rFonts w:ascii="Tahoma" w:hAnsi="Tahoma" w:cs="Tahoma"/>
          <w:sz w:val="18"/>
          <w:szCs w:val="18"/>
          <w:rtl/>
        </w:rPr>
        <w:t xml:space="preserve"> </w:t>
      </w:r>
      <w:r w:rsidRPr="008919A7">
        <w:rPr>
          <w:rFonts w:ascii="Tahoma" w:hAnsi="Tahoma" w:cs="Tahoma" w:hint="eastAsia"/>
          <w:sz w:val="18"/>
          <w:szCs w:val="18"/>
          <w:rtl/>
        </w:rPr>
        <w:t>תיקנו</w:t>
      </w:r>
      <w:r w:rsidRPr="008919A7">
        <w:rPr>
          <w:rFonts w:ascii="Tahoma" w:hAnsi="Tahoma" w:cs="Tahoma" w:hint="cs"/>
          <w:sz w:val="18"/>
          <w:szCs w:val="18"/>
          <w:rtl/>
        </w:rPr>
        <w:t xml:space="preserve"> את רוב הליקויים שהועלו בדוח הקודם. לנוכח זאת, על רשויות אלה לתת את דעתן על הליקויים שהועלו בדוח המעקב ולפעול לתיקונם לאלתר. מומלץ כי משרד הפנים ישקול לכלול את נושא הטיפול בתחום השילוט בתוכנית הביקורת של רואי החשבון שמבצעים ביקורת מטעמו ברשויות המקומיות</w:t>
      </w:r>
      <w:r>
        <w:rPr>
          <w:rFonts w:ascii="Tahoma" w:hAnsi="Tahoma" w:cs="Tahoma" w:hint="cs"/>
          <w:sz w:val="18"/>
          <w:szCs w:val="18"/>
          <w:rtl/>
        </w:rPr>
        <w:t>.</w:t>
      </w:r>
    </w:p>
    <w:p w:rsidR="008E69D9" w:rsidP="00662020" w14:paraId="1DBEC3D0" w14:textId="77777777">
      <w:pPr>
        <w:pStyle w:val="738"/>
        <w:spacing w:before="0" w:after="0"/>
        <w:rPr>
          <w:rtl/>
        </w:rPr>
      </w:pPr>
    </w:p>
    <w:p w:rsidR="000B31AA" w:rsidRPr="000B31AA" w:rsidP="00662020" w14:paraId="1001632A" w14:textId="0BACDC46">
      <w:pPr>
        <w:pStyle w:val="738"/>
        <w:spacing w:before="0" w:after="0"/>
        <w:rPr>
          <w:rtl/>
        </w:rPr>
      </w:pPr>
      <w:r w:rsidRPr="00DC1D24">
        <w:rPr>
          <w:noProof/>
          <w:rtl/>
        </w:rPr>
        <mc:AlternateContent>
          <mc:Choice Requires="wpg">
            <w:drawing>
              <wp:anchor distT="0" distB="0" distL="114300" distR="114300" simplePos="0" relativeHeight="251680768" behindDoc="0" locked="0" layoutInCell="1" allowOverlap="1">
                <wp:simplePos x="0" y="0"/>
                <wp:positionH relativeFrom="margin">
                  <wp:posOffset>-106680</wp:posOffset>
                </wp:positionH>
                <wp:positionV relativeFrom="paragraph">
                  <wp:posOffset>634</wp:posOffset>
                </wp:positionV>
                <wp:extent cx="4787900" cy="767080"/>
                <wp:effectExtent l="0" t="0" r="0" b="0"/>
                <wp:wrapSquare wrapText="bothSides"/>
                <wp:docPr id="1113575890" name="Group 20527709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xmlns:wps="http://schemas.microsoft.com/office/word/2010/wordprocessingShape">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rsidR="000B31AA" w:rsidRPr="00524400" w:rsidP="00524400" w14:textId="4ED6E2D4">
                              <w:pPr>
                                <w:pStyle w:val="7332"/>
                              </w:pPr>
                              <w:r w:rsidRPr="00C035DE">
                                <w:rPr>
                                  <w:rtl/>
                                </w:rPr>
                                <w:t>מידת תיקון עיקרי הליקויים שעלו בדוח הקודם</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Group 2052770959" o:spid="_x0000_s1035" alt="&quot;&quot;" style="width:377pt;height:60.4pt;margin-top:0.05pt;margin-left:-8.4pt;mso-height-relative:margin;mso-position-horizontal-relative:margin;mso-width-relative:margin;position:absolute;z-index:251681792" coordorigin="0,1815" coordsize="47879,6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6" type="#_x0000_t75" style="width:47879;height:6148;mso-wrap-style:square;position:absolute;top:1815;visibility:visible">
                  <v:imagedata r:id="rId27" o:title=""/>
                </v:shape>
                <v:shape id="_x0000_s1037" type="#_x0000_t202" style="width:44284;height:3476;left:2028;mso-wrap-style:square;position:absolute;top:2665;visibility:visible;v-text-anchor:middle" fillcolor="#f05260" stroked="f">
                  <v:textbox>
                    <w:txbxContent>
                      <w:p w:rsidR="000B31AA" w:rsidRPr="00524400" w:rsidP="00524400" w14:paraId="64B50804" w14:textId="4ED6E2D4">
                        <w:pPr>
                          <w:pStyle w:val="7332"/>
                        </w:pPr>
                        <w:r w:rsidRPr="00C035DE">
                          <w:rPr>
                            <w:rtl/>
                          </w:rPr>
                          <w:t>מידת תיקון עיקרי הליקויים שעלו בדוח הקודם</w:t>
                        </w:r>
                      </w:p>
                    </w:txbxContent>
                  </v:textbox>
                </v:shape>
                <w10:wrap type="square"/>
              </v:group>
            </w:pict>
          </mc:Fallback>
        </mc:AlternateContent>
      </w:r>
    </w:p>
    <w:tbl>
      <w:tblPr>
        <w:tblStyle w:val="TableGrid"/>
        <w:bidiVisual/>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tblPr>
      <w:tblGrid>
        <w:gridCol w:w="1474"/>
        <w:gridCol w:w="998"/>
        <w:gridCol w:w="1984"/>
        <w:gridCol w:w="584"/>
        <w:gridCol w:w="758"/>
        <w:gridCol w:w="733"/>
        <w:gridCol w:w="685"/>
      </w:tblGrid>
      <w:tr w14:paraId="6C5BC994" w14:textId="77777777">
        <w:tblPrEx>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tblPrEx>
        <w:trPr>
          <w:tblHeader/>
        </w:trPr>
        <w:tc>
          <w:tcPr>
            <w:tcW w:w="1474" w:type="dxa"/>
            <w:vMerge w:val="restart"/>
            <w:shd w:val="clear" w:color="auto" w:fill="C8DCE4"/>
            <w:vAlign w:val="bottom"/>
          </w:tcPr>
          <w:p w:rsidR="00F6117F" w14:paraId="76B971AE" w14:textId="77777777">
            <w:pPr>
              <w:pStyle w:val="73R"/>
            </w:pPr>
            <w:r w:rsidRPr="007E204E">
              <w:rPr>
                <w:b/>
                <w:bCs/>
                <w:rtl/>
              </w:rPr>
              <w:t>פרק הביקורת</w:t>
            </w:r>
          </w:p>
        </w:tc>
        <w:tc>
          <w:tcPr>
            <w:tcW w:w="998" w:type="dxa"/>
            <w:vMerge w:val="restart"/>
            <w:shd w:val="clear" w:color="auto" w:fill="C8DCE4"/>
            <w:vAlign w:val="bottom"/>
          </w:tcPr>
          <w:p w:rsidR="00F6117F" w14:paraId="434B2954" w14:textId="77777777">
            <w:pPr>
              <w:pStyle w:val="73R"/>
              <w:rPr>
                <w:rtl/>
              </w:rPr>
            </w:pPr>
            <w:r w:rsidRPr="007E204E">
              <w:rPr>
                <w:rFonts w:hint="cs"/>
                <w:b/>
                <w:bCs/>
                <w:rtl/>
              </w:rPr>
              <w:t>הגוף המבוקר</w:t>
            </w:r>
          </w:p>
        </w:tc>
        <w:tc>
          <w:tcPr>
            <w:tcW w:w="1984" w:type="dxa"/>
            <w:vMerge w:val="restart"/>
            <w:shd w:val="clear" w:color="auto" w:fill="C8DCE4"/>
            <w:vAlign w:val="bottom"/>
          </w:tcPr>
          <w:p w:rsidR="00F6117F" w14:paraId="357D64F1" w14:textId="77777777">
            <w:pPr>
              <w:pStyle w:val="73R"/>
              <w:rPr>
                <w:rtl/>
              </w:rPr>
            </w:pPr>
            <w:r w:rsidRPr="007E204E">
              <w:rPr>
                <w:b/>
                <w:bCs/>
                <w:rtl/>
              </w:rPr>
              <w:t>הליקוי בדוח הביקורת</w:t>
            </w:r>
            <w:r w:rsidRPr="007E204E">
              <w:rPr>
                <w:rFonts w:hint="cs"/>
                <w:b/>
                <w:bCs/>
                <w:rtl/>
              </w:rPr>
              <w:t xml:space="preserve"> הקודם</w:t>
            </w:r>
          </w:p>
        </w:tc>
        <w:tc>
          <w:tcPr>
            <w:tcW w:w="2760" w:type="dxa"/>
            <w:gridSpan w:val="4"/>
            <w:shd w:val="clear" w:color="auto" w:fill="C8DCE4"/>
            <w:vAlign w:val="center"/>
          </w:tcPr>
          <w:p w:rsidR="00F6117F" w:rsidRPr="00FA2D84" w14:paraId="26963AD5" w14:textId="77777777">
            <w:pPr>
              <w:pStyle w:val="73R"/>
              <w:bidi w:val="0"/>
              <w:jc w:val="center"/>
              <w:rPr>
                <w:b/>
                <w:bCs/>
                <w:rtl/>
              </w:rPr>
            </w:pPr>
            <w:r w:rsidRPr="00FA2D84">
              <w:rPr>
                <w:b/>
                <w:bCs/>
                <w:rtl/>
              </w:rPr>
              <w:t>מידת תיקון הליקוי</w:t>
            </w:r>
            <w:r w:rsidRPr="00FA2D84">
              <w:rPr>
                <w:rFonts w:hint="cs"/>
                <w:b/>
                <w:bCs/>
                <w:rtl/>
              </w:rPr>
              <w:t xml:space="preserve"> </w:t>
            </w:r>
            <w:r w:rsidRPr="00FA2D84">
              <w:rPr>
                <w:b/>
                <w:bCs/>
                <w:rtl/>
              </w:rPr>
              <w:br/>
            </w:r>
            <w:r w:rsidRPr="00FA2D84">
              <w:rPr>
                <w:rFonts w:hint="cs"/>
                <w:b/>
                <w:bCs/>
                <w:rtl/>
              </w:rPr>
              <w:t>כפי שעלה בביקורת המעקב</w:t>
            </w:r>
          </w:p>
        </w:tc>
      </w:tr>
      <w:tr w14:paraId="6712AE2D" w14:textId="77777777">
        <w:tblPrEx>
          <w:tblW w:w="7216" w:type="dxa"/>
          <w:tblInd w:w="397" w:type="dxa"/>
          <w:shd w:val="clear" w:color="auto" w:fill="DFECEF"/>
          <w:tblLook w:val="04A0"/>
        </w:tblPrEx>
        <w:trPr>
          <w:tblHeader/>
        </w:trPr>
        <w:tc>
          <w:tcPr>
            <w:tcW w:w="1474" w:type="dxa"/>
            <w:vMerge/>
            <w:shd w:val="clear" w:color="auto" w:fill="C8DCE4"/>
            <w:vAlign w:val="bottom"/>
          </w:tcPr>
          <w:p w:rsidR="00F6117F" w:rsidRPr="007E204E" w14:paraId="1851288E" w14:textId="77777777">
            <w:pPr>
              <w:pStyle w:val="73R"/>
              <w:rPr>
                <w:b/>
                <w:bCs/>
                <w:rtl/>
              </w:rPr>
            </w:pPr>
          </w:p>
        </w:tc>
        <w:tc>
          <w:tcPr>
            <w:tcW w:w="998" w:type="dxa"/>
            <w:vMerge/>
            <w:shd w:val="clear" w:color="auto" w:fill="C8DCE4"/>
            <w:vAlign w:val="bottom"/>
          </w:tcPr>
          <w:p w:rsidR="00F6117F" w:rsidRPr="007E204E" w14:paraId="7C8D97BD" w14:textId="77777777">
            <w:pPr>
              <w:pStyle w:val="73R"/>
              <w:rPr>
                <w:b/>
                <w:bCs/>
                <w:rtl/>
              </w:rPr>
            </w:pPr>
          </w:p>
        </w:tc>
        <w:tc>
          <w:tcPr>
            <w:tcW w:w="1984" w:type="dxa"/>
            <w:vMerge/>
            <w:shd w:val="clear" w:color="auto" w:fill="C8DCE4"/>
            <w:vAlign w:val="bottom"/>
          </w:tcPr>
          <w:p w:rsidR="00F6117F" w:rsidRPr="007E204E" w14:paraId="5F032ACA" w14:textId="77777777">
            <w:pPr>
              <w:pStyle w:val="73R"/>
              <w:rPr>
                <w:b/>
                <w:bCs/>
                <w:rtl/>
              </w:rPr>
            </w:pPr>
          </w:p>
        </w:tc>
        <w:tc>
          <w:tcPr>
            <w:tcW w:w="584" w:type="dxa"/>
            <w:shd w:val="clear" w:color="auto" w:fill="FF0100"/>
            <w:vAlign w:val="bottom"/>
          </w:tcPr>
          <w:p w:rsidR="00F6117F" w:rsidRPr="007E204E" w14:paraId="178D6E69" w14:textId="77777777">
            <w:pPr>
              <w:pStyle w:val="73R"/>
              <w:rPr>
                <w:b/>
                <w:bCs/>
                <w:rtl/>
              </w:rPr>
            </w:pPr>
            <w:r w:rsidRPr="007E204E">
              <w:rPr>
                <w:rFonts w:hint="eastAsia"/>
                <w:b/>
                <w:bCs/>
                <w:rtl/>
              </w:rPr>
              <w:t>לא</w:t>
            </w:r>
            <w:r w:rsidRPr="007E204E">
              <w:rPr>
                <w:b/>
                <w:bCs/>
                <w:rtl/>
              </w:rPr>
              <w:t xml:space="preserve"> </w:t>
            </w:r>
            <w:r w:rsidRPr="007E204E">
              <w:rPr>
                <w:rFonts w:hint="eastAsia"/>
                <w:b/>
                <w:bCs/>
                <w:rtl/>
              </w:rPr>
              <w:t>תוקן</w:t>
            </w:r>
          </w:p>
        </w:tc>
        <w:tc>
          <w:tcPr>
            <w:tcW w:w="758" w:type="dxa"/>
            <w:shd w:val="clear" w:color="auto" w:fill="FFC002"/>
            <w:vAlign w:val="bottom"/>
          </w:tcPr>
          <w:p w:rsidR="00F6117F" w:rsidRPr="007E204E" w14:paraId="27D1829F" w14:textId="77777777">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מועטה</w:t>
            </w:r>
          </w:p>
        </w:tc>
        <w:tc>
          <w:tcPr>
            <w:tcW w:w="733" w:type="dxa"/>
            <w:shd w:val="clear" w:color="auto" w:fill="FFFF00"/>
            <w:vAlign w:val="bottom"/>
          </w:tcPr>
          <w:p w:rsidR="00F6117F" w:rsidRPr="007E204E" w14:paraId="2B8CC463" w14:textId="77777777">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רבה</w:t>
            </w:r>
          </w:p>
        </w:tc>
        <w:tc>
          <w:tcPr>
            <w:tcW w:w="685" w:type="dxa"/>
            <w:shd w:val="clear" w:color="auto" w:fill="91CE50"/>
            <w:vAlign w:val="bottom"/>
          </w:tcPr>
          <w:p w:rsidR="00F6117F" w:rsidRPr="007E204E" w14:paraId="5256CD66" w14:textId="77777777">
            <w:pPr>
              <w:pStyle w:val="73R"/>
              <w:rPr>
                <w:b/>
                <w:bCs/>
                <w:rtl/>
              </w:rPr>
            </w:pPr>
            <w:r w:rsidRPr="007E204E">
              <w:rPr>
                <w:rFonts w:hint="eastAsia"/>
                <w:b/>
                <w:bCs/>
                <w:rtl/>
              </w:rPr>
              <w:t>תוקן</w:t>
            </w:r>
            <w:r w:rsidRPr="007E204E">
              <w:rPr>
                <w:b/>
                <w:bCs/>
                <w:rtl/>
              </w:rPr>
              <w:t xml:space="preserve"> </w:t>
            </w:r>
            <w:r w:rsidRPr="007E204E">
              <w:rPr>
                <w:rFonts w:hint="eastAsia"/>
                <w:b/>
                <w:bCs/>
                <w:rtl/>
              </w:rPr>
              <w:t>באופן</w:t>
            </w:r>
            <w:r w:rsidRPr="007E204E">
              <w:rPr>
                <w:b/>
                <w:bCs/>
                <w:rtl/>
              </w:rPr>
              <w:t xml:space="preserve"> </w:t>
            </w:r>
            <w:r w:rsidRPr="007E204E">
              <w:rPr>
                <w:rFonts w:hint="eastAsia"/>
                <w:b/>
                <w:bCs/>
                <w:rtl/>
              </w:rPr>
              <w:t>מלא</w:t>
            </w:r>
          </w:p>
        </w:tc>
      </w:tr>
      <w:tr w14:paraId="76FCE1E4" w14:textId="77777777">
        <w:tblPrEx>
          <w:tblW w:w="7216" w:type="dxa"/>
          <w:tblInd w:w="397" w:type="dxa"/>
          <w:shd w:val="clear" w:color="auto" w:fill="DFECEF"/>
          <w:tblLook w:val="04A0"/>
        </w:tblPrEx>
        <w:tc>
          <w:tcPr>
            <w:tcW w:w="1474" w:type="dxa"/>
            <w:shd w:val="clear" w:color="auto" w:fill="DFECEF"/>
          </w:tcPr>
          <w:p w:rsidR="008E69D9" w:rsidP="008E69D9" w14:paraId="52B0D24F" w14:textId="2B714F41">
            <w:pPr>
              <w:pStyle w:val="73R"/>
              <w:rPr>
                <w:rtl/>
              </w:rPr>
            </w:pPr>
            <w:r w:rsidRPr="008919A7">
              <w:rPr>
                <w:rFonts w:hint="cs"/>
                <w:rtl/>
              </w:rPr>
              <w:t>קביעה של מדיניות ותוכנית כוללת לפרסום ולשילוט</w:t>
            </w:r>
          </w:p>
        </w:tc>
        <w:tc>
          <w:tcPr>
            <w:tcW w:w="998" w:type="dxa"/>
            <w:shd w:val="clear" w:color="auto" w:fill="DFECEF"/>
          </w:tcPr>
          <w:p w:rsidR="008E69D9" w:rsidP="008E69D9" w14:paraId="6480F1FF" w14:textId="0661A8D7">
            <w:pPr>
              <w:pStyle w:val="73R"/>
              <w:rPr>
                <w:rtl/>
              </w:rPr>
            </w:pPr>
            <w:r w:rsidRPr="008919A7">
              <w:rPr>
                <w:rFonts w:hint="cs"/>
                <w:rtl/>
              </w:rPr>
              <w:t>עיריית טבריה, עיריית כרמיאל</w:t>
            </w:r>
          </w:p>
        </w:tc>
        <w:tc>
          <w:tcPr>
            <w:tcW w:w="1984" w:type="dxa"/>
            <w:shd w:val="clear" w:color="auto" w:fill="DFECEF"/>
          </w:tcPr>
          <w:p w:rsidR="008E69D9" w:rsidP="008E69D9" w14:paraId="41D0A08C" w14:textId="3A8D078B">
            <w:pPr>
              <w:pStyle w:val="73R"/>
              <w:rPr>
                <w:rtl/>
              </w:rPr>
            </w:pPr>
            <w:r w:rsidRPr="008919A7">
              <w:rPr>
                <w:rFonts w:hint="cs"/>
                <w:rtl/>
              </w:rPr>
              <w:t>הרשויות המקומיות לא קבעו מדיניות ותוכנית כוללת לפרסום ולשילוט</w:t>
            </w:r>
          </w:p>
        </w:tc>
        <w:tc>
          <w:tcPr>
            <w:tcW w:w="584" w:type="dxa"/>
            <w:shd w:val="clear" w:color="auto" w:fill="DFECEF"/>
          </w:tcPr>
          <w:p w:rsidR="008E69D9" w:rsidP="008E69D9" w14:paraId="7BABFDB0" w14:textId="40D4ED01">
            <w:pPr>
              <w:pStyle w:val="73R"/>
              <w:rPr>
                <w:rtl/>
              </w:rPr>
            </w:pPr>
          </w:p>
        </w:tc>
        <w:tc>
          <w:tcPr>
            <w:tcW w:w="758" w:type="dxa"/>
            <w:shd w:val="clear" w:color="auto" w:fill="DFECEF"/>
          </w:tcPr>
          <w:p w:rsidR="008E69D9" w:rsidP="008E69D9" w14:paraId="1030392F" w14:textId="02857C7D">
            <w:pPr>
              <w:pStyle w:val="73R"/>
              <w:rPr>
                <w:rtl/>
              </w:rPr>
            </w:pPr>
            <w:r w:rsidRPr="00973C85">
              <w:rPr>
                <w:noProof/>
                <w:rtl/>
              </w:rPr>
              <mc:AlternateContent>
                <mc:Choice Requires="wps">
                  <w:drawing>
                    <wp:anchor distT="0" distB="0" distL="114300" distR="114300" simplePos="0" relativeHeight="251705344" behindDoc="0" locked="0" layoutInCell="1" allowOverlap="1">
                      <wp:simplePos x="0" y="0"/>
                      <wp:positionH relativeFrom="column">
                        <wp:posOffset>-70444</wp:posOffset>
                      </wp:positionH>
                      <wp:positionV relativeFrom="paragraph">
                        <wp:posOffset>173109</wp:posOffset>
                      </wp:positionV>
                      <wp:extent cx="831850" cy="223520"/>
                      <wp:effectExtent l="12700" t="12700" r="19050" b="17780"/>
                      <wp:wrapNone/>
                      <wp:docPr id="58" name="חץ שמאלה 58"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58" o:spid="_x0000_s1038" type="#_x0000_t66" alt="תוקן במידה מועטה" style="width:65.5pt;height:17.6pt;margin-top:13.65pt;margin-left:-5.55pt;mso-height-percent:0;mso-height-relative:margin;mso-width-percent:0;mso-width-relative:margin;mso-wrap-distance-bottom:0;mso-wrap-distance-left:9pt;mso-wrap-distance-right:9pt;mso-wrap-distance-top:0;mso-wrap-style:square;position:absolute;visibility:visible;v-text-anchor:middle;z-index:251706368" adj="2902" fillcolor="#ffc002" strokecolor="#ffc002" strokeweight="2pt"/>
                  </w:pict>
                </mc:Fallback>
              </mc:AlternateContent>
            </w:r>
          </w:p>
        </w:tc>
        <w:tc>
          <w:tcPr>
            <w:tcW w:w="733" w:type="dxa"/>
            <w:shd w:val="clear" w:color="auto" w:fill="DFECEF"/>
          </w:tcPr>
          <w:p w:rsidR="008E69D9" w:rsidP="008E69D9" w14:paraId="250E7773" w14:textId="77777777">
            <w:pPr>
              <w:pStyle w:val="73R"/>
              <w:rPr>
                <w:rtl/>
              </w:rPr>
            </w:pPr>
          </w:p>
        </w:tc>
        <w:tc>
          <w:tcPr>
            <w:tcW w:w="685" w:type="dxa"/>
            <w:shd w:val="clear" w:color="auto" w:fill="DFECEF"/>
          </w:tcPr>
          <w:p w:rsidR="008E69D9" w:rsidP="008E69D9" w14:paraId="3709332C" w14:textId="464BD545">
            <w:pPr>
              <w:pStyle w:val="73R"/>
              <w:rPr>
                <w:rtl/>
              </w:rPr>
            </w:pPr>
          </w:p>
        </w:tc>
      </w:tr>
      <w:tr w14:paraId="0E36FD75" w14:textId="77777777">
        <w:tblPrEx>
          <w:tblW w:w="7216" w:type="dxa"/>
          <w:tblInd w:w="397" w:type="dxa"/>
          <w:shd w:val="clear" w:color="auto" w:fill="DFECEF"/>
          <w:tblLook w:val="04A0"/>
        </w:tblPrEx>
        <w:tc>
          <w:tcPr>
            <w:tcW w:w="1474" w:type="dxa"/>
            <w:shd w:val="clear" w:color="auto" w:fill="F0F8F9"/>
          </w:tcPr>
          <w:p w:rsidR="008E69D9" w:rsidP="008E69D9" w14:paraId="5E72EFE5" w14:textId="7F2FAB05">
            <w:pPr>
              <w:pStyle w:val="73R"/>
              <w:rPr>
                <w:rtl/>
              </w:rPr>
            </w:pPr>
            <w:r w:rsidRPr="008919A7">
              <w:rPr>
                <w:rFonts w:hint="cs"/>
                <w:rtl/>
              </w:rPr>
              <w:t>קביעת מדיניות ותוכנית כוללת לפרסום ולשילוט</w:t>
            </w:r>
          </w:p>
        </w:tc>
        <w:tc>
          <w:tcPr>
            <w:tcW w:w="998" w:type="dxa"/>
            <w:shd w:val="clear" w:color="auto" w:fill="F0F8F9"/>
          </w:tcPr>
          <w:p w:rsidR="008E69D9" w:rsidP="008E69D9" w14:paraId="7A6A1EFF" w14:textId="16F1E4FD">
            <w:pPr>
              <w:pStyle w:val="73R"/>
              <w:rPr>
                <w:rtl/>
              </w:rPr>
            </w:pPr>
            <w:r w:rsidRPr="008919A7">
              <w:rPr>
                <w:rFonts w:hint="cs"/>
                <w:rtl/>
              </w:rPr>
              <w:t xml:space="preserve">עיריית </w:t>
            </w:r>
            <w:r w:rsidRPr="008919A7">
              <w:rPr>
                <w:rFonts w:hint="cs"/>
                <w:rtl/>
              </w:rPr>
              <w:t>סח'נין</w:t>
            </w:r>
            <w:r w:rsidRPr="008919A7">
              <w:rPr>
                <w:rFonts w:hint="cs"/>
                <w:rtl/>
              </w:rPr>
              <w:t xml:space="preserve"> והמועצות המקומיות ירכא וכפר </w:t>
            </w:r>
            <w:r w:rsidRPr="008919A7">
              <w:rPr>
                <w:rFonts w:hint="cs"/>
                <w:rtl/>
              </w:rPr>
              <w:t>יאסיף</w:t>
            </w:r>
          </w:p>
        </w:tc>
        <w:tc>
          <w:tcPr>
            <w:tcW w:w="1984" w:type="dxa"/>
            <w:shd w:val="clear" w:color="auto" w:fill="F0F8F9"/>
          </w:tcPr>
          <w:p w:rsidR="008E69D9" w:rsidP="008E69D9" w14:paraId="543411AC" w14:textId="42917222">
            <w:pPr>
              <w:pStyle w:val="73R"/>
              <w:rPr>
                <w:rtl/>
              </w:rPr>
            </w:pPr>
            <w:r w:rsidRPr="008919A7">
              <w:rPr>
                <w:rFonts w:hint="cs"/>
                <w:rtl/>
              </w:rPr>
              <w:t>העירייה והמועצות לא קבעו מדיניות ותוכנית כוללת לפרסום ולשילוט</w:t>
            </w:r>
          </w:p>
        </w:tc>
        <w:tc>
          <w:tcPr>
            <w:tcW w:w="584" w:type="dxa"/>
            <w:shd w:val="clear" w:color="auto" w:fill="F0F8F9"/>
          </w:tcPr>
          <w:p w:rsidR="008E69D9" w:rsidP="008E69D9" w14:paraId="6C96E932" w14:textId="444D160F">
            <w:pPr>
              <w:pStyle w:val="73R"/>
              <w:rPr>
                <w:rtl/>
              </w:rPr>
            </w:pPr>
            <w:r w:rsidRPr="00973C85">
              <w:rPr>
                <w:noProof/>
                <w:rtl/>
              </w:rPr>
              <mc:AlternateContent>
                <mc:Choice Requires="wps">
                  <w:drawing>
                    <wp:anchor distT="0" distB="0" distL="114300" distR="114300" simplePos="0" relativeHeight="251707392" behindDoc="0" locked="0" layoutInCell="1" allowOverlap="1">
                      <wp:simplePos x="0" y="0"/>
                      <wp:positionH relativeFrom="column">
                        <wp:posOffset>-81669</wp:posOffset>
                      </wp:positionH>
                      <wp:positionV relativeFrom="paragraph">
                        <wp:posOffset>290932</wp:posOffset>
                      </wp:positionV>
                      <wp:extent cx="357505" cy="223520"/>
                      <wp:effectExtent l="12700" t="12700" r="10795" b="17780"/>
                      <wp:wrapNone/>
                      <wp:docPr id="1962280735" name="חץ שמאלה 1962280735"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962280735" o:spid="_x0000_s1039" type="#_x0000_t66" alt="לא תוקן" style="width:28.15pt;height:17.6pt;margin-top:22.9pt;margin-left:-6.45pt;mso-height-percent:0;mso-height-relative:margin;mso-width-percent:0;mso-width-relative:margin;mso-wrap-distance-bottom:0;mso-wrap-distance-left:9pt;mso-wrap-distance-right:9pt;mso-wrap-distance-top:0;mso-wrap-style:square;position:absolute;visibility:visible;v-text-anchor:middle;z-index:251708416" adj="6752" fillcolor="#ff0100" strokecolor="#ff0100" strokeweight="2pt"/>
                  </w:pict>
                </mc:Fallback>
              </mc:AlternateContent>
            </w:r>
          </w:p>
        </w:tc>
        <w:tc>
          <w:tcPr>
            <w:tcW w:w="758" w:type="dxa"/>
            <w:shd w:val="clear" w:color="auto" w:fill="F0F8F9"/>
          </w:tcPr>
          <w:p w:rsidR="008E69D9" w:rsidP="008E69D9" w14:paraId="747D0AB6" w14:textId="43762C10">
            <w:pPr>
              <w:pStyle w:val="73R"/>
              <w:rPr>
                <w:rtl/>
              </w:rPr>
            </w:pPr>
          </w:p>
        </w:tc>
        <w:tc>
          <w:tcPr>
            <w:tcW w:w="733" w:type="dxa"/>
            <w:shd w:val="clear" w:color="auto" w:fill="F0F8F9"/>
          </w:tcPr>
          <w:p w:rsidR="008E69D9" w:rsidP="008E69D9" w14:paraId="7C10E984" w14:textId="6624C56F">
            <w:pPr>
              <w:pStyle w:val="73R"/>
              <w:rPr>
                <w:rtl/>
              </w:rPr>
            </w:pPr>
          </w:p>
        </w:tc>
        <w:tc>
          <w:tcPr>
            <w:tcW w:w="685" w:type="dxa"/>
            <w:shd w:val="clear" w:color="auto" w:fill="F0F8F9"/>
          </w:tcPr>
          <w:p w:rsidR="008E69D9" w:rsidP="008E69D9" w14:paraId="2FDB6178" w14:textId="77777777">
            <w:pPr>
              <w:pStyle w:val="73R"/>
              <w:rPr>
                <w:rtl/>
              </w:rPr>
            </w:pPr>
          </w:p>
        </w:tc>
      </w:tr>
      <w:tr w14:paraId="5C8A1751" w14:textId="77777777">
        <w:tblPrEx>
          <w:tblW w:w="7216" w:type="dxa"/>
          <w:tblInd w:w="397" w:type="dxa"/>
          <w:shd w:val="clear" w:color="auto" w:fill="DFECEF"/>
          <w:tblLook w:val="04A0"/>
        </w:tblPrEx>
        <w:tc>
          <w:tcPr>
            <w:tcW w:w="1474" w:type="dxa"/>
            <w:shd w:val="clear" w:color="auto" w:fill="DFECEF"/>
          </w:tcPr>
          <w:p w:rsidR="008E69D9" w:rsidP="008E69D9" w14:paraId="6EA62234" w14:textId="19F3EEB1">
            <w:pPr>
              <w:pStyle w:val="73R"/>
              <w:rPr>
                <w:rtl/>
              </w:rPr>
            </w:pPr>
            <w:r w:rsidRPr="008919A7">
              <w:rPr>
                <w:rFonts w:hint="cs"/>
                <w:rtl/>
              </w:rPr>
              <w:t>העברות סמכויות לתאגידים עירוניים</w:t>
            </w:r>
          </w:p>
        </w:tc>
        <w:tc>
          <w:tcPr>
            <w:tcW w:w="998" w:type="dxa"/>
            <w:shd w:val="clear" w:color="auto" w:fill="DFECEF"/>
          </w:tcPr>
          <w:p w:rsidR="008E69D9" w:rsidP="008E69D9" w14:paraId="767B27A3" w14:textId="357FAF77">
            <w:pPr>
              <w:pStyle w:val="73R"/>
              <w:rPr>
                <w:rtl/>
              </w:rPr>
            </w:pPr>
            <w:r w:rsidRPr="008919A7">
              <w:rPr>
                <w:rFonts w:hint="cs"/>
                <w:rtl/>
              </w:rPr>
              <w:t>עיריית טבריה</w:t>
            </w:r>
          </w:p>
        </w:tc>
        <w:tc>
          <w:tcPr>
            <w:tcW w:w="1984" w:type="dxa"/>
            <w:shd w:val="clear" w:color="auto" w:fill="DFECEF"/>
          </w:tcPr>
          <w:p w:rsidR="008E69D9" w:rsidP="008E69D9" w14:paraId="6DAC9711" w14:textId="50291B38">
            <w:pPr>
              <w:pStyle w:val="73R"/>
              <w:rPr>
                <w:rtl/>
              </w:rPr>
            </w:pPr>
            <w:r w:rsidRPr="008919A7">
              <w:rPr>
                <w:rFonts w:hint="cs"/>
                <w:rtl/>
              </w:rPr>
              <w:t xml:space="preserve">עיריית טבריה העבירה </w:t>
            </w:r>
            <w:r w:rsidRPr="008919A7">
              <w:rPr>
                <w:rFonts w:hint="cs"/>
                <w:rtl/>
              </w:rPr>
              <w:t>לחכ"ל</w:t>
            </w:r>
            <w:r w:rsidRPr="008919A7">
              <w:rPr>
                <w:rFonts w:hint="cs"/>
                <w:rtl/>
              </w:rPr>
              <w:t xml:space="preserve"> טבריה את הסמכויות לניהול פרסום החוצות בלא שהביאה את הנושא לדיון במועצה, בלי שהציגה למועצה את הנימוקים למהלך זה ובלי שבחנה את הכדאיות הכלכלית שלו</w:t>
            </w:r>
          </w:p>
        </w:tc>
        <w:tc>
          <w:tcPr>
            <w:tcW w:w="584" w:type="dxa"/>
            <w:shd w:val="clear" w:color="auto" w:fill="DFECEF"/>
          </w:tcPr>
          <w:p w:rsidR="008E69D9" w:rsidP="008E69D9" w14:paraId="112C54F3" w14:textId="606D7C63">
            <w:pPr>
              <w:pStyle w:val="73R"/>
              <w:rPr>
                <w:rtl/>
              </w:rPr>
            </w:pPr>
            <w:r w:rsidRPr="00973C85">
              <w:rPr>
                <w:noProof/>
                <w:rtl/>
              </w:rPr>
              <mc:AlternateContent>
                <mc:Choice Requires="wps">
                  <w:drawing>
                    <wp:anchor distT="0" distB="0" distL="114300" distR="114300" simplePos="0" relativeHeight="251709440" behindDoc="0" locked="0" layoutInCell="1" allowOverlap="1">
                      <wp:simplePos x="0" y="0"/>
                      <wp:positionH relativeFrom="column">
                        <wp:posOffset>-551180</wp:posOffset>
                      </wp:positionH>
                      <wp:positionV relativeFrom="paragraph">
                        <wp:posOffset>492883</wp:posOffset>
                      </wp:positionV>
                      <wp:extent cx="831850" cy="223520"/>
                      <wp:effectExtent l="12700" t="12700" r="19050" b="17780"/>
                      <wp:wrapNone/>
                      <wp:docPr id="1940834639" name="חץ שמאלה 1940834639"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940834639" o:spid="_x0000_s1040" type="#_x0000_t66" alt="תוקן במידה מועטה" style="width:65.5pt;height:17.6pt;margin-top:38.8pt;margin-left:-43.4pt;mso-height-percent:0;mso-height-relative:margin;mso-width-percent:0;mso-width-relative:margin;mso-wrap-distance-bottom:0;mso-wrap-distance-left:9pt;mso-wrap-distance-right:9pt;mso-wrap-distance-top:0;mso-wrap-style:square;position:absolute;visibility:visible;v-text-anchor:middle;z-index:251710464" adj="2902" fillcolor="#ffc002" strokecolor="#ffc002" strokeweight="2pt"/>
                  </w:pict>
                </mc:Fallback>
              </mc:AlternateContent>
            </w:r>
          </w:p>
        </w:tc>
        <w:tc>
          <w:tcPr>
            <w:tcW w:w="758" w:type="dxa"/>
            <w:shd w:val="clear" w:color="auto" w:fill="DFECEF"/>
          </w:tcPr>
          <w:p w:rsidR="008E69D9" w:rsidP="008E69D9" w14:paraId="6CC3A5CC" w14:textId="0899F4D2">
            <w:pPr>
              <w:pStyle w:val="73R"/>
              <w:rPr>
                <w:rtl/>
              </w:rPr>
            </w:pPr>
          </w:p>
        </w:tc>
        <w:tc>
          <w:tcPr>
            <w:tcW w:w="733" w:type="dxa"/>
            <w:shd w:val="clear" w:color="auto" w:fill="DFECEF"/>
          </w:tcPr>
          <w:p w:rsidR="008E69D9" w:rsidP="008E69D9" w14:paraId="28BC73CE" w14:textId="50153A66">
            <w:pPr>
              <w:pStyle w:val="73R"/>
              <w:rPr>
                <w:rtl/>
              </w:rPr>
            </w:pPr>
          </w:p>
        </w:tc>
        <w:tc>
          <w:tcPr>
            <w:tcW w:w="685" w:type="dxa"/>
            <w:shd w:val="clear" w:color="auto" w:fill="DFECEF"/>
          </w:tcPr>
          <w:p w:rsidR="008E69D9" w:rsidP="008E69D9" w14:paraId="60B36081" w14:textId="77777777">
            <w:pPr>
              <w:pStyle w:val="73R"/>
              <w:rPr>
                <w:rtl/>
              </w:rPr>
            </w:pPr>
          </w:p>
        </w:tc>
      </w:tr>
      <w:tr w14:paraId="7E35F5BE" w14:textId="77777777">
        <w:tblPrEx>
          <w:tblW w:w="7216" w:type="dxa"/>
          <w:tblInd w:w="397" w:type="dxa"/>
          <w:shd w:val="clear" w:color="auto" w:fill="DFECEF"/>
          <w:tblLook w:val="04A0"/>
        </w:tblPrEx>
        <w:tc>
          <w:tcPr>
            <w:tcW w:w="1474" w:type="dxa"/>
            <w:shd w:val="clear" w:color="auto" w:fill="F0F8F9"/>
          </w:tcPr>
          <w:p w:rsidR="008E69D9" w:rsidP="008E69D9" w14:paraId="38AD7231" w14:textId="535B9FA1">
            <w:pPr>
              <w:pStyle w:val="73R"/>
              <w:rPr>
                <w:rtl/>
              </w:rPr>
            </w:pPr>
            <w:r w:rsidRPr="008919A7">
              <w:rPr>
                <w:rFonts w:hint="cs"/>
                <w:rtl/>
              </w:rPr>
              <w:t>העברת סמכויות לתאגידים עירוניים</w:t>
            </w:r>
          </w:p>
        </w:tc>
        <w:tc>
          <w:tcPr>
            <w:tcW w:w="998" w:type="dxa"/>
            <w:shd w:val="clear" w:color="auto" w:fill="F0F8F9"/>
          </w:tcPr>
          <w:p w:rsidR="008E69D9" w:rsidP="008E69D9" w14:paraId="71028DA0" w14:textId="57DC52A5">
            <w:pPr>
              <w:pStyle w:val="73R"/>
              <w:rPr>
                <w:rtl/>
              </w:rPr>
            </w:pPr>
            <w:r w:rsidRPr="008919A7">
              <w:rPr>
                <w:rFonts w:hint="cs"/>
                <w:rtl/>
              </w:rPr>
              <w:t>עיריית כרמיאל</w:t>
            </w:r>
          </w:p>
        </w:tc>
        <w:tc>
          <w:tcPr>
            <w:tcW w:w="1984" w:type="dxa"/>
            <w:shd w:val="clear" w:color="auto" w:fill="F0F8F9"/>
          </w:tcPr>
          <w:p w:rsidR="008E69D9" w:rsidP="008E69D9" w14:paraId="0A002C70" w14:textId="083FE9B9">
            <w:pPr>
              <w:pStyle w:val="73R"/>
              <w:rPr>
                <w:rtl/>
              </w:rPr>
            </w:pPr>
            <w:r w:rsidRPr="008919A7">
              <w:rPr>
                <w:rFonts w:hint="cs"/>
                <w:rtl/>
              </w:rPr>
              <w:t>עיריית כרמיאל לא העלתה לדיון במליאת המועצה את נושא העברת הסמכויות לניהול הפרסום על עמודי התאורה לעמותת פסטיבל כרמיאל ולא הציגה לפניה שיקולים להעברת הסמכויות</w:t>
            </w:r>
          </w:p>
        </w:tc>
        <w:tc>
          <w:tcPr>
            <w:tcW w:w="584" w:type="dxa"/>
            <w:shd w:val="clear" w:color="auto" w:fill="F0F8F9"/>
          </w:tcPr>
          <w:p w:rsidR="008E69D9" w:rsidP="008E69D9" w14:paraId="43B57B29" w14:textId="6349BFFF">
            <w:pPr>
              <w:pStyle w:val="73R"/>
              <w:rPr>
                <w:rtl/>
              </w:rPr>
            </w:pPr>
            <w:r w:rsidRPr="00973C85">
              <w:rPr>
                <w:noProof/>
                <w:rtl/>
              </w:rPr>
              <mc:AlternateContent>
                <mc:Choice Requires="wps">
                  <w:drawing>
                    <wp:anchor distT="0" distB="0" distL="114300" distR="114300" simplePos="0" relativeHeight="251711488" behindDoc="0" locked="0" layoutInCell="1" allowOverlap="1">
                      <wp:simplePos x="0" y="0"/>
                      <wp:positionH relativeFrom="column">
                        <wp:posOffset>-73967</wp:posOffset>
                      </wp:positionH>
                      <wp:positionV relativeFrom="paragraph">
                        <wp:posOffset>464820</wp:posOffset>
                      </wp:positionV>
                      <wp:extent cx="357505" cy="223520"/>
                      <wp:effectExtent l="12700" t="12700" r="10795" b="17780"/>
                      <wp:wrapNone/>
                      <wp:docPr id="1520284172" name="חץ שמאלה 1520284172"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520284172" o:spid="_x0000_s1041" type="#_x0000_t66" alt="לא תוקן" style="width:28.15pt;height:17.6pt;margin-top:36.6pt;margin-left:-5.8pt;mso-height-percent:0;mso-height-relative:margin;mso-width-percent:0;mso-width-relative:margin;mso-wrap-distance-bottom:0;mso-wrap-distance-left:9pt;mso-wrap-distance-right:9pt;mso-wrap-distance-top:0;mso-wrap-style:square;position:absolute;visibility:visible;v-text-anchor:middle;z-index:251712512" adj="6752" fillcolor="#ff0100" strokecolor="#ff0100" strokeweight="2pt"/>
                  </w:pict>
                </mc:Fallback>
              </mc:AlternateContent>
            </w:r>
          </w:p>
        </w:tc>
        <w:tc>
          <w:tcPr>
            <w:tcW w:w="758" w:type="dxa"/>
            <w:shd w:val="clear" w:color="auto" w:fill="F0F8F9"/>
          </w:tcPr>
          <w:p w:rsidR="008E69D9" w:rsidP="008E69D9" w14:paraId="2442AFC2" w14:textId="50ED936B">
            <w:pPr>
              <w:pStyle w:val="73R"/>
              <w:rPr>
                <w:rtl/>
              </w:rPr>
            </w:pPr>
          </w:p>
        </w:tc>
        <w:tc>
          <w:tcPr>
            <w:tcW w:w="733" w:type="dxa"/>
            <w:shd w:val="clear" w:color="auto" w:fill="F0F8F9"/>
          </w:tcPr>
          <w:p w:rsidR="008E69D9" w:rsidP="008E69D9" w14:paraId="2D5D737A" w14:textId="77777777">
            <w:pPr>
              <w:pStyle w:val="73R"/>
              <w:rPr>
                <w:rtl/>
              </w:rPr>
            </w:pPr>
          </w:p>
        </w:tc>
        <w:tc>
          <w:tcPr>
            <w:tcW w:w="685" w:type="dxa"/>
            <w:shd w:val="clear" w:color="auto" w:fill="F0F8F9"/>
          </w:tcPr>
          <w:p w:rsidR="008E69D9" w:rsidP="008E69D9" w14:paraId="7523EC87" w14:textId="77777777">
            <w:pPr>
              <w:pStyle w:val="73R"/>
              <w:rPr>
                <w:rtl/>
              </w:rPr>
            </w:pPr>
          </w:p>
        </w:tc>
      </w:tr>
      <w:tr w14:paraId="13C82713" w14:textId="77777777">
        <w:tblPrEx>
          <w:tblW w:w="7216" w:type="dxa"/>
          <w:tblInd w:w="397" w:type="dxa"/>
          <w:shd w:val="clear" w:color="auto" w:fill="DFECEF"/>
          <w:tblLook w:val="04A0"/>
        </w:tblPrEx>
        <w:tc>
          <w:tcPr>
            <w:tcW w:w="1474" w:type="dxa"/>
            <w:shd w:val="clear" w:color="auto" w:fill="DFECEF"/>
          </w:tcPr>
          <w:p w:rsidR="008E69D9" w:rsidRPr="008919A7" w:rsidP="008E69D9" w14:paraId="765308B1" w14:textId="77777777">
            <w:pPr>
              <w:pStyle w:val="73R"/>
              <w:rPr>
                <w:rtl/>
              </w:rPr>
            </w:pPr>
            <w:r w:rsidRPr="008919A7">
              <w:rPr>
                <w:rFonts w:hint="cs"/>
                <w:rtl/>
              </w:rPr>
              <w:t>הסכמי התקשרות בין עיריות לתאגידים עירוניים</w:t>
            </w:r>
          </w:p>
          <w:p w:rsidR="008E69D9" w:rsidP="008E69D9" w14:paraId="77218038" w14:textId="1ED54209">
            <w:pPr>
              <w:pStyle w:val="73R"/>
              <w:rPr>
                <w:rtl/>
              </w:rPr>
            </w:pPr>
          </w:p>
        </w:tc>
        <w:tc>
          <w:tcPr>
            <w:tcW w:w="998" w:type="dxa"/>
            <w:shd w:val="clear" w:color="auto" w:fill="DFECEF"/>
          </w:tcPr>
          <w:p w:rsidR="008E69D9" w:rsidRPr="008919A7" w:rsidP="008E69D9" w14:paraId="20E78C3E" w14:textId="77777777">
            <w:pPr>
              <w:pStyle w:val="73R"/>
              <w:rPr>
                <w:rtl/>
              </w:rPr>
            </w:pPr>
            <w:r w:rsidRPr="008919A7">
              <w:rPr>
                <w:rFonts w:hint="cs"/>
                <w:rtl/>
              </w:rPr>
              <w:t>עיריית כרמיאל,</w:t>
            </w:r>
          </w:p>
          <w:p w:rsidR="008E69D9" w:rsidP="008E69D9" w14:paraId="5B40CA78" w14:textId="6DFBF0ED">
            <w:pPr>
              <w:pStyle w:val="73R"/>
              <w:rPr>
                <w:rtl/>
              </w:rPr>
            </w:pPr>
            <w:r w:rsidRPr="008919A7">
              <w:rPr>
                <w:rFonts w:hint="cs"/>
                <w:rtl/>
              </w:rPr>
              <w:t>עיריית טבריה</w:t>
            </w:r>
          </w:p>
        </w:tc>
        <w:tc>
          <w:tcPr>
            <w:tcW w:w="1984" w:type="dxa"/>
            <w:shd w:val="clear" w:color="auto" w:fill="DFECEF"/>
          </w:tcPr>
          <w:p w:rsidR="008E69D9" w:rsidP="008E69D9" w14:paraId="5FA44D9C" w14:textId="3407DE13">
            <w:pPr>
              <w:pStyle w:val="73R"/>
              <w:rPr>
                <w:rtl/>
              </w:rPr>
            </w:pPr>
            <w:r w:rsidRPr="008919A7">
              <w:rPr>
                <w:rFonts w:hint="cs"/>
                <w:rtl/>
              </w:rPr>
              <w:t xml:space="preserve">עיריית כרמיאל ועיריית טבריה לא הסדירו בהסכם בכתב את העברת פרסום החוצות </w:t>
            </w:r>
            <w:r w:rsidRPr="008919A7">
              <w:rPr>
                <w:rFonts w:hint="cs"/>
                <w:rtl/>
              </w:rPr>
              <w:t>לחכ"ל</w:t>
            </w:r>
            <w:r w:rsidRPr="008919A7">
              <w:rPr>
                <w:rFonts w:hint="cs"/>
                <w:rtl/>
              </w:rPr>
              <w:t xml:space="preserve"> טבריה ולעמותת פסטיבל כרמיאל</w:t>
            </w:r>
          </w:p>
        </w:tc>
        <w:tc>
          <w:tcPr>
            <w:tcW w:w="584" w:type="dxa"/>
            <w:shd w:val="clear" w:color="auto" w:fill="DFECEF"/>
          </w:tcPr>
          <w:p w:rsidR="008E69D9" w:rsidP="008E69D9" w14:paraId="3D4248B7" w14:textId="0091AAE4">
            <w:pPr>
              <w:pStyle w:val="73R"/>
              <w:rPr>
                <w:rtl/>
              </w:rPr>
            </w:pPr>
            <w:r w:rsidRPr="00973C85">
              <w:rPr>
                <w:noProof/>
                <w:rtl/>
              </w:rPr>
              <mc:AlternateContent>
                <mc:Choice Requires="wps">
                  <w:drawing>
                    <wp:anchor distT="0" distB="0" distL="114300" distR="114300" simplePos="0" relativeHeight="251713536" behindDoc="0" locked="0" layoutInCell="1" allowOverlap="1">
                      <wp:simplePos x="0" y="0"/>
                      <wp:positionH relativeFrom="column">
                        <wp:posOffset>-60406</wp:posOffset>
                      </wp:positionH>
                      <wp:positionV relativeFrom="paragraph">
                        <wp:posOffset>347714</wp:posOffset>
                      </wp:positionV>
                      <wp:extent cx="357505" cy="223520"/>
                      <wp:effectExtent l="12700" t="12700" r="10795" b="17780"/>
                      <wp:wrapNone/>
                      <wp:docPr id="339787902" name="חץ שמאלה 339787902"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339787902" o:spid="_x0000_s1042" type="#_x0000_t66" alt="לא תוקן" style="width:28.15pt;height:17.6pt;margin-top:27.4pt;margin-left:-4.75pt;mso-height-percent:0;mso-height-relative:margin;mso-width-percent:0;mso-width-relative:margin;mso-wrap-distance-bottom:0;mso-wrap-distance-left:9pt;mso-wrap-distance-right:9pt;mso-wrap-distance-top:0;mso-wrap-style:square;position:absolute;visibility:visible;v-text-anchor:middle;z-index:251714560" adj="6752" fillcolor="#ff0100" strokecolor="#ff0100" strokeweight="2pt"/>
                  </w:pict>
                </mc:Fallback>
              </mc:AlternateContent>
            </w:r>
          </w:p>
        </w:tc>
        <w:tc>
          <w:tcPr>
            <w:tcW w:w="758" w:type="dxa"/>
            <w:shd w:val="clear" w:color="auto" w:fill="DFECEF"/>
          </w:tcPr>
          <w:p w:rsidR="008E69D9" w:rsidP="008E69D9" w14:paraId="32EC75AA" w14:textId="77777777">
            <w:pPr>
              <w:pStyle w:val="73R"/>
              <w:rPr>
                <w:rtl/>
              </w:rPr>
            </w:pPr>
          </w:p>
        </w:tc>
        <w:tc>
          <w:tcPr>
            <w:tcW w:w="733" w:type="dxa"/>
            <w:shd w:val="clear" w:color="auto" w:fill="DFECEF"/>
          </w:tcPr>
          <w:p w:rsidR="008E69D9" w:rsidP="008E69D9" w14:paraId="346AC4CA" w14:textId="77777777">
            <w:pPr>
              <w:pStyle w:val="73R"/>
              <w:rPr>
                <w:rtl/>
              </w:rPr>
            </w:pPr>
          </w:p>
        </w:tc>
        <w:tc>
          <w:tcPr>
            <w:tcW w:w="685" w:type="dxa"/>
            <w:shd w:val="clear" w:color="auto" w:fill="DFECEF"/>
          </w:tcPr>
          <w:p w:rsidR="008E69D9" w:rsidP="008E69D9" w14:paraId="7F0C3E8A" w14:textId="77777777">
            <w:pPr>
              <w:pStyle w:val="73R"/>
              <w:rPr>
                <w:rtl/>
              </w:rPr>
            </w:pPr>
          </w:p>
        </w:tc>
      </w:tr>
      <w:tr w14:paraId="5CB1B12E" w14:textId="77777777">
        <w:tblPrEx>
          <w:tblW w:w="7216" w:type="dxa"/>
          <w:tblInd w:w="397" w:type="dxa"/>
          <w:shd w:val="clear" w:color="auto" w:fill="DFECEF"/>
          <w:tblLook w:val="04A0"/>
        </w:tblPrEx>
        <w:tc>
          <w:tcPr>
            <w:tcW w:w="1474" w:type="dxa"/>
            <w:shd w:val="clear" w:color="auto" w:fill="F0F8F9"/>
          </w:tcPr>
          <w:p w:rsidR="008E69D9" w:rsidRPr="00FA2D84" w:rsidP="008E69D9" w14:paraId="008FCFF5" w14:textId="7FA79CFE">
            <w:pPr>
              <w:pStyle w:val="73R"/>
              <w:spacing w:after="240"/>
              <w:rPr>
                <w:spacing w:val="2"/>
                <w:rtl/>
              </w:rPr>
            </w:pPr>
            <w:r w:rsidRPr="008919A7">
              <w:rPr>
                <w:rFonts w:hint="cs"/>
                <w:rtl/>
              </w:rPr>
              <w:t>התקשרות ללא מכרז עם קבלני פרסום</w:t>
            </w:r>
          </w:p>
        </w:tc>
        <w:tc>
          <w:tcPr>
            <w:tcW w:w="998" w:type="dxa"/>
            <w:shd w:val="clear" w:color="auto" w:fill="F0F8F9"/>
          </w:tcPr>
          <w:p w:rsidR="008E69D9" w:rsidP="008E69D9" w14:paraId="2829AB7E" w14:textId="16AF496B">
            <w:pPr>
              <w:pStyle w:val="73R"/>
              <w:spacing w:after="240"/>
              <w:rPr>
                <w:rtl/>
              </w:rPr>
            </w:pPr>
            <w:r w:rsidRPr="008919A7">
              <w:rPr>
                <w:rFonts w:hint="cs"/>
                <w:rtl/>
              </w:rPr>
              <w:t>עיריית כרמיאל</w:t>
            </w:r>
          </w:p>
        </w:tc>
        <w:tc>
          <w:tcPr>
            <w:tcW w:w="1984" w:type="dxa"/>
            <w:shd w:val="clear" w:color="auto" w:fill="F0F8F9"/>
          </w:tcPr>
          <w:p w:rsidR="008E69D9" w:rsidP="008E69D9" w14:paraId="61A4D12C" w14:textId="0B4311E7">
            <w:pPr>
              <w:pStyle w:val="73R"/>
              <w:spacing w:after="240"/>
              <w:rPr>
                <w:rtl/>
              </w:rPr>
            </w:pPr>
            <w:r w:rsidRPr="008919A7">
              <w:rPr>
                <w:rFonts w:hint="cs"/>
                <w:rtl/>
              </w:rPr>
              <w:t xml:space="preserve">עיריית כרמיאל מסרה לחברה ב' את הזיכיון לפרסום מסחרי על גבי </w:t>
            </w:r>
            <w:r w:rsidRPr="008919A7">
              <w:rPr>
                <w:rFonts w:hint="cs"/>
                <w:rtl/>
              </w:rPr>
              <w:t>בילבורדים</w:t>
            </w:r>
            <w:r w:rsidRPr="008919A7">
              <w:rPr>
                <w:rFonts w:hint="cs"/>
                <w:rtl/>
              </w:rPr>
              <w:t xml:space="preserve"> ללא פרסום מכרז, ללא תשלום ואף לא ביקשה הצעות מחיר</w:t>
            </w:r>
          </w:p>
        </w:tc>
        <w:tc>
          <w:tcPr>
            <w:tcW w:w="584" w:type="dxa"/>
            <w:shd w:val="clear" w:color="auto" w:fill="F0F8F9"/>
          </w:tcPr>
          <w:p w:rsidR="008E69D9" w:rsidP="008E69D9" w14:paraId="0AF96682" w14:textId="2176F5E9">
            <w:pPr>
              <w:pStyle w:val="73R"/>
              <w:rPr>
                <w:rtl/>
              </w:rPr>
            </w:pPr>
          </w:p>
        </w:tc>
        <w:tc>
          <w:tcPr>
            <w:tcW w:w="758" w:type="dxa"/>
            <w:shd w:val="clear" w:color="auto" w:fill="F0F8F9"/>
          </w:tcPr>
          <w:p w:rsidR="008E69D9" w:rsidP="008E69D9" w14:paraId="1CDE3909" w14:textId="77777777">
            <w:pPr>
              <w:pStyle w:val="73R"/>
              <w:rPr>
                <w:rtl/>
              </w:rPr>
            </w:pPr>
          </w:p>
        </w:tc>
        <w:tc>
          <w:tcPr>
            <w:tcW w:w="733" w:type="dxa"/>
            <w:shd w:val="clear" w:color="auto" w:fill="F0F8F9"/>
          </w:tcPr>
          <w:p w:rsidR="008E69D9" w:rsidP="008E69D9" w14:paraId="143EBD67" w14:textId="77777777">
            <w:pPr>
              <w:pStyle w:val="73R"/>
              <w:rPr>
                <w:rtl/>
              </w:rPr>
            </w:pPr>
          </w:p>
        </w:tc>
        <w:tc>
          <w:tcPr>
            <w:tcW w:w="685" w:type="dxa"/>
            <w:shd w:val="clear" w:color="auto" w:fill="F0F8F9"/>
          </w:tcPr>
          <w:p w:rsidR="008E69D9" w:rsidP="008E69D9" w14:paraId="45F4D58F" w14:textId="77777777">
            <w:pPr>
              <w:pStyle w:val="73R"/>
              <w:rPr>
                <w:rtl/>
              </w:rPr>
            </w:pPr>
          </w:p>
        </w:tc>
      </w:tr>
      <w:tr w14:paraId="705B3505" w14:textId="77777777">
        <w:tblPrEx>
          <w:tblW w:w="7216" w:type="dxa"/>
          <w:tblInd w:w="397" w:type="dxa"/>
          <w:shd w:val="clear" w:color="auto" w:fill="DFECEF"/>
          <w:tblLook w:val="04A0"/>
        </w:tblPrEx>
        <w:tc>
          <w:tcPr>
            <w:tcW w:w="1474" w:type="dxa"/>
            <w:shd w:val="clear" w:color="auto" w:fill="DFECEF"/>
          </w:tcPr>
          <w:p w:rsidR="008E69D9" w:rsidP="008E69D9" w14:paraId="27E71092" w14:textId="6D89895F">
            <w:pPr>
              <w:pStyle w:val="73R"/>
              <w:spacing w:after="240"/>
              <w:rPr>
                <w:rtl/>
              </w:rPr>
            </w:pPr>
            <w:r w:rsidRPr="008919A7">
              <w:rPr>
                <w:rFonts w:hint="cs"/>
                <w:rtl/>
              </w:rPr>
              <w:t>התקשרות ללא מכרז עם קבלני פרסום</w:t>
            </w:r>
          </w:p>
        </w:tc>
        <w:tc>
          <w:tcPr>
            <w:tcW w:w="998" w:type="dxa"/>
            <w:shd w:val="clear" w:color="auto" w:fill="DFECEF"/>
          </w:tcPr>
          <w:p w:rsidR="008E69D9" w:rsidP="008E69D9" w14:paraId="6673893A" w14:textId="6BEB977B">
            <w:pPr>
              <w:pStyle w:val="73R"/>
              <w:spacing w:after="240"/>
              <w:rPr>
                <w:rtl/>
              </w:rPr>
            </w:pPr>
            <w:r w:rsidRPr="008919A7">
              <w:rPr>
                <w:rFonts w:hint="cs"/>
                <w:rtl/>
              </w:rPr>
              <w:t>עמותת פסטיבל כרמיאל</w:t>
            </w:r>
          </w:p>
        </w:tc>
        <w:tc>
          <w:tcPr>
            <w:tcW w:w="1984" w:type="dxa"/>
            <w:shd w:val="clear" w:color="auto" w:fill="DFECEF"/>
          </w:tcPr>
          <w:p w:rsidR="008E69D9" w:rsidP="008E69D9" w14:paraId="79646E41" w14:textId="151FEF61">
            <w:pPr>
              <w:pStyle w:val="73R"/>
              <w:spacing w:after="240"/>
              <w:rPr>
                <w:rtl/>
              </w:rPr>
            </w:pPr>
            <w:r w:rsidRPr="008919A7">
              <w:rPr>
                <w:rFonts w:hint="cs"/>
                <w:rtl/>
              </w:rPr>
              <w:t>עמותת פסטיבל כרמיאל מסרה לחברה ב' את הסמכות לניהול פרסום חוצות על גבי מכווני תנועה בלא שפרסמה מכרז ובלא שקיבלה הצעות מחיר</w:t>
            </w:r>
          </w:p>
        </w:tc>
        <w:tc>
          <w:tcPr>
            <w:tcW w:w="584" w:type="dxa"/>
            <w:shd w:val="clear" w:color="auto" w:fill="DFECEF"/>
          </w:tcPr>
          <w:p w:rsidR="008E69D9" w:rsidP="008E69D9" w14:paraId="1CE69AF1" w14:textId="771067EC">
            <w:pPr>
              <w:pStyle w:val="73R"/>
              <w:rPr>
                <w:rtl/>
              </w:rPr>
            </w:pPr>
            <w:r w:rsidRPr="00973C85">
              <w:rPr>
                <w:noProof/>
                <w:rtl/>
              </w:rPr>
              <mc:AlternateContent>
                <mc:Choice Requires="wps">
                  <w:drawing>
                    <wp:anchor distT="0" distB="0" distL="114300" distR="114300" simplePos="0" relativeHeight="251717632" behindDoc="0" locked="0" layoutInCell="1" allowOverlap="1">
                      <wp:simplePos x="0" y="0"/>
                      <wp:positionH relativeFrom="column">
                        <wp:posOffset>-537845</wp:posOffset>
                      </wp:positionH>
                      <wp:positionV relativeFrom="paragraph">
                        <wp:posOffset>335280</wp:posOffset>
                      </wp:positionV>
                      <wp:extent cx="831850" cy="223520"/>
                      <wp:effectExtent l="12700" t="12700" r="19050" b="17780"/>
                      <wp:wrapNone/>
                      <wp:docPr id="1535723244" name="חץ שמאלה 1535723244"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535723244" o:spid="_x0000_s1043" type="#_x0000_t66" alt="תוקן במידה מועטה" style="width:65.5pt;height:17.6pt;margin-top:26.4pt;margin-left:-42.35pt;mso-height-percent:0;mso-height-relative:margin;mso-width-percent:0;mso-width-relative:margin;mso-wrap-distance-bottom:0;mso-wrap-distance-left:9pt;mso-wrap-distance-right:9pt;mso-wrap-distance-top:0;mso-wrap-style:square;position:absolute;visibility:visible;v-text-anchor:middle;z-index:251718656" adj="2902" fillcolor="#ffc002" strokecolor="#ffc002" strokeweight="2pt"/>
                  </w:pict>
                </mc:Fallback>
              </mc:AlternateContent>
            </w:r>
            <w:r w:rsidRPr="00973C85">
              <w:rPr>
                <w:noProof/>
                <w:rtl/>
              </w:rPr>
              <mc:AlternateContent>
                <mc:Choice Requires="wps">
                  <w:drawing>
                    <wp:anchor distT="0" distB="0" distL="114300" distR="114300" simplePos="0" relativeHeight="251715584" behindDoc="0" locked="0" layoutInCell="1" allowOverlap="1">
                      <wp:simplePos x="0" y="0"/>
                      <wp:positionH relativeFrom="column">
                        <wp:posOffset>-537538</wp:posOffset>
                      </wp:positionH>
                      <wp:positionV relativeFrom="paragraph">
                        <wp:posOffset>-578894</wp:posOffset>
                      </wp:positionV>
                      <wp:extent cx="831850" cy="223520"/>
                      <wp:effectExtent l="12700" t="12700" r="19050" b="17780"/>
                      <wp:wrapNone/>
                      <wp:docPr id="1654858872" name="חץ שמאלה 1654858872"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654858872" o:spid="_x0000_s1044" type="#_x0000_t66" alt="תוקן במידה מועטה" style="width:65.5pt;height:17.6pt;margin-top:-45.6pt;margin-left:-42.35pt;mso-height-percent:0;mso-height-relative:margin;mso-width-percent:0;mso-width-relative:margin;mso-wrap-distance-bottom:0;mso-wrap-distance-left:9pt;mso-wrap-distance-right:9pt;mso-wrap-distance-top:0;mso-wrap-style:square;position:absolute;visibility:visible;v-text-anchor:middle;z-index:251716608" adj="2902" fillcolor="#ffc002" strokecolor="#ffc002" strokeweight="2pt"/>
                  </w:pict>
                </mc:Fallback>
              </mc:AlternateContent>
            </w:r>
          </w:p>
        </w:tc>
        <w:tc>
          <w:tcPr>
            <w:tcW w:w="758" w:type="dxa"/>
            <w:shd w:val="clear" w:color="auto" w:fill="DFECEF"/>
          </w:tcPr>
          <w:p w:rsidR="008E69D9" w:rsidP="008E69D9" w14:paraId="55D2D59C" w14:textId="694A582D">
            <w:pPr>
              <w:pStyle w:val="73R"/>
              <w:rPr>
                <w:rtl/>
              </w:rPr>
            </w:pPr>
          </w:p>
        </w:tc>
        <w:tc>
          <w:tcPr>
            <w:tcW w:w="733" w:type="dxa"/>
            <w:shd w:val="clear" w:color="auto" w:fill="DFECEF"/>
          </w:tcPr>
          <w:p w:rsidR="008E69D9" w:rsidP="008E69D9" w14:paraId="14599525" w14:textId="54A531F6">
            <w:pPr>
              <w:pStyle w:val="73R"/>
              <w:rPr>
                <w:rtl/>
              </w:rPr>
            </w:pPr>
          </w:p>
        </w:tc>
        <w:tc>
          <w:tcPr>
            <w:tcW w:w="685" w:type="dxa"/>
            <w:shd w:val="clear" w:color="auto" w:fill="DFECEF"/>
          </w:tcPr>
          <w:p w:rsidR="008E69D9" w:rsidP="008E69D9" w14:paraId="4BBB6D41" w14:textId="77777777">
            <w:pPr>
              <w:pStyle w:val="73R"/>
              <w:rPr>
                <w:rtl/>
              </w:rPr>
            </w:pPr>
          </w:p>
        </w:tc>
      </w:tr>
      <w:tr w14:paraId="04D64242" w14:textId="77777777">
        <w:tblPrEx>
          <w:tblW w:w="7216" w:type="dxa"/>
          <w:tblInd w:w="397" w:type="dxa"/>
          <w:shd w:val="clear" w:color="auto" w:fill="DFECEF"/>
          <w:tblLook w:val="04A0"/>
        </w:tblPrEx>
        <w:tc>
          <w:tcPr>
            <w:tcW w:w="1474" w:type="dxa"/>
            <w:shd w:val="clear" w:color="auto" w:fill="F0F8F9"/>
          </w:tcPr>
          <w:p w:rsidR="008E69D9" w:rsidP="008E69D9" w14:paraId="760DFBEC" w14:textId="414D38D8">
            <w:pPr>
              <w:pStyle w:val="73R"/>
              <w:spacing w:after="240"/>
              <w:rPr>
                <w:rtl/>
              </w:rPr>
            </w:pPr>
            <w:r w:rsidRPr="008919A7">
              <w:rPr>
                <w:rFonts w:hint="cs"/>
                <w:rtl/>
              </w:rPr>
              <w:t>התקשרות ללא מכרז עם קבלני פרסום</w:t>
            </w:r>
          </w:p>
        </w:tc>
        <w:tc>
          <w:tcPr>
            <w:tcW w:w="998" w:type="dxa"/>
            <w:shd w:val="clear" w:color="auto" w:fill="F0F8F9"/>
          </w:tcPr>
          <w:p w:rsidR="008E69D9" w:rsidP="008E69D9" w14:paraId="1186775C" w14:textId="6EA551C9">
            <w:pPr>
              <w:pStyle w:val="73R"/>
              <w:spacing w:after="240"/>
              <w:rPr>
                <w:rtl/>
              </w:rPr>
            </w:pPr>
            <w:r w:rsidRPr="008919A7">
              <w:rPr>
                <w:rFonts w:hint="cs"/>
                <w:rtl/>
              </w:rPr>
              <w:t>עמותת פסטיבל כרמיאל</w:t>
            </w:r>
          </w:p>
        </w:tc>
        <w:tc>
          <w:tcPr>
            <w:tcW w:w="1984" w:type="dxa"/>
            <w:shd w:val="clear" w:color="auto" w:fill="F0F8F9"/>
          </w:tcPr>
          <w:p w:rsidR="008E69D9" w:rsidP="008E69D9" w14:paraId="6E9DCA2D" w14:textId="42A3400D">
            <w:pPr>
              <w:pStyle w:val="73R"/>
              <w:spacing w:after="240"/>
              <w:rPr>
                <w:rtl/>
              </w:rPr>
            </w:pPr>
            <w:r w:rsidRPr="008919A7">
              <w:rPr>
                <w:rFonts w:hint="cs"/>
                <w:rtl/>
              </w:rPr>
              <w:t>עמותת פסטיבל כרמיאל מסרה בשנת 2002 למשווקת על פי הסכם פרסום חוצות על עמודי תאורה בלי שפרסמה מכרז ובלי שנקטה שום הליך תחרותי. תוקף ההסכם היה עד שנת 2002, אולם במועד סיום הביקורת הקודמת - שנת 2015 - ההתקשרות עדיין נמשכה</w:t>
            </w:r>
          </w:p>
        </w:tc>
        <w:tc>
          <w:tcPr>
            <w:tcW w:w="584" w:type="dxa"/>
            <w:shd w:val="clear" w:color="auto" w:fill="F0F8F9"/>
          </w:tcPr>
          <w:p w:rsidR="008E69D9" w:rsidP="008E69D9" w14:paraId="366224AC" w14:textId="4B6FBA2D">
            <w:pPr>
              <w:pStyle w:val="73R"/>
              <w:rPr>
                <w:rtl/>
              </w:rPr>
            </w:pPr>
            <w:r w:rsidRPr="00973C85">
              <w:rPr>
                <w:noProof/>
                <w:rtl/>
              </w:rPr>
              <mc:AlternateContent>
                <mc:Choice Requires="wps">
                  <w:drawing>
                    <wp:anchor distT="0" distB="0" distL="114300" distR="114300" simplePos="0" relativeHeight="251719680" behindDoc="0" locked="0" layoutInCell="1" allowOverlap="1">
                      <wp:simplePos x="0" y="0"/>
                      <wp:positionH relativeFrom="column">
                        <wp:posOffset>-537845</wp:posOffset>
                      </wp:positionH>
                      <wp:positionV relativeFrom="paragraph">
                        <wp:posOffset>729676</wp:posOffset>
                      </wp:positionV>
                      <wp:extent cx="831850" cy="223520"/>
                      <wp:effectExtent l="12700" t="12700" r="19050" b="17780"/>
                      <wp:wrapNone/>
                      <wp:docPr id="444991312" name="חץ שמאלה 444991312"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444991312" o:spid="_x0000_s1045" type="#_x0000_t66" alt="תוקן במידה מועטה" style="width:65.5pt;height:17.6pt;margin-top:57.45pt;margin-left:-42.35pt;mso-height-percent:0;mso-height-relative:margin;mso-width-percent:0;mso-width-relative:margin;mso-wrap-distance-bottom:0;mso-wrap-distance-left:9pt;mso-wrap-distance-right:9pt;mso-wrap-distance-top:0;mso-wrap-style:square;position:absolute;visibility:visible;v-text-anchor:middle;z-index:251720704" adj="2902" fillcolor="#ffc002" strokecolor="#ffc002" strokeweight="2pt"/>
                  </w:pict>
                </mc:Fallback>
              </mc:AlternateContent>
            </w:r>
          </w:p>
        </w:tc>
        <w:tc>
          <w:tcPr>
            <w:tcW w:w="758" w:type="dxa"/>
            <w:shd w:val="clear" w:color="auto" w:fill="F0F8F9"/>
          </w:tcPr>
          <w:p w:rsidR="008E69D9" w:rsidP="008E69D9" w14:paraId="6E25ABEE" w14:textId="607A8CF9">
            <w:pPr>
              <w:pStyle w:val="73R"/>
              <w:rPr>
                <w:rtl/>
              </w:rPr>
            </w:pPr>
          </w:p>
        </w:tc>
        <w:tc>
          <w:tcPr>
            <w:tcW w:w="733" w:type="dxa"/>
            <w:shd w:val="clear" w:color="auto" w:fill="F0F8F9"/>
          </w:tcPr>
          <w:p w:rsidR="008E69D9" w:rsidP="008E69D9" w14:paraId="3641B44F" w14:textId="77777777">
            <w:pPr>
              <w:pStyle w:val="73R"/>
              <w:rPr>
                <w:rtl/>
              </w:rPr>
            </w:pPr>
          </w:p>
        </w:tc>
        <w:tc>
          <w:tcPr>
            <w:tcW w:w="685" w:type="dxa"/>
            <w:shd w:val="clear" w:color="auto" w:fill="F0F8F9"/>
          </w:tcPr>
          <w:p w:rsidR="008E69D9" w:rsidP="008E69D9" w14:paraId="11AF1571" w14:textId="77777777">
            <w:pPr>
              <w:pStyle w:val="73R"/>
              <w:rPr>
                <w:rtl/>
              </w:rPr>
            </w:pPr>
          </w:p>
        </w:tc>
      </w:tr>
      <w:tr w14:paraId="7688E1C3" w14:textId="77777777">
        <w:tblPrEx>
          <w:tblW w:w="7216" w:type="dxa"/>
          <w:tblInd w:w="397" w:type="dxa"/>
          <w:shd w:val="clear" w:color="auto" w:fill="DFECEF"/>
          <w:tblLook w:val="04A0"/>
        </w:tblPrEx>
        <w:tc>
          <w:tcPr>
            <w:tcW w:w="1474" w:type="dxa"/>
            <w:shd w:val="clear" w:color="auto" w:fill="DFECEF"/>
          </w:tcPr>
          <w:p w:rsidR="008E69D9" w:rsidP="008E69D9" w14:paraId="2AB885EA" w14:textId="429803CF">
            <w:pPr>
              <w:pStyle w:val="73R"/>
              <w:spacing w:after="240"/>
              <w:rPr>
                <w:rtl/>
              </w:rPr>
            </w:pPr>
            <w:r w:rsidRPr="008919A7">
              <w:rPr>
                <w:rFonts w:hint="cs"/>
                <w:rtl/>
              </w:rPr>
              <w:t>מאגר נתונים בדבר שלטים שהתקינו בעלי עסקים בתחום שיפוטן של הרשויות</w:t>
            </w:r>
          </w:p>
        </w:tc>
        <w:tc>
          <w:tcPr>
            <w:tcW w:w="998" w:type="dxa"/>
            <w:shd w:val="clear" w:color="auto" w:fill="DFECEF"/>
          </w:tcPr>
          <w:p w:rsidR="008E69D9" w:rsidP="008E69D9" w14:paraId="03F634BC" w14:textId="3916395C">
            <w:pPr>
              <w:pStyle w:val="73R"/>
              <w:spacing w:after="240"/>
              <w:rPr>
                <w:rtl/>
              </w:rPr>
            </w:pPr>
            <w:r w:rsidRPr="008919A7">
              <w:rPr>
                <w:rFonts w:hint="cs"/>
                <w:rtl/>
              </w:rPr>
              <w:t xml:space="preserve">עיריית </w:t>
            </w:r>
            <w:r w:rsidRPr="008919A7">
              <w:rPr>
                <w:rFonts w:hint="cs"/>
                <w:rtl/>
              </w:rPr>
              <w:t>סח</w:t>
            </w:r>
            <w:r w:rsidRPr="008919A7">
              <w:rPr>
                <w:rtl/>
              </w:rPr>
              <w:t>'</w:t>
            </w:r>
            <w:r w:rsidRPr="008919A7">
              <w:rPr>
                <w:rFonts w:hint="cs"/>
                <w:rtl/>
              </w:rPr>
              <w:t>נין</w:t>
            </w:r>
          </w:p>
        </w:tc>
        <w:tc>
          <w:tcPr>
            <w:tcW w:w="1984" w:type="dxa"/>
            <w:shd w:val="clear" w:color="auto" w:fill="DFECEF"/>
          </w:tcPr>
          <w:p w:rsidR="008E69D9" w:rsidRPr="00FA2D84" w:rsidP="008E69D9" w14:paraId="1751B1CB" w14:textId="2EB7C119">
            <w:pPr>
              <w:pStyle w:val="73R"/>
              <w:spacing w:after="240"/>
              <w:rPr>
                <w:spacing w:val="2"/>
                <w:rtl/>
              </w:rPr>
            </w:pPr>
            <w:r w:rsidRPr="008919A7">
              <w:rPr>
                <w:rFonts w:hint="cs"/>
                <w:rtl/>
              </w:rPr>
              <w:t xml:space="preserve">בידי עיריית </w:t>
            </w:r>
            <w:r w:rsidRPr="008919A7">
              <w:rPr>
                <w:rFonts w:hint="cs"/>
                <w:rtl/>
              </w:rPr>
              <w:t>סח</w:t>
            </w:r>
            <w:r w:rsidRPr="008919A7">
              <w:rPr>
                <w:rtl/>
              </w:rPr>
              <w:t>'</w:t>
            </w:r>
            <w:r w:rsidRPr="008919A7">
              <w:rPr>
                <w:rFonts w:hint="cs"/>
                <w:rtl/>
              </w:rPr>
              <w:t>נין</w:t>
            </w:r>
            <w:r w:rsidRPr="008919A7">
              <w:rPr>
                <w:rFonts w:hint="cs"/>
                <w:rtl/>
              </w:rPr>
              <w:t xml:space="preserve"> לא היה מידע מלא ומאגר נתונים מעודכן בעניין מספר השלטים שהותקנו בתחום שיפוטה</w:t>
            </w:r>
          </w:p>
        </w:tc>
        <w:tc>
          <w:tcPr>
            <w:tcW w:w="584" w:type="dxa"/>
            <w:shd w:val="clear" w:color="auto" w:fill="DFECEF"/>
          </w:tcPr>
          <w:p w:rsidR="008E69D9" w:rsidP="008E69D9" w14:paraId="341E73A4" w14:textId="24611AF2">
            <w:pPr>
              <w:pStyle w:val="73R"/>
              <w:rPr>
                <w:rtl/>
              </w:rPr>
            </w:pPr>
          </w:p>
        </w:tc>
        <w:tc>
          <w:tcPr>
            <w:tcW w:w="758" w:type="dxa"/>
            <w:shd w:val="clear" w:color="auto" w:fill="DFECEF"/>
          </w:tcPr>
          <w:p w:rsidR="008E69D9" w:rsidP="008E69D9" w14:paraId="0F472B94" w14:textId="4BED2F06">
            <w:pPr>
              <w:pStyle w:val="73R"/>
              <w:rPr>
                <w:rtl/>
              </w:rPr>
            </w:pPr>
          </w:p>
        </w:tc>
        <w:tc>
          <w:tcPr>
            <w:tcW w:w="733" w:type="dxa"/>
            <w:shd w:val="clear" w:color="auto" w:fill="DFECEF"/>
          </w:tcPr>
          <w:p w:rsidR="008E69D9" w:rsidP="008E69D9" w14:paraId="385F8DCE" w14:textId="4E3BBAA8">
            <w:pPr>
              <w:pStyle w:val="73R"/>
              <w:rPr>
                <w:rtl/>
              </w:rPr>
            </w:pPr>
          </w:p>
        </w:tc>
        <w:tc>
          <w:tcPr>
            <w:tcW w:w="685" w:type="dxa"/>
            <w:shd w:val="clear" w:color="auto" w:fill="DFECEF"/>
          </w:tcPr>
          <w:p w:rsidR="008E69D9" w:rsidP="008E69D9" w14:paraId="44CFE4CA" w14:textId="6474AC93">
            <w:pPr>
              <w:pStyle w:val="73R"/>
              <w:rPr>
                <w:rtl/>
              </w:rPr>
            </w:pPr>
            <w:r w:rsidRPr="00973C85">
              <w:rPr>
                <w:noProof/>
                <w:rtl/>
              </w:rPr>
              <mc:AlternateContent>
                <mc:Choice Requires="wps">
                  <w:drawing>
                    <wp:anchor distT="0" distB="0" distL="114300" distR="114300" simplePos="0" relativeHeight="251721728" behindDoc="0" locked="0" layoutInCell="1" allowOverlap="1">
                      <wp:simplePos x="0" y="0"/>
                      <wp:positionH relativeFrom="column">
                        <wp:posOffset>-53340</wp:posOffset>
                      </wp:positionH>
                      <wp:positionV relativeFrom="paragraph">
                        <wp:posOffset>315349</wp:posOffset>
                      </wp:positionV>
                      <wp:extent cx="1724660" cy="223520"/>
                      <wp:effectExtent l="12700" t="12700" r="15240" b="17780"/>
                      <wp:wrapNone/>
                      <wp:docPr id="1302044497" name="חץ שמאלה 1302044497" descr="תוקן באופן מלא"/>
                      <wp:cNvGraphicFramePr/>
                      <a:graphic xmlns:a="http://schemas.openxmlformats.org/drawingml/2006/main">
                        <a:graphicData uri="http://schemas.microsoft.com/office/word/2010/wordprocessingShape">
                          <wps:wsp xmlns:wps="http://schemas.microsoft.com/office/word/2010/wordprocessingShape">
                            <wps:cNvSpPr/>
                            <wps:spPr>
                              <a:xfrm>
                                <a:off x="0" y="0"/>
                                <a:ext cx="1724660" cy="223520"/>
                              </a:xfrm>
                              <a:prstGeom prst="leftArrow">
                                <a:avLst/>
                              </a:prstGeom>
                              <a:solidFill>
                                <a:srgbClr val="92CF4F"/>
                              </a:solidFill>
                              <a:ln w="25400">
                                <a:solidFill>
                                  <a:srgbClr val="92CF4F"/>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302044497" o:spid="_x0000_s1046" type="#_x0000_t66" alt="תוקן באופן מלא" style="width:135.8pt;height:17.6pt;margin-top:24.85pt;margin-left:-4.2pt;mso-height-percent:0;mso-height-relative:margin;mso-width-percent:0;mso-width-relative:margin;mso-wrap-distance-bottom:0;mso-wrap-distance-left:9pt;mso-wrap-distance-right:9pt;mso-wrap-distance-top:0;mso-wrap-style:square;position:absolute;visibility:visible;v-text-anchor:middle;z-index:251722752" adj="1400" fillcolor="#92cf4f" strokecolor="#92cf4f" strokeweight="2pt"/>
                  </w:pict>
                </mc:Fallback>
              </mc:AlternateContent>
            </w:r>
          </w:p>
        </w:tc>
      </w:tr>
      <w:tr w14:paraId="1422C672" w14:textId="77777777">
        <w:tblPrEx>
          <w:tblW w:w="7216" w:type="dxa"/>
          <w:tblInd w:w="397" w:type="dxa"/>
          <w:shd w:val="clear" w:color="auto" w:fill="DFECEF"/>
          <w:tblLook w:val="04A0"/>
        </w:tblPrEx>
        <w:tc>
          <w:tcPr>
            <w:tcW w:w="1474" w:type="dxa"/>
            <w:shd w:val="clear" w:color="auto" w:fill="F0F8F9"/>
          </w:tcPr>
          <w:p w:rsidR="008E69D9" w:rsidP="008E69D9" w14:paraId="7C49E182" w14:textId="364074FF">
            <w:pPr>
              <w:pStyle w:val="73R"/>
              <w:spacing w:after="240"/>
              <w:rPr>
                <w:rtl/>
              </w:rPr>
            </w:pPr>
            <w:r w:rsidRPr="008919A7">
              <w:rPr>
                <w:rFonts w:hint="cs"/>
                <w:rtl/>
              </w:rPr>
              <w:t>מאגר נתונים בדבר שלטים שהתקינו בעלי עסקים בתחום שיפוטן של הרשויות</w:t>
            </w:r>
          </w:p>
        </w:tc>
        <w:tc>
          <w:tcPr>
            <w:tcW w:w="998" w:type="dxa"/>
            <w:shd w:val="clear" w:color="auto" w:fill="F0F8F9"/>
          </w:tcPr>
          <w:p w:rsidR="008E69D9" w:rsidP="008E69D9" w14:paraId="395D392E" w14:textId="307A009F">
            <w:pPr>
              <w:pStyle w:val="73R"/>
              <w:spacing w:after="240"/>
              <w:rPr>
                <w:rtl/>
              </w:rPr>
            </w:pPr>
            <w:r w:rsidRPr="008919A7">
              <w:rPr>
                <w:rFonts w:hint="cs"/>
                <w:rtl/>
              </w:rPr>
              <w:t xml:space="preserve">המועצה המקומית </w:t>
            </w:r>
            <w:r w:rsidRPr="008919A7">
              <w:rPr>
                <w:rFonts w:hint="eastAsia"/>
                <w:rtl/>
              </w:rPr>
              <w:t>י</w:t>
            </w:r>
            <w:r w:rsidRPr="008919A7">
              <w:rPr>
                <w:rFonts w:hint="cs"/>
                <w:rtl/>
              </w:rPr>
              <w:t>רכא</w:t>
            </w:r>
          </w:p>
        </w:tc>
        <w:tc>
          <w:tcPr>
            <w:tcW w:w="1984" w:type="dxa"/>
            <w:shd w:val="clear" w:color="auto" w:fill="F0F8F9"/>
          </w:tcPr>
          <w:p w:rsidR="008E69D9" w:rsidP="008E69D9" w14:paraId="4867646A" w14:textId="62CE2797">
            <w:pPr>
              <w:pStyle w:val="73R"/>
              <w:spacing w:after="240"/>
              <w:rPr>
                <w:rtl/>
              </w:rPr>
            </w:pPr>
            <w:r w:rsidRPr="008919A7">
              <w:rPr>
                <w:rFonts w:hint="cs"/>
                <w:rtl/>
              </w:rPr>
              <w:t>בידי המועצה המקומית ירכא לא היה מידע מלא ומאגר נתונים מעודכן בעניין מספר השלטים שהותקנו בתחום שיפוטה</w:t>
            </w:r>
          </w:p>
        </w:tc>
        <w:tc>
          <w:tcPr>
            <w:tcW w:w="584" w:type="dxa"/>
            <w:shd w:val="clear" w:color="auto" w:fill="F0F8F9"/>
          </w:tcPr>
          <w:p w:rsidR="008E69D9" w:rsidP="008E69D9" w14:paraId="41841405" w14:textId="2A7B659D">
            <w:pPr>
              <w:pStyle w:val="73R"/>
              <w:rPr>
                <w:rtl/>
              </w:rPr>
            </w:pPr>
            <w:r w:rsidRPr="00973C85">
              <w:rPr>
                <w:noProof/>
                <w:rtl/>
              </w:rPr>
              <mc:AlternateContent>
                <mc:Choice Requires="wps">
                  <w:drawing>
                    <wp:anchor distT="0" distB="0" distL="114300" distR="114300" simplePos="0" relativeHeight="251723776" behindDoc="0" locked="0" layoutInCell="1" allowOverlap="1">
                      <wp:simplePos x="0" y="0"/>
                      <wp:positionH relativeFrom="column">
                        <wp:posOffset>-542516</wp:posOffset>
                      </wp:positionH>
                      <wp:positionV relativeFrom="paragraph">
                        <wp:posOffset>331695</wp:posOffset>
                      </wp:positionV>
                      <wp:extent cx="831850" cy="223520"/>
                      <wp:effectExtent l="12700" t="12700" r="19050" b="17780"/>
                      <wp:wrapNone/>
                      <wp:docPr id="1689340154" name="חץ שמאלה 1689340154"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689340154" o:spid="_x0000_s1047" type="#_x0000_t66" alt="תוקן במידה מועטה" style="width:65.5pt;height:17.6pt;margin-top:26.1pt;margin-left:-42.7pt;mso-height-percent:0;mso-height-relative:margin;mso-width-percent:0;mso-width-relative:margin;mso-wrap-distance-bottom:0;mso-wrap-distance-left:9pt;mso-wrap-distance-right:9pt;mso-wrap-distance-top:0;mso-wrap-style:square;position:absolute;visibility:visible;v-text-anchor:middle;z-index:251724800" adj="2902" fillcolor="#ffc002" strokecolor="#ffc002" strokeweight="2pt"/>
                  </w:pict>
                </mc:Fallback>
              </mc:AlternateContent>
            </w:r>
          </w:p>
        </w:tc>
        <w:tc>
          <w:tcPr>
            <w:tcW w:w="758" w:type="dxa"/>
            <w:shd w:val="clear" w:color="auto" w:fill="F0F8F9"/>
          </w:tcPr>
          <w:p w:rsidR="008E69D9" w:rsidP="008E69D9" w14:paraId="0300D1AC" w14:textId="483EC0E8">
            <w:pPr>
              <w:pStyle w:val="73R"/>
              <w:rPr>
                <w:rtl/>
              </w:rPr>
            </w:pPr>
          </w:p>
        </w:tc>
        <w:tc>
          <w:tcPr>
            <w:tcW w:w="733" w:type="dxa"/>
            <w:shd w:val="clear" w:color="auto" w:fill="F0F8F9"/>
          </w:tcPr>
          <w:p w:rsidR="008E69D9" w:rsidP="008E69D9" w14:paraId="51785C65" w14:textId="77777777">
            <w:pPr>
              <w:pStyle w:val="73R"/>
              <w:rPr>
                <w:rtl/>
              </w:rPr>
            </w:pPr>
          </w:p>
        </w:tc>
        <w:tc>
          <w:tcPr>
            <w:tcW w:w="685" w:type="dxa"/>
            <w:shd w:val="clear" w:color="auto" w:fill="F0F8F9"/>
          </w:tcPr>
          <w:p w:rsidR="008E69D9" w:rsidP="008E69D9" w14:paraId="117D6F48" w14:textId="3806F93C">
            <w:pPr>
              <w:pStyle w:val="73R"/>
              <w:rPr>
                <w:rtl/>
              </w:rPr>
            </w:pPr>
          </w:p>
        </w:tc>
      </w:tr>
      <w:tr w14:paraId="2CF095CE" w14:textId="77777777">
        <w:tblPrEx>
          <w:tblW w:w="7216" w:type="dxa"/>
          <w:tblInd w:w="397" w:type="dxa"/>
          <w:shd w:val="clear" w:color="auto" w:fill="DFECEF"/>
          <w:tblLook w:val="04A0"/>
        </w:tblPrEx>
        <w:tc>
          <w:tcPr>
            <w:tcW w:w="1474" w:type="dxa"/>
            <w:shd w:val="clear" w:color="auto" w:fill="DFECEF"/>
          </w:tcPr>
          <w:p w:rsidR="008E69D9" w:rsidP="008E69D9" w14:paraId="1523BA1D" w14:textId="47F54467">
            <w:pPr>
              <w:pStyle w:val="73R"/>
              <w:spacing w:after="240"/>
              <w:rPr>
                <w:rtl/>
              </w:rPr>
            </w:pPr>
            <w:r w:rsidRPr="008919A7">
              <w:rPr>
                <w:rFonts w:hint="cs"/>
                <w:rtl/>
              </w:rPr>
              <w:t xml:space="preserve">מאגר נתונים בדבר שלטים שהתקינו בעלי עסקים בתחום שיפוטן של הרשויות </w:t>
            </w:r>
          </w:p>
        </w:tc>
        <w:tc>
          <w:tcPr>
            <w:tcW w:w="998" w:type="dxa"/>
            <w:shd w:val="clear" w:color="auto" w:fill="DFECEF"/>
          </w:tcPr>
          <w:p w:rsidR="008E69D9" w:rsidP="008E69D9" w14:paraId="16A7B4F1" w14:textId="065FB321">
            <w:pPr>
              <w:pStyle w:val="73R"/>
              <w:spacing w:after="240"/>
              <w:rPr>
                <w:rtl/>
              </w:rPr>
            </w:pPr>
            <w:r w:rsidRPr="008919A7">
              <w:rPr>
                <w:rFonts w:hint="cs"/>
                <w:rtl/>
              </w:rPr>
              <w:t xml:space="preserve">המועצה המקומית כפר </w:t>
            </w:r>
            <w:r w:rsidRPr="008919A7">
              <w:rPr>
                <w:rFonts w:hint="cs"/>
                <w:rtl/>
              </w:rPr>
              <w:t>יאסיף</w:t>
            </w:r>
          </w:p>
        </w:tc>
        <w:tc>
          <w:tcPr>
            <w:tcW w:w="1984" w:type="dxa"/>
            <w:shd w:val="clear" w:color="auto" w:fill="DFECEF"/>
          </w:tcPr>
          <w:p w:rsidR="008E69D9" w:rsidP="008E69D9" w14:paraId="3AD54330" w14:textId="551B5B76">
            <w:pPr>
              <w:pStyle w:val="73R"/>
              <w:spacing w:after="240"/>
              <w:rPr>
                <w:rtl/>
              </w:rPr>
            </w:pPr>
            <w:r w:rsidRPr="008919A7">
              <w:rPr>
                <w:rFonts w:hint="cs"/>
                <w:rtl/>
              </w:rPr>
              <w:t>בידי המועצה המקומית לא היה מידע מלא ומאגר נתונים מעודכן בעניין מספר השלטים שהותקנו בתחום שיפוטה</w:t>
            </w:r>
          </w:p>
        </w:tc>
        <w:tc>
          <w:tcPr>
            <w:tcW w:w="584" w:type="dxa"/>
            <w:shd w:val="clear" w:color="auto" w:fill="DFECEF"/>
          </w:tcPr>
          <w:p w:rsidR="008E69D9" w:rsidP="008E69D9" w14:paraId="227F66C6" w14:textId="521DA133">
            <w:pPr>
              <w:pStyle w:val="73R"/>
              <w:rPr>
                <w:rtl/>
              </w:rPr>
            </w:pPr>
            <w:r w:rsidRPr="00973C85">
              <w:rPr>
                <w:noProof/>
                <w:rtl/>
              </w:rPr>
              <mc:AlternateContent>
                <mc:Choice Requires="wps">
                  <w:drawing>
                    <wp:anchor distT="0" distB="0" distL="114300" distR="114300" simplePos="0" relativeHeight="251725824" behindDoc="0" locked="0" layoutInCell="1" allowOverlap="1">
                      <wp:simplePos x="0" y="0"/>
                      <wp:positionH relativeFrom="column">
                        <wp:posOffset>-64135</wp:posOffset>
                      </wp:positionH>
                      <wp:positionV relativeFrom="paragraph">
                        <wp:posOffset>339725</wp:posOffset>
                      </wp:positionV>
                      <wp:extent cx="357505" cy="223520"/>
                      <wp:effectExtent l="12700" t="12700" r="10795" b="17780"/>
                      <wp:wrapNone/>
                      <wp:docPr id="650631147" name="חץ שמאלה 650631147"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650631147" o:spid="_x0000_s1048" type="#_x0000_t66" alt="לא תוקן" style="width:28.15pt;height:17.6pt;margin-top:26.75pt;margin-left:-5.05pt;mso-height-percent:0;mso-height-relative:margin;mso-width-percent:0;mso-width-relative:margin;mso-wrap-distance-bottom:0;mso-wrap-distance-left:9pt;mso-wrap-distance-right:9pt;mso-wrap-distance-top:0;mso-wrap-style:square;position:absolute;visibility:visible;v-text-anchor:middle;z-index:251726848" adj="6752" fillcolor="#ff0100" strokecolor="#ff0100" strokeweight="2pt"/>
                  </w:pict>
                </mc:Fallback>
              </mc:AlternateContent>
            </w:r>
          </w:p>
        </w:tc>
        <w:tc>
          <w:tcPr>
            <w:tcW w:w="758" w:type="dxa"/>
            <w:shd w:val="clear" w:color="auto" w:fill="DFECEF"/>
          </w:tcPr>
          <w:p w:rsidR="008E69D9" w:rsidP="008E69D9" w14:paraId="0C9687B5" w14:textId="530A1F64">
            <w:pPr>
              <w:pStyle w:val="73R"/>
              <w:rPr>
                <w:rtl/>
              </w:rPr>
            </w:pPr>
          </w:p>
        </w:tc>
        <w:tc>
          <w:tcPr>
            <w:tcW w:w="733" w:type="dxa"/>
            <w:shd w:val="clear" w:color="auto" w:fill="DFECEF"/>
          </w:tcPr>
          <w:p w:rsidR="008E69D9" w:rsidP="008E69D9" w14:paraId="05E0F310" w14:textId="77777777">
            <w:pPr>
              <w:pStyle w:val="73R"/>
              <w:rPr>
                <w:rtl/>
              </w:rPr>
            </w:pPr>
          </w:p>
        </w:tc>
        <w:tc>
          <w:tcPr>
            <w:tcW w:w="685" w:type="dxa"/>
            <w:shd w:val="clear" w:color="auto" w:fill="DFECEF"/>
          </w:tcPr>
          <w:p w:rsidR="008E69D9" w:rsidP="008E69D9" w14:paraId="21D96B28" w14:textId="77777777">
            <w:pPr>
              <w:pStyle w:val="73R"/>
              <w:rPr>
                <w:rtl/>
              </w:rPr>
            </w:pPr>
          </w:p>
        </w:tc>
      </w:tr>
      <w:tr w14:paraId="6A9B19BE" w14:textId="77777777">
        <w:tblPrEx>
          <w:tblW w:w="7216" w:type="dxa"/>
          <w:tblInd w:w="397" w:type="dxa"/>
          <w:shd w:val="clear" w:color="auto" w:fill="DFECEF"/>
          <w:tblLook w:val="04A0"/>
        </w:tblPrEx>
        <w:tc>
          <w:tcPr>
            <w:tcW w:w="1474" w:type="dxa"/>
            <w:shd w:val="clear" w:color="auto" w:fill="F0F8F9"/>
          </w:tcPr>
          <w:p w:rsidR="008E69D9" w:rsidP="008E69D9" w14:paraId="24AFC320" w14:textId="755B85C2">
            <w:pPr>
              <w:pStyle w:val="73R"/>
              <w:rPr>
                <w:rtl/>
              </w:rPr>
            </w:pPr>
            <w:r w:rsidRPr="008919A7">
              <w:rPr>
                <w:rFonts w:hint="cs"/>
                <w:rtl/>
              </w:rPr>
              <w:t>טיפול הרשויות המקומיות בהצבת שלטים בתחום שיפוטן</w:t>
            </w:r>
          </w:p>
        </w:tc>
        <w:tc>
          <w:tcPr>
            <w:tcW w:w="998" w:type="dxa"/>
            <w:shd w:val="clear" w:color="auto" w:fill="F0F8F9"/>
          </w:tcPr>
          <w:p w:rsidR="008E69D9" w:rsidP="008E69D9" w14:paraId="05DD5A73" w14:textId="4205BD49">
            <w:pPr>
              <w:pStyle w:val="73R"/>
              <w:rPr>
                <w:rtl/>
              </w:rPr>
            </w:pPr>
            <w:r w:rsidRPr="008919A7">
              <w:rPr>
                <w:rFonts w:hint="cs"/>
                <w:rtl/>
              </w:rPr>
              <w:t xml:space="preserve">עיריית טבריה </w:t>
            </w:r>
            <w:r w:rsidRPr="008919A7">
              <w:rPr>
                <w:rFonts w:hint="cs"/>
                <w:rtl/>
              </w:rPr>
              <w:t>וחכ"ל</w:t>
            </w:r>
            <w:r w:rsidRPr="008919A7">
              <w:rPr>
                <w:rFonts w:hint="cs"/>
                <w:rtl/>
              </w:rPr>
              <w:t xml:space="preserve"> טבריה</w:t>
            </w:r>
          </w:p>
        </w:tc>
        <w:tc>
          <w:tcPr>
            <w:tcW w:w="1984" w:type="dxa"/>
            <w:shd w:val="clear" w:color="auto" w:fill="F0F8F9"/>
          </w:tcPr>
          <w:p w:rsidR="008E69D9" w:rsidP="008E69D9" w14:paraId="17E3AD9E" w14:textId="67F62277">
            <w:pPr>
              <w:pStyle w:val="73R"/>
              <w:rPr>
                <w:rtl/>
              </w:rPr>
            </w:pPr>
            <w:r w:rsidRPr="008919A7">
              <w:rPr>
                <w:rFonts w:hint="cs"/>
                <w:rtl/>
              </w:rPr>
              <w:t xml:space="preserve">עיריית טבריה </w:t>
            </w:r>
            <w:r w:rsidRPr="008919A7">
              <w:rPr>
                <w:rFonts w:hint="cs"/>
                <w:rtl/>
              </w:rPr>
              <w:t>וחכ"ל</w:t>
            </w:r>
            <w:r w:rsidRPr="008919A7">
              <w:rPr>
                <w:rFonts w:hint="cs"/>
                <w:rtl/>
              </w:rPr>
              <w:t xml:space="preserve"> טבריה לא נקטו צעדים ממשים נגד חברה ה' וגם לא פעלו להסרת שלטים, אף שהחברה התקינה בשטחים ציבוריים ברחבי טבריה מתקני פרסום בלא שקבלה אישור לכך כנדרש</w:t>
            </w:r>
          </w:p>
        </w:tc>
        <w:tc>
          <w:tcPr>
            <w:tcW w:w="584" w:type="dxa"/>
            <w:shd w:val="clear" w:color="auto" w:fill="F0F8F9"/>
          </w:tcPr>
          <w:p w:rsidR="008E69D9" w:rsidP="008E69D9" w14:paraId="148856F3" w14:textId="3B7F02FA">
            <w:pPr>
              <w:pStyle w:val="73R"/>
              <w:rPr>
                <w:rtl/>
              </w:rPr>
            </w:pPr>
            <w:r w:rsidRPr="00973C85">
              <w:rPr>
                <w:noProof/>
                <w:rtl/>
              </w:rPr>
              <mc:AlternateContent>
                <mc:Choice Requires="wps">
                  <w:drawing>
                    <wp:anchor distT="0" distB="0" distL="114300" distR="114300" simplePos="0" relativeHeight="251727872" behindDoc="0" locked="0" layoutInCell="1" allowOverlap="1">
                      <wp:simplePos x="0" y="0"/>
                      <wp:positionH relativeFrom="column">
                        <wp:posOffset>-64135</wp:posOffset>
                      </wp:positionH>
                      <wp:positionV relativeFrom="paragraph">
                        <wp:posOffset>563245</wp:posOffset>
                      </wp:positionV>
                      <wp:extent cx="357505" cy="223520"/>
                      <wp:effectExtent l="12700" t="12700" r="10795" b="17780"/>
                      <wp:wrapNone/>
                      <wp:docPr id="472249349" name="חץ שמאלה 472249349"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472249349" o:spid="_x0000_s1049" type="#_x0000_t66" alt="לא תוקן" style="width:28.15pt;height:17.6pt;margin-top:44.35pt;margin-left:-5.05pt;mso-height-percent:0;mso-height-relative:margin;mso-width-percent:0;mso-width-relative:margin;mso-wrap-distance-bottom:0;mso-wrap-distance-left:9pt;mso-wrap-distance-right:9pt;mso-wrap-distance-top:0;mso-wrap-style:square;position:absolute;visibility:visible;v-text-anchor:middle;z-index:251728896" adj="6752" fillcolor="#ff0100" strokecolor="#ff0100" strokeweight="2pt"/>
                  </w:pict>
                </mc:Fallback>
              </mc:AlternateContent>
            </w:r>
          </w:p>
        </w:tc>
        <w:tc>
          <w:tcPr>
            <w:tcW w:w="758" w:type="dxa"/>
            <w:shd w:val="clear" w:color="auto" w:fill="F0F8F9"/>
          </w:tcPr>
          <w:p w:rsidR="008E69D9" w:rsidP="008E69D9" w14:paraId="4D7C65DE" w14:textId="77777777">
            <w:pPr>
              <w:pStyle w:val="73R"/>
              <w:rPr>
                <w:rtl/>
              </w:rPr>
            </w:pPr>
          </w:p>
        </w:tc>
        <w:tc>
          <w:tcPr>
            <w:tcW w:w="733" w:type="dxa"/>
            <w:shd w:val="clear" w:color="auto" w:fill="F0F8F9"/>
          </w:tcPr>
          <w:p w:rsidR="008E69D9" w:rsidP="008E69D9" w14:paraId="385CDB54" w14:textId="77777777">
            <w:pPr>
              <w:pStyle w:val="73R"/>
              <w:rPr>
                <w:rtl/>
              </w:rPr>
            </w:pPr>
          </w:p>
        </w:tc>
        <w:tc>
          <w:tcPr>
            <w:tcW w:w="685" w:type="dxa"/>
            <w:shd w:val="clear" w:color="auto" w:fill="F0F8F9"/>
          </w:tcPr>
          <w:p w:rsidR="008E69D9" w:rsidP="008E69D9" w14:paraId="5D56EBA6" w14:textId="77777777">
            <w:pPr>
              <w:pStyle w:val="73R"/>
              <w:rPr>
                <w:rtl/>
              </w:rPr>
            </w:pPr>
          </w:p>
        </w:tc>
      </w:tr>
      <w:tr w14:paraId="2F1DCF02" w14:textId="77777777">
        <w:tblPrEx>
          <w:tblW w:w="7216" w:type="dxa"/>
          <w:tblInd w:w="397" w:type="dxa"/>
          <w:shd w:val="clear" w:color="auto" w:fill="DFECEF"/>
          <w:tblLook w:val="04A0"/>
        </w:tblPrEx>
        <w:tc>
          <w:tcPr>
            <w:tcW w:w="1474" w:type="dxa"/>
            <w:shd w:val="clear" w:color="auto" w:fill="DFECEF"/>
          </w:tcPr>
          <w:p w:rsidR="008E69D9" w:rsidP="008E69D9" w14:paraId="5B377114" w14:textId="288F82E3">
            <w:pPr>
              <w:pStyle w:val="73R"/>
              <w:rPr>
                <w:rtl/>
              </w:rPr>
            </w:pPr>
            <w:r w:rsidRPr="008919A7">
              <w:rPr>
                <w:rFonts w:hint="cs"/>
                <w:rtl/>
              </w:rPr>
              <w:t>טיפול הרשויות המקומיות בהצבת שלטים בתחום שיפוטן</w:t>
            </w:r>
          </w:p>
        </w:tc>
        <w:tc>
          <w:tcPr>
            <w:tcW w:w="998" w:type="dxa"/>
            <w:shd w:val="clear" w:color="auto" w:fill="DFECEF"/>
          </w:tcPr>
          <w:p w:rsidR="008E69D9" w:rsidP="008E69D9" w14:paraId="78F9EB0C" w14:textId="1035A890">
            <w:pPr>
              <w:pStyle w:val="73R"/>
              <w:rPr>
                <w:rtl/>
              </w:rPr>
            </w:pPr>
            <w:r w:rsidRPr="008919A7">
              <w:rPr>
                <w:rFonts w:hint="cs"/>
                <w:rtl/>
              </w:rPr>
              <w:t>המועצה המקומית ירכא</w:t>
            </w:r>
          </w:p>
        </w:tc>
        <w:tc>
          <w:tcPr>
            <w:tcW w:w="1984" w:type="dxa"/>
            <w:shd w:val="clear" w:color="auto" w:fill="DFECEF"/>
          </w:tcPr>
          <w:p w:rsidR="008E69D9" w:rsidP="008E69D9" w14:paraId="26BB22F2" w14:textId="3CA8B9C0">
            <w:pPr>
              <w:pStyle w:val="73R"/>
              <w:rPr>
                <w:rtl/>
              </w:rPr>
            </w:pPr>
            <w:r w:rsidRPr="008919A7">
              <w:rPr>
                <w:rFonts w:hint="cs"/>
                <w:rtl/>
              </w:rPr>
              <w:t>חרף התופעה החמורה של התקנת שלטים ללא היתר בתחום שיפוטה של המועצה המקומית ירכא, לא נקטה המועצה את האמצעים העומדים לרשותה לפירוק השלטים שהוצבו ללא כדין ולהסרת המפגעים האמורים</w:t>
            </w:r>
          </w:p>
        </w:tc>
        <w:tc>
          <w:tcPr>
            <w:tcW w:w="584" w:type="dxa"/>
            <w:shd w:val="clear" w:color="auto" w:fill="DFECEF"/>
          </w:tcPr>
          <w:p w:rsidR="008E69D9" w:rsidP="008E69D9" w14:paraId="743873DB" w14:textId="31D51F06">
            <w:pPr>
              <w:pStyle w:val="73R"/>
              <w:rPr>
                <w:rtl/>
              </w:rPr>
            </w:pPr>
            <w:r w:rsidRPr="00973C85">
              <w:rPr>
                <w:noProof/>
                <w:rtl/>
              </w:rPr>
              <mc:AlternateContent>
                <mc:Choice Requires="wps">
                  <w:drawing>
                    <wp:anchor distT="0" distB="0" distL="114300" distR="114300" simplePos="0" relativeHeight="251729920" behindDoc="0" locked="0" layoutInCell="1" allowOverlap="1">
                      <wp:simplePos x="0" y="0"/>
                      <wp:positionH relativeFrom="column">
                        <wp:posOffset>-64135</wp:posOffset>
                      </wp:positionH>
                      <wp:positionV relativeFrom="paragraph">
                        <wp:posOffset>565785</wp:posOffset>
                      </wp:positionV>
                      <wp:extent cx="357505" cy="223520"/>
                      <wp:effectExtent l="12700" t="12700" r="10795" b="17780"/>
                      <wp:wrapNone/>
                      <wp:docPr id="1974787533" name="חץ שמאלה 1974787533"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974787533" o:spid="_x0000_s1050" type="#_x0000_t66" alt="לא תוקן" style="width:28.15pt;height:17.6pt;margin-top:44.55pt;margin-left:-5.05pt;mso-height-percent:0;mso-height-relative:margin;mso-width-percent:0;mso-width-relative:margin;mso-wrap-distance-bottom:0;mso-wrap-distance-left:9pt;mso-wrap-distance-right:9pt;mso-wrap-distance-top:0;mso-wrap-style:square;position:absolute;visibility:visible;v-text-anchor:middle;z-index:251730944" adj="6752" fillcolor="#ff0100" strokecolor="#ff0100" strokeweight="2pt"/>
                  </w:pict>
                </mc:Fallback>
              </mc:AlternateContent>
            </w:r>
          </w:p>
        </w:tc>
        <w:tc>
          <w:tcPr>
            <w:tcW w:w="758" w:type="dxa"/>
            <w:shd w:val="clear" w:color="auto" w:fill="DFECEF"/>
          </w:tcPr>
          <w:p w:rsidR="008E69D9" w:rsidP="008E69D9" w14:paraId="34C17F83" w14:textId="77777777">
            <w:pPr>
              <w:pStyle w:val="73R"/>
              <w:rPr>
                <w:rtl/>
              </w:rPr>
            </w:pPr>
          </w:p>
        </w:tc>
        <w:tc>
          <w:tcPr>
            <w:tcW w:w="733" w:type="dxa"/>
            <w:shd w:val="clear" w:color="auto" w:fill="DFECEF"/>
          </w:tcPr>
          <w:p w:rsidR="008E69D9" w:rsidP="008E69D9" w14:paraId="7E458E3E" w14:textId="77777777">
            <w:pPr>
              <w:pStyle w:val="73R"/>
              <w:rPr>
                <w:rtl/>
              </w:rPr>
            </w:pPr>
          </w:p>
        </w:tc>
        <w:tc>
          <w:tcPr>
            <w:tcW w:w="685" w:type="dxa"/>
            <w:shd w:val="clear" w:color="auto" w:fill="DFECEF"/>
          </w:tcPr>
          <w:p w:rsidR="008E69D9" w:rsidP="008E69D9" w14:paraId="4D6ECF91" w14:textId="77777777">
            <w:pPr>
              <w:pStyle w:val="73R"/>
              <w:rPr>
                <w:rtl/>
              </w:rPr>
            </w:pPr>
          </w:p>
        </w:tc>
      </w:tr>
      <w:tr w14:paraId="5A05E24C" w14:textId="77777777" w:rsidTr="008E69D9">
        <w:tblPrEx>
          <w:tblW w:w="7216" w:type="dxa"/>
          <w:tblInd w:w="397" w:type="dxa"/>
          <w:shd w:val="clear" w:color="auto" w:fill="DFECEF"/>
          <w:tblLook w:val="04A0"/>
        </w:tblPrEx>
        <w:tc>
          <w:tcPr>
            <w:tcW w:w="1474" w:type="dxa"/>
            <w:shd w:val="clear" w:color="auto" w:fill="F1F9FA"/>
          </w:tcPr>
          <w:p w:rsidR="008E69D9" w:rsidRPr="00F6117F" w:rsidP="008E69D9" w14:paraId="4FDFD76B" w14:textId="491CFFF6">
            <w:pPr>
              <w:pStyle w:val="73R"/>
              <w:rPr>
                <w:rtl/>
              </w:rPr>
            </w:pPr>
            <w:r w:rsidRPr="008919A7">
              <w:rPr>
                <w:rFonts w:hint="cs"/>
                <w:rtl/>
              </w:rPr>
              <w:t>טיפול הרשויות המקומיות בהצבת שלטים בתחום שיפוטן</w:t>
            </w:r>
          </w:p>
        </w:tc>
        <w:tc>
          <w:tcPr>
            <w:tcW w:w="998" w:type="dxa"/>
            <w:shd w:val="clear" w:color="auto" w:fill="F1F9FA"/>
          </w:tcPr>
          <w:p w:rsidR="008E69D9" w:rsidRPr="00F6117F" w:rsidP="008E69D9" w14:paraId="59581696" w14:textId="616858BE">
            <w:pPr>
              <w:pStyle w:val="73R"/>
              <w:rPr>
                <w:rtl/>
              </w:rPr>
            </w:pPr>
            <w:r w:rsidRPr="008919A7">
              <w:rPr>
                <w:rFonts w:hint="cs"/>
                <w:rtl/>
              </w:rPr>
              <w:t xml:space="preserve">המועצה המקומית כפר </w:t>
            </w:r>
            <w:r w:rsidRPr="008919A7">
              <w:rPr>
                <w:rFonts w:hint="cs"/>
                <w:rtl/>
              </w:rPr>
              <w:t>יאסיף</w:t>
            </w:r>
          </w:p>
        </w:tc>
        <w:tc>
          <w:tcPr>
            <w:tcW w:w="1984" w:type="dxa"/>
            <w:shd w:val="clear" w:color="auto" w:fill="F1F9FA"/>
          </w:tcPr>
          <w:p w:rsidR="008E69D9" w:rsidRPr="00F6117F" w:rsidP="008E69D9" w14:paraId="236755DB" w14:textId="157EE793">
            <w:pPr>
              <w:pStyle w:val="73R"/>
              <w:rPr>
                <w:rtl/>
              </w:rPr>
            </w:pPr>
            <w:r w:rsidRPr="008919A7">
              <w:rPr>
                <w:rFonts w:hint="cs"/>
                <w:rtl/>
              </w:rPr>
              <w:t xml:space="preserve">בכביש הראשי של המועצה המקומית כפר </w:t>
            </w:r>
            <w:r w:rsidRPr="008919A7">
              <w:rPr>
                <w:rFonts w:hint="cs"/>
                <w:rtl/>
              </w:rPr>
              <w:t>יאסיף</w:t>
            </w:r>
            <w:r w:rsidRPr="008919A7">
              <w:rPr>
                <w:rFonts w:hint="cs"/>
                <w:rtl/>
              </w:rPr>
              <w:t xml:space="preserve"> ובמקומות נוספים בתחום שיפוטה של המועצה הוצבו שלטים רבים ללא אישור המועצה כדין ובצפיפות גבוהה וחלקם אף יצרו מפגע בטיחותי. המועצה לא נקטה את האמצעים העומדים לרשותה לפירוק השלטים ולהסרת המפגעים האמורים</w:t>
            </w:r>
          </w:p>
        </w:tc>
        <w:tc>
          <w:tcPr>
            <w:tcW w:w="584" w:type="dxa"/>
            <w:shd w:val="clear" w:color="auto" w:fill="F1F9FA"/>
          </w:tcPr>
          <w:p w:rsidR="008E69D9" w:rsidP="008E69D9" w14:paraId="4E557279" w14:textId="2DE3A027">
            <w:pPr>
              <w:pStyle w:val="73R"/>
              <w:rPr>
                <w:rtl/>
              </w:rPr>
            </w:pPr>
            <w:r w:rsidRPr="00973C85">
              <w:rPr>
                <w:noProof/>
                <w:rtl/>
              </w:rPr>
              <mc:AlternateContent>
                <mc:Choice Requires="wps">
                  <w:drawing>
                    <wp:anchor distT="0" distB="0" distL="114300" distR="114300" simplePos="0" relativeHeight="251731968" behindDoc="0" locked="0" layoutInCell="1" allowOverlap="1">
                      <wp:simplePos x="0" y="0"/>
                      <wp:positionH relativeFrom="column">
                        <wp:posOffset>-64135</wp:posOffset>
                      </wp:positionH>
                      <wp:positionV relativeFrom="paragraph">
                        <wp:posOffset>735392</wp:posOffset>
                      </wp:positionV>
                      <wp:extent cx="357505" cy="223520"/>
                      <wp:effectExtent l="12700" t="12700" r="10795" b="17780"/>
                      <wp:wrapNone/>
                      <wp:docPr id="1867825030" name="חץ שמאלה 1867825030"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867825030" o:spid="_x0000_s1051" type="#_x0000_t66" alt="לא תוקן" style="width:28.15pt;height:17.6pt;margin-top:57.9pt;margin-left:-5.05pt;mso-height-percent:0;mso-height-relative:margin;mso-width-percent:0;mso-width-relative:margin;mso-wrap-distance-bottom:0;mso-wrap-distance-left:9pt;mso-wrap-distance-right:9pt;mso-wrap-distance-top:0;mso-wrap-style:square;position:absolute;visibility:visible;v-text-anchor:middle;z-index:251732992" adj="6752" fillcolor="#ff0100" strokecolor="#ff0100" strokeweight="2pt"/>
                  </w:pict>
                </mc:Fallback>
              </mc:AlternateContent>
            </w:r>
          </w:p>
        </w:tc>
        <w:tc>
          <w:tcPr>
            <w:tcW w:w="758" w:type="dxa"/>
            <w:shd w:val="clear" w:color="auto" w:fill="F1F9FA"/>
          </w:tcPr>
          <w:p w:rsidR="008E69D9" w:rsidP="008E69D9" w14:paraId="3F156379" w14:textId="77777777">
            <w:pPr>
              <w:pStyle w:val="73R"/>
              <w:rPr>
                <w:rtl/>
              </w:rPr>
            </w:pPr>
          </w:p>
        </w:tc>
        <w:tc>
          <w:tcPr>
            <w:tcW w:w="733" w:type="dxa"/>
            <w:shd w:val="clear" w:color="auto" w:fill="F1F9FA"/>
          </w:tcPr>
          <w:p w:rsidR="008E69D9" w:rsidP="008E69D9" w14:paraId="3295F8CB" w14:textId="77777777">
            <w:pPr>
              <w:pStyle w:val="73R"/>
              <w:rPr>
                <w:rtl/>
              </w:rPr>
            </w:pPr>
          </w:p>
        </w:tc>
        <w:tc>
          <w:tcPr>
            <w:tcW w:w="685" w:type="dxa"/>
            <w:shd w:val="clear" w:color="auto" w:fill="F1F9FA"/>
          </w:tcPr>
          <w:p w:rsidR="008E69D9" w:rsidP="008E69D9" w14:paraId="3E764370" w14:textId="77777777">
            <w:pPr>
              <w:pStyle w:val="73R"/>
              <w:rPr>
                <w:rtl/>
              </w:rPr>
            </w:pPr>
          </w:p>
        </w:tc>
      </w:tr>
      <w:tr w14:paraId="2EC75527" w14:textId="77777777" w:rsidTr="008E69D9">
        <w:tblPrEx>
          <w:tblW w:w="7216" w:type="dxa"/>
          <w:tblInd w:w="397" w:type="dxa"/>
          <w:shd w:val="clear" w:color="auto" w:fill="DFECEF"/>
          <w:tblLook w:val="04A0"/>
        </w:tblPrEx>
        <w:tc>
          <w:tcPr>
            <w:tcW w:w="1474" w:type="dxa"/>
            <w:shd w:val="clear" w:color="auto" w:fill="E0EDF0"/>
          </w:tcPr>
          <w:p w:rsidR="008E69D9" w:rsidRPr="00F6117F" w:rsidP="008E69D9" w14:paraId="2EC769CF" w14:textId="78945E66">
            <w:pPr>
              <w:pStyle w:val="73R"/>
              <w:rPr>
                <w:rtl/>
              </w:rPr>
            </w:pPr>
            <w:r w:rsidRPr="008919A7">
              <w:rPr>
                <w:rFonts w:hint="cs"/>
                <w:rtl/>
              </w:rPr>
              <w:t xml:space="preserve">טיפול הרשויות המקומיות בהצבת שלטים בתחום שיפוטה </w:t>
            </w:r>
          </w:p>
        </w:tc>
        <w:tc>
          <w:tcPr>
            <w:tcW w:w="998" w:type="dxa"/>
            <w:shd w:val="clear" w:color="auto" w:fill="E0EDF0"/>
          </w:tcPr>
          <w:p w:rsidR="008E69D9" w:rsidRPr="00F6117F" w:rsidP="008E69D9" w14:paraId="3332E8C4" w14:textId="7B214DEE">
            <w:pPr>
              <w:pStyle w:val="73R"/>
              <w:rPr>
                <w:rtl/>
              </w:rPr>
            </w:pPr>
            <w:r w:rsidRPr="008919A7">
              <w:rPr>
                <w:rFonts w:hint="cs"/>
                <w:rtl/>
              </w:rPr>
              <w:t xml:space="preserve">עיריית </w:t>
            </w:r>
            <w:r w:rsidRPr="008919A7">
              <w:rPr>
                <w:rFonts w:hint="cs"/>
                <w:rtl/>
              </w:rPr>
              <w:t>סח'נין</w:t>
            </w:r>
          </w:p>
        </w:tc>
        <w:tc>
          <w:tcPr>
            <w:tcW w:w="1984" w:type="dxa"/>
            <w:shd w:val="clear" w:color="auto" w:fill="E0EDF0"/>
          </w:tcPr>
          <w:p w:rsidR="008E69D9" w:rsidRPr="00F6117F" w:rsidP="008E69D9" w14:paraId="43187461" w14:textId="4086A8BA">
            <w:pPr>
              <w:pStyle w:val="73R"/>
              <w:rPr>
                <w:rtl/>
              </w:rPr>
            </w:pPr>
            <w:r w:rsidRPr="008919A7">
              <w:rPr>
                <w:rFonts w:hint="cs"/>
                <w:rtl/>
              </w:rPr>
              <w:t>בשטחים ציבוריים ובמתקנים עירוניים הותקנו שלטים בלי אישור העירייה להצבתם והעירייה לא נקטה פעולות אכיפה בעניין, למעט במקרים מועטים</w:t>
            </w:r>
          </w:p>
        </w:tc>
        <w:tc>
          <w:tcPr>
            <w:tcW w:w="584" w:type="dxa"/>
            <w:shd w:val="clear" w:color="auto" w:fill="E0EDF0"/>
          </w:tcPr>
          <w:p w:rsidR="008E69D9" w:rsidP="008E69D9" w14:paraId="1C358A87" w14:textId="55BDF692">
            <w:pPr>
              <w:pStyle w:val="73R"/>
              <w:rPr>
                <w:rtl/>
              </w:rPr>
            </w:pPr>
            <w:r w:rsidRPr="00973C85">
              <w:rPr>
                <w:noProof/>
                <w:rtl/>
              </w:rPr>
              <mc:AlternateContent>
                <mc:Choice Requires="wps">
                  <w:drawing>
                    <wp:anchor distT="0" distB="0" distL="114300" distR="114300" simplePos="0" relativeHeight="251734016" behindDoc="0" locked="0" layoutInCell="1" allowOverlap="1">
                      <wp:simplePos x="0" y="0"/>
                      <wp:positionH relativeFrom="column">
                        <wp:posOffset>-64135</wp:posOffset>
                      </wp:positionH>
                      <wp:positionV relativeFrom="paragraph">
                        <wp:posOffset>442964</wp:posOffset>
                      </wp:positionV>
                      <wp:extent cx="357505" cy="223520"/>
                      <wp:effectExtent l="12700" t="12700" r="10795" b="17780"/>
                      <wp:wrapNone/>
                      <wp:docPr id="1476253411" name="חץ שמאלה 1476253411"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476253411" o:spid="_x0000_s1052" type="#_x0000_t66" alt="לא תוקן" style="width:28.15pt;height:17.6pt;margin-top:34.9pt;margin-left:-5.05pt;mso-height-percent:0;mso-height-relative:margin;mso-width-percent:0;mso-width-relative:margin;mso-wrap-distance-bottom:0;mso-wrap-distance-left:9pt;mso-wrap-distance-right:9pt;mso-wrap-distance-top:0;mso-wrap-style:square;position:absolute;visibility:visible;v-text-anchor:middle;z-index:251735040" adj="6752" fillcolor="#ff0100" strokecolor="#ff0100" strokeweight="2pt"/>
                  </w:pict>
                </mc:Fallback>
              </mc:AlternateContent>
            </w:r>
          </w:p>
        </w:tc>
        <w:tc>
          <w:tcPr>
            <w:tcW w:w="758" w:type="dxa"/>
            <w:shd w:val="clear" w:color="auto" w:fill="E0EDF0"/>
          </w:tcPr>
          <w:p w:rsidR="008E69D9" w:rsidP="008E69D9" w14:paraId="4D1015FD" w14:textId="77777777">
            <w:pPr>
              <w:pStyle w:val="73R"/>
              <w:rPr>
                <w:rtl/>
              </w:rPr>
            </w:pPr>
          </w:p>
        </w:tc>
        <w:tc>
          <w:tcPr>
            <w:tcW w:w="733" w:type="dxa"/>
            <w:shd w:val="clear" w:color="auto" w:fill="E0EDF0"/>
          </w:tcPr>
          <w:p w:rsidR="008E69D9" w:rsidP="008E69D9" w14:paraId="7D28668B" w14:textId="77777777">
            <w:pPr>
              <w:pStyle w:val="73R"/>
              <w:rPr>
                <w:rtl/>
              </w:rPr>
            </w:pPr>
          </w:p>
        </w:tc>
        <w:tc>
          <w:tcPr>
            <w:tcW w:w="685" w:type="dxa"/>
            <w:shd w:val="clear" w:color="auto" w:fill="E0EDF0"/>
          </w:tcPr>
          <w:p w:rsidR="008E69D9" w:rsidP="008E69D9" w14:paraId="11F2E852" w14:textId="77777777">
            <w:pPr>
              <w:pStyle w:val="73R"/>
              <w:rPr>
                <w:rtl/>
              </w:rPr>
            </w:pPr>
          </w:p>
        </w:tc>
      </w:tr>
      <w:tr w14:paraId="6DE52F94" w14:textId="77777777" w:rsidTr="008E69D9">
        <w:tblPrEx>
          <w:tblW w:w="7216" w:type="dxa"/>
          <w:tblInd w:w="397" w:type="dxa"/>
          <w:shd w:val="clear" w:color="auto" w:fill="DFECEF"/>
          <w:tblLook w:val="04A0"/>
        </w:tblPrEx>
        <w:tc>
          <w:tcPr>
            <w:tcW w:w="1474" w:type="dxa"/>
            <w:shd w:val="clear" w:color="auto" w:fill="F1F9FA"/>
          </w:tcPr>
          <w:p w:rsidR="008E69D9" w:rsidRPr="00F6117F" w:rsidP="008E69D9" w14:paraId="301A77F6" w14:textId="6D16B7B8">
            <w:pPr>
              <w:pStyle w:val="73R"/>
              <w:rPr>
                <w:rtl/>
              </w:rPr>
            </w:pPr>
            <w:r w:rsidRPr="008919A7">
              <w:rPr>
                <w:rFonts w:hint="cs"/>
                <w:rtl/>
              </w:rPr>
              <w:t>גביית אגרות שילוט</w:t>
            </w:r>
          </w:p>
        </w:tc>
        <w:tc>
          <w:tcPr>
            <w:tcW w:w="998" w:type="dxa"/>
            <w:shd w:val="clear" w:color="auto" w:fill="F1F9FA"/>
          </w:tcPr>
          <w:p w:rsidR="008E69D9" w:rsidRPr="00F6117F" w:rsidP="008E69D9" w14:paraId="0278D417" w14:textId="12A71883">
            <w:pPr>
              <w:pStyle w:val="73R"/>
              <w:rPr>
                <w:rtl/>
              </w:rPr>
            </w:pPr>
            <w:r w:rsidRPr="008919A7">
              <w:rPr>
                <w:rFonts w:hint="cs"/>
                <w:rtl/>
              </w:rPr>
              <w:t>עיריית טבריה</w:t>
            </w:r>
          </w:p>
        </w:tc>
        <w:tc>
          <w:tcPr>
            <w:tcW w:w="1984" w:type="dxa"/>
            <w:shd w:val="clear" w:color="auto" w:fill="F1F9FA"/>
          </w:tcPr>
          <w:p w:rsidR="008E69D9" w:rsidRPr="00F6117F" w:rsidP="008E69D9" w14:paraId="706D20EA" w14:textId="47C50C5D">
            <w:pPr>
              <w:pStyle w:val="73R"/>
              <w:rPr>
                <w:rtl/>
              </w:rPr>
            </w:pPr>
            <w:r w:rsidRPr="008919A7">
              <w:rPr>
                <w:rFonts w:hint="cs"/>
                <w:rtl/>
              </w:rPr>
              <w:t>חובותיהם של שני קבלני פרסום במועד סיום הביקורת הקודמת הסתכמו בכ-685,000 ש"ח</w:t>
            </w:r>
          </w:p>
        </w:tc>
        <w:tc>
          <w:tcPr>
            <w:tcW w:w="584" w:type="dxa"/>
            <w:shd w:val="clear" w:color="auto" w:fill="F1F9FA"/>
          </w:tcPr>
          <w:p w:rsidR="008E69D9" w:rsidP="008E69D9" w14:paraId="25949172" w14:textId="02CD6A69">
            <w:pPr>
              <w:pStyle w:val="73R"/>
              <w:rPr>
                <w:rtl/>
              </w:rPr>
            </w:pPr>
          </w:p>
        </w:tc>
        <w:tc>
          <w:tcPr>
            <w:tcW w:w="758" w:type="dxa"/>
            <w:shd w:val="clear" w:color="auto" w:fill="F1F9FA"/>
          </w:tcPr>
          <w:p w:rsidR="008E69D9" w:rsidP="008E69D9" w14:paraId="4F9C8420" w14:textId="77777777">
            <w:pPr>
              <w:pStyle w:val="73R"/>
              <w:rPr>
                <w:rtl/>
              </w:rPr>
            </w:pPr>
          </w:p>
        </w:tc>
        <w:tc>
          <w:tcPr>
            <w:tcW w:w="733" w:type="dxa"/>
            <w:shd w:val="clear" w:color="auto" w:fill="F1F9FA"/>
          </w:tcPr>
          <w:p w:rsidR="008E69D9" w:rsidP="008E69D9" w14:paraId="4285A4EE" w14:textId="77777777">
            <w:pPr>
              <w:pStyle w:val="73R"/>
              <w:rPr>
                <w:rtl/>
              </w:rPr>
            </w:pPr>
          </w:p>
        </w:tc>
        <w:tc>
          <w:tcPr>
            <w:tcW w:w="685" w:type="dxa"/>
            <w:shd w:val="clear" w:color="auto" w:fill="F1F9FA"/>
          </w:tcPr>
          <w:p w:rsidR="008E69D9" w:rsidP="008E69D9" w14:paraId="1C15081E" w14:textId="77777777">
            <w:pPr>
              <w:pStyle w:val="73R"/>
              <w:rPr>
                <w:rtl/>
              </w:rPr>
            </w:pPr>
          </w:p>
        </w:tc>
      </w:tr>
      <w:tr w14:paraId="0E8823BE" w14:textId="77777777" w:rsidTr="008E69D9">
        <w:tblPrEx>
          <w:tblW w:w="7216" w:type="dxa"/>
          <w:tblInd w:w="397" w:type="dxa"/>
          <w:shd w:val="clear" w:color="auto" w:fill="DFECEF"/>
          <w:tblLook w:val="04A0"/>
        </w:tblPrEx>
        <w:tc>
          <w:tcPr>
            <w:tcW w:w="1474" w:type="dxa"/>
            <w:shd w:val="clear" w:color="auto" w:fill="E0EDF0"/>
          </w:tcPr>
          <w:p w:rsidR="008E69D9" w:rsidRPr="00F6117F" w:rsidP="008E69D9" w14:paraId="0C5F21F3" w14:textId="1B9304D5">
            <w:pPr>
              <w:pStyle w:val="73R"/>
              <w:rPr>
                <w:rtl/>
              </w:rPr>
            </w:pPr>
            <w:r w:rsidRPr="008919A7">
              <w:rPr>
                <w:rFonts w:hint="cs"/>
                <w:rtl/>
              </w:rPr>
              <w:t>גביית אגרת שילוט</w:t>
            </w:r>
          </w:p>
        </w:tc>
        <w:tc>
          <w:tcPr>
            <w:tcW w:w="998" w:type="dxa"/>
            <w:shd w:val="clear" w:color="auto" w:fill="E0EDF0"/>
          </w:tcPr>
          <w:p w:rsidR="008E69D9" w:rsidRPr="00F6117F" w:rsidP="008E69D9" w14:paraId="38A63162" w14:textId="2F641024">
            <w:pPr>
              <w:pStyle w:val="73R"/>
              <w:rPr>
                <w:rtl/>
              </w:rPr>
            </w:pPr>
            <w:r w:rsidRPr="008919A7">
              <w:rPr>
                <w:rFonts w:hint="cs"/>
                <w:rtl/>
              </w:rPr>
              <w:t>עיריית כרמיאל</w:t>
            </w:r>
          </w:p>
        </w:tc>
        <w:tc>
          <w:tcPr>
            <w:tcW w:w="1984" w:type="dxa"/>
            <w:shd w:val="clear" w:color="auto" w:fill="E0EDF0"/>
          </w:tcPr>
          <w:p w:rsidR="008E69D9" w:rsidRPr="00F6117F" w:rsidP="008E69D9" w14:paraId="5AC148BA" w14:textId="6D7817C3">
            <w:pPr>
              <w:pStyle w:val="73R"/>
              <w:rPr>
                <w:rtl/>
              </w:rPr>
            </w:pPr>
            <w:r w:rsidRPr="008919A7">
              <w:rPr>
                <w:rFonts w:hint="cs"/>
                <w:rtl/>
              </w:rPr>
              <w:t>העירייה אינה מחייבת את המפרסמים על עמודי תיאורה באגרת שילוט ואינה גובה מהם את האגרה</w:t>
            </w:r>
          </w:p>
        </w:tc>
        <w:tc>
          <w:tcPr>
            <w:tcW w:w="584" w:type="dxa"/>
            <w:shd w:val="clear" w:color="auto" w:fill="E0EDF0"/>
          </w:tcPr>
          <w:p w:rsidR="008E69D9" w:rsidP="008E69D9" w14:paraId="440FF664" w14:textId="462C296D">
            <w:pPr>
              <w:pStyle w:val="73R"/>
              <w:rPr>
                <w:rtl/>
              </w:rPr>
            </w:pPr>
            <w:r w:rsidRPr="00973C85">
              <w:rPr>
                <w:noProof/>
                <w:rtl/>
              </w:rPr>
              <mc:AlternateContent>
                <mc:Choice Requires="wps">
                  <w:drawing>
                    <wp:anchor distT="0" distB="0" distL="114300" distR="114300" simplePos="0" relativeHeight="251736064" behindDoc="0" locked="0" layoutInCell="1" allowOverlap="1">
                      <wp:simplePos x="0" y="0"/>
                      <wp:positionH relativeFrom="column">
                        <wp:posOffset>-67945</wp:posOffset>
                      </wp:positionH>
                      <wp:positionV relativeFrom="paragraph">
                        <wp:posOffset>-484505</wp:posOffset>
                      </wp:positionV>
                      <wp:extent cx="357505" cy="223520"/>
                      <wp:effectExtent l="12700" t="12700" r="10795" b="17780"/>
                      <wp:wrapNone/>
                      <wp:docPr id="106785600" name="חץ שמאלה 106785600"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06785600" o:spid="_x0000_s1053" type="#_x0000_t66" alt="לא תוקן" style="width:28.15pt;height:17.6pt;margin-top:-38.15pt;margin-left:-5.35pt;mso-height-percent:0;mso-height-relative:margin;mso-width-percent:0;mso-width-relative:margin;mso-wrap-distance-bottom:0;mso-wrap-distance-left:9pt;mso-wrap-distance-right:9pt;mso-wrap-distance-top:0;mso-wrap-style:square;position:absolute;visibility:visible;v-text-anchor:middle;z-index:251737088" adj="6752" fillcolor="#ff0100" strokecolor="#ff0100" strokeweight="2pt"/>
                  </w:pict>
                </mc:Fallback>
              </mc:AlternateContent>
            </w:r>
            <w:r w:rsidRPr="00973C85">
              <w:rPr>
                <w:noProof/>
                <w:rtl/>
              </w:rPr>
              <mc:AlternateContent>
                <mc:Choice Requires="wps">
                  <w:drawing>
                    <wp:anchor distT="0" distB="0" distL="114300" distR="114300" simplePos="0" relativeHeight="251738112" behindDoc="0" locked="0" layoutInCell="1" allowOverlap="1">
                      <wp:simplePos x="0" y="0"/>
                      <wp:positionH relativeFrom="column">
                        <wp:posOffset>-67781</wp:posOffset>
                      </wp:positionH>
                      <wp:positionV relativeFrom="paragraph">
                        <wp:posOffset>238125</wp:posOffset>
                      </wp:positionV>
                      <wp:extent cx="357505" cy="223520"/>
                      <wp:effectExtent l="12700" t="12700" r="10795" b="17780"/>
                      <wp:wrapNone/>
                      <wp:docPr id="1692888235" name="חץ שמאלה 1692888235"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692888235" o:spid="_x0000_s1054" type="#_x0000_t66" alt="לא תוקן" style="width:28.15pt;height:17.6pt;margin-top:18.75pt;margin-left:-5.35pt;mso-height-percent:0;mso-height-relative:margin;mso-width-percent:0;mso-width-relative:margin;mso-wrap-distance-bottom:0;mso-wrap-distance-left:9pt;mso-wrap-distance-right:9pt;mso-wrap-distance-top:0;mso-wrap-style:square;position:absolute;visibility:visible;v-text-anchor:middle;z-index:251739136" adj="6752" fillcolor="#ff0100" strokecolor="#ff0100" strokeweight="2pt"/>
                  </w:pict>
                </mc:Fallback>
              </mc:AlternateContent>
            </w:r>
          </w:p>
        </w:tc>
        <w:tc>
          <w:tcPr>
            <w:tcW w:w="758" w:type="dxa"/>
            <w:shd w:val="clear" w:color="auto" w:fill="E0EDF0"/>
          </w:tcPr>
          <w:p w:rsidR="008E69D9" w:rsidP="008E69D9" w14:paraId="336C269B" w14:textId="77777777">
            <w:pPr>
              <w:pStyle w:val="73R"/>
              <w:rPr>
                <w:rtl/>
              </w:rPr>
            </w:pPr>
          </w:p>
        </w:tc>
        <w:tc>
          <w:tcPr>
            <w:tcW w:w="733" w:type="dxa"/>
            <w:shd w:val="clear" w:color="auto" w:fill="E0EDF0"/>
          </w:tcPr>
          <w:p w:rsidR="008E69D9" w:rsidP="008E69D9" w14:paraId="5711DEB3" w14:textId="77777777">
            <w:pPr>
              <w:pStyle w:val="73R"/>
              <w:rPr>
                <w:rtl/>
              </w:rPr>
            </w:pPr>
          </w:p>
        </w:tc>
        <w:tc>
          <w:tcPr>
            <w:tcW w:w="685" w:type="dxa"/>
            <w:shd w:val="clear" w:color="auto" w:fill="E0EDF0"/>
          </w:tcPr>
          <w:p w:rsidR="008E69D9" w:rsidP="008E69D9" w14:paraId="6399636C" w14:textId="77777777">
            <w:pPr>
              <w:pStyle w:val="73R"/>
              <w:rPr>
                <w:rtl/>
              </w:rPr>
            </w:pPr>
          </w:p>
        </w:tc>
      </w:tr>
      <w:tr w14:paraId="65C9F540" w14:textId="77777777" w:rsidTr="008E69D9">
        <w:tblPrEx>
          <w:tblW w:w="7216" w:type="dxa"/>
          <w:tblInd w:w="397" w:type="dxa"/>
          <w:shd w:val="clear" w:color="auto" w:fill="DFECEF"/>
          <w:tblLook w:val="04A0"/>
        </w:tblPrEx>
        <w:tc>
          <w:tcPr>
            <w:tcW w:w="1474" w:type="dxa"/>
            <w:shd w:val="clear" w:color="auto" w:fill="F1F9FA"/>
          </w:tcPr>
          <w:p w:rsidR="008E69D9" w:rsidRPr="00F6117F" w:rsidP="008E69D9" w14:paraId="75457057" w14:textId="722D23F0">
            <w:pPr>
              <w:pStyle w:val="73R"/>
              <w:rPr>
                <w:rtl/>
              </w:rPr>
            </w:pPr>
            <w:r w:rsidRPr="008919A7">
              <w:rPr>
                <w:rFonts w:hint="cs"/>
                <w:rtl/>
              </w:rPr>
              <w:t>גביית אגרת שילוט</w:t>
            </w:r>
          </w:p>
        </w:tc>
        <w:tc>
          <w:tcPr>
            <w:tcW w:w="998" w:type="dxa"/>
            <w:shd w:val="clear" w:color="auto" w:fill="F1F9FA"/>
          </w:tcPr>
          <w:p w:rsidR="008E69D9" w:rsidRPr="00F6117F" w:rsidP="008E69D9" w14:paraId="03F3AF9F" w14:textId="2CCBF18C">
            <w:pPr>
              <w:pStyle w:val="73R"/>
              <w:rPr>
                <w:rtl/>
              </w:rPr>
            </w:pPr>
            <w:r w:rsidRPr="008919A7">
              <w:rPr>
                <w:rFonts w:hint="cs"/>
                <w:rtl/>
              </w:rPr>
              <w:t xml:space="preserve">עיריית </w:t>
            </w:r>
            <w:r w:rsidRPr="008919A7">
              <w:rPr>
                <w:rFonts w:hint="cs"/>
                <w:rtl/>
              </w:rPr>
              <w:t>סח'נין</w:t>
            </w:r>
          </w:p>
        </w:tc>
        <w:tc>
          <w:tcPr>
            <w:tcW w:w="1984" w:type="dxa"/>
            <w:shd w:val="clear" w:color="auto" w:fill="F1F9FA"/>
          </w:tcPr>
          <w:p w:rsidR="008E69D9" w:rsidRPr="00F6117F" w:rsidP="008E69D9" w14:paraId="36A51D89" w14:textId="4159CEF3">
            <w:pPr>
              <w:pStyle w:val="73R"/>
              <w:rPr>
                <w:rtl/>
              </w:rPr>
            </w:pPr>
            <w:r w:rsidRPr="008919A7">
              <w:rPr>
                <w:rFonts w:hint="cs"/>
                <w:rtl/>
              </w:rPr>
              <w:t xml:space="preserve">עיריית </w:t>
            </w:r>
            <w:r w:rsidRPr="008919A7">
              <w:rPr>
                <w:rFonts w:hint="cs"/>
                <w:rtl/>
              </w:rPr>
              <w:t>סח'נין</w:t>
            </w:r>
            <w:r w:rsidRPr="008919A7">
              <w:rPr>
                <w:rFonts w:hint="cs"/>
                <w:rtl/>
              </w:rPr>
              <w:t xml:space="preserve"> לא גבת אגרות שילוט מכל המפרסמים בתחום שיפוטה. שיעור הגבייה מכלל הסכומים שעמדו לגבייה בשנים 2009 - 2013 היה 4% עד 11%</w:t>
            </w:r>
          </w:p>
        </w:tc>
        <w:tc>
          <w:tcPr>
            <w:tcW w:w="584" w:type="dxa"/>
            <w:shd w:val="clear" w:color="auto" w:fill="F1F9FA"/>
          </w:tcPr>
          <w:p w:rsidR="008E69D9" w:rsidP="008E69D9" w14:paraId="776AE223" w14:textId="60057FF2">
            <w:pPr>
              <w:pStyle w:val="73R"/>
              <w:rPr>
                <w:rtl/>
              </w:rPr>
            </w:pPr>
          </w:p>
        </w:tc>
        <w:tc>
          <w:tcPr>
            <w:tcW w:w="758" w:type="dxa"/>
            <w:shd w:val="clear" w:color="auto" w:fill="F1F9FA"/>
          </w:tcPr>
          <w:p w:rsidR="008E69D9" w:rsidP="008E69D9" w14:paraId="5A7262F5" w14:textId="4E0A61F2">
            <w:pPr>
              <w:pStyle w:val="73R"/>
              <w:rPr>
                <w:rtl/>
              </w:rPr>
            </w:pPr>
            <w:r w:rsidRPr="00973C85">
              <w:rPr>
                <w:noProof/>
                <w:rtl/>
              </w:rPr>
              <mc:AlternateContent>
                <mc:Choice Requires="wps">
                  <w:drawing>
                    <wp:anchor distT="0" distB="0" distL="114300" distR="114300" simplePos="0" relativeHeight="251740160" behindDoc="0" locked="0" layoutInCell="1" allowOverlap="1">
                      <wp:simplePos x="0" y="0"/>
                      <wp:positionH relativeFrom="column">
                        <wp:posOffset>-490937</wp:posOffset>
                      </wp:positionH>
                      <wp:positionV relativeFrom="paragraph">
                        <wp:posOffset>330425</wp:posOffset>
                      </wp:positionV>
                      <wp:extent cx="1259205" cy="223520"/>
                      <wp:effectExtent l="12700" t="12700" r="10795" b="17780"/>
                      <wp:wrapNone/>
                      <wp:docPr id="57" name="חץ שמאלה 57" descr="תוקן במידה רבה"/>
                      <wp:cNvGraphicFramePr/>
                      <a:graphic xmlns:a="http://schemas.openxmlformats.org/drawingml/2006/main">
                        <a:graphicData uri="http://schemas.microsoft.com/office/word/2010/wordprocessingShape">
                          <wps:wsp xmlns:wps="http://schemas.microsoft.com/office/word/2010/wordprocessingShape">
                            <wps:cNvSpPr/>
                            <wps:spPr>
                              <a:xfrm>
                                <a:off x="0" y="0"/>
                                <a:ext cx="1259205"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7" o:spid="_x0000_s1055" type="#_x0000_t66" alt="תוקן במידה רבה" style="width:99.15pt;height:17.6pt;margin-top:26pt;margin-left:-38.65pt;mso-height-percent:0;mso-height-relative:margin;mso-width-percent:0;mso-width-relative:margin;mso-wrap-distance-bottom:0;mso-wrap-distance-left:9pt;mso-wrap-distance-right:9pt;mso-wrap-distance-top:0;mso-wrap-style:square;position:absolute;visibility:visible;v-text-anchor:middle;z-index:251741184" adj="1917" fillcolor="#fdf000" strokecolor="#fdf000" strokeweight="2pt"/>
                  </w:pict>
                </mc:Fallback>
              </mc:AlternateContent>
            </w:r>
          </w:p>
        </w:tc>
        <w:tc>
          <w:tcPr>
            <w:tcW w:w="733" w:type="dxa"/>
            <w:shd w:val="clear" w:color="auto" w:fill="F1F9FA"/>
          </w:tcPr>
          <w:p w:rsidR="008E69D9" w:rsidP="008E69D9" w14:paraId="714B2FC9" w14:textId="77777777">
            <w:pPr>
              <w:pStyle w:val="73R"/>
              <w:rPr>
                <w:rtl/>
              </w:rPr>
            </w:pPr>
          </w:p>
        </w:tc>
        <w:tc>
          <w:tcPr>
            <w:tcW w:w="685" w:type="dxa"/>
            <w:shd w:val="clear" w:color="auto" w:fill="F1F9FA"/>
          </w:tcPr>
          <w:p w:rsidR="008E69D9" w:rsidP="008E69D9" w14:paraId="6C75299A" w14:textId="77777777">
            <w:pPr>
              <w:pStyle w:val="73R"/>
              <w:rPr>
                <w:rtl/>
              </w:rPr>
            </w:pPr>
          </w:p>
        </w:tc>
      </w:tr>
      <w:tr w14:paraId="6A982793" w14:textId="77777777" w:rsidTr="008E69D9">
        <w:tblPrEx>
          <w:tblW w:w="7216" w:type="dxa"/>
          <w:tblInd w:w="397" w:type="dxa"/>
          <w:shd w:val="clear" w:color="auto" w:fill="DFECEF"/>
          <w:tblLook w:val="04A0"/>
        </w:tblPrEx>
        <w:tc>
          <w:tcPr>
            <w:tcW w:w="1474" w:type="dxa"/>
            <w:shd w:val="clear" w:color="auto" w:fill="E0EDF0"/>
          </w:tcPr>
          <w:p w:rsidR="008E69D9" w:rsidRPr="00F6117F" w:rsidP="008E69D9" w14:paraId="1A57AE3D" w14:textId="48C88FBE">
            <w:pPr>
              <w:pStyle w:val="73R"/>
              <w:rPr>
                <w:rtl/>
              </w:rPr>
            </w:pPr>
            <w:r w:rsidRPr="008919A7">
              <w:rPr>
                <w:rFonts w:hint="cs"/>
                <w:rtl/>
              </w:rPr>
              <w:t>גביית אגרת שילוט</w:t>
            </w:r>
          </w:p>
        </w:tc>
        <w:tc>
          <w:tcPr>
            <w:tcW w:w="998" w:type="dxa"/>
            <w:shd w:val="clear" w:color="auto" w:fill="E0EDF0"/>
          </w:tcPr>
          <w:p w:rsidR="008E69D9" w:rsidRPr="00F6117F" w:rsidP="008E69D9" w14:paraId="30C41A73" w14:textId="26FE51BE">
            <w:pPr>
              <w:pStyle w:val="73R"/>
              <w:rPr>
                <w:rtl/>
              </w:rPr>
            </w:pPr>
            <w:r w:rsidRPr="008919A7">
              <w:rPr>
                <w:rFonts w:hint="cs"/>
                <w:rtl/>
              </w:rPr>
              <w:t>המועצה המקומית ירכא</w:t>
            </w:r>
          </w:p>
        </w:tc>
        <w:tc>
          <w:tcPr>
            <w:tcW w:w="1984" w:type="dxa"/>
            <w:shd w:val="clear" w:color="auto" w:fill="E0EDF0"/>
          </w:tcPr>
          <w:p w:rsidR="008E69D9" w:rsidRPr="00F6117F" w:rsidP="00472405" w14:paraId="6E3781C5" w14:textId="2049D359">
            <w:pPr>
              <w:pStyle w:val="73R"/>
              <w:rPr>
                <w:rtl/>
              </w:rPr>
            </w:pPr>
            <w:r w:rsidRPr="008919A7">
              <w:rPr>
                <w:rFonts w:hint="cs"/>
                <w:rtl/>
              </w:rPr>
              <w:t>במועד סיום הביקורת הקודמת,</w:t>
            </w:r>
            <w:r w:rsidR="00472405">
              <w:rPr>
                <w:rFonts w:hint="cs"/>
                <w:rtl/>
              </w:rPr>
              <w:t xml:space="preserve"> </w:t>
            </w:r>
            <w:r w:rsidRPr="008919A7">
              <w:rPr>
                <w:rFonts w:hint="cs"/>
                <w:rtl/>
              </w:rPr>
              <w:t>פברואר 2015, לא גבתה המועצה אגרת שילוט מהמפרסמים בתחום שיפוטה</w:t>
            </w:r>
          </w:p>
        </w:tc>
        <w:tc>
          <w:tcPr>
            <w:tcW w:w="584" w:type="dxa"/>
            <w:shd w:val="clear" w:color="auto" w:fill="E0EDF0"/>
          </w:tcPr>
          <w:p w:rsidR="008E69D9" w:rsidP="008E69D9" w14:paraId="627A5428" w14:textId="7C21E4D9">
            <w:pPr>
              <w:pStyle w:val="73R"/>
              <w:rPr>
                <w:rtl/>
              </w:rPr>
            </w:pPr>
          </w:p>
        </w:tc>
        <w:tc>
          <w:tcPr>
            <w:tcW w:w="758" w:type="dxa"/>
            <w:shd w:val="clear" w:color="auto" w:fill="E0EDF0"/>
          </w:tcPr>
          <w:p w:rsidR="008E69D9" w:rsidP="008E69D9" w14:paraId="09FB6A76" w14:textId="559BDDDE">
            <w:pPr>
              <w:pStyle w:val="73R"/>
              <w:rPr>
                <w:rtl/>
              </w:rPr>
            </w:pPr>
            <w:r w:rsidRPr="00973C85">
              <w:rPr>
                <w:noProof/>
                <w:rtl/>
              </w:rPr>
              <mc:AlternateContent>
                <mc:Choice Requires="wps">
                  <w:drawing>
                    <wp:anchor distT="0" distB="0" distL="114300" distR="114300" simplePos="0" relativeHeight="251744256" behindDoc="0" locked="0" layoutInCell="1" allowOverlap="1">
                      <wp:simplePos x="0" y="0"/>
                      <wp:positionH relativeFrom="column">
                        <wp:posOffset>-56126</wp:posOffset>
                      </wp:positionH>
                      <wp:positionV relativeFrom="paragraph">
                        <wp:posOffset>306705</wp:posOffset>
                      </wp:positionV>
                      <wp:extent cx="831850" cy="223520"/>
                      <wp:effectExtent l="12700" t="12700" r="19050" b="17780"/>
                      <wp:wrapNone/>
                      <wp:docPr id="1673989019" name="חץ שמאלה 1673989019"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673989019" o:spid="_x0000_s1056" type="#_x0000_t66" alt="תוקן במידה מועטה" style="width:65.5pt;height:17.6pt;margin-top:24.15pt;margin-left:-4.4pt;mso-height-percent:0;mso-height-relative:margin;mso-width-percent:0;mso-width-relative:margin;mso-wrap-distance-bottom:0;mso-wrap-distance-left:9pt;mso-wrap-distance-right:9pt;mso-wrap-distance-top:0;mso-wrap-style:square;position:absolute;visibility:visible;v-text-anchor:middle;z-index:251745280" adj="2902" fillcolor="#ffc002" strokecolor="#ffc002" strokeweight="2pt"/>
                  </w:pict>
                </mc:Fallback>
              </mc:AlternateContent>
            </w:r>
          </w:p>
        </w:tc>
        <w:tc>
          <w:tcPr>
            <w:tcW w:w="733" w:type="dxa"/>
            <w:shd w:val="clear" w:color="auto" w:fill="E0EDF0"/>
          </w:tcPr>
          <w:p w:rsidR="008E69D9" w:rsidP="008E69D9" w14:paraId="0D2FE1E0" w14:textId="77777777">
            <w:pPr>
              <w:pStyle w:val="73R"/>
              <w:rPr>
                <w:rtl/>
              </w:rPr>
            </w:pPr>
          </w:p>
        </w:tc>
        <w:tc>
          <w:tcPr>
            <w:tcW w:w="685" w:type="dxa"/>
            <w:shd w:val="clear" w:color="auto" w:fill="E0EDF0"/>
          </w:tcPr>
          <w:p w:rsidR="008E69D9" w:rsidP="008E69D9" w14:paraId="00F8F9EA" w14:textId="77777777">
            <w:pPr>
              <w:pStyle w:val="73R"/>
              <w:rPr>
                <w:rtl/>
              </w:rPr>
            </w:pPr>
          </w:p>
        </w:tc>
      </w:tr>
      <w:tr w14:paraId="5E9F358C" w14:textId="77777777" w:rsidTr="008E69D9">
        <w:tblPrEx>
          <w:tblW w:w="7216" w:type="dxa"/>
          <w:tblInd w:w="397" w:type="dxa"/>
          <w:shd w:val="clear" w:color="auto" w:fill="DFECEF"/>
          <w:tblLook w:val="04A0"/>
        </w:tblPrEx>
        <w:tc>
          <w:tcPr>
            <w:tcW w:w="1474" w:type="dxa"/>
            <w:shd w:val="clear" w:color="auto" w:fill="F1F9FA"/>
          </w:tcPr>
          <w:p w:rsidR="008E69D9" w:rsidRPr="00F6117F" w:rsidP="008E69D9" w14:paraId="33F3B9FC" w14:textId="513F590B">
            <w:pPr>
              <w:pStyle w:val="73R"/>
              <w:rPr>
                <w:rtl/>
              </w:rPr>
            </w:pPr>
            <w:r w:rsidRPr="008919A7">
              <w:rPr>
                <w:rFonts w:hint="cs"/>
                <w:rtl/>
              </w:rPr>
              <w:t>גביית אגרת שילוט</w:t>
            </w:r>
          </w:p>
        </w:tc>
        <w:tc>
          <w:tcPr>
            <w:tcW w:w="998" w:type="dxa"/>
            <w:shd w:val="clear" w:color="auto" w:fill="F1F9FA"/>
          </w:tcPr>
          <w:p w:rsidR="008E69D9" w:rsidRPr="00F6117F" w:rsidP="008E69D9" w14:paraId="2832CB6B" w14:textId="05929D40">
            <w:pPr>
              <w:pStyle w:val="73R"/>
              <w:rPr>
                <w:rtl/>
              </w:rPr>
            </w:pPr>
            <w:r w:rsidRPr="008919A7">
              <w:rPr>
                <w:rFonts w:hint="cs"/>
                <w:rtl/>
              </w:rPr>
              <w:t xml:space="preserve">המועצה המקומית כפר </w:t>
            </w:r>
            <w:r w:rsidRPr="008919A7">
              <w:rPr>
                <w:rFonts w:hint="cs"/>
                <w:rtl/>
              </w:rPr>
              <w:t>יאסיף</w:t>
            </w:r>
          </w:p>
        </w:tc>
        <w:tc>
          <w:tcPr>
            <w:tcW w:w="1984" w:type="dxa"/>
            <w:shd w:val="clear" w:color="auto" w:fill="F1F9FA"/>
          </w:tcPr>
          <w:p w:rsidR="008E69D9" w:rsidRPr="00F6117F" w:rsidP="008E69D9" w14:paraId="3FB29DAA" w14:textId="7E992CF2">
            <w:pPr>
              <w:pStyle w:val="73R"/>
              <w:rPr>
                <w:rtl/>
              </w:rPr>
            </w:pPr>
            <w:r w:rsidRPr="008919A7">
              <w:rPr>
                <w:rFonts w:hint="cs"/>
                <w:rtl/>
              </w:rPr>
              <w:t>המועצה לא חייבה את המפרסמים בתחום שיפוטה באגרת שילוט ואף לא גבתה מהם את האגרה</w:t>
            </w:r>
          </w:p>
        </w:tc>
        <w:tc>
          <w:tcPr>
            <w:tcW w:w="584" w:type="dxa"/>
            <w:shd w:val="clear" w:color="auto" w:fill="F1F9FA"/>
          </w:tcPr>
          <w:p w:rsidR="008E69D9" w:rsidP="008E69D9" w14:paraId="42575BC6" w14:textId="514881B6">
            <w:pPr>
              <w:pStyle w:val="73R"/>
              <w:rPr>
                <w:rtl/>
              </w:rPr>
            </w:pPr>
            <w:r w:rsidRPr="00973C85">
              <w:rPr>
                <w:noProof/>
                <w:rtl/>
              </w:rPr>
              <mc:AlternateContent>
                <mc:Choice Requires="wps">
                  <w:drawing>
                    <wp:anchor distT="0" distB="0" distL="114300" distR="114300" simplePos="0" relativeHeight="251742208" behindDoc="0" locked="0" layoutInCell="1" allowOverlap="1">
                      <wp:simplePos x="0" y="0"/>
                      <wp:positionH relativeFrom="column">
                        <wp:posOffset>-73107</wp:posOffset>
                      </wp:positionH>
                      <wp:positionV relativeFrom="paragraph">
                        <wp:posOffset>243205</wp:posOffset>
                      </wp:positionV>
                      <wp:extent cx="357505" cy="223520"/>
                      <wp:effectExtent l="12700" t="12700" r="10795" b="17780"/>
                      <wp:wrapNone/>
                      <wp:docPr id="1906174257" name="חץ שמאלה 1906174257"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906174257" o:spid="_x0000_s1057" type="#_x0000_t66" alt="לא תוקן" style="width:28.15pt;height:17.6pt;margin-top:19.15pt;margin-left:-5.75pt;mso-height-percent:0;mso-height-relative:margin;mso-width-percent:0;mso-width-relative:margin;mso-wrap-distance-bottom:0;mso-wrap-distance-left:9pt;mso-wrap-distance-right:9pt;mso-wrap-distance-top:0;mso-wrap-style:square;position:absolute;visibility:visible;v-text-anchor:middle;z-index:251743232" adj="6752" fillcolor="#ff0100" strokecolor="#ff0100" strokeweight="2pt"/>
                  </w:pict>
                </mc:Fallback>
              </mc:AlternateContent>
            </w:r>
          </w:p>
        </w:tc>
        <w:tc>
          <w:tcPr>
            <w:tcW w:w="758" w:type="dxa"/>
            <w:shd w:val="clear" w:color="auto" w:fill="F1F9FA"/>
          </w:tcPr>
          <w:p w:rsidR="008E69D9" w:rsidP="008E69D9" w14:paraId="2C688CAE" w14:textId="77777777">
            <w:pPr>
              <w:pStyle w:val="73R"/>
              <w:rPr>
                <w:rtl/>
              </w:rPr>
            </w:pPr>
          </w:p>
        </w:tc>
        <w:tc>
          <w:tcPr>
            <w:tcW w:w="733" w:type="dxa"/>
            <w:shd w:val="clear" w:color="auto" w:fill="F1F9FA"/>
          </w:tcPr>
          <w:p w:rsidR="008E69D9" w:rsidP="008E69D9" w14:paraId="41E9A935" w14:textId="77777777">
            <w:pPr>
              <w:pStyle w:val="73R"/>
              <w:rPr>
                <w:rtl/>
              </w:rPr>
            </w:pPr>
          </w:p>
        </w:tc>
        <w:tc>
          <w:tcPr>
            <w:tcW w:w="685" w:type="dxa"/>
            <w:shd w:val="clear" w:color="auto" w:fill="F1F9FA"/>
          </w:tcPr>
          <w:p w:rsidR="008E69D9" w:rsidP="008E69D9" w14:paraId="3C0D205C" w14:textId="77777777">
            <w:pPr>
              <w:pStyle w:val="73R"/>
              <w:rPr>
                <w:rtl/>
              </w:rPr>
            </w:pPr>
          </w:p>
        </w:tc>
      </w:tr>
      <w:tr w14:paraId="39557D39" w14:textId="77777777" w:rsidTr="008E69D9">
        <w:tblPrEx>
          <w:tblW w:w="7216" w:type="dxa"/>
          <w:tblInd w:w="397" w:type="dxa"/>
          <w:shd w:val="clear" w:color="auto" w:fill="DFECEF"/>
          <w:tblLook w:val="04A0"/>
        </w:tblPrEx>
        <w:tc>
          <w:tcPr>
            <w:tcW w:w="1474" w:type="dxa"/>
            <w:shd w:val="clear" w:color="auto" w:fill="E0EDF0"/>
          </w:tcPr>
          <w:p w:rsidR="008E69D9" w:rsidRPr="008919A7" w:rsidP="008E69D9" w14:paraId="5F86C2EB" w14:textId="63D90EAC">
            <w:pPr>
              <w:pStyle w:val="73R"/>
              <w:rPr>
                <w:rtl/>
              </w:rPr>
            </w:pPr>
            <w:r w:rsidRPr="008919A7">
              <w:rPr>
                <w:rFonts w:hint="cs"/>
                <w:rtl/>
              </w:rPr>
              <w:t>חיוב בדמי שימוש וגבייתם</w:t>
            </w:r>
          </w:p>
        </w:tc>
        <w:tc>
          <w:tcPr>
            <w:tcW w:w="998" w:type="dxa"/>
            <w:shd w:val="clear" w:color="auto" w:fill="E0EDF0"/>
          </w:tcPr>
          <w:p w:rsidR="008E69D9" w:rsidRPr="008919A7" w:rsidP="008E69D9" w14:paraId="4FF0A8A8" w14:textId="4509697C">
            <w:pPr>
              <w:pStyle w:val="73R"/>
              <w:rPr>
                <w:rtl/>
              </w:rPr>
            </w:pPr>
            <w:r w:rsidRPr="008919A7">
              <w:rPr>
                <w:rFonts w:hint="cs"/>
                <w:rtl/>
              </w:rPr>
              <w:t>חכ"ל טבריה</w:t>
            </w:r>
          </w:p>
        </w:tc>
        <w:tc>
          <w:tcPr>
            <w:tcW w:w="1984" w:type="dxa"/>
            <w:shd w:val="clear" w:color="auto" w:fill="E0EDF0"/>
          </w:tcPr>
          <w:p w:rsidR="008E69D9" w:rsidRPr="008919A7" w:rsidP="008E69D9" w14:paraId="5E831576" w14:textId="591D12DF">
            <w:pPr>
              <w:pStyle w:val="73R"/>
              <w:rPr>
                <w:rtl/>
              </w:rPr>
            </w:pPr>
            <w:r w:rsidRPr="008919A7">
              <w:rPr>
                <w:rFonts w:hint="cs"/>
                <w:rtl/>
              </w:rPr>
              <w:t>חובו של קבלן א' במועד סיום הביקורת הקודמת -תחילת שנת 2015 הסתכם בכ-55,000 ש"ח</w:t>
            </w:r>
          </w:p>
        </w:tc>
        <w:tc>
          <w:tcPr>
            <w:tcW w:w="584" w:type="dxa"/>
            <w:shd w:val="clear" w:color="auto" w:fill="E0EDF0"/>
          </w:tcPr>
          <w:p w:rsidR="008E69D9" w:rsidP="008E69D9" w14:paraId="65DB474D" w14:textId="3A78959F">
            <w:pPr>
              <w:pStyle w:val="73R"/>
              <w:rPr>
                <w:rtl/>
              </w:rPr>
            </w:pPr>
            <w:r w:rsidRPr="00973C85">
              <w:rPr>
                <w:noProof/>
                <w:rtl/>
              </w:rPr>
              <mc:AlternateContent>
                <mc:Choice Requires="wps">
                  <w:drawing>
                    <wp:anchor distT="0" distB="0" distL="114300" distR="114300" simplePos="0" relativeHeight="251746304" behindDoc="0" locked="0" layoutInCell="1" allowOverlap="1">
                      <wp:simplePos x="0" y="0"/>
                      <wp:positionH relativeFrom="column">
                        <wp:posOffset>-538480</wp:posOffset>
                      </wp:positionH>
                      <wp:positionV relativeFrom="paragraph">
                        <wp:posOffset>202196</wp:posOffset>
                      </wp:positionV>
                      <wp:extent cx="831850" cy="223520"/>
                      <wp:effectExtent l="12700" t="12700" r="19050" b="17780"/>
                      <wp:wrapNone/>
                      <wp:docPr id="535156621" name="חץ שמאלה 535156621"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35156621" o:spid="_x0000_s1058" type="#_x0000_t66" alt="תוקן במידה מועטה" style="width:65.5pt;height:17.6pt;margin-top:15.9pt;margin-left:-42.4pt;mso-height-percent:0;mso-height-relative:margin;mso-width-percent:0;mso-width-relative:margin;mso-wrap-distance-bottom:0;mso-wrap-distance-left:9pt;mso-wrap-distance-right:9pt;mso-wrap-distance-top:0;mso-wrap-style:square;position:absolute;visibility:visible;v-text-anchor:middle;z-index:251747328" adj="2902" fillcolor="#ffc002" strokecolor="#ffc002" strokeweight="2pt"/>
                  </w:pict>
                </mc:Fallback>
              </mc:AlternateContent>
            </w:r>
          </w:p>
        </w:tc>
        <w:tc>
          <w:tcPr>
            <w:tcW w:w="758" w:type="dxa"/>
            <w:shd w:val="clear" w:color="auto" w:fill="E0EDF0"/>
          </w:tcPr>
          <w:p w:rsidR="008E69D9" w:rsidP="008E69D9" w14:paraId="284B4358" w14:textId="02776C0B">
            <w:pPr>
              <w:pStyle w:val="73R"/>
              <w:rPr>
                <w:rtl/>
              </w:rPr>
            </w:pPr>
            <w:r w:rsidRPr="00973C85">
              <w:rPr>
                <w:noProof/>
                <w:rtl/>
              </w:rPr>
              <mc:AlternateContent>
                <mc:Choice Requires="wps">
                  <w:drawing>
                    <wp:anchor distT="0" distB="0" distL="114300" distR="114300" simplePos="0" relativeHeight="251748352" behindDoc="0" locked="0" layoutInCell="1" allowOverlap="1">
                      <wp:simplePos x="0" y="0"/>
                      <wp:positionH relativeFrom="column">
                        <wp:posOffset>-57150</wp:posOffset>
                      </wp:positionH>
                      <wp:positionV relativeFrom="paragraph">
                        <wp:posOffset>909955</wp:posOffset>
                      </wp:positionV>
                      <wp:extent cx="831850" cy="223520"/>
                      <wp:effectExtent l="12700" t="12700" r="19050" b="17780"/>
                      <wp:wrapNone/>
                      <wp:docPr id="1435768580" name="חץ שמאלה 1435768580"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435768580" o:spid="_x0000_s1059" type="#_x0000_t66" alt="תוקן במידה מועטה" style="width:65.5pt;height:17.6pt;margin-top:71.65pt;margin-left:-4.5pt;mso-height-percent:0;mso-height-relative:margin;mso-width-percent:0;mso-width-relative:margin;mso-wrap-distance-bottom:0;mso-wrap-distance-left:9pt;mso-wrap-distance-right:9pt;mso-wrap-distance-top:0;mso-wrap-style:square;position:absolute;visibility:visible;v-text-anchor:middle;z-index:251749376" adj="2902" fillcolor="#ffc002" strokecolor="#ffc002" strokeweight="2pt"/>
                  </w:pict>
                </mc:Fallback>
              </mc:AlternateContent>
            </w:r>
          </w:p>
        </w:tc>
        <w:tc>
          <w:tcPr>
            <w:tcW w:w="733" w:type="dxa"/>
            <w:shd w:val="clear" w:color="auto" w:fill="E0EDF0"/>
          </w:tcPr>
          <w:p w:rsidR="008E69D9" w:rsidP="008E69D9" w14:paraId="6A634FCC" w14:textId="77777777">
            <w:pPr>
              <w:pStyle w:val="73R"/>
              <w:rPr>
                <w:rtl/>
              </w:rPr>
            </w:pPr>
          </w:p>
        </w:tc>
        <w:tc>
          <w:tcPr>
            <w:tcW w:w="685" w:type="dxa"/>
            <w:shd w:val="clear" w:color="auto" w:fill="E0EDF0"/>
          </w:tcPr>
          <w:p w:rsidR="008E69D9" w:rsidP="008E69D9" w14:paraId="7EF93439" w14:textId="77777777">
            <w:pPr>
              <w:pStyle w:val="73R"/>
              <w:rPr>
                <w:rtl/>
              </w:rPr>
            </w:pPr>
          </w:p>
        </w:tc>
      </w:tr>
      <w:tr w14:paraId="034C7B04" w14:textId="77777777" w:rsidTr="008E69D9">
        <w:tblPrEx>
          <w:tblW w:w="7216" w:type="dxa"/>
          <w:tblInd w:w="397" w:type="dxa"/>
          <w:shd w:val="clear" w:color="auto" w:fill="DFECEF"/>
          <w:tblLook w:val="04A0"/>
        </w:tblPrEx>
        <w:tc>
          <w:tcPr>
            <w:tcW w:w="1474" w:type="dxa"/>
            <w:shd w:val="clear" w:color="auto" w:fill="F1F9FA"/>
          </w:tcPr>
          <w:p w:rsidR="008E69D9" w:rsidRPr="008919A7" w:rsidP="008E69D9" w14:paraId="1FB1B9C4" w14:textId="1914C1A4">
            <w:pPr>
              <w:pStyle w:val="73R"/>
              <w:rPr>
                <w:rtl/>
              </w:rPr>
            </w:pPr>
            <w:r w:rsidRPr="008919A7">
              <w:rPr>
                <w:rFonts w:hint="cs"/>
                <w:rtl/>
              </w:rPr>
              <w:t>חיוב בדמי שימוש וגבייתם</w:t>
            </w:r>
          </w:p>
        </w:tc>
        <w:tc>
          <w:tcPr>
            <w:tcW w:w="998" w:type="dxa"/>
            <w:shd w:val="clear" w:color="auto" w:fill="F1F9FA"/>
          </w:tcPr>
          <w:p w:rsidR="008E69D9" w:rsidRPr="008919A7" w:rsidP="008E69D9" w14:paraId="003067AD" w14:textId="15209C95">
            <w:pPr>
              <w:pStyle w:val="73R"/>
              <w:rPr>
                <w:rtl/>
              </w:rPr>
            </w:pPr>
            <w:r w:rsidRPr="008919A7">
              <w:rPr>
                <w:rFonts w:hint="cs"/>
                <w:rtl/>
              </w:rPr>
              <w:t>עמותת פסטיבל כרמיאל</w:t>
            </w:r>
          </w:p>
        </w:tc>
        <w:tc>
          <w:tcPr>
            <w:tcW w:w="1984" w:type="dxa"/>
            <w:shd w:val="clear" w:color="auto" w:fill="F1F9FA"/>
          </w:tcPr>
          <w:p w:rsidR="008E69D9" w:rsidRPr="008919A7" w:rsidP="008E69D9" w14:paraId="5C0618A9" w14:textId="4B69CB7B">
            <w:pPr>
              <w:pStyle w:val="73R"/>
              <w:rPr>
                <w:rtl/>
              </w:rPr>
            </w:pPr>
            <w:r w:rsidRPr="008919A7">
              <w:rPr>
                <w:rFonts w:hint="cs"/>
                <w:rtl/>
              </w:rPr>
              <w:t xml:space="preserve">עמותת פסטיבל כרמיאל לא עמדה על קבלת התמורה מחברה ב' בגין כל תקופת ההתקשרות במשך תשע שנים בהמחאות </w:t>
            </w:r>
            <w:r w:rsidRPr="008919A7">
              <w:rPr>
                <w:rFonts w:hint="cs"/>
                <w:rtl/>
              </w:rPr>
              <w:t>מעותדות</w:t>
            </w:r>
            <w:r w:rsidRPr="008919A7">
              <w:rPr>
                <w:rFonts w:hint="cs"/>
                <w:rtl/>
              </w:rPr>
              <w:t xml:space="preserve"> </w:t>
            </w:r>
          </w:p>
        </w:tc>
        <w:tc>
          <w:tcPr>
            <w:tcW w:w="584" w:type="dxa"/>
            <w:shd w:val="clear" w:color="auto" w:fill="F1F9FA"/>
          </w:tcPr>
          <w:p w:rsidR="008E69D9" w:rsidP="008E69D9" w14:paraId="70ECE9CE" w14:textId="5D8DC7B7">
            <w:pPr>
              <w:pStyle w:val="73R"/>
              <w:rPr>
                <w:rtl/>
              </w:rPr>
            </w:pPr>
          </w:p>
        </w:tc>
        <w:tc>
          <w:tcPr>
            <w:tcW w:w="758" w:type="dxa"/>
            <w:shd w:val="clear" w:color="auto" w:fill="F1F9FA"/>
          </w:tcPr>
          <w:p w:rsidR="008E69D9" w:rsidP="008E69D9" w14:paraId="4BD266F7" w14:textId="77777777">
            <w:pPr>
              <w:pStyle w:val="73R"/>
              <w:rPr>
                <w:rtl/>
              </w:rPr>
            </w:pPr>
          </w:p>
        </w:tc>
        <w:tc>
          <w:tcPr>
            <w:tcW w:w="733" w:type="dxa"/>
            <w:shd w:val="clear" w:color="auto" w:fill="F1F9FA"/>
          </w:tcPr>
          <w:p w:rsidR="008E69D9" w:rsidP="008E69D9" w14:paraId="61C4F78E" w14:textId="77777777">
            <w:pPr>
              <w:pStyle w:val="73R"/>
              <w:rPr>
                <w:rtl/>
              </w:rPr>
            </w:pPr>
          </w:p>
        </w:tc>
        <w:tc>
          <w:tcPr>
            <w:tcW w:w="685" w:type="dxa"/>
            <w:shd w:val="clear" w:color="auto" w:fill="F1F9FA"/>
          </w:tcPr>
          <w:p w:rsidR="008E69D9" w:rsidP="008E69D9" w14:paraId="5C59FD04" w14:textId="77777777">
            <w:pPr>
              <w:pStyle w:val="73R"/>
              <w:rPr>
                <w:rtl/>
              </w:rPr>
            </w:pPr>
          </w:p>
        </w:tc>
      </w:tr>
    </w:tbl>
    <w:p w:rsidR="000B31AA" w:rsidRPr="00361C09" w:rsidP="000B31AA" w14:paraId="5C1AE375" w14:textId="00DDF82D">
      <w:pPr>
        <w:pStyle w:val="7317"/>
        <w:rPr>
          <w:rtl/>
        </w:rPr>
      </w:pPr>
    </w:p>
    <w:p w:rsidR="00E56721" w:rsidP="004E71DD" w14:paraId="1B37DAFD" w14:textId="77777777">
      <w:pPr>
        <w:widowControl w:val="0"/>
        <w:tabs>
          <w:tab w:val="left" w:pos="9604"/>
        </w:tabs>
        <w:spacing w:before="240" w:line="276" w:lineRule="auto"/>
        <w:ind w:left="-1"/>
        <w:rPr>
          <w:rFonts w:ascii="Tahoma" w:hAnsi="Tahoma" w:cs="Tahoma"/>
          <w:sz w:val="18"/>
          <w:szCs w:val="18"/>
          <w:rtl/>
        </w:rPr>
        <w:sectPr w:rsidSect="001D07CB">
          <w:headerReference w:type="even" r:id="rId28"/>
          <w:footerReference w:type="even" r:id="rId29"/>
          <w:pgSz w:w="11906" w:h="16838" w:code="9"/>
          <w:pgMar w:top="3062" w:right="2268" w:bottom="2552" w:left="2268" w:header="1134" w:footer="1361" w:gutter="0"/>
          <w:pgNumType w:start="251"/>
          <w:cols w:space="708"/>
          <w:bidi/>
          <w:rtlGutter/>
          <w:docGrid w:linePitch="360"/>
        </w:sectPr>
      </w:pPr>
    </w:p>
    <w:p w:rsidR="008E69D9" w14:paraId="2567C4DC" w14:textId="2B098627">
      <w:pPr>
        <w:bidi w:val="0"/>
        <w:spacing w:after="200" w:line="276" w:lineRule="auto"/>
        <w:rPr>
          <w:rFonts w:ascii="Tahoma" w:hAnsi="Tahoma" w:cs="Tahoma"/>
          <w:b/>
          <w:bCs/>
          <w:noProof/>
          <w:color w:val="00305F"/>
          <w:sz w:val="40"/>
          <w:szCs w:val="36"/>
          <w:rtl/>
        </w:rPr>
      </w:pPr>
      <w:r>
        <w:rPr>
          <w:noProof/>
          <w:rtl/>
          <w:lang w:val="he-IL"/>
        </w:rPr>
        <mc:AlternateContent>
          <mc:Choice Requires="wps">
            <w:drawing>
              <wp:anchor distT="0" distB="0" distL="114300" distR="114300" simplePos="0" relativeHeight="251750400" behindDoc="0" locked="0" layoutInCell="1" allowOverlap="1">
                <wp:simplePos x="0" y="0"/>
                <wp:positionH relativeFrom="column">
                  <wp:posOffset>-1442720</wp:posOffset>
                </wp:positionH>
                <wp:positionV relativeFrom="paragraph">
                  <wp:posOffset>-770890</wp:posOffset>
                </wp:positionV>
                <wp:extent cx="6209071" cy="825910"/>
                <wp:effectExtent l="0" t="0" r="13970" b="12700"/>
                <wp:wrapNone/>
                <wp:docPr id="1391868629"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6209071" cy="825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60" style="width:488.9pt;height:65.05pt;margin-top:-60.7pt;margin-left:-113.6pt;mso-wrap-distance-bottom:0;mso-wrap-distance-left:9pt;mso-wrap-distance-right:9pt;mso-wrap-distance-top:0;mso-wrap-style:square;position:absolute;visibility:visible;v-text-anchor:middle;z-index:251751424" fillcolor="white" strokecolor="white" strokeweight="1.25pt"/>
            </w:pict>
          </mc:Fallback>
        </mc:AlternateContent>
      </w:r>
      <w:r>
        <w:rPr>
          <w:noProof/>
          <w:rtl/>
          <w:lang w:val="he-IL"/>
        </w:rPr>
        <mc:AlternateContent>
          <mc:Choice Requires="wps">
            <w:drawing>
              <wp:anchor distT="0" distB="0" distL="114300" distR="114300" simplePos="0" relativeHeight="251752448" behindDoc="0" locked="0" layoutInCell="1" allowOverlap="1">
                <wp:simplePos x="0" y="0"/>
                <wp:positionH relativeFrom="column">
                  <wp:posOffset>4201283</wp:posOffset>
                </wp:positionH>
                <wp:positionV relativeFrom="paragraph">
                  <wp:posOffset>6992538</wp:posOffset>
                </wp:positionV>
                <wp:extent cx="1069258" cy="825910"/>
                <wp:effectExtent l="0" t="0" r="10795" b="12700"/>
                <wp:wrapNone/>
                <wp:docPr id="1502340704"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1069258" cy="825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61" style="width:84.2pt;height:65.05pt;margin-top:550.6pt;margin-left:330.8pt;mso-width-percent:0;mso-width-relative:margin;mso-wrap-distance-bottom:0;mso-wrap-distance-left:9pt;mso-wrap-distance-right:9pt;mso-wrap-distance-top:0;mso-wrap-style:square;position:absolute;visibility:visible;v-text-anchor:middle;z-index:251753472" fillcolor="white" strokecolor="white" strokeweight="1.25pt"/>
            </w:pict>
          </mc:Fallback>
        </mc:AlternateContent>
      </w:r>
    </w:p>
    <w:sectPr w:rsidSect="00F35B8C">
      <w:headerReference w:type="default" r:id="rId30"/>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F63A4" w14:paraId="296277E0" w14:textId="77777777">
      <w:pPr>
        <w:spacing w:line="240" w:lineRule="auto"/>
      </w:pPr>
      <w:r>
        <w:separator/>
      </w:r>
    </w:p>
    <w:p w:rsidR="00DF63A4" w14:paraId="419D9EF2" w14:textId="77777777"/>
    <w:p w:rsidR="00DF63A4" w14:paraId="56E78A32" w14:textId="77777777"/>
    <w:p w:rsidR="00DF63A4" w14:paraId="0BAD89AB" w14:textId="77777777"/>
  </w:endnote>
  <w:endnote w:type="continuationSeparator" w:id="1">
    <w:p w:rsidR="00DF63A4" w14:paraId="275787CF" w14:textId="77777777">
      <w:pPr>
        <w:spacing w:line="240" w:lineRule="auto"/>
      </w:pPr>
      <w:r>
        <w:continuationSeparator/>
      </w:r>
    </w:p>
    <w:p w:rsidR="00DF63A4" w14:paraId="6401DFFF" w14:textId="77777777"/>
    <w:p w:rsidR="00DF63A4" w14:paraId="36FB24A3" w14:textId="77777777"/>
    <w:p w:rsidR="00DF63A4" w14:paraId="5BB9436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722" w14:paraId="53FA6A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722" w14:paraId="77C59A2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F63A4" w:rsidP="00E7235E" w14:paraId="684D1D38" w14:textId="77777777">
      <w:pPr>
        <w:spacing w:line="240" w:lineRule="auto"/>
      </w:pPr>
      <w:r>
        <w:separator/>
      </w:r>
    </w:p>
  </w:footnote>
  <w:footnote w:type="continuationSeparator" w:id="1">
    <w:p w:rsidR="00DF63A4" w:rsidP="00C23CC9" w14:paraId="12C85BA6" w14:textId="77777777">
      <w:pPr>
        <w:spacing w:line="240" w:lineRule="auto"/>
      </w:pPr>
      <w:r>
        <w:continuationSeparator/>
      </w:r>
    </w:p>
    <w:p w:rsidR="00DF63A4" w14:paraId="2B70B092" w14:textId="77777777"/>
    <w:p w:rsidR="00DF63A4" w14:paraId="1D328C89" w14:textId="77777777"/>
    <w:p w:rsidR="00DF63A4" w14:paraId="37461FCA" w14:textId="77777777"/>
  </w:footnote>
  <w:footnote w:id="2">
    <w:p w:rsidR="00CC6307" w:rsidRPr="00464512" w:rsidP="008240A4" w14:paraId="089A775B" w14:textId="77777777">
      <w:pPr>
        <w:pStyle w:val="733"/>
        <w:rPr>
          <w:rtl/>
        </w:rPr>
      </w:pPr>
      <w:r w:rsidRPr="00456683">
        <w:footnoteRef/>
      </w:r>
      <w:r>
        <w:rPr>
          <w:rtl/>
        </w:rPr>
        <w:t xml:space="preserve"> </w:t>
      </w:r>
      <w:r>
        <w:rPr>
          <w:rtl/>
        </w:rPr>
        <w:tab/>
      </w:r>
      <w:r w:rsidRPr="00211E4F">
        <w:rPr>
          <w:rtl/>
        </w:rPr>
        <w:t xml:space="preserve">מבקר המדינה, </w:t>
      </w:r>
      <w:r w:rsidRPr="00211E4F">
        <w:rPr>
          <w:b/>
          <w:bCs/>
          <w:rtl/>
        </w:rPr>
        <w:t>דוחות על הביקורת בשלטון המקומי לשנת 2015</w:t>
      </w:r>
      <w:r w:rsidRPr="00211E4F">
        <w:rPr>
          <w:rtl/>
        </w:rPr>
        <w:t xml:space="preserve"> (2015), "פרסום חוצות בתחומי הרשויות המקומיות", עמ' 279 - 324.</w:t>
      </w:r>
    </w:p>
  </w:footnote>
  <w:footnote w:id="3">
    <w:p w:rsidR="00CC6307" w:rsidP="008240A4" w14:paraId="39F286B7" w14:textId="77777777">
      <w:pPr>
        <w:pStyle w:val="733"/>
      </w:pPr>
      <w:r>
        <w:rPr>
          <w:rStyle w:val="FootnoteReference2"/>
        </w:rPr>
        <w:footnoteRef/>
      </w:r>
      <w:r>
        <w:rPr>
          <w:rtl/>
        </w:rPr>
        <w:t xml:space="preserve"> </w:t>
      </w:r>
      <w:r>
        <w:rPr>
          <w:rtl/>
        </w:rPr>
        <w:tab/>
      </w:r>
      <w:r w:rsidRPr="00211E4F">
        <w:rPr>
          <w:rtl/>
        </w:rPr>
        <w:t>לרוב השלטים הנייחים יש שני "פני פרסום". כלומר שני צדדים שבהם ניתן להציב שלטי פרסום.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2D422274">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62336" behindDoc="0" locked="0" layoutInCell="1" allowOverlap="1">
              <wp:simplePos x="0" y="0"/>
              <wp:positionH relativeFrom="column">
                <wp:posOffset>-713740</wp:posOffset>
              </wp:positionH>
              <wp:positionV relativeFrom="paragraph">
                <wp:posOffset>-727710</wp:posOffset>
              </wp:positionV>
              <wp:extent cx="304800" cy="8327390"/>
              <wp:effectExtent l="0" t="0" r="12700" b="16510"/>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8327390"/>
                      </a:xfrm>
                      <a:prstGeom prst="rect">
                        <a:avLst/>
                      </a:prstGeom>
                      <a:solidFill>
                        <a:srgbClr val="00305F"/>
                      </a:solidFill>
                      <a:ln>
                        <a:solidFill>
                          <a:srgbClr val="00305F"/>
                        </a:solidFill>
                      </a:ln>
                    </wps:spPr>
                    <wps:txbx>
                      <w:txbxContent>
                        <w:p w:rsidR="00F73EE0" w:rsidRPr="009B7D1B" w:rsidP="00AC597D" w14:textId="7949467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9F37FD" w:rsidR="009F37FD">
                            <w:rPr>
                              <w:rFonts w:ascii="Tahoma" w:hAnsi="Tahoma" w:cs="Tahoma"/>
                              <w:b/>
                              <w:bCs/>
                              <w:rtl/>
                            </w:rPr>
                            <w:t>ביקורת מעקב בנושא פרסום חוצות בתחומי שיפוטן של הרשויות המקומיות - דוח מיוחד</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2051" type="#_x0000_t202" alt="&quot;&quot;" style="width:24pt;height:655.7pt;margin-top:-57.3pt;margin-left:-56.2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AC597D" w14:paraId="77809697" w14:textId="7949467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9F37FD" w:rsidR="009F37FD">
                      <w:rPr>
                        <w:rFonts w:ascii="Tahoma" w:hAnsi="Tahoma" w:cs="Tahoma"/>
                        <w:b/>
                        <w:bCs/>
                        <w:rtl/>
                      </w:rPr>
                      <w:t>ביקורת מעקב בנושא פרסום חוצות בתחומי שיפוטן של הרשויות המקומיות - דוח מיוחד</w:t>
                    </w:r>
                  </w:p>
                </w:txbxContent>
              </v:textbox>
              <w10:wrap type="square"/>
            </v:shape>
          </w:pict>
        </mc:Fallback>
      </mc:AlternateContent>
    </w: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P="00B244B0" w14:textId="5BCD13C1">
                          <w:pPr>
                            <w:jc w:val="right"/>
                            <w:rPr>
                              <w:color w:val="0D0D0D" w:themeColor="text1" w:themeTint="F2"/>
                              <w:sz w:val="16"/>
                              <w:szCs w:val="16"/>
                            </w:rPr>
                          </w:pPr>
                          <w:r w:rsidRPr="00AF3B73">
                            <w:rPr>
                              <w:rFonts w:ascii="Tahoma" w:hAnsi="Tahoma" w:cs="Tahoma"/>
                              <w:color w:val="0D0D0D"/>
                              <w:sz w:val="16"/>
                              <w:szCs w:val="16"/>
                              <w:rtl/>
                            </w:rPr>
                            <w:t xml:space="preserve">דוח </w:t>
                          </w:r>
                          <w:r w:rsidRPr="000D6A88" w:rsidR="000D6A88">
                            <w:rPr>
                              <w:rFonts w:ascii="Tahoma" w:hAnsi="Tahoma" w:cs="Tahoma"/>
                              <w:color w:val="0D0D0D"/>
                              <w:sz w:val="16"/>
                              <w:szCs w:val="16"/>
                              <w:rtl/>
                            </w:rPr>
                            <w:t xml:space="preserve">מבקר המדינה | </w:t>
                          </w:r>
                          <w:r w:rsidR="00D50663">
                            <w:rPr>
                              <w:rFonts w:ascii="Tahoma" w:hAnsi="Tahoma" w:cs="Tahoma"/>
                              <w:color w:val="0D0D0D"/>
                              <w:sz w:val="16"/>
                              <w:szCs w:val="16"/>
                              <w:rtl/>
                            </w:rPr>
                            <w:t>שבט</w:t>
                          </w:r>
                          <w:r w:rsidRPr="000D6A88" w:rsidR="000D6A88">
                            <w:rPr>
                              <w:rFonts w:ascii="Tahoma" w:hAnsi="Tahoma" w:cs="Tahoma"/>
                              <w:color w:val="0D0D0D"/>
                              <w:sz w:val="16"/>
                              <w:szCs w:val="16"/>
                              <w:rtl/>
                            </w:rPr>
                            <w:t xml:space="preserve"> </w:t>
                          </w:r>
                          <w:r w:rsidRPr="000D6A88" w:rsidR="000D6A88">
                            <w:rPr>
                              <w:rFonts w:ascii="Tahoma" w:hAnsi="Tahoma" w:cs="Tahoma"/>
                              <w:color w:val="0D0D0D"/>
                              <w:sz w:val="16"/>
                              <w:szCs w:val="16"/>
                              <w:rtl/>
                            </w:rPr>
                            <w:t>התשפ״ד</w:t>
                          </w:r>
                          <w:r w:rsidRPr="000D6A88" w:rsidR="000D6A88">
                            <w:rPr>
                              <w:rFonts w:ascii="Tahoma" w:hAnsi="Tahoma" w:cs="Tahoma"/>
                              <w:color w:val="0D0D0D"/>
                              <w:sz w:val="16"/>
                              <w:szCs w:val="16"/>
                              <w:rtl/>
                            </w:rPr>
                            <w:t xml:space="preserve"> | ינואר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5BCD13C1">
                    <w:pPr>
                      <w:jc w:val="right"/>
                      <w:rPr>
                        <w:color w:val="0D0D0D" w:themeColor="text1" w:themeTint="F2"/>
                        <w:sz w:val="16"/>
                        <w:szCs w:val="16"/>
                      </w:rPr>
                    </w:pPr>
                    <w:r w:rsidRPr="00AF3B73">
                      <w:rPr>
                        <w:rFonts w:ascii="Tahoma" w:hAnsi="Tahoma" w:cs="Tahoma"/>
                        <w:color w:val="0D0D0D"/>
                        <w:sz w:val="16"/>
                        <w:szCs w:val="16"/>
                        <w:rtl/>
                      </w:rPr>
                      <w:t xml:space="preserve">דוח </w:t>
                    </w:r>
                    <w:r w:rsidRPr="000D6A88" w:rsidR="000D6A88">
                      <w:rPr>
                        <w:rFonts w:ascii="Tahoma" w:hAnsi="Tahoma" w:cs="Tahoma"/>
                        <w:color w:val="0D0D0D"/>
                        <w:sz w:val="16"/>
                        <w:szCs w:val="16"/>
                        <w:rtl/>
                      </w:rPr>
                      <w:t xml:space="preserve">מבקר המדינה | </w:t>
                    </w:r>
                    <w:r w:rsidR="00D50663">
                      <w:rPr>
                        <w:rFonts w:ascii="Tahoma" w:hAnsi="Tahoma" w:cs="Tahoma"/>
                        <w:color w:val="0D0D0D"/>
                        <w:sz w:val="16"/>
                        <w:szCs w:val="16"/>
                        <w:rtl/>
                      </w:rPr>
                      <w:t>שבט</w:t>
                    </w:r>
                    <w:r w:rsidRPr="000D6A88" w:rsidR="000D6A88">
                      <w:rPr>
                        <w:rFonts w:ascii="Tahoma" w:hAnsi="Tahoma" w:cs="Tahoma"/>
                        <w:color w:val="0D0D0D"/>
                        <w:sz w:val="16"/>
                        <w:szCs w:val="16"/>
                        <w:rtl/>
                      </w:rPr>
                      <w:t xml:space="preserve"> </w:t>
                    </w:r>
                    <w:r w:rsidRPr="000D6A88" w:rsidR="000D6A88">
                      <w:rPr>
                        <w:rFonts w:ascii="Tahoma" w:hAnsi="Tahoma" w:cs="Tahoma"/>
                        <w:color w:val="0D0D0D"/>
                        <w:sz w:val="16"/>
                        <w:szCs w:val="16"/>
                        <w:rtl/>
                      </w:rPr>
                      <w:t>התשפ״ד</w:t>
                    </w:r>
                    <w:r w:rsidRPr="000D6A88" w:rsidR="000D6A88">
                      <w:rPr>
                        <w:rFonts w:ascii="Tahoma" w:hAnsi="Tahoma" w:cs="Tahoma"/>
                        <w:color w:val="0D0D0D"/>
                        <w:sz w:val="16"/>
                        <w:szCs w:val="16"/>
                        <w:rtl/>
                      </w:rPr>
                      <w:t xml:space="preserve"> | ינואר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3D62C4" w:rsidP="004E71DD" w14:textId="33AD723A">
                          <w:pPr>
                            <w:pStyle w:val="Heading1"/>
                            <w:spacing w:line="269" w:lineRule="auto"/>
                            <w:jc w:val="left"/>
                            <w:rPr>
                              <w:rFonts w:ascii="Tahoma" w:hAnsi="Tahoma" w:eastAsiaTheme="minorHAnsi" w:cs="Tahoma"/>
                              <w:bCs w:val="0"/>
                              <w:color w:val="0D0D0D" w:themeColor="text1" w:themeTint="F2"/>
                              <w:sz w:val="16"/>
                              <w:szCs w:val="16"/>
                              <w:u w:val="none"/>
                            </w:rPr>
                          </w:pPr>
                          <w:r w:rsidRPr="009F37FD">
                            <w:rPr>
                              <w:rFonts w:ascii="Tahoma" w:hAnsi="Tahoma" w:eastAsiaTheme="minorHAnsi" w:cs="Tahoma"/>
                              <w:bCs w:val="0"/>
                              <w:color w:val="0D0D0D" w:themeColor="text1" w:themeTint="F2"/>
                              <w:sz w:val="16"/>
                              <w:szCs w:val="16"/>
                              <w:u w:val="none"/>
                              <w:rtl/>
                            </w:rPr>
                            <w:t>ביקורת מעקב בנושא פרסום חוצות בתחומי שיפוטן של הרשויות המקומיות - דוח מיוחד</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alt="&quot;&quot;"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3D62C4" w:rsidP="004E71DD" w14:paraId="66EBAA16" w14:textId="33AD723A">
                    <w:pPr>
                      <w:pStyle w:val="Heading1"/>
                      <w:spacing w:line="269" w:lineRule="auto"/>
                      <w:jc w:val="left"/>
                      <w:rPr>
                        <w:rFonts w:ascii="Tahoma" w:hAnsi="Tahoma" w:eastAsiaTheme="minorHAnsi" w:cs="Tahoma"/>
                        <w:bCs w:val="0"/>
                        <w:color w:val="0D0D0D" w:themeColor="text1" w:themeTint="F2"/>
                        <w:sz w:val="16"/>
                        <w:szCs w:val="16"/>
                        <w:u w:val="none"/>
                      </w:rPr>
                    </w:pPr>
                    <w:r w:rsidRPr="009F37FD">
                      <w:rPr>
                        <w:rFonts w:ascii="Tahoma" w:hAnsi="Tahoma" w:eastAsiaTheme="minorHAnsi" w:cs="Tahoma"/>
                        <w:bCs w:val="0"/>
                        <w:color w:val="0D0D0D" w:themeColor="text1" w:themeTint="F2"/>
                        <w:sz w:val="16"/>
                        <w:szCs w:val="16"/>
                        <w:u w:val="none"/>
                        <w:rtl/>
                      </w:rPr>
                      <w:t>ביקורת מעקב בנושא פרסום חוצות בתחומי שיפוטן של הרשויות המקומיות - דוח מיוחד</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8" name="Picture 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AC597D" w14:textId="348B5CC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AC597D" w:rsidR="00AC597D">
                            <w:rPr>
                              <w:rFonts w:ascii="Tahoma" w:hAnsi="Tahoma" w:cs="Tahoma"/>
                              <w:b/>
                              <w:bCs/>
                              <w:rtl/>
                            </w:rPr>
                            <w:t>פרסום חוצות בתחום שיפוטן של הרשויות המקומיות - ביקורת מעקב</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AC597D" w14:paraId="3B4CCAD6" w14:textId="348B5CC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AC597D" w:rsidR="00AC597D">
                      <w:rPr>
                        <w:rFonts w:ascii="Tahoma" w:hAnsi="Tahoma" w:cs="Tahoma"/>
                        <w:b/>
                        <w:bCs/>
                        <w:rtl/>
                      </w:rPr>
                      <w:t>פרסום חוצות בתחום שיפוטן של הרשויות המקומיות - ביקורת מעקב</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5821F638">
                          <w:pPr>
                            <w:jc w:val="right"/>
                            <w:rPr>
                              <w:color w:val="0D0D0D" w:themeColor="text1" w:themeTint="F2"/>
                              <w:sz w:val="16"/>
                              <w:szCs w:val="16"/>
                            </w:rPr>
                          </w:pPr>
                          <w:r w:rsidRPr="00AF3B73">
                            <w:rPr>
                              <w:rFonts w:ascii="Tahoma" w:hAnsi="Tahoma" w:cs="Tahoma"/>
                              <w:color w:val="0D0D0D"/>
                              <w:sz w:val="16"/>
                              <w:szCs w:val="16"/>
                              <w:rtl/>
                            </w:rPr>
                            <w:t xml:space="preserve">דוח מבקר המדינה | </w:t>
                          </w:r>
                          <w:r w:rsidR="00D50663">
                            <w:rPr>
                              <w:rFonts w:ascii="Tahoma" w:hAnsi="Tahoma" w:cs="Tahoma"/>
                              <w:color w:val="0D0D0D"/>
                              <w:sz w:val="16"/>
                              <w:szCs w:val="16"/>
                              <w:rtl/>
                            </w:rPr>
                            <w:t>שבט</w:t>
                          </w:r>
                          <w:r w:rsidRPr="00AF3B73">
                            <w:rPr>
                              <w:rFonts w:ascii="Tahoma" w:hAnsi="Tahoma" w:cs="Tahoma"/>
                              <w:color w:val="0D0D0D"/>
                              <w:sz w:val="16"/>
                              <w:szCs w:val="16"/>
                              <w:rtl/>
                            </w:rPr>
                            <w:t xml:space="preserve"> </w:t>
                          </w:r>
                          <w:r w:rsidRPr="00AF3B73">
                            <w:rPr>
                              <w:rFonts w:ascii="Tahoma" w:hAnsi="Tahoma" w:cs="Tahoma"/>
                              <w:color w:val="0D0D0D"/>
                              <w:sz w:val="16"/>
                              <w:szCs w:val="16"/>
                              <w:rtl/>
                            </w:rPr>
                            <w:t>התשפ"ד</w:t>
                          </w:r>
                          <w:r w:rsidRPr="00AF3B73">
                            <w:rPr>
                              <w:rFonts w:ascii="Tahoma" w:hAnsi="Tahoma" w:cs="Tahoma"/>
                              <w:color w:val="0D0D0D"/>
                              <w:sz w:val="16"/>
                              <w:szCs w:val="16"/>
                              <w:rtl/>
                            </w:rPr>
                            <w:t xml:space="preserve"> | אוקטובר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C55DC9" w:rsidP="00B244B0" w14:paraId="0C0E463E" w14:textId="5821F638">
                    <w:pPr>
                      <w:jc w:val="right"/>
                      <w:rPr>
                        <w:color w:val="0D0D0D" w:themeColor="text1" w:themeTint="F2"/>
                        <w:sz w:val="16"/>
                        <w:szCs w:val="16"/>
                      </w:rPr>
                    </w:pPr>
                    <w:r w:rsidRPr="00AF3B73">
                      <w:rPr>
                        <w:rFonts w:ascii="Tahoma" w:hAnsi="Tahoma" w:cs="Tahoma"/>
                        <w:color w:val="0D0D0D"/>
                        <w:sz w:val="16"/>
                        <w:szCs w:val="16"/>
                        <w:rtl/>
                      </w:rPr>
                      <w:t xml:space="preserve">דוח מבקר המדינה | </w:t>
                    </w:r>
                    <w:r w:rsidR="00D50663">
                      <w:rPr>
                        <w:rFonts w:ascii="Tahoma" w:hAnsi="Tahoma" w:cs="Tahoma"/>
                        <w:color w:val="0D0D0D"/>
                        <w:sz w:val="16"/>
                        <w:szCs w:val="16"/>
                        <w:rtl/>
                      </w:rPr>
                      <w:t>שבט</w:t>
                    </w:r>
                    <w:r w:rsidRPr="00AF3B73">
                      <w:rPr>
                        <w:rFonts w:ascii="Tahoma" w:hAnsi="Tahoma" w:cs="Tahoma"/>
                        <w:color w:val="0D0D0D"/>
                        <w:sz w:val="16"/>
                        <w:szCs w:val="16"/>
                        <w:rtl/>
                      </w:rPr>
                      <w:t xml:space="preserve"> </w:t>
                    </w:r>
                    <w:r w:rsidRPr="00AF3B73">
                      <w:rPr>
                        <w:rFonts w:ascii="Tahoma" w:hAnsi="Tahoma" w:cs="Tahoma"/>
                        <w:color w:val="0D0D0D"/>
                        <w:sz w:val="16"/>
                        <w:szCs w:val="16"/>
                        <w:rtl/>
                      </w:rPr>
                      <w:t>התשפ"ד</w:t>
                    </w:r>
                    <w:r w:rsidRPr="00AF3B73">
                      <w:rPr>
                        <w:rFonts w:ascii="Tahoma" w:hAnsi="Tahoma" w:cs="Tahoma"/>
                        <w:color w:val="0D0D0D"/>
                        <w:sz w:val="16"/>
                        <w:szCs w:val="16"/>
                        <w:rtl/>
                      </w:rPr>
                      <w:t xml:space="preserve"> | אוקטובר 2023</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6D7F68"/>
    <w:multiLevelType w:val="hybridMultilevel"/>
    <w:tmpl w:val="715EBE9A"/>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3">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4">
    <w:nsid w:val="2EA5204B"/>
    <w:multiLevelType w:val="hybridMultilevel"/>
    <w:tmpl w:val="B61CE3CC"/>
    <w:lvl w:ilvl="0">
      <w:start w:val="1"/>
      <w:numFmt w:val="bullet"/>
      <w:lvlText w:val=""/>
      <w:lvlJc w:val="left"/>
      <w:pPr>
        <w:ind w:left="794" w:hanging="397"/>
      </w:pPr>
      <w:rPr>
        <w:rFonts w:ascii="Symbol" w:hAnsi="Symbol" w:cs="Symbol" w:hint="default"/>
        <w:b/>
        <w:bCs/>
        <w:i w:val="0"/>
        <w:caps w:val="0"/>
        <w:strike w:val="0"/>
        <w:dstrike w:val="0"/>
        <w:vanish w:val="0"/>
        <w:color w:val="E41E2A"/>
        <w:sz w:val="28"/>
        <w:szCs w:val="28"/>
        <w:vertAlign w:val="baseline"/>
      </w:rPr>
    </w:lvl>
    <w:lvl w:ilvl="1">
      <w:start w:val="1"/>
      <w:numFmt w:val="bullet"/>
      <w:lvlText w:val=""/>
      <w:lvlJc w:val="left"/>
      <w:pPr>
        <w:ind w:left="1080" w:hanging="360"/>
      </w:pPr>
      <w:rPr>
        <w:rFonts w:ascii="Symbol" w:hAnsi="Symbol" w:cs="Symbol" w:hint="default"/>
        <w:b/>
        <w:bCs/>
        <w:color w:val="FF0000"/>
        <w:szCs w:val="2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7">
    <w:nsid w:val="50E075D5"/>
    <w:multiLevelType w:val="hybridMultilevel"/>
    <w:tmpl w:val="46849072"/>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8">
    <w:nsid w:val="55612DB9"/>
    <w:multiLevelType w:val="hybridMultilevel"/>
    <w:tmpl w:val="78AAA2F2"/>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9">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2">
    <w:nsid w:val="73E60C0F"/>
    <w:multiLevelType w:val="multilevel"/>
    <w:tmpl w:val="80CEF43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9"/>
  </w:num>
  <w:num w:numId="2">
    <w:abstractNumId w:val="3"/>
  </w:num>
  <w:num w:numId="3">
    <w:abstractNumId w:val="5"/>
  </w:num>
  <w:num w:numId="4">
    <w:abstractNumId w:val="13"/>
  </w:num>
  <w:num w:numId="5">
    <w:abstractNumId w:val="0"/>
  </w:num>
  <w:num w:numId="6">
    <w:abstractNumId w:val="6"/>
  </w:num>
  <w:num w:numId="7">
    <w:abstractNumId w:val="11"/>
  </w:num>
  <w:num w:numId="8">
    <w:abstractNumId w:val="1"/>
  </w:num>
  <w:num w:numId="9">
    <w:abstractNumId w:val="10"/>
  </w:num>
  <w:num w:numId="10">
    <w:abstractNumId w:val="4"/>
  </w:num>
  <w:num w:numId="11">
    <w:abstractNumId w:val="12"/>
  </w:num>
  <w:num w:numId="12">
    <w:abstractNumId w:val="2"/>
  </w:num>
  <w:num w:numId="13">
    <w:abstractNumId w:val="8"/>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6"/>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887"/>
    <w:rsid w:val="00047976"/>
    <w:rsid w:val="00047A92"/>
    <w:rsid w:val="00047CF6"/>
    <w:rsid w:val="000501A4"/>
    <w:rsid w:val="00050419"/>
    <w:rsid w:val="00050995"/>
    <w:rsid w:val="00050BDE"/>
    <w:rsid w:val="00050DDE"/>
    <w:rsid w:val="000510A1"/>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25F9"/>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455"/>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6A88"/>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3F7"/>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854"/>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237"/>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7CB"/>
    <w:rsid w:val="001D0955"/>
    <w:rsid w:val="001D1192"/>
    <w:rsid w:val="001D223A"/>
    <w:rsid w:val="001D2243"/>
    <w:rsid w:val="001D228F"/>
    <w:rsid w:val="001D2793"/>
    <w:rsid w:val="001D2E6A"/>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1E4F"/>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401"/>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1F8D"/>
    <w:rsid w:val="00232836"/>
    <w:rsid w:val="002338F8"/>
    <w:rsid w:val="00233E75"/>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8B2"/>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9E4"/>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5F68"/>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683"/>
    <w:rsid w:val="00456A60"/>
    <w:rsid w:val="00456AD9"/>
    <w:rsid w:val="00456F88"/>
    <w:rsid w:val="00457ADE"/>
    <w:rsid w:val="00460179"/>
    <w:rsid w:val="00460B1C"/>
    <w:rsid w:val="00460FB8"/>
    <w:rsid w:val="004617CF"/>
    <w:rsid w:val="004622BB"/>
    <w:rsid w:val="00462348"/>
    <w:rsid w:val="004626B6"/>
    <w:rsid w:val="00463683"/>
    <w:rsid w:val="00463B04"/>
    <w:rsid w:val="00463FD6"/>
    <w:rsid w:val="00464512"/>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2405"/>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1C1A"/>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42F"/>
    <w:rsid w:val="004D38B0"/>
    <w:rsid w:val="004D3AAD"/>
    <w:rsid w:val="004D45D6"/>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62F"/>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6D8"/>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3B03"/>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2EA4"/>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6CE"/>
    <w:rsid w:val="005D5864"/>
    <w:rsid w:val="005D5880"/>
    <w:rsid w:val="005D5DA2"/>
    <w:rsid w:val="005D5EAC"/>
    <w:rsid w:val="005D66B0"/>
    <w:rsid w:val="005D6794"/>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3DB6"/>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12C"/>
    <w:rsid w:val="006212E4"/>
    <w:rsid w:val="00621EF4"/>
    <w:rsid w:val="00622128"/>
    <w:rsid w:val="006229D3"/>
    <w:rsid w:val="006240FF"/>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0F3E"/>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8FA"/>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88B"/>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7D"/>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179F5"/>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69C8"/>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04E"/>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0A4"/>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9A7"/>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C8B"/>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9D9"/>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5A87"/>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A54"/>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4BF6"/>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6C0"/>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7FD"/>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722"/>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1314"/>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412"/>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97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3C6"/>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5D6"/>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B94"/>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C2E"/>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3CD"/>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BA4"/>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368F"/>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6307"/>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2FEF"/>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8AA"/>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663"/>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3C07"/>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3A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615"/>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27D1C"/>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4E"/>
    <w:rsid w:val="00E35682"/>
    <w:rsid w:val="00E356B6"/>
    <w:rsid w:val="00E35DF9"/>
    <w:rsid w:val="00E3649B"/>
    <w:rsid w:val="00E3697A"/>
    <w:rsid w:val="00E3745E"/>
    <w:rsid w:val="00E37A35"/>
    <w:rsid w:val="00E37B12"/>
    <w:rsid w:val="00E37BEF"/>
    <w:rsid w:val="00E37D65"/>
    <w:rsid w:val="00E402E1"/>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6AB6"/>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2A24"/>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106"/>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97FE6"/>
    <w:rsid w:val="00FA03A6"/>
    <w:rsid w:val="00FA03D6"/>
    <w:rsid w:val="00FA066D"/>
    <w:rsid w:val="00FA0956"/>
    <w:rsid w:val="00FA0FB3"/>
    <w:rsid w:val="00FA1118"/>
    <w:rsid w:val="00FA1126"/>
    <w:rsid w:val="00FA1816"/>
    <w:rsid w:val="00FA1B03"/>
    <w:rsid w:val="00FA24F3"/>
    <w:rsid w:val="00FA263E"/>
    <w:rsid w:val="00FA2798"/>
    <w:rsid w:val="00FA2D84"/>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0A9E"/>
    <w:rsid w:val="00FC2683"/>
    <w:rsid w:val="00FC2810"/>
    <w:rsid w:val="00FC2937"/>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8B6CAE15-3EB5-BB49-87D9-11A27452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uiPriority w:val="99"/>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basedOn w:val="DefaultParagraphFont"/>
    <w:semiHidden/>
    <w:unhideWhenUsed/>
    <w:rsid w:val="00CC6307"/>
    <w:rPr>
      <w:vertAlign w:val="superscript"/>
    </w:rPr>
  </w:style>
  <w:style w:type="paragraph" w:customStyle="1" w:styleId="KOT2">
    <w:name w:val="KOT2"/>
    <w:basedOn w:val="Normal"/>
    <w:rsid w:val="00C37C2E"/>
    <w:pPr>
      <w:keepNext/>
      <w:spacing w:after="360" w:line="360" w:lineRule="exact"/>
      <w:jc w:val="center"/>
    </w:pPr>
    <w:rPr>
      <w:rFonts w:eastAsia="Times New Roman"/>
      <w:b/>
      <w:bCs/>
      <w:sz w:val="32"/>
      <w:szCs w:val="32"/>
      <w:lang w:eastAsia="he-IL"/>
    </w:rPr>
  </w:style>
  <w:style w:type="paragraph" w:customStyle="1" w:styleId="KOT5">
    <w:name w:val="KOT5"/>
    <w:basedOn w:val="Normal"/>
    <w:rsid w:val="00C37C2E"/>
    <w:pPr>
      <w:keepNext/>
      <w:spacing w:after="120" w:line="260" w:lineRule="exact"/>
      <w:jc w:val="left"/>
      <w:outlineLvl w:val="2"/>
    </w:pPr>
    <w:rPr>
      <w:rFonts w:eastAsia="Times New Roman"/>
      <w:b/>
      <w:bCs/>
      <w:sz w:val="22"/>
      <w:szCs w:val="22"/>
    </w:rPr>
  </w:style>
  <w:style w:type="paragraph" w:customStyle="1" w:styleId="KOT4">
    <w:name w:val="KOT4"/>
    <w:basedOn w:val="Normal"/>
    <w:rsid w:val="00C37C2E"/>
    <w:pPr>
      <w:keepNext/>
      <w:spacing w:after="240" w:line="300" w:lineRule="exact"/>
      <w:jc w:val="left"/>
      <w:outlineLvl w:val="1"/>
    </w:pPr>
    <w:rPr>
      <w:rFonts w:eastAsia="Times New Roman"/>
      <w:b/>
      <w:bCs/>
      <w:sz w:val="26"/>
      <w:szCs w:val="26"/>
    </w:rPr>
  </w:style>
  <w:style w:type="paragraph" w:styleId="BodyText">
    <w:name w:val="Body Text"/>
    <w:basedOn w:val="Normal"/>
    <w:link w:val="a35"/>
    <w:semiHidden/>
    <w:unhideWhenUsed/>
    <w:rsid w:val="00C37C2E"/>
    <w:pPr>
      <w:spacing w:before="180" w:after="120" w:line="230" w:lineRule="exact"/>
    </w:pPr>
    <w:rPr>
      <w:rFonts w:eastAsia="Times New Roman" w:cs="FrankRuehl"/>
      <w:sz w:val="22"/>
      <w:szCs w:val="22"/>
    </w:rPr>
  </w:style>
  <w:style w:type="character" w:customStyle="1" w:styleId="a35">
    <w:name w:val="גוף טקסט תו"/>
    <w:basedOn w:val="DefaultParagraphFont"/>
    <w:link w:val="BodyText"/>
    <w:semiHidden/>
    <w:rsid w:val="00C37C2E"/>
    <w:rPr>
      <w:rFonts w:eastAsia="Times New Roman" w:cs="FrankRuehl"/>
      <w:sz w:val="22"/>
      <w:szCs w:val="22"/>
    </w:rPr>
  </w:style>
  <w:style w:type="paragraph" w:customStyle="1" w:styleId="KOT1">
    <w:name w:val="KOT1"/>
    <w:basedOn w:val="Normal"/>
    <w:rsid w:val="00C37C2E"/>
    <w:pPr>
      <w:keepNext/>
      <w:spacing w:after="360" w:line="400" w:lineRule="exact"/>
      <w:jc w:val="center"/>
    </w:pPr>
    <w:rPr>
      <w:rFonts w:eastAsia="Times New Roman"/>
      <w:b/>
      <w:bCs/>
      <w:sz w:val="36"/>
      <w:szCs w:val="36"/>
      <w:lang w:eastAsia="he-IL"/>
    </w:rPr>
  </w:style>
  <w:style w:type="paragraph" w:customStyle="1" w:styleId="PATIAH">
    <w:name w:val="PATIAH"/>
    <w:basedOn w:val="Normal"/>
    <w:rsid w:val="00C37C2E"/>
    <w:pPr>
      <w:spacing w:after="120" w:line="260" w:lineRule="exact"/>
    </w:pPr>
    <w:rPr>
      <w:rFonts w:eastAsia="Times New Roman"/>
      <w:lang w:eastAsia="he-IL"/>
    </w:rPr>
  </w:style>
  <w:style w:type="paragraph" w:customStyle="1" w:styleId="takzir">
    <w:name w:val="takzir"/>
    <w:basedOn w:val="Normal"/>
    <w:rsid w:val="00C37C2E"/>
    <w:pPr>
      <w:spacing w:after="120" w:line="240" w:lineRule="exact"/>
    </w:pPr>
    <w:rPr>
      <w:rFonts w:eastAsia="Times New Roman"/>
      <w:b/>
      <w:bCs/>
      <w:noProof/>
      <w:sz w:val="22"/>
      <w:szCs w:val="22"/>
      <w:lang w:eastAsia="he-IL"/>
    </w:rPr>
  </w:style>
  <w:style w:type="paragraph" w:customStyle="1" w:styleId="KOT6">
    <w:name w:val="KOT6"/>
    <w:basedOn w:val="KOT5"/>
    <w:locked/>
    <w:rsid w:val="00C37C2E"/>
    <w:pPr>
      <w:outlineLvl w:val="3"/>
    </w:pPr>
    <w:rPr>
      <w:rFonts w:cs="FrankRuehl"/>
      <w:spacing w:val="40"/>
      <w:sz w:val="20"/>
    </w:rPr>
  </w:style>
  <w:style w:type="character" w:styleId="CommentReference">
    <w:name w:val="annotation reference"/>
    <w:basedOn w:val="DefaultParagraphFont"/>
    <w:uiPriority w:val="99"/>
    <w:semiHidden/>
    <w:unhideWhenUsed/>
    <w:rsid w:val="00C37C2E"/>
    <w:rPr>
      <w:sz w:val="16"/>
      <w:szCs w:val="16"/>
    </w:rPr>
  </w:style>
  <w:style w:type="character" w:customStyle="1" w:styleId="124">
    <w:name w:val="אזכור לא מזוהה1"/>
    <w:basedOn w:val="DefaultParagraphFont"/>
    <w:uiPriority w:val="99"/>
    <w:semiHidden/>
    <w:unhideWhenUsed/>
    <w:rsid w:val="00C37C2E"/>
    <w:rPr>
      <w:color w:val="605E5C"/>
      <w:shd w:val="clear" w:color="auto" w:fill="E1DFDD"/>
    </w:rPr>
  </w:style>
  <w:style w:type="character" w:customStyle="1" w:styleId="29">
    <w:name w:val="אזכור לא מזוהה2"/>
    <w:basedOn w:val="DefaultParagraphFont"/>
    <w:uiPriority w:val="99"/>
    <w:semiHidden/>
    <w:unhideWhenUsed/>
    <w:rsid w:val="00C37C2E"/>
    <w:rPr>
      <w:color w:val="605E5C"/>
      <w:shd w:val="clear" w:color="auto" w:fill="E1DFDD"/>
    </w:rPr>
  </w:style>
  <w:style w:type="paragraph" w:customStyle="1" w:styleId="a36">
    <w:name w:val="טקסט הערות שוליים"/>
    <w:basedOn w:val="Normal"/>
    <w:qFormat/>
    <w:rsid w:val="00C37C2E"/>
  </w:style>
  <w:style w:type="character" w:customStyle="1" w:styleId="35">
    <w:name w:val="אזכור לא מזוהה3"/>
    <w:basedOn w:val="DefaultParagraphFont"/>
    <w:uiPriority w:val="99"/>
    <w:semiHidden/>
    <w:unhideWhenUsed/>
    <w:rsid w:val="00C37C2E"/>
    <w:rPr>
      <w:color w:val="605E5C"/>
      <w:shd w:val="clear" w:color="auto" w:fill="E1DFDD"/>
    </w:rPr>
  </w:style>
  <w:style w:type="character" w:customStyle="1" w:styleId="42">
    <w:name w:val="אזכור לא מזוהה4"/>
    <w:basedOn w:val="DefaultParagraphFont"/>
    <w:uiPriority w:val="99"/>
    <w:semiHidden/>
    <w:unhideWhenUsed/>
    <w:rsid w:val="00C37C2E"/>
    <w:rPr>
      <w:color w:val="605E5C"/>
      <w:shd w:val="clear" w:color="auto" w:fill="E1DFDD"/>
    </w:rPr>
  </w:style>
  <w:style w:type="character" w:customStyle="1" w:styleId="52">
    <w:name w:val="אזכור לא מזוהה5"/>
    <w:basedOn w:val="DefaultParagraphFont"/>
    <w:uiPriority w:val="99"/>
    <w:semiHidden/>
    <w:unhideWhenUsed/>
    <w:rsid w:val="00C37C2E"/>
    <w:rPr>
      <w:color w:val="605E5C"/>
      <w:shd w:val="clear" w:color="auto" w:fill="E1DFDD"/>
    </w:rPr>
  </w:style>
  <w:style w:type="character" w:customStyle="1" w:styleId="62">
    <w:name w:val="אזכור לא מזוהה6"/>
    <w:basedOn w:val="DefaultParagraphFont"/>
    <w:uiPriority w:val="99"/>
    <w:semiHidden/>
    <w:unhideWhenUsed/>
    <w:rsid w:val="00C37C2E"/>
    <w:rPr>
      <w:color w:val="605E5C"/>
      <w:shd w:val="clear" w:color="auto" w:fill="E1DFDD"/>
    </w:rPr>
  </w:style>
  <w:style w:type="numbering" w:customStyle="1" w:styleId="125">
    <w:name w:val="ללא רשימה1"/>
    <w:next w:val="NoList"/>
    <w:uiPriority w:val="99"/>
    <w:semiHidden/>
    <w:unhideWhenUsed/>
    <w:rsid w:val="00C37C2E"/>
  </w:style>
  <w:style w:type="table" w:customStyle="1" w:styleId="1110">
    <w:name w:val="רשת טבלה11"/>
    <w:basedOn w:val="TableNormal"/>
    <w:next w:val="TableGrid"/>
    <w:uiPriority w:val="59"/>
    <w:rsid w:val="00C37C2E"/>
    <w:pPr>
      <w:bidi/>
      <w:spacing w:after="0" w:line="312"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רשת טבלה3"/>
    <w:basedOn w:val="TableNormal"/>
    <w:next w:val="TableGrid"/>
    <w:uiPriority w:val="59"/>
    <w:rsid w:val="00C37C2E"/>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7C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emf" /><Relationship Id="rId27" Type="http://schemas.openxmlformats.org/officeDocument/2006/relationships/image" Target="media/image12.png" /><Relationship Id="rId28" Type="http://schemas.openxmlformats.org/officeDocument/2006/relationships/header" Target="header5.xml" /><Relationship Id="rId29" Type="http://schemas.openxmlformats.org/officeDocument/2006/relationships/footer" Target="footer4.xml" /><Relationship Id="rId3" Type="http://schemas.openxmlformats.org/officeDocument/2006/relationships/settings" Target="settings.xml" /><Relationship Id="rId30" Type="http://schemas.openxmlformats.org/officeDocument/2006/relationships/header" Target="header6.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2.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3DDBD5-7027-474F-8E56-82077C9BAB7C}"/>
</file>

<file path=customXml/itemProps3.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4.xml><?xml version="1.0" encoding="utf-8"?>
<ds:datastoreItem xmlns:ds="http://schemas.openxmlformats.org/officeDocument/2006/customXml" ds:itemID="{EF14C8F3-99B9-42DE-920E-5707BD78B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