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112923" w:rsidP="00CC005C" w14:paraId="33AA0580" w14:textId="6C2ECFF9">
      <w:pPr>
        <w:pStyle w:val="KOT1N"/>
        <w:bidi/>
        <w:spacing w:before="600" w:after="360"/>
        <w:jc w:val="left"/>
        <w:rPr>
          <w:rtl/>
        </w:rPr>
      </w:pPr>
      <w:r w:rsidRPr="002E1005">
        <w:rPr>
          <w:rFonts w:hint="eastAsia"/>
          <w:rtl/>
          <w:lang w:bidi="ar-SA"/>
        </w:rPr>
        <w:t>المقدمة</w:t>
      </w:r>
    </w:p>
    <w:p w:rsidR="00513B88" w:rsidRPr="009B2BA7" w:rsidP="00513B88" w14:paraId="43034F55" w14:textId="77777777">
      <w:pPr>
        <w:pStyle w:val="7190"/>
        <w:rPr>
          <w:rtl/>
        </w:rPr>
      </w:pPr>
      <w:r w:rsidRPr="009B2BA7">
        <w:rPr>
          <w:rtl/>
          <w:lang w:bidi="ar-SA"/>
        </w:rPr>
        <w:t xml:space="preserve">التقرير السنوي لمراقب الدولة – مايو/أيار </w:t>
      </w:r>
      <w:r w:rsidRPr="009B2BA7">
        <w:rPr>
          <w:rFonts w:hint="cs"/>
          <w:rtl/>
        </w:rPr>
        <w:t>2024</w:t>
      </w:r>
      <w:r w:rsidRPr="009B2BA7">
        <w:rPr>
          <w:rtl/>
          <w:lang w:bidi="ar-SA"/>
        </w:rPr>
        <w:t xml:space="preserve"> معروض على طاولة الكنيست بموجب قانون مراقب الدولة لعام 1958 [نسخة مدمجة]. </w:t>
      </w:r>
      <w:r w:rsidRPr="009B2BA7">
        <w:rPr>
          <w:rFonts w:hint="cs"/>
          <w:rtl/>
          <w:lang w:bidi="ar-SA"/>
        </w:rPr>
        <w:t>في</w:t>
      </w:r>
      <w:r w:rsidRPr="009B2BA7">
        <w:rPr>
          <w:rtl/>
          <w:lang w:bidi="ar-SA"/>
        </w:rPr>
        <w:t xml:space="preserve"> التقرير</w:t>
      </w:r>
      <w:r w:rsidRPr="009B2BA7">
        <w:rPr>
          <w:rFonts w:hint="cs"/>
          <w:rtl/>
          <w:lang w:bidi="ar-SA"/>
        </w:rPr>
        <w:t xml:space="preserve"> يوجد</w:t>
      </w:r>
      <w:r w:rsidRPr="009B2BA7">
        <w:rPr>
          <w:rtl/>
          <w:lang w:bidi="ar-SA"/>
        </w:rPr>
        <w:t xml:space="preserve"> جز</w:t>
      </w:r>
      <w:r w:rsidRPr="009B2BA7">
        <w:rPr>
          <w:rFonts w:hint="cs"/>
          <w:rtl/>
          <w:lang w:bidi="ar-SA"/>
        </w:rPr>
        <w:t>ءا</w:t>
      </w:r>
      <w:r w:rsidRPr="009B2BA7">
        <w:rPr>
          <w:rtl/>
          <w:lang w:bidi="ar-SA"/>
        </w:rPr>
        <w:t>ن: الجزء الأول يتناول مراقبة جهاز الأمن، والجزء الثاني يتناول الرقابة على وزارات الحكومة</w:t>
      </w:r>
      <w:r w:rsidRPr="009B2BA7">
        <w:rPr>
          <w:rFonts w:hint="cs"/>
          <w:rtl/>
          <w:lang w:bidi="ar-SA"/>
        </w:rPr>
        <w:t xml:space="preserve"> ومؤسسات الدولة</w:t>
      </w:r>
      <w:r w:rsidRPr="009B2BA7">
        <w:rPr>
          <w:rtl/>
          <w:lang w:bidi="ar-SA"/>
        </w:rPr>
        <w:t>.</w:t>
      </w:r>
    </w:p>
    <w:p w:rsidR="00513B88" w:rsidRPr="009B2BA7" w:rsidP="00513B88" w14:paraId="7107406D" w14:textId="77777777">
      <w:pPr>
        <w:pStyle w:val="7190"/>
        <w:rPr>
          <w:rtl/>
        </w:rPr>
      </w:pPr>
      <w:r w:rsidRPr="009B2BA7">
        <w:rPr>
          <w:rtl/>
          <w:lang w:bidi="ar-SA"/>
        </w:rPr>
        <w:t xml:space="preserve">في صباح يوم </w:t>
      </w:r>
      <w:r w:rsidRPr="009B2BA7">
        <w:rPr>
          <w:rFonts w:hint="cs"/>
          <w:rtl/>
          <w:lang w:bidi="ar-SA"/>
        </w:rPr>
        <w:t xml:space="preserve">السبت السابع </w:t>
      </w:r>
      <w:r w:rsidRPr="009B2BA7">
        <w:rPr>
          <w:rtl/>
          <w:lang w:bidi="ar-SA"/>
        </w:rPr>
        <w:t>من تشرين أول</w:t>
      </w:r>
      <w:r w:rsidRPr="009B2BA7">
        <w:rPr>
          <w:rFonts w:hint="cs"/>
          <w:rtl/>
          <w:lang w:bidi="ar-SA"/>
        </w:rPr>
        <w:t>/أكتوبر</w:t>
      </w:r>
      <w:r w:rsidRPr="009B2BA7">
        <w:rPr>
          <w:rtl/>
          <w:lang w:bidi="ar-SA"/>
        </w:rPr>
        <w:t xml:space="preserve"> عام 2023، شنت منظمة حماس الإرهابية هجوماً مباغتاً قاتلاً على المستوطنات المحيطة ب</w:t>
      </w:r>
      <w:r w:rsidRPr="009B2BA7">
        <w:rPr>
          <w:rFonts w:hint="cs"/>
          <w:rtl/>
          <w:lang w:bidi="ar-SA"/>
        </w:rPr>
        <w:t xml:space="preserve">قطاع </w:t>
      </w:r>
      <w:r w:rsidRPr="009B2BA7">
        <w:rPr>
          <w:rtl/>
          <w:lang w:bidi="ar-SA"/>
        </w:rPr>
        <w:t xml:space="preserve">غزة وما حولها، الى جانب إطلاق كثيف لآلاف الصواريخ والقذائف على المستوطنات في جنوب البلاد ووسطها. في الهجوم الارهابي تم اختطاف </w:t>
      </w:r>
      <w:r w:rsidRPr="009B2BA7">
        <w:rPr>
          <w:rFonts w:hint="cs"/>
          <w:rtl/>
        </w:rPr>
        <w:t>256</w:t>
      </w:r>
      <w:r w:rsidRPr="009B2BA7">
        <w:rPr>
          <w:rtl/>
          <w:lang w:bidi="ar-SA"/>
        </w:rPr>
        <w:t xml:space="preserve"> إسرائيليًا: تم إطلاق سراح أو إنقاذ </w:t>
      </w:r>
      <w:r w:rsidRPr="009B2BA7">
        <w:rPr>
          <w:rFonts w:hint="cs"/>
          <w:rtl/>
        </w:rPr>
        <w:t>1</w:t>
      </w:r>
      <w:r w:rsidRPr="009B2BA7">
        <w:rPr>
          <w:rFonts w:hint="cs"/>
          <w:rtl/>
          <w:lang w:bidi="ar-JO"/>
        </w:rPr>
        <w:t>24</w:t>
      </w:r>
      <w:r w:rsidRPr="009B2BA7">
        <w:rPr>
          <w:rtl/>
          <w:lang w:bidi="ar-SA"/>
        </w:rPr>
        <w:t xml:space="preserve"> منهم من الأسر، وبقي 13</w:t>
      </w:r>
      <w:r w:rsidRPr="009B2BA7">
        <w:rPr>
          <w:rFonts w:hint="cs"/>
          <w:rtl/>
          <w:lang w:bidi="ar-SA"/>
        </w:rPr>
        <w:t>2</w:t>
      </w:r>
      <w:r w:rsidRPr="009B2BA7">
        <w:rPr>
          <w:rtl/>
          <w:lang w:bidi="ar-SA"/>
        </w:rPr>
        <w:t xml:space="preserve"> في الأسر. منذ المجزرة وحتى منتصف شهر نيسان/أبريل 2024، تم قتل واغتيال 1542 إسرائيليًا، منهم 604 قتلى من جيش الدفاع الإسرائيلي، وتمت اصابة 15,140 جريحًا. في الأيام التي تلت </w:t>
      </w:r>
      <w:r w:rsidRPr="009B2BA7">
        <w:rPr>
          <w:rFonts w:hint="cs"/>
          <w:rtl/>
          <w:lang w:bidi="ar-SA"/>
        </w:rPr>
        <w:t xml:space="preserve">السابع </w:t>
      </w:r>
      <w:r w:rsidRPr="009B2BA7">
        <w:rPr>
          <w:rtl/>
          <w:lang w:bidi="ar-SA"/>
        </w:rPr>
        <w:t>من تشرين أول</w:t>
      </w:r>
      <w:r w:rsidRPr="009B2BA7">
        <w:rPr>
          <w:rFonts w:hint="cs"/>
          <w:rtl/>
          <w:lang w:bidi="ar-SA"/>
        </w:rPr>
        <w:t>/أكتوبر</w:t>
      </w:r>
      <w:r w:rsidRPr="009B2BA7">
        <w:rPr>
          <w:rtl/>
          <w:lang w:bidi="ar-SA"/>
        </w:rPr>
        <w:t xml:space="preserve"> عام 2023، تم إجلاء عشرات الآلاف من سكان المستوطنات المحيطة بغزة من منازلهم، بينما هم يعانون من الصدمات الشديدة التي انتابتهم في ذلك اليوم. في أعقاب اندلاع القتال في الجبهة الشمالية، تم أيضًا إجلاء عشرات الآلاف من سكان المستوطنات في الحدود الشمالية من منازلهم.</w:t>
      </w:r>
    </w:p>
    <w:p w:rsidR="00513B88" w:rsidRPr="009B2BA7" w:rsidP="00513B88" w14:paraId="3E3F798D" w14:textId="77777777">
      <w:pPr>
        <w:pStyle w:val="7190"/>
        <w:rPr>
          <w:rtl/>
        </w:rPr>
      </w:pPr>
      <w:r w:rsidRPr="009B2BA7">
        <w:rPr>
          <w:rtl/>
          <w:lang w:bidi="ar-SA"/>
        </w:rPr>
        <w:t xml:space="preserve">كما أعلنت سابقاً، فإن مكتبنا يجري رقابة شاملة تتناول عدة قضايا تتعلق بمجزرة </w:t>
      </w:r>
      <w:r w:rsidRPr="009B2BA7">
        <w:rPr>
          <w:rFonts w:hint="cs"/>
          <w:rtl/>
          <w:lang w:bidi="ar-SA"/>
        </w:rPr>
        <w:t xml:space="preserve">السابع </w:t>
      </w:r>
      <w:r w:rsidRPr="009B2BA7">
        <w:rPr>
          <w:rtl/>
          <w:lang w:bidi="ar-SA"/>
        </w:rPr>
        <w:t>من تشرين أول</w:t>
      </w:r>
      <w:r w:rsidRPr="009B2BA7">
        <w:rPr>
          <w:rFonts w:hint="cs"/>
          <w:rtl/>
          <w:lang w:bidi="ar-SA"/>
        </w:rPr>
        <w:t>/أكتوبر</w:t>
      </w:r>
      <w:r w:rsidRPr="009B2BA7">
        <w:rPr>
          <w:rtl/>
          <w:lang w:bidi="ar-SA"/>
        </w:rPr>
        <w:t xml:space="preserve"> عام 2023</w:t>
      </w:r>
      <w:r w:rsidRPr="009B2BA7">
        <w:rPr>
          <w:rFonts w:hint="cs"/>
          <w:rtl/>
          <w:lang w:bidi="ar-SA"/>
        </w:rPr>
        <w:t xml:space="preserve"> </w:t>
      </w:r>
      <w:r w:rsidRPr="009B2BA7">
        <w:rPr>
          <w:rtl/>
          <w:lang w:bidi="ar-SA"/>
        </w:rPr>
        <w:t xml:space="preserve">وحرب "السيوف الحديدية". حسب رأيي </w:t>
      </w:r>
      <w:r w:rsidRPr="009B2BA7">
        <w:rPr>
          <w:rFonts w:hint="cs"/>
          <w:rtl/>
          <w:lang w:bidi="ar-JO"/>
        </w:rPr>
        <w:t>فان ا</w:t>
      </w:r>
      <w:r w:rsidRPr="009B2BA7">
        <w:rPr>
          <w:rtl/>
          <w:lang w:bidi="ar-SA"/>
        </w:rPr>
        <w:t xml:space="preserve">جراء رقابة لفحص </w:t>
      </w:r>
      <w:r w:rsidRPr="009B2BA7">
        <w:rPr>
          <w:rFonts w:hint="cs"/>
          <w:rtl/>
          <w:lang w:bidi="ar-SA"/>
        </w:rPr>
        <w:t>أداء أصحاب</w:t>
      </w:r>
      <w:r w:rsidRPr="009B2BA7">
        <w:rPr>
          <w:rtl/>
          <w:lang w:bidi="ar-SA"/>
        </w:rPr>
        <w:t xml:space="preserve"> جميع الرتب </w:t>
      </w:r>
      <w:r w:rsidRPr="009B2BA7">
        <w:rPr>
          <w:rFonts w:hint="cs"/>
          <w:rtl/>
          <w:lang w:bidi="ar-SA"/>
        </w:rPr>
        <w:t xml:space="preserve">على كافة </w:t>
      </w:r>
      <w:r w:rsidRPr="009B2BA7">
        <w:rPr>
          <w:rtl/>
          <w:lang w:bidi="ar-SA"/>
        </w:rPr>
        <w:t>المستويات</w:t>
      </w:r>
      <w:r w:rsidRPr="009B2BA7">
        <w:rPr>
          <w:rFonts w:hint="cs"/>
          <w:rtl/>
          <w:lang w:bidi="ar-SA"/>
        </w:rPr>
        <w:t xml:space="preserve"> لوظائفهم</w:t>
      </w:r>
      <w:r w:rsidRPr="009B2BA7">
        <w:rPr>
          <w:rtl/>
          <w:lang w:bidi="ar-SA"/>
        </w:rPr>
        <w:t xml:space="preserve"> في يوم ارتكاب المجزرة، في الفترة التي سبقته</w:t>
      </w:r>
      <w:r w:rsidRPr="009B2BA7">
        <w:rPr>
          <w:rFonts w:hint="cs"/>
          <w:rtl/>
          <w:lang w:bidi="ar-JO"/>
        </w:rPr>
        <w:t>ا</w:t>
      </w:r>
      <w:r w:rsidRPr="009B2BA7">
        <w:rPr>
          <w:rtl/>
          <w:lang w:bidi="ar-SA"/>
        </w:rPr>
        <w:t xml:space="preserve"> والفترة التي تلته</w:t>
      </w:r>
      <w:r w:rsidRPr="009B2BA7">
        <w:rPr>
          <w:rFonts w:hint="cs"/>
          <w:rtl/>
          <w:lang w:bidi="ar-SA"/>
        </w:rPr>
        <w:t>ا</w:t>
      </w:r>
      <w:r w:rsidRPr="009B2BA7">
        <w:rPr>
          <w:rtl/>
          <w:lang w:bidi="ar-SA"/>
        </w:rPr>
        <w:t xml:space="preserve">، </w:t>
      </w:r>
      <w:r w:rsidRPr="009B2BA7">
        <w:rPr>
          <w:rFonts w:hint="cs"/>
          <w:rtl/>
          <w:lang w:bidi="ar-SA"/>
        </w:rPr>
        <w:t>هي</w:t>
      </w:r>
      <w:r w:rsidRPr="009B2BA7">
        <w:rPr>
          <w:rtl/>
          <w:lang w:bidi="ar-SA"/>
        </w:rPr>
        <w:t xml:space="preserve"> واجب جماهيري وأخلاقي</w:t>
      </w:r>
      <w:r w:rsidRPr="009B2BA7">
        <w:rPr>
          <w:rFonts w:hint="cs"/>
          <w:rtl/>
        </w:rPr>
        <w:t>.</w:t>
      </w:r>
    </w:p>
    <w:p w:rsidR="00513B88" w:rsidRPr="009B2BA7" w:rsidP="00513B88" w14:paraId="2426FC0D" w14:textId="77777777">
      <w:pPr>
        <w:pStyle w:val="7190"/>
        <w:rPr>
          <w:rtl/>
        </w:rPr>
      </w:pPr>
      <w:r w:rsidRPr="009B2BA7">
        <w:rPr>
          <w:rtl/>
          <w:lang w:bidi="ar-SA"/>
        </w:rPr>
        <w:t xml:space="preserve">بالتزامن مع الرقابة في موضوع الحرب، واصل مكتبنا القيام بدوره </w:t>
      </w:r>
      <w:r w:rsidRPr="009B2BA7">
        <w:rPr>
          <w:rFonts w:hint="cs"/>
          <w:rtl/>
          <w:lang w:bidi="ar-SA"/>
        </w:rPr>
        <w:t>والقيام</w:t>
      </w:r>
      <w:r w:rsidRPr="009B2BA7">
        <w:rPr>
          <w:rtl/>
          <w:lang w:bidi="ar-SA"/>
        </w:rPr>
        <w:t xml:space="preserve"> </w:t>
      </w:r>
      <w:r w:rsidRPr="009B2BA7">
        <w:rPr>
          <w:rFonts w:hint="cs"/>
          <w:rtl/>
          <w:lang w:bidi="ar-SA"/>
        </w:rPr>
        <w:t>ب</w:t>
      </w:r>
      <w:r w:rsidRPr="009B2BA7">
        <w:rPr>
          <w:rtl/>
          <w:lang w:bidi="ar-SA"/>
        </w:rPr>
        <w:t>عمليات الرقابة في مجالات أخرى أيضًا. وفيما يلي نظرة عامة على بعض فصول التقرير:</w:t>
      </w:r>
    </w:p>
    <w:p w:rsidR="00513B88" w:rsidRPr="009B2BA7" w:rsidP="00513B88" w14:paraId="06A052CC" w14:textId="77777777">
      <w:pPr>
        <w:pStyle w:val="7190"/>
        <w:rPr>
          <w:rtl/>
          <w:lang w:bidi="ar-SA"/>
        </w:rPr>
      </w:pPr>
      <w:r w:rsidRPr="009B2BA7">
        <w:rPr>
          <w:rFonts w:hint="cs"/>
          <w:rtl/>
          <w:lang w:bidi="ar-SA"/>
        </w:rPr>
        <w:t>ميزانية</w:t>
      </w:r>
      <w:r w:rsidRPr="009B2BA7">
        <w:rPr>
          <w:rtl/>
          <w:lang w:bidi="ar-SA"/>
        </w:rPr>
        <w:t xml:space="preserve"> تفويض</w:t>
      </w:r>
      <w:r w:rsidRPr="009B2BA7">
        <w:rPr>
          <w:rFonts w:hint="cs"/>
          <w:rtl/>
          <w:lang w:bidi="ar-SA"/>
        </w:rPr>
        <w:t xml:space="preserve"> التزام</w:t>
      </w:r>
      <w:r w:rsidRPr="009B2BA7">
        <w:rPr>
          <w:rtl/>
          <w:lang w:bidi="ar-SA"/>
        </w:rPr>
        <w:t xml:space="preserve"> وزارة الدفاع هو المبلغ الأقصى الذي يمكن للوزارة الالتزام به في سنة معينة، وهو يسمح لها </w:t>
      </w:r>
      <w:r w:rsidRPr="009B2BA7">
        <w:rPr>
          <w:rFonts w:hint="cs"/>
          <w:rtl/>
          <w:lang w:bidi="ar-SA"/>
        </w:rPr>
        <w:t>بعقد تعاقدات</w:t>
      </w:r>
      <w:r w:rsidRPr="009B2BA7">
        <w:rPr>
          <w:rtl/>
          <w:lang w:bidi="ar-SA"/>
        </w:rPr>
        <w:t xml:space="preserve"> </w:t>
      </w:r>
      <w:r w:rsidRPr="009B2BA7">
        <w:rPr>
          <w:rFonts w:hint="cs"/>
          <w:rtl/>
          <w:lang w:bidi="ar-SA"/>
        </w:rPr>
        <w:t>لسنوات عديدة</w:t>
      </w:r>
      <w:r w:rsidRPr="009B2BA7">
        <w:rPr>
          <w:rtl/>
          <w:lang w:bidi="ar-SA"/>
        </w:rPr>
        <w:t xml:space="preserve"> بمبالغ تصل إلى عشرات </w:t>
      </w:r>
      <w:r w:rsidRPr="009B2BA7">
        <w:rPr>
          <w:rFonts w:hint="cs"/>
          <w:rtl/>
          <w:lang w:bidi="ar-SA"/>
        </w:rPr>
        <w:t>ال</w:t>
      </w:r>
      <w:r w:rsidRPr="009B2BA7">
        <w:rPr>
          <w:rtl/>
          <w:lang w:bidi="ar-SA"/>
        </w:rPr>
        <w:t>مليارات</w:t>
      </w:r>
      <w:r w:rsidRPr="009B2BA7">
        <w:rPr>
          <w:rFonts w:hint="cs"/>
          <w:rtl/>
          <w:lang w:bidi="ar-SA"/>
        </w:rPr>
        <w:t xml:space="preserve"> من</w:t>
      </w:r>
      <w:r w:rsidRPr="009B2BA7">
        <w:rPr>
          <w:rtl/>
          <w:lang w:bidi="ar-SA"/>
        </w:rPr>
        <w:t xml:space="preserve"> </w:t>
      </w:r>
      <w:r w:rsidRPr="009B2BA7">
        <w:rPr>
          <w:rtl/>
          <w:lang w:bidi="ar-SA"/>
        </w:rPr>
        <w:t>الشواقل</w:t>
      </w:r>
      <w:r w:rsidRPr="009B2BA7">
        <w:rPr>
          <w:rtl/>
          <w:lang w:bidi="ar-SA"/>
        </w:rPr>
        <w:t xml:space="preserve"> سنويا</w:t>
      </w:r>
      <w:r w:rsidRPr="009B2BA7">
        <w:rPr>
          <w:rFonts w:hint="cs"/>
          <w:rtl/>
          <w:lang w:bidi="ar-SA"/>
        </w:rPr>
        <w:t xml:space="preserve">. في الرقابة حول موضوع </w:t>
      </w:r>
      <w:r w:rsidRPr="00513B88">
        <w:rPr>
          <w:rFonts w:hint="cs"/>
          <w:b/>
          <w:bCs/>
          <w:rtl/>
          <w:lang w:bidi="ar-SA"/>
        </w:rPr>
        <w:t>تخطيط ميزانية</w:t>
      </w:r>
      <w:r w:rsidRPr="00513B88">
        <w:rPr>
          <w:b/>
          <w:bCs/>
          <w:rtl/>
          <w:lang w:bidi="ar-SA"/>
        </w:rPr>
        <w:t xml:space="preserve"> تفويض</w:t>
      </w:r>
      <w:r w:rsidRPr="00513B88">
        <w:rPr>
          <w:rFonts w:hint="cs"/>
          <w:b/>
          <w:bCs/>
          <w:rtl/>
          <w:lang w:bidi="ar-SA"/>
        </w:rPr>
        <w:t xml:space="preserve"> التزام</w:t>
      </w:r>
      <w:r w:rsidRPr="00513B88">
        <w:rPr>
          <w:b/>
          <w:bCs/>
          <w:rtl/>
          <w:lang w:bidi="ar-SA"/>
        </w:rPr>
        <w:t xml:space="preserve"> وزارة الدفاع</w:t>
      </w:r>
      <w:r w:rsidRPr="00513B88">
        <w:rPr>
          <w:rFonts w:hint="cs"/>
          <w:b/>
          <w:bCs/>
          <w:rtl/>
          <w:lang w:bidi="ar-SA"/>
        </w:rPr>
        <w:t xml:space="preserve"> والرقاب</w:t>
      </w:r>
      <w:r w:rsidRPr="00513B88">
        <w:rPr>
          <w:rFonts w:hint="eastAsia"/>
          <w:b/>
          <w:bCs/>
          <w:rtl/>
          <w:lang w:bidi="ar-SA"/>
        </w:rPr>
        <w:t>ة</w:t>
      </w:r>
      <w:r w:rsidRPr="00513B88">
        <w:rPr>
          <w:rFonts w:hint="cs"/>
          <w:b/>
          <w:bCs/>
          <w:rtl/>
          <w:lang w:bidi="ar-SA"/>
        </w:rPr>
        <w:t xml:space="preserve"> عليه </w:t>
      </w:r>
      <w:r w:rsidRPr="009B2BA7">
        <w:rPr>
          <w:rFonts w:hint="cs"/>
          <w:rtl/>
          <w:lang w:bidi="ar-SA"/>
        </w:rPr>
        <w:t>تم الكشف عن</w:t>
      </w:r>
      <w:r w:rsidRPr="009B2BA7">
        <w:rPr>
          <w:rtl/>
          <w:lang w:bidi="ar-SA"/>
        </w:rPr>
        <w:t xml:space="preserve"> أوجه القصور في أنشطة وزارة المالية ووزارة الدفاع </w:t>
      </w:r>
      <w:r w:rsidRPr="009B2BA7">
        <w:rPr>
          <w:rFonts w:hint="cs"/>
          <w:rtl/>
          <w:lang w:bidi="ar-SA"/>
        </w:rPr>
        <w:t>في إطار</w:t>
      </w:r>
      <w:r w:rsidRPr="009B2BA7">
        <w:rPr>
          <w:rtl/>
          <w:lang w:bidi="ar-SA"/>
        </w:rPr>
        <w:t xml:space="preserve"> عمليات التخطيط </w:t>
      </w:r>
      <w:r w:rsidRPr="009B2BA7">
        <w:rPr>
          <w:rFonts w:hint="cs"/>
          <w:rtl/>
          <w:lang w:bidi="ar-SA"/>
        </w:rPr>
        <w:t>ل</w:t>
      </w:r>
      <w:r w:rsidRPr="009B2BA7">
        <w:rPr>
          <w:rtl/>
          <w:lang w:bidi="ar-SA"/>
        </w:rPr>
        <w:t>ميزانية التفويض لالتزام وزارة الدفاع.</w:t>
      </w:r>
      <w:r w:rsidRPr="009B2BA7">
        <w:rPr>
          <w:rFonts w:hint="cs"/>
          <w:rtl/>
          <w:lang w:bidi="ar-SA"/>
        </w:rPr>
        <w:t xml:space="preserve"> </w:t>
      </w:r>
      <w:r w:rsidRPr="009B2BA7">
        <w:rPr>
          <w:rtl/>
          <w:lang w:bidi="ar-SA"/>
        </w:rPr>
        <w:t>و</w:t>
      </w:r>
      <w:r w:rsidRPr="009B2BA7">
        <w:rPr>
          <w:rFonts w:hint="cs"/>
          <w:rtl/>
          <w:lang w:bidi="ar-SA"/>
        </w:rPr>
        <w:t>تم الكشف عن</w:t>
      </w:r>
      <w:r w:rsidRPr="009B2BA7">
        <w:rPr>
          <w:rtl/>
          <w:lang w:bidi="ar-SA"/>
        </w:rPr>
        <w:t xml:space="preserve"> أن </w:t>
      </w:r>
      <w:r w:rsidRPr="009B2BA7">
        <w:rPr>
          <w:rFonts w:hint="cs"/>
          <w:rtl/>
          <w:lang w:bidi="ar-SA"/>
        </w:rPr>
        <w:t>شعبة الميزانيات</w:t>
      </w:r>
      <w:r w:rsidRPr="009B2BA7">
        <w:rPr>
          <w:rtl/>
          <w:lang w:bidi="ar-SA"/>
        </w:rPr>
        <w:t xml:space="preserve"> في وزارة الدفاع لا تخطط لتخصيص </w:t>
      </w:r>
      <w:r w:rsidRPr="009B2BA7">
        <w:rPr>
          <w:rFonts w:hint="cs"/>
          <w:rtl/>
          <w:lang w:bidi="ar-SA"/>
        </w:rPr>
        <w:t>ميزانية</w:t>
      </w:r>
      <w:r w:rsidRPr="009B2BA7">
        <w:rPr>
          <w:rtl/>
          <w:lang w:bidi="ar-SA"/>
        </w:rPr>
        <w:t xml:space="preserve"> تفويض الالتزام للهيئات وتحديثها على مدار العام بالشكل الأمثل، إذ</w:t>
      </w:r>
      <w:r w:rsidRPr="009B2BA7">
        <w:rPr>
          <w:rFonts w:hint="cs"/>
          <w:rtl/>
          <w:lang w:bidi="ar-SA"/>
        </w:rPr>
        <w:t xml:space="preserve"> أنه</w:t>
      </w:r>
      <w:r w:rsidRPr="009B2BA7">
        <w:rPr>
          <w:rtl/>
          <w:lang w:bidi="ar-SA"/>
        </w:rPr>
        <w:t xml:space="preserve"> على الرغم من أن </w:t>
      </w:r>
      <w:r w:rsidRPr="009B2BA7">
        <w:rPr>
          <w:rFonts w:hint="cs"/>
          <w:rtl/>
          <w:lang w:bidi="ar-SA"/>
        </w:rPr>
        <w:t>ميزانية</w:t>
      </w:r>
      <w:r w:rsidRPr="009B2BA7">
        <w:rPr>
          <w:rtl/>
          <w:lang w:bidi="ar-SA"/>
        </w:rPr>
        <w:t xml:space="preserve"> تفويض الالتزام لا تغطي</w:t>
      </w:r>
      <w:r w:rsidRPr="009B2BA7">
        <w:rPr>
          <w:rFonts w:hint="cs"/>
          <w:rtl/>
          <w:lang w:bidi="ar-SA"/>
        </w:rPr>
        <w:t xml:space="preserve"> غالبا</w:t>
      </w:r>
      <w:r w:rsidRPr="009B2BA7">
        <w:rPr>
          <w:rtl/>
          <w:lang w:bidi="ar-SA"/>
        </w:rPr>
        <w:t xml:space="preserve"> جميع احتياجات الهيئات، </w:t>
      </w:r>
      <w:r w:rsidRPr="009B2BA7">
        <w:rPr>
          <w:rFonts w:hint="cs"/>
          <w:rtl/>
          <w:lang w:bidi="ar-SA"/>
        </w:rPr>
        <w:t>ففي حوالي</w:t>
      </w:r>
      <w:r w:rsidRPr="009B2BA7">
        <w:rPr>
          <w:rtl/>
          <w:lang w:bidi="ar-SA"/>
        </w:rPr>
        <w:t xml:space="preserve"> 40% من البرامج </w:t>
      </w:r>
      <w:r w:rsidRPr="009B2BA7">
        <w:rPr>
          <w:rFonts w:hint="cs"/>
          <w:rtl/>
          <w:lang w:bidi="ar-SA"/>
        </w:rPr>
        <w:t>التي تم تخصيص ميزانية لها في السنوات</w:t>
      </w:r>
      <w:r w:rsidRPr="009B2BA7">
        <w:rPr>
          <w:rtl/>
          <w:lang w:bidi="ar-SA"/>
        </w:rPr>
        <w:t xml:space="preserve"> 2017 إلى 2022 (باستثناء</w:t>
      </w:r>
      <w:r w:rsidRPr="009B2BA7">
        <w:rPr>
          <w:rFonts w:hint="cs"/>
          <w:rtl/>
          <w:lang w:bidi="ar-SA"/>
        </w:rPr>
        <w:t xml:space="preserve"> سنة</w:t>
      </w:r>
      <w:r w:rsidRPr="009B2BA7">
        <w:rPr>
          <w:rtl/>
          <w:lang w:bidi="ar-SA"/>
        </w:rPr>
        <w:t xml:space="preserve"> 2021)</w:t>
      </w:r>
      <w:r w:rsidRPr="009B2BA7">
        <w:rPr>
          <w:rFonts w:hint="cs"/>
          <w:rtl/>
          <w:lang w:bidi="ar-SA"/>
        </w:rPr>
        <w:t xml:space="preserve"> سُجلت</w:t>
      </w:r>
      <w:r w:rsidRPr="009B2BA7">
        <w:rPr>
          <w:rtl/>
          <w:lang w:bidi="ar-SA"/>
        </w:rPr>
        <w:t xml:space="preserve"> معدلات تنفيذ تصل إلى 40% من </w:t>
      </w:r>
      <w:r w:rsidRPr="009B2BA7">
        <w:rPr>
          <w:rFonts w:hint="cs"/>
          <w:rtl/>
          <w:lang w:bidi="ar-SA"/>
        </w:rPr>
        <w:t>ميزانيته</w:t>
      </w:r>
      <w:r w:rsidRPr="009B2BA7">
        <w:rPr>
          <w:rFonts w:hint="eastAsia"/>
          <w:rtl/>
          <w:lang w:bidi="ar-SA"/>
        </w:rPr>
        <w:t>ا</w:t>
      </w:r>
      <w:r w:rsidRPr="009B2BA7">
        <w:rPr>
          <w:rtl/>
          <w:lang w:bidi="ar-SA"/>
        </w:rPr>
        <w:t xml:space="preserve"> المحد</w:t>
      </w:r>
      <w:r w:rsidRPr="009B2BA7">
        <w:rPr>
          <w:rFonts w:hint="cs"/>
          <w:rtl/>
          <w:lang w:bidi="ar-SA"/>
        </w:rPr>
        <w:t>ّ</w:t>
      </w:r>
      <w:r w:rsidRPr="009B2BA7">
        <w:rPr>
          <w:rtl/>
          <w:lang w:bidi="ar-SA"/>
        </w:rPr>
        <w:t>ثة، و</w:t>
      </w:r>
      <w:r w:rsidRPr="009B2BA7">
        <w:rPr>
          <w:rFonts w:hint="cs"/>
          <w:rtl/>
          <w:lang w:bidi="ar-SA"/>
        </w:rPr>
        <w:t>في حوالي</w:t>
      </w:r>
      <w:r w:rsidRPr="009B2BA7">
        <w:rPr>
          <w:rtl/>
          <w:lang w:bidi="ar-SA"/>
        </w:rPr>
        <w:t xml:space="preserve"> الربع من البرامج س</w:t>
      </w:r>
      <w:r w:rsidRPr="009B2BA7">
        <w:rPr>
          <w:rFonts w:hint="cs"/>
          <w:rtl/>
          <w:lang w:bidi="ar-SA"/>
        </w:rPr>
        <w:t>ُ</w:t>
      </w:r>
      <w:r w:rsidRPr="009B2BA7">
        <w:rPr>
          <w:rtl/>
          <w:lang w:bidi="ar-SA"/>
        </w:rPr>
        <w:t>جلت معدلات تنفيذ تصل إلى 20%.</w:t>
      </w:r>
      <w:r w:rsidRPr="009B2BA7">
        <w:rPr>
          <w:rFonts w:hint="cs"/>
          <w:rtl/>
          <w:lang w:bidi="ar-SA"/>
        </w:rPr>
        <w:t xml:space="preserve"> </w:t>
      </w:r>
      <w:r w:rsidRPr="009B2BA7">
        <w:rPr>
          <w:rtl/>
          <w:lang w:bidi="ar-SA"/>
        </w:rPr>
        <w:t>كما أن</w:t>
      </w:r>
      <w:r w:rsidRPr="009B2BA7">
        <w:rPr>
          <w:rFonts w:hint="cs"/>
          <w:rtl/>
          <w:lang w:bidi="ar-SA"/>
        </w:rPr>
        <w:t>ه تم منح</w:t>
      </w:r>
      <w:r w:rsidRPr="009B2BA7">
        <w:rPr>
          <w:rtl/>
          <w:lang w:bidi="ar-SA"/>
        </w:rPr>
        <w:t xml:space="preserve"> زيادات في الميزانية </w:t>
      </w:r>
      <w:r w:rsidRPr="009B2BA7">
        <w:rPr>
          <w:rFonts w:hint="cs"/>
          <w:rtl/>
          <w:lang w:bidi="ar-SA"/>
        </w:rPr>
        <w:t>ل</w:t>
      </w:r>
      <w:r w:rsidRPr="009B2BA7">
        <w:rPr>
          <w:rtl/>
          <w:lang w:bidi="ar-SA"/>
        </w:rPr>
        <w:t xml:space="preserve">حوالي 15% من </w:t>
      </w:r>
      <w:r w:rsidRPr="009B2BA7">
        <w:rPr>
          <w:rFonts w:hint="cs"/>
          <w:rtl/>
          <w:lang w:bidi="ar-SA"/>
        </w:rPr>
        <w:t>ال</w:t>
      </w:r>
      <w:r w:rsidRPr="009B2BA7">
        <w:rPr>
          <w:rtl/>
          <w:lang w:bidi="ar-SA"/>
        </w:rPr>
        <w:t>برامج</w:t>
      </w:r>
      <w:r w:rsidRPr="009B2BA7">
        <w:rPr>
          <w:rFonts w:hint="cs"/>
          <w:rtl/>
          <w:lang w:bidi="ar-SA"/>
        </w:rPr>
        <w:t xml:space="preserve"> التي</w:t>
      </w:r>
      <w:r w:rsidRPr="009B2BA7">
        <w:rPr>
          <w:rtl/>
          <w:lang w:bidi="ar-SA"/>
        </w:rPr>
        <w:t xml:space="preserve"> لم </w:t>
      </w:r>
      <w:r w:rsidRPr="009B2BA7">
        <w:rPr>
          <w:rFonts w:hint="cs"/>
          <w:rtl/>
          <w:lang w:bidi="ar-SA"/>
        </w:rPr>
        <w:t>يتم تنفيذها</w:t>
      </w:r>
      <w:r w:rsidRPr="009B2BA7">
        <w:rPr>
          <w:rtl/>
          <w:lang w:bidi="ar-SA"/>
        </w:rPr>
        <w:t xml:space="preserve"> على الإطلاق خلال العام، </w:t>
      </w:r>
      <w:r w:rsidRPr="009B2BA7">
        <w:rPr>
          <w:rFonts w:hint="cs"/>
          <w:rtl/>
          <w:lang w:bidi="ar-SA"/>
        </w:rPr>
        <w:t>بمبلغ قوامه</w:t>
      </w:r>
      <w:r w:rsidRPr="009B2BA7">
        <w:rPr>
          <w:rtl/>
          <w:lang w:bidi="ar-SA"/>
        </w:rPr>
        <w:t xml:space="preserve"> 58 مليون شيكل </w:t>
      </w:r>
      <w:r w:rsidRPr="009B2BA7">
        <w:rPr>
          <w:rFonts w:hint="cs"/>
          <w:rtl/>
          <w:lang w:bidi="ar-SA"/>
        </w:rPr>
        <w:t xml:space="preserve">الى </w:t>
      </w:r>
      <w:r w:rsidRPr="009B2BA7">
        <w:rPr>
          <w:rtl/>
          <w:lang w:bidi="ar-SA"/>
        </w:rPr>
        <w:t>2.2 مليار شيكل. بالإضافة إلى ذلك، تبين من الرقابة أن</w:t>
      </w:r>
      <w:r w:rsidRPr="009B2BA7">
        <w:rPr>
          <w:rFonts w:hint="cs"/>
          <w:rtl/>
          <w:lang w:bidi="ar-SA"/>
        </w:rPr>
        <w:t>ه لا تُعرض أمام</w:t>
      </w:r>
      <w:r w:rsidRPr="009B2BA7">
        <w:rPr>
          <w:rtl/>
          <w:lang w:bidi="ar-SA"/>
        </w:rPr>
        <w:t xml:space="preserve"> اللجنة الوزارية </w:t>
      </w:r>
      <w:r w:rsidRPr="009B2BA7">
        <w:rPr>
          <w:rFonts w:hint="cs"/>
          <w:rtl/>
          <w:lang w:bidi="ar-SA"/>
        </w:rPr>
        <w:t>لاقتناء المعدات</w:t>
      </w:r>
      <w:r w:rsidRPr="009B2BA7">
        <w:rPr>
          <w:rtl/>
          <w:lang w:bidi="ar-SA"/>
        </w:rPr>
        <w:t xml:space="preserve"> صورة كاملة</w:t>
      </w:r>
      <w:r w:rsidRPr="009B2BA7">
        <w:rPr>
          <w:rFonts w:hint="cs"/>
          <w:rtl/>
          <w:lang w:bidi="ar-SA"/>
        </w:rPr>
        <w:t xml:space="preserve"> للوضع</w:t>
      </w:r>
      <w:r w:rsidRPr="009B2BA7">
        <w:rPr>
          <w:rtl/>
          <w:lang w:bidi="ar-SA"/>
        </w:rPr>
        <w:t xml:space="preserve"> تسمح لها بإجراء فحص شامل لتأثيرات الميزانية</w:t>
      </w:r>
      <w:r w:rsidRPr="009B2BA7">
        <w:rPr>
          <w:rFonts w:hint="cs"/>
          <w:rtl/>
          <w:lang w:bidi="ar-SA"/>
        </w:rPr>
        <w:t xml:space="preserve"> المتعلقة بتنفيذ</w:t>
      </w:r>
      <w:r w:rsidRPr="009B2BA7">
        <w:rPr>
          <w:rtl/>
          <w:lang w:bidi="ar-SA"/>
        </w:rPr>
        <w:t xml:space="preserve"> مشروع </w:t>
      </w:r>
      <w:r w:rsidRPr="009B2BA7">
        <w:rPr>
          <w:rFonts w:hint="cs"/>
          <w:rtl/>
          <w:lang w:bidi="ar-SA"/>
        </w:rPr>
        <w:t>أمني معين</w:t>
      </w:r>
      <w:r w:rsidRPr="009B2BA7">
        <w:rPr>
          <w:rtl/>
          <w:lang w:bidi="ar-SA"/>
        </w:rPr>
        <w:t xml:space="preserve"> على ميزانية الدفاع في السنوات </w:t>
      </w:r>
      <w:r w:rsidRPr="009B2BA7">
        <w:rPr>
          <w:rFonts w:hint="cs"/>
          <w:rtl/>
          <w:lang w:bidi="ar-SA"/>
        </w:rPr>
        <w:t>القادمة</w:t>
      </w:r>
      <w:r w:rsidRPr="009B2BA7">
        <w:rPr>
          <w:rtl/>
          <w:lang w:bidi="ar-SA"/>
        </w:rPr>
        <w:t xml:space="preserve">. هذا </w:t>
      </w:r>
      <w:r w:rsidRPr="009B2BA7">
        <w:rPr>
          <w:rFonts w:hint="cs"/>
          <w:rtl/>
          <w:lang w:bidi="ar-SA"/>
        </w:rPr>
        <w:t>ب</w:t>
      </w:r>
      <w:r w:rsidRPr="009B2BA7">
        <w:rPr>
          <w:rtl/>
          <w:lang w:bidi="ar-SA"/>
        </w:rPr>
        <w:t xml:space="preserve">الرغم من أنه، وفقًا لتقدير مكتب مراقب الدولة، </w:t>
      </w:r>
      <w:r w:rsidRPr="009B2BA7">
        <w:rPr>
          <w:rFonts w:hint="cs"/>
          <w:rtl/>
          <w:lang w:bidi="ar-SA"/>
        </w:rPr>
        <w:t>بقي لدى</w:t>
      </w:r>
      <w:r w:rsidRPr="009B2BA7">
        <w:rPr>
          <w:rtl/>
          <w:lang w:bidi="ar-SA"/>
        </w:rPr>
        <w:t xml:space="preserve"> </w:t>
      </w:r>
      <w:r w:rsidRPr="009B2BA7">
        <w:rPr>
          <w:rFonts w:hint="cs"/>
          <w:rtl/>
          <w:lang w:bidi="ar-SA"/>
        </w:rPr>
        <w:t>ال</w:t>
      </w:r>
      <w:r w:rsidRPr="009B2BA7">
        <w:rPr>
          <w:rtl/>
          <w:lang w:bidi="ar-SA"/>
        </w:rPr>
        <w:t>مؤسسة الأمن</w:t>
      </w:r>
      <w:r w:rsidRPr="009B2BA7">
        <w:rPr>
          <w:rFonts w:hint="cs"/>
          <w:rtl/>
          <w:lang w:bidi="ar-SA"/>
        </w:rPr>
        <w:t>ية</w:t>
      </w:r>
      <w:r w:rsidRPr="009B2BA7">
        <w:rPr>
          <w:rtl/>
          <w:lang w:bidi="ar-SA"/>
        </w:rPr>
        <w:t xml:space="preserve"> هامش عمل </w:t>
      </w:r>
      <w:r w:rsidRPr="009B2BA7">
        <w:rPr>
          <w:rFonts w:hint="cs"/>
          <w:rtl/>
          <w:lang w:bidi="ar-SA"/>
        </w:rPr>
        <w:t>بشأن</w:t>
      </w:r>
      <w:r w:rsidRPr="009B2BA7">
        <w:rPr>
          <w:rtl/>
          <w:lang w:bidi="ar-SA"/>
        </w:rPr>
        <w:t xml:space="preserve"> الميزانية يصل إلى في المتوسط </w:t>
      </w:r>
      <w:r w:rsidRPr="009B2BA7">
        <w:rPr>
          <w:rFonts w:hint="cs"/>
          <w:rtl/>
          <w:lang w:bidi="ar-SA"/>
        </w:rPr>
        <w:t xml:space="preserve">الى </w:t>
      </w:r>
      <w:r w:rsidRPr="009B2BA7">
        <w:rPr>
          <w:rtl/>
          <w:lang w:bidi="ar-SA"/>
        </w:rPr>
        <w:t>عدة مليارات</w:t>
      </w:r>
      <w:r w:rsidRPr="009B2BA7">
        <w:rPr>
          <w:rFonts w:hint="cs"/>
          <w:rtl/>
          <w:lang w:bidi="ar-SA"/>
        </w:rPr>
        <w:t xml:space="preserve"> من</w:t>
      </w:r>
      <w:r w:rsidRPr="009B2BA7">
        <w:rPr>
          <w:rtl/>
          <w:lang w:bidi="ar-SA"/>
        </w:rPr>
        <w:t xml:space="preserve"> </w:t>
      </w:r>
      <w:r w:rsidRPr="009B2BA7">
        <w:rPr>
          <w:rFonts w:hint="cs"/>
          <w:rtl/>
          <w:lang w:bidi="ar-SA"/>
        </w:rPr>
        <w:t>الشواكل</w:t>
      </w:r>
      <w:r w:rsidRPr="009B2BA7">
        <w:rPr>
          <w:rtl/>
          <w:lang w:bidi="ar-SA"/>
        </w:rPr>
        <w:t xml:space="preserve"> سنويًا </w:t>
      </w:r>
      <w:r w:rsidRPr="009B2BA7">
        <w:rPr>
          <w:rFonts w:hint="cs"/>
          <w:rtl/>
          <w:lang w:bidi="ar-SA"/>
        </w:rPr>
        <w:t>ما بين السنوات</w:t>
      </w:r>
      <w:r w:rsidRPr="009B2BA7">
        <w:rPr>
          <w:rtl/>
          <w:lang w:bidi="ar-SA"/>
        </w:rPr>
        <w:t xml:space="preserve"> 2023 إلى 2027 (</w:t>
      </w:r>
      <w:r w:rsidRPr="009B2BA7">
        <w:rPr>
          <w:rFonts w:hint="cs"/>
          <w:rtl/>
          <w:lang w:bidi="ar-SA"/>
        </w:rPr>
        <w:t>استنادا الى</w:t>
      </w:r>
      <w:r w:rsidRPr="009B2BA7">
        <w:rPr>
          <w:rtl/>
          <w:lang w:bidi="ar-SA"/>
        </w:rPr>
        <w:t xml:space="preserve"> </w:t>
      </w:r>
      <w:r w:rsidRPr="009B2BA7">
        <w:rPr>
          <w:rFonts w:hint="cs"/>
          <w:rtl/>
          <w:lang w:bidi="ar-SA"/>
        </w:rPr>
        <w:t>فرضية</w:t>
      </w:r>
      <w:r w:rsidRPr="009B2BA7">
        <w:rPr>
          <w:rtl/>
          <w:lang w:bidi="ar-SA"/>
        </w:rPr>
        <w:t xml:space="preserve"> موس</w:t>
      </w:r>
      <w:r w:rsidRPr="009B2BA7">
        <w:rPr>
          <w:rFonts w:hint="cs"/>
          <w:rtl/>
          <w:lang w:bidi="ar-SA"/>
        </w:rPr>
        <w:t>ّ</w:t>
      </w:r>
      <w:r w:rsidRPr="009B2BA7">
        <w:rPr>
          <w:rtl/>
          <w:lang w:bidi="ar-SA"/>
        </w:rPr>
        <w:t>ع</w:t>
      </w:r>
      <w:r w:rsidRPr="009B2BA7">
        <w:rPr>
          <w:rFonts w:hint="cs"/>
          <w:rtl/>
          <w:lang w:bidi="ar-SA"/>
        </w:rPr>
        <w:t>ة</w:t>
      </w:r>
      <w:r w:rsidRPr="009B2BA7">
        <w:rPr>
          <w:rtl/>
          <w:lang w:bidi="ar-SA"/>
        </w:rPr>
        <w:t>)، و</w:t>
      </w:r>
      <w:r w:rsidRPr="009B2BA7">
        <w:rPr>
          <w:rFonts w:hint="cs"/>
          <w:rtl/>
          <w:lang w:bidi="ar-SA"/>
        </w:rPr>
        <w:t>التي تبلغ</w:t>
      </w:r>
      <w:r w:rsidRPr="009B2BA7">
        <w:rPr>
          <w:rtl/>
          <w:lang w:bidi="ar-SA"/>
        </w:rPr>
        <w:t xml:space="preserve"> في المتوسط حوالي 10% </w:t>
      </w:r>
      <w:r w:rsidRPr="009B2BA7">
        <w:rPr>
          <w:rFonts w:hint="cs"/>
          <w:rtl/>
          <w:lang w:bidi="ar-SA"/>
        </w:rPr>
        <w:t xml:space="preserve">فقط </w:t>
      </w:r>
      <w:r w:rsidRPr="009B2BA7">
        <w:rPr>
          <w:rtl/>
          <w:lang w:bidi="ar-SA"/>
        </w:rPr>
        <w:t>من المصادر المقدرة لهذه السنوات.</w:t>
      </w:r>
      <w:r w:rsidRPr="00594B6D">
        <w:rPr>
          <w:rtl/>
        </w:rPr>
        <w:t xml:space="preserve"> </w:t>
      </w:r>
      <w:r w:rsidRPr="009B2BA7">
        <w:rPr>
          <w:rtl/>
          <w:lang w:bidi="ar-SA"/>
        </w:rPr>
        <w:t>وكشف التقرير أيضًا عن أوجه قصور في تقرير وزارة الدفاع المقدم إلى اللجنة المشتركة في الكنيست حول التغييرات الربع سنوية في</w:t>
      </w:r>
      <w:r w:rsidRPr="009B2BA7">
        <w:rPr>
          <w:rFonts w:hint="cs"/>
          <w:rtl/>
          <w:lang w:bidi="ar-SA"/>
        </w:rPr>
        <w:t xml:space="preserve"> </w:t>
      </w:r>
      <w:r w:rsidRPr="009B2BA7">
        <w:rPr>
          <w:rFonts w:hint="cs"/>
          <w:rtl/>
          <w:lang w:bidi="ar-SA"/>
        </w:rPr>
        <w:t>ميزانية</w:t>
      </w:r>
      <w:r w:rsidRPr="009B2BA7">
        <w:rPr>
          <w:rtl/>
          <w:lang w:bidi="ar-SA"/>
        </w:rPr>
        <w:t xml:space="preserve"> تفويض الالتزام، </w:t>
      </w:r>
      <w:r w:rsidRPr="009B2BA7">
        <w:rPr>
          <w:rFonts w:hint="cs"/>
          <w:rtl/>
          <w:lang w:bidi="ar-SA"/>
        </w:rPr>
        <w:t>حيث وصل</w:t>
      </w:r>
      <w:r w:rsidRPr="009B2BA7">
        <w:rPr>
          <w:rtl/>
          <w:lang w:bidi="ar-SA"/>
        </w:rPr>
        <w:t xml:space="preserve"> المبلغ التراكمي لها في الفترة من الربع الأول </w:t>
      </w:r>
      <w:r w:rsidRPr="009B2BA7">
        <w:rPr>
          <w:rFonts w:hint="cs"/>
          <w:rtl/>
          <w:lang w:bidi="ar-SA"/>
        </w:rPr>
        <w:t xml:space="preserve">من </w:t>
      </w:r>
      <w:r w:rsidRPr="009B2BA7">
        <w:rPr>
          <w:rtl/>
          <w:lang w:bidi="ar-SA"/>
        </w:rPr>
        <w:t xml:space="preserve">عام 2017 إلى الربع الثاني </w:t>
      </w:r>
      <w:r w:rsidRPr="009B2BA7">
        <w:rPr>
          <w:rFonts w:hint="cs"/>
          <w:rtl/>
          <w:lang w:bidi="ar-SA"/>
        </w:rPr>
        <w:t xml:space="preserve">من </w:t>
      </w:r>
      <w:r w:rsidRPr="009B2BA7">
        <w:rPr>
          <w:rtl/>
          <w:lang w:bidi="ar-SA"/>
        </w:rPr>
        <w:t>عام 2022</w:t>
      </w:r>
      <w:r w:rsidRPr="009B2BA7">
        <w:rPr>
          <w:rFonts w:hint="cs"/>
          <w:rtl/>
          <w:lang w:bidi="ar-SA"/>
        </w:rPr>
        <w:t xml:space="preserve"> مبلغ</w:t>
      </w:r>
      <w:r w:rsidRPr="009B2BA7">
        <w:rPr>
          <w:rtl/>
          <w:lang w:bidi="ar-SA"/>
        </w:rPr>
        <w:t xml:space="preserve"> 68.5 مليار شيكل. </w:t>
      </w:r>
      <w:r w:rsidRPr="009B2BA7">
        <w:rPr>
          <w:rFonts w:hint="cs"/>
          <w:rtl/>
          <w:lang w:bidi="ar-SA"/>
        </w:rPr>
        <w:t>و</w:t>
      </w:r>
      <w:r w:rsidRPr="009B2BA7">
        <w:rPr>
          <w:rtl/>
          <w:lang w:bidi="ar-SA"/>
        </w:rPr>
        <w:t xml:space="preserve">نظرا </w:t>
      </w:r>
      <w:r w:rsidRPr="009B2BA7">
        <w:rPr>
          <w:rFonts w:hint="cs"/>
          <w:rtl/>
          <w:lang w:bidi="ar-SA"/>
        </w:rPr>
        <w:t>لأهمية ميزانية</w:t>
      </w:r>
      <w:r w:rsidRPr="009B2BA7">
        <w:rPr>
          <w:rtl/>
          <w:lang w:bidi="ar-SA"/>
        </w:rPr>
        <w:t xml:space="preserve"> تفويض الالتزام لعمل جهاز </w:t>
      </w:r>
      <w:r w:rsidRPr="009B2BA7">
        <w:rPr>
          <w:rFonts w:hint="cs"/>
          <w:rtl/>
          <w:lang w:bidi="ar-SA"/>
        </w:rPr>
        <w:t>الأمن</w:t>
      </w:r>
      <w:r w:rsidRPr="009B2BA7">
        <w:rPr>
          <w:rtl/>
          <w:lang w:bidi="ar-SA"/>
        </w:rPr>
        <w:t xml:space="preserve">، ونظرا لضخامة هذه الميزانية وتأثيرها على تصلب ميزانية الدفاع، يوصي مكتب مراقب الدولة وزارة المالية ووزارة الدفاع </w:t>
      </w:r>
      <w:r w:rsidRPr="009B2BA7">
        <w:rPr>
          <w:rFonts w:hint="cs"/>
          <w:rtl/>
          <w:lang w:bidi="ar-SA"/>
        </w:rPr>
        <w:t>ب</w:t>
      </w:r>
      <w:r w:rsidRPr="009B2BA7">
        <w:rPr>
          <w:rtl/>
          <w:lang w:bidi="ar-SA"/>
        </w:rPr>
        <w:t xml:space="preserve">تحسين عمليات تخطيط </w:t>
      </w:r>
      <w:r w:rsidRPr="009B2BA7">
        <w:rPr>
          <w:rFonts w:hint="cs"/>
          <w:rtl/>
          <w:lang w:bidi="ar-SA"/>
        </w:rPr>
        <w:t>ميزانية</w:t>
      </w:r>
      <w:r w:rsidRPr="009B2BA7">
        <w:rPr>
          <w:rtl/>
          <w:lang w:bidi="ar-SA"/>
        </w:rPr>
        <w:t xml:space="preserve"> تفويض الالتزام، و</w:t>
      </w:r>
      <w:r w:rsidRPr="009B2BA7">
        <w:rPr>
          <w:rFonts w:hint="cs"/>
          <w:rtl/>
          <w:lang w:bidi="ar-SA"/>
        </w:rPr>
        <w:t>بلورة</w:t>
      </w:r>
      <w:r w:rsidRPr="009B2BA7">
        <w:rPr>
          <w:rtl/>
          <w:lang w:bidi="ar-SA"/>
        </w:rPr>
        <w:t xml:space="preserve"> مقترح الميزانية </w:t>
      </w:r>
      <w:r w:rsidRPr="009B2BA7">
        <w:rPr>
          <w:rFonts w:hint="cs"/>
          <w:rtl/>
          <w:lang w:bidi="ar-SA"/>
        </w:rPr>
        <w:t>على</w:t>
      </w:r>
      <w:r w:rsidRPr="009B2BA7">
        <w:rPr>
          <w:rtl/>
          <w:lang w:bidi="ar-SA"/>
        </w:rPr>
        <w:t xml:space="preserve"> ضوء الالتزامات متعددة السنوات بالش</w:t>
      </w:r>
      <w:r w:rsidRPr="009B2BA7">
        <w:rPr>
          <w:rFonts w:hint="cs"/>
          <w:rtl/>
          <w:lang w:bidi="ar-SA"/>
        </w:rPr>
        <w:t>اقل وبالعملة الأجنبية المخصصة للمساعدة</w:t>
      </w:r>
      <w:r w:rsidRPr="009B2BA7">
        <w:rPr>
          <w:rtl/>
          <w:lang w:bidi="ar-SA"/>
        </w:rPr>
        <w:t xml:space="preserve"> وتوسيع نطاق المعلومات المقدمة </w:t>
      </w:r>
      <w:r w:rsidRPr="009B2BA7">
        <w:rPr>
          <w:rFonts w:hint="cs"/>
          <w:rtl/>
          <w:lang w:bidi="ar-SA"/>
        </w:rPr>
        <w:t>ل</w:t>
      </w:r>
      <w:r w:rsidRPr="009B2BA7">
        <w:rPr>
          <w:rtl/>
          <w:lang w:bidi="ar-SA"/>
        </w:rPr>
        <w:t xml:space="preserve">لمجلس الوزاري </w:t>
      </w:r>
      <w:r w:rsidRPr="009B2BA7">
        <w:rPr>
          <w:rFonts w:hint="cs"/>
          <w:rtl/>
          <w:lang w:bidi="ar-SA"/>
        </w:rPr>
        <w:t>لاقتناء المعدات عند قيامه بفحص تأثيرات الميزانية على تنفيذ المشاريع الأمنية.</w:t>
      </w:r>
      <w:r w:rsidRPr="009B2BA7">
        <w:rPr>
          <w:rtl/>
          <w:lang w:bidi="ar-SA"/>
        </w:rPr>
        <w:t xml:space="preserve"> كما يوصى</w:t>
      </w:r>
      <w:r w:rsidRPr="009B2BA7">
        <w:rPr>
          <w:rFonts w:hint="cs"/>
          <w:rtl/>
          <w:lang w:bidi="ar-SA"/>
        </w:rPr>
        <w:t xml:space="preserve"> التقرير</w:t>
      </w:r>
      <w:r w:rsidRPr="009B2BA7">
        <w:rPr>
          <w:rtl/>
          <w:lang w:bidi="ar-SA"/>
        </w:rPr>
        <w:t xml:space="preserve"> بأن تقوم وزارة الدفاع ووزارة المالية، بالتنسيق مع اللجنة المشتركة في الكنيست، بتحسين جودة التقرير </w:t>
      </w:r>
      <w:r w:rsidRPr="009B2BA7">
        <w:rPr>
          <w:rFonts w:hint="cs"/>
          <w:rtl/>
          <w:lang w:bidi="ar-SA"/>
        </w:rPr>
        <w:t>الربع سنوي</w:t>
      </w:r>
      <w:r w:rsidRPr="009B2BA7">
        <w:rPr>
          <w:rtl/>
          <w:lang w:bidi="ar-SA"/>
        </w:rPr>
        <w:t xml:space="preserve"> حول التغييرات في ميزانية الدفاع.</w:t>
      </w:r>
    </w:p>
    <w:p w:rsidR="00513B88" w:rsidRPr="009B2BA7" w:rsidP="00513B88" w14:paraId="4F9507F1" w14:textId="77777777">
      <w:pPr>
        <w:pStyle w:val="7190"/>
        <w:rPr>
          <w:rtl/>
        </w:rPr>
      </w:pPr>
      <w:r w:rsidRPr="009B2BA7">
        <w:rPr>
          <w:rtl/>
          <w:lang w:bidi="ar-JO"/>
        </w:rPr>
        <w:t>تم</w:t>
      </w:r>
      <w:r w:rsidRPr="009B2BA7">
        <w:rPr>
          <w:rtl/>
        </w:rPr>
        <w:t xml:space="preserve"> </w:t>
      </w:r>
      <w:r w:rsidRPr="009B2BA7">
        <w:rPr>
          <w:rtl/>
          <w:lang w:bidi="ar-JO"/>
        </w:rPr>
        <w:t>إعداد</w:t>
      </w:r>
      <w:r w:rsidRPr="009B2BA7">
        <w:rPr>
          <w:rtl/>
        </w:rPr>
        <w:t xml:space="preserve"> </w:t>
      </w:r>
      <w:r w:rsidRPr="009B2BA7">
        <w:rPr>
          <w:rtl/>
          <w:lang w:bidi="ar-JO"/>
        </w:rPr>
        <w:t>هذه</w:t>
      </w:r>
      <w:r w:rsidRPr="009B2BA7">
        <w:rPr>
          <w:rtl/>
        </w:rPr>
        <w:t xml:space="preserve"> </w:t>
      </w:r>
      <w:r w:rsidRPr="009B2BA7">
        <w:rPr>
          <w:rtl/>
          <w:lang w:bidi="ar-JO"/>
        </w:rPr>
        <w:t>الرقابة</w:t>
      </w:r>
      <w:r w:rsidRPr="009B2BA7">
        <w:rPr>
          <w:rtl/>
        </w:rPr>
        <w:t xml:space="preserve"> </w:t>
      </w:r>
      <w:r w:rsidRPr="009B2BA7">
        <w:rPr>
          <w:rtl/>
          <w:lang w:bidi="ar-JO"/>
        </w:rPr>
        <w:t>قبل</w:t>
      </w:r>
      <w:r w:rsidRPr="009B2BA7">
        <w:rPr>
          <w:rtl/>
        </w:rPr>
        <w:t xml:space="preserve"> </w:t>
      </w:r>
      <w:r w:rsidRPr="009B2BA7">
        <w:rPr>
          <w:rtl/>
          <w:lang w:bidi="ar-JO"/>
        </w:rPr>
        <w:t>اندلاع</w:t>
      </w:r>
      <w:r w:rsidRPr="009B2BA7">
        <w:rPr>
          <w:rtl/>
        </w:rPr>
        <w:t xml:space="preserve"> </w:t>
      </w:r>
      <w:r w:rsidRPr="009B2BA7">
        <w:rPr>
          <w:rtl/>
          <w:lang w:bidi="ar-JO"/>
        </w:rPr>
        <w:t>حرب</w:t>
      </w:r>
      <w:r w:rsidRPr="009B2BA7">
        <w:rPr>
          <w:rtl/>
        </w:rPr>
        <w:t xml:space="preserve"> "</w:t>
      </w:r>
      <w:r w:rsidRPr="009B2BA7">
        <w:rPr>
          <w:rtl/>
          <w:lang w:bidi="ar-JO"/>
        </w:rPr>
        <w:t>السيوف</w:t>
      </w:r>
      <w:r w:rsidRPr="009B2BA7">
        <w:rPr>
          <w:rtl/>
        </w:rPr>
        <w:t xml:space="preserve"> </w:t>
      </w:r>
      <w:r w:rsidRPr="009B2BA7">
        <w:rPr>
          <w:rtl/>
          <w:lang w:bidi="ar-JO"/>
        </w:rPr>
        <w:t>الحديدية</w:t>
      </w:r>
      <w:r w:rsidRPr="009B2BA7">
        <w:rPr>
          <w:rtl/>
        </w:rPr>
        <w:t xml:space="preserve">". </w:t>
      </w:r>
      <w:r w:rsidRPr="009B2BA7">
        <w:rPr>
          <w:rFonts w:hint="cs"/>
          <w:rtl/>
          <w:lang w:bidi="ar-JO"/>
        </w:rPr>
        <w:t>نؤكد</w:t>
      </w:r>
      <w:r w:rsidRPr="009B2BA7">
        <w:rPr>
          <w:rtl/>
        </w:rPr>
        <w:t xml:space="preserve"> </w:t>
      </w:r>
      <w:r w:rsidRPr="009B2BA7">
        <w:rPr>
          <w:rtl/>
          <w:lang w:bidi="ar-JO"/>
        </w:rPr>
        <w:t>على</w:t>
      </w:r>
      <w:r w:rsidRPr="009B2BA7">
        <w:rPr>
          <w:rtl/>
        </w:rPr>
        <w:t xml:space="preserve"> </w:t>
      </w:r>
      <w:r w:rsidRPr="009B2BA7">
        <w:rPr>
          <w:rtl/>
          <w:lang w:bidi="ar-JO"/>
        </w:rPr>
        <w:t>أن</w:t>
      </w:r>
      <w:r w:rsidRPr="009B2BA7">
        <w:rPr>
          <w:rtl/>
        </w:rPr>
        <w:t xml:space="preserve"> </w:t>
      </w:r>
      <w:r w:rsidRPr="009B2BA7">
        <w:rPr>
          <w:rtl/>
          <w:lang w:bidi="ar-JO"/>
        </w:rPr>
        <w:t>أوجه</w:t>
      </w:r>
      <w:r w:rsidRPr="009B2BA7">
        <w:rPr>
          <w:rtl/>
        </w:rPr>
        <w:t xml:space="preserve"> </w:t>
      </w:r>
      <w:r w:rsidRPr="009B2BA7">
        <w:rPr>
          <w:rtl/>
          <w:lang w:bidi="ar-JO"/>
        </w:rPr>
        <w:t>القصور</w:t>
      </w:r>
      <w:r w:rsidRPr="009B2BA7">
        <w:rPr>
          <w:rtl/>
        </w:rPr>
        <w:t xml:space="preserve"> </w:t>
      </w:r>
      <w:r w:rsidRPr="009B2BA7">
        <w:rPr>
          <w:rtl/>
          <w:lang w:bidi="ar-JO"/>
        </w:rPr>
        <w:t>والتوصيات</w:t>
      </w:r>
      <w:r w:rsidRPr="009B2BA7">
        <w:rPr>
          <w:rtl/>
        </w:rPr>
        <w:t xml:space="preserve"> </w:t>
      </w:r>
      <w:r w:rsidRPr="009B2BA7">
        <w:rPr>
          <w:rtl/>
          <w:lang w:bidi="ar-JO"/>
        </w:rPr>
        <w:t>الواردة</w:t>
      </w:r>
      <w:r w:rsidRPr="009B2BA7">
        <w:rPr>
          <w:rtl/>
        </w:rPr>
        <w:t xml:space="preserve"> </w:t>
      </w:r>
      <w:r w:rsidRPr="009B2BA7">
        <w:rPr>
          <w:rtl/>
          <w:lang w:bidi="ar-JO"/>
        </w:rPr>
        <w:t>في</w:t>
      </w:r>
      <w:r w:rsidRPr="009B2BA7">
        <w:rPr>
          <w:rtl/>
        </w:rPr>
        <w:t xml:space="preserve"> </w:t>
      </w:r>
      <w:r w:rsidRPr="009B2BA7">
        <w:rPr>
          <w:rtl/>
          <w:lang w:bidi="ar-JO"/>
        </w:rPr>
        <w:t>تقرير</w:t>
      </w:r>
      <w:r w:rsidRPr="009B2BA7">
        <w:rPr>
          <w:rtl/>
        </w:rPr>
        <w:t xml:space="preserve"> </w:t>
      </w:r>
      <w:r w:rsidRPr="009B2BA7">
        <w:rPr>
          <w:rtl/>
          <w:lang w:bidi="ar-JO"/>
        </w:rPr>
        <w:t>الرقابة</w:t>
      </w:r>
      <w:r w:rsidRPr="009B2BA7">
        <w:rPr>
          <w:rtl/>
        </w:rPr>
        <w:t xml:space="preserve"> </w:t>
      </w:r>
      <w:r w:rsidRPr="009B2BA7">
        <w:rPr>
          <w:rtl/>
          <w:lang w:bidi="ar-JO"/>
        </w:rPr>
        <w:t>تكتسب</w:t>
      </w:r>
      <w:r w:rsidRPr="009B2BA7">
        <w:rPr>
          <w:rtl/>
        </w:rPr>
        <w:t xml:space="preserve"> </w:t>
      </w:r>
      <w:r w:rsidRPr="009B2BA7">
        <w:rPr>
          <w:rtl/>
          <w:lang w:bidi="ar-JO"/>
        </w:rPr>
        <w:t>أهمية</w:t>
      </w:r>
      <w:r w:rsidRPr="009B2BA7">
        <w:rPr>
          <w:rtl/>
        </w:rPr>
        <w:t xml:space="preserve"> </w:t>
      </w:r>
      <w:r w:rsidRPr="009B2BA7">
        <w:rPr>
          <w:rFonts w:hint="cs"/>
          <w:rtl/>
          <w:lang w:bidi="ar-JO"/>
        </w:rPr>
        <w:t>بالغة</w:t>
      </w:r>
      <w:r w:rsidRPr="009B2BA7">
        <w:rPr>
          <w:rtl/>
        </w:rPr>
        <w:t xml:space="preserve"> </w:t>
      </w:r>
      <w:r w:rsidRPr="009B2BA7">
        <w:rPr>
          <w:rtl/>
          <w:lang w:bidi="ar-JO"/>
        </w:rPr>
        <w:t>في</w:t>
      </w:r>
      <w:r w:rsidRPr="009B2BA7">
        <w:rPr>
          <w:rtl/>
        </w:rPr>
        <w:t xml:space="preserve"> </w:t>
      </w:r>
      <w:r w:rsidRPr="009B2BA7">
        <w:rPr>
          <w:rtl/>
          <w:lang w:bidi="ar-JO"/>
        </w:rPr>
        <w:t>ضوء</w:t>
      </w:r>
      <w:r w:rsidRPr="009B2BA7">
        <w:rPr>
          <w:rtl/>
        </w:rPr>
        <w:t xml:space="preserve"> </w:t>
      </w:r>
      <w:r w:rsidRPr="009B2BA7">
        <w:rPr>
          <w:rtl/>
          <w:lang w:bidi="ar-JO"/>
        </w:rPr>
        <w:t>الزيادة</w:t>
      </w:r>
      <w:r w:rsidRPr="009B2BA7">
        <w:rPr>
          <w:rtl/>
        </w:rPr>
        <w:t xml:space="preserve"> </w:t>
      </w:r>
      <w:r w:rsidRPr="009B2BA7">
        <w:rPr>
          <w:rtl/>
          <w:lang w:bidi="ar-JO"/>
        </w:rPr>
        <w:t>المتوقعة</w:t>
      </w:r>
      <w:r w:rsidRPr="009B2BA7">
        <w:rPr>
          <w:rtl/>
        </w:rPr>
        <w:t xml:space="preserve"> </w:t>
      </w:r>
      <w:r w:rsidRPr="009B2BA7">
        <w:rPr>
          <w:rtl/>
          <w:lang w:bidi="ar-JO"/>
        </w:rPr>
        <w:t>في</w:t>
      </w:r>
      <w:r w:rsidRPr="009B2BA7">
        <w:rPr>
          <w:rtl/>
        </w:rPr>
        <w:t xml:space="preserve"> </w:t>
      </w:r>
      <w:r w:rsidRPr="009B2BA7">
        <w:rPr>
          <w:rtl/>
          <w:lang w:bidi="ar-JO"/>
        </w:rPr>
        <w:t>ميزانية</w:t>
      </w:r>
      <w:r w:rsidRPr="009B2BA7">
        <w:rPr>
          <w:rtl/>
        </w:rPr>
        <w:t xml:space="preserve"> </w:t>
      </w:r>
      <w:r w:rsidRPr="009B2BA7">
        <w:rPr>
          <w:rtl/>
          <w:lang w:bidi="ar-JO"/>
        </w:rPr>
        <w:t>الدفاع،</w:t>
      </w:r>
      <w:r w:rsidRPr="009B2BA7">
        <w:rPr>
          <w:rtl/>
        </w:rPr>
        <w:t xml:space="preserve"> </w:t>
      </w:r>
      <w:r w:rsidRPr="009B2BA7">
        <w:rPr>
          <w:rtl/>
          <w:lang w:bidi="ar-JO"/>
        </w:rPr>
        <w:t>بما</w:t>
      </w:r>
      <w:r w:rsidRPr="009B2BA7">
        <w:rPr>
          <w:rtl/>
        </w:rPr>
        <w:t xml:space="preserve"> </w:t>
      </w:r>
      <w:r w:rsidRPr="009B2BA7">
        <w:rPr>
          <w:rtl/>
          <w:lang w:bidi="ar-JO"/>
        </w:rPr>
        <w:t>في</w:t>
      </w:r>
      <w:r w:rsidRPr="009B2BA7">
        <w:rPr>
          <w:rtl/>
        </w:rPr>
        <w:t xml:space="preserve"> </w:t>
      </w:r>
      <w:r w:rsidRPr="009B2BA7">
        <w:rPr>
          <w:rtl/>
          <w:lang w:bidi="ar-JO"/>
        </w:rPr>
        <w:t>ذلك</w:t>
      </w:r>
      <w:r w:rsidRPr="009B2BA7">
        <w:rPr>
          <w:rtl/>
        </w:rPr>
        <w:t xml:space="preserve"> </w:t>
      </w:r>
      <w:r w:rsidRPr="009B2BA7">
        <w:rPr>
          <w:rtl/>
          <w:lang w:bidi="ar-JO"/>
        </w:rPr>
        <w:t>ميزانية</w:t>
      </w:r>
      <w:r w:rsidRPr="009B2BA7">
        <w:rPr>
          <w:rtl/>
        </w:rPr>
        <w:t xml:space="preserve"> </w:t>
      </w:r>
      <w:r w:rsidRPr="009B2BA7">
        <w:rPr>
          <w:rFonts w:hint="cs"/>
          <w:rtl/>
          <w:lang w:bidi="ar-JO"/>
        </w:rPr>
        <w:t>تفويض</w:t>
      </w:r>
      <w:r w:rsidRPr="009B2BA7">
        <w:rPr>
          <w:rFonts w:hint="cs"/>
          <w:rtl/>
        </w:rPr>
        <w:t xml:space="preserve"> </w:t>
      </w:r>
      <w:r w:rsidRPr="009B2BA7">
        <w:rPr>
          <w:rtl/>
          <w:lang w:bidi="ar-JO"/>
        </w:rPr>
        <w:t>الالتزام،</w:t>
      </w:r>
      <w:r w:rsidRPr="009B2BA7">
        <w:rPr>
          <w:rtl/>
        </w:rPr>
        <w:t xml:space="preserve"> </w:t>
      </w:r>
      <w:r w:rsidRPr="009B2BA7">
        <w:rPr>
          <w:rtl/>
          <w:lang w:bidi="ar-JO"/>
        </w:rPr>
        <w:t>وكذلك</w:t>
      </w:r>
      <w:r w:rsidRPr="009B2BA7">
        <w:rPr>
          <w:rtl/>
        </w:rPr>
        <w:t xml:space="preserve"> </w:t>
      </w:r>
      <w:r w:rsidRPr="009B2BA7">
        <w:rPr>
          <w:rtl/>
          <w:lang w:bidi="ar-JO"/>
        </w:rPr>
        <w:t>في</w:t>
      </w:r>
      <w:r w:rsidRPr="009B2BA7">
        <w:rPr>
          <w:rtl/>
        </w:rPr>
        <w:t xml:space="preserve"> </w:t>
      </w:r>
      <w:r w:rsidRPr="009B2BA7">
        <w:rPr>
          <w:rtl/>
          <w:lang w:bidi="ar-JO"/>
        </w:rPr>
        <w:t>ضوء</w:t>
      </w:r>
      <w:r w:rsidRPr="009B2BA7">
        <w:rPr>
          <w:rtl/>
        </w:rPr>
        <w:t xml:space="preserve"> </w:t>
      </w:r>
      <w:r w:rsidRPr="009B2BA7">
        <w:rPr>
          <w:rtl/>
          <w:lang w:bidi="ar-JO"/>
        </w:rPr>
        <w:t>الالتزامات</w:t>
      </w:r>
      <w:r w:rsidRPr="009B2BA7">
        <w:rPr>
          <w:rtl/>
        </w:rPr>
        <w:t xml:space="preserve"> </w:t>
      </w:r>
      <w:r w:rsidRPr="009B2BA7">
        <w:rPr>
          <w:rtl/>
          <w:lang w:bidi="ar-JO"/>
        </w:rPr>
        <w:t>في</w:t>
      </w:r>
      <w:r w:rsidRPr="009B2BA7">
        <w:rPr>
          <w:rtl/>
        </w:rPr>
        <w:t xml:space="preserve"> </w:t>
      </w:r>
      <w:r w:rsidRPr="009B2BA7">
        <w:rPr>
          <w:rtl/>
          <w:lang w:bidi="ar-JO"/>
        </w:rPr>
        <w:t>ميزانية</w:t>
      </w:r>
      <w:r w:rsidRPr="009B2BA7">
        <w:rPr>
          <w:rtl/>
        </w:rPr>
        <w:t xml:space="preserve"> </w:t>
      </w:r>
      <w:r w:rsidRPr="009B2BA7">
        <w:rPr>
          <w:rtl/>
          <w:lang w:bidi="ar-JO"/>
        </w:rPr>
        <w:t>الدفاع</w:t>
      </w:r>
      <w:r w:rsidRPr="009B2BA7">
        <w:rPr>
          <w:rFonts w:hint="cs"/>
          <w:rtl/>
        </w:rPr>
        <w:t xml:space="preserve"> </w:t>
      </w:r>
      <w:r w:rsidRPr="009B2BA7">
        <w:rPr>
          <w:rFonts w:hint="cs"/>
          <w:rtl/>
          <w:lang w:bidi="ar-JO"/>
        </w:rPr>
        <w:t>لسنوات</w:t>
      </w:r>
      <w:r w:rsidRPr="009B2BA7">
        <w:rPr>
          <w:rFonts w:hint="cs"/>
          <w:rtl/>
        </w:rPr>
        <w:t xml:space="preserve"> </w:t>
      </w:r>
      <w:r w:rsidRPr="009B2BA7">
        <w:rPr>
          <w:rFonts w:hint="cs"/>
          <w:rtl/>
          <w:lang w:bidi="ar-JO"/>
        </w:rPr>
        <w:t>متعددة</w:t>
      </w:r>
      <w:r w:rsidRPr="009B2BA7">
        <w:rPr>
          <w:rtl/>
          <w:lang w:bidi="ar-JO"/>
        </w:rPr>
        <w:t>،</w:t>
      </w:r>
      <w:r w:rsidRPr="009B2BA7">
        <w:rPr>
          <w:rtl/>
        </w:rPr>
        <w:t xml:space="preserve"> </w:t>
      </w:r>
      <w:r w:rsidRPr="009B2BA7">
        <w:rPr>
          <w:rtl/>
          <w:lang w:bidi="ar-JO"/>
        </w:rPr>
        <w:t>والتي</w:t>
      </w:r>
      <w:r w:rsidRPr="009B2BA7">
        <w:rPr>
          <w:rtl/>
        </w:rPr>
        <w:t xml:space="preserve"> </w:t>
      </w:r>
      <w:r w:rsidRPr="009B2BA7">
        <w:rPr>
          <w:rtl/>
          <w:lang w:bidi="ar-JO"/>
        </w:rPr>
        <w:t>ستكون</w:t>
      </w:r>
      <w:r w:rsidRPr="009B2BA7">
        <w:rPr>
          <w:rtl/>
        </w:rPr>
        <w:t xml:space="preserve"> </w:t>
      </w:r>
      <w:r w:rsidRPr="009B2BA7">
        <w:rPr>
          <w:rtl/>
          <w:lang w:bidi="ar-JO"/>
        </w:rPr>
        <w:t>مطلوبة</w:t>
      </w:r>
      <w:r w:rsidRPr="009B2BA7">
        <w:rPr>
          <w:rtl/>
        </w:rPr>
        <w:t xml:space="preserve"> </w:t>
      </w:r>
      <w:r w:rsidRPr="009B2BA7">
        <w:rPr>
          <w:rtl/>
          <w:lang w:bidi="ar-JO"/>
        </w:rPr>
        <w:t>أثناء</w:t>
      </w:r>
      <w:r w:rsidRPr="009B2BA7">
        <w:rPr>
          <w:rtl/>
        </w:rPr>
        <w:t xml:space="preserve"> </w:t>
      </w:r>
      <w:r w:rsidRPr="009B2BA7">
        <w:rPr>
          <w:rtl/>
          <w:lang w:bidi="ar-JO"/>
        </w:rPr>
        <w:t>الحرب</w:t>
      </w:r>
      <w:r w:rsidRPr="009B2BA7">
        <w:rPr>
          <w:rtl/>
        </w:rPr>
        <w:t xml:space="preserve"> </w:t>
      </w:r>
      <w:r w:rsidRPr="009B2BA7">
        <w:rPr>
          <w:rtl/>
          <w:lang w:bidi="ar-JO"/>
        </w:rPr>
        <w:t>وبعدها</w:t>
      </w:r>
      <w:r w:rsidRPr="009B2BA7">
        <w:rPr>
          <w:rtl/>
        </w:rPr>
        <w:t>.</w:t>
      </w:r>
    </w:p>
    <w:p w:rsidR="00513B88" w:rsidRPr="009B2BA7" w:rsidP="00513B88" w14:paraId="235E8C5B" w14:textId="01793152">
      <w:pPr>
        <w:pStyle w:val="7190"/>
      </w:pPr>
      <w:r w:rsidRPr="009B2BA7">
        <w:rPr>
          <w:rtl/>
          <w:lang w:bidi="ar-SA"/>
        </w:rPr>
        <w:t xml:space="preserve">أجرى مكتب مراقب الدولة </w:t>
      </w:r>
      <w:r w:rsidRPr="009B2BA7">
        <w:rPr>
          <w:rFonts w:hint="cs"/>
          <w:rtl/>
          <w:lang w:bidi="ar-SA"/>
        </w:rPr>
        <w:t>رقابة</w:t>
      </w:r>
      <w:r w:rsidRPr="009B2BA7">
        <w:rPr>
          <w:rtl/>
          <w:lang w:bidi="ar-SA"/>
        </w:rPr>
        <w:t xml:space="preserve"> منهجي</w:t>
      </w:r>
      <w:r w:rsidRPr="009B2BA7">
        <w:rPr>
          <w:rFonts w:hint="cs"/>
          <w:rtl/>
          <w:lang w:bidi="ar-SA"/>
        </w:rPr>
        <w:t>ة</w:t>
      </w:r>
      <w:r w:rsidRPr="009B2BA7">
        <w:rPr>
          <w:rtl/>
          <w:lang w:bidi="ar-SA"/>
        </w:rPr>
        <w:t xml:space="preserve"> في القضايا المتعلقة </w:t>
      </w:r>
      <w:r w:rsidRPr="00513B88">
        <w:rPr>
          <w:b/>
          <w:bCs/>
          <w:rtl/>
          <w:lang w:bidi="ar-SA"/>
        </w:rPr>
        <w:t xml:space="preserve">بأمن </w:t>
      </w:r>
      <w:r w:rsidRPr="00513B88">
        <w:rPr>
          <w:rFonts w:hint="cs"/>
          <w:b/>
          <w:bCs/>
          <w:rtl/>
          <w:lang w:bidi="ar-SA"/>
        </w:rPr>
        <w:t>الرحلات الجوية</w:t>
      </w:r>
      <w:r w:rsidRPr="00513B88">
        <w:rPr>
          <w:b/>
          <w:bCs/>
          <w:rtl/>
          <w:lang w:bidi="ar-SA"/>
        </w:rPr>
        <w:t xml:space="preserve"> المدني</w:t>
      </w:r>
      <w:r w:rsidRPr="00513B88">
        <w:rPr>
          <w:rFonts w:hint="cs"/>
          <w:b/>
          <w:bCs/>
          <w:rtl/>
          <w:lang w:bidi="ar-SA"/>
        </w:rPr>
        <w:t>ة</w:t>
      </w:r>
      <w:r w:rsidRPr="00513B88">
        <w:rPr>
          <w:b/>
          <w:bCs/>
          <w:rtl/>
          <w:lang w:bidi="ar-SA"/>
        </w:rPr>
        <w:t xml:space="preserve"> الدولي</w:t>
      </w:r>
      <w:r w:rsidRPr="00513B88">
        <w:rPr>
          <w:rFonts w:hint="cs"/>
          <w:b/>
          <w:bCs/>
          <w:rtl/>
          <w:lang w:bidi="ar-SA"/>
        </w:rPr>
        <w:t>ة</w:t>
      </w:r>
      <w:r w:rsidRPr="00513B88">
        <w:rPr>
          <w:b/>
          <w:bCs/>
          <w:rtl/>
          <w:lang w:bidi="ar-SA"/>
        </w:rPr>
        <w:t xml:space="preserve"> من وإلى إسرائيل.</w:t>
      </w:r>
      <w:r w:rsidRPr="009B2BA7">
        <w:rPr>
          <w:rtl/>
          <w:lang w:bidi="ar-SA"/>
        </w:rPr>
        <w:t xml:space="preserve"> فحصت الرقابة جوانب</w:t>
      </w:r>
      <w:r w:rsidRPr="009B2BA7">
        <w:rPr>
          <w:rFonts w:hint="cs"/>
          <w:rtl/>
          <w:lang w:bidi="ar-SA"/>
        </w:rPr>
        <w:t xml:space="preserve"> تتعلق</w:t>
      </w:r>
      <w:r w:rsidRPr="009B2BA7">
        <w:rPr>
          <w:rtl/>
          <w:lang w:bidi="ar-SA"/>
        </w:rPr>
        <w:t xml:space="preserve"> </w:t>
      </w:r>
      <w:r w:rsidRPr="009B2BA7">
        <w:rPr>
          <w:rFonts w:hint="cs"/>
          <w:rtl/>
          <w:lang w:bidi="ar-SA"/>
        </w:rPr>
        <w:t>ب</w:t>
      </w:r>
      <w:r w:rsidRPr="009B2BA7">
        <w:rPr>
          <w:rtl/>
          <w:lang w:bidi="ar-SA"/>
        </w:rPr>
        <w:t xml:space="preserve">أمن </w:t>
      </w:r>
      <w:r w:rsidRPr="009B2BA7">
        <w:rPr>
          <w:rFonts w:hint="cs"/>
          <w:rtl/>
          <w:lang w:bidi="ar-SA"/>
        </w:rPr>
        <w:t>الرحلات الجوية</w:t>
      </w:r>
      <w:r w:rsidRPr="009B2BA7">
        <w:rPr>
          <w:rtl/>
          <w:lang w:bidi="ar-SA"/>
        </w:rPr>
        <w:t xml:space="preserve"> الدولي</w:t>
      </w:r>
      <w:r w:rsidRPr="009B2BA7">
        <w:rPr>
          <w:rFonts w:hint="cs"/>
          <w:rtl/>
          <w:lang w:bidi="ar-SA"/>
        </w:rPr>
        <w:t>ة</w:t>
      </w:r>
      <w:r w:rsidRPr="009B2BA7">
        <w:rPr>
          <w:rtl/>
          <w:lang w:bidi="ar-SA"/>
        </w:rPr>
        <w:t xml:space="preserve"> المنطلق</w:t>
      </w:r>
      <w:r w:rsidRPr="009B2BA7">
        <w:rPr>
          <w:rFonts w:hint="cs"/>
          <w:rtl/>
          <w:lang w:bidi="ar-SA"/>
        </w:rPr>
        <w:t>ة</w:t>
      </w:r>
      <w:r w:rsidRPr="009B2BA7">
        <w:rPr>
          <w:rtl/>
          <w:lang w:bidi="ar-SA"/>
        </w:rPr>
        <w:t xml:space="preserve"> من </w:t>
      </w:r>
      <w:r w:rsidRPr="009B2BA7">
        <w:rPr>
          <w:rFonts w:hint="cs"/>
          <w:rtl/>
          <w:lang w:bidi="ar-SA"/>
        </w:rPr>
        <w:t>مطار بن غوريون الدولي</w:t>
      </w:r>
      <w:r w:rsidRPr="009B2BA7">
        <w:rPr>
          <w:rtl/>
          <w:lang w:bidi="ar-SA"/>
        </w:rPr>
        <w:t xml:space="preserve">؛ </w:t>
      </w:r>
      <w:r w:rsidRPr="009B2BA7">
        <w:rPr>
          <w:rFonts w:hint="cs"/>
          <w:rtl/>
          <w:lang w:bidi="ar-SA"/>
        </w:rPr>
        <w:t>في الحفاظ على أمن</w:t>
      </w:r>
      <w:r w:rsidRPr="009B2BA7">
        <w:rPr>
          <w:rtl/>
          <w:lang w:bidi="ar-SA"/>
        </w:rPr>
        <w:t xml:space="preserve"> </w:t>
      </w:r>
      <w:r w:rsidRPr="009B2BA7">
        <w:rPr>
          <w:rFonts w:hint="cs"/>
          <w:rtl/>
          <w:lang w:bidi="ar-SA"/>
        </w:rPr>
        <w:t>الرحلات الجوية</w:t>
      </w:r>
      <w:r w:rsidRPr="009B2BA7">
        <w:rPr>
          <w:rtl/>
          <w:lang w:bidi="ar-SA"/>
        </w:rPr>
        <w:t xml:space="preserve"> الإسرائيلي</w:t>
      </w:r>
      <w:r w:rsidRPr="009B2BA7">
        <w:rPr>
          <w:rFonts w:hint="cs"/>
          <w:rtl/>
          <w:lang w:bidi="ar-SA"/>
        </w:rPr>
        <w:t>ة</w:t>
      </w:r>
      <w:r w:rsidRPr="009B2BA7">
        <w:rPr>
          <w:rtl/>
          <w:lang w:bidi="ar-SA"/>
        </w:rPr>
        <w:t xml:space="preserve"> في خارج</w:t>
      </w:r>
      <w:r w:rsidRPr="009B2BA7">
        <w:rPr>
          <w:rFonts w:hint="cs"/>
          <w:rtl/>
          <w:lang w:bidi="ar-SA"/>
        </w:rPr>
        <w:t xml:space="preserve"> البلاد</w:t>
      </w:r>
      <w:r w:rsidRPr="009B2BA7">
        <w:rPr>
          <w:rtl/>
          <w:lang w:bidi="ar-SA"/>
        </w:rPr>
        <w:t xml:space="preserve">؛ </w:t>
      </w:r>
      <w:r w:rsidRPr="009B2BA7">
        <w:rPr>
          <w:rFonts w:hint="cs"/>
          <w:rtl/>
          <w:lang w:bidi="ar-SA"/>
        </w:rPr>
        <w:t>وكذلك الحفاظ على</w:t>
      </w:r>
      <w:r w:rsidRPr="009B2BA7">
        <w:rPr>
          <w:rtl/>
          <w:lang w:bidi="ar-SA"/>
        </w:rPr>
        <w:t xml:space="preserve"> أمن الطائرات المدنية الأجنبية والخاصة التي تدخل المجال الجوي لدولة إسرائيل.</w:t>
      </w:r>
      <w:r w:rsidRPr="009B2BA7">
        <w:rPr>
          <w:rtl/>
        </w:rPr>
        <w:t xml:space="preserve"> </w:t>
      </w:r>
      <w:r w:rsidRPr="009B2BA7">
        <w:rPr>
          <w:rtl/>
          <w:lang w:bidi="ar-SA"/>
        </w:rPr>
        <w:t xml:space="preserve">يوصي مكتب مراقب الدولة </w:t>
      </w:r>
      <w:r w:rsidRPr="009B2BA7">
        <w:rPr>
          <w:rFonts w:hint="cs"/>
          <w:rtl/>
          <w:lang w:bidi="ar-SA"/>
        </w:rPr>
        <w:t>هيئة الأمن القومي</w:t>
      </w:r>
      <w:r w:rsidRPr="009B2BA7">
        <w:rPr>
          <w:rtl/>
          <w:lang w:bidi="ar-SA"/>
        </w:rPr>
        <w:t xml:space="preserve"> </w:t>
      </w:r>
      <w:r w:rsidRPr="009B2BA7">
        <w:rPr>
          <w:rFonts w:hint="cs"/>
          <w:rtl/>
          <w:lang w:bidi="ar-SA"/>
        </w:rPr>
        <w:t>بالقيام</w:t>
      </w:r>
      <w:r w:rsidRPr="009B2BA7">
        <w:rPr>
          <w:rtl/>
          <w:lang w:bidi="ar-SA"/>
        </w:rPr>
        <w:t xml:space="preserve"> </w:t>
      </w:r>
      <w:r w:rsidRPr="009B2BA7">
        <w:rPr>
          <w:rFonts w:hint="cs"/>
          <w:rtl/>
          <w:lang w:bidi="ar-JO"/>
        </w:rPr>
        <w:t>بفحص شامل،</w:t>
      </w:r>
      <w:r w:rsidRPr="009B2BA7">
        <w:rPr>
          <w:rtl/>
          <w:lang w:bidi="ar-SA"/>
        </w:rPr>
        <w:t xml:space="preserve"> بالتعاون مع وزارة المواصلات ووزارة المالية </w:t>
      </w:r>
      <w:r w:rsidRPr="009B2BA7">
        <w:rPr>
          <w:rFonts w:hint="cs"/>
          <w:rtl/>
          <w:lang w:bidi="ar-SA"/>
        </w:rPr>
        <w:t>وسلطة المطارات</w:t>
      </w:r>
      <w:r w:rsidRPr="009B2BA7">
        <w:rPr>
          <w:rtl/>
          <w:lang w:bidi="ar-SA"/>
        </w:rPr>
        <w:t xml:space="preserve"> والشاباك والشرطة،</w:t>
      </w:r>
      <w:r w:rsidRPr="009B2BA7">
        <w:rPr>
          <w:rFonts w:hint="cs"/>
          <w:rtl/>
          <w:lang w:bidi="ar-SA"/>
        </w:rPr>
        <w:t xml:space="preserve"> يتم فيها</w:t>
      </w:r>
      <w:r w:rsidRPr="009B2BA7">
        <w:rPr>
          <w:rtl/>
          <w:lang w:bidi="ar-SA"/>
        </w:rPr>
        <w:t xml:space="preserve"> </w:t>
      </w:r>
      <w:r w:rsidRPr="009B2BA7">
        <w:rPr>
          <w:rFonts w:hint="cs"/>
          <w:rtl/>
          <w:lang w:bidi="ar-SA"/>
        </w:rPr>
        <w:t>فحص</w:t>
      </w:r>
      <w:r w:rsidRPr="009B2BA7">
        <w:rPr>
          <w:rtl/>
          <w:lang w:bidi="ar-SA"/>
        </w:rPr>
        <w:t xml:space="preserve"> مسألة أمن </w:t>
      </w:r>
      <w:r w:rsidRPr="009B2BA7">
        <w:rPr>
          <w:rFonts w:hint="cs"/>
          <w:rtl/>
          <w:lang w:bidi="ar-SA"/>
        </w:rPr>
        <w:t>الرحلات الجوية</w:t>
      </w:r>
      <w:r w:rsidRPr="009B2BA7">
        <w:rPr>
          <w:rtl/>
          <w:lang w:bidi="ar-SA"/>
        </w:rPr>
        <w:t xml:space="preserve"> المدني</w:t>
      </w:r>
      <w:r w:rsidRPr="009B2BA7">
        <w:rPr>
          <w:rFonts w:hint="cs"/>
          <w:rtl/>
          <w:lang w:bidi="ar-SA"/>
        </w:rPr>
        <w:t>ة</w:t>
      </w:r>
      <w:r w:rsidRPr="009B2BA7">
        <w:rPr>
          <w:rtl/>
          <w:lang w:bidi="ar-SA"/>
        </w:rPr>
        <w:t xml:space="preserve"> الدولي</w:t>
      </w:r>
      <w:r w:rsidRPr="009B2BA7">
        <w:rPr>
          <w:rFonts w:hint="cs"/>
          <w:rtl/>
          <w:lang w:bidi="ar-SA"/>
        </w:rPr>
        <w:t>ة</w:t>
      </w:r>
      <w:r w:rsidRPr="009B2BA7">
        <w:rPr>
          <w:rtl/>
          <w:lang w:bidi="ar-SA"/>
        </w:rPr>
        <w:t xml:space="preserve"> في إسرائيل من جميع جوانبه – </w:t>
      </w:r>
      <w:r w:rsidRPr="009B2BA7">
        <w:rPr>
          <w:rFonts w:hint="cs"/>
          <w:rtl/>
          <w:lang w:bidi="ar-SA"/>
        </w:rPr>
        <w:t>الرحلات الجوية</w:t>
      </w:r>
      <w:r w:rsidRPr="009B2BA7">
        <w:rPr>
          <w:rtl/>
          <w:lang w:bidi="ar-SA"/>
        </w:rPr>
        <w:t xml:space="preserve"> المغادر</w:t>
      </w:r>
      <w:r w:rsidRPr="009B2BA7">
        <w:rPr>
          <w:rFonts w:hint="cs"/>
          <w:rtl/>
          <w:lang w:bidi="ar-SA"/>
        </w:rPr>
        <w:t>ة</w:t>
      </w:r>
      <w:r w:rsidRPr="009B2BA7">
        <w:rPr>
          <w:rtl/>
          <w:lang w:bidi="ar-SA"/>
        </w:rPr>
        <w:t xml:space="preserve"> </w:t>
      </w:r>
      <w:r w:rsidRPr="009B2BA7">
        <w:rPr>
          <w:rFonts w:hint="cs"/>
          <w:rtl/>
          <w:lang w:bidi="ar-SA"/>
        </w:rPr>
        <w:t>ل</w:t>
      </w:r>
      <w:r w:rsidRPr="009B2BA7">
        <w:rPr>
          <w:rtl/>
          <w:lang w:bidi="ar-SA"/>
        </w:rPr>
        <w:t xml:space="preserve">إسرائيل، </w:t>
      </w:r>
      <w:r w:rsidRPr="009B2BA7">
        <w:rPr>
          <w:rFonts w:hint="cs"/>
          <w:rtl/>
          <w:lang w:bidi="ar-SA"/>
        </w:rPr>
        <w:t>الرحلات الجوية</w:t>
      </w:r>
      <w:r w:rsidRPr="009B2BA7">
        <w:rPr>
          <w:rtl/>
          <w:lang w:bidi="ar-SA"/>
        </w:rPr>
        <w:t xml:space="preserve"> الإسرائيلي</w:t>
      </w:r>
      <w:r w:rsidRPr="009B2BA7">
        <w:rPr>
          <w:rFonts w:hint="cs"/>
          <w:rtl/>
          <w:lang w:bidi="ar-SA"/>
        </w:rPr>
        <w:t>ة</w:t>
      </w:r>
      <w:r w:rsidRPr="009B2BA7">
        <w:rPr>
          <w:rtl/>
          <w:lang w:bidi="ar-SA"/>
        </w:rPr>
        <w:t xml:space="preserve"> في الخارج و</w:t>
      </w:r>
      <w:r w:rsidRPr="009B2BA7">
        <w:rPr>
          <w:rFonts w:hint="cs"/>
          <w:rtl/>
          <w:lang w:bidi="ar-SA"/>
        </w:rPr>
        <w:t>الرحلات الجوية</w:t>
      </w:r>
      <w:r w:rsidRPr="009B2BA7">
        <w:rPr>
          <w:rtl/>
          <w:lang w:bidi="ar-SA"/>
        </w:rPr>
        <w:t xml:space="preserve"> الأجنبي</w:t>
      </w:r>
      <w:r w:rsidRPr="009B2BA7">
        <w:rPr>
          <w:rFonts w:hint="cs"/>
          <w:rtl/>
          <w:lang w:bidi="ar-SA"/>
        </w:rPr>
        <w:t>ة</w:t>
      </w:r>
      <w:r w:rsidRPr="009B2BA7">
        <w:rPr>
          <w:rtl/>
          <w:lang w:bidi="ar-SA"/>
        </w:rPr>
        <w:t xml:space="preserve"> القادم</w:t>
      </w:r>
      <w:r w:rsidRPr="009B2BA7">
        <w:rPr>
          <w:rFonts w:hint="cs"/>
          <w:rtl/>
          <w:lang w:bidi="ar-SA"/>
        </w:rPr>
        <w:t>ة الى اسرائيل</w:t>
      </w:r>
      <w:r w:rsidRPr="009B2BA7">
        <w:rPr>
          <w:rtl/>
          <w:lang w:bidi="ar-SA"/>
        </w:rPr>
        <w:t>، و</w:t>
      </w:r>
      <w:r w:rsidRPr="009B2BA7">
        <w:rPr>
          <w:rFonts w:hint="cs"/>
          <w:rtl/>
          <w:lang w:bidi="ar-SA"/>
        </w:rPr>
        <w:t xml:space="preserve">كذلك سيتم فحص </w:t>
      </w:r>
      <w:r w:rsidRPr="009B2BA7">
        <w:rPr>
          <w:rtl/>
          <w:lang w:bidi="ar-SA"/>
        </w:rPr>
        <w:t xml:space="preserve">مدى </w:t>
      </w:r>
      <w:r w:rsidRPr="009B2BA7">
        <w:rPr>
          <w:rFonts w:hint="cs"/>
          <w:rtl/>
          <w:lang w:bidi="ar-SA"/>
        </w:rPr>
        <w:t>صلة</w:t>
      </w:r>
      <w:r w:rsidRPr="009B2BA7">
        <w:rPr>
          <w:rtl/>
          <w:lang w:bidi="ar-SA"/>
        </w:rPr>
        <w:t xml:space="preserve"> قرارات الحكومة والمجلس الوزاري السياسي </w:t>
      </w:r>
      <w:r w:rsidRPr="009B2BA7">
        <w:rPr>
          <w:rFonts w:hint="cs"/>
          <w:rtl/>
          <w:lang w:bidi="ar-SA"/>
        </w:rPr>
        <w:t>-</w:t>
      </w:r>
      <w:r w:rsidRPr="009B2BA7">
        <w:rPr>
          <w:rtl/>
          <w:lang w:bidi="ar-SA"/>
        </w:rPr>
        <w:t xml:space="preserve">الأمني </w:t>
      </w:r>
      <w:r w:rsidRPr="009B2BA7">
        <w:rPr>
          <w:rFonts w:hint="cs"/>
          <w:rtl/>
          <w:lang w:bidi="ar-SA"/>
        </w:rPr>
        <w:t>التي تتناول</w:t>
      </w:r>
      <w:r w:rsidRPr="009B2BA7">
        <w:rPr>
          <w:rtl/>
          <w:lang w:bidi="ar-SA"/>
        </w:rPr>
        <w:t xml:space="preserve"> هذه القضية، والتي تم اتخاذ </w:t>
      </w:r>
      <w:r w:rsidRPr="009B2BA7">
        <w:rPr>
          <w:rFonts w:hint="cs"/>
          <w:rtl/>
          <w:lang w:bidi="ar-SA"/>
        </w:rPr>
        <w:t>قسم منها</w:t>
      </w:r>
      <w:r w:rsidRPr="009B2BA7">
        <w:rPr>
          <w:rtl/>
          <w:lang w:bidi="ar-SA"/>
        </w:rPr>
        <w:t xml:space="preserve"> </w:t>
      </w:r>
      <w:r w:rsidRPr="009B2BA7">
        <w:rPr>
          <w:rFonts w:hint="cs"/>
          <w:rtl/>
          <w:lang w:bidi="ar-SA"/>
        </w:rPr>
        <w:t>في سنوات</w:t>
      </w:r>
      <w:r w:rsidRPr="009B2BA7">
        <w:rPr>
          <w:rtl/>
          <w:lang w:bidi="ar-SA"/>
        </w:rPr>
        <w:t xml:space="preserve"> </w:t>
      </w:r>
      <w:r w:rsidRPr="009B2BA7">
        <w:rPr>
          <w:rFonts w:hint="cs"/>
          <w:rtl/>
          <w:lang w:bidi="ar-SA"/>
        </w:rPr>
        <w:t>ال</w:t>
      </w:r>
      <w:r w:rsidRPr="009B2BA7">
        <w:rPr>
          <w:rtl/>
          <w:lang w:bidi="ar-SA"/>
        </w:rPr>
        <w:t>سبعينيات</w:t>
      </w:r>
      <w:r w:rsidRPr="009B2BA7">
        <w:rPr>
          <w:rFonts w:hint="cs"/>
          <w:rtl/>
          <w:lang w:bidi="ar-SA"/>
        </w:rPr>
        <w:t xml:space="preserve"> من</w:t>
      </w:r>
      <w:r w:rsidRPr="009B2BA7">
        <w:rPr>
          <w:rtl/>
          <w:lang w:bidi="ar-SA"/>
        </w:rPr>
        <w:t xml:space="preserve"> القرن العشرين. ويوصي</w:t>
      </w:r>
      <w:r w:rsidRPr="009B2BA7">
        <w:rPr>
          <w:rFonts w:hint="cs"/>
          <w:rtl/>
          <w:lang w:bidi="ar-SA"/>
        </w:rPr>
        <w:t xml:space="preserve"> مكتب المراقب</w:t>
      </w:r>
      <w:r w:rsidRPr="009B2BA7">
        <w:rPr>
          <w:rtl/>
          <w:lang w:bidi="ar-SA"/>
        </w:rPr>
        <w:t xml:space="preserve"> كذلك </w:t>
      </w:r>
      <w:r w:rsidRPr="009B2BA7">
        <w:rPr>
          <w:rFonts w:hint="cs"/>
          <w:rtl/>
          <w:lang w:bidi="ar-SA"/>
        </w:rPr>
        <w:t>سلطة المطارات</w:t>
      </w:r>
      <w:r w:rsidRPr="009B2BA7">
        <w:rPr>
          <w:rtl/>
          <w:lang w:bidi="ar-SA"/>
        </w:rPr>
        <w:t xml:space="preserve"> </w:t>
      </w:r>
      <w:r w:rsidRPr="009B2BA7">
        <w:rPr>
          <w:rFonts w:hint="cs"/>
          <w:rtl/>
          <w:lang w:bidi="ar-SA"/>
        </w:rPr>
        <w:t>ومع ختام</w:t>
      </w:r>
      <w:r w:rsidRPr="009B2BA7">
        <w:rPr>
          <w:rtl/>
          <w:lang w:bidi="ar-SA"/>
        </w:rPr>
        <w:t xml:space="preserve"> ال</w:t>
      </w:r>
      <w:r w:rsidRPr="009B2BA7">
        <w:rPr>
          <w:rFonts w:hint="cs"/>
          <w:rtl/>
          <w:lang w:bidi="ar-SA"/>
        </w:rPr>
        <w:t>فحص</w:t>
      </w:r>
      <w:r w:rsidRPr="009B2BA7">
        <w:rPr>
          <w:rtl/>
          <w:lang w:bidi="ar-SA"/>
        </w:rPr>
        <w:t xml:space="preserve">، </w:t>
      </w:r>
      <w:r w:rsidRPr="009B2BA7">
        <w:rPr>
          <w:rFonts w:hint="cs"/>
          <w:rtl/>
          <w:lang w:bidi="ar-SA"/>
        </w:rPr>
        <w:t xml:space="preserve">بأن </w:t>
      </w:r>
      <w:r w:rsidRPr="009B2BA7">
        <w:rPr>
          <w:rtl/>
          <w:lang w:bidi="ar-SA"/>
        </w:rPr>
        <w:t>تقدم توصية إلى رئيس الوزراء ومجلس الوزراء السياسي والأمني حول كيفية تنظيم المسؤولية عن هذ</w:t>
      </w:r>
      <w:r w:rsidRPr="009B2BA7">
        <w:rPr>
          <w:rFonts w:hint="cs"/>
          <w:rtl/>
          <w:lang w:bidi="ar-SA"/>
        </w:rPr>
        <w:t>ا</w:t>
      </w:r>
      <w:r w:rsidRPr="009B2BA7">
        <w:rPr>
          <w:rtl/>
          <w:lang w:bidi="ar-SA"/>
        </w:rPr>
        <w:t xml:space="preserve"> ا</w:t>
      </w:r>
      <w:r w:rsidRPr="009B2BA7">
        <w:rPr>
          <w:rFonts w:hint="cs"/>
          <w:rtl/>
          <w:lang w:bidi="ar-SA"/>
        </w:rPr>
        <w:t>لموضوع وتخصيص</w:t>
      </w:r>
      <w:r w:rsidRPr="009B2BA7">
        <w:rPr>
          <w:rtl/>
          <w:lang w:bidi="ar-SA"/>
        </w:rPr>
        <w:t xml:space="preserve"> الموارد </w:t>
      </w:r>
      <w:r w:rsidRPr="009B2BA7">
        <w:rPr>
          <w:rFonts w:hint="cs"/>
          <w:rtl/>
          <w:lang w:bidi="ar-SA"/>
        </w:rPr>
        <w:t>لهذه الغاية</w:t>
      </w:r>
      <w:r w:rsidRPr="009B2BA7">
        <w:rPr>
          <w:rtl/>
          <w:lang w:bidi="ar-SA"/>
        </w:rPr>
        <w:t xml:space="preserve"> بطريقة تضمن </w:t>
      </w:r>
      <w:r w:rsidRPr="009B2BA7">
        <w:rPr>
          <w:rFonts w:hint="cs"/>
          <w:rtl/>
          <w:lang w:bidi="ar-SA"/>
        </w:rPr>
        <w:t>ال</w:t>
      </w:r>
      <w:r w:rsidRPr="009B2BA7">
        <w:rPr>
          <w:rtl/>
          <w:lang w:bidi="ar-SA"/>
        </w:rPr>
        <w:t xml:space="preserve">رؤية </w:t>
      </w:r>
      <w:r w:rsidRPr="009B2BA7">
        <w:rPr>
          <w:rFonts w:hint="cs"/>
          <w:rtl/>
          <w:lang w:bidi="ar-SA"/>
        </w:rPr>
        <w:t>ال</w:t>
      </w:r>
      <w:r w:rsidRPr="009B2BA7">
        <w:rPr>
          <w:rtl/>
          <w:lang w:bidi="ar-SA"/>
        </w:rPr>
        <w:t>شاملة.</w:t>
      </w:r>
      <w:r w:rsidRPr="00594B6D">
        <w:rPr>
          <w:rtl/>
        </w:rPr>
        <w:t xml:space="preserve"> </w:t>
      </w:r>
      <w:r w:rsidRPr="009B2BA7">
        <w:rPr>
          <w:rtl/>
          <w:lang w:bidi="ar-JO"/>
        </w:rPr>
        <w:t>ويوصي</w:t>
      </w:r>
      <w:r w:rsidRPr="009B2BA7">
        <w:rPr>
          <w:rtl/>
        </w:rPr>
        <w:t xml:space="preserve"> </w:t>
      </w:r>
      <w:r w:rsidRPr="009B2BA7">
        <w:rPr>
          <w:rtl/>
          <w:lang w:bidi="ar-JO"/>
        </w:rPr>
        <w:t>مكتب</w:t>
      </w:r>
      <w:r w:rsidRPr="009B2BA7">
        <w:rPr>
          <w:rtl/>
        </w:rPr>
        <w:t xml:space="preserve"> </w:t>
      </w:r>
      <w:r w:rsidRPr="009B2BA7">
        <w:rPr>
          <w:rtl/>
          <w:lang w:bidi="ar-JO"/>
        </w:rPr>
        <w:t>مراقب</w:t>
      </w:r>
      <w:r w:rsidRPr="009B2BA7">
        <w:rPr>
          <w:rtl/>
        </w:rPr>
        <w:t xml:space="preserve"> </w:t>
      </w:r>
      <w:r w:rsidRPr="009B2BA7">
        <w:rPr>
          <w:rtl/>
          <w:lang w:bidi="ar-JO"/>
        </w:rPr>
        <w:t>الدولة</w:t>
      </w:r>
      <w:r w:rsidRPr="009B2BA7">
        <w:rPr>
          <w:rtl/>
        </w:rPr>
        <w:t xml:space="preserve"> </w:t>
      </w:r>
      <w:r w:rsidRPr="009B2BA7">
        <w:rPr>
          <w:rtl/>
          <w:lang w:bidi="ar-JO"/>
        </w:rPr>
        <w:t>رئيس</w:t>
      </w:r>
      <w:r w:rsidRPr="009B2BA7">
        <w:rPr>
          <w:rtl/>
        </w:rPr>
        <w:t xml:space="preserve"> </w:t>
      </w:r>
      <w:r w:rsidRPr="009B2BA7">
        <w:rPr>
          <w:rtl/>
          <w:lang w:bidi="ar-JO"/>
        </w:rPr>
        <w:t>الوزراء</w:t>
      </w:r>
      <w:r w:rsidRPr="009B2BA7">
        <w:rPr>
          <w:rtl/>
        </w:rPr>
        <w:t xml:space="preserve"> </w:t>
      </w:r>
      <w:r w:rsidRPr="009B2BA7">
        <w:rPr>
          <w:rtl/>
          <w:lang w:bidi="ar-JO"/>
        </w:rPr>
        <w:t>ووزير</w:t>
      </w:r>
      <w:r w:rsidRPr="009B2BA7">
        <w:rPr>
          <w:rFonts w:hint="cs"/>
          <w:rtl/>
          <w:lang w:bidi="ar-JO"/>
        </w:rPr>
        <w:t>ة</w:t>
      </w:r>
      <w:r w:rsidRPr="009B2BA7">
        <w:rPr>
          <w:rtl/>
        </w:rPr>
        <w:t xml:space="preserve"> </w:t>
      </w:r>
      <w:r w:rsidRPr="009B2BA7">
        <w:rPr>
          <w:rtl/>
          <w:lang w:bidi="ar-JO"/>
        </w:rPr>
        <w:t>المواصلات</w:t>
      </w:r>
      <w:r w:rsidRPr="009B2BA7">
        <w:rPr>
          <w:rtl/>
        </w:rPr>
        <w:t xml:space="preserve"> </w:t>
      </w:r>
      <w:r w:rsidRPr="009B2BA7">
        <w:rPr>
          <w:rtl/>
          <w:lang w:bidi="ar-JO"/>
        </w:rPr>
        <w:t>ووزير</w:t>
      </w:r>
      <w:r w:rsidRPr="009B2BA7">
        <w:rPr>
          <w:rtl/>
        </w:rPr>
        <w:t xml:space="preserve"> </w:t>
      </w:r>
      <w:r w:rsidRPr="009B2BA7">
        <w:rPr>
          <w:rtl/>
          <w:lang w:bidi="ar-JO"/>
        </w:rPr>
        <w:t>المالية</w:t>
      </w:r>
      <w:r w:rsidRPr="009B2BA7">
        <w:rPr>
          <w:rtl/>
        </w:rPr>
        <w:t xml:space="preserve"> </w:t>
      </w:r>
      <w:r w:rsidRPr="009B2BA7">
        <w:rPr>
          <w:rtl/>
          <w:lang w:bidi="ar-JO"/>
        </w:rPr>
        <w:t>بمعالجة</w:t>
      </w:r>
      <w:r w:rsidRPr="009B2BA7">
        <w:rPr>
          <w:rtl/>
        </w:rPr>
        <w:t xml:space="preserve"> </w:t>
      </w:r>
      <w:r w:rsidRPr="009B2BA7">
        <w:rPr>
          <w:rtl/>
          <w:lang w:bidi="ar-JO"/>
        </w:rPr>
        <w:t>الموضوع</w:t>
      </w:r>
      <w:r w:rsidRPr="009B2BA7">
        <w:rPr>
          <w:rtl/>
        </w:rPr>
        <w:t xml:space="preserve"> </w:t>
      </w:r>
      <w:r w:rsidRPr="009B2BA7">
        <w:rPr>
          <w:rtl/>
          <w:lang w:bidi="ar-JO"/>
        </w:rPr>
        <w:t>و</w:t>
      </w:r>
      <w:r w:rsidRPr="009B2BA7">
        <w:rPr>
          <w:rFonts w:hint="cs"/>
          <w:rtl/>
          <w:lang w:bidi="ar-JO"/>
        </w:rPr>
        <w:t>بلورة</w:t>
      </w:r>
      <w:r w:rsidRPr="009B2BA7">
        <w:rPr>
          <w:rFonts w:hint="cs"/>
          <w:rtl/>
        </w:rPr>
        <w:t xml:space="preserve"> </w:t>
      </w:r>
      <w:r w:rsidRPr="009B2BA7">
        <w:rPr>
          <w:rtl/>
          <w:lang w:bidi="ar-JO"/>
        </w:rPr>
        <w:t>سياسة</w:t>
      </w:r>
      <w:r w:rsidRPr="009B2BA7">
        <w:rPr>
          <w:rtl/>
        </w:rPr>
        <w:t xml:space="preserve"> </w:t>
      </w:r>
      <w:r w:rsidRPr="009B2BA7">
        <w:rPr>
          <w:rtl/>
          <w:lang w:bidi="ar-JO"/>
        </w:rPr>
        <w:t>شاملة</w:t>
      </w:r>
      <w:r w:rsidRPr="009B2BA7">
        <w:rPr>
          <w:rtl/>
        </w:rPr>
        <w:t xml:space="preserve"> </w:t>
      </w:r>
      <w:r w:rsidRPr="009B2BA7">
        <w:rPr>
          <w:rtl/>
          <w:lang w:bidi="ar-JO"/>
        </w:rPr>
        <w:t>في</w:t>
      </w:r>
      <w:r w:rsidRPr="009B2BA7">
        <w:rPr>
          <w:rtl/>
        </w:rPr>
        <w:t xml:space="preserve"> </w:t>
      </w:r>
      <w:r w:rsidRPr="009B2BA7">
        <w:rPr>
          <w:rtl/>
          <w:lang w:bidi="ar-JO"/>
        </w:rPr>
        <w:t>مجال</w:t>
      </w:r>
      <w:r w:rsidRPr="009B2BA7">
        <w:rPr>
          <w:rFonts w:hint="cs"/>
          <w:rtl/>
        </w:rPr>
        <w:t xml:space="preserve"> </w:t>
      </w:r>
      <w:r w:rsidRPr="009B2BA7">
        <w:rPr>
          <w:rFonts w:hint="cs"/>
          <w:rtl/>
          <w:lang w:bidi="ar-JO"/>
        </w:rPr>
        <w:t>حفظ</w:t>
      </w:r>
      <w:r w:rsidRPr="009B2BA7">
        <w:rPr>
          <w:rtl/>
        </w:rPr>
        <w:t xml:space="preserve"> </w:t>
      </w:r>
      <w:r w:rsidRPr="009B2BA7">
        <w:rPr>
          <w:rtl/>
          <w:lang w:bidi="ar-JO"/>
        </w:rPr>
        <w:t>أمن</w:t>
      </w:r>
      <w:r w:rsidRPr="009B2BA7">
        <w:rPr>
          <w:rtl/>
        </w:rPr>
        <w:t xml:space="preserve"> </w:t>
      </w:r>
      <w:r w:rsidRPr="009B2BA7">
        <w:rPr>
          <w:rFonts w:hint="cs"/>
          <w:rtl/>
          <w:lang w:bidi="ar-JO"/>
        </w:rPr>
        <w:t>الرحلات</w:t>
      </w:r>
      <w:r w:rsidRPr="009B2BA7">
        <w:rPr>
          <w:rFonts w:hint="cs"/>
          <w:rtl/>
        </w:rPr>
        <w:t xml:space="preserve"> </w:t>
      </w:r>
      <w:r w:rsidRPr="009B2BA7">
        <w:rPr>
          <w:rFonts w:hint="cs"/>
          <w:rtl/>
          <w:lang w:bidi="ar-JO"/>
        </w:rPr>
        <w:t>الجوية</w:t>
      </w:r>
      <w:r w:rsidRPr="009B2BA7">
        <w:rPr>
          <w:rtl/>
        </w:rPr>
        <w:t xml:space="preserve">. </w:t>
      </w:r>
      <w:r w:rsidRPr="009B2BA7">
        <w:rPr>
          <w:rtl/>
          <w:lang w:bidi="ar-JO"/>
        </w:rPr>
        <w:t>تجدر</w:t>
      </w:r>
      <w:r w:rsidRPr="009B2BA7">
        <w:rPr>
          <w:rtl/>
        </w:rPr>
        <w:t xml:space="preserve"> </w:t>
      </w:r>
      <w:r w:rsidRPr="009B2BA7">
        <w:rPr>
          <w:rtl/>
          <w:lang w:bidi="ar-JO"/>
        </w:rPr>
        <w:t>الإشارة</w:t>
      </w:r>
      <w:r w:rsidRPr="009B2BA7">
        <w:rPr>
          <w:rtl/>
        </w:rPr>
        <w:t xml:space="preserve"> </w:t>
      </w:r>
      <w:r w:rsidRPr="009B2BA7">
        <w:rPr>
          <w:rtl/>
          <w:lang w:bidi="ar-JO"/>
        </w:rPr>
        <w:t>إلى</w:t>
      </w:r>
      <w:r w:rsidRPr="009B2BA7">
        <w:rPr>
          <w:rtl/>
        </w:rPr>
        <w:t xml:space="preserve"> </w:t>
      </w:r>
      <w:r w:rsidRPr="009B2BA7">
        <w:rPr>
          <w:rtl/>
          <w:lang w:bidi="ar-JO"/>
        </w:rPr>
        <w:t>أن</w:t>
      </w:r>
      <w:r w:rsidRPr="009B2BA7">
        <w:rPr>
          <w:rtl/>
        </w:rPr>
        <w:t xml:space="preserve"> </w:t>
      </w:r>
      <w:r w:rsidRPr="009B2BA7">
        <w:rPr>
          <w:rtl/>
          <w:lang w:bidi="ar-JO"/>
        </w:rPr>
        <w:t>اللجنة</w:t>
      </w:r>
      <w:r w:rsidRPr="009B2BA7">
        <w:rPr>
          <w:rtl/>
        </w:rPr>
        <w:t xml:space="preserve"> </w:t>
      </w:r>
      <w:r w:rsidRPr="009B2BA7">
        <w:rPr>
          <w:rtl/>
          <w:lang w:bidi="ar-JO"/>
        </w:rPr>
        <w:t>الفرعية</w:t>
      </w:r>
      <w:r w:rsidRPr="009B2BA7">
        <w:rPr>
          <w:rFonts w:hint="cs"/>
          <w:rtl/>
        </w:rPr>
        <w:t xml:space="preserve"> </w:t>
      </w:r>
      <w:r w:rsidRPr="009B2BA7">
        <w:rPr>
          <w:rFonts w:hint="cs"/>
          <w:rtl/>
          <w:lang w:bidi="ar-JO"/>
        </w:rPr>
        <w:t>المنبثقة</w:t>
      </w:r>
      <w:r w:rsidRPr="009B2BA7">
        <w:rPr>
          <w:rFonts w:hint="cs"/>
          <w:rtl/>
        </w:rPr>
        <w:t xml:space="preserve"> </w:t>
      </w:r>
      <w:r w:rsidRPr="009B2BA7">
        <w:rPr>
          <w:rFonts w:hint="cs"/>
          <w:rtl/>
          <w:lang w:bidi="ar-JO"/>
        </w:rPr>
        <w:t>عن</w:t>
      </w:r>
      <w:r w:rsidRPr="009B2BA7">
        <w:rPr>
          <w:rtl/>
        </w:rPr>
        <w:t xml:space="preserve"> </w:t>
      </w:r>
      <w:r w:rsidRPr="009B2BA7">
        <w:rPr>
          <w:rtl/>
          <w:lang w:bidi="ar-JO"/>
        </w:rPr>
        <w:t>لجنة</w:t>
      </w:r>
      <w:r w:rsidRPr="009B2BA7">
        <w:rPr>
          <w:rFonts w:hint="cs"/>
          <w:rtl/>
        </w:rPr>
        <w:t xml:space="preserve"> </w:t>
      </w:r>
      <w:r w:rsidRPr="009B2BA7">
        <w:rPr>
          <w:rFonts w:hint="cs"/>
          <w:rtl/>
          <w:lang w:bidi="ar-JO"/>
        </w:rPr>
        <w:t>شؤون</w:t>
      </w:r>
      <w:r w:rsidRPr="009B2BA7">
        <w:rPr>
          <w:rtl/>
        </w:rPr>
        <w:t xml:space="preserve"> </w:t>
      </w:r>
      <w:r w:rsidRPr="009B2BA7">
        <w:rPr>
          <w:rtl/>
          <w:lang w:bidi="ar-JO"/>
        </w:rPr>
        <w:t>رقابة</w:t>
      </w:r>
      <w:r w:rsidRPr="009B2BA7">
        <w:rPr>
          <w:rtl/>
        </w:rPr>
        <w:t xml:space="preserve"> </w:t>
      </w:r>
      <w:r w:rsidRPr="009B2BA7">
        <w:rPr>
          <w:rtl/>
          <w:lang w:bidi="ar-JO"/>
        </w:rPr>
        <w:t>الدولة</w:t>
      </w:r>
      <w:r w:rsidRPr="009B2BA7">
        <w:rPr>
          <w:rtl/>
        </w:rPr>
        <w:t xml:space="preserve"> </w:t>
      </w:r>
      <w:r w:rsidRPr="009B2BA7">
        <w:rPr>
          <w:rtl/>
          <w:lang w:bidi="ar-JO"/>
        </w:rPr>
        <w:t>التابعة</w:t>
      </w:r>
      <w:r w:rsidRPr="009B2BA7">
        <w:rPr>
          <w:rtl/>
        </w:rPr>
        <w:t xml:space="preserve"> </w:t>
      </w:r>
      <w:r w:rsidRPr="009B2BA7">
        <w:rPr>
          <w:rtl/>
          <w:lang w:bidi="ar-JO"/>
        </w:rPr>
        <w:t>للكنيست</w:t>
      </w:r>
      <w:r w:rsidRPr="009B2BA7">
        <w:rPr>
          <w:rtl/>
        </w:rPr>
        <w:t xml:space="preserve"> </w:t>
      </w:r>
      <w:r w:rsidRPr="009B2BA7">
        <w:rPr>
          <w:rtl/>
          <w:lang w:bidi="ar-JO"/>
        </w:rPr>
        <w:t>قررت</w:t>
      </w:r>
      <w:r w:rsidRPr="009B2BA7">
        <w:rPr>
          <w:rtl/>
        </w:rPr>
        <w:t xml:space="preserve"> </w:t>
      </w:r>
      <w:r w:rsidRPr="009B2BA7">
        <w:rPr>
          <w:rtl/>
          <w:lang w:bidi="ar-JO"/>
        </w:rPr>
        <w:t>عدم</w:t>
      </w:r>
      <w:r w:rsidRPr="009B2BA7">
        <w:rPr>
          <w:rtl/>
        </w:rPr>
        <w:t xml:space="preserve"> </w:t>
      </w:r>
      <w:r w:rsidRPr="009B2BA7">
        <w:rPr>
          <w:rtl/>
          <w:lang w:bidi="ar-JO"/>
        </w:rPr>
        <w:t>طرح</w:t>
      </w:r>
      <w:r w:rsidRPr="009B2BA7">
        <w:rPr>
          <w:rtl/>
        </w:rPr>
        <w:t xml:space="preserve"> </w:t>
      </w:r>
      <w:r w:rsidRPr="009B2BA7">
        <w:rPr>
          <w:rtl/>
          <w:lang w:bidi="ar-JO"/>
        </w:rPr>
        <w:t>هذا</w:t>
      </w:r>
      <w:r w:rsidRPr="009B2BA7">
        <w:rPr>
          <w:rtl/>
        </w:rPr>
        <w:t xml:space="preserve"> </w:t>
      </w:r>
      <w:r w:rsidRPr="009B2BA7">
        <w:rPr>
          <w:rtl/>
          <w:lang w:bidi="ar-JO"/>
        </w:rPr>
        <w:t>الفصل</w:t>
      </w:r>
      <w:r w:rsidRPr="009B2BA7">
        <w:rPr>
          <w:rtl/>
        </w:rPr>
        <w:t xml:space="preserve"> </w:t>
      </w:r>
      <w:r w:rsidRPr="009B2BA7">
        <w:rPr>
          <w:rtl/>
          <w:lang w:bidi="ar-JO"/>
        </w:rPr>
        <w:t>برمته</w:t>
      </w:r>
      <w:r w:rsidRPr="009B2BA7">
        <w:rPr>
          <w:rtl/>
        </w:rPr>
        <w:t xml:space="preserve"> </w:t>
      </w:r>
      <w:r w:rsidRPr="009B2BA7">
        <w:rPr>
          <w:rtl/>
          <w:lang w:bidi="ar-JO"/>
        </w:rPr>
        <w:t>على</w:t>
      </w:r>
      <w:r w:rsidRPr="009B2BA7">
        <w:rPr>
          <w:rtl/>
        </w:rPr>
        <w:t xml:space="preserve"> </w:t>
      </w:r>
      <w:r w:rsidRPr="009B2BA7">
        <w:rPr>
          <w:rtl/>
          <w:lang w:bidi="ar-JO"/>
        </w:rPr>
        <w:t>طاولة</w:t>
      </w:r>
      <w:r w:rsidRPr="009B2BA7">
        <w:rPr>
          <w:rtl/>
        </w:rPr>
        <w:t xml:space="preserve"> </w:t>
      </w:r>
      <w:r w:rsidRPr="009B2BA7">
        <w:rPr>
          <w:rtl/>
          <w:lang w:bidi="ar-JO"/>
        </w:rPr>
        <w:t>الكنيست،</w:t>
      </w:r>
      <w:r w:rsidRPr="009B2BA7">
        <w:rPr>
          <w:rtl/>
        </w:rPr>
        <w:t xml:space="preserve"> </w:t>
      </w:r>
      <w:r w:rsidRPr="009B2BA7">
        <w:rPr>
          <w:rtl/>
          <w:lang w:bidi="ar-JO"/>
        </w:rPr>
        <w:t>بل</w:t>
      </w:r>
      <w:r w:rsidRPr="009B2BA7">
        <w:rPr>
          <w:rtl/>
        </w:rPr>
        <w:t xml:space="preserve"> </w:t>
      </w:r>
      <w:r w:rsidRPr="009B2BA7">
        <w:rPr>
          <w:rtl/>
          <w:lang w:bidi="ar-JO"/>
        </w:rPr>
        <w:t>نشر</w:t>
      </w:r>
      <w:r w:rsidRPr="009B2BA7">
        <w:rPr>
          <w:rtl/>
        </w:rPr>
        <w:t xml:space="preserve"> </w:t>
      </w:r>
      <w:r w:rsidRPr="009B2BA7">
        <w:rPr>
          <w:rtl/>
          <w:lang w:bidi="ar-JO"/>
        </w:rPr>
        <w:t>النقاط</w:t>
      </w:r>
      <w:r w:rsidRPr="009B2BA7">
        <w:rPr>
          <w:rtl/>
        </w:rPr>
        <w:t xml:space="preserve"> </w:t>
      </w:r>
      <w:r w:rsidRPr="009B2BA7">
        <w:rPr>
          <w:rtl/>
          <w:lang w:bidi="ar-JO"/>
        </w:rPr>
        <w:t>الرئيسية</w:t>
      </w:r>
      <w:r w:rsidRPr="009B2BA7">
        <w:rPr>
          <w:rtl/>
        </w:rPr>
        <w:t xml:space="preserve"> </w:t>
      </w:r>
      <w:r w:rsidRPr="009B2BA7">
        <w:rPr>
          <w:rtl/>
          <w:lang w:bidi="ar-JO"/>
        </w:rPr>
        <w:t>فقط</w:t>
      </w:r>
      <w:r w:rsidRPr="009B2BA7">
        <w:rPr>
          <w:rtl/>
        </w:rPr>
        <w:t xml:space="preserve"> </w:t>
      </w:r>
      <w:r w:rsidRPr="009B2BA7">
        <w:rPr>
          <w:rFonts w:hint="cs"/>
          <w:rtl/>
          <w:lang w:bidi="ar-JO"/>
        </w:rPr>
        <w:t>حول</w:t>
      </w:r>
      <w:r w:rsidRPr="009B2BA7">
        <w:rPr>
          <w:rFonts w:hint="cs"/>
          <w:rtl/>
        </w:rPr>
        <w:t xml:space="preserve"> </w:t>
      </w:r>
      <w:r w:rsidRPr="009B2BA7">
        <w:rPr>
          <w:rtl/>
          <w:lang w:bidi="ar-JO"/>
        </w:rPr>
        <w:t>أنشطة</w:t>
      </w:r>
      <w:r w:rsidRPr="009B2BA7">
        <w:rPr>
          <w:rtl/>
        </w:rPr>
        <w:t xml:space="preserve"> </w:t>
      </w:r>
      <w:r w:rsidRPr="009B2BA7">
        <w:rPr>
          <w:rtl/>
          <w:lang w:bidi="ar-JO"/>
        </w:rPr>
        <w:t>الرقابة</w:t>
      </w:r>
      <w:r w:rsidRPr="009B2BA7">
        <w:rPr>
          <w:rtl/>
        </w:rPr>
        <w:t xml:space="preserve"> </w:t>
      </w:r>
      <w:r w:rsidRPr="009B2BA7">
        <w:rPr>
          <w:rFonts w:hint="cs"/>
          <w:rtl/>
          <w:lang w:bidi="ar-JO"/>
        </w:rPr>
        <w:t>ومقطع</w:t>
      </w:r>
      <w:r w:rsidRPr="009B2BA7">
        <w:rPr>
          <w:rFonts w:hint="cs"/>
          <w:rtl/>
        </w:rPr>
        <w:t xml:space="preserve"> </w:t>
      </w:r>
      <w:r w:rsidRPr="009B2BA7">
        <w:rPr>
          <w:rFonts w:hint="cs"/>
          <w:rtl/>
          <w:lang w:bidi="ar-JO"/>
        </w:rPr>
        <w:t>من ملخص التقرير،</w:t>
      </w:r>
      <w:r w:rsidRPr="009B2BA7">
        <w:rPr>
          <w:rtl/>
        </w:rPr>
        <w:t xml:space="preserve"> </w:t>
      </w:r>
      <w:r w:rsidRPr="009B2BA7">
        <w:rPr>
          <w:rtl/>
          <w:lang w:bidi="ar-JO"/>
        </w:rPr>
        <w:t>من</w:t>
      </w:r>
      <w:r w:rsidRPr="009B2BA7">
        <w:rPr>
          <w:rtl/>
        </w:rPr>
        <w:t xml:space="preserve"> </w:t>
      </w:r>
      <w:r w:rsidRPr="009B2BA7">
        <w:rPr>
          <w:rtl/>
          <w:lang w:bidi="ar-JO"/>
        </w:rPr>
        <w:t>أجل</w:t>
      </w:r>
      <w:r w:rsidRPr="009B2BA7">
        <w:rPr>
          <w:rtl/>
        </w:rPr>
        <w:t xml:space="preserve"> </w:t>
      </w:r>
      <w:r w:rsidRPr="009B2BA7">
        <w:rPr>
          <w:rtl/>
          <w:lang w:bidi="ar-JO"/>
        </w:rPr>
        <w:t>الحفاظ</w:t>
      </w:r>
      <w:r w:rsidRPr="009B2BA7">
        <w:rPr>
          <w:rtl/>
        </w:rPr>
        <w:t xml:space="preserve"> </w:t>
      </w:r>
      <w:r w:rsidRPr="009B2BA7">
        <w:rPr>
          <w:rtl/>
          <w:lang w:bidi="ar-JO"/>
        </w:rPr>
        <w:t>على</w:t>
      </w:r>
      <w:r w:rsidRPr="009B2BA7">
        <w:rPr>
          <w:rtl/>
        </w:rPr>
        <w:t xml:space="preserve"> </w:t>
      </w:r>
      <w:r w:rsidRPr="009B2BA7">
        <w:rPr>
          <w:rtl/>
          <w:lang w:bidi="ar-JO"/>
        </w:rPr>
        <w:t>أمن</w:t>
      </w:r>
      <w:r w:rsidRPr="009B2BA7">
        <w:rPr>
          <w:rtl/>
        </w:rPr>
        <w:t xml:space="preserve"> </w:t>
      </w:r>
      <w:r w:rsidRPr="009B2BA7">
        <w:rPr>
          <w:rtl/>
          <w:lang w:bidi="ar-JO"/>
        </w:rPr>
        <w:t>الدولة،</w:t>
      </w:r>
      <w:r w:rsidRPr="009B2BA7">
        <w:rPr>
          <w:rtl/>
        </w:rPr>
        <w:t xml:space="preserve"> </w:t>
      </w:r>
      <w:r w:rsidRPr="009B2BA7">
        <w:rPr>
          <w:rtl/>
          <w:lang w:bidi="ar-JO"/>
        </w:rPr>
        <w:t>بموجب</w:t>
      </w:r>
      <w:r w:rsidRPr="009B2BA7">
        <w:rPr>
          <w:rtl/>
        </w:rPr>
        <w:t xml:space="preserve"> </w:t>
      </w:r>
      <w:r w:rsidRPr="009B2BA7">
        <w:rPr>
          <w:rtl/>
          <w:lang w:bidi="ar-JO"/>
        </w:rPr>
        <w:t>البند</w:t>
      </w:r>
      <w:r w:rsidRPr="009B2BA7">
        <w:rPr>
          <w:rtl/>
        </w:rPr>
        <w:t xml:space="preserve"> 17 (</w:t>
      </w:r>
      <w:r w:rsidRPr="009B2BA7">
        <w:rPr>
          <w:rtl/>
          <w:lang w:bidi="ar-JO"/>
        </w:rPr>
        <w:t>أ</w:t>
      </w:r>
      <w:r w:rsidRPr="009B2BA7">
        <w:rPr>
          <w:rtl/>
        </w:rPr>
        <w:t xml:space="preserve">) </w:t>
      </w:r>
      <w:r w:rsidRPr="009B2BA7">
        <w:rPr>
          <w:rtl/>
          <w:lang w:bidi="ar-JO"/>
        </w:rPr>
        <w:t>من</w:t>
      </w:r>
      <w:r w:rsidRPr="009B2BA7">
        <w:rPr>
          <w:rtl/>
        </w:rPr>
        <w:t xml:space="preserve"> </w:t>
      </w:r>
      <w:r w:rsidRPr="009B2BA7">
        <w:rPr>
          <w:rtl/>
          <w:lang w:bidi="ar-JO"/>
        </w:rPr>
        <w:t>قانون</w:t>
      </w:r>
      <w:r w:rsidRPr="009B2BA7">
        <w:rPr>
          <w:rtl/>
        </w:rPr>
        <w:t xml:space="preserve"> </w:t>
      </w:r>
      <w:r w:rsidRPr="009B2BA7">
        <w:rPr>
          <w:rtl/>
          <w:lang w:bidi="ar-JO"/>
        </w:rPr>
        <w:t>مراقب</w:t>
      </w:r>
      <w:r w:rsidRPr="009B2BA7">
        <w:rPr>
          <w:rtl/>
        </w:rPr>
        <w:t xml:space="preserve"> </w:t>
      </w:r>
      <w:r w:rsidRPr="009B2BA7">
        <w:rPr>
          <w:rtl/>
          <w:lang w:bidi="ar-JO"/>
        </w:rPr>
        <w:t>الدولة،</w:t>
      </w:r>
      <w:r w:rsidRPr="009B2BA7">
        <w:rPr>
          <w:rtl/>
        </w:rPr>
        <w:t xml:space="preserve"> </w:t>
      </w:r>
      <w:r w:rsidRPr="009B2BA7">
        <w:rPr>
          <w:rtl/>
          <w:lang w:bidi="ar-JO"/>
        </w:rPr>
        <w:t>عام</w:t>
      </w:r>
      <w:r w:rsidRPr="009B2BA7">
        <w:rPr>
          <w:rtl/>
        </w:rPr>
        <w:t xml:space="preserve"> 1958 [</w:t>
      </w:r>
      <w:r w:rsidRPr="009B2BA7">
        <w:rPr>
          <w:rFonts w:hint="cs"/>
          <w:rtl/>
          <w:lang w:bidi="ar-JO"/>
        </w:rPr>
        <w:t>الصيغة</w:t>
      </w:r>
      <w:r w:rsidRPr="009B2BA7">
        <w:rPr>
          <w:rtl/>
        </w:rPr>
        <w:t xml:space="preserve"> </w:t>
      </w:r>
      <w:r w:rsidRPr="009B2BA7">
        <w:rPr>
          <w:rtl/>
          <w:lang w:bidi="ar-JO"/>
        </w:rPr>
        <w:t>المدمجة</w:t>
      </w:r>
      <w:r w:rsidRPr="009B2BA7">
        <w:rPr>
          <w:rtl/>
        </w:rPr>
        <w:t>]</w:t>
      </w:r>
      <w:r w:rsidRPr="009B2BA7">
        <w:rPr>
          <w:rFonts w:hint="cs"/>
          <w:rtl/>
        </w:rPr>
        <w:t>.</w:t>
      </w:r>
      <w:r w:rsidRPr="009B2BA7">
        <w:rPr>
          <w:rtl/>
        </w:rPr>
        <w:t xml:space="preserve"> </w:t>
      </w:r>
      <w:r w:rsidRPr="009B2BA7">
        <w:rPr>
          <w:rtl/>
          <w:lang w:bidi="ar-JO"/>
        </w:rPr>
        <w:t>قررت</w:t>
      </w:r>
      <w:r w:rsidRPr="009B2BA7">
        <w:rPr>
          <w:rtl/>
        </w:rPr>
        <w:t xml:space="preserve"> </w:t>
      </w:r>
      <w:r w:rsidRPr="009B2BA7">
        <w:rPr>
          <w:rtl/>
          <w:lang w:bidi="ar-JO"/>
        </w:rPr>
        <w:t>اللجنة</w:t>
      </w:r>
      <w:r w:rsidRPr="009B2BA7">
        <w:rPr>
          <w:rtl/>
        </w:rPr>
        <w:t xml:space="preserve"> </w:t>
      </w:r>
      <w:r w:rsidRPr="009B2BA7">
        <w:rPr>
          <w:rtl/>
          <w:lang w:bidi="ar-JO"/>
        </w:rPr>
        <w:t>أيضًا</w:t>
      </w:r>
      <w:r w:rsidRPr="009B2BA7">
        <w:rPr>
          <w:rtl/>
        </w:rPr>
        <w:t xml:space="preserve"> </w:t>
      </w:r>
      <w:r w:rsidRPr="009B2BA7">
        <w:rPr>
          <w:rtl/>
          <w:lang w:bidi="ar-JO"/>
        </w:rPr>
        <w:t>فرض</w:t>
      </w:r>
      <w:r w:rsidRPr="009B2BA7">
        <w:rPr>
          <w:rtl/>
        </w:rPr>
        <w:t xml:space="preserve"> </w:t>
      </w:r>
      <w:r w:rsidRPr="009B2BA7">
        <w:rPr>
          <w:rtl/>
          <w:lang w:bidi="ar-JO"/>
        </w:rPr>
        <w:t>السرية</w:t>
      </w:r>
      <w:r w:rsidRPr="009B2BA7">
        <w:rPr>
          <w:rtl/>
        </w:rPr>
        <w:t xml:space="preserve"> </w:t>
      </w:r>
      <w:r w:rsidRPr="009B2BA7">
        <w:rPr>
          <w:rtl/>
          <w:lang w:bidi="ar-JO"/>
        </w:rPr>
        <w:t>لمدة</w:t>
      </w:r>
      <w:r w:rsidRPr="009B2BA7">
        <w:rPr>
          <w:rtl/>
        </w:rPr>
        <w:t xml:space="preserve"> </w:t>
      </w:r>
      <w:r w:rsidRPr="009B2BA7">
        <w:rPr>
          <w:rtl/>
          <w:lang w:bidi="ar-JO"/>
        </w:rPr>
        <w:t>ثلاثة</w:t>
      </w:r>
      <w:r w:rsidRPr="009B2BA7">
        <w:rPr>
          <w:rtl/>
        </w:rPr>
        <w:t xml:space="preserve"> </w:t>
      </w:r>
      <w:r w:rsidRPr="009B2BA7">
        <w:rPr>
          <w:rtl/>
          <w:lang w:bidi="ar-JO"/>
        </w:rPr>
        <w:t>أشهر</w:t>
      </w:r>
      <w:r w:rsidRPr="009B2BA7">
        <w:rPr>
          <w:rtl/>
        </w:rPr>
        <w:t xml:space="preserve"> </w:t>
      </w:r>
      <w:r w:rsidRPr="009B2BA7">
        <w:rPr>
          <w:rtl/>
          <w:lang w:bidi="ar-JO"/>
        </w:rPr>
        <w:t>على</w:t>
      </w:r>
      <w:r w:rsidRPr="009B2BA7">
        <w:rPr>
          <w:rtl/>
        </w:rPr>
        <w:t xml:space="preserve"> </w:t>
      </w:r>
      <w:r w:rsidRPr="009B2BA7">
        <w:rPr>
          <w:rtl/>
          <w:lang w:bidi="ar-JO"/>
        </w:rPr>
        <w:t>هذه</w:t>
      </w:r>
      <w:r w:rsidRPr="009B2BA7">
        <w:rPr>
          <w:rtl/>
        </w:rPr>
        <w:t xml:space="preserve"> </w:t>
      </w:r>
      <w:r w:rsidRPr="009B2BA7">
        <w:rPr>
          <w:rtl/>
          <w:lang w:bidi="ar-JO"/>
        </w:rPr>
        <w:t>التقارير</w:t>
      </w:r>
      <w:r w:rsidRPr="009B2BA7">
        <w:rPr>
          <w:rtl/>
        </w:rPr>
        <w:t>:</w:t>
      </w:r>
    </w:p>
    <w:p w:rsidR="00513B88" w:rsidP="00287421" w14:paraId="7D3B56CC" w14:textId="7E0E03C6">
      <w:pPr>
        <w:pStyle w:val="730"/>
        <w:numPr>
          <w:ilvl w:val="0"/>
          <w:numId w:val="29"/>
        </w:numPr>
        <w:spacing w:line="270" w:lineRule="exact"/>
        <w:ind w:left="397" w:hanging="397"/>
        <w:rPr>
          <w:rtl/>
        </w:rPr>
      </w:pPr>
      <w:r w:rsidRPr="009B2BA7">
        <w:rPr>
          <w:rtl/>
          <w:lang w:bidi="ar-SA"/>
        </w:rPr>
        <w:t>استعداد</w:t>
      </w:r>
      <w:r w:rsidRPr="009B2BA7">
        <w:rPr>
          <w:rFonts w:hint="cs"/>
          <w:rtl/>
          <w:lang w:bidi="ar-SA"/>
        </w:rPr>
        <w:t xml:space="preserve"> وجاهزية</w:t>
      </w:r>
      <w:r w:rsidRPr="009B2BA7">
        <w:rPr>
          <w:rtl/>
          <w:lang w:bidi="ar-SA"/>
        </w:rPr>
        <w:t xml:space="preserve"> جيش الدفاع الإسرائيلي للحرب في</w:t>
      </w:r>
      <w:r w:rsidRPr="009B2BA7">
        <w:rPr>
          <w:rFonts w:hint="cs"/>
          <w:rtl/>
          <w:lang w:bidi="ar-SA"/>
        </w:rPr>
        <w:t xml:space="preserve"> مجال</w:t>
      </w:r>
      <w:r w:rsidRPr="009B2BA7">
        <w:rPr>
          <w:rtl/>
          <w:lang w:bidi="ar-SA"/>
        </w:rPr>
        <w:t xml:space="preserve"> الطيف الكهرومغناطيسي</w:t>
      </w:r>
      <w:r>
        <w:rPr>
          <w:rFonts w:hint="cs"/>
          <w:rtl/>
        </w:rPr>
        <w:t>.</w:t>
      </w:r>
    </w:p>
    <w:p w:rsidR="00513B88" w:rsidP="00287421" w14:paraId="687DC4D8" w14:textId="5D1563E3">
      <w:pPr>
        <w:pStyle w:val="730"/>
        <w:numPr>
          <w:ilvl w:val="0"/>
          <w:numId w:val="29"/>
        </w:numPr>
        <w:spacing w:line="270" w:lineRule="exact"/>
        <w:ind w:left="397" w:hanging="397"/>
        <w:rPr>
          <w:rtl/>
        </w:rPr>
      </w:pPr>
      <w:r w:rsidRPr="009B2BA7">
        <w:rPr>
          <w:rtl/>
          <w:lang w:bidi="ar-SA"/>
        </w:rPr>
        <w:t>الحماية</w:t>
      </w:r>
      <w:r w:rsidRPr="009B2BA7">
        <w:rPr>
          <w:rFonts w:hint="cs"/>
          <w:rtl/>
          <w:lang w:bidi="ar-SA"/>
        </w:rPr>
        <w:t xml:space="preserve"> في المجال</w:t>
      </w:r>
      <w:r w:rsidRPr="009B2BA7">
        <w:rPr>
          <w:rtl/>
          <w:lang w:bidi="ar-SA"/>
        </w:rPr>
        <w:t xml:space="preserve"> </w:t>
      </w:r>
      <w:r w:rsidRPr="009B2BA7">
        <w:rPr>
          <w:rtl/>
          <w:lang w:bidi="ar-SA"/>
        </w:rPr>
        <w:t>السيبراني</w:t>
      </w:r>
      <w:r w:rsidRPr="009B2BA7">
        <w:rPr>
          <w:rtl/>
          <w:lang w:bidi="ar-SA"/>
        </w:rPr>
        <w:t xml:space="preserve"> للطائرات </w:t>
      </w:r>
      <w:r w:rsidRPr="009B2BA7">
        <w:rPr>
          <w:rFonts w:hint="cs"/>
          <w:rtl/>
          <w:lang w:bidi="ar-SA"/>
        </w:rPr>
        <w:t>التي يتم تسييرها</w:t>
      </w:r>
      <w:r w:rsidRPr="009B2BA7">
        <w:rPr>
          <w:rtl/>
          <w:lang w:bidi="ar-SA"/>
        </w:rPr>
        <w:t xml:space="preserve"> عن بعد (مثل الطائرات بدون طيار)</w:t>
      </w:r>
      <w:r>
        <w:rPr>
          <w:rFonts w:hint="cs"/>
          <w:rtl/>
        </w:rPr>
        <w:t>.</w:t>
      </w:r>
    </w:p>
    <w:p w:rsidR="00513B88" w:rsidP="00287421" w14:paraId="3BF592AC" w14:textId="3075BAA9">
      <w:pPr>
        <w:pStyle w:val="730"/>
        <w:numPr>
          <w:ilvl w:val="0"/>
          <w:numId w:val="29"/>
        </w:numPr>
        <w:spacing w:line="270" w:lineRule="exact"/>
        <w:ind w:left="397" w:hanging="397"/>
        <w:rPr>
          <w:rtl/>
        </w:rPr>
      </w:pPr>
      <w:r w:rsidRPr="009B2BA7">
        <w:rPr>
          <w:rtl/>
          <w:lang w:bidi="ar-SA"/>
        </w:rPr>
        <w:t xml:space="preserve">الدفاع في المجال </w:t>
      </w:r>
      <w:r w:rsidRPr="009B2BA7">
        <w:rPr>
          <w:rtl/>
          <w:lang w:bidi="ar-SA"/>
        </w:rPr>
        <w:t>السيبراني</w:t>
      </w:r>
      <w:r w:rsidRPr="009B2BA7">
        <w:rPr>
          <w:rtl/>
          <w:lang w:bidi="ar-SA"/>
        </w:rPr>
        <w:t>: جوانب حول تنظيم وحماية المعلومات وأنظمة الحاسوب في شركة رفائيل للأجهزة الحربية المتقدمة محدودة الضمان.</w:t>
      </w:r>
    </w:p>
    <w:p w:rsidR="00513B88" w:rsidP="00287421" w14:paraId="5708A228" w14:textId="5C5B1563">
      <w:pPr>
        <w:pStyle w:val="730"/>
        <w:numPr>
          <w:ilvl w:val="0"/>
          <w:numId w:val="29"/>
        </w:numPr>
        <w:spacing w:line="270" w:lineRule="exact"/>
        <w:ind w:left="397" w:hanging="397"/>
        <w:rPr>
          <w:rtl/>
        </w:rPr>
      </w:pPr>
      <w:r w:rsidRPr="009B2BA7">
        <w:rPr>
          <w:rtl/>
          <w:lang w:bidi="ar-SA"/>
        </w:rPr>
        <w:t xml:space="preserve">الحماية من التهديدات </w:t>
      </w:r>
      <w:r w:rsidRPr="009B2BA7">
        <w:rPr>
          <w:rtl/>
          <w:lang w:bidi="ar-SA"/>
        </w:rPr>
        <w:t>السيبرانية</w:t>
      </w:r>
      <w:r w:rsidRPr="009B2BA7">
        <w:rPr>
          <w:rtl/>
          <w:lang w:bidi="ar-SA"/>
        </w:rPr>
        <w:t xml:space="preserve"> على وسائل</w:t>
      </w:r>
      <w:r w:rsidRPr="009B2BA7">
        <w:rPr>
          <w:rFonts w:hint="cs"/>
          <w:rtl/>
          <w:lang w:bidi="ar-SA"/>
        </w:rPr>
        <w:t xml:space="preserve"> التحكم</w:t>
      </w:r>
      <w:r w:rsidRPr="009B2BA7">
        <w:rPr>
          <w:rtl/>
          <w:lang w:bidi="ar-SA"/>
        </w:rPr>
        <w:t xml:space="preserve"> </w:t>
      </w:r>
      <w:r w:rsidRPr="009B2BA7">
        <w:rPr>
          <w:rFonts w:hint="cs"/>
          <w:rtl/>
          <w:lang w:bidi="ar-SA"/>
        </w:rPr>
        <w:t>و</w:t>
      </w:r>
      <w:r w:rsidRPr="009B2BA7">
        <w:rPr>
          <w:rtl/>
          <w:lang w:bidi="ar-SA"/>
        </w:rPr>
        <w:t xml:space="preserve">المراقبة </w:t>
      </w:r>
      <w:r w:rsidRPr="009B2BA7">
        <w:rPr>
          <w:rFonts w:hint="cs"/>
          <w:rtl/>
          <w:lang w:bidi="ar-SA"/>
        </w:rPr>
        <w:t>لقيادة الجبهة الداخلية</w:t>
      </w:r>
      <w:r>
        <w:rPr>
          <w:rFonts w:hint="cs"/>
          <w:rtl/>
        </w:rPr>
        <w:t>.</w:t>
      </w:r>
    </w:p>
    <w:p w:rsidR="00513B88" w:rsidRPr="007B7027" w:rsidP="00513B88" w14:paraId="0141B1ED" w14:textId="77777777">
      <w:pPr>
        <w:pStyle w:val="7190"/>
        <w:rPr>
          <w:rtl/>
        </w:rPr>
      </w:pPr>
      <w:r w:rsidRPr="009B2BA7">
        <w:rPr>
          <w:rtl/>
          <w:lang w:bidi="ar-SA"/>
        </w:rPr>
        <w:t>كما ذكرنا، يتضمن التقرير فصولاً</w:t>
      </w:r>
      <w:r w:rsidRPr="009B2BA7">
        <w:rPr>
          <w:rFonts w:hint="cs"/>
          <w:rtl/>
          <w:lang w:bidi="ar-SA"/>
        </w:rPr>
        <w:t xml:space="preserve"> حول</w:t>
      </w:r>
      <w:r w:rsidRPr="009B2BA7">
        <w:rPr>
          <w:rtl/>
          <w:lang w:bidi="ar-SA"/>
        </w:rPr>
        <w:t xml:space="preserve"> رقابة وزارات الحكومة</w:t>
      </w:r>
      <w:r w:rsidRPr="009B2BA7">
        <w:rPr>
          <w:rFonts w:hint="cs"/>
          <w:rtl/>
          <w:lang w:bidi="ar-SA"/>
        </w:rPr>
        <w:t xml:space="preserve"> ومؤسسات الدولة</w:t>
      </w:r>
      <w:r w:rsidRPr="009B2BA7">
        <w:rPr>
          <w:rtl/>
          <w:lang w:bidi="ar-SA"/>
        </w:rPr>
        <w:t>، وفيما يلي لمحة</w:t>
      </w:r>
      <w:r w:rsidRPr="009B2BA7">
        <w:rPr>
          <w:rFonts w:hint="cs"/>
          <w:rtl/>
          <w:lang w:bidi="ar-SA"/>
        </w:rPr>
        <w:t xml:space="preserve"> مراجعة</w:t>
      </w:r>
      <w:r w:rsidRPr="009B2BA7">
        <w:rPr>
          <w:rtl/>
          <w:lang w:bidi="ar-SA"/>
        </w:rPr>
        <w:t xml:space="preserve"> عامة </w:t>
      </w:r>
      <w:r w:rsidRPr="009B2BA7">
        <w:rPr>
          <w:rFonts w:hint="cs"/>
          <w:rtl/>
          <w:lang w:bidi="ar-SA"/>
        </w:rPr>
        <w:t>ل</w:t>
      </w:r>
      <w:r w:rsidRPr="009B2BA7">
        <w:rPr>
          <w:rtl/>
          <w:lang w:bidi="ar-SA"/>
        </w:rPr>
        <w:t>بعضها.</w:t>
      </w:r>
    </w:p>
    <w:p w:rsidR="00513B88" w:rsidRPr="009B2BA7" w:rsidP="00513B88" w14:paraId="505378F5" w14:textId="235D717F">
      <w:pPr>
        <w:pStyle w:val="7190"/>
        <w:rPr>
          <w:rtl/>
        </w:rPr>
      </w:pPr>
      <w:r w:rsidRPr="009B2BA7">
        <w:rPr>
          <w:rtl/>
          <w:lang w:bidi="ar-SA"/>
        </w:rPr>
        <w:t xml:space="preserve">بموجب المادة 19 من قانون مراقب الدولة، تم فحص </w:t>
      </w:r>
      <w:r w:rsidRPr="00513B88">
        <w:rPr>
          <w:b/>
          <w:bCs/>
          <w:rtl/>
          <w:lang w:bidi="ar-SA"/>
        </w:rPr>
        <w:t xml:space="preserve">التقارير المالية لدولة إسرائيل حتى تاريخ 31.12.2022، مع التركيز على الممتلكات الثابتة. </w:t>
      </w:r>
      <w:r w:rsidRPr="009B2BA7">
        <w:rPr>
          <w:rtl/>
          <w:lang w:bidi="ar-SA"/>
        </w:rPr>
        <w:t xml:space="preserve">إجمالي الممتلكات المعروضة في التقارير المالية للدولة حتى </w:t>
      </w:r>
      <w:r w:rsidRPr="009B2BA7">
        <w:rPr>
          <w:rtl/>
        </w:rPr>
        <w:t>31.12.2</w:t>
      </w:r>
      <w:r w:rsidRPr="009B2BA7">
        <w:rPr>
          <w:rFonts w:hint="cs"/>
          <w:rtl/>
          <w:lang w:bidi="ar-JO"/>
        </w:rPr>
        <w:t>2</w:t>
      </w:r>
      <w:r w:rsidRPr="009B2BA7">
        <w:rPr>
          <w:rtl/>
        </w:rPr>
        <w:t xml:space="preserve">. </w:t>
      </w:r>
      <w:r w:rsidRPr="009B2BA7">
        <w:rPr>
          <w:rtl/>
          <w:lang w:bidi="ar-SA"/>
        </w:rPr>
        <w:t xml:space="preserve">هو حوالي 2009 مليار </w:t>
      </w:r>
      <w:r w:rsidRPr="009B2BA7">
        <w:rPr>
          <w:rFonts w:hint="cs"/>
          <w:rtl/>
          <w:lang w:bidi="ar-SA"/>
        </w:rPr>
        <w:t>شاقل</w:t>
      </w:r>
      <w:r w:rsidRPr="009B2BA7">
        <w:rPr>
          <w:rtl/>
          <w:lang w:bidi="ar-SA"/>
        </w:rPr>
        <w:t xml:space="preserve">، مقابل حوالي 799 مليار </w:t>
      </w:r>
      <w:r w:rsidRPr="009B2BA7">
        <w:rPr>
          <w:rFonts w:hint="cs"/>
          <w:rtl/>
          <w:lang w:bidi="ar-SA"/>
        </w:rPr>
        <w:t>شاقل</w:t>
      </w:r>
      <w:r w:rsidRPr="009B2BA7">
        <w:rPr>
          <w:rtl/>
          <w:lang w:bidi="ar-SA"/>
        </w:rPr>
        <w:t xml:space="preserve"> - إجمالي الممتلكات حتى 21/12/31. يدور الحديث عن زيادة تبلغ حوالي %</w:t>
      </w:r>
      <w:r>
        <w:rPr>
          <w:rFonts w:hint="cs"/>
          <w:rtl/>
        </w:rPr>
        <w:t>151</w:t>
      </w:r>
      <w:r w:rsidRPr="009B2BA7">
        <w:rPr>
          <w:rtl/>
          <w:lang w:bidi="ar-SA"/>
        </w:rPr>
        <w:t>، وهي ناجمة عن أن التقرير حول الحالة المالية شمل لأول مرة إجمالي مساحة الأراضي التي تملكها الدولة كفائض موازنة. ويبلغ إجمالي الأملاك الثابتة مضافاً إليها إجمالي الأراضي التي تملكها الدولة نحو 8</w:t>
      </w:r>
      <w:r>
        <w:rPr>
          <w:rFonts w:hint="cs"/>
          <w:rtl/>
        </w:rPr>
        <w:t>5%</w:t>
      </w:r>
      <w:r w:rsidRPr="009B2BA7">
        <w:rPr>
          <w:rtl/>
          <w:lang w:bidi="ar-SA"/>
        </w:rPr>
        <w:t xml:space="preserve"> من إجمالي الممتلكات. الممتلكات الثابتة هي عنصر ملموس، يتم الاحتفاظ به لاستخدامه في </w:t>
      </w:r>
      <w:r w:rsidRPr="009B2BA7">
        <w:rPr>
          <w:rtl/>
          <w:lang w:bidi="ar-SA"/>
        </w:rPr>
        <w:t>إنتاج</w:t>
      </w:r>
      <w:r w:rsidRPr="009B2BA7">
        <w:rPr>
          <w:rtl/>
          <w:lang w:bidi="ar-SA"/>
        </w:rPr>
        <w:t xml:space="preserve"> أو تزويد السلع أو الخدمات، أو للتأجير للآخرين أو لتلبية احتياجات إدارية، ومن المتوقع استخدامه لأكثر من فترة واحدة. للممتلكات الثابتة أهمية كبيرة </w:t>
      </w:r>
      <w:r w:rsidRPr="009B2BA7">
        <w:rPr>
          <w:rFonts w:hint="cs"/>
          <w:rtl/>
          <w:lang w:bidi="ar-SA"/>
        </w:rPr>
        <w:t>بما يتعلق</w:t>
      </w:r>
      <w:r w:rsidRPr="009B2BA7">
        <w:rPr>
          <w:rtl/>
          <w:lang w:bidi="ar-SA"/>
        </w:rPr>
        <w:t xml:space="preserve"> </w:t>
      </w:r>
      <w:r w:rsidRPr="009B2BA7">
        <w:rPr>
          <w:rFonts w:hint="cs"/>
          <w:rtl/>
          <w:lang w:bidi="ar-SA"/>
        </w:rPr>
        <w:t>ب</w:t>
      </w:r>
      <w:r w:rsidRPr="009B2BA7">
        <w:rPr>
          <w:rtl/>
          <w:lang w:bidi="ar-SA"/>
        </w:rPr>
        <w:t xml:space="preserve">مخزون </w:t>
      </w:r>
      <w:r w:rsidRPr="009B2BA7">
        <w:rPr>
          <w:rFonts w:hint="cs"/>
          <w:rtl/>
          <w:lang w:bidi="ar-SA"/>
        </w:rPr>
        <w:t>ملكات</w:t>
      </w:r>
      <w:r w:rsidRPr="009B2BA7">
        <w:rPr>
          <w:rtl/>
          <w:lang w:bidi="ar-SA"/>
        </w:rPr>
        <w:t xml:space="preserve"> الدولة ولها تأثير كبير على جميع تقاريرها المالية، ولذلك من المهم أن يكون الاعتراف بالممتلكات الثابتة وتسجيلها وقياسها بشكل صحيح من الناحية الحسابية.</w:t>
      </w:r>
      <w:r w:rsidRPr="009B2BA7">
        <w:rPr>
          <w:rtl/>
        </w:rPr>
        <w:t xml:space="preserve"> </w:t>
      </w:r>
      <w:r w:rsidRPr="009B2BA7">
        <w:rPr>
          <w:rtl/>
          <w:lang w:bidi="ar-SA"/>
        </w:rPr>
        <w:t xml:space="preserve">تبين في الرقابة أنه في عام 2022 طرأ تقدم فيما يتعلق بالتسجيل المذكور - تم إدراج الأراضي لأول مرة في متن الموازنة، ولكن بيانات الممتلكات الثابتة لا تزال غير معروضة في مجملها في التقارير المالية للدولة، وهي تتضمن العديد من التحفظات وتفتقد لعناصر </w:t>
      </w:r>
      <w:r w:rsidRPr="009B2BA7">
        <w:rPr>
          <w:rtl/>
          <w:lang w:bidi="ar-SA"/>
        </w:rPr>
        <w:t>هامة</w:t>
      </w:r>
      <w:r w:rsidRPr="009B2BA7">
        <w:rPr>
          <w:rtl/>
          <w:lang w:bidi="ar-SA"/>
        </w:rPr>
        <w:t xml:space="preserve">، لا سيما ممتلكات وزارة الدفاع، بعض الممتلكات في خارج البلاد وبعض الممتلكات غير الملموسة وكذلك البيانات حول الأملاك المتعلقة بالعائدات من الموارد الطبيعية بمبلغ يقارب 34.8 مليار </w:t>
      </w:r>
      <w:r w:rsidRPr="009B2BA7">
        <w:rPr>
          <w:rFonts w:hint="cs"/>
          <w:rtl/>
          <w:lang w:bidi="ar-SA"/>
        </w:rPr>
        <w:t>شاقل</w:t>
      </w:r>
      <w:r w:rsidRPr="009B2BA7">
        <w:rPr>
          <w:rtl/>
          <w:lang w:bidi="ar-SA"/>
        </w:rPr>
        <w:t>. بالإضافة إلى ذلك، تم العثور على عدة عيوب في تقارير وزارة الصحة ووزارة الخارجية ووزارة المواصلات فيما يتعلق بطريقة عرض الأملاك الثابتة واكتمال البيانات. وفيما يتعلق بطريقة قياس الأملاك الثابتة في التقارير المالية للوزارات الحكومية التي تم فحصها (وزارة البناء والإسكان، وزارة الصحة، وزارة الخارجية، ووزارة المواصلات)، فقد تبين أن هذه الوزارات تعرض الأملاك الثابتة في تقاريرها وفقا لطريقة التكلفة. لذلك فإن تقاريرها المالية لا تعرض القيمة الحقيقية للأملاك الثابتة.</w:t>
      </w:r>
      <w:r w:rsidRPr="009B2BA7">
        <w:rPr>
          <w:rFonts w:hint="cs"/>
          <w:rtl/>
        </w:rPr>
        <w:t xml:space="preserve"> </w:t>
      </w:r>
      <w:r w:rsidRPr="009B2BA7">
        <w:rPr>
          <w:rtl/>
          <w:lang w:bidi="ar-SA"/>
        </w:rPr>
        <w:t>كما وجدت الرقابة أن هناك عناصر من الممتلكات لا يظهر عمر استخدامها على الإطلاق في التقارير المالية الإسرائيلية، على سبيل المثال: الممتلكات الثقافية والتراثية والطائرات، مقارنة ببعض دول المقارنة (كندا وأستراليا ونيوزيلندا) حيث يظهر هذا المعطى في التقارير. كما تبين أن هناك دول مقارنة، مثل نيوزيلندا، التي تقدم تقاريرها المالية معلومات أكثر تفصيلا مما هو معروض في التقارير المالية لدولة إسرائيل، على سبيل المثال فيما يتعلق بالممتلكات الثابتة التالية: الشوارع، شبكة الكهرباء وشبكة السكك الحديدية.</w:t>
      </w:r>
    </w:p>
    <w:p w:rsidR="00513B88" w:rsidRPr="009B2BA7" w:rsidP="00513B88" w14:paraId="2D54411F" w14:textId="77777777">
      <w:pPr>
        <w:pStyle w:val="7190"/>
        <w:rPr>
          <w:rtl/>
          <w:lang w:bidi="ar-SA"/>
        </w:rPr>
      </w:pPr>
      <w:r w:rsidRPr="009B2BA7">
        <w:rPr>
          <w:rtl/>
          <w:lang w:bidi="ar-SA"/>
        </w:rPr>
        <w:t xml:space="preserve">يجب على المحاسب العام أن يكمل تخطيط مسح الأملاك الثابتة التي بملكية الدولة بما في ذلك تخطيط مسح الأملاك التي تملكها وزارة الدفاع لغرض تسجيلها الحسابي وعرضها بشكل جيد في التقارير المالية للدولة. </w:t>
      </w:r>
      <w:r w:rsidRPr="009B2BA7">
        <w:rPr>
          <w:rFonts w:hint="cs"/>
          <w:rtl/>
          <w:lang w:bidi="ar-SA"/>
        </w:rPr>
        <w:t>بالإضافة الى ذلك،</w:t>
      </w:r>
      <w:r w:rsidRPr="009B2BA7">
        <w:rPr>
          <w:rtl/>
          <w:lang w:bidi="ar-SA"/>
        </w:rPr>
        <w:t xml:space="preserve"> يجب عليه التأكد من تصحيح النواقص والعيوب التي أثيرت في هذا التقرير فيما يتعلق بطريقة عرض الأملاك الثابتة </w:t>
      </w:r>
      <w:r w:rsidRPr="009B2BA7">
        <w:rPr>
          <w:rFonts w:hint="cs"/>
          <w:rtl/>
          <w:lang w:bidi="ar-SA"/>
        </w:rPr>
        <w:t>وإكمال</w:t>
      </w:r>
      <w:r w:rsidRPr="009B2BA7">
        <w:rPr>
          <w:rtl/>
          <w:lang w:bidi="ar-SA"/>
        </w:rPr>
        <w:t xml:space="preserve"> البيانات. كذلك يجب على المحاسب العام الاستمرار في تحسين بيانات الأراضي لعرضها بشكل كامل وتام في التقارير المالية للدولة.</w:t>
      </w:r>
    </w:p>
    <w:p w:rsidR="00513B88" w:rsidRPr="009B2BA7" w:rsidP="00513B88" w14:paraId="145319B5" w14:textId="77777777">
      <w:pPr>
        <w:pStyle w:val="7190"/>
        <w:rPr>
          <w:rtl/>
        </w:rPr>
      </w:pPr>
      <w:r w:rsidRPr="009B2BA7">
        <w:rPr>
          <w:rtl/>
          <w:lang w:bidi="ar-SA"/>
        </w:rPr>
        <w:t xml:space="preserve">تعتبر كرة القدم من أكثر فروع الرياضة شعبية في العالم، بما في ذلك في إسرائيل. كما تعتبر كرة القدم، كغيرها من فروع الرياضة، أداة تربوية واجتماعية تساهم في تنمية وتنشئة جيل الأطفال والشباب وفق القيم الرياضية وتعزيز </w:t>
      </w:r>
      <w:r w:rsidRPr="009B2BA7">
        <w:rPr>
          <w:rtl/>
          <w:lang w:bidi="ar-SA"/>
        </w:rPr>
        <w:t>الصحة</w:t>
      </w:r>
      <w:r w:rsidRPr="009B2BA7">
        <w:rPr>
          <w:rtl/>
          <w:lang w:bidi="ar-SA"/>
        </w:rPr>
        <w:t xml:space="preserve"> والعمل الجماعي والمسؤولية والانضباط. يتضمن هذا التقرير رقابة </w:t>
      </w:r>
      <w:r w:rsidRPr="00513B88">
        <w:rPr>
          <w:b/>
          <w:bCs/>
          <w:rtl/>
          <w:lang w:bidi="ar-SA"/>
        </w:rPr>
        <w:t xml:space="preserve">لسلطة مراقبة الميزانية للاتحاد العام لكرة القدم. </w:t>
      </w:r>
      <w:r w:rsidRPr="009B2BA7">
        <w:rPr>
          <w:rtl/>
          <w:lang w:bidi="ar-SA"/>
        </w:rPr>
        <w:t xml:space="preserve">ونظرًا للوضع الاقتصادي الصعب الذي تعيشه فرق كرة القدم في إسرائيل ومن أجل الحفاظ على استقرارها المالي، أنشأ الاتحاد العام سلطة مراقبة الميزانيات في عام 1992. </w:t>
      </w:r>
      <w:r w:rsidRPr="009B2BA7">
        <w:rPr>
          <w:rFonts w:hint="cs"/>
          <w:rtl/>
          <w:lang w:bidi="ar-SA"/>
        </w:rPr>
        <w:t>من خلال مراجعة</w:t>
      </w:r>
      <w:r w:rsidRPr="009B2BA7">
        <w:rPr>
          <w:rtl/>
          <w:lang w:bidi="ar-SA"/>
        </w:rPr>
        <w:t xml:space="preserve"> ما يقرب 22 عامًا منذ موسم مباريات كرة القدم 1999/2000 حتى موسم عام </w:t>
      </w:r>
      <w:r w:rsidRPr="009B2BA7">
        <w:rPr>
          <w:rtl/>
        </w:rPr>
        <w:t>22/</w:t>
      </w:r>
      <w:r w:rsidRPr="009B2BA7">
        <w:rPr>
          <w:rtl/>
          <w:lang w:bidi="ar-SA"/>
        </w:rPr>
        <w:t xml:space="preserve">23، </w:t>
      </w:r>
      <w:r w:rsidRPr="009B2BA7">
        <w:rPr>
          <w:rFonts w:hint="cs"/>
          <w:rtl/>
          <w:lang w:bidi="ar-SA"/>
        </w:rPr>
        <w:t xml:space="preserve">يتبين </w:t>
      </w:r>
      <w:r w:rsidRPr="009B2BA7">
        <w:rPr>
          <w:rtl/>
          <w:lang w:bidi="ar-SA"/>
        </w:rPr>
        <w:t xml:space="preserve">إن العجز في رأس المال الإجمالي لفرق دوريين المحترفين الاثنين ليس صغيرا، بل ارتفع من 237 مليون </w:t>
      </w:r>
      <w:r w:rsidRPr="009B2BA7">
        <w:rPr>
          <w:rFonts w:hint="cs"/>
          <w:rtl/>
          <w:lang w:bidi="ar-SA"/>
        </w:rPr>
        <w:t>شاقل</w:t>
      </w:r>
      <w:r w:rsidRPr="009B2BA7">
        <w:rPr>
          <w:rtl/>
          <w:lang w:bidi="ar-SA"/>
        </w:rPr>
        <w:t xml:space="preserve"> إلى 281 مليون </w:t>
      </w:r>
      <w:r w:rsidRPr="009B2BA7">
        <w:rPr>
          <w:rFonts w:hint="cs"/>
          <w:rtl/>
          <w:lang w:bidi="ar-SA"/>
        </w:rPr>
        <w:t>شاقل</w:t>
      </w:r>
      <w:r w:rsidRPr="009B2BA7">
        <w:rPr>
          <w:rtl/>
          <w:lang w:bidi="ar-SA"/>
        </w:rPr>
        <w:t xml:space="preserve"> (زيادة بنحو 18.5%، بحسب مؤشر أيار/مايو 2023). وفي الرقابة تم تحليل التقارير المالية لـ 28 فريقا في دوري الدرجة الممتازة والدوري الوطني لموسم 22/23 الخاضعين للوائح الرقابة، وتبين أن 19 من هذه الفرق كانت أسهمها المالية الذاتية سلبية هذا الموسم، حيث بلغت قيمتها حوالي 326 مليون </w:t>
      </w:r>
      <w:r w:rsidRPr="009B2BA7">
        <w:rPr>
          <w:rFonts w:hint="cs"/>
          <w:rtl/>
          <w:lang w:bidi="ar-SA"/>
        </w:rPr>
        <w:t>شاقل</w:t>
      </w:r>
      <w:r w:rsidRPr="009B2BA7">
        <w:rPr>
          <w:rtl/>
          <w:lang w:bidi="ar-SA"/>
        </w:rPr>
        <w:t>.</w:t>
      </w:r>
      <w:r w:rsidRPr="009B2BA7">
        <w:rPr>
          <w:rtl/>
        </w:rPr>
        <w:t xml:space="preserve"> </w:t>
      </w:r>
      <w:r w:rsidRPr="009B2BA7">
        <w:rPr>
          <w:rtl/>
          <w:lang w:bidi="ar-SA"/>
        </w:rPr>
        <w:t xml:space="preserve">وهذا الاتجاه هو عكس الاتجاه المتوقع في ظل </w:t>
      </w:r>
      <w:r w:rsidRPr="009B2BA7">
        <w:rPr>
          <w:rtl/>
          <w:lang w:bidi="ar-SA"/>
        </w:rPr>
        <w:t xml:space="preserve">إنشاء السلطة، حيث </w:t>
      </w:r>
      <w:r w:rsidRPr="009B2BA7">
        <w:rPr>
          <w:rtl/>
          <w:lang w:bidi="ar-SA"/>
        </w:rPr>
        <w:t>أنها</w:t>
      </w:r>
      <w:r w:rsidRPr="009B2BA7">
        <w:rPr>
          <w:rtl/>
          <w:lang w:bidi="ar-SA"/>
        </w:rPr>
        <w:t xml:space="preserve"> نشأت كما ذكرنا على خلفية الوضع الاقتصادي الصعب الذي تعيشه فرق كرة القدم في إسرائيل </w:t>
      </w:r>
      <w:r w:rsidRPr="009B2BA7">
        <w:rPr>
          <w:rFonts w:hint="cs"/>
          <w:rtl/>
          <w:lang w:bidi="ar-SA"/>
        </w:rPr>
        <w:t>وبغية</w:t>
      </w:r>
      <w:r w:rsidRPr="009B2BA7">
        <w:rPr>
          <w:rtl/>
          <w:lang w:bidi="ar-SA"/>
        </w:rPr>
        <w:t xml:space="preserve"> الحفاظ على استقرارها المالي. وبذلك لم تحقق السلطة الهدف الذي أنشئت من أجله. الاتجاه الدولي الذي يقوده الاتحاد الأوروبي لكرة القدم في لوائح ترخيص الأندية هو تحسين الوضع المالي للفرق المشاركة في المسابقات التي ينظمها، مع تحديد الأهداف ومتطلبات عتبة الحد الأدنى المالية للفرق. وفقًا للوائح مراقبة الميزانية (التي وضعها الاتحاد العام لكرة القدم في إسرائيل) لا يوجد عائق أمام الفريق الذي لا يستوفي القواعد لتقليص الديون السابقة أو تقليص العجز في رأس المال الذاتي، بأن تشارك في الدوري.</w:t>
      </w:r>
      <w:r w:rsidRPr="009B2BA7">
        <w:rPr>
          <w:rtl/>
        </w:rPr>
        <w:t xml:space="preserve"> </w:t>
      </w:r>
      <w:r w:rsidRPr="009B2BA7">
        <w:rPr>
          <w:rtl/>
          <w:lang w:bidi="ar-SA"/>
        </w:rPr>
        <w:t>من المستحسن أن يدرس الاتحاد العام طرقًا ووسائل إضافية لتشجيع الفرق على تحسين متانتها المالية، ومن بين أمور أخرى يُقترح النظر، وفقًا لروح قواعد الاتحاد الأوروبي لكرة القدم، في جعل مشاركة فرق كرة القدم في الدوري مشروطة بتقليص العجز في رأس مالها الذاتي أو تحسين النسب المالية التي سيتم تحديدها مسبقًا، مثل النسبة الجارية. كما يتوجب على الاتحاد أن يحدد في لوائح نظامه الداخلي قواعدا تضمن تحويل إيرادات أقسام الشبيبة إلى وجهتها وعدم تحويلها لصالح أنشطة أخرى، وأن تقوم السلطة بمراقبة ذلك. يمكن أن يمنع ذلك الضرر الذي يلحق بقسم الشبيبة وتطوير هذا القسم. ويوصى بأن يطلب الاتحاد بأن يتلقى من السلطة على الأقل معلومات مالية مجمعة عن جميع الفرق معًا، وفقًا لمقاييس مختلفة أو حسب مؤشرات ونسب مالية. يوصى أيضًا بنشر المعلومات للجمهور على موقع الاتحاد على شبكة الانترنت.</w:t>
      </w:r>
    </w:p>
    <w:p w:rsidR="00513B88" w:rsidRPr="009B2BA7" w:rsidP="00513B88" w14:paraId="530DE741" w14:textId="77777777">
      <w:pPr>
        <w:pStyle w:val="7190"/>
        <w:rPr>
          <w:rtl/>
        </w:rPr>
      </w:pPr>
      <w:r w:rsidRPr="009B2BA7">
        <w:rPr>
          <w:rtl/>
          <w:lang w:bidi="ar-SA"/>
        </w:rPr>
        <w:t xml:space="preserve">تحظى الوحدة المركزية لإنفاذ القانون والتحقيقات في وزارة الزراعة بأهمية كبيرة نظرا لضلوعها في إنفاذ القانون في الأمور المتعلقة بصحة الجمهور وصحة ورعاية الحيوانات وحماية النباتات الزراعية من الآفات. كشفت الرقابة </w:t>
      </w:r>
      <w:r w:rsidRPr="00513B88">
        <w:rPr>
          <w:rFonts w:hint="cs"/>
          <w:b/>
          <w:bCs/>
          <w:rtl/>
          <w:lang w:bidi="ar-SA"/>
        </w:rPr>
        <w:t>على ا</w:t>
      </w:r>
      <w:r w:rsidRPr="00513B88">
        <w:rPr>
          <w:b/>
          <w:bCs/>
          <w:rtl/>
          <w:lang w:bidi="ar-SA"/>
        </w:rPr>
        <w:t xml:space="preserve">لوحدة المركزية لإنفاذ القانون والتحقيقات في وزارة الزراعة </w:t>
      </w:r>
      <w:r w:rsidRPr="009B2BA7">
        <w:rPr>
          <w:rtl/>
          <w:lang w:bidi="ar-SA"/>
        </w:rPr>
        <w:t>أنه خلال الأعوام 2018 – 2022 تم فتح نحو 20 ألف حدثًا في منظومة مراقبة الثروة النباتية والحيوانية، وفي حالة 21% منها (حوالي 5000 حدثًا) تم القيام بفتح تحقيق. في تلك السنوات، فرضت وزارة الزراعة غرامات إدارية بقيمة إجمالية بلغت حوالي 23 مليون</w:t>
      </w:r>
      <w:r w:rsidRPr="009B2BA7">
        <w:rPr>
          <w:rFonts w:hint="cs"/>
          <w:rtl/>
        </w:rPr>
        <w:t xml:space="preserve"> </w:t>
      </w:r>
      <w:r w:rsidRPr="009B2BA7">
        <w:rPr>
          <w:rFonts w:hint="cs"/>
          <w:rtl/>
          <w:lang w:bidi="ar-SA"/>
        </w:rPr>
        <w:t xml:space="preserve">شاقل </w:t>
      </w:r>
      <w:r w:rsidRPr="009B2BA7">
        <w:rPr>
          <w:rtl/>
          <w:lang w:bidi="ar-SA"/>
        </w:rPr>
        <w:t>في المناطق التي تقع تحت مسؤولية منظومة مراقبة الثروة النباتية والحيوانية.</w:t>
      </w:r>
      <w:r w:rsidRPr="009B2BA7">
        <w:rPr>
          <w:rtl/>
        </w:rPr>
        <w:t xml:space="preserve"> </w:t>
      </w:r>
      <w:r w:rsidRPr="009B2BA7">
        <w:rPr>
          <w:rtl/>
          <w:lang w:bidi="ar-SA"/>
        </w:rPr>
        <w:t>وفي الأعوام 2019 - 2022، تم توثيق ما يقرب من 39,000 عملية نقل لمنتجات نباتية من السلطة الفلسطينية إلى إسرائيل في معابر البضائع بين إسرائيل ويهودا والسامرة. في الرقابة، طُرحت أوجه القصور التي تتيح نقل بضائع بشكل غير خاضع للرقابة بين إسرائيل والسلطة الفلسطينية، بما في ذلك البنية التحتية المادية غير المناسبة في معابر البضائع، ونقص تبادل المعلومات وعدم تزامن أنظمة المعلومات بين الهيئات العاملة في المعابر – سلطة المعابر البرية في وزارة الدفاع والجمارك ووحدة منظومة مراقبة الثروة النباتية والحيوانية. في ظل هذا الوضع، من الصعب للغاية منع ظاهرة تهريب وتبييض المنتجات الزراعية والسوق السوداء وعدم الرأفة بالحيوانات. كذلك، وفي مجموعة واسعة من العينات - 40% من العينات المأخوذة في عام 2022 - تم العثور على تجاوزات لبقايا مبيدات حشرية وزراعية في المنتجات النباتية تم نقلها من السلطة الفلسطينية إلى إسرائيل</w:t>
      </w:r>
      <w:r w:rsidRPr="009B2BA7">
        <w:rPr>
          <w:rtl/>
        </w:rPr>
        <w:t xml:space="preserve">. </w:t>
      </w:r>
      <w:r w:rsidRPr="009B2BA7">
        <w:rPr>
          <w:rtl/>
          <w:lang w:bidi="ar-SA"/>
        </w:rPr>
        <w:t xml:space="preserve">يجب على وحدة مراقبة الثروة النباتية والحيوانية وسلطة المعابر البرية وسلطة الجمارك تعزيز التعاون بينها للتأكد من أن معابر البضائع قادرة على تحقيق هدفها - وهو منع النقل غير الخاضع للرقابة للسلع الزراعية بين إسرائيل والسلطة الفلسطينية، والتأكد من أن وحدة مراقبة الثروة النباتية والحيوانية لديها الأدوات اللازمة للقيام بوظيفتها. كما يجب على وزارة الصحة ووزارة الزراعة وسلطة المعابر البرية والجهاز الأمني فحص الآلية القائمة لنقل المنتجات النباتية من السلطة الفلسطينية إلى إسرائيل والعمل على تطبيق حلول للحد من هذه التجاوزات لبقايا المبيدات التي تم اكتشافها في المنتجات التي يتم نقلها من السلطة الفلسطينية. وتظهر نتائج الرقابة أيضًا أنه منذ سنوات يتم انتهاك نقاء الأخلاقيات من قبل موظفين ومديرين يعملون في وحدة مراقبة الثروة النباتية والحيوانية، وأنه على مر السنين تم تنفيذ العديد من الإجراءات التأديبية ضدهم لدى هيئة خدمات الدولة. ومن الناحية العملية، </w:t>
      </w:r>
      <w:r w:rsidRPr="009B2BA7">
        <w:rPr>
          <w:rFonts w:hint="cs"/>
          <w:rtl/>
          <w:lang w:bidi="ar-SA"/>
        </w:rPr>
        <w:t>تسبب هذا الأمر</w:t>
      </w:r>
      <w:r w:rsidRPr="009B2BA7">
        <w:rPr>
          <w:rtl/>
          <w:lang w:bidi="ar-SA"/>
        </w:rPr>
        <w:t xml:space="preserve"> </w:t>
      </w:r>
      <w:r w:rsidRPr="009B2BA7">
        <w:rPr>
          <w:rFonts w:hint="cs"/>
          <w:rtl/>
          <w:lang w:bidi="ar-SA"/>
        </w:rPr>
        <w:t>ب</w:t>
      </w:r>
      <w:r w:rsidRPr="009B2BA7">
        <w:rPr>
          <w:rtl/>
          <w:lang w:bidi="ar-SA"/>
        </w:rPr>
        <w:t xml:space="preserve">إغلاق جهاز استخبارات الوحدة لأكثر من ثلاث سنوات، وتم بعد ذلك إنشاؤها بشكل محدود وغير فعال. يجب على وزير الزراعة ومدير عام وزارة الزراعة العمل على إحداث تغيير جوهري في وحدة مراقبة الثروة النباتية والحيوانية فيما يتعلق بطريقة إدارة الوحدة والالتزام بإجراءات عملها والقضاء على الحوادث التأديبية المتكررة وتحديد ترتيب </w:t>
      </w:r>
      <w:r w:rsidRPr="009B2BA7">
        <w:rPr>
          <w:rtl/>
          <w:lang w:bidi="ar-SA"/>
        </w:rPr>
        <w:t>أولوياتها وهيكلها التنظيمي. من شأن تعيين مدير جديد لوحدة مراقبة الثروة النباتية والحيوانية، كما تم القيام بذلك في أيلول/سبتمبر 2023، بالإضافة إلى القيام بالإجراءات الإضافية المطلوبة، بما في ذلك تحديد أهداف عمل للوحدة، والإشراف والرقابة المستمرة على تنفيذ هذه الأهداف، وكذلك فحص وتنفيذ توصيات شركة استشارية خارجية أن تساعد وزارة الزراعة في إحداث التغيير اللازم في عمل ومنتجات وحدة مراقبة الثروة النباتية والحيوانية. ينبغي القيام بذلك حتى تتمكن الوحدة من القيام بواجباتها على النحو الأمثل، وفي المقام الأول حماية صحة الجمهور وصحة ورفاهية الحيوانات وكذلك حماية النباتات.</w:t>
      </w:r>
    </w:p>
    <w:p w:rsidR="00513B88" w:rsidRPr="009B2BA7" w:rsidP="00513B88" w14:paraId="576D92C9" w14:textId="0757A03B">
      <w:pPr>
        <w:pStyle w:val="7190"/>
        <w:rPr>
          <w:rtl/>
        </w:rPr>
      </w:pPr>
      <w:r w:rsidRPr="009B2BA7">
        <w:rPr>
          <w:rFonts w:hint="cs"/>
          <w:rtl/>
          <w:lang w:bidi="ar-SA"/>
        </w:rPr>
        <w:t>توجد في</w:t>
      </w:r>
      <w:r w:rsidRPr="009B2BA7">
        <w:rPr>
          <w:rtl/>
          <w:lang w:bidi="ar-SA"/>
        </w:rPr>
        <w:t xml:space="preserve"> هذا التقرير </w:t>
      </w:r>
      <w:r w:rsidR="00AD2B44">
        <w:rPr>
          <w:rtl/>
          <w:lang w:bidi="ar-SA"/>
        </w:rPr>
        <w:t>ثلاثة</w:t>
      </w:r>
      <w:r w:rsidRPr="009B2BA7">
        <w:rPr>
          <w:rtl/>
          <w:lang w:bidi="ar-SA"/>
        </w:rPr>
        <w:t xml:space="preserve"> فصول تتعلق بوباء </w:t>
      </w:r>
      <w:r w:rsidRPr="009B2BA7">
        <w:rPr>
          <w:rtl/>
          <w:lang w:bidi="ar-SA"/>
        </w:rPr>
        <w:t>الكورونا</w:t>
      </w:r>
      <w:r w:rsidRPr="009B2BA7">
        <w:rPr>
          <w:rtl/>
          <w:lang w:bidi="ar-SA"/>
        </w:rPr>
        <w:t xml:space="preserve"> الذي تفشى في العالم في نهاية عام 2019: </w:t>
      </w:r>
      <w:r w:rsidRPr="00513B88">
        <w:rPr>
          <w:b/>
          <w:bCs/>
          <w:rtl/>
          <w:lang w:bidi="ar-SA"/>
        </w:rPr>
        <w:t xml:space="preserve">تطعيم السكان ضد </w:t>
      </w:r>
      <w:r w:rsidRPr="00513B88">
        <w:rPr>
          <w:b/>
          <w:bCs/>
          <w:rtl/>
          <w:lang w:bidi="ar-SA"/>
        </w:rPr>
        <w:t>ڤيروس</w:t>
      </w:r>
      <w:r w:rsidRPr="00513B88">
        <w:rPr>
          <w:b/>
          <w:bCs/>
          <w:rtl/>
          <w:lang w:bidi="ar-SA"/>
        </w:rPr>
        <w:t xml:space="preserve"> </w:t>
      </w:r>
      <w:r w:rsidRPr="00513B88">
        <w:rPr>
          <w:b/>
          <w:bCs/>
          <w:rtl/>
          <w:lang w:bidi="ar-SA"/>
        </w:rPr>
        <w:t>الكورونا</w:t>
      </w:r>
      <w:r w:rsidRPr="00513B88">
        <w:rPr>
          <w:b/>
          <w:bCs/>
          <w:rtl/>
          <w:lang w:bidi="ar-SA"/>
        </w:rPr>
        <w:t xml:space="preserve"> -</w:t>
      </w:r>
      <w:r w:rsidRPr="009B2BA7">
        <w:rPr>
          <w:rtl/>
          <w:lang w:bidi="ar-SA"/>
        </w:rPr>
        <w:t xml:space="preserve"> كان تطعيم السكان ضد </w:t>
      </w:r>
      <w:r w:rsidRPr="009B2BA7">
        <w:rPr>
          <w:rtl/>
          <w:lang w:bidi="ar-SA"/>
        </w:rPr>
        <w:t>ڤيروس</w:t>
      </w:r>
      <w:r w:rsidRPr="009B2BA7">
        <w:rPr>
          <w:rtl/>
          <w:lang w:bidi="ar-SA"/>
        </w:rPr>
        <w:t xml:space="preserve"> </w:t>
      </w:r>
      <w:r w:rsidRPr="009B2BA7">
        <w:rPr>
          <w:rFonts w:hint="cs"/>
          <w:rtl/>
          <w:lang w:bidi="ar-SA"/>
        </w:rPr>
        <w:t>ال</w:t>
      </w:r>
      <w:r w:rsidRPr="009B2BA7">
        <w:rPr>
          <w:rtl/>
          <w:lang w:bidi="ar-SA"/>
        </w:rPr>
        <w:t>كورونا</w:t>
      </w:r>
      <w:r w:rsidRPr="009B2BA7">
        <w:rPr>
          <w:rtl/>
          <w:lang w:bidi="ar-SA"/>
        </w:rPr>
        <w:t xml:space="preserve"> أحد الأدوات الرئيسية للتعامل مع </w:t>
      </w:r>
      <w:r w:rsidRPr="009B2BA7">
        <w:rPr>
          <w:rtl/>
          <w:lang w:bidi="ar-SA"/>
        </w:rPr>
        <w:t>الڤيروس</w:t>
      </w:r>
      <w:r w:rsidRPr="009B2BA7">
        <w:rPr>
          <w:rtl/>
          <w:lang w:bidi="ar-SA"/>
        </w:rPr>
        <w:t xml:space="preserve">، وكانت إسرائيل، وعلى رأسها وزارة الصحة، من أوائل الدول في العالم التي قامت بالتطعيم ضد </w:t>
      </w:r>
      <w:r w:rsidRPr="009B2BA7">
        <w:rPr>
          <w:rtl/>
          <w:lang w:bidi="ar-SA"/>
        </w:rPr>
        <w:t>الڤيروس</w:t>
      </w:r>
      <w:r w:rsidRPr="009B2BA7">
        <w:rPr>
          <w:rtl/>
          <w:lang w:bidi="ar-SA"/>
        </w:rPr>
        <w:t>، مما ساهم بشكل كبير في إنقاذ حياة آلاف الإسرائيليين. القيام بعملية التطعيم من قبل جهاز الصحة، خاصة في الأشهر الأولى من الحملة، حال دون الإضرار بصحة الجمهور، بل ويصح القول إنها أنقذت حياة الكثيرين، خاصة أولئك الذين تم تعريفهم على أنهم سكان في خطر- كبار السن وأولئك الذين كانوا يعانون من أمراض خلفية كامنة خطيرة.</w:t>
      </w:r>
      <w:r w:rsidRPr="009B2BA7">
        <w:rPr>
          <w:rtl/>
        </w:rPr>
        <w:t xml:space="preserve"> </w:t>
      </w:r>
      <w:r w:rsidRPr="009B2BA7">
        <w:rPr>
          <w:rtl/>
          <w:lang w:bidi="ar-SA"/>
        </w:rPr>
        <w:t xml:space="preserve">كما ضمنت حملة التطعيم عودة الاقتصاد إلى النشاط الكامل. وورد أن وزارة الصحة قامت بجمع البيانات حول الأعراض الجانبية من عدة قنوات للإبلاغ عن الأعراض، وقامت الهيئات الطبية بنقل معظم التقارير من خلال الواجهة إلى المنظومة المحوسبة للوزارة - منظومة </w:t>
      </w:r>
      <w:r w:rsidRPr="009B2BA7">
        <w:rPr>
          <w:rtl/>
          <w:lang w:bidi="ar-SA"/>
        </w:rPr>
        <w:t>ناحليئيلي</w:t>
      </w:r>
      <w:r w:rsidRPr="009B2BA7">
        <w:rPr>
          <w:rtl/>
          <w:lang w:bidi="ar-SA"/>
        </w:rPr>
        <w:t xml:space="preserve">. وقد كشفت الرقابة أنه بسبب أخطاء فنية في واجهة منظومة </w:t>
      </w:r>
      <w:r w:rsidRPr="009B2BA7">
        <w:rPr>
          <w:rtl/>
          <w:lang w:bidi="ar-SA"/>
        </w:rPr>
        <w:t>ناحليئيلي</w:t>
      </w:r>
      <w:r w:rsidRPr="009B2BA7">
        <w:rPr>
          <w:rtl/>
          <w:lang w:bidi="ar-SA"/>
        </w:rPr>
        <w:t xml:space="preserve"> فان نسبة كبيرة (82%) من البلاغات التي نقلتها الهيئات الطبية لم يتم استيعابها. كما أن وزارة الصحة لم تحلل نحو 33 ألف بلاغ وردت من الجمهور خلال عام 2021. وفي نهاية المطاف، تم استيعاب وتصنيف حوالي 55 ألف بلاغا فقط من البلاغات التي نقلتها الهيئات الطبية، وتناول معظمها أعراضا بسيطة، مثل القشعريرة وألم في موقع الحقن.</w:t>
      </w:r>
    </w:p>
    <w:p w:rsidR="00513B88" w:rsidRPr="009B2BA7" w:rsidP="00513B88" w14:paraId="21A5119F" w14:textId="77777777">
      <w:pPr>
        <w:pStyle w:val="7190"/>
        <w:rPr>
          <w:rtl/>
        </w:rPr>
      </w:pPr>
      <w:r w:rsidRPr="009B2BA7">
        <w:rPr>
          <w:rtl/>
          <w:lang w:bidi="ar-SA"/>
        </w:rPr>
        <w:t xml:space="preserve">وكشفت الرقابة أيضًا أنه في أعقاب وباء </w:t>
      </w:r>
      <w:r w:rsidRPr="009B2BA7">
        <w:rPr>
          <w:rtl/>
          <w:lang w:bidi="ar-SA"/>
        </w:rPr>
        <w:t>الكورونا</w:t>
      </w:r>
      <w:r w:rsidRPr="009B2BA7">
        <w:rPr>
          <w:rtl/>
          <w:lang w:bidi="ar-SA"/>
        </w:rPr>
        <w:t xml:space="preserve">، ارتفعت نسبة الآباء والأمهات (الذين شاركوا في استطلاع مراقب الدولة) الذين أعربوا عن خوفهم من حدوث ضرر دائم لأطفالهم نتيجة التطعيمات الروتينية - من حوالي 46% الذين أعربوا عن قلقهم في عام 2016 إلى حوالي 57% في عام 2022. كما أن نسبة الأطفال الذين تم تطعيمهم بجميع اللقاحات الروتينية المعروضة انخفضت في عام 2022 مقارنة بعام 2017 بمعدل يقارب نسبة 3 إلى 12 نقطة مئوية. ثقة الجمهور بجهاز الصحة، الخوف من الأعراض الجانبية للقاح </w:t>
      </w:r>
      <w:r w:rsidRPr="009B2BA7">
        <w:rPr>
          <w:rtl/>
          <w:lang w:bidi="ar-SA"/>
        </w:rPr>
        <w:t>الكورونا</w:t>
      </w:r>
      <w:r w:rsidRPr="009B2BA7">
        <w:rPr>
          <w:rtl/>
          <w:lang w:bidi="ar-SA"/>
        </w:rPr>
        <w:t xml:space="preserve">، والمعلومات الكاذبة التي انتشرت حول اللقاحات ضد </w:t>
      </w:r>
      <w:r w:rsidRPr="009B2BA7">
        <w:rPr>
          <w:rtl/>
          <w:lang w:bidi="ar-SA"/>
        </w:rPr>
        <w:t>الكورونا</w:t>
      </w:r>
      <w:r w:rsidRPr="009B2BA7">
        <w:rPr>
          <w:rtl/>
          <w:lang w:bidi="ar-SA"/>
        </w:rPr>
        <w:t xml:space="preserve"> – كل</w:t>
      </w:r>
      <w:r w:rsidRPr="009B2BA7">
        <w:rPr>
          <w:rFonts w:hint="cs"/>
          <w:rtl/>
          <w:lang w:bidi="ar-SA"/>
        </w:rPr>
        <w:t xml:space="preserve"> ذلك كان من بين</w:t>
      </w:r>
      <w:r w:rsidRPr="009B2BA7">
        <w:rPr>
          <w:rtl/>
          <w:lang w:bidi="ar-SA"/>
        </w:rPr>
        <w:t xml:space="preserve"> العوامل</w:t>
      </w:r>
      <w:r w:rsidRPr="009B2BA7">
        <w:rPr>
          <w:rFonts w:hint="cs"/>
          <w:rtl/>
          <w:lang w:bidi="ar-SA"/>
        </w:rPr>
        <w:t xml:space="preserve"> التي</w:t>
      </w:r>
      <w:r w:rsidRPr="009B2BA7">
        <w:rPr>
          <w:rtl/>
          <w:lang w:bidi="ar-SA"/>
        </w:rPr>
        <w:t xml:space="preserve"> من شأنها أن تؤثر على تطعيم السكان.</w:t>
      </w:r>
    </w:p>
    <w:p w:rsidR="00513B88" w:rsidRPr="009B2BA7" w:rsidP="00513B88" w14:paraId="54A1CA1E" w14:textId="47AAAC55">
      <w:pPr>
        <w:pStyle w:val="7190"/>
      </w:pPr>
      <w:r w:rsidRPr="009B2BA7">
        <w:rPr>
          <w:rtl/>
          <w:lang w:bidi="ar-SA"/>
        </w:rPr>
        <w:t xml:space="preserve">زيادة ثقة الجمهور في جهاز الصحة؛ استخلاص العبر والدروس من أزمة </w:t>
      </w:r>
      <w:r w:rsidRPr="009B2BA7">
        <w:rPr>
          <w:rtl/>
          <w:lang w:bidi="ar-SA"/>
        </w:rPr>
        <w:t>الكورونا</w:t>
      </w:r>
      <w:r w:rsidRPr="009B2BA7">
        <w:rPr>
          <w:rtl/>
          <w:lang w:bidi="ar-SA"/>
        </w:rPr>
        <w:t xml:space="preserve"> فيما يتعلق بتطعيم السكان، وعلى وجه الخصوص بلورة استراتيجية وخطة للتعامل مع المعلومات الكاذبة والاستعداد المستقبلي للتعامل مع الأحداث الوبائية – كل هذه العوامل هي من الركائز المهمة في قدرة وزارة الصحة على ضمان أن يتلقى مواطنو دولة إسرائيل اللقاحات اللازمة لحماية صحتهم: </w:t>
      </w:r>
      <w:r w:rsidRPr="00513B88">
        <w:rPr>
          <w:b/>
          <w:bCs/>
          <w:rtl/>
          <w:lang w:bidi="ar-SA"/>
        </w:rPr>
        <w:t xml:space="preserve">تطعيمات </w:t>
      </w:r>
      <w:r w:rsidRPr="00513B88">
        <w:rPr>
          <w:b/>
          <w:bCs/>
          <w:rtl/>
          <w:lang w:bidi="ar-SA"/>
        </w:rPr>
        <w:t>الكورونا</w:t>
      </w:r>
      <w:r w:rsidRPr="00513B88">
        <w:rPr>
          <w:b/>
          <w:bCs/>
          <w:rtl/>
          <w:lang w:bidi="ar-SA"/>
        </w:rPr>
        <w:t xml:space="preserve"> وفحوصات </w:t>
      </w:r>
      <w:r w:rsidRPr="00513B88">
        <w:rPr>
          <w:b/>
          <w:bCs/>
          <w:rtl/>
          <w:lang w:bidi="ar-SA"/>
        </w:rPr>
        <w:t>الكورونا</w:t>
      </w:r>
      <w:r w:rsidRPr="00513B88">
        <w:rPr>
          <w:b/>
          <w:bCs/>
          <w:rtl/>
          <w:lang w:bidi="ar-SA"/>
        </w:rPr>
        <w:t xml:space="preserve"> في جهاز التربية التعليم -</w:t>
      </w:r>
      <w:r w:rsidRPr="009B2BA7">
        <w:rPr>
          <w:rtl/>
          <w:lang w:bidi="ar-SA"/>
        </w:rPr>
        <w:t xml:space="preserve"> استعدادًا للعام الدراسي 20</w:t>
      </w:r>
      <w:r w:rsidRPr="009B2BA7">
        <w:rPr>
          <w:rtl/>
        </w:rPr>
        <w:t>22</w:t>
      </w:r>
      <w:r w:rsidRPr="009B2BA7">
        <w:rPr>
          <w:rtl/>
          <w:lang w:bidi="ar-SA"/>
        </w:rPr>
        <w:t>، في بداية أيلول/سبتمبر 2021، قررت الحكومة فتح جميع المدارس بعد حوالي عام عمل فيه جهاز التربية والتعليم عن طريق التعلم عن بعد بسبب الإغلاقات، أو عن طريق التعلم الذي يدمج ما بين التعلم عن بعد والتعليم في المدارس.</w:t>
      </w:r>
      <w:r w:rsidRPr="009B2BA7">
        <w:rPr>
          <w:rFonts w:hint="cs"/>
          <w:rtl/>
          <w:lang w:bidi="ar-SA"/>
        </w:rPr>
        <w:t xml:space="preserve"> كان التحدي الرئيسي الذي واجه </w:t>
      </w:r>
      <w:r w:rsidRPr="009B2BA7">
        <w:rPr>
          <w:rtl/>
          <w:lang w:bidi="ar-SA"/>
        </w:rPr>
        <w:t xml:space="preserve">جهاز التربية والتعليم في ذلك الوقت هو تمكين الطلاب من العودة للتعلم في المدارس والحفاظ على روتين الدراسة الاعتيادي فيها. وفقًا لقرارات الحكومة وإرشادات وزارة الصحة، كانت الإجراءات الرئيسية التي تهدف الى عودة الطلاب الكاملة للدراسة في المدارس عبارة عن </w:t>
      </w:r>
      <w:r w:rsidRPr="009B2BA7">
        <w:rPr>
          <w:rFonts w:hint="cs"/>
          <w:rtl/>
          <w:lang w:bidi="ar-SA"/>
        </w:rPr>
        <w:t>خطة</w:t>
      </w:r>
      <w:r w:rsidRPr="009B2BA7">
        <w:rPr>
          <w:rtl/>
          <w:lang w:bidi="ar-SA"/>
        </w:rPr>
        <w:t xml:space="preserve"> </w:t>
      </w:r>
      <w:r w:rsidRPr="009B2BA7">
        <w:rPr>
          <w:rFonts w:hint="cs"/>
          <w:rtl/>
          <w:lang w:bidi="ar-SA"/>
        </w:rPr>
        <w:t>ل</w:t>
      </w:r>
      <w:r w:rsidRPr="009B2BA7">
        <w:rPr>
          <w:rtl/>
          <w:lang w:bidi="ar-SA"/>
        </w:rPr>
        <w:t xml:space="preserve">تطعيم الطلاب في المدارس بالإضافة إلى </w:t>
      </w:r>
      <w:r w:rsidRPr="009B2BA7">
        <w:rPr>
          <w:rFonts w:hint="cs"/>
          <w:rtl/>
          <w:lang w:bidi="ar-SA"/>
        </w:rPr>
        <w:t>خطة لإجراء</w:t>
      </w:r>
      <w:r w:rsidRPr="009B2BA7">
        <w:rPr>
          <w:rtl/>
          <w:lang w:bidi="ar-SA"/>
        </w:rPr>
        <w:t xml:space="preserve"> فحوصات سريعة </w:t>
      </w:r>
      <w:r w:rsidRPr="009B2BA7">
        <w:rPr>
          <w:rFonts w:hint="cs"/>
          <w:rtl/>
          <w:lang w:bidi="ar-SA"/>
        </w:rPr>
        <w:t>للمضاد</w:t>
      </w:r>
      <w:r w:rsidRPr="009B2BA7">
        <w:rPr>
          <w:rFonts w:hint="eastAsia"/>
          <w:rtl/>
          <w:lang w:bidi="ar-SA"/>
        </w:rPr>
        <w:t>ات</w:t>
      </w:r>
      <w:r w:rsidRPr="009B2BA7">
        <w:rPr>
          <w:rFonts w:hint="cs"/>
          <w:rtl/>
          <w:lang w:bidi="ar-SA"/>
        </w:rPr>
        <w:t xml:space="preserve"> </w:t>
      </w:r>
      <w:r w:rsidRPr="009B2BA7">
        <w:rPr>
          <w:rtl/>
          <w:lang w:bidi="ar-SA"/>
        </w:rPr>
        <w:t xml:space="preserve">التي تهدف الى المساعدة في اكتشاف الطلاب المرضى وطواقم المعلمين وعزلهم. وكشفت الرقابة أنه تم تطعيم نسبة منخفضة من الطلاب من جميع الأعمار (4% منهم) ضمن </w:t>
      </w:r>
      <w:r w:rsidRPr="009B2BA7">
        <w:rPr>
          <w:rFonts w:hint="cs"/>
          <w:rtl/>
          <w:lang w:bidi="ar-SA"/>
        </w:rPr>
        <w:t xml:space="preserve">خطة </w:t>
      </w:r>
      <w:r w:rsidRPr="009B2BA7">
        <w:rPr>
          <w:rtl/>
          <w:lang w:bidi="ar-SA"/>
        </w:rPr>
        <w:t xml:space="preserve">التطعيم في المدارس، وهي نسبة تبيّن أن </w:t>
      </w:r>
      <w:r w:rsidRPr="009B2BA7">
        <w:rPr>
          <w:rFonts w:hint="cs"/>
          <w:rtl/>
          <w:lang w:bidi="ar-SA"/>
        </w:rPr>
        <w:t>خطة</w:t>
      </w:r>
      <w:r w:rsidRPr="009B2BA7">
        <w:rPr>
          <w:rtl/>
          <w:lang w:bidi="ar-SA"/>
        </w:rPr>
        <w:t xml:space="preserve"> التطعيم لم تحقق أهدافها.</w:t>
      </w:r>
      <w:r w:rsidRPr="009B2BA7">
        <w:t xml:space="preserve"> </w:t>
      </w:r>
      <w:r w:rsidRPr="009B2BA7">
        <w:rPr>
          <w:rtl/>
          <w:lang w:bidi="ar-SA"/>
        </w:rPr>
        <w:t xml:space="preserve">كما كانت مساهمة استخدام خطة </w:t>
      </w:r>
      <w:r w:rsidRPr="009B2BA7">
        <w:rPr>
          <w:rtl/>
          <w:lang w:bidi="ar-SA"/>
        </w:rPr>
        <w:t xml:space="preserve">الفحوصات منخفضة أيضًا وانعكست في انخفاض معدل المشاركة في استخدام هذه الفحوصات (شاركت نسبة 12% من المدارس في استخدام خطة "الحماية التعليمية" وشاركت نسبة 13% من الصفوف في استخدام خطة "الصف الأخضر") وكذلك في النسبة المنخفضة من تصريحات أولياء الأمور التي تم تقديمها كجزء من خطة استخدام الفحوصات- على سبيل المثال، في الخطة "نفحص ونتعلم"، بلغ متوسط نسبة أولياء الأمور الذين قدموا تصريحات في يوم تفعيل الخطة 21% من جميع أولياء الأمور الذين طلب منهم تقديم تصريحات. بالإضافة إلى المساهمة المحدودة لخطط الفحوصات والتطعيمات، كشفت الرقابة عن عدة أوجه من القصور والعيوب فيما يتعلق بنظام تفعيلها، من بين أمور أخرى في المواضيع التالية: إرشادات وزارة التربية والتعليم للمدارس لتفعيل خطط التطعيمات وفحوصات </w:t>
      </w:r>
      <w:r w:rsidRPr="009B2BA7">
        <w:rPr>
          <w:rtl/>
          <w:lang w:bidi="ar-SA"/>
        </w:rPr>
        <w:t>الكورونا</w:t>
      </w:r>
      <w:r w:rsidRPr="009B2BA7">
        <w:rPr>
          <w:rtl/>
          <w:lang w:bidi="ar-SA"/>
        </w:rPr>
        <w:t xml:space="preserve">، توزيع عُدد مجموعات </w:t>
      </w:r>
      <w:r w:rsidRPr="009B2BA7">
        <w:rPr>
          <w:rFonts w:hint="cs"/>
          <w:rtl/>
          <w:lang w:bidi="ar-SA"/>
        </w:rPr>
        <w:t>فحص المضاد</w:t>
      </w:r>
      <w:r w:rsidRPr="009B2BA7">
        <w:rPr>
          <w:rFonts w:hint="eastAsia"/>
          <w:rtl/>
          <w:lang w:bidi="ar-SA"/>
        </w:rPr>
        <w:t>ات</w:t>
      </w:r>
      <w:r w:rsidRPr="009B2BA7">
        <w:rPr>
          <w:rtl/>
          <w:lang w:bidi="ar-SA"/>
        </w:rPr>
        <w:t xml:space="preserve">، تصريحات أولياء الأمور حول إجراء فحوصات </w:t>
      </w:r>
      <w:r w:rsidRPr="009B2BA7">
        <w:rPr>
          <w:rtl/>
          <w:lang w:bidi="ar-SA"/>
        </w:rPr>
        <w:t>الكورونا</w:t>
      </w:r>
      <w:r w:rsidRPr="009B2BA7">
        <w:rPr>
          <w:rtl/>
          <w:lang w:bidi="ar-SA"/>
        </w:rPr>
        <w:t xml:space="preserve"> للطلاب، الاعلام والتشجيع على التطعيم.</w:t>
      </w:r>
      <w:r w:rsidRPr="009B2BA7">
        <w:rPr>
          <w:rtl/>
        </w:rPr>
        <w:t xml:space="preserve"> </w:t>
      </w:r>
      <w:r w:rsidRPr="009B2BA7">
        <w:rPr>
          <w:rtl/>
          <w:lang w:bidi="ar-SA"/>
        </w:rPr>
        <w:t>يجب على وزارة التربية والتعليم بالتعاون مع وزارة الصحة استخلاص الدروس والعبر من تطبيق خطط استخدام الفحوصات والتطعيمات للطلاب خلال العام الدراسي 20</w:t>
      </w:r>
      <w:r w:rsidRPr="009B2BA7">
        <w:rPr>
          <w:rtl/>
        </w:rPr>
        <w:t>22</w:t>
      </w:r>
      <w:r w:rsidRPr="009B2BA7">
        <w:rPr>
          <w:rtl/>
          <w:lang w:bidi="ar-SA"/>
        </w:rPr>
        <w:t xml:space="preserve">، والعمل على تصحيح النواقص والعيوب التي أثيرت في هذا التقرير، وكذلك دراسة كيفية تطبيق التوصيات، بنظرة استشرافية، لغرض زيادة فعالية خطط الفحوصات والتطعيمات في إطار الاستعداد لتفشي وباء آخر </w:t>
      </w:r>
      <w:r w:rsidRPr="009B2BA7">
        <w:rPr>
          <w:rtl/>
          <w:lang w:bidi="ar-SA"/>
        </w:rPr>
        <w:t>لڤيروس</w:t>
      </w:r>
      <w:r w:rsidRPr="009B2BA7">
        <w:rPr>
          <w:rtl/>
          <w:lang w:bidi="ar-SA"/>
        </w:rPr>
        <w:t xml:space="preserve"> </w:t>
      </w:r>
      <w:r w:rsidRPr="009B2BA7">
        <w:rPr>
          <w:rtl/>
          <w:lang w:bidi="ar-SA"/>
        </w:rPr>
        <w:t>الكورونا</w:t>
      </w:r>
      <w:r w:rsidRPr="009B2BA7">
        <w:rPr>
          <w:rtl/>
          <w:lang w:bidi="ar-SA"/>
        </w:rPr>
        <w:t xml:space="preserve"> أو تفشي وباء آخر؛ </w:t>
      </w:r>
      <w:r w:rsidRPr="00513B88">
        <w:rPr>
          <w:b/>
          <w:bCs/>
          <w:rtl/>
          <w:lang w:bidi="ar-SA"/>
        </w:rPr>
        <w:t xml:space="preserve">تفعيل نظام فحوصات </w:t>
      </w:r>
      <w:r w:rsidRPr="00513B88">
        <w:rPr>
          <w:rFonts w:hint="cs"/>
          <w:b/>
          <w:bCs/>
          <w:rtl/>
          <w:lang w:bidi="ar-SA"/>
        </w:rPr>
        <w:t>المضاد</w:t>
      </w:r>
      <w:r w:rsidRPr="00513B88">
        <w:rPr>
          <w:rFonts w:hint="eastAsia"/>
          <w:b/>
          <w:bCs/>
          <w:rtl/>
          <w:lang w:bidi="ar-SA"/>
        </w:rPr>
        <w:t>ات</w:t>
      </w:r>
      <w:r w:rsidRPr="00513B88">
        <w:rPr>
          <w:b/>
          <w:bCs/>
          <w:rtl/>
          <w:lang w:bidi="ar-SA"/>
        </w:rPr>
        <w:t xml:space="preserve"> المؤسسية والاعتراف بها كفحوصات تشخيصية </w:t>
      </w:r>
      <w:r w:rsidRPr="00513B88">
        <w:rPr>
          <w:b/>
          <w:bCs/>
          <w:rtl/>
          <w:lang w:bidi="ar-SA"/>
        </w:rPr>
        <w:t>لڤيروس</w:t>
      </w:r>
      <w:r w:rsidRPr="00513B88">
        <w:rPr>
          <w:b/>
          <w:bCs/>
          <w:rtl/>
          <w:lang w:bidi="ar-SA"/>
        </w:rPr>
        <w:t xml:space="preserve"> </w:t>
      </w:r>
      <w:r w:rsidRPr="00513B88">
        <w:rPr>
          <w:b/>
          <w:bCs/>
          <w:rtl/>
          <w:lang w:bidi="ar-SA"/>
        </w:rPr>
        <w:t>الكورونا</w:t>
      </w:r>
      <w:r w:rsidRPr="00513B88">
        <w:rPr>
          <w:b/>
          <w:bCs/>
          <w:rtl/>
          <w:lang w:bidi="ar-SA"/>
        </w:rPr>
        <w:t xml:space="preserve"> </w:t>
      </w:r>
      <w:r>
        <w:rPr>
          <w:rFonts w:hint="cs"/>
          <w:b/>
          <w:bCs/>
          <w:rtl/>
        </w:rPr>
        <w:t>-</w:t>
      </w:r>
      <w:r w:rsidRPr="00513B88">
        <w:rPr>
          <w:rtl/>
          <w:lang w:bidi="ar-SA"/>
        </w:rPr>
        <w:t xml:space="preserve"> </w:t>
      </w:r>
      <w:r w:rsidRPr="009B2BA7">
        <w:rPr>
          <w:rtl/>
          <w:lang w:bidi="ar-SA"/>
        </w:rPr>
        <w:t xml:space="preserve">تفشى </w:t>
      </w:r>
      <w:r w:rsidRPr="009B2BA7">
        <w:rPr>
          <w:rtl/>
          <w:lang w:bidi="ar-SA"/>
        </w:rPr>
        <w:t>ڤيروس</w:t>
      </w:r>
      <w:r w:rsidRPr="009B2BA7">
        <w:rPr>
          <w:rtl/>
          <w:lang w:bidi="ar-SA"/>
        </w:rPr>
        <w:t xml:space="preserve"> كورونا في إسرائيل في آذار/مارس 2020.</w:t>
      </w:r>
      <w:r w:rsidRPr="009B2BA7">
        <w:rPr>
          <w:rtl/>
        </w:rPr>
        <w:t xml:space="preserve"> </w:t>
      </w:r>
      <w:r w:rsidRPr="009B2BA7">
        <w:rPr>
          <w:rFonts w:hint="cs"/>
          <w:rtl/>
          <w:lang w:bidi="ar-SA"/>
        </w:rPr>
        <w:t xml:space="preserve">كان لإنشاء نظام </w:t>
      </w:r>
      <w:r w:rsidRPr="009B2BA7">
        <w:rPr>
          <w:rtl/>
          <w:lang w:bidi="ar-SA"/>
        </w:rPr>
        <w:t xml:space="preserve">الفحوصات لتشخيص الإصابة </w:t>
      </w:r>
      <w:r w:rsidRPr="009B2BA7">
        <w:rPr>
          <w:rtl/>
          <w:lang w:bidi="ar-SA"/>
        </w:rPr>
        <w:t>بڤيروس</w:t>
      </w:r>
      <w:r w:rsidRPr="009B2BA7">
        <w:rPr>
          <w:rtl/>
          <w:lang w:bidi="ar-SA"/>
        </w:rPr>
        <w:t xml:space="preserve"> </w:t>
      </w:r>
      <w:r w:rsidRPr="009B2BA7">
        <w:rPr>
          <w:rtl/>
          <w:lang w:bidi="ar-SA"/>
        </w:rPr>
        <w:t>الكورونا</w:t>
      </w:r>
      <w:r w:rsidRPr="009B2BA7">
        <w:rPr>
          <w:rtl/>
          <w:lang w:bidi="ar-SA"/>
        </w:rPr>
        <w:t xml:space="preserve"> وتفعيله </w:t>
      </w:r>
      <w:r w:rsidRPr="009B2BA7">
        <w:rPr>
          <w:rFonts w:hint="cs"/>
          <w:rtl/>
          <w:lang w:bidi="ar-SA"/>
        </w:rPr>
        <w:t>دور مركزي</w:t>
      </w:r>
      <w:r w:rsidRPr="009B2BA7">
        <w:rPr>
          <w:rtl/>
          <w:lang w:bidi="ar-SA"/>
        </w:rPr>
        <w:t xml:space="preserve"> في التعامل مع هذا </w:t>
      </w:r>
      <w:r w:rsidRPr="009B2BA7">
        <w:rPr>
          <w:rtl/>
          <w:lang w:bidi="ar-SA"/>
        </w:rPr>
        <w:t>الڤيروس</w:t>
      </w:r>
      <w:r w:rsidRPr="009B2BA7">
        <w:rPr>
          <w:rtl/>
          <w:lang w:bidi="ar-SA"/>
        </w:rPr>
        <w:t xml:space="preserve"> في جميع أنحاء العالم وفي إسرائيل. إن القدرة على نشر محطات فحوصات </w:t>
      </w:r>
      <w:r w:rsidRPr="009B2BA7">
        <w:rPr>
          <w:rFonts w:hint="cs"/>
          <w:rtl/>
          <w:lang w:bidi="ar-SA"/>
        </w:rPr>
        <w:t>المضاد</w:t>
      </w:r>
      <w:r w:rsidRPr="009B2BA7">
        <w:rPr>
          <w:rFonts w:hint="eastAsia"/>
          <w:rtl/>
          <w:lang w:bidi="ar-SA"/>
        </w:rPr>
        <w:t>ات</w:t>
      </w:r>
      <w:r w:rsidRPr="009B2BA7">
        <w:rPr>
          <w:rtl/>
          <w:lang w:bidi="ar-SA"/>
        </w:rPr>
        <w:t xml:space="preserve"> بالسرعة المطلوبة لتزويد الجمهور بخدمة فعالة ومنصفة وعالية الجودة اكتسبت أهمية جديدة </w:t>
      </w:r>
      <w:r w:rsidRPr="009B2BA7">
        <w:rPr>
          <w:rFonts w:hint="cs"/>
          <w:rtl/>
          <w:lang w:bidi="ar-SA"/>
        </w:rPr>
        <w:t>حيث دار الحديث</w:t>
      </w:r>
      <w:r w:rsidRPr="009B2BA7">
        <w:rPr>
          <w:rtl/>
          <w:lang w:bidi="ar-SA"/>
        </w:rPr>
        <w:t xml:space="preserve"> </w:t>
      </w:r>
      <w:r w:rsidRPr="009B2BA7">
        <w:rPr>
          <w:rFonts w:hint="cs"/>
          <w:rtl/>
          <w:lang w:bidi="ar-SA"/>
        </w:rPr>
        <w:t>حول</w:t>
      </w:r>
      <w:r w:rsidRPr="009B2BA7">
        <w:rPr>
          <w:rtl/>
          <w:lang w:bidi="ar-SA"/>
        </w:rPr>
        <w:t xml:space="preserve"> تقديم خدمة </w:t>
      </w:r>
      <w:r w:rsidRPr="009B2BA7">
        <w:rPr>
          <w:rFonts w:hint="cs"/>
          <w:rtl/>
          <w:lang w:bidi="ar-SA"/>
        </w:rPr>
        <w:t>مسّت</w:t>
      </w:r>
      <w:r w:rsidRPr="009B2BA7">
        <w:rPr>
          <w:rtl/>
          <w:lang w:bidi="ar-SA"/>
        </w:rPr>
        <w:t xml:space="preserve"> جميع السكان و</w:t>
      </w:r>
      <w:r w:rsidRPr="009B2BA7">
        <w:rPr>
          <w:rFonts w:hint="cs"/>
          <w:rtl/>
          <w:lang w:bidi="ar-SA"/>
        </w:rPr>
        <w:t>أثرت</w:t>
      </w:r>
      <w:r w:rsidRPr="009B2BA7">
        <w:rPr>
          <w:rtl/>
          <w:lang w:bidi="ar-SA"/>
        </w:rPr>
        <w:t xml:space="preserve"> على الحياة اليومية، مما أتاح العودة إلى الحياة الروتينية جنبا الى جنب مع وجود </w:t>
      </w:r>
      <w:r w:rsidRPr="009B2BA7">
        <w:rPr>
          <w:rtl/>
          <w:lang w:bidi="ar-SA"/>
        </w:rPr>
        <w:t>ڤيروس</w:t>
      </w:r>
      <w:r w:rsidRPr="009B2BA7">
        <w:rPr>
          <w:rtl/>
          <w:lang w:bidi="ar-SA"/>
        </w:rPr>
        <w:t xml:space="preserve"> </w:t>
      </w:r>
      <w:r w:rsidRPr="009B2BA7">
        <w:rPr>
          <w:rtl/>
          <w:lang w:bidi="ar-SA"/>
        </w:rPr>
        <w:t>الكورونا</w:t>
      </w:r>
      <w:r w:rsidRPr="009B2BA7">
        <w:rPr>
          <w:rtl/>
          <w:lang w:bidi="ar-SA"/>
        </w:rPr>
        <w:t xml:space="preserve">. وكشفت الرقابة أنه على الرغم من ارتفاع معدل انتشار الوباء من موجة إلى أخرى، فإن وزارة الصحة لم تكن مستعدة حتى شهر كانون ثاني/يناير 2022 لزيادة عدد الفحوصات اليومية لتشخيص </w:t>
      </w:r>
      <w:r w:rsidRPr="009B2BA7">
        <w:rPr>
          <w:rtl/>
          <w:lang w:bidi="ar-SA"/>
        </w:rPr>
        <w:t>الكورونا</w:t>
      </w:r>
      <w:r w:rsidRPr="009B2BA7">
        <w:rPr>
          <w:rtl/>
          <w:lang w:bidi="ar-SA"/>
        </w:rPr>
        <w:t xml:space="preserve"> من خلال إضافة فحوصات </w:t>
      </w:r>
      <w:r w:rsidRPr="009B2BA7">
        <w:rPr>
          <w:rFonts w:hint="cs"/>
          <w:rtl/>
          <w:lang w:bidi="ar-SA"/>
        </w:rPr>
        <w:t>المضاد</w:t>
      </w:r>
      <w:r w:rsidRPr="009B2BA7">
        <w:rPr>
          <w:rFonts w:hint="eastAsia"/>
          <w:rtl/>
          <w:lang w:bidi="ar-SA"/>
        </w:rPr>
        <w:t>ات</w:t>
      </w:r>
      <w:r w:rsidRPr="009B2BA7">
        <w:rPr>
          <w:rtl/>
          <w:lang w:bidi="ar-SA"/>
        </w:rPr>
        <w:t xml:space="preserve"> المؤسسية </w:t>
      </w:r>
      <w:r w:rsidRPr="009B2BA7">
        <w:rPr>
          <w:rFonts w:hint="cs"/>
          <w:rtl/>
          <w:lang w:bidi="ar-SA"/>
        </w:rPr>
        <w:t>ل</w:t>
      </w:r>
      <w:r w:rsidRPr="009B2BA7">
        <w:rPr>
          <w:rtl/>
          <w:lang w:bidi="ar-SA"/>
        </w:rPr>
        <w:t xml:space="preserve">فحوصات الـ </w:t>
      </w:r>
      <w:r w:rsidRPr="009B2BA7">
        <w:t>PCR</w:t>
      </w:r>
      <w:r w:rsidRPr="009B2BA7">
        <w:rPr>
          <w:rtl/>
          <w:lang w:bidi="ar-SA"/>
        </w:rPr>
        <w:t xml:space="preserve">، وهذا أدى إلى توزيع دون المستوى الأمثل لمحطات أخذ العينات والانتظار في الأدوار. إن إنشاء بنية تحتية تسمح لوزارة الصحة بتقديم استجابة سريعة وعالية الجودة في أوقات الطوارئ هو أمر ضروري لجهاز الصحة للتعامل مع حالات الطوارئ المستقبلية وسيساهم ذلك في الحفاظ على صحة الجمهور. </w:t>
      </w:r>
    </w:p>
    <w:p w:rsidR="00513B88" w:rsidRPr="009B2BA7" w:rsidP="00513B88" w14:paraId="5DD3B411" w14:textId="77777777">
      <w:pPr>
        <w:pStyle w:val="7190"/>
        <w:rPr>
          <w:rtl/>
        </w:rPr>
      </w:pPr>
      <w:r w:rsidRPr="009B2BA7">
        <w:rPr>
          <w:rtl/>
          <w:lang w:bidi="ar-SA"/>
        </w:rPr>
        <w:t xml:space="preserve">يعرض هذا التقرير أيضًا نتائج </w:t>
      </w:r>
      <w:r w:rsidRPr="009B2BA7">
        <w:rPr>
          <w:rFonts w:hint="cs"/>
          <w:rtl/>
          <w:lang w:bidi="ar-SA"/>
        </w:rPr>
        <w:t xml:space="preserve">ثلاث </w:t>
      </w:r>
      <w:r w:rsidRPr="009B2BA7">
        <w:rPr>
          <w:rFonts w:hint="cs"/>
          <w:rtl/>
          <w:lang w:bidi="ar-SA"/>
        </w:rPr>
        <w:t>رقابات</w:t>
      </w:r>
      <w:r w:rsidRPr="009B2BA7">
        <w:rPr>
          <w:rtl/>
          <w:lang w:bidi="ar-SA"/>
        </w:rPr>
        <w:t xml:space="preserve"> متابعة - </w:t>
      </w:r>
      <w:r w:rsidRPr="00513B88">
        <w:rPr>
          <w:b/>
          <w:bCs/>
          <w:rtl/>
          <w:lang w:bidi="ar-SA"/>
        </w:rPr>
        <w:t xml:space="preserve">نظام دفن الموتى في إسرائيل؛ فحوصات </w:t>
      </w:r>
      <w:r w:rsidRPr="00513B88">
        <w:rPr>
          <w:rFonts w:hint="cs"/>
          <w:b/>
          <w:bCs/>
          <w:rtl/>
          <w:lang w:bidi="ar-SA"/>
        </w:rPr>
        <w:t>التصوير الط</w:t>
      </w:r>
      <w:r w:rsidRPr="00513B88">
        <w:rPr>
          <w:rFonts w:hint="eastAsia"/>
          <w:b/>
          <w:bCs/>
          <w:rtl/>
          <w:lang w:bidi="ar-SA"/>
        </w:rPr>
        <w:t>بية</w:t>
      </w:r>
      <w:r w:rsidRPr="00513B88">
        <w:rPr>
          <w:b/>
          <w:bCs/>
          <w:rtl/>
          <w:lang w:bidi="ar-SA"/>
        </w:rPr>
        <w:t xml:space="preserve"> المتقدمة; معلومات</w:t>
      </w:r>
      <w:r w:rsidRPr="00513B88">
        <w:rPr>
          <w:rFonts w:hint="cs"/>
          <w:b/>
          <w:bCs/>
          <w:rtl/>
          <w:lang w:bidi="ar-SA"/>
        </w:rPr>
        <w:t xml:space="preserve"> مصنفة</w:t>
      </w:r>
      <w:r w:rsidRPr="00513B88">
        <w:rPr>
          <w:b/>
          <w:bCs/>
          <w:rtl/>
          <w:lang w:bidi="ar-SA"/>
        </w:rPr>
        <w:t xml:space="preserve"> </w:t>
      </w:r>
      <w:r w:rsidRPr="00513B88">
        <w:rPr>
          <w:rFonts w:hint="cs"/>
          <w:b/>
          <w:bCs/>
          <w:rtl/>
          <w:lang w:bidi="ar-SA"/>
        </w:rPr>
        <w:t>ك</w:t>
      </w:r>
      <w:r w:rsidRPr="00513B88">
        <w:rPr>
          <w:b/>
          <w:bCs/>
          <w:rtl/>
          <w:lang w:bidi="ar-SA"/>
        </w:rPr>
        <w:t>سرية – تأمين</w:t>
      </w:r>
      <w:r w:rsidRPr="00513B88">
        <w:rPr>
          <w:rFonts w:hint="cs"/>
          <w:b/>
          <w:bCs/>
          <w:rtl/>
          <w:lang w:bidi="ar-SA"/>
        </w:rPr>
        <w:t xml:space="preserve"> حفظها</w:t>
      </w:r>
      <w:r w:rsidRPr="00513B88">
        <w:rPr>
          <w:b/>
          <w:bCs/>
          <w:rtl/>
          <w:lang w:bidi="ar-SA"/>
        </w:rPr>
        <w:t xml:space="preserve"> في الأرشيف ومنع </w:t>
      </w:r>
      <w:r w:rsidRPr="00513B88">
        <w:rPr>
          <w:rFonts w:hint="cs"/>
          <w:b/>
          <w:bCs/>
          <w:rtl/>
          <w:lang w:bidi="ar-SA"/>
        </w:rPr>
        <w:t>نشرها.</w:t>
      </w:r>
      <w:r w:rsidRPr="00513B88">
        <w:rPr>
          <w:b/>
          <w:bCs/>
          <w:rtl/>
          <w:lang w:bidi="ar-SA"/>
        </w:rPr>
        <w:t xml:space="preserve"> </w:t>
      </w:r>
      <w:r w:rsidRPr="009B2BA7">
        <w:rPr>
          <w:rtl/>
          <w:lang w:bidi="ar-SA"/>
        </w:rPr>
        <w:t>تعد مراقبة تصحيح أوجه القصور التي أثيرت في التقارير السابقة أداة مهمة تهدف إلى التأكد من أن الجهات الخاضعة للرقابة قد قامت بالفعل بتصحيح ما هو مطلوب، وعليه يزداد نطاق عمليات رقابة المتابعة التي نجريها عامًا بعد عام وتتحسن طريقة القيام بذلك.</w:t>
      </w:r>
    </w:p>
    <w:p w:rsidR="00513B88" w:rsidRPr="00513B88" w:rsidP="00513B88" w14:paraId="1DAFE1D8" w14:textId="77777777">
      <w:pPr>
        <w:pStyle w:val="7190"/>
        <w:rPr>
          <w:b/>
          <w:bCs/>
          <w:rtl/>
        </w:rPr>
      </w:pPr>
      <w:r w:rsidRPr="00513B88">
        <w:rPr>
          <w:b/>
          <w:bCs/>
          <w:rtl/>
          <w:lang w:bidi="ar-SA"/>
        </w:rPr>
        <w:t>لقد تطلب إعداد التقرير جهدا كبيرا من قبل موظفي مكتب مراقب الدولة، الذين عملوا على إعداد التقرير بمهنية كاملة، دقة، انصاف وحرص بالغ. يقوم موظفو المكتب بدورهم نحو الجمهور من منطلق الإحساس الحقيقي بالرسالة، وأتوجه لهم بجزيل بالشكر.</w:t>
      </w:r>
    </w:p>
    <w:p w:rsidR="00513B88" w:rsidRPr="009B2BA7" w:rsidP="00513B88" w14:paraId="7F77E3FF" w14:textId="77777777">
      <w:pPr>
        <w:pStyle w:val="7190"/>
        <w:rPr>
          <w:rtl/>
        </w:rPr>
      </w:pPr>
      <w:r w:rsidRPr="009B2BA7">
        <w:rPr>
          <w:rtl/>
          <w:lang w:bidi="ar-SA"/>
        </w:rPr>
        <w:t>وفي الختام، يغطي هذا التقرير العديد من المواضيع المتنوعة؛ ويفتح كل فصل من الفصول الواردة فيه أمام الجمهور، بما في ذلك أمام صناع القرار، نافذة على أنشطة الجهات الخاضعة للرقابة. وبهذه الطريقة، فهو يساعدنا جميعًا على ضمان نزاهة خدمة للجمهور في دولة إسرائيل ويقدم مساهمة كبيرة في زيادة الكفاءة التوفير ونقاء الأخلاقيات في الهيئات الخاضعة للرقابة والحفاظ على قواعد الإدارة السليمة.</w:t>
      </w:r>
    </w:p>
    <w:p w:rsidR="00513B88" w:rsidRPr="009B2BA7" w:rsidP="00513B88" w14:paraId="3572A73F" w14:textId="77777777">
      <w:pPr>
        <w:pStyle w:val="7190"/>
        <w:rPr>
          <w:rtl/>
          <w:lang w:bidi="ar-SA"/>
        </w:rPr>
      </w:pPr>
      <w:r w:rsidRPr="009B2BA7">
        <w:rPr>
          <w:rtl/>
          <w:lang w:bidi="ar-SA"/>
        </w:rPr>
        <w:t xml:space="preserve">لم يغب عن بالي أنه يتم اتخاذ إجراءات إيجابية </w:t>
      </w:r>
      <w:r w:rsidRPr="009B2BA7">
        <w:rPr>
          <w:rFonts w:hint="cs"/>
          <w:rtl/>
          <w:lang w:bidi="ar-JO"/>
        </w:rPr>
        <w:t>من قبل</w:t>
      </w:r>
      <w:r w:rsidRPr="009B2BA7">
        <w:rPr>
          <w:rtl/>
          <w:lang w:bidi="ar-SA"/>
        </w:rPr>
        <w:t xml:space="preserve"> العديد من الجهات الخاضعة للرقابة، ووفقا لقانون مراقب الدولة، فقد حظيت أبرزها بتعبير نسبي عنها في التقرير من أجل عرض كامل للوضع الناشئ عن </w:t>
      </w:r>
      <w:r w:rsidRPr="009B2BA7">
        <w:rPr>
          <w:rtl/>
          <w:lang w:bidi="ar-SA"/>
        </w:rPr>
        <w:t>الرقابة. إلى جانب ذلك، فمن واجب الجهات الخاضعة للرقابة التصرف بسرعة وكفاءة لتصحيح أوجه القصور التي أثيرت في هذا التقرير.</w:t>
      </w:r>
    </w:p>
    <w:p w:rsidR="00513B88" w:rsidRPr="009B2BA7" w:rsidP="00513B88" w14:paraId="0A86EE3D" w14:textId="77777777">
      <w:pPr>
        <w:pStyle w:val="7190"/>
        <w:rPr>
          <w:rtl/>
        </w:rPr>
      </w:pPr>
      <w:r w:rsidRPr="009B2BA7">
        <w:rPr>
          <w:rtl/>
          <w:lang w:bidi="ar-SA"/>
        </w:rPr>
        <w:t>سنواصل الابتهال وتمني انتصار جيش الدفاع الإسرائيلي وجهاز الأمن ​​في هذه الحرب الصعبة التي فرضها علينا من يكرهوننا ويريدون تدميرنا كشعب وكدولة، وعودة المختطفات والمختطفين إلى ديارهم وأياما هادئة ووادعة.</w:t>
      </w:r>
    </w:p>
    <w:p w:rsidR="004C7A83" w:rsidRPr="00CC005C" w:rsidP="004C7A83" w14:paraId="67CFCD0E" w14:textId="77777777">
      <w:pPr>
        <w:pStyle w:val="7190"/>
        <w:rPr>
          <w:rtl/>
        </w:rPr>
      </w:pPr>
    </w:p>
    <w:p w:rsidR="004C7A83" w:rsidRPr="00CC005C" w:rsidP="004C7A83" w14:paraId="29FA7DC2" w14:textId="77777777">
      <w:pPr>
        <w:pStyle w:val="7190"/>
        <w:rPr>
          <w:rtl/>
        </w:rPr>
      </w:pPr>
    </w:p>
    <w:p w:rsidR="004C7A83" w:rsidP="004C7A83" w14:paraId="09B755FE" w14:textId="77777777">
      <w:pPr>
        <w:widowControl w:val="0"/>
        <w:spacing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739140</wp:posOffset>
            </wp:positionH>
            <wp:positionV relativeFrom="paragraph">
              <wp:posOffset>23495</wp:posOffset>
            </wp:positionV>
            <wp:extent cx="969264" cy="316992"/>
            <wp:effectExtent l="0" t="0" r="2540" b="6985"/>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rsidR="004C7A83" w:rsidRPr="00FA76DE" w:rsidP="004C7A83" w14:paraId="596AB4EF" w14:textId="77777777">
      <w:pPr>
        <w:widowControl w:val="0"/>
        <w:spacing w:line="276" w:lineRule="auto"/>
        <w:ind w:left="3402"/>
        <w:jc w:val="center"/>
        <w:rPr>
          <w:rFonts w:asciiTheme="majorBidi" w:hAnsiTheme="majorBidi" w:cstheme="majorBidi"/>
          <w:b/>
          <w:bCs/>
          <w:sz w:val="24"/>
          <w:rtl/>
          <w:lang w:eastAsia="he-IL"/>
        </w:rPr>
      </w:pPr>
    </w:p>
    <w:p w:rsidR="004C7A83" w:rsidRPr="00CC005C" w:rsidP="004C7A83" w14:paraId="6DAC0F7C" w14:textId="77777777">
      <w:pPr>
        <w:pStyle w:val="7190"/>
        <w:ind w:left="4649"/>
        <w:rPr>
          <w:b/>
          <w:bCs/>
          <w:rtl/>
          <w:lang w:bidi="ar-SA"/>
        </w:rPr>
      </w:pPr>
      <w:r w:rsidRPr="00CC005C">
        <w:rPr>
          <w:b/>
          <w:bCs/>
          <w:color w:val="auto"/>
          <w:rtl/>
          <w:lang w:bidi="ar-SA"/>
        </w:rPr>
        <w:t>متنياهو</w:t>
      </w:r>
      <w:r w:rsidRPr="00CC005C">
        <w:rPr>
          <w:b/>
          <w:bCs/>
          <w:rtl/>
        </w:rPr>
        <w:t xml:space="preserve"> </w:t>
      </w:r>
      <w:r w:rsidRPr="00CC005C">
        <w:rPr>
          <w:b/>
          <w:bCs/>
          <w:rtl/>
          <w:lang w:bidi="ar-SA"/>
        </w:rPr>
        <w:t>أنجلمان</w:t>
      </w:r>
    </w:p>
    <w:p w:rsidR="004C7A83" w:rsidRPr="00CC005C" w:rsidP="004C7A83" w14:paraId="7CDB0001" w14:textId="77777777">
      <w:pPr>
        <w:pStyle w:val="7190"/>
        <w:spacing w:after="0" w:line="216" w:lineRule="auto"/>
        <w:ind w:left="3396"/>
        <w:jc w:val="center"/>
        <w:rPr>
          <w:color w:val="auto"/>
          <w:rtl/>
          <w:lang w:bidi="ar-SA"/>
        </w:rPr>
      </w:pPr>
      <w:r w:rsidRPr="00CC005C">
        <w:rPr>
          <w:color w:val="auto"/>
          <w:rtl/>
          <w:lang w:bidi="ar-SA"/>
        </w:rPr>
        <w:t>مراقِب الدولة</w:t>
      </w:r>
    </w:p>
    <w:p w:rsidR="004C7A83" w:rsidRPr="00CC005C" w:rsidP="004C7A83" w14:paraId="789C1F38" w14:textId="77777777">
      <w:pPr>
        <w:pStyle w:val="7190"/>
        <w:spacing w:line="216" w:lineRule="auto"/>
        <w:ind w:left="3396"/>
        <w:jc w:val="center"/>
        <w:rPr>
          <w:color w:val="auto"/>
          <w:rtl/>
          <w:lang w:bidi="ar-SA"/>
        </w:rPr>
      </w:pPr>
      <w:r w:rsidRPr="00CC005C">
        <w:rPr>
          <w:color w:val="auto"/>
          <w:rtl/>
          <w:lang w:bidi="ar-SA"/>
        </w:rPr>
        <w:t>ومفوَّض شكاوى الجمهور</w:t>
      </w:r>
    </w:p>
    <w:p w:rsidR="004C7A83" w:rsidRPr="00FA76DE" w:rsidP="004C7A83" w14:paraId="1866A719" w14:textId="77777777">
      <w:pPr>
        <w:tabs>
          <w:tab w:val="left" w:pos="898"/>
        </w:tabs>
        <w:spacing w:line="276" w:lineRule="auto"/>
        <w:rPr>
          <w:rFonts w:asciiTheme="majorBidi" w:hAnsiTheme="majorBidi" w:cstheme="majorBidi"/>
          <w:sz w:val="24"/>
          <w:rtl/>
        </w:rPr>
      </w:pPr>
    </w:p>
    <w:p w:rsidR="004C7A83" w:rsidRPr="00CC005C" w:rsidP="004C7A83" w14:paraId="35253862" w14:textId="1CBED680">
      <w:pPr>
        <w:pStyle w:val="7190"/>
        <w:rPr>
          <w:rtl/>
        </w:rPr>
      </w:pPr>
      <w:r w:rsidRPr="00513B88">
        <w:rPr>
          <w:rtl/>
        </w:rPr>
        <w:t>القدس</w:t>
      </w:r>
      <w:r w:rsidRPr="00513B88">
        <w:rPr>
          <w:rtl/>
        </w:rPr>
        <w:t xml:space="preserve">، </w:t>
      </w:r>
      <w:r w:rsidRPr="009B2BA7" w:rsidR="00513B88">
        <w:rPr>
          <w:rFonts w:hint="cs"/>
          <w:rtl/>
          <w:lang w:bidi="ar-JO"/>
        </w:rPr>
        <w:t>أيار 2024</w:t>
      </w:r>
    </w:p>
    <w:p w:rsidR="007D4879" w:rsidP="000F1A28" w14:paraId="125F06A1" w14:textId="3F22173B">
      <w:pPr>
        <w:bidi w:val="0"/>
        <w:spacing w:after="200" w:line="276" w:lineRule="auto"/>
        <w:rPr>
          <w:rFonts w:ascii="Tahoma" w:hAnsi="Tahoma" w:cs="Tahoma"/>
          <w:sz w:val="22"/>
          <w:szCs w:val="22"/>
          <w:rtl/>
        </w:rPr>
        <w:sectPr w:rsidSect="00B86B1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cols w:space="720"/>
          <w:titlePg/>
          <w:bidi/>
          <w:rtlGutter/>
          <w:docGrid w:linePitch="272"/>
        </w:sectPr>
      </w:pPr>
      <w:r>
        <w:rPr>
          <w:rFonts w:asciiTheme="minorHAnsi" w:eastAsiaTheme="majorEastAsia" w:hAnsiTheme="minorHAnsi" w:cs="Tahoma"/>
          <w:sz w:val="34"/>
          <w:szCs w:val="34"/>
          <w:lang w:bidi="ar-SA"/>
        </w:rPr>
        <w:br w:type="page"/>
      </w:r>
    </w:p>
    <w:p w:rsidR="00652A94" w:rsidRPr="00652A94" w:rsidP="000960BA" w14:paraId="05AB505B" w14:textId="2E4FAD4E">
      <w:pPr>
        <w:rPr>
          <w:rFonts w:ascii="Tahoma" w:hAnsi="Tahoma" w:cs="Tahoma"/>
          <w:sz w:val="24"/>
        </w:rPr>
      </w:pPr>
    </w:p>
    <w:sectPr w:rsidSect="00384CCC">
      <w:headerReference w:type="default" r:id="rId17"/>
      <w:footerReference w:type="default" r:id="rId18"/>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A7F44" w14:paraId="6F567CF7" w14:textId="77777777">
      <w:pPr>
        <w:spacing w:line="240" w:lineRule="auto"/>
      </w:pPr>
      <w:r>
        <w:separator/>
      </w:r>
    </w:p>
    <w:p w:rsidR="004A7F44" w14:paraId="6404F8A1" w14:textId="77777777"/>
  </w:endnote>
  <w:endnote w:type="continuationSeparator" w:id="1">
    <w:p w:rsidR="004A7F44" w14:paraId="3157DE88" w14:textId="77777777">
      <w:pPr>
        <w:spacing w:line="240" w:lineRule="auto"/>
      </w:pPr>
      <w:r>
        <w:continuationSeparator/>
      </w:r>
    </w:p>
    <w:p w:rsidR="004A7F44" w14:paraId="1300D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769EE029" w14:textId="77777777">
    <w:pPr>
      <w:pStyle w:val="Footer"/>
      <w:spacing w:after="120" w:line="312" w:lineRule="auto"/>
      <w:ind w:left="-510"/>
      <w:jc w:val="left"/>
      <w:rPr>
        <w:rFonts w:ascii="Tahoma" w:hAnsi="Tahoma" w:cs="Tahoma"/>
        <w:sz w:val="18"/>
        <w:szCs w:val="18"/>
        <w:rtl/>
      </w:rPr>
    </w:pPr>
  </w:p>
  <w:p w:rsidR="000F1A28" w:rsidP="000F1A28" w14:paraId="480A804D"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F1A28" w:rsidRPr="000F1A28" w:rsidP="000F1A28" w14:paraId="75C356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378D1CE4"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7D4879" w:rsidRPr="000F1A28" w:rsidP="000F1A28" w14:paraId="2FB1586D" w14:textId="2215C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58B960BF"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15</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F1A28" w:rsidRPr="000F1A28" w:rsidP="000F1A28" w14:paraId="62BD353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7F44" w:rsidP="00C23CC9" w14:paraId="338962BE" w14:textId="77777777">
      <w:pPr>
        <w:spacing w:line="240" w:lineRule="auto"/>
      </w:pPr>
      <w:r>
        <w:separator/>
      </w:r>
    </w:p>
  </w:footnote>
  <w:footnote w:type="continuationSeparator" w:id="1">
    <w:p w:rsidR="004A7F44" w:rsidP="00C23CC9" w14:paraId="1B89837F" w14:textId="77777777">
      <w:pPr>
        <w:spacing w:line="240" w:lineRule="auto"/>
      </w:pPr>
      <w:r>
        <w:continuationSeparator/>
      </w:r>
    </w:p>
    <w:p w:rsidR="004A7F44" w14:paraId="0586674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605B0CF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F1A28" w:rsidP="000F1A28" w14:paraId="200E2E4A"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F1A28" w:rsidRPr="00DE3ECA" w:rsidP="000F1A2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0F1A28" w:rsidRPr="00DE3ECA" w:rsidP="000F1A28" w14:paraId="01107D50"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F1A28" w:rsidP="000F1A28" w14:paraId="5B128155"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0F1A28" w:rsidP="000F1A28" w14:paraId="6FF87969"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7D4879" w:rsidRPr="000F1A28" w:rsidP="000F1A28" w14:paraId="45F53B68" w14:textId="4E4CDDA1">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691021619" name="Picture 8"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1619" name="Picture 8"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F1A28" w:rsidRPr="00587631" w:rsidP="000F1A28"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70528" stroked="f">
              <v:textbox style="mso-fit-shape-to-text:t">
                <w:txbxContent>
                  <w:p w:rsidR="000F1A28" w:rsidRPr="00587631" w:rsidP="000F1A28" w14:paraId="70A40B86"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66432" from="-122.4pt,30.05pt" to="368.6pt,30.05pt" strokecolor="#0d0d0d" strokeweight="0.25pt"/>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10AF7A3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867975784"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F1A28" w:rsidRPr="00DE3ECA" w:rsidP="000F1A2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0F1A28" w:rsidRPr="00DE3ECA" w:rsidP="000F1A28" w14:paraId="7D7F50DE"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F1A28" w:rsidP="000F1A28" w14:paraId="36F08039" w14:textId="77777777">
    <w:pPr>
      <w:pStyle w:val="Header"/>
      <w:tabs>
        <w:tab w:val="left" w:pos="493"/>
        <w:tab w:val="center" w:pos="4111"/>
        <w:tab w:val="clear" w:pos="4153"/>
        <w:tab w:val="right" w:pos="7478"/>
        <w:tab w:val="right" w:pos="8222"/>
        <w:tab w:val="clear" w:pos="8306"/>
      </w:tabs>
      <w:jc w:val="left"/>
      <w:rPr>
        <w:rtl/>
      </w:rPr>
    </w:pPr>
  </w:p>
  <w:p w:rsidR="000F1A28" w:rsidP="000F1A28" w14:paraId="4373E84B"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7667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36355577" name="Picture 12"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55577" name="Picture 12"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7433356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73600" from="-4.4pt,50.4pt" to="524.85pt,50.4pt" strokecolor="#0d0d0d" strokeweight="0.25pt"/>
          </w:pict>
        </mc:Fallback>
      </mc:AlternateContent>
    </w:r>
  </w:p>
  <w:p w:rsidR="007D4879" w:rsidRPr="000F1A28" w:rsidP="000F1A28" w14:paraId="6C4C705A" w14:textId="7B90AA3B">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4624"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78456690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0F1A28" w:rsidRPr="00E820E0" w:rsidP="000F1A28" w14:textId="77777777">
                          <w:pPr>
                            <w:jc w:val="right"/>
                            <w:rPr>
                              <w:color w:val="0D0D0D" w:themeColor="text1" w:themeTint="F2"/>
                              <w:sz w:val="16"/>
                              <w:szCs w:val="16"/>
                            </w:rPr>
                          </w:pPr>
                          <w:r w:rsidRPr="00941104">
                            <w:rPr>
                              <w:rFonts w:ascii="Tahoma" w:hAnsi="Tahoma" w:cs="Tahoma"/>
                              <w:color w:val="0D0D0D"/>
                              <w:sz w:val="16"/>
                              <w:szCs w:val="16"/>
                              <w:rtl/>
                            </w:rPr>
                            <w:t xml:space="preserve">דוח מבקר המדינה | אייר </w:t>
                          </w:r>
                          <w:r w:rsidRPr="00941104">
                            <w:rPr>
                              <w:rFonts w:ascii="Tahoma" w:hAnsi="Tahoma" w:cs="Tahoma"/>
                              <w:color w:val="0D0D0D"/>
                              <w:sz w:val="16"/>
                              <w:szCs w:val="16"/>
                              <w:rtl/>
                            </w:rPr>
                            <w:t>התשפ"ד</w:t>
                          </w:r>
                          <w:r w:rsidRPr="0094110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5648" strokecolor="white">
              <v:textbox>
                <w:txbxContent>
                  <w:p w:rsidR="000F1A28" w:rsidRPr="00E820E0" w:rsidP="000F1A28" w14:paraId="184E58C0" w14:textId="77777777">
                    <w:pPr>
                      <w:jc w:val="right"/>
                      <w:rPr>
                        <w:color w:val="0D0D0D" w:themeColor="text1" w:themeTint="F2"/>
                        <w:sz w:val="16"/>
                        <w:szCs w:val="16"/>
                      </w:rPr>
                    </w:pPr>
                    <w:r w:rsidRPr="00941104">
                      <w:rPr>
                        <w:rFonts w:ascii="Tahoma" w:hAnsi="Tahoma" w:cs="Tahoma"/>
                        <w:color w:val="0D0D0D"/>
                        <w:sz w:val="16"/>
                        <w:szCs w:val="16"/>
                        <w:rtl/>
                      </w:rPr>
                      <w:t xml:space="preserve">דוח מבקר המדינה | אייר </w:t>
                    </w:r>
                    <w:r w:rsidRPr="00941104">
                      <w:rPr>
                        <w:rFonts w:ascii="Tahoma" w:hAnsi="Tahoma" w:cs="Tahoma"/>
                        <w:color w:val="0D0D0D"/>
                        <w:sz w:val="16"/>
                        <w:szCs w:val="16"/>
                        <w:rtl/>
                      </w:rPr>
                      <w:t>התשפ"ד</w:t>
                    </w:r>
                    <w:r w:rsidRPr="00941104">
                      <w:rPr>
                        <w:rFonts w:ascii="Tahoma" w:hAnsi="Tahoma" w:cs="Tahoma"/>
                        <w:color w:val="0D0D0D"/>
                        <w:sz w:val="16"/>
                        <w:szCs w:val="16"/>
                        <w:rtl/>
                      </w:rPr>
                      <w:t xml:space="preserve"> | מאי 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1A28" w:rsidP="000F1A28" w14:paraId="0BCCA7B6"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0F1A28" w:rsidRPr="00DE3ECA" w:rsidP="000F1A2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0F1A28" w:rsidRPr="00DE3ECA" w:rsidP="000F1A28" w14:paraId="0FB087C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F1A28" w:rsidP="000F1A28" w14:paraId="454AAB7D" w14:textId="77777777">
    <w:pPr>
      <w:pStyle w:val="Header"/>
      <w:tabs>
        <w:tab w:val="left" w:pos="493"/>
        <w:tab w:val="center" w:pos="4111"/>
        <w:tab w:val="clear" w:pos="4153"/>
        <w:tab w:val="right" w:pos="7478"/>
        <w:tab w:val="right" w:pos="8222"/>
        <w:tab w:val="clear" w:pos="8306"/>
      </w:tabs>
      <w:jc w:val="left"/>
      <w:rPr>
        <w:rtl/>
      </w:rPr>
    </w:pPr>
  </w:p>
  <w:p w:rsidR="000F1A28" w:rsidP="000F1A28" w14:paraId="5CA1B7FC"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93878154" name="Picture 12"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878154" name="Picture 12"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6"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0F1A28" w:rsidRPr="000F1A28" w:rsidP="000F1A28" w14:paraId="3F7F8603" w14:textId="1CB9D97E">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0F1A28" w:rsidRPr="00E820E0" w:rsidP="000F1A28" w14:textId="77777777">
                          <w:pPr>
                            <w:jc w:val="right"/>
                            <w:rPr>
                              <w:color w:val="0D0D0D" w:themeColor="text1" w:themeTint="F2"/>
                              <w:sz w:val="16"/>
                              <w:szCs w:val="16"/>
                            </w:rPr>
                          </w:pPr>
                          <w:r w:rsidRPr="00941104">
                            <w:rPr>
                              <w:rFonts w:ascii="Tahoma" w:hAnsi="Tahoma" w:cs="Tahoma"/>
                              <w:color w:val="0D0D0D"/>
                              <w:sz w:val="16"/>
                              <w:szCs w:val="16"/>
                              <w:rtl/>
                            </w:rPr>
                            <w:t xml:space="preserve">דוח מבקר המדינה | אייר </w:t>
                          </w:r>
                          <w:r w:rsidRPr="00941104">
                            <w:rPr>
                              <w:rFonts w:ascii="Tahoma" w:hAnsi="Tahoma" w:cs="Tahoma"/>
                              <w:color w:val="0D0D0D"/>
                              <w:sz w:val="16"/>
                              <w:szCs w:val="16"/>
                              <w:rtl/>
                            </w:rPr>
                            <w:t>התשפ"ד</w:t>
                          </w:r>
                          <w:r w:rsidRPr="0094110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7"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0F1A28" w:rsidRPr="00E820E0" w:rsidP="000F1A28" w14:paraId="0254D71A" w14:textId="77777777">
                    <w:pPr>
                      <w:jc w:val="right"/>
                      <w:rPr>
                        <w:color w:val="0D0D0D" w:themeColor="text1" w:themeTint="F2"/>
                        <w:sz w:val="16"/>
                        <w:szCs w:val="16"/>
                      </w:rPr>
                    </w:pPr>
                    <w:r w:rsidRPr="00941104">
                      <w:rPr>
                        <w:rFonts w:ascii="Tahoma" w:hAnsi="Tahoma" w:cs="Tahoma"/>
                        <w:color w:val="0D0D0D"/>
                        <w:sz w:val="16"/>
                        <w:szCs w:val="16"/>
                        <w:rtl/>
                      </w:rPr>
                      <w:t xml:space="preserve">דוח מבקר המדינה | אייר </w:t>
                    </w:r>
                    <w:r w:rsidRPr="00941104">
                      <w:rPr>
                        <w:rFonts w:ascii="Tahoma" w:hAnsi="Tahoma" w:cs="Tahoma"/>
                        <w:color w:val="0D0D0D"/>
                        <w:sz w:val="16"/>
                        <w:szCs w:val="16"/>
                        <w:rtl/>
                      </w:rPr>
                      <w:t>התשפ"ד</w:t>
                    </w:r>
                    <w:r w:rsidRPr="00941104">
                      <w:rPr>
                        <w:rFonts w:ascii="Tahoma" w:hAnsi="Tahoma" w:cs="Tahoma"/>
                        <w:color w:val="0D0D0D"/>
                        <w:sz w:val="16"/>
                        <w:szCs w:val="16"/>
                        <w:rtl/>
                      </w:rPr>
                      <w:t xml:space="preserve"> | מאי 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4281B5D"/>
    <w:multiLevelType w:val="hybridMultilevel"/>
    <w:tmpl w:val="0E2E7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8216AB"/>
    <w:multiLevelType w:val="hybridMultilevel"/>
    <w:tmpl w:val="BB7ADECA"/>
    <w:lvl w:ilvl="0">
      <w:start w:val="1"/>
      <w:numFmt w:val="hebrew1"/>
      <w:pStyle w:val="134"/>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5">
    <w:nsid w:val="0BDA69EE"/>
    <w:multiLevelType w:val="hybridMultilevel"/>
    <w:tmpl w:val="185036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8">
    <w:nsid w:val="14397850"/>
    <w:multiLevelType w:val="hybridMultilevel"/>
    <w:tmpl w:val="CA56F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345E1A"/>
    <w:multiLevelType w:val="hybridMultilevel"/>
    <w:tmpl w:val="B2806EBE"/>
    <w:lvl w:ilvl="0">
      <w:start w:val="1"/>
      <w:numFmt w:val="decimal"/>
      <w:lvlText w:val="%1."/>
      <w:lvlJc w:val="left"/>
      <w:pPr>
        <w:ind w:left="720" w:hanging="360"/>
      </w:pPr>
      <w:rPr>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1">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2">
    <w:nsid w:val="1A1F4190"/>
    <w:multiLevelType w:val="hybridMultilevel"/>
    <w:tmpl w:val="CBD40A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C0353D8"/>
    <w:multiLevelType w:val="hybridMultilevel"/>
    <w:tmpl w:val="92B6B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1CEA7367"/>
    <w:multiLevelType w:val="hybridMultilevel"/>
    <w:tmpl w:val="361A0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FE542C"/>
    <w:multiLevelType w:val="hybridMultilevel"/>
    <w:tmpl w:val="C88AF89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nsid w:val="30D17255"/>
    <w:multiLevelType w:val="hybridMultilevel"/>
    <w:tmpl w:val="F1AE1FFC"/>
    <w:lvl w:ilvl="0">
      <w:start w:val="1"/>
      <w:numFmt w:val="decimal"/>
      <w:pStyle w:val="a73"/>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1">
    <w:nsid w:val="316B14B9"/>
    <w:multiLevelType w:val="hybridMultilevel"/>
    <w:tmpl w:val="378E9214"/>
    <w:lvl w:ilvl="0">
      <w:start w:val="1"/>
      <w:numFmt w:val="decimal"/>
      <w:pStyle w:val="a71"/>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2">
    <w:nsid w:val="33A86F96"/>
    <w:multiLevelType w:val="hybridMultilevel"/>
    <w:tmpl w:val="220A2AB2"/>
    <w:lvl w:ilvl="0">
      <w:start w:val="1"/>
      <w:numFmt w:val="decimal"/>
      <w:pStyle w:val="a75"/>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23">
    <w:nsid w:val="3A923526"/>
    <w:multiLevelType w:val="hybridMultilevel"/>
    <w:tmpl w:val="4E74417E"/>
    <w:lvl w:ilvl="0">
      <w:start w:val="1"/>
      <w:numFmt w:val="decimal"/>
      <w:pStyle w:val="a69"/>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4">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3BE3441C"/>
    <w:multiLevelType w:val="hybridMultilevel"/>
    <w:tmpl w:val="E886EAA4"/>
    <w:lvl w:ilvl="0">
      <w:start w:va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0DC7E01"/>
    <w:multiLevelType w:val="hybridMultilevel"/>
    <w:tmpl w:val="5D24C320"/>
    <w:lvl w:ilvl="0">
      <w:start w:val="1"/>
      <w:numFmt w:val="decimal"/>
      <w:pStyle w:val="37"/>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nsid w:val="41150CF7"/>
    <w:multiLevelType w:val="hybridMultilevel"/>
    <w:tmpl w:val="022A80DC"/>
    <w:lvl w:ilvl="0">
      <w:start w:val="1"/>
      <w:numFmt w:val="bullet"/>
      <w:lvlText w:val=""/>
      <w:lvlJc w:val="left"/>
      <w:pPr>
        <w:ind w:left="360" w:hanging="360"/>
      </w:pPr>
      <w:rPr>
        <w:rFonts w:ascii="Wingdings" w:hAnsi="Wingdings" w:cs="Wingdings" w:hint="default"/>
        <w:color w:val="0070C0"/>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1C44DCD"/>
    <w:multiLevelType w:val="hybridMultilevel"/>
    <w:tmpl w:val="0D34B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2BD07F7"/>
    <w:multiLevelType w:val="hybridMultilevel"/>
    <w:tmpl w:val="FAE0221E"/>
    <w:lvl w:ilvl="0">
      <w:start w:val="1"/>
      <w:numFmt w:val="decimal"/>
      <w:lvlText w:val="%1."/>
      <w:lvlJc w:val="left"/>
      <w:pPr>
        <w:ind w:left="720" w:hanging="360"/>
      </w:pPr>
      <w:rPr>
        <w:rFonts w:ascii="Times New Roman" w:hAnsi="Times New Roman" w:cs="David" w:hint="default"/>
        <w:b w:val="0"/>
        <w:b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1A6670"/>
    <w:multiLevelType w:val="hybridMultilevel"/>
    <w:tmpl w:val="369C82D6"/>
    <w:lvl w:ilvl="0">
      <w:start w:val="1"/>
      <w:numFmt w:val="hebrew1"/>
      <w:pStyle w:val="39"/>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33">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A317BC7"/>
    <w:multiLevelType w:val="hybridMultilevel"/>
    <w:tmpl w:val="BF56C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B5A05E7"/>
    <w:multiLevelType w:val="hybridMultilevel"/>
    <w:tmpl w:val="3092C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BB934B8"/>
    <w:multiLevelType w:val="hybridMultilevel"/>
    <w:tmpl w:val="73888A1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4DD35436"/>
    <w:multiLevelType w:val="hybridMultilevel"/>
    <w:tmpl w:val="EC1EC164"/>
    <w:lvl w:ilvl="0">
      <w:start w:val="1"/>
      <w:numFmt w:val="decimal"/>
      <w:pStyle w:val="2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39">
    <w:nsid w:val="500F2065"/>
    <w:multiLevelType w:val="hybridMultilevel"/>
    <w:tmpl w:val="E3F27FF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1">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3">
    <w:nsid w:val="665B09CB"/>
    <w:multiLevelType w:val="hybridMultilevel"/>
    <w:tmpl w:val="F98283A0"/>
    <w:lvl w:ilvl="0">
      <w:start w:val="1"/>
      <w:numFmt w:val="bullet"/>
      <w:pStyle w:val="54"/>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44">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5">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6">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39C6D38"/>
    <w:multiLevelType w:val="hybridMultilevel"/>
    <w:tmpl w:val="94587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7985281"/>
    <w:multiLevelType w:val="hybridMultilevel"/>
    <w:tmpl w:val="D1880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1">
    <w:nsid w:val="7E431D00"/>
    <w:multiLevelType w:val="hybridMultilevel"/>
    <w:tmpl w:val="7576C230"/>
    <w:lvl w:ilvl="0">
      <w:start w:val="1"/>
      <w:numFmt w:val="decimal"/>
      <w:pStyle w:val="132"/>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14"/>
  </w:num>
  <w:num w:numId="2">
    <w:abstractNumId w:val="25"/>
  </w:num>
  <w:num w:numId="3">
    <w:abstractNumId w:val="45"/>
  </w:num>
  <w:num w:numId="4">
    <w:abstractNumId w:val="40"/>
  </w:num>
  <w:num w:numId="5">
    <w:abstractNumId w:val="19"/>
  </w:num>
  <w:num w:numId="6">
    <w:abstractNumId w:val="24"/>
  </w:num>
  <w:num w:numId="7">
    <w:abstractNumId w:val="50"/>
  </w:num>
  <w:num w:numId="8">
    <w:abstractNumId w:val="2"/>
  </w:num>
  <w:num w:numId="9">
    <w:abstractNumId w:val="33"/>
  </w:num>
  <w:num w:numId="10">
    <w:abstractNumId w:val="7"/>
  </w:num>
  <w:num w:numId="11">
    <w:abstractNumId w:val="42"/>
  </w:num>
  <w:num w:numId="12">
    <w:abstractNumId w:val="6"/>
  </w:num>
  <w:num w:numId="13">
    <w:abstractNumId w:val="11"/>
  </w:num>
  <w:num w:numId="14">
    <w:abstractNumId w:val="44"/>
  </w:num>
  <w:num w:numId="15">
    <w:abstractNumId w:val="17"/>
  </w:num>
  <w:num w:numId="16">
    <w:abstractNumId w:val="46"/>
  </w:num>
  <w:num w:numId="17">
    <w:abstractNumId w:val="10"/>
  </w:num>
  <w:num w:numId="18">
    <w:abstractNumId w:val="3"/>
  </w:num>
  <w:num w:numId="19">
    <w:abstractNumId w:val="49"/>
  </w:num>
  <w:num w:numId="20">
    <w:abstractNumId w:val="34"/>
  </w:num>
  <w:num w:numId="21">
    <w:abstractNumId w:val="18"/>
  </w:num>
  <w:num w:numId="22">
    <w:abstractNumId w:val="1"/>
  </w:num>
  <w:num w:numId="23">
    <w:abstractNumId w:val="41"/>
  </w:num>
  <w:num w:numId="24">
    <w:abstractNumId w:val="31"/>
  </w:num>
  <w:num w:numId="25">
    <w:abstractNumId w:val="39"/>
  </w:num>
  <w:num w:numId="26">
    <w:abstractNumId w:val="37"/>
  </w:num>
  <w:num w:numId="27">
    <w:abstractNumId w:val="16"/>
  </w:num>
  <w:num w:numId="28">
    <w:abstractNumId w:val="29"/>
  </w:num>
  <w:num w:numId="29">
    <w:abstractNumId w:val="2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9"/>
  </w:num>
  <w:num w:numId="33">
    <w:abstractNumId w:val="8"/>
  </w:num>
  <w:num w:numId="34">
    <w:abstractNumId w:val="30"/>
  </w:num>
  <w:num w:numId="35">
    <w:abstractNumId w:val="0"/>
  </w:num>
  <w:num w:numId="36">
    <w:abstractNumId w:val="13"/>
  </w:num>
  <w:num w:numId="37">
    <w:abstractNumId w:val="47"/>
  </w:num>
  <w:num w:numId="38">
    <w:abstractNumId w:val="48"/>
  </w:num>
  <w:num w:numId="39">
    <w:abstractNumId w:val="35"/>
  </w:num>
  <w:num w:numId="40">
    <w:abstractNumId w:val="36"/>
  </w:num>
  <w:num w:numId="41">
    <w:abstractNumId w:val="12"/>
  </w:num>
  <w:num w:numId="42">
    <w:abstractNumId w:val="5"/>
  </w:num>
  <w:num w:numId="43">
    <w:abstractNumId w:val="15"/>
  </w:num>
  <w:num w:numId="44">
    <w:abstractNumId w:val="51"/>
  </w:num>
  <w:num w:numId="45">
    <w:abstractNumId w:val="38"/>
  </w:num>
  <w:num w:numId="46">
    <w:abstractNumId w:val="28"/>
  </w:num>
  <w:num w:numId="47">
    <w:abstractNumId w:val="4"/>
  </w:num>
  <w:num w:numId="48">
    <w:abstractNumId w:val="32"/>
  </w:num>
  <w:num w:numId="49">
    <w:abstractNumId w:val="43"/>
  </w:num>
  <w:num w:numId="50">
    <w:abstractNumId w:val="23"/>
  </w:num>
  <w:num w:numId="51">
    <w:abstractNumId w:val="21"/>
  </w:num>
  <w:num w:numId="52">
    <w:abstractNumId w:val="20"/>
  </w:num>
  <w:num w:numId="5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9"/>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60C"/>
    <w:rsid w:val="00005B23"/>
    <w:rsid w:val="00005EE0"/>
    <w:rsid w:val="000063F6"/>
    <w:rsid w:val="00006B59"/>
    <w:rsid w:val="000076E0"/>
    <w:rsid w:val="000100D8"/>
    <w:rsid w:val="0001014C"/>
    <w:rsid w:val="000103EB"/>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2A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B39"/>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28"/>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268"/>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4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261"/>
    <w:rsid w:val="00232836"/>
    <w:rsid w:val="002338F8"/>
    <w:rsid w:val="00234167"/>
    <w:rsid w:val="00234AB5"/>
    <w:rsid w:val="00234F9B"/>
    <w:rsid w:val="0023589B"/>
    <w:rsid w:val="00235AEE"/>
    <w:rsid w:val="00235D75"/>
    <w:rsid w:val="00236489"/>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57C11"/>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421"/>
    <w:rsid w:val="00290C01"/>
    <w:rsid w:val="00291775"/>
    <w:rsid w:val="00291F3B"/>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6E9"/>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15C"/>
    <w:rsid w:val="00313268"/>
    <w:rsid w:val="00313B1F"/>
    <w:rsid w:val="00313D58"/>
    <w:rsid w:val="00313EEC"/>
    <w:rsid w:val="00315624"/>
    <w:rsid w:val="00315BD6"/>
    <w:rsid w:val="00315D7F"/>
    <w:rsid w:val="00315E35"/>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A9E"/>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6991"/>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4C2"/>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00E"/>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BF8"/>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008"/>
    <w:rsid w:val="00471164"/>
    <w:rsid w:val="0047126F"/>
    <w:rsid w:val="0047129E"/>
    <w:rsid w:val="00471752"/>
    <w:rsid w:val="00471AA2"/>
    <w:rsid w:val="00471E18"/>
    <w:rsid w:val="00471FC6"/>
    <w:rsid w:val="0047228C"/>
    <w:rsid w:val="004736FF"/>
    <w:rsid w:val="004743DF"/>
    <w:rsid w:val="00474EE3"/>
    <w:rsid w:val="00474EFE"/>
    <w:rsid w:val="00475A37"/>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554"/>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A7F44"/>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3"/>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684"/>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88"/>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57AD7"/>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B6D"/>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56F7"/>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B7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B01"/>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4552"/>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765"/>
    <w:rsid w:val="006F281D"/>
    <w:rsid w:val="006F285F"/>
    <w:rsid w:val="006F3142"/>
    <w:rsid w:val="006F347B"/>
    <w:rsid w:val="006F3536"/>
    <w:rsid w:val="006F3A6E"/>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0E75"/>
    <w:rsid w:val="00742601"/>
    <w:rsid w:val="00743800"/>
    <w:rsid w:val="0074450C"/>
    <w:rsid w:val="00744632"/>
    <w:rsid w:val="00744A32"/>
    <w:rsid w:val="00744A94"/>
    <w:rsid w:val="007452B3"/>
    <w:rsid w:val="007464CE"/>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7A6"/>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69B6"/>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027"/>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3C7D"/>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C71"/>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2D3C"/>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77EC7"/>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088"/>
    <w:rsid w:val="009336A3"/>
    <w:rsid w:val="00933910"/>
    <w:rsid w:val="00933A3E"/>
    <w:rsid w:val="00933D13"/>
    <w:rsid w:val="009347CA"/>
    <w:rsid w:val="00934D39"/>
    <w:rsid w:val="00934DEB"/>
    <w:rsid w:val="0093548A"/>
    <w:rsid w:val="00935600"/>
    <w:rsid w:val="00935D7D"/>
    <w:rsid w:val="00935F94"/>
    <w:rsid w:val="00936381"/>
    <w:rsid w:val="00936F5C"/>
    <w:rsid w:val="00936F84"/>
    <w:rsid w:val="009376D7"/>
    <w:rsid w:val="00937A6E"/>
    <w:rsid w:val="00940851"/>
    <w:rsid w:val="00941104"/>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668"/>
    <w:rsid w:val="00966D35"/>
    <w:rsid w:val="009679D9"/>
    <w:rsid w:val="0097039E"/>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2769"/>
    <w:rsid w:val="009B2BA7"/>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3AC4"/>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3F8"/>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00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D08"/>
    <w:rsid w:val="00AB7F83"/>
    <w:rsid w:val="00AC0B81"/>
    <w:rsid w:val="00AC2300"/>
    <w:rsid w:val="00AC2F47"/>
    <w:rsid w:val="00AC2FEC"/>
    <w:rsid w:val="00AC3451"/>
    <w:rsid w:val="00AC3506"/>
    <w:rsid w:val="00AC387E"/>
    <w:rsid w:val="00AC4DD2"/>
    <w:rsid w:val="00AC5210"/>
    <w:rsid w:val="00AC5BDF"/>
    <w:rsid w:val="00AC662A"/>
    <w:rsid w:val="00AC6903"/>
    <w:rsid w:val="00AC6B95"/>
    <w:rsid w:val="00AC722F"/>
    <w:rsid w:val="00AC7669"/>
    <w:rsid w:val="00AC79C9"/>
    <w:rsid w:val="00AC7F19"/>
    <w:rsid w:val="00AD017C"/>
    <w:rsid w:val="00AD0AF6"/>
    <w:rsid w:val="00AD1176"/>
    <w:rsid w:val="00AD277E"/>
    <w:rsid w:val="00AD2B44"/>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C"/>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21"/>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3A5"/>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4A2"/>
    <w:rsid w:val="00BC65A4"/>
    <w:rsid w:val="00BC65B2"/>
    <w:rsid w:val="00BC75B3"/>
    <w:rsid w:val="00BC7E15"/>
    <w:rsid w:val="00BC7E36"/>
    <w:rsid w:val="00BD020B"/>
    <w:rsid w:val="00BD09B1"/>
    <w:rsid w:val="00BD0FE8"/>
    <w:rsid w:val="00BD162B"/>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5EC4"/>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348"/>
    <w:rsid w:val="00C03CCC"/>
    <w:rsid w:val="00C03CE8"/>
    <w:rsid w:val="00C0494D"/>
    <w:rsid w:val="00C04B74"/>
    <w:rsid w:val="00C05806"/>
    <w:rsid w:val="00C05FA3"/>
    <w:rsid w:val="00C06A1F"/>
    <w:rsid w:val="00C07158"/>
    <w:rsid w:val="00C07B3F"/>
    <w:rsid w:val="00C07BFD"/>
    <w:rsid w:val="00C07EF3"/>
    <w:rsid w:val="00C108A9"/>
    <w:rsid w:val="00C10D63"/>
    <w:rsid w:val="00C115C4"/>
    <w:rsid w:val="00C123A3"/>
    <w:rsid w:val="00C12466"/>
    <w:rsid w:val="00C13495"/>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A60"/>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658"/>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0D1"/>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D60"/>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2A2"/>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403"/>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033"/>
    <w:rsid w:val="00DA5A16"/>
    <w:rsid w:val="00DA6949"/>
    <w:rsid w:val="00DA7D0B"/>
    <w:rsid w:val="00DB0783"/>
    <w:rsid w:val="00DB07CA"/>
    <w:rsid w:val="00DB0823"/>
    <w:rsid w:val="00DB0E2A"/>
    <w:rsid w:val="00DB1108"/>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C84"/>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4D"/>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294"/>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0E0"/>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4"/>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69EE"/>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3FE7"/>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3CF1"/>
    <w:rsid w:val="00FC48C6"/>
    <w:rsid w:val="00FC4A91"/>
    <w:rsid w:val="00FC4E0B"/>
    <w:rsid w:val="00FC6141"/>
    <w:rsid w:val="00FC623A"/>
    <w:rsid w:val="00FC646D"/>
    <w:rsid w:val="00FC65E5"/>
    <w:rsid w:val="00FC6ABF"/>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30">
    <w:name w:val="73א הזחה ראשונה מספר"/>
    <w:basedOn w:val="ListParagraph"/>
    <w:link w:val="731"/>
    <w:qFormat/>
    <w:rsid w:val="00513B88"/>
    <w:pPr>
      <w:spacing w:after="180" w:line="260" w:lineRule="exact"/>
      <w:ind w:left="709" w:hanging="454"/>
      <w:contextualSpacing w:val="0"/>
    </w:pPr>
    <w:rPr>
      <w:rFonts w:ascii="Tahoma" w:hAnsi="Tahoma" w:cs="Tahoma"/>
      <w:color w:val="0D0D0D" w:themeColor="text1" w:themeTint="F2"/>
      <w:sz w:val="18"/>
      <w:szCs w:val="18"/>
    </w:rPr>
  </w:style>
  <w:style w:type="character" w:customStyle="1" w:styleId="731">
    <w:name w:val="73א הזחה ראשונה מספר תו"/>
    <w:basedOn w:val="a2"/>
    <w:link w:val="730"/>
    <w:rsid w:val="00513B88"/>
    <w:rPr>
      <w:rFonts w:ascii="Tahoma" w:hAnsi="Tahoma" w:cs="Tahoma"/>
      <w:color w:val="0D0D0D" w:themeColor="text1" w:themeTint="F2"/>
      <w:sz w:val="18"/>
      <w:szCs w:val="18"/>
    </w:rPr>
  </w:style>
  <w:style w:type="paragraph" w:customStyle="1" w:styleId="a44">
    <w:name w:val="פרטי הדוח ממה"/>
    <w:basedOn w:val="Normal"/>
    <w:qFormat/>
    <w:rsid w:val="00513B88"/>
    <w:pPr>
      <w:spacing w:before="600" w:line="240" w:lineRule="auto"/>
      <w:ind w:left="284"/>
      <w:jc w:val="left"/>
    </w:pPr>
    <w:rPr>
      <w:rFonts w:ascii="Calibri" w:eastAsia="Calibri" w:hAnsi="Calibri" w:cs="Calibri"/>
      <w:noProof/>
      <w:color w:val="FFFFFF" w:themeColor="background1"/>
      <w:sz w:val="24"/>
    </w:rPr>
  </w:style>
  <w:style w:type="paragraph" w:customStyle="1" w:styleId="a45">
    <w:name w:val="כותרת הדוח ממה"/>
    <w:basedOn w:val="Normal"/>
    <w:link w:val="a46"/>
    <w:qFormat/>
    <w:rsid w:val="00513B8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46">
    <w:name w:val="כותרת הדוח ממה תו"/>
    <w:basedOn w:val="DefaultParagraphFont"/>
    <w:link w:val="a45"/>
    <w:rsid w:val="00513B88"/>
    <w:rPr>
      <w:rFonts w:ascii="Calibri" w:hAnsi="Calibri" w:cs="Calibri"/>
      <w:b/>
      <w:bCs/>
      <w:color w:val="FFFFFF" w:themeColor="background1"/>
      <w:sz w:val="60"/>
      <w:szCs w:val="60"/>
    </w:rPr>
  </w:style>
  <w:style w:type="paragraph" w:customStyle="1" w:styleId="a47">
    <w:name w:val="טקסט שם מונח ממה"/>
    <w:basedOn w:val="Normal"/>
    <w:qFormat/>
    <w:rsid w:val="00513B8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48">
    <w:name w:val="טקסט הגדרת מונח ממה"/>
    <w:link w:val="a49"/>
    <w:qFormat/>
    <w:rsid w:val="00513B8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9">
    <w:name w:val="טקסט הגדרת מונח ממה תו"/>
    <w:basedOn w:val="DefaultParagraphFont"/>
    <w:link w:val="a48"/>
    <w:rsid w:val="00513B88"/>
    <w:rPr>
      <w:rFonts w:ascii="Calibri" w:eastAsia="DengXian" w:hAnsi="Calibri" w:cs="Calibri"/>
      <w:color w:val="002060"/>
      <w:sz w:val="24"/>
      <w:lang w:val="en-GB"/>
    </w:rPr>
  </w:style>
  <w:style w:type="paragraph" w:customStyle="1" w:styleId="a50">
    <w:name w:val="מבוא ממה"/>
    <w:basedOn w:val="Normal"/>
    <w:next w:val="Normal"/>
    <w:link w:val="a51"/>
    <w:autoRedefine/>
    <w:qFormat/>
    <w:rsid w:val="00513B8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51">
    <w:name w:val="מבוא ממה תו"/>
    <w:basedOn w:val="DefaultParagraphFont"/>
    <w:link w:val="a50"/>
    <w:rsid w:val="00513B8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52">
    <w:name w:val="מראה מקום ממה"/>
    <w:basedOn w:val="Normal"/>
    <w:next w:val="Normal"/>
    <w:link w:val="a53"/>
    <w:qFormat/>
    <w:rsid w:val="00513B88"/>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53">
    <w:name w:val="מראה מקום ממה תו"/>
    <w:basedOn w:val="DefaultParagraphFont"/>
    <w:link w:val="a52"/>
    <w:rsid w:val="00513B88"/>
    <w:rPr>
      <w:rFonts w:ascii="Calibri" w:eastAsia="Calibri" w:hAnsi="Calibri" w:cs="Calibri"/>
      <w:b/>
      <w:bCs/>
      <w:color w:val="002060"/>
      <w:sz w:val="18"/>
      <w:szCs w:val="18"/>
      <w:shd w:val="solid" w:color="F3F7FF" w:fill="auto"/>
    </w:rPr>
  </w:style>
  <w:style w:type="paragraph" w:customStyle="1" w:styleId="a54">
    <w:name w:val="כותרת עליונה ממה"/>
    <w:basedOn w:val="Normal"/>
    <w:next w:val="Normal"/>
    <w:link w:val="a55"/>
    <w:qFormat/>
    <w:rsid w:val="00513B88"/>
    <w:pPr>
      <w:spacing w:line="240" w:lineRule="auto"/>
      <w:ind w:left="737"/>
      <w:jc w:val="left"/>
    </w:pPr>
    <w:rPr>
      <w:rFonts w:ascii="Calibri" w:eastAsia="Calibri" w:hAnsi="Calibri" w:cs="Calibri"/>
      <w:color w:val="002060"/>
      <w:sz w:val="18"/>
      <w:szCs w:val="18"/>
    </w:rPr>
  </w:style>
  <w:style w:type="character" w:customStyle="1" w:styleId="a55">
    <w:name w:val="כותרת עליונה ממה תו"/>
    <w:basedOn w:val="DefaultParagraphFont"/>
    <w:link w:val="a54"/>
    <w:rsid w:val="00513B88"/>
    <w:rPr>
      <w:rFonts w:ascii="Calibri" w:eastAsia="Calibri" w:hAnsi="Calibri" w:cs="Calibri"/>
      <w:color w:val="002060"/>
      <w:sz w:val="18"/>
      <w:szCs w:val="18"/>
    </w:rPr>
  </w:style>
  <w:style w:type="paragraph" w:customStyle="1" w:styleId="132">
    <w:name w:val="כותרת 1 ממה"/>
    <w:basedOn w:val="Normal"/>
    <w:next w:val="Normal"/>
    <w:link w:val="133"/>
    <w:qFormat/>
    <w:rsid w:val="00513B88"/>
    <w:pPr>
      <w:keepNext/>
      <w:widowControl w:val="0"/>
      <w:numPr>
        <w:numId w:val="44"/>
      </w:numPr>
      <w:spacing w:before="240" w:after="120" w:line="440" w:lineRule="exact"/>
      <w:jc w:val="left"/>
      <w:outlineLvl w:val="0"/>
    </w:pPr>
    <w:rPr>
      <w:rFonts w:ascii="Calibri" w:eastAsia="Calibri" w:hAnsi="Calibri" w:cs="Calibri"/>
      <w:b/>
      <w:bCs/>
      <w:color w:val="002060"/>
      <w:sz w:val="40"/>
      <w:szCs w:val="40"/>
    </w:rPr>
  </w:style>
  <w:style w:type="character" w:customStyle="1" w:styleId="133">
    <w:name w:val="כותרת 1 ממה תו"/>
    <w:basedOn w:val="DefaultParagraphFont"/>
    <w:link w:val="132"/>
    <w:rsid w:val="00513B88"/>
    <w:rPr>
      <w:rFonts w:ascii="Calibri" w:eastAsia="Calibri" w:hAnsi="Calibri" w:cs="Calibri"/>
      <w:b/>
      <w:bCs/>
      <w:color w:val="002060"/>
      <w:sz w:val="40"/>
      <w:szCs w:val="40"/>
    </w:rPr>
  </w:style>
  <w:style w:type="paragraph" w:customStyle="1" w:styleId="224">
    <w:name w:val="כותרת 2 ממה"/>
    <w:basedOn w:val="Normal"/>
    <w:next w:val="Normal"/>
    <w:link w:val="225"/>
    <w:qFormat/>
    <w:rsid w:val="00513B88"/>
    <w:pPr>
      <w:keepNext/>
      <w:widowControl w:val="0"/>
      <w:numPr>
        <w:numId w:val="45"/>
      </w:numPr>
      <w:spacing w:before="240" w:line="280" w:lineRule="exact"/>
      <w:jc w:val="left"/>
      <w:outlineLvl w:val="1"/>
    </w:pPr>
    <w:rPr>
      <w:rFonts w:ascii="Calibri" w:eastAsia="Calibri" w:hAnsi="Calibri" w:cs="Calibri"/>
      <w:b/>
      <w:bCs/>
      <w:color w:val="002060"/>
      <w:sz w:val="36"/>
      <w:szCs w:val="36"/>
    </w:rPr>
  </w:style>
  <w:style w:type="character" w:customStyle="1" w:styleId="225">
    <w:name w:val="כותרת 2 ממה תו"/>
    <w:basedOn w:val="27"/>
    <w:link w:val="224"/>
    <w:rsid w:val="00513B88"/>
    <w:rPr>
      <w:rFonts w:ascii="Calibri" w:eastAsia="Calibri" w:hAnsi="Calibri" w:cs="Calibri"/>
      <w:b/>
      <w:bCs/>
      <w:color w:val="002060"/>
      <w:sz w:val="36"/>
      <w:szCs w:val="36"/>
    </w:rPr>
  </w:style>
  <w:style w:type="paragraph" w:customStyle="1" w:styleId="37">
    <w:name w:val="כותרת 3 ממה"/>
    <w:basedOn w:val="Normal"/>
    <w:next w:val="Normal"/>
    <w:link w:val="38"/>
    <w:qFormat/>
    <w:rsid w:val="00513B88"/>
    <w:pPr>
      <w:widowControl w:val="0"/>
      <w:numPr>
        <w:numId w:val="46"/>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0"/>
    <w:link w:val="37"/>
    <w:rsid w:val="00513B88"/>
    <w:rPr>
      <w:rFonts w:ascii="Calibri" w:eastAsia="Calibri" w:hAnsi="Calibri" w:cs="Calibri"/>
      <w:b/>
      <w:bCs/>
      <w:color w:val="002060"/>
      <w:sz w:val="28"/>
      <w:szCs w:val="28"/>
      <w:u w:val="single"/>
    </w:rPr>
  </w:style>
  <w:style w:type="paragraph" w:customStyle="1" w:styleId="44">
    <w:name w:val="כותרת 4 ממה"/>
    <w:basedOn w:val="Normal"/>
    <w:next w:val="Normal"/>
    <w:link w:val="45"/>
    <w:qFormat/>
    <w:rsid w:val="00513B8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5">
    <w:name w:val="כותרת 4 ממה תו"/>
    <w:basedOn w:val="DefaultParagraphFont"/>
    <w:link w:val="44"/>
    <w:rsid w:val="00513B88"/>
    <w:rPr>
      <w:rFonts w:ascii="Calibri" w:eastAsia="Calibri" w:hAnsi="Calibri" w:cs="Calibri"/>
      <w:color w:val="002060"/>
      <w:sz w:val="28"/>
      <w:szCs w:val="28"/>
    </w:rPr>
  </w:style>
  <w:style w:type="paragraph" w:customStyle="1" w:styleId="134">
    <w:name w:val="רשימה1 ממה"/>
    <w:basedOn w:val="Normal"/>
    <w:link w:val="135"/>
    <w:qFormat/>
    <w:rsid w:val="00513B88"/>
    <w:pPr>
      <w:widowControl w:val="0"/>
      <w:numPr>
        <w:numId w:val="47"/>
      </w:numPr>
      <w:spacing w:line="280" w:lineRule="exact"/>
    </w:pPr>
    <w:rPr>
      <w:rFonts w:ascii="Calibri" w:eastAsia="Calibri" w:hAnsi="Calibri" w:cs="Calibri"/>
      <w:color w:val="002060"/>
      <w:sz w:val="24"/>
    </w:rPr>
  </w:style>
  <w:style w:type="character" w:customStyle="1" w:styleId="135">
    <w:name w:val="רשימה1 ממה תו"/>
    <w:basedOn w:val="DefaultParagraphFont"/>
    <w:link w:val="134"/>
    <w:rsid w:val="00513B88"/>
    <w:rPr>
      <w:rFonts w:ascii="Calibri" w:eastAsia="Calibri" w:hAnsi="Calibri" w:cs="Calibri"/>
      <w:color w:val="002060"/>
      <w:sz w:val="24"/>
    </w:rPr>
  </w:style>
  <w:style w:type="paragraph" w:customStyle="1" w:styleId="226">
    <w:name w:val="רשימה2 ממה"/>
    <w:basedOn w:val="Normal"/>
    <w:link w:val="227"/>
    <w:qFormat/>
    <w:rsid w:val="00513B88"/>
    <w:pPr>
      <w:widowControl w:val="0"/>
      <w:spacing w:line="280" w:lineRule="exact"/>
      <w:ind w:left="1871"/>
    </w:pPr>
    <w:rPr>
      <w:rFonts w:ascii="Calibri" w:eastAsia="Calibri" w:hAnsi="Calibri" w:cs="Calibri"/>
      <w:color w:val="002060"/>
      <w:sz w:val="24"/>
    </w:rPr>
  </w:style>
  <w:style w:type="character" w:customStyle="1" w:styleId="227">
    <w:name w:val="רשימה2 ממה תו"/>
    <w:basedOn w:val="DefaultParagraphFont"/>
    <w:link w:val="226"/>
    <w:rsid w:val="00513B88"/>
    <w:rPr>
      <w:rFonts w:ascii="Calibri" w:eastAsia="Calibri" w:hAnsi="Calibri" w:cs="Calibri"/>
      <w:color w:val="002060"/>
      <w:sz w:val="24"/>
    </w:rPr>
  </w:style>
  <w:style w:type="paragraph" w:customStyle="1" w:styleId="39">
    <w:name w:val="רשימה3 ממה"/>
    <w:basedOn w:val="Normal"/>
    <w:link w:val="315"/>
    <w:qFormat/>
    <w:rsid w:val="00513B88"/>
    <w:pPr>
      <w:widowControl w:val="0"/>
      <w:numPr>
        <w:numId w:val="48"/>
      </w:numPr>
      <w:spacing w:line="280" w:lineRule="exact"/>
    </w:pPr>
    <w:rPr>
      <w:rFonts w:ascii="Calibri" w:eastAsia="Calibri" w:hAnsi="Calibri" w:cs="Calibri"/>
      <w:color w:val="002060"/>
      <w:sz w:val="24"/>
    </w:rPr>
  </w:style>
  <w:style w:type="character" w:customStyle="1" w:styleId="315">
    <w:name w:val="רשימה3 ממה תו"/>
    <w:basedOn w:val="DefaultParagraphFont"/>
    <w:link w:val="39"/>
    <w:rsid w:val="00513B88"/>
    <w:rPr>
      <w:rFonts w:ascii="Calibri" w:eastAsia="Calibri" w:hAnsi="Calibri" w:cs="Calibri"/>
      <w:color w:val="002060"/>
      <w:sz w:val="24"/>
    </w:rPr>
  </w:style>
  <w:style w:type="paragraph" w:customStyle="1" w:styleId="46">
    <w:name w:val="רשימה4 ממה"/>
    <w:basedOn w:val="Normal"/>
    <w:link w:val="47"/>
    <w:qFormat/>
    <w:rsid w:val="00513B88"/>
    <w:pPr>
      <w:widowControl w:val="0"/>
      <w:spacing w:line="280" w:lineRule="exact"/>
      <w:ind w:left="2552"/>
    </w:pPr>
    <w:rPr>
      <w:rFonts w:ascii="Calibri" w:eastAsia="Calibri" w:hAnsi="Calibri" w:cs="Calibri"/>
      <w:color w:val="002060"/>
      <w:sz w:val="24"/>
    </w:rPr>
  </w:style>
  <w:style w:type="character" w:customStyle="1" w:styleId="47">
    <w:name w:val="רשימה4 ממה תו"/>
    <w:basedOn w:val="DefaultParagraphFont"/>
    <w:link w:val="46"/>
    <w:rsid w:val="00513B88"/>
    <w:rPr>
      <w:rFonts w:ascii="Calibri" w:eastAsia="Calibri" w:hAnsi="Calibri" w:cs="Calibri"/>
      <w:color w:val="002060"/>
      <w:sz w:val="24"/>
    </w:rPr>
  </w:style>
  <w:style w:type="paragraph" w:customStyle="1" w:styleId="54">
    <w:name w:val="רשימה5 ממה"/>
    <w:basedOn w:val="Normal"/>
    <w:link w:val="55"/>
    <w:qFormat/>
    <w:rsid w:val="00513B88"/>
    <w:pPr>
      <w:widowControl w:val="0"/>
      <w:numPr>
        <w:numId w:val="49"/>
      </w:numPr>
      <w:spacing w:line="280" w:lineRule="exact"/>
    </w:pPr>
    <w:rPr>
      <w:rFonts w:ascii="Calibri" w:eastAsia="Calibri" w:hAnsi="Calibri" w:cs="Calibri"/>
      <w:color w:val="002060"/>
      <w:sz w:val="24"/>
    </w:rPr>
  </w:style>
  <w:style w:type="character" w:customStyle="1" w:styleId="55">
    <w:name w:val="רשימה5 ממה תו"/>
    <w:basedOn w:val="DefaultParagraphFont"/>
    <w:link w:val="54"/>
    <w:rsid w:val="00513B88"/>
    <w:rPr>
      <w:rFonts w:ascii="Calibri" w:eastAsia="Calibri" w:hAnsi="Calibri" w:cs="Calibri"/>
      <w:color w:val="002060"/>
      <w:sz w:val="24"/>
    </w:rPr>
  </w:style>
  <w:style w:type="paragraph" w:customStyle="1" w:styleId="a56">
    <w:name w:val="הערת שוליים ממה"/>
    <w:basedOn w:val="Normal"/>
    <w:link w:val="a57"/>
    <w:qFormat/>
    <w:rsid w:val="00513B88"/>
    <w:pPr>
      <w:widowControl w:val="0"/>
      <w:spacing w:line="280" w:lineRule="exact"/>
      <w:ind w:left="1985" w:hanging="851"/>
    </w:pPr>
    <w:rPr>
      <w:rFonts w:ascii="Calibri" w:eastAsia="Calibri" w:hAnsi="Calibri" w:cs="Calibri"/>
      <w:color w:val="002060"/>
      <w:sz w:val="24"/>
      <w:szCs w:val="20"/>
    </w:rPr>
  </w:style>
  <w:style w:type="character" w:customStyle="1" w:styleId="a57">
    <w:name w:val="הערת שוליים ממה תו"/>
    <w:basedOn w:val="DefaultParagraphFont"/>
    <w:link w:val="a56"/>
    <w:rsid w:val="00513B88"/>
    <w:rPr>
      <w:rFonts w:ascii="Calibri" w:eastAsia="Calibri" w:hAnsi="Calibri" w:cs="Calibri"/>
      <w:color w:val="002060"/>
      <w:sz w:val="24"/>
      <w:szCs w:val="20"/>
    </w:rPr>
  </w:style>
  <w:style w:type="paragraph" w:customStyle="1" w:styleId="a58">
    <w:name w:val="הערת סיום ממה"/>
    <w:basedOn w:val="Normal"/>
    <w:link w:val="a59"/>
    <w:qFormat/>
    <w:rsid w:val="00513B88"/>
    <w:pPr>
      <w:widowControl w:val="0"/>
      <w:spacing w:line="240" w:lineRule="auto"/>
      <w:ind w:left="1134"/>
    </w:pPr>
    <w:rPr>
      <w:rFonts w:ascii="Calibri" w:eastAsia="Calibri" w:hAnsi="Calibri" w:cs="Calibri"/>
      <w:color w:val="002060"/>
      <w:sz w:val="24"/>
      <w:szCs w:val="20"/>
    </w:rPr>
  </w:style>
  <w:style w:type="character" w:customStyle="1" w:styleId="a59">
    <w:name w:val="הערת סיום ממה תו"/>
    <w:basedOn w:val="DefaultParagraphFont"/>
    <w:link w:val="a58"/>
    <w:rsid w:val="00513B88"/>
    <w:rPr>
      <w:rFonts w:ascii="Calibri" w:eastAsia="Calibri" w:hAnsi="Calibri" w:cs="Calibri"/>
      <w:color w:val="002060"/>
      <w:sz w:val="24"/>
      <w:szCs w:val="20"/>
    </w:rPr>
  </w:style>
  <w:style w:type="paragraph" w:customStyle="1" w:styleId="136">
    <w:name w:val="ליקוי/ממצא חיובי/המלצה1 ממה"/>
    <w:next w:val="Normal"/>
    <w:link w:val="137"/>
    <w:qFormat/>
    <w:rsid w:val="00513B8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37">
    <w:name w:val="ליקוי/ממצא חיובי/המלצה1 ממה תו"/>
    <w:basedOn w:val="DefaultParagraphFont"/>
    <w:link w:val="136"/>
    <w:rsid w:val="00513B88"/>
    <w:rPr>
      <w:rFonts w:ascii="Calibri" w:eastAsia="Calibri" w:hAnsi="Calibri" w:cs="Calibri"/>
      <w:color w:val="002060"/>
      <w:sz w:val="24"/>
    </w:rPr>
  </w:style>
  <w:style w:type="paragraph" w:customStyle="1" w:styleId="228">
    <w:name w:val="ליקוי/ממצא חיובי/המלצה2 ממה"/>
    <w:basedOn w:val="Normal"/>
    <w:next w:val="Normal"/>
    <w:link w:val="229"/>
    <w:qFormat/>
    <w:rsid w:val="00513B8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9">
    <w:name w:val="ליקוי/ממצא חיובי/המלצה2 ממה תו"/>
    <w:basedOn w:val="137"/>
    <w:link w:val="228"/>
    <w:rsid w:val="00513B88"/>
    <w:rPr>
      <w:rFonts w:ascii="Calibri" w:eastAsia="Calibri" w:hAnsi="Calibri" w:cs="Calibri"/>
      <w:color w:val="002060"/>
      <w:sz w:val="24"/>
    </w:rPr>
  </w:style>
  <w:style w:type="paragraph" w:customStyle="1" w:styleId="317">
    <w:name w:val="ליקוי/ממצא חיובי/המלצה3 ממה"/>
    <w:basedOn w:val="Normal"/>
    <w:link w:val="318"/>
    <w:qFormat/>
    <w:rsid w:val="00513B8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8">
    <w:name w:val="ליקוי/ממצא חיובי/המלצה3 ממה תו"/>
    <w:basedOn w:val="DefaultParagraphFont"/>
    <w:link w:val="317"/>
    <w:rsid w:val="00513B88"/>
    <w:rPr>
      <w:rFonts w:ascii="Calibri" w:eastAsia="Calibri" w:hAnsi="Calibri" w:cs="Calibri"/>
      <w:color w:val="002060"/>
      <w:sz w:val="24"/>
    </w:rPr>
  </w:style>
  <w:style w:type="paragraph" w:customStyle="1" w:styleId="a60">
    <w:name w:val="נבנצאל ממה"/>
    <w:basedOn w:val="Normal"/>
    <w:next w:val="Normal"/>
    <w:link w:val="a61"/>
    <w:uiPriority w:val="99"/>
    <w:qFormat/>
    <w:rsid w:val="00513B88"/>
    <w:pPr>
      <w:keepNext/>
      <w:spacing w:line="280" w:lineRule="exact"/>
      <w:jc w:val="left"/>
    </w:pPr>
    <w:rPr>
      <w:rFonts w:ascii="Calibri" w:eastAsia="Calibri" w:hAnsi="Calibri" w:cs="Calibri"/>
      <w:color w:val="002060"/>
      <w:szCs w:val="20"/>
    </w:rPr>
  </w:style>
  <w:style w:type="character" w:customStyle="1" w:styleId="a61">
    <w:name w:val="נבנצאל ממה תו"/>
    <w:basedOn w:val="DefaultParagraphFont"/>
    <w:link w:val="a60"/>
    <w:uiPriority w:val="99"/>
    <w:rsid w:val="00513B88"/>
    <w:rPr>
      <w:rFonts w:ascii="Calibri" w:eastAsia="Calibri" w:hAnsi="Calibri" w:cs="Calibri"/>
      <w:color w:val="002060"/>
      <w:szCs w:val="20"/>
    </w:rPr>
  </w:style>
  <w:style w:type="paragraph" w:customStyle="1" w:styleId="a62">
    <w:name w:val="רגיל ממה"/>
    <w:basedOn w:val="Normal"/>
    <w:link w:val="a63"/>
    <w:qFormat/>
    <w:rsid w:val="00513B88"/>
    <w:pPr>
      <w:widowControl w:val="0"/>
      <w:spacing w:line="280" w:lineRule="exact"/>
      <w:ind w:left="1134"/>
    </w:pPr>
    <w:rPr>
      <w:rFonts w:ascii="Calibri" w:eastAsia="Calibri" w:hAnsi="Calibri" w:cs="Calibri"/>
      <w:color w:val="002060"/>
      <w:sz w:val="24"/>
    </w:rPr>
  </w:style>
  <w:style w:type="character" w:customStyle="1" w:styleId="a63">
    <w:name w:val="רגיל ממה תו"/>
    <w:basedOn w:val="DefaultParagraphFont"/>
    <w:link w:val="a62"/>
    <w:rsid w:val="00513B88"/>
    <w:rPr>
      <w:rFonts w:ascii="Calibri" w:eastAsia="Calibri" w:hAnsi="Calibri" w:cs="Calibri"/>
      <w:color w:val="002060"/>
      <w:sz w:val="24"/>
    </w:rPr>
  </w:style>
  <w:style w:type="paragraph" w:customStyle="1" w:styleId="a64">
    <w:name w:val="סיכום ממה"/>
    <w:basedOn w:val="Normal"/>
    <w:next w:val="Normal"/>
    <w:link w:val="a65"/>
    <w:qFormat/>
    <w:rsid w:val="00513B88"/>
    <w:pPr>
      <w:spacing w:line="276" w:lineRule="auto"/>
      <w:ind w:left="1140"/>
    </w:pPr>
    <w:rPr>
      <w:rFonts w:ascii="Calibri" w:eastAsia="Calibri" w:hAnsi="Calibri" w:cs="Calibri"/>
      <w:b/>
      <w:bCs/>
      <w:color w:val="FFFFFF" w:themeColor="background1"/>
      <w:sz w:val="2"/>
      <w:szCs w:val="2"/>
    </w:rPr>
  </w:style>
  <w:style w:type="character" w:customStyle="1" w:styleId="a65">
    <w:name w:val="סיכום ממה תו"/>
    <w:basedOn w:val="DefaultParagraphFont"/>
    <w:link w:val="a64"/>
    <w:rsid w:val="00513B88"/>
    <w:rPr>
      <w:rFonts w:ascii="Calibri" w:eastAsia="Calibri" w:hAnsi="Calibri" w:cs="Calibri"/>
      <w:b/>
      <w:bCs/>
      <w:color w:val="FFFFFF" w:themeColor="background1"/>
      <w:sz w:val="2"/>
      <w:szCs w:val="2"/>
    </w:rPr>
  </w:style>
  <w:style w:type="paragraph" w:customStyle="1" w:styleId="a66">
    <w:name w:val="טקסט סיכום ממה"/>
    <w:basedOn w:val="Normal"/>
    <w:next w:val="Normal"/>
    <w:qFormat/>
    <w:rsid w:val="00513B88"/>
    <w:pPr>
      <w:widowControl w:val="0"/>
      <w:spacing w:after="240" w:line="280" w:lineRule="exact"/>
      <w:ind w:left="1140"/>
    </w:pPr>
    <w:rPr>
      <w:rFonts w:ascii="Calibri" w:eastAsia="Calibri" w:hAnsi="Calibri" w:cs="Calibri"/>
      <w:bCs/>
      <w:color w:val="002060"/>
      <w:sz w:val="24"/>
    </w:rPr>
  </w:style>
  <w:style w:type="paragraph" w:customStyle="1" w:styleId="a67">
    <w:name w:val="סיכום ביניים ממה"/>
    <w:basedOn w:val="Normal"/>
    <w:next w:val="Normal"/>
    <w:qFormat/>
    <w:rsid w:val="00513B88"/>
    <w:pPr>
      <w:widowControl w:val="0"/>
      <w:spacing w:before="240" w:after="240"/>
      <w:ind w:left="1134"/>
    </w:pPr>
    <w:rPr>
      <w:rFonts w:ascii="Calibri" w:eastAsia="Calibri" w:hAnsi="Calibri" w:cs="Calibri"/>
      <w:noProof/>
      <w:color w:val="002060"/>
      <w:sz w:val="24"/>
    </w:rPr>
  </w:style>
  <w:style w:type="paragraph" w:customStyle="1" w:styleId="a68">
    <w:name w:val="טקסט סיכום ביניים ממה"/>
    <w:basedOn w:val="Normal"/>
    <w:next w:val="Normal"/>
    <w:qFormat/>
    <w:rsid w:val="00513B88"/>
    <w:pPr>
      <w:widowControl w:val="0"/>
      <w:spacing w:after="240" w:line="280" w:lineRule="exact"/>
      <w:ind w:left="1134"/>
    </w:pPr>
    <w:rPr>
      <w:rFonts w:ascii="Calibri" w:eastAsia="Calibri" w:hAnsi="Calibri" w:cs="Calibri"/>
      <w:bCs/>
      <w:color w:val="002060"/>
      <w:sz w:val="24"/>
    </w:rPr>
  </w:style>
  <w:style w:type="paragraph" w:customStyle="1" w:styleId="a69">
    <w:name w:val="תרשים ממה"/>
    <w:basedOn w:val="Normal"/>
    <w:next w:val="Normal"/>
    <w:link w:val="a70"/>
    <w:qFormat/>
    <w:rsid w:val="00513B88"/>
    <w:pPr>
      <w:keepNext/>
      <w:keepLines/>
      <w:widowControl w:val="0"/>
      <w:numPr>
        <w:numId w:val="50"/>
      </w:numPr>
      <w:spacing w:line="280" w:lineRule="exact"/>
      <w:jc w:val="center"/>
      <w:outlineLvl w:val="6"/>
    </w:pPr>
    <w:rPr>
      <w:rFonts w:ascii="Calibri" w:eastAsia="Calibri" w:hAnsi="Calibri" w:cs="Calibri"/>
      <w:b/>
      <w:bCs/>
      <w:color w:val="002060"/>
      <w:sz w:val="24"/>
    </w:rPr>
  </w:style>
  <w:style w:type="character" w:customStyle="1" w:styleId="a70">
    <w:name w:val="תרשים ממה תו"/>
    <w:basedOn w:val="DefaultParagraphFont"/>
    <w:link w:val="a69"/>
    <w:rsid w:val="00513B88"/>
    <w:rPr>
      <w:rFonts w:ascii="Calibri" w:eastAsia="Calibri" w:hAnsi="Calibri" w:cs="Calibri"/>
      <w:b/>
      <w:bCs/>
      <w:color w:val="002060"/>
      <w:sz w:val="24"/>
    </w:rPr>
  </w:style>
  <w:style w:type="paragraph" w:customStyle="1" w:styleId="a71">
    <w:name w:val="תמונה ממה"/>
    <w:basedOn w:val="Normal"/>
    <w:next w:val="Normal"/>
    <w:link w:val="a72"/>
    <w:qFormat/>
    <w:rsid w:val="00513B88"/>
    <w:pPr>
      <w:keepNext/>
      <w:keepLines/>
      <w:widowControl w:val="0"/>
      <w:numPr>
        <w:numId w:val="51"/>
      </w:numPr>
      <w:spacing w:line="280" w:lineRule="exact"/>
      <w:jc w:val="center"/>
      <w:outlineLvl w:val="6"/>
    </w:pPr>
    <w:rPr>
      <w:rFonts w:ascii="Calibri" w:eastAsia="Calibri" w:hAnsi="Calibri" w:cs="Calibri"/>
      <w:b/>
      <w:bCs/>
      <w:color w:val="002060"/>
      <w:sz w:val="24"/>
    </w:rPr>
  </w:style>
  <w:style w:type="character" w:customStyle="1" w:styleId="a72">
    <w:name w:val="תמונה ממה תו"/>
    <w:basedOn w:val="DefaultParagraphFont"/>
    <w:link w:val="a71"/>
    <w:rsid w:val="00513B88"/>
    <w:rPr>
      <w:rFonts w:ascii="Calibri" w:eastAsia="Calibri" w:hAnsi="Calibri" w:cs="Calibri"/>
      <w:b/>
      <w:bCs/>
      <w:color w:val="002060"/>
      <w:sz w:val="24"/>
    </w:rPr>
  </w:style>
  <w:style w:type="paragraph" w:customStyle="1" w:styleId="a73">
    <w:name w:val="לוח ממה"/>
    <w:basedOn w:val="Normal"/>
    <w:next w:val="Normal"/>
    <w:link w:val="a74"/>
    <w:qFormat/>
    <w:rsid w:val="00513B88"/>
    <w:pPr>
      <w:keepNext/>
      <w:keepLines/>
      <w:widowControl w:val="0"/>
      <w:numPr>
        <w:numId w:val="52"/>
      </w:numPr>
      <w:spacing w:line="280" w:lineRule="exact"/>
      <w:jc w:val="center"/>
      <w:outlineLvl w:val="6"/>
    </w:pPr>
    <w:rPr>
      <w:rFonts w:ascii="Calibri" w:eastAsia="Calibri" w:hAnsi="Calibri" w:cs="Calibri"/>
      <w:b/>
      <w:bCs/>
      <w:color w:val="002060"/>
      <w:sz w:val="24"/>
    </w:rPr>
  </w:style>
  <w:style w:type="character" w:customStyle="1" w:styleId="a74">
    <w:name w:val="לוח ממה תו"/>
    <w:basedOn w:val="DefaultParagraphFont"/>
    <w:link w:val="a73"/>
    <w:rsid w:val="00513B88"/>
    <w:rPr>
      <w:rFonts w:ascii="Calibri" w:eastAsia="Calibri" w:hAnsi="Calibri" w:cs="Calibri"/>
      <w:b/>
      <w:bCs/>
      <w:color w:val="002060"/>
      <w:sz w:val="24"/>
    </w:rPr>
  </w:style>
  <w:style w:type="paragraph" w:customStyle="1" w:styleId="a75">
    <w:name w:val="מפה ממה"/>
    <w:basedOn w:val="Normal"/>
    <w:next w:val="Normal"/>
    <w:link w:val="a76"/>
    <w:qFormat/>
    <w:rsid w:val="00513B88"/>
    <w:pPr>
      <w:keepNext/>
      <w:keepLines/>
      <w:widowControl w:val="0"/>
      <w:numPr>
        <w:numId w:val="53"/>
      </w:numPr>
      <w:spacing w:line="280" w:lineRule="exact"/>
      <w:jc w:val="center"/>
      <w:outlineLvl w:val="6"/>
    </w:pPr>
    <w:rPr>
      <w:rFonts w:ascii="Calibri" w:eastAsia="Calibri" w:hAnsi="Calibri" w:cs="Calibri"/>
      <w:b/>
      <w:bCs/>
      <w:color w:val="002060"/>
      <w:sz w:val="24"/>
    </w:rPr>
  </w:style>
  <w:style w:type="character" w:customStyle="1" w:styleId="a76">
    <w:name w:val="מפה ממה תו"/>
    <w:basedOn w:val="DefaultParagraphFont"/>
    <w:link w:val="a75"/>
    <w:rsid w:val="00513B88"/>
    <w:rPr>
      <w:rFonts w:ascii="Calibri" w:eastAsia="Calibri" w:hAnsi="Calibri" w:cs="Calibri"/>
      <w:b/>
      <w:bCs/>
      <w:color w:val="002060"/>
      <w:sz w:val="24"/>
    </w:rPr>
  </w:style>
  <w:style w:type="paragraph" w:customStyle="1" w:styleId="a77">
    <w:name w:val="מקור ממה"/>
    <w:basedOn w:val="Normal"/>
    <w:next w:val="Normal"/>
    <w:qFormat/>
    <w:rsid w:val="00513B88"/>
    <w:pPr>
      <w:keepNext/>
      <w:keepLines/>
      <w:widowControl w:val="0"/>
      <w:ind w:left="1134"/>
    </w:pPr>
    <w:rPr>
      <w:rFonts w:ascii="Calibri" w:eastAsia="Calibri" w:hAnsi="Calibri" w:cs="Calibri"/>
      <w:color w:val="002060"/>
      <w:szCs w:val="20"/>
    </w:rPr>
  </w:style>
  <w:style w:type="paragraph" w:customStyle="1" w:styleId="a78">
    <w:name w:val="אובייקט ממה"/>
    <w:basedOn w:val="Normal"/>
    <w:next w:val="Normal"/>
    <w:qFormat/>
    <w:rsid w:val="00513B88"/>
    <w:pPr>
      <w:keepNext/>
      <w:widowControl w:val="0"/>
      <w:spacing w:line="269" w:lineRule="auto"/>
      <w:ind w:left="1134"/>
    </w:pPr>
    <w:rPr>
      <w:rFonts w:ascii="Calibri" w:eastAsia="Calibri" w:hAnsi="Calibri" w:cs="Calibri"/>
      <w:noProof/>
      <w:color w:val="002060"/>
      <w:sz w:val="24"/>
    </w:rPr>
  </w:style>
  <w:style w:type="paragraph" w:customStyle="1" w:styleId="a79">
    <w:name w:val="רכיבי המבוא ממה"/>
    <w:basedOn w:val="Normal"/>
    <w:link w:val="a80"/>
    <w:qFormat/>
    <w:rsid w:val="00513B8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80">
    <w:name w:val="רכיבי המבוא ממה תו"/>
    <w:basedOn w:val="DefaultParagraphFont"/>
    <w:link w:val="a79"/>
    <w:rsid w:val="00513B88"/>
    <w:rPr>
      <w:rFonts w:ascii="Calibri" w:eastAsia="Calibri" w:hAnsi="Calibri" w:cs="Calibri"/>
      <w:color w:val="002060"/>
      <w:szCs w:val="20"/>
    </w:rPr>
  </w:style>
  <w:style w:type="paragraph" w:customStyle="1" w:styleId="a81">
    <w:name w:val="אייקון במבוא ממה"/>
    <w:basedOn w:val="Normal"/>
    <w:link w:val="a82"/>
    <w:qFormat/>
    <w:rsid w:val="00513B8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82">
    <w:name w:val="אייקון במבוא ממה תו"/>
    <w:basedOn w:val="DefaultParagraphFont"/>
    <w:link w:val="a81"/>
    <w:rsid w:val="00513B88"/>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031F-D9E6-4D5E-91F1-FBA51E865FCF}"/>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TotalTime>
  <Pages>9</Pages>
  <Words>3551</Words>
  <Characters>17757</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2024-01-08T09:29:00Z</cp:lastPrinted>
  <dcterms:created xsi:type="dcterms:W3CDTF">2024-05-19T07:48:00Z</dcterms:created>
  <dcterms:modified xsi:type="dcterms:W3CDTF">2024-05-19T07:54:00Z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