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2.8.0 -->
  <w:body>
    <w:sdt>
      <w:sdtPr>
        <w:rPr>
          <w:rFonts w:ascii="Times New Roman" w:hAnsi="Times New Roman" w:cs="David"/>
          <w:b w:val="0"/>
          <w:bCs w:val="0"/>
          <w:color w:val="auto"/>
          <w:sz w:val="32"/>
          <w:szCs w:val="32"/>
        </w:rPr>
        <w:id w:val="-758902378"/>
        <w:docPartObj>
          <w:docPartGallery w:val="Cover Pages"/>
          <w:docPartUnique/>
        </w:docPartObj>
      </w:sdtPr>
      <w:sdtEndPr>
        <w:rPr>
          <w:sz w:val="22"/>
          <w:szCs w:val="22"/>
        </w:rPr>
      </w:sdtEndPr>
      <w:sdtContent>
        <w:p w:rsidR="009E10F4" w:rsidRPr="003C0C22" w:rsidP="00D963D2" w14:paraId="03E16566" w14:textId="13163D0B">
          <w:pPr>
            <w:pStyle w:val="7125"/>
            <w:bidi w:val="0"/>
            <w:spacing w:before="0" w:after="0"/>
            <w:ind w:right="2778"/>
            <w:jc w:val="center"/>
            <w:rPr>
              <w:sz w:val="32"/>
              <w:szCs w:val="32"/>
              <w:rtl/>
            </w:rPr>
          </w:pPr>
          <w:r w:rsidRPr="003C0C22">
            <w:rPr>
              <w:sz w:val="32"/>
              <w:szCs w:val="32"/>
            </w:rPr>
            <w:t>State Comptroller Report</w:t>
          </w:r>
        </w:p>
        <w:p w:rsidR="009E10F4" w:rsidRPr="00B963A6" w:rsidP="002F6D6C" w14:paraId="78FB9D1E" w14:textId="4D3812D4">
          <w:pPr>
            <w:pStyle w:val="7125"/>
            <w:bidi w:val="0"/>
            <w:spacing w:before="80" w:after="0"/>
            <w:ind w:left="-112" w:right="2551" w:hanging="1"/>
            <w:jc w:val="center"/>
            <w:rPr>
              <w:b w:val="0"/>
              <w:bCs w:val="0"/>
              <w:spacing w:val="72"/>
              <w:sz w:val="30"/>
              <w:szCs w:val="30"/>
              <w:rtl/>
            </w:rPr>
          </w:pPr>
          <w:r w:rsidRPr="002F6D6C">
            <w:rPr>
              <w:b w:val="0"/>
              <w:bCs w:val="0"/>
              <w:spacing w:val="72"/>
              <w:sz w:val="30"/>
              <w:szCs w:val="30"/>
            </w:rPr>
            <w:t xml:space="preserve">May </w:t>
          </w:r>
          <w:r w:rsidRPr="002F6D6C">
            <w:rPr>
              <w:rFonts w:hint="cs"/>
              <w:b w:val="0"/>
              <w:bCs w:val="0"/>
              <w:spacing w:val="72"/>
              <w:sz w:val="30"/>
              <w:szCs w:val="30"/>
              <w:rtl/>
            </w:rPr>
            <w:t>202</w:t>
          </w:r>
          <w:r w:rsidRPr="002F6D6C">
            <w:rPr>
              <w:b w:val="0"/>
              <w:bCs w:val="0"/>
              <w:spacing w:val="72"/>
              <w:sz w:val="30"/>
              <w:szCs w:val="30"/>
            </w:rPr>
            <w:t>4</w:t>
          </w:r>
          <w:r>
            <w:rPr>
              <w:rFonts w:hint="cs"/>
              <w:b w:val="0"/>
              <w:bCs w:val="0"/>
              <w:spacing w:val="72"/>
              <w:sz w:val="30"/>
              <w:szCs w:val="30"/>
              <w:rtl/>
            </w:rPr>
            <w:t xml:space="preserve"> | </w:t>
          </w:r>
          <w:r w:rsidRPr="002F6D6C" w:rsidR="002F6D6C">
            <w:rPr>
              <w:b w:val="0"/>
              <w:bCs w:val="0"/>
              <w:spacing w:val="72"/>
              <w:sz w:val="30"/>
              <w:szCs w:val="30"/>
            </w:rPr>
            <w:t xml:space="preserve">74B, 74C </w:t>
          </w:r>
        </w:p>
        <w:p w:rsidR="009E10F4" w:rsidRPr="00810FB6" w:rsidP="006229F2" w14:paraId="67C78866" w14:textId="5730937B">
          <w:pPr>
            <w:pStyle w:val="7125"/>
            <w:bidi w:val="0"/>
            <w:spacing w:before="180" w:after="0"/>
            <w:ind w:left="114" w:right="2692" w:hanging="1"/>
            <w:jc w:val="center"/>
            <w:rPr>
              <w:b w:val="0"/>
              <w:bCs w:val="0"/>
              <w:spacing w:val="160"/>
              <w:sz w:val="38"/>
              <w:szCs w:val="38"/>
            </w:rPr>
          </w:pPr>
          <w:r w:rsidRPr="00810FB6">
            <w:rPr>
              <w:rFonts w:hint="cs"/>
              <w:b w:val="0"/>
              <w:bCs w:val="0"/>
              <w:noProof/>
              <w:spacing w:val="160"/>
              <w:sz w:val="38"/>
              <w:szCs w:val="38"/>
              <w:rtl/>
            </w:rPr>
            <mc:AlternateContent>
              <mc:Choice Requires="wps">
                <w:drawing>
                  <wp:anchor distT="0" distB="0" distL="114300" distR="114300" simplePos="0" relativeHeight="251684864" behindDoc="0" locked="0" layoutInCell="1" allowOverlap="1">
                    <wp:simplePos x="0" y="0"/>
                    <wp:positionH relativeFrom="column">
                      <wp:posOffset>185420</wp:posOffset>
                    </wp:positionH>
                    <wp:positionV relativeFrom="paragraph">
                      <wp:posOffset>40217</wp:posOffset>
                    </wp:positionV>
                    <wp:extent cx="2552488" cy="0"/>
                    <wp:effectExtent l="0" t="0" r="13335" b="12700"/>
                    <wp:wrapNone/>
                    <wp:docPr id="5" name="Straight Connector 40"/>
                    <wp:cNvGraphicFramePr/>
                    <a:graphic xmlns:a="http://schemas.openxmlformats.org/drawingml/2006/main">
                      <a:graphicData uri="http://schemas.microsoft.com/office/word/2010/wordprocessingShape">
                        <wps:wsp xmlns:wps="http://schemas.microsoft.com/office/word/2010/wordprocessingShape">
                          <wps:cNvCnPr/>
                          <wps:spPr>
                            <a:xfrm flipH="1">
                              <a:off x="0" y="0"/>
                              <a:ext cx="2552488" cy="0"/>
                            </a:xfrm>
                            <a:prstGeom prst="line">
                              <a:avLst/>
                            </a:prstGeom>
                            <a:ln w="12700">
                              <a:solidFill>
                                <a:srgbClr val="00305F"/>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40" o:spid="_x0000_s1026" style="flip:x;mso-width-percent:0;mso-width-relative:margin;mso-wrap-distance-bottom:0;mso-wrap-distance-left:9pt;mso-wrap-distance-right:9pt;mso-wrap-distance-top:0;mso-wrap-style:square;position:absolute;visibility:visible;z-index:251685888" from="14.6pt,3.15pt" to="215.6pt,3.15pt" strokecolor="#00305f" strokeweight="1pt"/>
                </w:pict>
              </mc:Fallback>
            </mc:AlternateContent>
          </w:r>
          <w:r w:rsidRPr="00810FB6">
            <w:rPr>
              <w:b w:val="0"/>
              <w:bCs w:val="0"/>
              <w:spacing w:val="160"/>
              <w:sz w:val="38"/>
              <w:szCs w:val="38"/>
            </w:rPr>
            <w:t>Abstracts</w:t>
          </w:r>
        </w:p>
        <w:p w:rsidR="00D963D2" w:rsidP="00D963D2" w14:paraId="5E1893C3" w14:textId="77777777">
          <w:pPr>
            <w:pStyle w:val="7125"/>
            <w:bidi w:val="0"/>
            <w:spacing w:before="120" w:after="0"/>
            <w:ind w:right="2778" w:hanging="1"/>
            <w:jc w:val="center"/>
            <w:rPr>
              <w:b w:val="0"/>
              <w:bCs w:val="0"/>
              <w:spacing w:val="148"/>
              <w:sz w:val="36"/>
              <w:szCs w:val="36"/>
              <w:rtl/>
            </w:rPr>
          </w:pPr>
        </w:p>
        <w:p w:rsidR="009E10F4" w14:paraId="3B2E64CF" w14:textId="20AC7AA3">
          <w:pPr>
            <w:bidi w:val="0"/>
            <w:spacing w:after="200" w:line="276" w:lineRule="auto"/>
            <w:rPr>
              <w:rFonts w:ascii="Tahoma" w:hAnsi="Tahoma" w:cs="Tahoma"/>
              <w:sz w:val="22"/>
              <w:szCs w:val="22"/>
            </w:rPr>
          </w:pPr>
          <w:r>
            <w:rPr>
              <w:b/>
              <w:bCs/>
              <w:noProof/>
              <w:sz w:val="22"/>
              <w:szCs w:val="22"/>
              <w:rtl/>
              <w:lang w:val="he-IL"/>
            </w:rPr>
            <mc:AlternateContent>
              <mc:Choice Requires="wps">
                <w:drawing>
                  <wp:anchor distT="0" distB="0" distL="114300" distR="114300" simplePos="0" relativeHeight="251699200" behindDoc="0" locked="0" layoutInCell="1" allowOverlap="1">
                    <wp:simplePos x="0" y="0"/>
                    <wp:positionH relativeFrom="column">
                      <wp:posOffset>4329755</wp:posOffset>
                    </wp:positionH>
                    <wp:positionV relativeFrom="paragraph">
                      <wp:posOffset>5762758</wp:posOffset>
                    </wp:positionV>
                    <wp:extent cx="1063256" cy="616688"/>
                    <wp:effectExtent l="12700" t="12700" r="16510" b="18415"/>
                    <wp:wrapNone/>
                    <wp:docPr id="4" name="מלבן 4"/>
                    <wp:cNvGraphicFramePr/>
                    <a:graphic xmlns:a="http://schemas.openxmlformats.org/drawingml/2006/main">
                      <a:graphicData uri="http://schemas.microsoft.com/office/word/2010/wordprocessingShape">
                        <wps:wsp xmlns:wps="http://schemas.microsoft.com/office/word/2010/wordprocessingShape">
                          <wps:cNvSpPr/>
                          <wps:spPr>
                            <a:xfrm>
                              <a:off x="0" y="0"/>
                              <a:ext cx="1063256" cy="616688"/>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anchor>
                </w:drawing>
              </mc:Choice>
              <mc:Fallback>
                <w:pict>
                  <v:rect id="מלבן 4" o:spid="_x0000_s1027" style="width:83.7pt;height:48.55pt;margin-top:453.75pt;margin-left:340.95pt;mso-wrap-distance-bottom:0;mso-wrap-distance-left:9pt;mso-wrap-distance-right:9pt;mso-wrap-distance-top:0;mso-wrap-style:square;position:absolute;visibility:visible;v-text-anchor:middle;z-index:251700224" fillcolor="white" strokecolor="white" strokeweight="2pt"/>
                </w:pict>
              </mc:Fallback>
            </mc:AlternateContent>
          </w:r>
          <w:r>
            <w:rPr>
              <w:b/>
              <w:bCs/>
              <w:noProof/>
              <w:sz w:val="22"/>
              <w:szCs w:val="22"/>
              <w:rtl/>
              <w:lang w:val="he-IL"/>
            </w:rPr>
            <mc:AlternateContent>
              <mc:Choice Requires="wps">
                <w:drawing>
                  <wp:anchor distT="0" distB="0" distL="114300" distR="114300" simplePos="0" relativeHeight="251686912" behindDoc="0" locked="0" layoutInCell="1" allowOverlap="1">
                    <wp:simplePos x="0" y="0"/>
                    <wp:positionH relativeFrom="column">
                      <wp:posOffset>4290060</wp:posOffset>
                    </wp:positionH>
                    <wp:positionV relativeFrom="paragraph">
                      <wp:posOffset>5814241</wp:posOffset>
                    </wp:positionV>
                    <wp:extent cx="1454331" cy="923109"/>
                    <wp:effectExtent l="12700" t="12700" r="19050" b="17145"/>
                    <wp:wrapNone/>
                    <wp:docPr id="15" name="מלבן 15"/>
                    <wp:cNvGraphicFramePr/>
                    <a:graphic xmlns:a="http://schemas.openxmlformats.org/drawingml/2006/main">
                      <a:graphicData uri="http://schemas.microsoft.com/office/word/2010/wordprocessingShape">
                        <wps:wsp xmlns:wps="http://schemas.microsoft.com/office/word/2010/wordprocessingShape">
                          <wps:cNvSpPr/>
                          <wps:spPr>
                            <a:xfrm>
                              <a:off x="0" y="0"/>
                              <a:ext cx="1454331" cy="923109"/>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anchor>
                </w:drawing>
              </mc:Choice>
              <mc:Fallback>
                <w:pict>
                  <v:rect id="מלבן 15" o:spid="_x0000_s1028" style="width:114.5pt;height:72.7pt;margin-top:457.8pt;margin-left:337.8pt;mso-wrap-distance-bottom:0;mso-wrap-distance-left:9pt;mso-wrap-distance-right:9pt;mso-wrap-distance-top:0;mso-wrap-style:square;position:absolute;visibility:visible;v-text-anchor:middle;z-index:251687936" fillcolor="white" strokecolor="white" strokeweight="2pt"/>
                </w:pict>
              </mc:Fallback>
            </mc:AlternateContent>
          </w:r>
          <w:r w:rsidR="001A1E88">
            <w:rPr>
              <w:b/>
              <w:bCs/>
              <w:sz w:val="22"/>
              <w:szCs w:val="22"/>
              <w:rtl/>
            </w:rPr>
            <w:br w:type="page"/>
          </w:r>
          <w:r w:rsidR="00F06766">
            <w:rPr>
              <w:b/>
              <w:bCs/>
              <w:noProof/>
              <w:sz w:val="22"/>
              <w:szCs w:val="22"/>
              <w:rtl/>
              <w:lang w:val="he-IL"/>
            </w:rPr>
            <mc:AlternateContent>
              <mc:Choice Requires="wps">
                <w:drawing>
                  <wp:anchor distT="0" distB="0" distL="114300" distR="114300" simplePos="0" relativeHeight="251705344" behindDoc="0" locked="0" layoutInCell="1" allowOverlap="1">
                    <wp:simplePos x="0" y="0"/>
                    <wp:positionH relativeFrom="column">
                      <wp:posOffset>3942806</wp:posOffset>
                    </wp:positionH>
                    <wp:positionV relativeFrom="paragraph">
                      <wp:posOffset>7197181</wp:posOffset>
                    </wp:positionV>
                    <wp:extent cx="1454331" cy="735058"/>
                    <wp:effectExtent l="12700" t="12700" r="19050" b="14605"/>
                    <wp:wrapNone/>
                    <wp:docPr id="48" name="מלבן 48"/>
                    <wp:cNvGraphicFramePr/>
                    <a:graphic xmlns:a="http://schemas.openxmlformats.org/drawingml/2006/main">
                      <a:graphicData uri="http://schemas.microsoft.com/office/word/2010/wordprocessingShape">
                        <wps:wsp xmlns:wps="http://schemas.microsoft.com/office/word/2010/wordprocessingShape">
                          <wps:cNvSpPr/>
                          <wps:spPr>
                            <a:xfrm>
                              <a:off x="0" y="0"/>
                              <a:ext cx="1454331" cy="735058"/>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V relativeFrom="margin">
                      <wp14:pctHeight>0</wp14:pctHeight>
                    </wp14:sizeRelV>
                  </wp:anchor>
                </w:drawing>
              </mc:Choice>
              <mc:Fallback>
                <w:pict>
                  <v:rect id="מלבן 48" o:spid="_x0000_s1029" style="width:114.5pt;height:57.9pt;margin-top:566.7pt;margin-left:310.45pt;mso-height-percent:0;mso-height-relative:margin;mso-wrap-distance-bottom:0;mso-wrap-distance-left:9pt;mso-wrap-distance-right:9pt;mso-wrap-distance-top:0;mso-wrap-style:square;position:absolute;visibility:visible;v-text-anchor:middle;z-index:251706368" fillcolor="white" strokecolor="white" strokeweight="2pt"/>
                </w:pict>
              </mc:Fallback>
            </mc:AlternateContent>
          </w:r>
          <w:r>
            <w:rPr>
              <w:b/>
              <w:bCs/>
              <w:noProof/>
              <w:sz w:val="22"/>
              <w:szCs w:val="22"/>
              <w:rtl/>
              <w:lang w:val="he-IL"/>
            </w:rPr>
            <mc:AlternateContent>
              <mc:Choice Requires="wps">
                <w:drawing>
                  <wp:anchor distT="0" distB="0" distL="114300" distR="114300" simplePos="0" relativeHeight="251688960" behindDoc="0" locked="0" layoutInCell="1" allowOverlap="1">
                    <wp:simplePos x="0" y="0"/>
                    <wp:positionH relativeFrom="column">
                      <wp:posOffset>-879566</wp:posOffset>
                    </wp:positionH>
                    <wp:positionV relativeFrom="paragraph">
                      <wp:posOffset>7005683</wp:posOffset>
                    </wp:positionV>
                    <wp:extent cx="1454331" cy="923109"/>
                    <wp:effectExtent l="12700" t="12700" r="19050" b="17145"/>
                    <wp:wrapNone/>
                    <wp:docPr id="23" name="מלבן 23"/>
                    <wp:cNvGraphicFramePr/>
                    <a:graphic xmlns:a="http://schemas.openxmlformats.org/drawingml/2006/main">
                      <a:graphicData uri="http://schemas.microsoft.com/office/word/2010/wordprocessingShape">
                        <wps:wsp xmlns:wps="http://schemas.microsoft.com/office/word/2010/wordprocessingShape">
                          <wps:cNvSpPr/>
                          <wps:spPr>
                            <a:xfrm>
                              <a:off x="0" y="0"/>
                              <a:ext cx="1454331" cy="923109"/>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anchor>
                </w:drawing>
              </mc:Choice>
              <mc:Fallback>
                <w:pict>
                  <v:rect id="מלבן 23" o:spid="_x0000_s1030" style="width:114.5pt;height:72.7pt;margin-top:551.65pt;margin-left:-69.25pt;mso-wrap-distance-bottom:0;mso-wrap-distance-left:9pt;mso-wrap-distance-right:9pt;mso-wrap-distance-top:0;mso-wrap-style:square;position:absolute;visibility:visible;v-text-anchor:middle;z-index:251689984" fillcolor="white" strokecolor="white" strokeweight="2pt"/>
                </w:pict>
              </mc:Fallback>
            </mc:AlternateContent>
          </w:r>
          <w:r>
            <w:rPr>
              <w:rFonts w:ascii="Tahoma" w:hAnsi="Tahoma" w:cs="Tahoma"/>
              <w:sz w:val="22"/>
              <w:szCs w:val="22"/>
            </w:rPr>
            <w:br w:type="page"/>
          </w:r>
        </w:p>
        <w:p w:rsidR="001A1E88" w14:paraId="14BE303F" w14:textId="49A3AAE0">
          <w:pPr>
            <w:bidi w:val="0"/>
            <w:spacing w:after="200" w:line="276" w:lineRule="auto"/>
            <w:rPr>
              <w:rFonts w:ascii="Tahoma" w:hAnsi="Tahoma" w:cs="Tahoma"/>
              <w:sz w:val="22"/>
              <w:szCs w:val="22"/>
              <w:rtl/>
            </w:rPr>
          </w:pPr>
        </w:p>
      </w:sdtContent>
    </w:sdt>
    <w:p w:rsidR="000615B4" w:rsidP="000615B4" w14:paraId="14B4D122" w14:textId="26DF3EC0">
      <w:pPr>
        <w:pStyle w:val="12021"/>
        <w:spacing w:before="480"/>
        <w:rPr>
          <w:sz w:val="52"/>
          <w:szCs w:val="52"/>
          <w:rtl/>
        </w:rPr>
      </w:pPr>
      <w:r>
        <w:rPr>
          <w:noProof/>
          <w:color w:val="002060"/>
          <w:sz w:val="18"/>
          <w:szCs w:val="18"/>
        </w:rPr>
        <w:drawing>
          <wp:anchor distT="0" distB="0" distL="114300" distR="114300" simplePos="0" relativeHeight="251661312" behindDoc="0" locked="0" layoutInCell="1" allowOverlap="1">
            <wp:simplePos x="0" y="0"/>
            <wp:positionH relativeFrom="column">
              <wp:posOffset>2117090</wp:posOffset>
            </wp:positionH>
            <wp:positionV relativeFrom="paragraph">
              <wp:posOffset>30881</wp:posOffset>
            </wp:positionV>
            <wp:extent cx="431800" cy="518795"/>
            <wp:effectExtent l="0" t="0" r="0" b="1905"/>
            <wp:wrapNone/>
            <wp:docPr id="611" name="Picture 576" descr="תמונה שמכילה טקסט&#10;&#10;התיאור נוצר באופן אוטומט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1" name="Picture 576" descr="תמונה שמכילה טקסט&#10;&#10;התיאור נוצר באופן אוטומטי"/>
                    <pic:cNvPicPr/>
                  </pic:nvPicPr>
                  <pic:blipFill>
                    <a:blip xmlns:r="http://schemas.openxmlformats.org/officeDocument/2006/relationships" r:embed="rId10" cstate="print">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a:xfrm>
                      <a:off x="0" y="0"/>
                      <a:ext cx="431800" cy="518795"/>
                    </a:xfrm>
                    <a:prstGeom prst="rect">
                      <a:avLst/>
                    </a:prstGeom>
                  </pic:spPr>
                </pic:pic>
              </a:graphicData>
            </a:graphic>
            <wp14:sizeRelH relativeFrom="margin">
              <wp14:pctWidth>0</wp14:pctWidth>
            </wp14:sizeRelH>
            <wp14:sizeRelV relativeFrom="margin">
              <wp14:pctHeight>0</wp14:pctHeight>
            </wp14:sizeRelV>
          </wp:anchor>
        </w:drawing>
      </w:r>
    </w:p>
    <w:p w:rsidR="000615B4" w:rsidRPr="007A76A0" w:rsidP="000615B4" w14:paraId="77C7B959" w14:textId="5223D6EC">
      <w:pPr>
        <w:pStyle w:val="12021"/>
        <w:bidi w:val="0"/>
        <w:spacing w:before="480"/>
        <w:rPr>
          <w:sz w:val="24"/>
          <w:szCs w:val="24"/>
          <w:rtl/>
        </w:rPr>
      </w:pPr>
      <w:r w:rsidRPr="00C85089">
        <w:rPr>
          <w:sz w:val="24"/>
          <w:szCs w:val="24"/>
        </w:rPr>
        <w:t>State of Israel</w:t>
      </w:r>
    </w:p>
    <w:p w:rsidR="000615B4" w:rsidP="000615B4" w14:paraId="441E8DC8" w14:textId="1B8AFCE2">
      <w:pPr>
        <w:pStyle w:val="12021"/>
        <w:spacing w:before="480"/>
        <w:rPr>
          <w:sz w:val="52"/>
          <w:szCs w:val="52"/>
        </w:rPr>
      </w:pPr>
    </w:p>
    <w:p w:rsidR="00402757" w:rsidP="000615B4" w14:paraId="10B47431" w14:textId="38091580">
      <w:pPr>
        <w:pStyle w:val="12021"/>
        <w:spacing w:before="480"/>
        <w:rPr>
          <w:sz w:val="52"/>
          <w:szCs w:val="52"/>
          <w:rtl/>
        </w:rPr>
      </w:pPr>
    </w:p>
    <w:p w:rsidR="001A1E88" w:rsidRPr="00810FB6" w:rsidP="001A1E88" w14:paraId="6641FAF6" w14:textId="43F8F174">
      <w:pPr>
        <w:pStyle w:val="12021"/>
        <w:bidi w:val="0"/>
        <w:spacing w:after="0" w:line="700" w:lineRule="exact"/>
        <w:rPr>
          <w:noProof/>
          <w:sz w:val="48"/>
          <w:szCs w:val="48"/>
          <w:rtl/>
        </w:rPr>
      </w:pPr>
      <w:r w:rsidRPr="00810FB6">
        <w:rPr>
          <w:sz w:val="48"/>
          <w:szCs w:val="48"/>
        </w:rPr>
        <w:t>State Comptroller</w:t>
      </w:r>
      <w:r w:rsidRPr="00810FB6">
        <w:rPr>
          <w:rFonts w:hint="cs"/>
          <w:sz w:val="48"/>
          <w:szCs w:val="48"/>
          <w:rtl/>
        </w:rPr>
        <w:t xml:space="preserve"> </w:t>
      </w:r>
      <w:r w:rsidRPr="00810FB6" w:rsidR="00141BD3">
        <w:rPr>
          <w:sz w:val="48"/>
          <w:szCs w:val="48"/>
        </w:rPr>
        <w:t>Report</w:t>
      </w:r>
    </w:p>
    <w:p w:rsidR="001A1E88" w:rsidRPr="002F6D6C" w:rsidP="002F6D6C" w14:paraId="00B7CF9C" w14:textId="2BE19FBB">
      <w:pPr>
        <w:pStyle w:val="12021"/>
        <w:bidi w:val="0"/>
        <w:spacing w:before="0" w:line="700" w:lineRule="exact"/>
        <w:ind w:left="227"/>
        <w:rPr>
          <w:b w:val="0"/>
          <w:bCs w:val="0"/>
          <w:noProof/>
          <w:spacing w:val="154"/>
          <w:sz w:val="36"/>
          <w:szCs w:val="36"/>
        </w:rPr>
      </w:pPr>
      <w:r w:rsidRPr="002F6D6C">
        <w:rPr>
          <w:b w:val="0"/>
          <w:bCs w:val="0"/>
          <w:noProof/>
          <w:spacing w:val="154"/>
          <w:sz w:val="36"/>
          <w:szCs w:val="36"/>
        </w:rPr>
        <w:t>May 2024</w:t>
      </w:r>
      <w:r w:rsidRPr="002F6D6C">
        <w:rPr>
          <w:b w:val="0"/>
          <w:bCs w:val="0"/>
          <w:noProof/>
          <w:spacing w:val="154"/>
          <w:sz w:val="36"/>
          <w:szCs w:val="36"/>
          <w14:textOutline w14:w="9525" w14:cap="rnd">
            <w14:noFill/>
            <w14:prstDash w14:val="solid"/>
            <w14:bevel/>
          </w14:textOutline>
        </w:rPr>
        <mc:AlternateContent>
          <mc:Choice Requires="wps">
            <w:drawing>
              <wp:anchor distT="0" distB="0" distL="114300" distR="114300" simplePos="0" relativeHeight="251682816" behindDoc="0" locked="0" layoutInCell="1" allowOverlap="1">
                <wp:simplePos x="0" y="0"/>
                <wp:positionH relativeFrom="column">
                  <wp:posOffset>424620</wp:posOffset>
                </wp:positionH>
                <wp:positionV relativeFrom="paragraph">
                  <wp:posOffset>534755</wp:posOffset>
                </wp:positionV>
                <wp:extent cx="3828230" cy="0"/>
                <wp:effectExtent l="0" t="12700" r="20320" b="12700"/>
                <wp:wrapNone/>
                <wp:docPr id="2123057087" name="Straight Connector 15"/>
                <wp:cNvGraphicFramePr/>
                <a:graphic xmlns:a="http://schemas.openxmlformats.org/drawingml/2006/main">
                  <a:graphicData uri="http://schemas.microsoft.com/office/word/2010/wordprocessingShape">
                    <wps:wsp xmlns:wps="http://schemas.microsoft.com/office/word/2010/wordprocessingShape">
                      <wps:cNvCnPr/>
                      <wps:spPr>
                        <a:xfrm>
                          <a:off x="0" y="0"/>
                          <a:ext cx="3828230" cy="0"/>
                        </a:xfrm>
                        <a:prstGeom prst="line">
                          <a:avLst/>
                        </a:prstGeom>
                        <a:ln w="19050">
                          <a:solidFill>
                            <a:srgbClr val="00305F"/>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5" o:spid="_x0000_s1031" style="mso-height-percent:0;mso-height-relative:margin;mso-width-percent:0;mso-width-relative:margin;mso-wrap-distance-bottom:0;mso-wrap-distance-left:9pt;mso-wrap-distance-right:9pt;mso-wrap-distance-top:0;mso-wrap-style:square;position:absolute;visibility:visible;z-index:251683840" from="33.45pt,42.1pt" to="334.9pt,42.1pt" strokecolor="#00305f" strokeweight="1.5pt"/>
            </w:pict>
          </mc:Fallback>
        </mc:AlternateContent>
      </w:r>
      <w:r>
        <w:rPr>
          <w:rFonts w:hint="cs"/>
          <w:b w:val="0"/>
          <w:bCs w:val="0"/>
          <w:noProof/>
          <w:spacing w:val="154"/>
          <w:sz w:val="36"/>
          <w:szCs w:val="36"/>
          <w:rtl/>
        </w:rPr>
        <w:t xml:space="preserve"> | </w:t>
      </w:r>
      <w:r w:rsidRPr="002F6D6C" w:rsidR="002F6D6C">
        <w:rPr>
          <w:b w:val="0"/>
          <w:bCs w:val="0"/>
          <w:noProof/>
          <w:spacing w:val="154"/>
          <w:sz w:val="36"/>
          <w:szCs w:val="36"/>
        </w:rPr>
        <w:t xml:space="preserve">74B, 74C </w:t>
      </w:r>
    </w:p>
    <w:p w:rsidR="00697F31" w:rsidRPr="00522B96" w:rsidP="006229F2" w14:paraId="0C52A523" w14:textId="5A0820F4">
      <w:pPr>
        <w:pStyle w:val="12021"/>
        <w:bidi w:val="0"/>
        <w:spacing w:before="240" w:line="700" w:lineRule="exact"/>
        <w:ind w:left="170"/>
        <w:rPr>
          <w:b w:val="0"/>
          <w:bCs w:val="0"/>
          <w:spacing w:val="214"/>
          <w:sz w:val="48"/>
          <w:szCs w:val="48"/>
        </w:rPr>
      </w:pPr>
      <w:r w:rsidRPr="00522B96">
        <w:rPr>
          <w:b w:val="0"/>
          <w:bCs w:val="0"/>
          <w:spacing w:val="214"/>
          <w:sz w:val="48"/>
          <w:szCs w:val="48"/>
        </w:rPr>
        <w:t>Abstracts</w:t>
      </w:r>
    </w:p>
    <w:p w:rsidR="000615B4" w:rsidP="00697F31" w14:paraId="4A8FB872" w14:textId="5995F852">
      <w:pPr>
        <w:spacing w:line="240" w:lineRule="atLeast"/>
        <w:rPr>
          <w:rFonts w:ascii="Tahoma" w:hAnsi="Tahoma" w:cs="Tahoma"/>
          <w:sz w:val="22"/>
          <w:szCs w:val="22"/>
          <w:rtl/>
        </w:rPr>
      </w:pPr>
    </w:p>
    <w:p w:rsidR="000615B4" w:rsidP="000615B4" w14:paraId="06A3C1A3" w14:textId="77777777">
      <w:pPr>
        <w:spacing w:line="240" w:lineRule="atLeast"/>
        <w:rPr>
          <w:rFonts w:ascii="Tahoma" w:hAnsi="Tahoma" w:cs="Tahoma"/>
          <w:sz w:val="22"/>
          <w:szCs w:val="22"/>
          <w:rtl/>
        </w:rPr>
      </w:pPr>
    </w:p>
    <w:p w:rsidR="000615B4" w:rsidP="000615B4" w14:paraId="534843FC" w14:textId="0C553859">
      <w:pPr>
        <w:spacing w:line="240" w:lineRule="atLeast"/>
        <w:rPr>
          <w:rFonts w:ascii="Tahoma" w:hAnsi="Tahoma" w:cs="Tahoma"/>
          <w:sz w:val="22"/>
          <w:szCs w:val="22"/>
        </w:rPr>
      </w:pPr>
    </w:p>
    <w:p w:rsidR="000615B4" w:rsidP="000615B4" w14:paraId="3A4268AA" w14:textId="5E7407D8">
      <w:pPr>
        <w:spacing w:line="240" w:lineRule="atLeast"/>
        <w:rPr>
          <w:rFonts w:ascii="Tahoma" w:hAnsi="Tahoma" w:cs="Tahoma"/>
          <w:sz w:val="22"/>
          <w:szCs w:val="22"/>
        </w:rPr>
      </w:pPr>
    </w:p>
    <w:p w:rsidR="009E10F4" w:rsidP="000615B4" w14:paraId="245DD48B" w14:textId="3EAFA1A0">
      <w:pPr>
        <w:spacing w:line="240" w:lineRule="atLeast"/>
        <w:rPr>
          <w:rFonts w:ascii="Tahoma" w:hAnsi="Tahoma" w:cs="Tahoma"/>
          <w:sz w:val="22"/>
          <w:szCs w:val="22"/>
        </w:rPr>
      </w:pPr>
    </w:p>
    <w:p w:rsidR="009E10F4" w:rsidP="000615B4" w14:paraId="72D85BC0" w14:textId="0B0CDC41">
      <w:pPr>
        <w:spacing w:line="240" w:lineRule="atLeast"/>
        <w:rPr>
          <w:rFonts w:ascii="Tahoma" w:hAnsi="Tahoma" w:cs="Tahoma"/>
          <w:sz w:val="22"/>
          <w:szCs w:val="22"/>
        </w:rPr>
      </w:pPr>
    </w:p>
    <w:p w:rsidR="009E10F4" w:rsidP="000615B4" w14:paraId="78570A36" w14:textId="3E2FA570">
      <w:pPr>
        <w:spacing w:line="240" w:lineRule="atLeast"/>
        <w:rPr>
          <w:rFonts w:ascii="Tahoma" w:hAnsi="Tahoma" w:cs="Tahoma"/>
          <w:sz w:val="22"/>
          <w:szCs w:val="22"/>
        </w:rPr>
      </w:pPr>
    </w:p>
    <w:p w:rsidR="009E10F4" w:rsidP="000615B4" w14:paraId="44EAA236" w14:textId="03B74CAA">
      <w:pPr>
        <w:spacing w:line="240" w:lineRule="atLeast"/>
        <w:rPr>
          <w:rFonts w:ascii="Tahoma" w:hAnsi="Tahoma" w:cs="Tahoma"/>
          <w:sz w:val="22"/>
          <w:szCs w:val="22"/>
          <w:rtl/>
        </w:rPr>
      </w:pPr>
    </w:p>
    <w:p w:rsidR="000615B4" w:rsidP="000615B4" w14:paraId="20B60917" w14:textId="779051DA">
      <w:pPr>
        <w:spacing w:line="240" w:lineRule="atLeast"/>
        <w:rPr>
          <w:rFonts w:ascii="Tahoma" w:hAnsi="Tahoma" w:cs="Tahoma"/>
          <w:sz w:val="22"/>
          <w:szCs w:val="22"/>
        </w:rPr>
      </w:pPr>
    </w:p>
    <w:p w:rsidR="00C158FE" w:rsidRPr="00C158FE" w:rsidP="000615B4" w14:paraId="76A115FF" w14:textId="67FAEB1E">
      <w:pPr>
        <w:spacing w:line="240" w:lineRule="atLeast"/>
        <w:rPr>
          <w:rFonts w:ascii="Tahoma" w:hAnsi="Tahoma" w:cs="Tahoma"/>
          <w:sz w:val="22"/>
          <w:szCs w:val="22"/>
        </w:rPr>
      </w:pPr>
      <w:r>
        <w:rPr>
          <w:rFonts w:ascii="Tahoma" w:hAnsi="Tahoma" w:cs="Tahoma"/>
          <w:noProof/>
          <w:sz w:val="22"/>
          <w:szCs w:val="22"/>
          <w:rtl/>
          <w:lang w:val="he-IL"/>
        </w:rPr>
        <mc:AlternateContent>
          <mc:Choice Requires="wps">
            <w:drawing>
              <wp:anchor distT="0" distB="0" distL="114300" distR="114300" simplePos="0" relativeHeight="251672576" behindDoc="0" locked="0" layoutInCell="1" allowOverlap="1">
                <wp:simplePos x="0" y="0"/>
                <wp:positionH relativeFrom="column">
                  <wp:posOffset>-736600</wp:posOffset>
                </wp:positionH>
                <wp:positionV relativeFrom="paragraph">
                  <wp:posOffset>788307</wp:posOffset>
                </wp:positionV>
                <wp:extent cx="1048043" cy="703384"/>
                <wp:effectExtent l="12700" t="12700" r="19050" b="8255"/>
                <wp:wrapNone/>
                <wp:docPr id="1" name="מלבן 1"/>
                <wp:cNvGraphicFramePr/>
                <a:graphic xmlns:a="http://schemas.openxmlformats.org/drawingml/2006/main">
                  <a:graphicData uri="http://schemas.microsoft.com/office/word/2010/wordprocessingShape">
                    <wps:wsp xmlns:wps="http://schemas.microsoft.com/office/word/2010/wordprocessingShape">
                      <wps:cNvSpPr/>
                      <wps:spPr>
                        <a:xfrm>
                          <a:off x="0" y="0"/>
                          <a:ext cx="1048043" cy="703384"/>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anchor>
            </w:drawing>
          </mc:Choice>
          <mc:Fallback>
            <w:pict>
              <v:rect id="מלבן 1" o:spid="_x0000_s1032" style="width:82.5pt;height:55.4pt;margin-top:62.05pt;margin-left:-58pt;mso-wrap-distance-bottom:0;mso-wrap-distance-left:9pt;mso-wrap-distance-right:9pt;mso-wrap-distance-top:0;mso-wrap-style:square;position:absolute;visibility:visible;v-text-anchor:middle;z-index:251673600" fillcolor="white" strokecolor="white" strokeweight="2pt"/>
            </w:pict>
          </mc:Fallback>
        </mc:AlternateContent>
      </w:r>
    </w:p>
    <w:p w:rsidR="00402757" w:rsidP="000615B4" w14:paraId="036CFED0" w14:textId="05841745">
      <w:pPr>
        <w:spacing w:line="240" w:lineRule="atLeast"/>
        <w:rPr>
          <w:rFonts w:ascii="Tahoma" w:hAnsi="Tahoma" w:cs="Tahoma"/>
          <w:sz w:val="22"/>
          <w:szCs w:val="22"/>
        </w:rPr>
      </w:pPr>
      <w:r>
        <w:rPr>
          <w:rFonts w:ascii="Tahoma" w:hAnsi="Tahoma" w:cs="Tahoma"/>
          <w:noProof/>
          <w:sz w:val="22"/>
          <w:szCs w:val="22"/>
          <w:rtl/>
          <w:lang w:val="he-IL"/>
        </w:rPr>
        <w:drawing>
          <wp:anchor distT="0" distB="0" distL="114300" distR="114300" simplePos="0" relativeHeight="251660288" behindDoc="0" locked="0" layoutInCell="1" allowOverlap="1">
            <wp:simplePos x="0" y="0"/>
            <wp:positionH relativeFrom="column">
              <wp:posOffset>1781175</wp:posOffset>
            </wp:positionH>
            <wp:positionV relativeFrom="paragraph">
              <wp:posOffset>167005</wp:posOffset>
            </wp:positionV>
            <wp:extent cx="1010285" cy="707390"/>
            <wp:effectExtent l="0" t="0" r="0" b="0"/>
            <wp:wrapSquare wrapText="bothSides"/>
            <wp:docPr id="613"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3" name="Picture 10"/>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1010285" cy="707390"/>
                    </a:xfrm>
                    <a:prstGeom prst="rect">
                      <a:avLst/>
                    </a:prstGeom>
                  </pic:spPr>
                </pic:pic>
              </a:graphicData>
            </a:graphic>
            <wp14:sizeRelH relativeFrom="margin">
              <wp14:pctWidth>0</wp14:pctWidth>
            </wp14:sizeRelH>
            <wp14:sizeRelV relativeFrom="margin">
              <wp14:pctHeight>0</wp14:pctHeight>
            </wp14:sizeRelV>
          </wp:anchor>
        </w:drawing>
      </w:r>
    </w:p>
    <w:p w:rsidR="00402757" w:rsidP="000615B4" w14:paraId="25127AC0" w14:textId="16BD09F4">
      <w:pPr>
        <w:spacing w:line="240" w:lineRule="atLeast"/>
        <w:rPr>
          <w:rFonts w:ascii="Tahoma" w:hAnsi="Tahoma" w:cs="Tahoma"/>
          <w:sz w:val="22"/>
          <w:szCs w:val="22"/>
          <w:rtl/>
        </w:rPr>
      </w:pPr>
    </w:p>
    <w:p w:rsidR="000615B4" w:rsidP="000615B4" w14:paraId="02878E34" w14:textId="2876A559">
      <w:pPr>
        <w:spacing w:line="240" w:lineRule="atLeast"/>
        <w:rPr>
          <w:rFonts w:ascii="Tahoma" w:hAnsi="Tahoma" w:cs="Tahoma"/>
          <w:sz w:val="22"/>
          <w:szCs w:val="22"/>
          <w:rtl/>
        </w:rPr>
      </w:pPr>
    </w:p>
    <w:p w:rsidR="000615B4" w:rsidP="000615B4" w14:paraId="25670203" w14:textId="4F045FC6">
      <w:pPr>
        <w:spacing w:line="240" w:lineRule="atLeast"/>
        <w:rPr>
          <w:rFonts w:ascii="Tahoma" w:hAnsi="Tahoma" w:cs="Tahoma"/>
          <w:sz w:val="22"/>
          <w:szCs w:val="22"/>
          <w:rtl/>
        </w:rPr>
      </w:pPr>
    </w:p>
    <w:p w:rsidR="000615B4" w:rsidP="000615B4" w14:paraId="7BC4EB81" w14:textId="03F94948">
      <w:pPr>
        <w:spacing w:line="240" w:lineRule="atLeast"/>
        <w:jc w:val="center"/>
        <w:rPr>
          <w:rFonts w:ascii="Tahoma" w:hAnsi="Tahoma" w:cs="Tahoma"/>
          <w:sz w:val="24"/>
          <w:rtl/>
        </w:rPr>
      </w:pPr>
    </w:p>
    <w:p w:rsidR="000615B4" w:rsidP="000615B4" w14:paraId="4C8BB078" w14:textId="7EF6FA18">
      <w:pPr>
        <w:bidi w:val="0"/>
        <w:spacing w:line="240" w:lineRule="atLeast"/>
        <w:jc w:val="center"/>
        <w:rPr>
          <w:rFonts w:ascii="Tahoma" w:hAnsi="Tahoma" w:cs="Tahoma"/>
          <w:sz w:val="24"/>
        </w:rPr>
      </w:pPr>
    </w:p>
    <w:p w:rsidR="009E10F4" w:rsidRPr="00112923" w:rsidP="009E10F4" w14:paraId="3D93FAA1" w14:textId="36E730F4">
      <w:pPr>
        <w:bidi w:val="0"/>
        <w:spacing w:line="240" w:lineRule="atLeast"/>
        <w:jc w:val="center"/>
        <w:rPr>
          <w:rFonts w:ascii="Tahoma" w:hAnsi="Tahoma" w:cs="Tahoma"/>
          <w:sz w:val="24"/>
          <w:rtl/>
        </w:rPr>
      </w:pPr>
      <w:r>
        <w:rPr>
          <w:b/>
          <w:bCs/>
          <w:noProof/>
          <w:sz w:val="22"/>
          <w:szCs w:val="22"/>
          <w:rtl/>
          <w:lang w:val="he-IL"/>
        </w:rPr>
        <mc:AlternateContent>
          <mc:Choice Requires="wps">
            <w:drawing>
              <wp:anchor distT="0" distB="0" distL="114300" distR="114300" simplePos="0" relativeHeight="251703296" behindDoc="0" locked="0" layoutInCell="1" allowOverlap="1">
                <wp:simplePos x="0" y="0"/>
                <wp:positionH relativeFrom="column">
                  <wp:posOffset>-783771</wp:posOffset>
                </wp:positionH>
                <wp:positionV relativeFrom="paragraph">
                  <wp:posOffset>576036</wp:posOffset>
                </wp:positionV>
                <wp:extent cx="1454331" cy="735058"/>
                <wp:effectExtent l="12700" t="12700" r="19050" b="14605"/>
                <wp:wrapNone/>
                <wp:docPr id="47" name="מלבן 47"/>
                <wp:cNvGraphicFramePr/>
                <a:graphic xmlns:a="http://schemas.openxmlformats.org/drawingml/2006/main">
                  <a:graphicData uri="http://schemas.microsoft.com/office/word/2010/wordprocessingShape">
                    <wps:wsp xmlns:wps="http://schemas.microsoft.com/office/word/2010/wordprocessingShape">
                      <wps:cNvSpPr/>
                      <wps:spPr>
                        <a:xfrm>
                          <a:off x="0" y="0"/>
                          <a:ext cx="1454331" cy="735058"/>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V relativeFrom="margin">
                  <wp14:pctHeight>0</wp14:pctHeight>
                </wp14:sizeRelV>
              </wp:anchor>
            </w:drawing>
          </mc:Choice>
          <mc:Fallback>
            <w:pict>
              <v:rect id="מלבן 47" o:spid="_x0000_s1033" style="width:114.5pt;height:57.9pt;margin-top:45.35pt;margin-left:-61.7pt;mso-height-percent:0;mso-height-relative:margin;mso-wrap-distance-bottom:0;mso-wrap-distance-left:9pt;mso-wrap-distance-right:9pt;mso-wrap-distance-top:0;mso-wrap-style:square;position:absolute;visibility:visible;v-text-anchor:middle;z-index:251704320" fillcolor="white" strokecolor="white" strokeweight="2pt"/>
            </w:pict>
          </mc:Fallback>
        </mc:AlternateContent>
      </w:r>
      <w:r w:rsidR="00522B96">
        <w:rPr>
          <w:b/>
          <w:bCs/>
          <w:noProof/>
          <w:sz w:val="22"/>
          <w:szCs w:val="22"/>
          <w:rtl/>
          <w:lang w:val="he-IL"/>
        </w:rPr>
        <mc:AlternateContent>
          <mc:Choice Requires="wps">
            <w:drawing>
              <wp:anchor distT="0" distB="0" distL="114300" distR="114300" simplePos="0" relativeHeight="251693056" behindDoc="0" locked="0" layoutInCell="1" allowOverlap="1">
                <wp:simplePos x="0" y="0"/>
                <wp:positionH relativeFrom="column">
                  <wp:posOffset>4210685</wp:posOffset>
                </wp:positionH>
                <wp:positionV relativeFrom="paragraph">
                  <wp:posOffset>533128</wp:posOffset>
                </wp:positionV>
                <wp:extent cx="1454331" cy="923109"/>
                <wp:effectExtent l="12700" t="12700" r="19050" b="17145"/>
                <wp:wrapNone/>
                <wp:docPr id="33" name="מלבן 33"/>
                <wp:cNvGraphicFramePr/>
                <a:graphic xmlns:a="http://schemas.openxmlformats.org/drawingml/2006/main">
                  <a:graphicData uri="http://schemas.microsoft.com/office/word/2010/wordprocessingShape">
                    <wps:wsp xmlns:wps="http://schemas.microsoft.com/office/word/2010/wordprocessingShape">
                      <wps:cNvSpPr/>
                      <wps:spPr>
                        <a:xfrm>
                          <a:off x="0" y="0"/>
                          <a:ext cx="1454331" cy="923109"/>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anchor>
            </w:drawing>
          </mc:Choice>
          <mc:Fallback>
            <w:pict>
              <v:rect id="מלבן 33" o:spid="_x0000_s1034" style="width:114.5pt;height:72.7pt;margin-top:42pt;margin-left:331.55pt;mso-wrap-distance-bottom:0;mso-wrap-distance-left:9pt;mso-wrap-distance-right:9pt;mso-wrap-distance-top:0;mso-wrap-style:square;position:absolute;visibility:visible;v-text-anchor:middle;z-index:251694080" fillcolor="white" strokecolor="white" strokeweight="2pt"/>
            </w:pict>
          </mc:Fallback>
        </mc:AlternateContent>
      </w:r>
      <w:r>
        <w:rPr>
          <w:rFonts w:ascii="Tahoma" w:hAnsi="Tahoma" w:cs="Tahoma"/>
          <w:sz w:val="24"/>
        </w:rPr>
        <w:t>Office of the State Comptroller</w:t>
      </w:r>
      <w:r>
        <w:rPr>
          <w:rFonts w:ascii="Tahoma" w:hAnsi="Tahoma" w:cs="Tahoma" w:hint="cs"/>
          <w:sz w:val="24"/>
          <w:rtl/>
        </w:rPr>
        <w:t xml:space="preserve"> | </w:t>
      </w:r>
      <w:r>
        <w:rPr>
          <w:rFonts w:ascii="Tahoma" w:hAnsi="Tahoma" w:cs="Tahoma" w:hint="cs"/>
          <w:sz w:val="24"/>
        </w:rPr>
        <w:t>J</w:t>
      </w:r>
      <w:r>
        <w:rPr>
          <w:rFonts w:ascii="Tahoma" w:hAnsi="Tahoma" w:cs="Tahoma"/>
          <w:sz w:val="24"/>
        </w:rPr>
        <w:t>erusalem</w:t>
      </w:r>
    </w:p>
    <w:p w:rsidR="00C32B66" w:rsidRPr="00976119" w:rsidP="009E10F4" w14:paraId="1E0A7CF6" w14:textId="3D920AB6">
      <w:pPr>
        <w:bidi w:val="0"/>
        <w:spacing w:line="240" w:lineRule="atLeast"/>
        <w:jc w:val="center"/>
        <w:rPr>
          <w:b/>
          <w:bCs/>
          <w:spacing w:val="140"/>
          <w:sz w:val="50"/>
          <w:szCs w:val="50"/>
          <w:rtl/>
        </w:rPr>
      </w:pPr>
    </w:p>
    <w:p w:rsidR="00035688" w:rsidP="00BA14FE" w14:paraId="54C6801D" w14:textId="16D66B76">
      <w:pPr>
        <w:spacing w:line="240" w:lineRule="atLeast"/>
        <w:rPr>
          <w:rFonts w:ascii="Tahoma" w:hAnsi="Tahoma" w:cs="Tahoma"/>
          <w:sz w:val="22"/>
          <w:szCs w:val="22"/>
          <w:rtl/>
        </w:rPr>
      </w:pPr>
    </w:p>
    <w:p w:rsidR="009C0D3F" w:rsidP="00BA14FE" w14:paraId="056AC312" w14:textId="1CB5857C">
      <w:pPr>
        <w:spacing w:line="240" w:lineRule="atLeast"/>
        <w:rPr>
          <w:rFonts w:ascii="Tahoma" w:hAnsi="Tahoma" w:cs="Tahoma"/>
          <w:sz w:val="22"/>
          <w:szCs w:val="22"/>
          <w:rtl/>
        </w:rPr>
      </w:pPr>
      <w:r>
        <w:rPr>
          <w:b/>
          <w:bCs/>
          <w:noProof/>
          <w:spacing w:val="140"/>
          <w:sz w:val="50"/>
          <w:szCs w:val="50"/>
          <w:rtl/>
          <w:lang w:val="he-IL"/>
        </w:rPr>
        <mc:AlternateContent>
          <mc:Choice Requires="wps">
            <w:drawing>
              <wp:anchor distT="0" distB="0" distL="114300" distR="114300" simplePos="0" relativeHeight="251662336" behindDoc="0" locked="0" layoutInCell="1" allowOverlap="1">
                <wp:simplePos x="0" y="0"/>
                <wp:positionH relativeFrom="column">
                  <wp:posOffset>-1387475</wp:posOffset>
                </wp:positionH>
                <wp:positionV relativeFrom="paragraph">
                  <wp:posOffset>286113</wp:posOffset>
                </wp:positionV>
                <wp:extent cx="7705725" cy="886938"/>
                <wp:effectExtent l="0" t="0" r="3175" b="2540"/>
                <wp:wrapNone/>
                <wp:docPr id="62" name="Rectangle 11"/>
                <wp:cNvGraphicFramePr/>
                <a:graphic xmlns:a="http://schemas.openxmlformats.org/drawingml/2006/main">
                  <a:graphicData uri="http://schemas.microsoft.com/office/word/2010/wordprocessingShape">
                    <wps:wsp xmlns:wps="http://schemas.microsoft.com/office/word/2010/wordprocessingShape">
                      <wps:cNvSpPr/>
                      <wps:spPr>
                        <a:xfrm>
                          <a:off x="0" y="0"/>
                          <a:ext cx="7705725" cy="886938"/>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1" o:spid="_x0000_s1035" style="width:606.75pt;height:69.85pt;margin-top:22.55pt;margin-left:-109.25pt;mso-height-percent:0;mso-height-relative:margin;mso-width-percent:0;mso-width-relative:margin;mso-wrap-distance-bottom:0;mso-wrap-distance-left:9pt;mso-wrap-distance-right:9pt;mso-wrap-distance-top:0;mso-wrap-style:square;position:absolute;visibility:visible;v-text-anchor:middle;z-index:251663360" fillcolor="white" stroked="f" strokeweight="2pt"/>
            </w:pict>
          </mc:Fallback>
        </mc:AlternateContent>
      </w:r>
    </w:p>
    <w:p w:rsidR="009C0D3F" w:rsidP="00BA14FE" w14:paraId="4B149749" w14:textId="7B64CAA9">
      <w:pPr>
        <w:spacing w:line="240" w:lineRule="atLeast"/>
        <w:rPr>
          <w:rFonts w:ascii="Tahoma" w:hAnsi="Tahoma" w:cs="Tahoma"/>
          <w:sz w:val="22"/>
          <w:szCs w:val="22"/>
          <w:rtl/>
        </w:rPr>
      </w:pPr>
    </w:p>
    <w:p w:rsidR="009C0D3F" w:rsidP="00BA14FE" w14:paraId="4A9449C4" w14:textId="45FF89BA">
      <w:pPr>
        <w:spacing w:line="240" w:lineRule="atLeast"/>
        <w:rPr>
          <w:rFonts w:ascii="Tahoma" w:hAnsi="Tahoma" w:cs="Tahoma"/>
          <w:sz w:val="22"/>
          <w:szCs w:val="22"/>
          <w:rtl/>
        </w:rPr>
      </w:pPr>
      <w:r>
        <w:rPr>
          <w:b/>
          <w:bCs/>
          <w:noProof/>
          <w:spacing w:val="140"/>
          <w:sz w:val="50"/>
          <w:szCs w:val="50"/>
          <w:rtl/>
          <w:lang w:val="he-IL"/>
        </w:rPr>
        <mc:AlternateContent>
          <mc:Choice Requires="wps">
            <w:drawing>
              <wp:anchor distT="0" distB="0" distL="114300" distR="114300" simplePos="0" relativeHeight="251658240" behindDoc="0" locked="0" layoutInCell="1" allowOverlap="1">
                <wp:simplePos x="0" y="0"/>
                <wp:positionH relativeFrom="column">
                  <wp:posOffset>-1477010</wp:posOffset>
                </wp:positionH>
                <wp:positionV relativeFrom="paragraph">
                  <wp:posOffset>239304</wp:posOffset>
                </wp:positionV>
                <wp:extent cx="7705725" cy="1009650"/>
                <wp:effectExtent l="0" t="0" r="9525" b="0"/>
                <wp:wrapNone/>
                <wp:docPr id="11" name="Rectangle 11"/>
                <wp:cNvGraphicFramePr/>
                <a:graphic xmlns:a="http://schemas.openxmlformats.org/drawingml/2006/main">
                  <a:graphicData uri="http://schemas.microsoft.com/office/word/2010/wordprocessingShape">
                    <wps:wsp xmlns:wps="http://schemas.microsoft.com/office/word/2010/wordprocessingShape">
                      <wps:cNvSpPr/>
                      <wps:spPr>
                        <a:xfrm>
                          <a:off x="0" y="0"/>
                          <a:ext cx="7705725" cy="10096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1" o:spid="_x0000_s1036" style="width:606.75pt;height:79.5pt;margin-top:18.85pt;margin-left:-116.3pt;mso-height-percent:0;mso-height-relative:margin;mso-width-percent:0;mso-width-relative:margin;mso-wrap-distance-bottom:0;mso-wrap-distance-left:9pt;mso-wrap-distance-right:9pt;mso-wrap-distance-top:0;mso-wrap-style:square;position:absolute;visibility:visible;v-text-anchor:middle;z-index:251659264" fillcolor="white" stroked="f" strokeweight="2pt"/>
            </w:pict>
          </mc:Fallback>
        </mc:AlternateContent>
      </w:r>
    </w:p>
    <w:p w:rsidR="009C0D3F" w:rsidP="00BA14FE" w14:paraId="3D7DFA0C" w14:textId="77777777">
      <w:pPr>
        <w:spacing w:line="240" w:lineRule="atLeast"/>
        <w:rPr>
          <w:rFonts w:ascii="Tahoma" w:hAnsi="Tahoma" w:cs="Tahoma"/>
          <w:sz w:val="22"/>
          <w:szCs w:val="22"/>
          <w:rtl/>
        </w:rPr>
      </w:pPr>
    </w:p>
    <w:p w:rsidR="009C0D3F" w:rsidP="00BA14FE" w14:paraId="6B694F7D" w14:textId="2EA7DFBB">
      <w:pPr>
        <w:spacing w:line="240" w:lineRule="atLeast"/>
        <w:rPr>
          <w:rFonts w:ascii="Tahoma" w:hAnsi="Tahoma" w:cs="Tahoma"/>
          <w:sz w:val="22"/>
          <w:szCs w:val="22"/>
          <w:rtl/>
        </w:rPr>
      </w:pPr>
    </w:p>
    <w:p w:rsidR="009C0D3F" w:rsidP="00BA14FE" w14:paraId="31CB4AA5" w14:textId="77777777">
      <w:pPr>
        <w:spacing w:line="240" w:lineRule="atLeast"/>
        <w:rPr>
          <w:rFonts w:ascii="Tahoma" w:hAnsi="Tahoma" w:cs="Tahoma"/>
          <w:sz w:val="22"/>
          <w:szCs w:val="22"/>
          <w:rtl/>
        </w:rPr>
      </w:pPr>
    </w:p>
    <w:p w:rsidR="009C0D3F" w:rsidP="00BA14FE" w14:paraId="6E587D0B" w14:textId="77777777">
      <w:pPr>
        <w:spacing w:line="240" w:lineRule="atLeast"/>
        <w:rPr>
          <w:rFonts w:ascii="Tahoma" w:hAnsi="Tahoma" w:cs="Tahoma"/>
          <w:sz w:val="22"/>
          <w:szCs w:val="22"/>
          <w:rtl/>
        </w:rPr>
      </w:pPr>
    </w:p>
    <w:p w:rsidR="009C0D3F" w:rsidP="00BA14FE" w14:paraId="551BDCBA" w14:textId="3C19A639">
      <w:pPr>
        <w:spacing w:line="240" w:lineRule="atLeast"/>
        <w:rPr>
          <w:rFonts w:ascii="Tahoma" w:hAnsi="Tahoma" w:cs="Tahoma"/>
          <w:sz w:val="22"/>
          <w:szCs w:val="22"/>
          <w:rtl/>
        </w:rPr>
      </w:pPr>
    </w:p>
    <w:p w:rsidR="009C0D3F" w:rsidP="00BA14FE" w14:paraId="0DDD10FB" w14:textId="77777777">
      <w:pPr>
        <w:spacing w:line="240" w:lineRule="atLeast"/>
        <w:rPr>
          <w:rFonts w:ascii="Tahoma" w:hAnsi="Tahoma" w:cs="Tahoma"/>
          <w:sz w:val="22"/>
          <w:szCs w:val="22"/>
          <w:rtl/>
        </w:rPr>
      </w:pPr>
    </w:p>
    <w:p w:rsidR="009C0D3F" w:rsidP="00BA14FE" w14:paraId="7E860458" w14:textId="77777777">
      <w:pPr>
        <w:spacing w:line="240" w:lineRule="atLeast"/>
        <w:rPr>
          <w:rFonts w:ascii="Tahoma" w:hAnsi="Tahoma" w:cs="Tahoma"/>
          <w:sz w:val="22"/>
          <w:szCs w:val="22"/>
          <w:rtl/>
        </w:rPr>
      </w:pPr>
    </w:p>
    <w:p w:rsidR="009C0D3F" w:rsidP="00BA14FE" w14:paraId="19D00A26" w14:textId="77777777">
      <w:pPr>
        <w:spacing w:line="240" w:lineRule="atLeast"/>
        <w:rPr>
          <w:rFonts w:ascii="Tahoma" w:hAnsi="Tahoma" w:cs="Tahoma"/>
          <w:sz w:val="22"/>
          <w:szCs w:val="22"/>
          <w:rtl/>
        </w:rPr>
      </w:pPr>
    </w:p>
    <w:p w:rsidR="009C0D3F" w:rsidP="00BA14FE" w14:paraId="004706C2" w14:textId="1E87BD9F">
      <w:pPr>
        <w:spacing w:line="240" w:lineRule="atLeast"/>
        <w:rPr>
          <w:rFonts w:ascii="Tahoma" w:hAnsi="Tahoma" w:cs="Tahoma"/>
          <w:sz w:val="22"/>
          <w:szCs w:val="22"/>
          <w:rtl/>
        </w:rPr>
      </w:pPr>
    </w:p>
    <w:p w:rsidR="009C0D3F" w:rsidP="00BA14FE" w14:paraId="4FCD524B" w14:textId="77777777">
      <w:pPr>
        <w:spacing w:line="240" w:lineRule="atLeast"/>
        <w:rPr>
          <w:rFonts w:ascii="Tahoma" w:hAnsi="Tahoma" w:cs="Tahoma"/>
          <w:sz w:val="22"/>
          <w:szCs w:val="22"/>
          <w:rtl/>
        </w:rPr>
      </w:pPr>
    </w:p>
    <w:p w:rsidR="009C0D3F" w:rsidP="00BA14FE" w14:paraId="735E4AA0" w14:textId="5D0DFD2A">
      <w:pPr>
        <w:spacing w:line="240" w:lineRule="atLeast"/>
        <w:rPr>
          <w:rFonts w:ascii="Tahoma" w:hAnsi="Tahoma" w:cs="Tahoma"/>
          <w:sz w:val="22"/>
          <w:szCs w:val="22"/>
          <w:rtl/>
        </w:rPr>
      </w:pPr>
    </w:p>
    <w:p w:rsidR="009C0D3F" w:rsidP="00BA14FE" w14:paraId="220D50AA" w14:textId="1CD5D6F1">
      <w:pPr>
        <w:spacing w:line="240" w:lineRule="atLeast"/>
        <w:rPr>
          <w:rFonts w:ascii="Tahoma" w:hAnsi="Tahoma" w:cs="Tahoma"/>
          <w:sz w:val="22"/>
          <w:szCs w:val="22"/>
        </w:rPr>
      </w:pPr>
    </w:p>
    <w:p w:rsidR="00C158FE" w:rsidP="00BA14FE" w14:paraId="52A3A667" w14:textId="6B33A8DD">
      <w:pPr>
        <w:spacing w:line="240" w:lineRule="atLeast"/>
        <w:rPr>
          <w:rFonts w:ascii="Tahoma" w:hAnsi="Tahoma" w:cs="Tahoma"/>
          <w:sz w:val="22"/>
          <w:szCs w:val="22"/>
        </w:rPr>
      </w:pPr>
    </w:p>
    <w:p w:rsidR="00C158FE" w:rsidP="00BA14FE" w14:paraId="37E21242" w14:textId="77777777">
      <w:pPr>
        <w:spacing w:line="240" w:lineRule="atLeast"/>
        <w:rPr>
          <w:rFonts w:ascii="Tahoma" w:hAnsi="Tahoma" w:cs="Tahoma"/>
          <w:sz w:val="22"/>
          <w:szCs w:val="22"/>
          <w:rtl/>
        </w:rPr>
      </w:pPr>
    </w:p>
    <w:p w:rsidR="009C0D3F" w:rsidP="00BA14FE" w14:paraId="6493080B" w14:textId="36D51C69">
      <w:pPr>
        <w:spacing w:line="240" w:lineRule="atLeast"/>
        <w:rPr>
          <w:rFonts w:ascii="Tahoma" w:hAnsi="Tahoma" w:cs="Tahoma"/>
          <w:sz w:val="22"/>
          <w:szCs w:val="22"/>
          <w:rtl/>
        </w:rPr>
      </w:pPr>
    </w:p>
    <w:p w:rsidR="009C0D3F" w:rsidP="00BA14FE" w14:paraId="14A3F766" w14:textId="38552405">
      <w:pPr>
        <w:spacing w:line="240" w:lineRule="atLeast"/>
        <w:rPr>
          <w:rFonts w:ascii="Tahoma" w:hAnsi="Tahoma" w:cs="Tahoma"/>
          <w:sz w:val="22"/>
          <w:szCs w:val="22"/>
          <w:rtl/>
        </w:rPr>
      </w:pPr>
    </w:p>
    <w:p w:rsidR="009C0D3F" w:rsidP="00BA14FE" w14:paraId="260836E0" w14:textId="5D9050F3">
      <w:pPr>
        <w:spacing w:line="240" w:lineRule="atLeast"/>
        <w:rPr>
          <w:rFonts w:ascii="Tahoma" w:hAnsi="Tahoma" w:cs="Tahoma"/>
          <w:sz w:val="22"/>
          <w:szCs w:val="22"/>
          <w:rtl/>
        </w:rPr>
      </w:pPr>
    </w:p>
    <w:p w:rsidR="009C0D3F" w:rsidP="00BA14FE" w14:paraId="11198336" w14:textId="4A3A0719">
      <w:pPr>
        <w:spacing w:line="240" w:lineRule="atLeast"/>
        <w:rPr>
          <w:rFonts w:ascii="Tahoma" w:hAnsi="Tahoma" w:cs="Tahoma"/>
          <w:sz w:val="22"/>
          <w:szCs w:val="22"/>
        </w:rPr>
      </w:pPr>
    </w:p>
    <w:p w:rsidR="004961C5" w:rsidP="00BA14FE" w14:paraId="2F2F1850" w14:textId="3CC47175">
      <w:pPr>
        <w:spacing w:line="240" w:lineRule="atLeast"/>
        <w:rPr>
          <w:rFonts w:ascii="Tahoma" w:hAnsi="Tahoma" w:cs="Tahoma"/>
          <w:sz w:val="22"/>
          <w:szCs w:val="22"/>
        </w:rPr>
      </w:pPr>
    </w:p>
    <w:p w:rsidR="004961C5" w:rsidP="00BA14FE" w14:paraId="5741586A" w14:textId="77777777">
      <w:pPr>
        <w:spacing w:line="240" w:lineRule="atLeast"/>
        <w:rPr>
          <w:rFonts w:ascii="Tahoma" w:hAnsi="Tahoma" w:cs="Tahoma"/>
          <w:sz w:val="22"/>
          <w:szCs w:val="22"/>
          <w:rtl/>
        </w:rPr>
      </w:pPr>
    </w:p>
    <w:p w:rsidR="009C0D3F" w:rsidP="00BA14FE" w14:paraId="0B4A98AF" w14:textId="77777777">
      <w:pPr>
        <w:spacing w:line="240" w:lineRule="atLeast"/>
        <w:rPr>
          <w:rFonts w:ascii="Tahoma" w:hAnsi="Tahoma" w:cs="Tahoma"/>
          <w:sz w:val="22"/>
          <w:szCs w:val="22"/>
          <w:rtl/>
        </w:rPr>
      </w:pPr>
    </w:p>
    <w:p w:rsidR="009C0D3F" w:rsidP="00BA14FE" w14:paraId="1552CA9B" w14:textId="77777777">
      <w:pPr>
        <w:spacing w:line="240" w:lineRule="atLeast"/>
        <w:rPr>
          <w:rFonts w:ascii="Tahoma" w:hAnsi="Tahoma" w:cs="Tahoma"/>
          <w:sz w:val="22"/>
          <w:szCs w:val="22"/>
          <w:rtl/>
        </w:rPr>
      </w:pPr>
    </w:p>
    <w:p w:rsidR="009C0D3F" w:rsidP="00BA14FE" w14:paraId="6303BB99" w14:textId="5454D4DF">
      <w:pPr>
        <w:spacing w:line="240" w:lineRule="atLeast"/>
        <w:rPr>
          <w:rFonts w:ascii="Tahoma" w:hAnsi="Tahoma" w:cs="Tahoma"/>
          <w:sz w:val="22"/>
          <w:szCs w:val="22"/>
          <w:rtl/>
        </w:rPr>
      </w:pPr>
    </w:p>
    <w:p w:rsidR="00275375" w14:paraId="0FD2778B" w14:textId="63B49901">
      <w:pPr>
        <w:bidi w:val="0"/>
        <w:spacing w:after="200" w:line="276" w:lineRule="auto"/>
        <w:rPr>
          <w:rFonts w:ascii="Tahoma" w:hAnsi="Tahoma" w:cs="Tahoma"/>
          <w:sz w:val="24"/>
        </w:rPr>
      </w:pPr>
    </w:p>
    <w:p w:rsidR="00977579" w:rsidP="00977579" w14:paraId="10EB9738" w14:textId="604F850B">
      <w:pPr>
        <w:pStyle w:val="7190"/>
        <w:jc w:val="center"/>
        <w:rPr>
          <w:rtl/>
        </w:rPr>
      </w:pPr>
    </w:p>
    <w:p w:rsidR="009F3FCB" w:rsidRPr="00064016" w:rsidP="009F3FCB" w14:paraId="67DBE061" w14:textId="7BE37893">
      <w:pPr>
        <w:pStyle w:val="7190"/>
        <w:spacing w:after="120"/>
        <w:jc w:val="center"/>
      </w:pPr>
      <w:r>
        <w:t xml:space="preserve">Catalogue Number </w:t>
      </w:r>
      <w:r w:rsidR="002F49AA">
        <w:t>2024</w:t>
      </w:r>
      <w:r w:rsidR="00C46C4D">
        <w:t>-A-</w:t>
      </w:r>
      <w:r w:rsidR="002F49AA">
        <w:t>00</w:t>
      </w:r>
      <w:r w:rsidR="008422A4">
        <w:t>2</w:t>
      </w:r>
      <w:r w:rsidRPr="00064016">
        <w:rPr>
          <w:rtl/>
        </w:rPr>
        <w:t xml:space="preserve"> </w:t>
      </w:r>
    </w:p>
    <w:p w:rsidR="009F3FCB" w:rsidRPr="00064016" w:rsidP="009F3FCB" w14:paraId="793BE398" w14:textId="17E068A5">
      <w:pPr>
        <w:pStyle w:val="7190"/>
        <w:jc w:val="center"/>
        <w:rPr>
          <w:rtl/>
        </w:rPr>
      </w:pPr>
      <w:r w:rsidRPr="00064016">
        <w:t xml:space="preserve">ISSN </w:t>
      </w:r>
      <w:r w:rsidRPr="00300822" w:rsidR="00300822">
        <w:t>0334-9713</w:t>
      </w:r>
    </w:p>
    <w:p w:rsidR="009F3FCB" w:rsidRPr="00064016" w:rsidP="009F3FCB" w14:paraId="08120021" w14:textId="13046AE6">
      <w:pPr>
        <w:pStyle w:val="7190"/>
        <w:jc w:val="center"/>
        <w:rPr>
          <w:rtl/>
        </w:rPr>
      </w:pPr>
      <w:hyperlink r:id="rId12" w:history="1">
        <w:r w:rsidRPr="00064016">
          <w:t>www.mevaker.gov.il</w:t>
        </w:r>
      </w:hyperlink>
    </w:p>
    <w:p w:rsidR="009F3FCB" w:rsidP="009F3FCB" w14:paraId="359BA2FE" w14:textId="28462362">
      <w:pPr>
        <w:pStyle w:val="7190"/>
        <w:jc w:val="center"/>
        <w:rPr>
          <w:rtl/>
        </w:rPr>
      </w:pPr>
      <w:r>
        <w:rPr>
          <w:noProof/>
          <w:sz w:val="22"/>
          <w:szCs w:val="22"/>
          <w:rtl/>
          <w:lang w:val="he-IL"/>
        </w:rPr>
        <mc:AlternateContent>
          <mc:Choice Requires="wps">
            <w:drawing>
              <wp:anchor distT="0" distB="0" distL="114300" distR="114300" simplePos="0" relativeHeight="251674624" behindDoc="0" locked="0" layoutInCell="1" allowOverlap="1">
                <wp:simplePos x="0" y="0"/>
                <wp:positionH relativeFrom="column">
                  <wp:posOffset>4278630</wp:posOffset>
                </wp:positionH>
                <wp:positionV relativeFrom="paragraph">
                  <wp:posOffset>564955</wp:posOffset>
                </wp:positionV>
                <wp:extent cx="1047750" cy="702945"/>
                <wp:effectExtent l="12700" t="12700" r="19050" b="8255"/>
                <wp:wrapNone/>
                <wp:docPr id="3" name="מלבן 3"/>
                <wp:cNvGraphicFramePr/>
                <a:graphic xmlns:a="http://schemas.openxmlformats.org/drawingml/2006/main">
                  <a:graphicData uri="http://schemas.microsoft.com/office/word/2010/wordprocessingShape">
                    <wps:wsp xmlns:wps="http://schemas.microsoft.com/office/word/2010/wordprocessingShape">
                      <wps:cNvSpPr/>
                      <wps:spPr>
                        <a:xfrm>
                          <a:off x="0" y="0"/>
                          <a:ext cx="1047750" cy="70294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anchor>
            </w:drawing>
          </mc:Choice>
          <mc:Fallback>
            <w:pict>
              <v:rect id="מלבן 3" o:spid="_x0000_s1037" style="width:82.5pt;height:55.35pt;margin-top:44.5pt;margin-left:336.9pt;mso-wrap-distance-bottom:0;mso-wrap-distance-left:9pt;mso-wrap-distance-right:9pt;mso-wrap-distance-top:0;mso-wrap-style:square;position:absolute;visibility:visible;v-text-anchor:middle;z-index:251675648" fillcolor="white" strokecolor="white" strokeweight="2pt"/>
            </w:pict>
          </mc:Fallback>
        </mc:AlternateContent>
      </w:r>
    </w:p>
    <w:p w:rsidR="009F3FCB" w:rsidP="009F3FCB" w14:paraId="07B15CE0" w14:textId="3C1D4748">
      <w:pPr>
        <w:pStyle w:val="7190"/>
        <w:jc w:val="center"/>
      </w:pPr>
      <w:r>
        <w:t>Graphic Design: ER Design Team</w:t>
      </w:r>
    </w:p>
    <w:p w:rsidR="00D12792" w:rsidRPr="00EA22FE" w:rsidP="00D12792" w14:paraId="4BD3E2A6" w14:textId="4A44681A">
      <w:pPr>
        <w:tabs>
          <w:tab w:val="right" w:pos="7370"/>
        </w:tabs>
        <w:bidi w:val="0"/>
        <w:spacing w:after="200" w:line="276" w:lineRule="auto"/>
        <w:rPr>
          <w:rtl/>
        </w:rPr>
        <w:sectPr w:rsidSect="007824E3">
          <w:footerReference w:type="even" r:id="rId13"/>
          <w:footerReference w:type="default" r:id="rId14"/>
          <w:headerReference w:type="first" r:id="rId15"/>
          <w:footerReference w:type="first" r:id="rId16"/>
          <w:pgSz w:w="11906" w:h="16838" w:code="9"/>
          <w:pgMar w:top="3062" w:right="2268" w:bottom="2552" w:left="2268" w:header="1134" w:footer="1361" w:gutter="0"/>
          <w:cols w:space="708"/>
          <w:titlePg/>
          <w:bidi/>
          <w:rtlGutter/>
          <w:docGrid w:linePitch="360"/>
        </w:sectPr>
      </w:pPr>
      <w:r>
        <w:rPr>
          <w:b/>
          <w:bCs/>
          <w:noProof/>
          <w:sz w:val="22"/>
          <w:szCs w:val="22"/>
          <w:rtl/>
          <w:lang w:val="he-IL"/>
        </w:rPr>
        <mc:AlternateContent>
          <mc:Choice Requires="wps">
            <w:drawing>
              <wp:anchor distT="0" distB="0" distL="114300" distR="114300" simplePos="0" relativeHeight="251691008" behindDoc="0" locked="0" layoutInCell="1" allowOverlap="1">
                <wp:simplePos x="0" y="0"/>
                <wp:positionH relativeFrom="column">
                  <wp:posOffset>-788307</wp:posOffset>
                </wp:positionH>
                <wp:positionV relativeFrom="paragraph">
                  <wp:posOffset>300355</wp:posOffset>
                </wp:positionV>
                <wp:extent cx="1454331" cy="923109"/>
                <wp:effectExtent l="12700" t="12700" r="19050" b="17145"/>
                <wp:wrapNone/>
                <wp:docPr id="31" name="מלבן 31"/>
                <wp:cNvGraphicFramePr/>
                <a:graphic xmlns:a="http://schemas.openxmlformats.org/drawingml/2006/main">
                  <a:graphicData uri="http://schemas.microsoft.com/office/word/2010/wordprocessingShape">
                    <wps:wsp xmlns:wps="http://schemas.microsoft.com/office/word/2010/wordprocessingShape">
                      <wps:cNvSpPr/>
                      <wps:spPr>
                        <a:xfrm>
                          <a:off x="0" y="0"/>
                          <a:ext cx="1454331" cy="923109"/>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anchor>
            </w:drawing>
          </mc:Choice>
          <mc:Fallback>
            <w:pict>
              <v:rect id="מלבן 31" o:spid="_x0000_s1038" style="width:114.5pt;height:72.7pt;margin-top:23.65pt;margin-left:-62.05pt;mso-wrap-distance-bottom:0;mso-wrap-distance-left:9pt;mso-wrap-distance-right:9pt;mso-wrap-distance-top:0;mso-wrap-style:square;position:absolute;visibility:visible;v-text-anchor:middle;z-index:251692032" fillcolor="white" strokecolor="white" strokeweight="2pt"/>
            </w:pict>
          </mc:Fallback>
        </mc:AlternateContent>
      </w:r>
      <w:r w:rsidR="005D2577">
        <w:rPr>
          <w:b/>
          <w:bCs/>
          <w:noProof/>
          <w:spacing w:val="86"/>
          <w:rtl/>
          <w:lang w:val="he-IL"/>
        </w:rPr>
        <mc:AlternateContent>
          <mc:Choice Requires="wps">
            <w:drawing>
              <wp:anchor distT="0" distB="0" distL="114300" distR="114300" simplePos="0" relativeHeight="251664384" behindDoc="0" locked="0" layoutInCell="1" allowOverlap="1">
                <wp:simplePos x="0" y="0"/>
                <wp:positionH relativeFrom="column">
                  <wp:posOffset>-789744</wp:posOffset>
                </wp:positionH>
                <wp:positionV relativeFrom="paragraph">
                  <wp:posOffset>6041195</wp:posOffset>
                </wp:positionV>
                <wp:extent cx="3528647" cy="504092"/>
                <wp:effectExtent l="0" t="0" r="2540" b="4445"/>
                <wp:wrapNone/>
                <wp:docPr id="589" name="Rectangle 17"/>
                <wp:cNvGraphicFramePr/>
                <a:graphic xmlns:a="http://schemas.openxmlformats.org/drawingml/2006/main">
                  <a:graphicData uri="http://schemas.microsoft.com/office/word/2010/wordprocessingShape">
                    <wps:wsp xmlns:wps="http://schemas.microsoft.com/office/word/2010/wordprocessingShape">
                      <wps:cNvSpPr/>
                      <wps:spPr>
                        <a:xfrm>
                          <a:off x="0" y="0"/>
                          <a:ext cx="3528647" cy="504092"/>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7" o:spid="_x0000_s1039" style="width:277.85pt;height:39.7pt;margin-top:475.7pt;margin-left:-62.2pt;mso-height-percent:0;mso-height-relative:margin;mso-width-percent:0;mso-width-relative:margin;mso-wrap-distance-bottom:0;mso-wrap-distance-left:9pt;mso-wrap-distance-right:9pt;mso-wrap-distance-top:0;mso-wrap-style:square;position:absolute;visibility:visible;v-text-anchor:middle;z-index:251665408" fillcolor="white" stroked="f" strokeweight="2pt"/>
            </w:pict>
          </mc:Fallback>
        </mc:AlternateContent>
      </w:r>
      <w:r w:rsidR="00D80478">
        <w:rPr>
          <w:rFonts w:ascii="Tahoma" w:hAnsi="Tahoma" w:cs="Tahoma"/>
          <w:noProof/>
          <w:sz w:val="22"/>
          <w:szCs w:val="22"/>
          <w:rtl/>
          <w:lang w:val="he-IL"/>
        </w:rPr>
        <mc:AlternateContent>
          <mc:Choice Requires="wps">
            <w:drawing>
              <wp:anchor distT="0" distB="0" distL="114300" distR="114300" simplePos="0" relativeHeight="251670528" behindDoc="0" locked="0" layoutInCell="1" allowOverlap="1">
                <wp:simplePos x="0" y="0"/>
                <wp:positionH relativeFrom="column">
                  <wp:posOffset>4415188</wp:posOffset>
                </wp:positionH>
                <wp:positionV relativeFrom="paragraph">
                  <wp:posOffset>527484</wp:posOffset>
                </wp:positionV>
                <wp:extent cx="1227221" cy="697832"/>
                <wp:effectExtent l="12700" t="12700" r="17780" b="13970"/>
                <wp:wrapNone/>
                <wp:docPr id="27" name="מלבן 27"/>
                <wp:cNvGraphicFramePr/>
                <a:graphic xmlns:a="http://schemas.openxmlformats.org/drawingml/2006/main">
                  <a:graphicData uri="http://schemas.microsoft.com/office/word/2010/wordprocessingShape">
                    <wps:wsp xmlns:wps="http://schemas.microsoft.com/office/word/2010/wordprocessingShape">
                      <wps:cNvSpPr/>
                      <wps:spPr>
                        <a:xfrm>
                          <a:off x="0" y="0"/>
                          <a:ext cx="1227221" cy="697832"/>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anchor>
            </w:drawing>
          </mc:Choice>
          <mc:Fallback>
            <w:pict>
              <v:rect id="מלבן 27" o:spid="_x0000_s1040" style="width:96.65pt;height:54.95pt;margin-top:41.55pt;margin-left:347.65pt;mso-wrap-distance-bottom:0;mso-wrap-distance-left:9pt;mso-wrap-distance-right:9pt;mso-wrap-distance-top:0;mso-wrap-style:square;position:absolute;visibility:visible;v-text-anchor:middle;z-index:251671552" fillcolor="white" strokecolor="white" strokeweight="2pt"/>
            </w:pict>
          </mc:Fallback>
        </mc:AlternateContent>
      </w:r>
      <w:r>
        <w:rPr>
          <w:rFonts w:ascii="Tahoma" w:hAnsi="Tahoma" w:cs="Tahoma"/>
          <w:noProof/>
          <w:sz w:val="22"/>
          <w:szCs w:val="22"/>
          <w:rtl/>
          <w:lang w:val="he-IL"/>
        </w:rPr>
        <mc:AlternateContent>
          <mc:Choice Requires="wps">
            <w:drawing>
              <wp:anchor distT="0" distB="0" distL="114300" distR="114300" simplePos="0" relativeHeight="251666432" behindDoc="0" locked="0" layoutInCell="1" allowOverlap="1">
                <wp:simplePos x="0" y="0"/>
                <wp:positionH relativeFrom="column">
                  <wp:posOffset>4358852</wp:posOffset>
                </wp:positionH>
                <wp:positionV relativeFrom="paragraph">
                  <wp:posOffset>3497369</wp:posOffset>
                </wp:positionV>
                <wp:extent cx="931333" cy="306917"/>
                <wp:effectExtent l="0" t="0" r="0" b="0"/>
                <wp:wrapNone/>
                <wp:docPr id="2123057067" name="Rectangle 24"/>
                <wp:cNvGraphicFramePr/>
                <a:graphic xmlns:a="http://schemas.openxmlformats.org/drawingml/2006/main">
                  <a:graphicData uri="http://schemas.microsoft.com/office/word/2010/wordprocessingShape">
                    <wps:wsp xmlns:wps="http://schemas.microsoft.com/office/word/2010/wordprocessingShape">
                      <wps:cNvSpPr/>
                      <wps:spPr>
                        <a:xfrm flipV="1">
                          <a:off x="0" y="0"/>
                          <a:ext cx="931333" cy="306917"/>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24" o:spid="_x0000_s1041" style="width:73.35pt;height:24.15pt;margin-top:275.4pt;margin-left:343.2pt;flip:y;mso-height-percent:0;mso-height-relative:margin;mso-width-percent:0;mso-width-relative:margin;mso-wrap-distance-bottom:0;mso-wrap-distance-left:9pt;mso-wrap-distance-right:9pt;mso-wrap-distance-top:0;mso-wrap-style:square;position:absolute;visibility:visible;v-text-anchor:middle;z-index:251667456" fillcolor="white" stroked="f" strokeweight="2pt"/>
            </w:pict>
          </mc:Fallback>
        </mc:AlternateContent>
      </w:r>
      <w:r w:rsidRPr="00777BE8">
        <w:rPr>
          <w:rtl/>
        </w:rPr>
        <w:br w:type="page"/>
      </w:r>
    </w:p>
    <w:p w:rsidR="00D12792" w:rsidRPr="00C04B74" w:rsidP="003278C8" w14:paraId="4B572C5B" w14:textId="7664D05E">
      <w:pPr>
        <w:pStyle w:val="71316"/>
        <w:bidi w:val="0"/>
        <w:ind w:left="113"/>
        <w:rPr>
          <w:sz w:val="36"/>
          <w:szCs w:val="36"/>
          <w:rtl/>
        </w:rPr>
      </w:pPr>
      <w:r w:rsidRPr="00B535DF">
        <w:rPr>
          <w:rFonts w:hint="cs"/>
          <w:b w:val="0"/>
          <w:bCs w:val="0"/>
          <w:noProof/>
          <w:spacing w:val="86"/>
          <w:rtl/>
          <w:lang w:val="he-IL"/>
        </w:rPr>
        <mc:AlternateContent>
          <mc:Choice Requires="wps">
            <w:drawing>
              <wp:anchor distT="0" distB="0" distL="114300" distR="114300" simplePos="0" relativeHeight="251668480" behindDoc="0" locked="0" layoutInCell="1" allowOverlap="1">
                <wp:simplePos x="0" y="0"/>
                <wp:positionH relativeFrom="column">
                  <wp:posOffset>72390</wp:posOffset>
                </wp:positionH>
                <wp:positionV relativeFrom="paragraph">
                  <wp:posOffset>455004</wp:posOffset>
                </wp:positionV>
                <wp:extent cx="2037080" cy="0"/>
                <wp:effectExtent l="0" t="0" r="7620" b="12700"/>
                <wp:wrapNone/>
                <wp:docPr id="13" name="Straight Connector 13"/>
                <wp:cNvGraphicFramePr/>
                <a:graphic xmlns:a="http://schemas.openxmlformats.org/drawingml/2006/main">
                  <a:graphicData uri="http://schemas.microsoft.com/office/word/2010/wordprocessingShape">
                    <wps:wsp xmlns:wps="http://schemas.microsoft.com/office/word/2010/wordprocessingShape">
                      <wps:cNvCnPr/>
                      <wps:spPr>
                        <a:xfrm flipH="1">
                          <a:off x="0" y="0"/>
                          <a:ext cx="2037080" cy="0"/>
                        </a:xfrm>
                        <a:prstGeom prst="line">
                          <a:avLst/>
                        </a:prstGeom>
                        <a:ln w="12700">
                          <a:solidFill>
                            <a:srgbClr val="00305F"/>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3" o:spid="_x0000_s1042" style="flip:x;mso-height-percent:0;mso-height-relative:margin;mso-width-percent:0;mso-width-relative:margin;mso-wrap-distance-bottom:0;mso-wrap-distance-left:9pt;mso-wrap-distance-right:9pt;mso-wrap-distance-top:0;mso-wrap-style:square;position:absolute;visibility:visible;z-index:251669504" from="5.7pt,35.85pt" to="166.1pt,35.85pt" strokecolor="#00305f" strokeweight="1pt"/>
            </w:pict>
          </mc:Fallback>
        </mc:AlternateContent>
      </w:r>
      <w:r>
        <w:rPr>
          <w:sz w:val="36"/>
          <w:szCs w:val="36"/>
        </w:rPr>
        <w:t>Table of contents</w:t>
      </w:r>
    </w:p>
    <w:p w:rsidR="00D12792" w:rsidP="003278C8" w14:paraId="3A90F0CE" w14:textId="7AAA6800">
      <w:pPr>
        <w:pStyle w:val="71316"/>
        <w:bidi w:val="0"/>
        <w:ind w:left="113"/>
        <w:rPr>
          <w:b w:val="0"/>
          <w:bCs w:val="0"/>
          <w:rtl/>
        </w:rPr>
      </w:pPr>
      <w:r>
        <w:rPr>
          <w:b w:val="0"/>
          <w:bCs w:val="0"/>
          <w:noProof/>
          <w:sz w:val="22"/>
          <w:szCs w:val="22"/>
          <w:rtl/>
          <w:lang w:val="he-IL"/>
        </w:rPr>
        <mc:AlternateContent>
          <mc:Choice Requires="wps">
            <w:drawing>
              <wp:anchor distT="0" distB="0" distL="114300" distR="114300" simplePos="0" relativeHeight="251695104" behindDoc="0" locked="0" layoutInCell="1" allowOverlap="1">
                <wp:simplePos x="0" y="0"/>
                <wp:positionH relativeFrom="column">
                  <wp:posOffset>3858260</wp:posOffset>
                </wp:positionH>
                <wp:positionV relativeFrom="paragraph">
                  <wp:posOffset>6541770</wp:posOffset>
                </wp:positionV>
                <wp:extent cx="1454331" cy="735058"/>
                <wp:effectExtent l="12700" t="12700" r="19050" b="14605"/>
                <wp:wrapNone/>
                <wp:docPr id="34" name="מלבן 34"/>
                <wp:cNvGraphicFramePr/>
                <a:graphic xmlns:a="http://schemas.openxmlformats.org/drawingml/2006/main">
                  <a:graphicData uri="http://schemas.microsoft.com/office/word/2010/wordprocessingShape">
                    <wps:wsp xmlns:wps="http://schemas.microsoft.com/office/word/2010/wordprocessingShape">
                      <wps:cNvSpPr/>
                      <wps:spPr>
                        <a:xfrm>
                          <a:off x="0" y="0"/>
                          <a:ext cx="1454331" cy="735058"/>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V relativeFrom="margin">
                  <wp14:pctHeight>0</wp14:pctHeight>
                </wp14:sizeRelV>
              </wp:anchor>
            </w:drawing>
          </mc:Choice>
          <mc:Fallback>
            <w:pict>
              <v:rect id="מלבן 34" o:spid="_x0000_s1043" style="width:114.5pt;height:57.9pt;margin-top:515.1pt;margin-left:303.8pt;mso-height-percent:0;mso-height-relative:margin;mso-wrap-distance-bottom:0;mso-wrap-distance-left:9pt;mso-wrap-distance-right:9pt;mso-wrap-distance-top:0;mso-wrap-style:square;position:absolute;visibility:visible;v-text-anchor:middle;z-index:251696128" fillcolor="white" strokecolor="white" strokeweight="2pt"/>
            </w:pict>
          </mc:Fallback>
        </mc:AlternateContent>
      </w:r>
      <w:r>
        <w:rPr>
          <w:b w:val="0"/>
          <w:bCs w:val="0"/>
        </w:rPr>
        <w:t>Abstr</w:t>
      </w:r>
      <w:r w:rsidR="00BC7301">
        <w:rPr>
          <w:b w:val="0"/>
          <w:bCs w:val="0"/>
        </w:rPr>
        <w:t>acts</w:t>
      </w:r>
      <w:r w:rsidR="00C158FE">
        <w:rPr>
          <w:noProof/>
          <w:sz w:val="22"/>
          <w:szCs w:val="22"/>
          <w:rtl/>
          <w:lang w:val="he-IL"/>
        </w:rPr>
        <mc:AlternateContent>
          <mc:Choice Requires="wps">
            <w:drawing>
              <wp:anchor distT="0" distB="0" distL="114300" distR="114300" simplePos="0" relativeHeight="251680768" behindDoc="0" locked="0" layoutInCell="1" allowOverlap="1">
                <wp:simplePos x="0" y="0"/>
                <wp:positionH relativeFrom="column">
                  <wp:posOffset>4513971</wp:posOffset>
                </wp:positionH>
                <wp:positionV relativeFrom="paragraph">
                  <wp:posOffset>6246739</wp:posOffset>
                </wp:positionV>
                <wp:extent cx="794825" cy="478302"/>
                <wp:effectExtent l="12700" t="12700" r="18415" b="17145"/>
                <wp:wrapNone/>
                <wp:docPr id="30" name="מלבן 30"/>
                <wp:cNvGraphicFramePr/>
                <a:graphic xmlns:a="http://schemas.openxmlformats.org/drawingml/2006/main">
                  <a:graphicData uri="http://schemas.microsoft.com/office/word/2010/wordprocessingShape">
                    <wps:wsp xmlns:wps="http://schemas.microsoft.com/office/word/2010/wordprocessingShape">
                      <wps:cNvSpPr/>
                      <wps:spPr>
                        <a:xfrm>
                          <a:off x="0" y="0"/>
                          <a:ext cx="794825" cy="478302"/>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anchor>
            </w:drawing>
          </mc:Choice>
          <mc:Fallback>
            <w:pict>
              <v:rect id="מלבן 30" o:spid="_x0000_s1044" style="width:62.6pt;height:37.65pt;margin-top:491.85pt;margin-left:355.45pt;mso-wrap-distance-bottom:0;mso-wrap-distance-left:9pt;mso-wrap-distance-right:9pt;mso-wrap-distance-top:0;mso-wrap-style:square;position:absolute;visibility:visible;v-text-anchor:middle;z-index:251681792" fillcolor="white" strokecolor="white" strokeweight="2pt"/>
            </w:pict>
          </mc:Fallback>
        </mc:AlternateContent>
      </w:r>
      <w:r w:rsidR="00C158FE">
        <w:rPr>
          <w:noProof/>
          <w:sz w:val="22"/>
          <w:szCs w:val="22"/>
          <w:rtl/>
          <w:lang w:val="he-IL"/>
        </w:rPr>
        <mc:AlternateContent>
          <mc:Choice Requires="wps">
            <w:drawing>
              <wp:anchor distT="0" distB="0" distL="114300" distR="114300" simplePos="0" relativeHeight="251676672" behindDoc="0" locked="0" layoutInCell="1" allowOverlap="1">
                <wp:simplePos x="0" y="0"/>
                <wp:positionH relativeFrom="column">
                  <wp:posOffset>4798305</wp:posOffset>
                </wp:positionH>
                <wp:positionV relativeFrom="paragraph">
                  <wp:posOffset>5438384</wp:posOffset>
                </wp:positionV>
                <wp:extent cx="794825" cy="478302"/>
                <wp:effectExtent l="12700" t="12700" r="18415" b="17145"/>
                <wp:wrapNone/>
                <wp:docPr id="8" name="מלבן 8"/>
                <wp:cNvGraphicFramePr/>
                <a:graphic xmlns:a="http://schemas.openxmlformats.org/drawingml/2006/main">
                  <a:graphicData uri="http://schemas.microsoft.com/office/word/2010/wordprocessingShape">
                    <wps:wsp xmlns:wps="http://schemas.microsoft.com/office/word/2010/wordprocessingShape">
                      <wps:cNvSpPr/>
                      <wps:spPr>
                        <a:xfrm>
                          <a:off x="0" y="0"/>
                          <a:ext cx="794825" cy="478302"/>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anchor>
            </w:drawing>
          </mc:Choice>
          <mc:Fallback>
            <w:pict>
              <v:rect id="מלבן 8" o:spid="_x0000_s1045" style="width:62.6pt;height:37.65pt;margin-top:428.2pt;margin-left:377.8pt;mso-wrap-distance-bottom:0;mso-wrap-distance-left:9pt;mso-wrap-distance-right:9pt;mso-wrap-distance-top:0;mso-wrap-style:square;position:absolute;visibility:visible;v-text-anchor:middle;z-index:251677696" fillcolor="white" strokecolor="white" strokeweight="2pt"/>
            </w:pict>
          </mc:Fallback>
        </mc:AlternateConten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85"/>
        <w:gridCol w:w="567"/>
        <w:gridCol w:w="5818"/>
      </w:tblGrid>
      <w:tr w14:paraId="7EC36455" w14:textId="77777777" w:rsidTr="00BC7301">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985" w:type="dxa"/>
          </w:tcPr>
          <w:p w:rsidR="00BC7301" w:rsidP="009D3941" w14:paraId="7482A052" w14:textId="01E7511B">
            <w:pPr>
              <w:pStyle w:val="7190"/>
              <w:bidi w:val="0"/>
              <w:spacing w:before="240" w:after="100"/>
              <w:rPr>
                <w:rFonts w:ascii="Arial" w:hAnsi="Arial"/>
                <w:color w:val="000000"/>
                <w:sz w:val="24"/>
                <w:rtl/>
              </w:rPr>
            </w:pPr>
            <w:r>
              <w:rPr>
                <w:rFonts w:ascii="Arial" w:hAnsi="Arial" w:hint="cs"/>
                <w:color w:val="000000"/>
                <w:sz w:val="24"/>
                <w:rtl/>
              </w:rPr>
              <w:t>7</w:t>
            </w:r>
          </w:p>
        </w:tc>
        <w:tc>
          <w:tcPr>
            <w:tcW w:w="567" w:type="dxa"/>
          </w:tcPr>
          <w:p w:rsidR="00BC7301" w:rsidRPr="00C237BB" w:rsidP="009D3941" w14:paraId="09EC328E" w14:textId="089B313B">
            <w:pPr>
              <w:pStyle w:val="7190"/>
              <w:bidi w:val="0"/>
              <w:spacing w:before="240" w:after="100"/>
              <w:rPr>
                <w:b/>
                <w:bCs/>
                <w:color w:val="00305F"/>
                <w:sz w:val="22"/>
                <w:szCs w:val="22"/>
                <w:rtl/>
              </w:rPr>
            </w:pPr>
          </w:p>
        </w:tc>
        <w:tc>
          <w:tcPr>
            <w:tcW w:w="5818" w:type="dxa"/>
          </w:tcPr>
          <w:p w:rsidR="00BC7301" w:rsidRPr="00C237BB" w:rsidP="009D3941" w14:paraId="6572CF92" w14:textId="0C03520E">
            <w:pPr>
              <w:pStyle w:val="7190"/>
              <w:bidi w:val="0"/>
              <w:spacing w:before="240" w:after="100"/>
              <w:jc w:val="both"/>
              <w:rPr>
                <w:b/>
                <w:bCs/>
                <w:rtl/>
              </w:rPr>
            </w:pPr>
            <w:r>
              <w:rPr>
                <w:b/>
                <w:bCs/>
                <w:color w:val="00305F"/>
                <w:sz w:val="22"/>
                <w:szCs w:val="22"/>
              </w:rPr>
              <w:t>Foreword</w:t>
            </w:r>
          </w:p>
        </w:tc>
      </w:tr>
      <w:tr w14:paraId="2FDC804B" w14:textId="77777777" w:rsidTr="00BC7301">
        <w:tblPrEx>
          <w:tblW w:w="0" w:type="auto"/>
          <w:tblLook w:val="04A0"/>
        </w:tblPrEx>
        <w:tc>
          <w:tcPr>
            <w:tcW w:w="985" w:type="dxa"/>
          </w:tcPr>
          <w:p w:rsidR="00BC7301" w:rsidP="00141BD3" w14:paraId="5E1EA89D" w14:textId="77777777">
            <w:pPr>
              <w:pStyle w:val="7190"/>
              <w:bidi w:val="0"/>
              <w:spacing w:before="0" w:after="0"/>
            </w:pPr>
          </w:p>
        </w:tc>
        <w:tc>
          <w:tcPr>
            <w:tcW w:w="567" w:type="dxa"/>
          </w:tcPr>
          <w:p w:rsidR="00BC7301" w:rsidP="00141BD3" w14:paraId="55E74A49" w14:textId="09F38414">
            <w:pPr>
              <w:pStyle w:val="7190"/>
              <w:bidi w:val="0"/>
              <w:spacing w:before="0" w:after="0"/>
            </w:pPr>
          </w:p>
        </w:tc>
        <w:tc>
          <w:tcPr>
            <w:tcW w:w="5818" w:type="dxa"/>
          </w:tcPr>
          <w:p w:rsidR="00BC7301" w:rsidP="00141BD3" w14:paraId="2FF85983" w14:textId="12655E82">
            <w:pPr>
              <w:pStyle w:val="7190"/>
              <w:bidi w:val="0"/>
              <w:spacing w:before="0" w:after="0"/>
              <w:jc w:val="both"/>
            </w:pPr>
          </w:p>
        </w:tc>
      </w:tr>
      <w:tr w14:paraId="2427439D" w14:textId="77777777" w:rsidTr="009A728D">
        <w:tblPrEx>
          <w:tblW w:w="0" w:type="auto"/>
          <w:tblLook w:val="04A0"/>
        </w:tblPrEx>
        <w:tc>
          <w:tcPr>
            <w:tcW w:w="7370" w:type="dxa"/>
            <w:gridSpan w:val="3"/>
          </w:tcPr>
          <w:p w:rsidR="00141BD3" w:rsidRPr="003278C8" w:rsidP="009D3941" w14:paraId="39328E8B" w14:textId="5B33F060">
            <w:pPr>
              <w:pStyle w:val="7190"/>
              <w:bidi w:val="0"/>
              <w:spacing w:after="120"/>
              <w:jc w:val="both"/>
              <w:rPr>
                <w:color w:val="00305F"/>
                <w:sz w:val="24"/>
                <w:szCs w:val="24"/>
              </w:rPr>
            </w:pPr>
            <w:r w:rsidRPr="003278C8">
              <w:rPr>
                <w:color w:val="00305F"/>
                <w:sz w:val="24"/>
                <w:szCs w:val="24"/>
              </w:rPr>
              <w:t xml:space="preserve">Chapter One | </w:t>
            </w:r>
            <w:r w:rsidRPr="003278C8" w:rsidR="002F6D6C">
              <w:rPr>
                <w:b/>
                <w:bCs/>
                <w:color w:val="00305F"/>
                <w:sz w:val="24"/>
                <w:szCs w:val="24"/>
              </w:rPr>
              <w:t>The Defense System</w:t>
            </w:r>
          </w:p>
        </w:tc>
      </w:tr>
      <w:tr w14:paraId="6D9E0FCF" w14:textId="77777777" w:rsidTr="00BC7301">
        <w:tblPrEx>
          <w:tblW w:w="0" w:type="auto"/>
          <w:tblLook w:val="04A0"/>
        </w:tblPrEx>
        <w:tc>
          <w:tcPr>
            <w:tcW w:w="985" w:type="dxa"/>
          </w:tcPr>
          <w:p w:rsidR="00141BD3" w:rsidRPr="003278C8" w:rsidP="00141BD3" w14:paraId="520874BC" w14:textId="29F1234F">
            <w:pPr>
              <w:pStyle w:val="7190"/>
              <w:bidi w:val="0"/>
              <w:spacing w:before="100" w:after="100"/>
              <w:rPr>
                <w:rFonts w:ascii="Arial" w:hAnsi="Arial"/>
                <w:color w:val="00305F"/>
                <w:rtl/>
              </w:rPr>
            </w:pPr>
            <w:r>
              <w:rPr>
                <w:rFonts w:ascii="Arial" w:hAnsi="Arial"/>
                <w:color w:val="00305F"/>
              </w:rPr>
              <w:t>17</w:t>
            </w:r>
          </w:p>
        </w:tc>
        <w:tc>
          <w:tcPr>
            <w:tcW w:w="567" w:type="dxa"/>
          </w:tcPr>
          <w:p w:rsidR="00141BD3" w:rsidRPr="003278C8" w:rsidP="00141BD3" w14:paraId="217C385B" w14:textId="64B6353A">
            <w:pPr>
              <w:pStyle w:val="7190"/>
              <w:bidi w:val="0"/>
              <w:spacing w:before="100" w:after="100"/>
              <w:rPr>
                <w:rFonts w:ascii="Arial" w:hAnsi="Arial"/>
                <w:color w:val="00305F"/>
                <w:rtl/>
              </w:rPr>
            </w:pPr>
          </w:p>
        </w:tc>
        <w:tc>
          <w:tcPr>
            <w:tcW w:w="5818" w:type="dxa"/>
          </w:tcPr>
          <w:p w:rsidR="00141BD3" w:rsidRPr="003278C8" w:rsidP="00141BD3" w14:paraId="13B617CA" w14:textId="276FB3DD">
            <w:pPr>
              <w:pStyle w:val="7190"/>
              <w:bidi w:val="0"/>
              <w:spacing w:before="100" w:after="100"/>
              <w:rPr>
                <w:color w:val="00305F"/>
                <w:rtl/>
              </w:rPr>
            </w:pPr>
            <w:r w:rsidRPr="003278C8">
              <w:rPr>
                <w:color w:val="00305F"/>
              </w:rPr>
              <w:t xml:space="preserve">Security of International Civil Aviation from and to Israel  </w:t>
            </w:r>
          </w:p>
        </w:tc>
      </w:tr>
      <w:tr w14:paraId="4396816F" w14:textId="77777777" w:rsidTr="00BC7301">
        <w:tblPrEx>
          <w:tblW w:w="0" w:type="auto"/>
          <w:tblLook w:val="04A0"/>
        </w:tblPrEx>
        <w:tc>
          <w:tcPr>
            <w:tcW w:w="985" w:type="dxa"/>
          </w:tcPr>
          <w:p w:rsidR="00141BD3" w:rsidRPr="003278C8" w:rsidP="00141BD3" w14:paraId="4568CCC1" w14:textId="59379824">
            <w:pPr>
              <w:pStyle w:val="7190"/>
              <w:bidi w:val="0"/>
              <w:spacing w:before="100" w:after="100"/>
              <w:rPr>
                <w:rFonts w:ascii="Arial" w:hAnsi="Arial"/>
                <w:color w:val="00305F"/>
                <w:rtl/>
              </w:rPr>
            </w:pPr>
            <w:r>
              <w:rPr>
                <w:rFonts w:ascii="Arial" w:hAnsi="Arial"/>
                <w:color w:val="00305F"/>
              </w:rPr>
              <w:t>21</w:t>
            </w:r>
          </w:p>
        </w:tc>
        <w:tc>
          <w:tcPr>
            <w:tcW w:w="567" w:type="dxa"/>
          </w:tcPr>
          <w:p w:rsidR="00141BD3" w:rsidRPr="003278C8" w:rsidP="00141BD3" w14:paraId="282223BB" w14:textId="3D24DE7E">
            <w:pPr>
              <w:pStyle w:val="7190"/>
              <w:bidi w:val="0"/>
              <w:spacing w:before="100" w:after="100"/>
              <w:rPr>
                <w:rFonts w:ascii="Arial" w:hAnsi="Arial"/>
                <w:color w:val="00305F"/>
                <w:rtl/>
              </w:rPr>
            </w:pPr>
          </w:p>
        </w:tc>
        <w:tc>
          <w:tcPr>
            <w:tcW w:w="5818" w:type="dxa"/>
          </w:tcPr>
          <w:p w:rsidR="00141BD3" w:rsidRPr="003278C8" w:rsidP="00141BD3" w14:paraId="63D15868" w14:textId="406370F4">
            <w:pPr>
              <w:pStyle w:val="7190"/>
              <w:bidi w:val="0"/>
              <w:spacing w:before="100" w:after="100"/>
              <w:rPr>
                <w:color w:val="00305F"/>
              </w:rPr>
            </w:pPr>
            <w:r w:rsidRPr="003278C8">
              <w:rPr>
                <w:color w:val="00305F"/>
              </w:rPr>
              <w:t>Planning and Control of the Ministry of Defense's Budget Authorization to Commit</w:t>
            </w:r>
            <w:r w:rsidRPr="003278C8" w:rsidR="00DE2520">
              <w:rPr>
                <w:color w:val="00305F"/>
              </w:rPr>
              <w:t xml:space="preserve">   </w:t>
            </w:r>
          </w:p>
        </w:tc>
      </w:tr>
      <w:tr w14:paraId="3EDF4871" w14:textId="77777777" w:rsidTr="00BC7301">
        <w:tblPrEx>
          <w:tblW w:w="0" w:type="auto"/>
          <w:tblLook w:val="04A0"/>
        </w:tblPrEx>
        <w:tc>
          <w:tcPr>
            <w:tcW w:w="985" w:type="dxa"/>
          </w:tcPr>
          <w:p w:rsidR="00725E30" w:rsidP="00141BD3" w14:paraId="64EA3546" w14:textId="3A0CDD62">
            <w:pPr>
              <w:pStyle w:val="7190"/>
              <w:bidi w:val="0"/>
              <w:spacing w:before="100" w:after="100"/>
              <w:rPr>
                <w:rFonts w:ascii="Arial" w:hAnsi="Arial"/>
                <w:color w:val="00305F"/>
              </w:rPr>
            </w:pPr>
            <w:r>
              <w:rPr>
                <w:rFonts w:ascii="Arial" w:hAnsi="Arial" w:hint="cs"/>
                <w:color w:val="00305F"/>
                <w:rtl/>
              </w:rPr>
              <w:t>33</w:t>
            </w:r>
          </w:p>
        </w:tc>
        <w:tc>
          <w:tcPr>
            <w:tcW w:w="567" w:type="dxa"/>
          </w:tcPr>
          <w:p w:rsidR="00725E30" w:rsidRPr="003278C8" w:rsidP="00141BD3" w14:paraId="080ABBA3" w14:textId="77777777">
            <w:pPr>
              <w:pStyle w:val="7190"/>
              <w:bidi w:val="0"/>
              <w:spacing w:before="100" w:after="100"/>
              <w:rPr>
                <w:rFonts w:ascii="Arial" w:hAnsi="Arial"/>
                <w:color w:val="00305F"/>
                <w:rtl/>
              </w:rPr>
            </w:pPr>
          </w:p>
        </w:tc>
        <w:tc>
          <w:tcPr>
            <w:tcW w:w="5818" w:type="dxa"/>
          </w:tcPr>
          <w:p w:rsidR="00725E30" w:rsidRPr="003278C8" w:rsidP="00141BD3" w14:paraId="1ECD23B3" w14:textId="0737C1A7">
            <w:pPr>
              <w:pStyle w:val="7190"/>
              <w:bidi w:val="0"/>
              <w:spacing w:before="100" w:after="100"/>
              <w:rPr>
                <w:color w:val="00305F"/>
              </w:rPr>
            </w:pPr>
            <w:r w:rsidRPr="00725E30">
              <w:rPr>
                <w:color w:val="00305F"/>
              </w:rPr>
              <w:t>Quality Assurance Inspections for Items Procured for the IDF</w:t>
            </w:r>
          </w:p>
        </w:tc>
      </w:tr>
      <w:tr w14:paraId="31B14B3E" w14:textId="77777777" w:rsidTr="00BC7301">
        <w:tblPrEx>
          <w:tblW w:w="0" w:type="auto"/>
          <w:tblLook w:val="04A0"/>
        </w:tblPrEx>
        <w:tc>
          <w:tcPr>
            <w:tcW w:w="985" w:type="dxa"/>
          </w:tcPr>
          <w:p w:rsidR="004B4F65" w:rsidRPr="003278C8" w:rsidP="004B4F65" w14:paraId="3CF0914A" w14:textId="0E4AF57D">
            <w:pPr>
              <w:pStyle w:val="7190"/>
              <w:bidi w:val="0"/>
              <w:spacing w:before="100" w:after="100"/>
              <w:rPr>
                <w:rFonts w:ascii="Arial" w:hAnsi="Arial"/>
                <w:color w:val="00305F"/>
                <w:rtl/>
              </w:rPr>
            </w:pPr>
            <w:r>
              <w:rPr>
                <w:rFonts w:ascii="Arial" w:hAnsi="Arial" w:hint="cs"/>
                <w:color w:val="00305F"/>
                <w:rtl/>
              </w:rPr>
              <w:t>43</w:t>
            </w:r>
          </w:p>
        </w:tc>
        <w:tc>
          <w:tcPr>
            <w:tcW w:w="567" w:type="dxa"/>
          </w:tcPr>
          <w:p w:rsidR="004B4F65" w:rsidRPr="003278C8" w:rsidP="004B4F65" w14:paraId="5BEA90CF" w14:textId="4A785B3E">
            <w:pPr>
              <w:pStyle w:val="7190"/>
              <w:bidi w:val="0"/>
              <w:spacing w:before="100" w:after="100"/>
              <w:rPr>
                <w:rFonts w:ascii="Arial" w:hAnsi="Arial"/>
                <w:color w:val="00305F"/>
                <w:rtl/>
              </w:rPr>
            </w:pPr>
          </w:p>
        </w:tc>
        <w:tc>
          <w:tcPr>
            <w:tcW w:w="5818" w:type="dxa"/>
          </w:tcPr>
          <w:p w:rsidR="004B4F65" w:rsidRPr="003278C8" w:rsidP="004B4F65" w14:paraId="7FF0472D" w14:textId="224A158C">
            <w:pPr>
              <w:pStyle w:val="7190"/>
              <w:bidi w:val="0"/>
              <w:spacing w:before="100" w:after="100"/>
              <w:rPr>
                <w:rFonts w:ascii="Arial" w:hAnsi="Arial"/>
                <w:color w:val="00305F"/>
                <w:rtl/>
              </w:rPr>
            </w:pPr>
            <w:r w:rsidRPr="003278C8">
              <w:rPr>
                <w:color w:val="00305F"/>
              </w:rPr>
              <w:t>Classified Information – Its Security in Archives and Prevention of Publication – Follow-up Audit</w:t>
            </w:r>
          </w:p>
        </w:tc>
      </w:tr>
      <w:tr w14:paraId="1CEFC554" w14:textId="77777777" w:rsidTr="00BC7301">
        <w:tblPrEx>
          <w:tblW w:w="0" w:type="auto"/>
          <w:tblLook w:val="04A0"/>
        </w:tblPrEx>
        <w:tc>
          <w:tcPr>
            <w:tcW w:w="985" w:type="dxa"/>
          </w:tcPr>
          <w:p w:rsidR="004B4F65" w:rsidRPr="003278C8" w:rsidP="004B4F65" w14:paraId="44752BEB" w14:textId="75E17B8A">
            <w:pPr>
              <w:pStyle w:val="7190"/>
              <w:bidi w:val="0"/>
              <w:spacing w:before="100" w:after="100"/>
              <w:rPr>
                <w:rFonts w:ascii="Arial" w:hAnsi="Arial"/>
                <w:color w:val="00305F"/>
                <w:rtl/>
              </w:rPr>
            </w:pPr>
            <w:r>
              <w:rPr>
                <w:rFonts w:ascii="Arial" w:hAnsi="Arial" w:hint="cs"/>
                <w:color w:val="00305F"/>
                <w:rtl/>
              </w:rPr>
              <w:t>57</w:t>
            </w:r>
          </w:p>
        </w:tc>
        <w:tc>
          <w:tcPr>
            <w:tcW w:w="567" w:type="dxa"/>
          </w:tcPr>
          <w:p w:rsidR="004B4F65" w:rsidRPr="003278C8" w:rsidP="004B4F65" w14:paraId="5E229FB9" w14:textId="77777777">
            <w:pPr>
              <w:pStyle w:val="7190"/>
              <w:bidi w:val="0"/>
              <w:spacing w:before="100" w:after="100"/>
              <w:rPr>
                <w:rFonts w:ascii="Arial" w:hAnsi="Arial"/>
                <w:color w:val="00305F"/>
                <w:rtl/>
              </w:rPr>
            </w:pPr>
          </w:p>
        </w:tc>
        <w:tc>
          <w:tcPr>
            <w:tcW w:w="5818" w:type="dxa"/>
          </w:tcPr>
          <w:p w:rsidR="004B4F65" w:rsidRPr="003278C8" w:rsidP="004B4F65" w14:paraId="715675BD" w14:textId="6CCF3061">
            <w:pPr>
              <w:pStyle w:val="7190"/>
              <w:bidi w:val="0"/>
              <w:spacing w:before="100" w:after="100"/>
              <w:rPr>
                <w:color w:val="00305F"/>
              </w:rPr>
            </w:pPr>
            <w:r w:rsidRPr="003278C8">
              <w:rPr>
                <w:color w:val="00305F"/>
              </w:rPr>
              <w:t xml:space="preserve">Prevention of Fraud and Embezzlement at Israel Aerospace </w:t>
            </w:r>
            <w:r w:rsidRPr="003278C8">
              <w:rPr>
                <w:color w:val="00305F"/>
              </w:rPr>
              <w:br/>
              <w:t xml:space="preserve">Industries Ltd.  </w:t>
            </w:r>
          </w:p>
        </w:tc>
      </w:tr>
      <w:tr w14:paraId="39D88DC3" w14:textId="77777777" w:rsidTr="00BC7301">
        <w:tblPrEx>
          <w:tblW w:w="0" w:type="auto"/>
          <w:tblLook w:val="04A0"/>
        </w:tblPrEx>
        <w:tc>
          <w:tcPr>
            <w:tcW w:w="985" w:type="dxa"/>
          </w:tcPr>
          <w:p w:rsidR="00141BD3" w:rsidRPr="003278C8" w:rsidP="00141BD3" w14:paraId="6B8B6D54" w14:textId="77777777">
            <w:pPr>
              <w:pStyle w:val="7190"/>
              <w:bidi w:val="0"/>
              <w:spacing w:before="0" w:after="0"/>
              <w:rPr>
                <w:rFonts w:ascii="Arial" w:hAnsi="Arial"/>
                <w:color w:val="00305F"/>
                <w:rtl/>
              </w:rPr>
            </w:pPr>
          </w:p>
        </w:tc>
        <w:tc>
          <w:tcPr>
            <w:tcW w:w="567" w:type="dxa"/>
          </w:tcPr>
          <w:p w:rsidR="00141BD3" w:rsidRPr="003278C8" w:rsidP="00141BD3" w14:paraId="5EEE133E" w14:textId="77777777">
            <w:pPr>
              <w:pStyle w:val="7190"/>
              <w:bidi w:val="0"/>
              <w:spacing w:before="0" w:after="0"/>
              <w:rPr>
                <w:rFonts w:ascii="Arial" w:hAnsi="Arial"/>
                <w:color w:val="00305F"/>
                <w:rtl/>
              </w:rPr>
            </w:pPr>
          </w:p>
        </w:tc>
        <w:tc>
          <w:tcPr>
            <w:tcW w:w="5818" w:type="dxa"/>
          </w:tcPr>
          <w:p w:rsidR="00141BD3" w:rsidRPr="003278C8" w:rsidP="00141BD3" w14:paraId="6E6528BB" w14:textId="77777777">
            <w:pPr>
              <w:pStyle w:val="7190"/>
              <w:bidi w:val="0"/>
              <w:spacing w:before="0" w:after="0"/>
              <w:rPr>
                <w:color w:val="00305F"/>
              </w:rPr>
            </w:pPr>
          </w:p>
        </w:tc>
      </w:tr>
      <w:tr w14:paraId="68694D73" w14:textId="77777777" w:rsidTr="0069415D">
        <w:tblPrEx>
          <w:tblW w:w="0" w:type="auto"/>
          <w:tblLook w:val="04A0"/>
        </w:tblPrEx>
        <w:trPr>
          <w:trHeight w:val="289"/>
        </w:trPr>
        <w:tc>
          <w:tcPr>
            <w:tcW w:w="7370" w:type="dxa"/>
            <w:gridSpan w:val="3"/>
          </w:tcPr>
          <w:p w:rsidR="00141BD3" w:rsidRPr="003278C8" w:rsidP="00BC7301" w14:paraId="738C4602" w14:textId="355A602C">
            <w:pPr>
              <w:pStyle w:val="7190"/>
              <w:bidi w:val="0"/>
              <w:spacing w:after="120"/>
              <w:jc w:val="both"/>
              <w:rPr>
                <w:rFonts w:ascii="Arial" w:hAnsi="Arial"/>
                <w:color w:val="00305F"/>
                <w:sz w:val="30"/>
                <w:szCs w:val="30"/>
                <w:rtl/>
              </w:rPr>
            </w:pPr>
            <w:r w:rsidRPr="003278C8">
              <w:rPr>
                <w:color w:val="00305F"/>
                <w:sz w:val="24"/>
                <w:szCs w:val="24"/>
              </w:rPr>
              <w:t>Chapter Two</w:t>
            </w:r>
            <w:r w:rsidRPr="003278C8">
              <w:rPr>
                <w:b/>
                <w:bCs/>
                <w:color w:val="00305F"/>
                <w:sz w:val="24"/>
                <w:szCs w:val="24"/>
              </w:rPr>
              <w:t xml:space="preserve"> | </w:t>
            </w:r>
            <w:r w:rsidRPr="00B963A6" w:rsidR="00B963A6">
              <w:rPr>
                <w:b/>
                <w:bCs/>
                <w:color w:val="00305F"/>
                <w:sz w:val="24"/>
                <w:szCs w:val="24"/>
              </w:rPr>
              <w:t>Government offices and State Institutions</w:t>
            </w:r>
          </w:p>
        </w:tc>
      </w:tr>
      <w:tr w14:paraId="53344EAB" w14:textId="77777777" w:rsidTr="00142F9A">
        <w:tblPrEx>
          <w:tblW w:w="0" w:type="auto"/>
          <w:tblLook w:val="04A0"/>
        </w:tblPrEx>
        <w:tc>
          <w:tcPr>
            <w:tcW w:w="985" w:type="dxa"/>
          </w:tcPr>
          <w:p w:rsidR="0022348A" w:rsidRPr="003278C8" w:rsidP="0022348A" w14:paraId="4A58F39B" w14:textId="77777777">
            <w:pPr>
              <w:pStyle w:val="7190"/>
              <w:bidi w:val="0"/>
              <w:spacing w:before="240" w:after="80"/>
              <w:rPr>
                <w:rFonts w:ascii="Arial" w:hAnsi="Arial"/>
                <w:color w:val="00305F"/>
              </w:rPr>
            </w:pPr>
          </w:p>
        </w:tc>
        <w:tc>
          <w:tcPr>
            <w:tcW w:w="567" w:type="dxa"/>
            <w:vAlign w:val="bottom"/>
          </w:tcPr>
          <w:p w:rsidR="0022348A" w:rsidRPr="003278C8" w:rsidP="0022348A" w14:paraId="51864B69" w14:textId="77777777">
            <w:pPr>
              <w:pStyle w:val="7190"/>
              <w:bidi w:val="0"/>
              <w:spacing w:before="240" w:after="80"/>
              <w:rPr>
                <w:rFonts w:ascii="Arial" w:hAnsi="Arial"/>
                <w:color w:val="00305F"/>
                <w:rtl/>
              </w:rPr>
            </w:pPr>
          </w:p>
        </w:tc>
        <w:tc>
          <w:tcPr>
            <w:tcW w:w="5818" w:type="dxa"/>
          </w:tcPr>
          <w:p w:rsidR="0022348A" w:rsidRPr="003278C8" w:rsidP="0022348A" w14:paraId="2807EDA3" w14:textId="7B8DA62A">
            <w:pPr>
              <w:pStyle w:val="7190"/>
              <w:bidi w:val="0"/>
              <w:spacing w:before="240" w:after="80"/>
              <w:rPr>
                <w:color w:val="00305F"/>
                <w:spacing w:val="-4"/>
              </w:rPr>
            </w:pPr>
            <w:r w:rsidRPr="003278C8">
              <w:rPr>
                <w:b/>
                <w:bCs/>
                <w:color w:val="00305F"/>
                <w:sz w:val="22"/>
                <w:szCs w:val="22"/>
              </w:rPr>
              <w:t>Systemic Issues</w:t>
            </w:r>
          </w:p>
        </w:tc>
      </w:tr>
      <w:tr w14:paraId="77B92E84" w14:textId="77777777" w:rsidTr="00BC7301">
        <w:tblPrEx>
          <w:tblW w:w="0" w:type="auto"/>
          <w:tblLook w:val="04A0"/>
        </w:tblPrEx>
        <w:tc>
          <w:tcPr>
            <w:tcW w:w="985" w:type="dxa"/>
          </w:tcPr>
          <w:p w:rsidR="0022348A" w:rsidRPr="003278C8" w:rsidP="00DE2520" w14:paraId="18BAE8C4" w14:textId="6F238A43">
            <w:pPr>
              <w:pStyle w:val="7190"/>
              <w:bidi w:val="0"/>
              <w:spacing w:before="100" w:after="100"/>
              <w:rPr>
                <w:rFonts w:ascii="Arial" w:hAnsi="Arial"/>
                <w:color w:val="00305F"/>
              </w:rPr>
            </w:pPr>
            <w:r>
              <w:rPr>
                <w:rFonts w:ascii="Arial" w:hAnsi="Arial" w:hint="cs"/>
                <w:color w:val="00305F"/>
                <w:rtl/>
              </w:rPr>
              <w:t>73</w:t>
            </w:r>
          </w:p>
        </w:tc>
        <w:tc>
          <w:tcPr>
            <w:tcW w:w="567" w:type="dxa"/>
          </w:tcPr>
          <w:p w:rsidR="0022348A" w:rsidRPr="003278C8" w:rsidP="00DE2520" w14:paraId="5580573B" w14:textId="77777777">
            <w:pPr>
              <w:pStyle w:val="7190"/>
              <w:bidi w:val="0"/>
              <w:spacing w:before="100" w:after="100"/>
              <w:rPr>
                <w:rFonts w:ascii="Arial" w:hAnsi="Arial"/>
                <w:color w:val="00305F"/>
                <w:rtl/>
              </w:rPr>
            </w:pPr>
          </w:p>
        </w:tc>
        <w:tc>
          <w:tcPr>
            <w:tcW w:w="5818" w:type="dxa"/>
            <w:vAlign w:val="center"/>
          </w:tcPr>
          <w:p w:rsidR="0022348A" w:rsidRPr="003278C8" w:rsidP="00DE2520" w14:paraId="379F5CD5" w14:textId="385B4785">
            <w:pPr>
              <w:pStyle w:val="7190"/>
              <w:bidi w:val="0"/>
              <w:spacing w:before="100" w:after="100"/>
              <w:rPr>
                <w:color w:val="00305F"/>
                <w:spacing w:val="-4"/>
              </w:rPr>
            </w:pPr>
            <w:r w:rsidRPr="003278C8">
              <w:rPr>
                <w:color w:val="00305F"/>
                <w:spacing w:val="-4"/>
              </w:rPr>
              <w:t>The Financial Statements of the State of Israel as of December 31, 2022 – Fixed Assets</w:t>
            </w:r>
          </w:p>
        </w:tc>
      </w:tr>
      <w:tr w14:paraId="55189E97" w14:textId="77777777" w:rsidTr="002F40EA">
        <w:tblPrEx>
          <w:tblW w:w="0" w:type="auto"/>
          <w:tblLook w:val="04A0"/>
        </w:tblPrEx>
        <w:tc>
          <w:tcPr>
            <w:tcW w:w="985" w:type="dxa"/>
          </w:tcPr>
          <w:p w:rsidR="0022348A" w:rsidRPr="003278C8" w:rsidP="00DE2520" w14:paraId="23A8CB8D" w14:textId="77777777">
            <w:pPr>
              <w:pStyle w:val="7190"/>
              <w:bidi w:val="0"/>
              <w:spacing w:before="240" w:after="100"/>
              <w:rPr>
                <w:rFonts w:ascii="Arial" w:hAnsi="Arial"/>
                <w:color w:val="00305F"/>
              </w:rPr>
            </w:pPr>
          </w:p>
        </w:tc>
        <w:tc>
          <w:tcPr>
            <w:tcW w:w="567" w:type="dxa"/>
            <w:vAlign w:val="bottom"/>
          </w:tcPr>
          <w:p w:rsidR="0022348A" w:rsidRPr="003278C8" w:rsidP="00DE2520" w14:paraId="1D959B1E" w14:textId="77777777">
            <w:pPr>
              <w:pStyle w:val="7190"/>
              <w:bidi w:val="0"/>
              <w:spacing w:before="240" w:after="100"/>
              <w:rPr>
                <w:rFonts w:ascii="Arial" w:hAnsi="Arial"/>
                <w:color w:val="00305F"/>
                <w:rtl/>
              </w:rPr>
            </w:pPr>
          </w:p>
        </w:tc>
        <w:tc>
          <w:tcPr>
            <w:tcW w:w="5818" w:type="dxa"/>
          </w:tcPr>
          <w:p w:rsidR="0022348A" w:rsidRPr="003278C8" w:rsidP="00DE2520" w14:paraId="0F6C9EE6" w14:textId="67021CF4">
            <w:pPr>
              <w:pStyle w:val="7190"/>
              <w:bidi w:val="0"/>
              <w:spacing w:before="240" w:after="80"/>
              <w:rPr>
                <w:color w:val="00305F"/>
                <w:spacing w:val="-4"/>
              </w:rPr>
            </w:pPr>
            <w:r w:rsidRPr="003278C8">
              <w:rPr>
                <w:b/>
                <w:bCs/>
                <w:color w:val="00305F"/>
                <w:sz w:val="22"/>
                <w:szCs w:val="22"/>
              </w:rPr>
              <w:t xml:space="preserve">Government </w:t>
            </w:r>
            <w:r w:rsidR="009A334D">
              <w:rPr>
                <w:b/>
                <w:bCs/>
                <w:color w:val="00305F"/>
                <w:sz w:val="22"/>
                <w:szCs w:val="22"/>
              </w:rPr>
              <w:t>O</w:t>
            </w:r>
            <w:r w:rsidRPr="003278C8">
              <w:rPr>
                <w:b/>
                <w:bCs/>
                <w:color w:val="00305F"/>
                <w:sz w:val="22"/>
                <w:szCs w:val="22"/>
              </w:rPr>
              <w:t>ffices</w:t>
            </w:r>
          </w:p>
        </w:tc>
      </w:tr>
      <w:tr w14:paraId="1C635763" w14:textId="77777777" w:rsidTr="002F40EA">
        <w:tblPrEx>
          <w:tblW w:w="0" w:type="auto"/>
          <w:tblLook w:val="04A0"/>
        </w:tblPrEx>
        <w:tc>
          <w:tcPr>
            <w:tcW w:w="985" w:type="dxa"/>
          </w:tcPr>
          <w:p w:rsidR="00E44F11" w:rsidRPr="003278C8" w:rsidP="003278C8" w14:paraId="768A982A" w14:textId="77777777">
            <w:pPr>
              <w:pStyle w:val="7190"/>
              <w:bidi w:val="0"/>
              <w:spacing w:after="0"/>
              <w:rPr>
                <w:rFonts w:ascii="Arial" w:hAnsi="Arial"/>
                <w:color w:val="00305F"/>
              </w:rPr>
            </w:pPr>
          </w:p>
        </w:tc>
        <w:tc>
          <w:tcPr>
            <w:tcW w:w="567" w:type="dxa"/>
            <w:vAlign w:val="bottom"/>
          </w:tcPr>
          <w:p w:rsidR="00E44F11" w:rsidRPr="003278C8" w:rsidP="003278C8" w14:paraId="3DFC7513" w14:textId="77777777">
            <w:pPr>
              <w:pStyle w:val="7190"/>
              <w:bidi w:val="0"/>
              <w:spacing w:after="0"/>
              <w:rPr>
                <w:rFonts w:ascii="Arial" w:hAnsi="Arial"/>
                <w:color w:val="00305F"/>
                <w:rtl/>
              </w:rPr>
            </w:pPr>
          </w:p>
        </w:tc>
        <w:tc>
          <w:tcPr>
            <w:tcW w:w="5818" w:type="dxa"/>
          </w:tcPr>
          <w:p w:rsidR="00E44F11" w:rsidRPr="003278C8" w:rsidP="003278C8" w14:paraId="19243072" w14:textId="5281945F">
            <w:pPr>
              <w:pStyle w:val="7190"/>
              <w:bidi w:val="0"/>
              <w:spacing w:after="0"/>
              <w:rPr>
                <w:color w:val="00305F"/>
                <w:sz w:val="22"/>
                <w:szCs w:val="22"/>
              </w:rPr>
            </w:pPr>
            <w:r w:rsidRPr="003278C8">
              <w:rPr>
                <w:color w:val="00305F"/>
                <w:sz w:val="22"/>
                <w:szCs w:val="22"/>
              </w:rPr>
              <w:t>The Prime Minister's Office</w:t>
            </w:r>
          </w:p>
        </w:tc>
      </w:tr>
      <w:tr w14:paraId="67E2D1A0" w14:textId="77777777" w:rsidTr="00BC7301">
        <w:tblPrEx>
          <w:tblW w:w="0" w:type="auto"/>
          <w:tblLook w:val="04A0"/>
        </w:tblPrEx>
        <w:tc>
          <w:tcPr>
            <w:tcW w:w="985" w:type="dxa"/>
          </w:tcPr>
          <w:p w:rsidR="0022348A" w:rsidRPr="003278C8" w:rsidP="0022348A" w14:paraId="6748E24B" w14:textId="34CA2CA1">
            <w:pPr>
              <w:pStyle w:val="7190"/>
              <w:bidi w:val="0"/>
              <w:spacing w:before="100" w:after="100"/>
              <w:rPr>
                <w:rFonts w:ascii="Arial" w:hAnsi="Arial"/>
                <w:color w:val="00305F"/>
              </w:rPr>
            </w:pPr>
            <w:r>
              <w:rPr>
                <w:rFonts w:ascii="Arial" w:hAnsi="Arial" w:hint="cs"/>
                <w:color w:val="00305F"/>
                <w:rtl/>
              </w:rPr>
              <w:t>87</w:t>
            </w:r>
          </w:p>
        </w:tc>
        <w:tc>
          <w:tcPr>
            <w:tcW w:w="567" w:type="dxa"/>
          </w:tcPr>
          <w:p w:rsidR="0022348A" w:rsidRPr="003278C8" w:rsidP="0022348A" w14:paraId="721E5054" w14:textId="77777777">
            <w:pPr>
              <w:pStyle w:val="7190"/>
              <w:bidi w:val="0"/>
              <w:spacing w:before="100" w:after="100"/>
              <w:rPr>
                <w:rFonts w:ascii="Arial" w:hAnsi="Arial"/>
                <w:color w:val="00305F"/>
                <w:rtl/>
              </w:rPr>
            </w:pPr>
          </w:p>
        </w:tc>
        <w:tc>
          <w:tcPr>
            <w:tcW w:w="5818" w:type="dxa"/>
            <w:vAlign w:val="center"/>
          </w:tcPr>
          <w:p w:rsidR="0022348A" w:rsidRPr="003278C8" w:rsidP="0022348A" w14:paraId="0FFC94BD" w14:textId="4E50BE0F">
            <w:pPr>
              <w:pStyle w:val="7190"/>
              <w:bidi w:val="0"/>
              <w:spacing w:before="100" w:after="100"/>
              <w:rPr>
                <w:color w:val="00305F"/>
                <w:spacing w:val="-4"/>
              </w:rPr>
            </w:pPr>
            <w:r w:rsidRPr="003278C8">
              <w:rPr>
                <w:color w:val="00305F"/>
                <w:spacing w:val="-4"/>
              </w:rPr>
              <w:t xml:space="preserve">State Archives – Preservation of Archival Material of the State Commission of Inquiry into the Disappearance of Children of Yemeni Immigrants  </w:t>
            </w:r>
          </w:p>
        </w:tc>
      </w:tr>
      <w:tr w14:paraId="25AE3039" w14:textId="77777777" w:rsidTr="00EF09D3">
        <w:tblPrEx>
          <w:tblW w:w="0" w:type="auto"/>
          <w:tblLook w:val="04A0"/>
        </w:tblPrEx>
        <w:tc>
          <w:tcPr>
            <w:tcW w:w="985" w:type="dxa"/>
          </w:tcPr>
          <w:p w:rsidR="0022348A" w:rsidRPr="003278C8" w:rsidP="003278C8" w14:paraId="257EEE0E" w14:textId="77777777">
            <w:pPr>
              <w:pStyle w:val="7190"/>
              <w:bidi w:val="0"/>
              <w:spacing w:after="0"/>
              <w:rPr>
                <w:rFonts w:ascii="Arial" w:hAnsi="Arial"/>
                <w:color w:val="00305F"/>
              </w:rPr>
            </w:pPr>
          </w:p>
        </w:tc>
        <w:tc>
          <w:tcPr>
            <w:tcW w:w="567" w:type="dxa"/>
          </w:tcPr>
          <w:p w:rsidR="0022348A" w:rsidRPr="003278C8" w:rsidP="003278C8" w14:paraId="117F451D" w14:textId="77777777">
            <w:pPr>
              <w:pStyle w:val="7190"/>
              <w:bidi w:val="0"/>
              <w:spacing w:after="0"/>
              <w:rPr>
                <w:rFonts w:ascii="Arial" w:hAnsi="Arial"/>
                <w:color w:val="00305F"/>
                <w:rtl/>
              </w:rPr>
            </w:pPr>
          </w:p>
        </w:tc>
        <w:tc>
          <w:tcPr>
            <w:tcW w:w="5818" w:type="dxa"/>
          </w:tcPr>
          <w:p w:rsidR="0022348A" w:rsidRPr="003278C8" w:rsidP="003278C8" w14:paraId="5A8B1B96" w14:textId="04915CAB">
            <w:pPr>
              <w:pStyle w:val="7190"/>
              <w:bidi w:val="0"/>
              <w:spacing w:after="0"/>
              <w:rPr>
                <w:rFonts w:ascii="Arial" w:hAnsi="Arial"/>
                <w:color w:val="00305F"/>
              </w:rPr>
            </w:pPr>
            <w:r w:rsidRPr="003278C8">
              <w:rPr>
                <w:color w:val="00305F"/>
                <w:sz w:val="22"/>
                <w:szCs w:val="22"/>
              </w:rPr>
              <w:t>Ministry of Health</w:t>
            </w:r>
          </w:p>
        </w:tc>
      </w:tr>
      <w:tr w14:paraId="74E70D8F" w14:textId="77777777" w:rsidTr="00BC7301">
        <w:tblPrEx>
          <w:tblW w:w="0" w:type="auto"/>
          <w:tblLook w:val="04A0"/>
        </w:tblPrEx>
        <w:tc>
          <w:tcPr>
            <w:tcW w:w="985" w:type="dxa"/>
          </w:tcPr>
          <w:p w:rsidR="0022348A" w:rsidRPr="003278C8" w:rsidP="00725E30" w14:paraId="267CAF4F" w14:textId="0CA0D552">
            <w:pPr>
              <w:pStyle w:val="7190"/>
              <w:bidi w:val="0"/>
              <w:spacing w:before="100" w:after="480"/>
              <w:rPr>
                <w:rFonts w:ascii="Arial" w:hAnsi="Arial"/>
                <w:color w:val="00305F"/>
              </w:rPr>
            </w:pPr>
            <w:r>
              <w:rPr>
                <w:rFonts w:ascii="Arial" w:hAnsi="Arial" w:hint="cs"/>
                <w:color w:val="00305F"/>
                <w:rtl/>
              </w:rPr>
              <w:t>95</w:t>
            </w:r>
          </w:p>
        </w:tc>
        <w:tc>
          <w:tcPr>
            <w:tcW w:w="567" w:type="dxa"/>
          </w:tcPr>
          <w:p w:rsidR="0022348A" w:rsidRPr="003278C8" w:rsidP="00725E30" w14:paraId="185E30CF" w14:textId="77777777">
            <w:pPr>
              <w:pStyle w:val="7190"/>
              <w:bidi w:val="0"/>
              <w:spacing w:before="100" w:after="480"/>
              <w:rPr>
                <w:rFonts w:ascii="Arial" w:hAnsi="Arial"/>
                <w:color w:val="00305F"/>
                <w:rtl/>
              </w:rPr>
            </w:pPr>
          </w:p>
        </w:tc>
        <w:tc>
          <w:tcPr>
            <w:tcW w:w="5818" w:type="dxa"/>
            <w:vAlign w:val="center"/>
          </w:tcPr>
          <w:p w:rsidR="0022348A" w:rsidRPr="003278C8" w:rsidP="00725E30" w14:paraId="70833722" w14:textId="6663EAA7">
            <w:pPr>
              <w:pStyle w:val="7190"/>
              <w:bidi w:val="0"/>
              <w:spacing w:before="100" w:after="480"/>
              <w:rPr>
                <w:color w:val="00305F"/>
                <w:spacing w:val="-4"/>
              </w:rPr>
            </w:pPr>
            <w:r w:rsidRPr="003278C8">
              <w:rPr>
                <w:color w:val="00305F"/>
                <w:spacing w:val="-4"/>
              </w:rPr>
              <w:t xml:space="preserve">Advanced Imaging Tests – Follow-up Audit  </w:t>
            </w:r>
          </w:p>
        </w:tc>
      </w:tr>
      <w:tr w14:paraId="3973E672" w14:textId="77777777" w:rsidTr="00BC7301">
        <w:tblPrEx>
          <w:tblW w:w="0" w:type="auto"/>
          <w:tblLook w:val="04A0"/>
        </w:tblPrEx>
        <w:tc>
          <w:tcPr>
            <w:tcW w:w="985" w:type="dxa"/>
          </w:tcPr>
          <w:p w:rsidR="008F7778" w:rsidP="00D35B2D" w14:paraId="02F7EEF7" w14:textId="77777777">
            <w:pPr>
              <w:pStyle w:val="7190"/>
              <w:bidi w:val="0"/>
              <w:spacing w:before="0" w:after="120"/>
              <w:rPr>
                <w:rFonts w:ascii="Arial" w:hAnsi="Arial"/>
                <w:color w:val="000000"/>
              </w:rPr>
            </w:pPr>
          </w:p>
        </w:tc>
        <w:tc>
          <w:tcPr>
            <w:tcW w:w="567" w:type="dxa"/>
          </w:tcPr>
          <w:p w:rsidR="008F7778" w:rsidRPr="00141BD3" w:rsidP="00D35B2D" w14:paraId="7C973632" w14:textId="3AB0FCB3">
            <w:pPr>
              <w:pStyle w:val="7190"/>
              <w:bidi w:val="0"/>
              <w:spacing w:before="0" w:after="120"/>
              <w:rPr>
                <w:rFonts w:ascii="Arial" w:hAnsi="Arial"/>
                <w:color w:val="000000"/>
                <w:rtl/>
              </w:rPr>
            </w:pPr>
          </w:p>
        </w:tc>
        <w:tc>
          <w:tcPr>
            <w:tcW w:w="5818" w:type="dxa"/>
            <w:vAlign w:val="center"/>
          </w:tcPr>
          <w:p w:rsidR="008F7778" w:rsidP="00D35B2D" w14:paraId="50070C69" w14:textId="77777777">
            <w:pPr>
              <w:pStyle w:val="7190"/>
              <w:bidi w:val="0"/>
              <w:spacing w:before="0" w:after="120"/>
              <w:rPr>
                <w:color w:val="0D0D0D"/>
                <w:spacing w:val="-4"/>
                <w:rtl/>
              </w:rPr>
            </w:pPr>
          </w:p>
        </w:tc>
      </w:tr>
      <w:tr w14:paraId="795A1844" w14:textId="77777777" w:rsidTr="00BC7301">
        <w:tblPrEx>
          <w:tblW w:w="0" w:type="auto"/>
          <w:tblLook w:val="04A0"/>
        </w:tblPrEx>
        <w:tc>
          <w:tcPr>
            <w:tcW w:w="985" w:type="dxa"/>
          </w:tcPr>
          <w:p w:rsidR="001875BC" w:rsidRPr="003278C8" w:rsidP="003278C8" w14:paraId="2C2BBB24" w14:textId="77777777">
            <w:pPr>
              <w:pStyle w:val="7190"/>
              <w:bidi w:val="0"/>
              <w:spacing w:after="0"/>
              <w:rPr>
                <w:color w:val="00305F"/>
                <w:sz w:val="22"/>
                <w:szCs w:val="22"/>
                <w:rtl/>
              </w:rPr>
            </w:pPr>
          </w:p>
        </w:tc>
        <w:tc>
          <w:tcPr>
            <w:tcW w:w="567" w:type="dxa"/>
          </w:tcPr>
          <w:p w:rsidR="001875BC" w:rsidRPr="003278C8" w:rsidP="003278C8" w14:paraId="24B71F9C" w14:textId="77777777">
            <w:pPr>
              <w:pStyle w:val="7190"/>
              <w:bidi w:val="0"/>
              <w:spacing w:after="0"/>
              <w:rPr>
                <w:color w:val="00305F"/>
                <w:sz w:val="22"/>
                <w:szCs w:val="22"/>
                <w:rtl/>
              </w:rPr>
            </w:pPr>
          </w:p>
        </w:tc>
        <w:tc>
          <w:tcPr>
            <w:tcW w:w="5818" w:type="dxa"/>
          </w:tcPr>
          <w:p w:rsidR="001875BC" w:rsidRPr="003278C8" w:rsidP="003278C8" w14:paraId="20445ABF" w14:textId="42C36B39">
            <w:pPr>
              <w:pStyle w:val="7190"/>
              <w:bidi w:val="0"/>
              <w:spacing w:after="0"/>
              <w:rPr>
                <w:color w:val="00305F"/>
                <w:sz w:val="22"/>
                <w:szCs w:val="22"/>
              </w:rPr>
            </w:pPr>
            <w:r w:rsidRPr="003278C8">
              <w:rPr>
                <w:color w:val="00305F"/>
                <w:sz w:val="22"/>
                <w:szCs w:val="22"/>
              </w:rPr>
              <w:t>The Ministry of Agriculture and Rural Development</w:t>
            </w:r>
          </w:p>
        </w:tc>
      </w:tr>
      <w:tr w14:paraId="2294FC9A" w14:textId="77777777" w:rsidTr="00BC7301">
        <w:tblPrEx>
          <w:tblW w:w="0" w:type="auto"/>
          <w:tblLook w:val="04A0"/>
        </w:tblPrEx>
        <w:tc>
          <w:tcPr>
            <w:tcW w:w="985" w:type="dxa"/>
          </w:tcPr>
          <w:p w:rsidR="001875BC" w:rsidRPr="003278C8" w:rsidP="001875BC" w14:paraId="4FE78095" w14:textId="57BD1531">
            <w:pPr>
              <w:pStyle w:val="7190"/>
              <w:bidi w:val="0"/>
              <w:spacing w:before="100" w:after="100"/>
              <w:rPr>
                <w:rFonts w:ascii="Arial" w:hAnsi="Arial"/>
                <w:color w:val="00305F"/>
                <w:sz w:val="24"/>
                <w:rtl/>
              </w:rPr>
            </w:pPr>
            <w:r>
              <w:rPr>
                <w:rFonts w:ascii="Arial" w:hAnsi="Arial" w:hint="cs"/>
                <w:color w:val="00305F"/>
                <w:sz w:val="24"/>
                <w:rtl/>
              </w:rPr>
              <w:t>119</w:t>
            </w:r>
          </w:p>
        </w:tc>
        <w:tc>
          <w:tcPr>
            <w:tcW w:w="567" w:type="dxa"/>
          </w:tcPr>
          <w:p w:rsidR="001875BC" w:rsidRPr="003278C8" w:rsidP="001875BC" w14:paraId="7F3CC292" w14:textId="77777777">
            <w:pPr>
              <w:pStyle w:val="7190"/>
              <w:bidi w:val="0"/>
              <w:spacing w:before="100" w:after="100"/>
              <w:rPr>
                <w:rFonts w:ascii="Arial" w:hAnsi="Arial"/>
                <w:color w:val="00305F"/>
                <w:sz w:val="24"/>
                <w:rtl/>
              </w:rPr>
            </w:pPr>
          </w:p>
        </w:tc>
        <w:tc>
          <w:tcPr>
            <w:tcW w:w="5818" w:type="dxa"/>
          </w:tcPr>
          <w:p w:rsidR="001875BC" w:rsidRPr="003278C8" w:rsidP="001875BC" w14:paraId="59015133" w14:textId="131228B9">
            <w:pPr>
              <w:pStyle w:val="7190"/>
              <w:bidi w:val="0"/>
              <w:spacing w:before="100" w:after="100"/>
              <w:rPr>
                <w:color w:val="00305F"/>
              </w:rPr>
            </w:pPr>
            <w:r w:rsidRPr="003278C8">
              <w:rPr>
                <w:color w:val="00305F"/>
              </w:rPr>
              <w:t>The Central Unit for Enforcement and Investigations in the Ministry of Agriculture</w:t>
            </w:r>
          </w:p>
        </w:tc>
      </w:tr>
      <w:tr w14:paraId="25DCC776" w14:textId="77777777" w:rsidTr="00BC7301">
        <w:tblPrEx>
          <w:tblW w:w="0" w:type="auto"/>
          <w:tblLook w:val="04A0"/>
        </w:tblPrEx>
        <w:tc>
          <w:tcPr>
            <w:tcW w:w="985" w:type="dxa"/>
          </w:tcPr>
          <w:p w:rsidR="001875BC" w:rsidRPr="003278C8" w:rsidP="003278C8" w14:paraId="48AB6913" w14:textId="77777777">
            <w:pPr>
              <w:pStyle w:val="7190"/>
              <w:bidi w:val="0"/>
              <w:spacing w:after="0"/>
              <w:rPr>
                <w:color w:val="00305F"/>
                <w:sz w:val="22"/>
                <w:szCs w:val="22"/>
                <w:rtl/>
              </w:rPr>
            </w:pPr>
          </w:p>
        </w:tc>
        <w:tc>
          <w:tcPr>
            <w:tcW w:w="567" w:type="dxa"/>
          </w:tcPr>
          <w:p w:rsidR="001875BC" w:rsidRPr="003278C8" w:rsidP="003278C8" w14:paraId="72EAE287" w14:textId="77777777">
            <w:pPr>
              <w:pStyle w:val="7190"/>
              <w:bidi w:val="0"/>
              <w:spacing w:after="0"/>
              <w:rPr>
                <w:color w:val="00305F"/>
                <w:sz w:val="22"/>
                <w:szCs w:val="22"/>
                <w:rtl/>
              </w:rPr>
            </w:pPr>
          </w:p>
        </w:tc>
        <w:tc>
          <w:tcPr>
            <w:tcW w:w="5818" w:type="dxa"/>
          </w:tcPr>
          <w:p w:rsidR="001875BC" w:rsidRPr="003278C8" w:rsidP="003278C8" w14:paraId="38015313" w14:textId="571DA6F7">
            <w:pPr>
              <w:pStyle w:val="7190"/>
              <w:bidi w:val="0"/>
              <w:spacing w:after="0"/>
              <w:rPr>
                <w:color w:val="00305F"/>
                <w:sz w:val="22"/>
                <w:szCs w:val="22"/>
              </w:rPr>
            </w:pPr>
            <w:r w:rsidRPr="003278C8">
              <w:rPr>
                <w:color w:val="00305F"/>
                <w:sz w:val="22"/>
                <w:szCs w:val="22"/>
              </w:rPr>
              <w:t>The Ministry of Religious Services</w:t>
            </w:r>
          </w:p>
        </w:tc>
      </w:tr>
      <w:tr w14:paraId="5E549A7F" w14:textId="77777777" w:rsidTr="00BC7301">
        <w:tblPrEx>
          <w:tblW w:w="0" w:type="auto"/>
          <w:tblLook w:val="04A0"/>
        </w:tblPrEx>
        <w:tc>
          <w:tcPr>
            <w:tcW w:w="985" w:type="dxa"/>
          </w:tcPr>
          <w:p w:rsidR="001875BC" w:rsidRPr="003278C8" w:rsidP="001875BC" w14:paraId="7AB03EC7" w14:textId="6064D8F3">
            <w:pPr>
              <w:pStyle w:val="7190"/>
              <w:bidi w:val="0"/>
              <w:spacing w:before="100" w:after="100"/>
              <w:rPr>
                <w:rFonts w:ascii="Arial" w:hAnsi="Arial"/>
                <w:color w:val="00305F"/>
                <w:sz w:val="24"/>
                <w:rtl/>
              </w:rPr>
            </w:pPr>
            <w:r>
              <w:rPr>
                <w:rFonts w:ascii="Arial" w:hAnsi="Arial" w:hint="cs"/>
                <w:color w:val="00305F"/>
                <w:sz w:val="24"/>
                <w:rtl/>
              </w:rPr>
              <w:t>137</w:t>
            </w:r>
          </w:p>
        </w:tc>
        <w:tc>
          <w:tcPr>
            <w:tcW w:w="567" w:type="dxa"/>
          </w:tcPr>
          <w:p w:rsidR="001875BC" w:rsidRPr="003278C8" w:rsidP="001875BC" w14:paraId="56654CBB" w14:textId="77777777">
            <w:pPr>
              <w:pStyle w:val="7190"/>
              <w:bidi w:val="0"/>
              <w:spacing w:before="100" w:after="100"/>
              <w:rPr>
                <w:rFonts w:ascii="Arial" w:hAnsi="Arial"/>
                <w:color w:val="00305F"/>
                <w:sz w:val="24"/>
                <w:rtl/>
              </w:rPr>
            </w:pPr>
          </w:p>
        </w:tc>
        <w:tc>
          <w:tcPr>
            <w:tcW w:w="5818" w:type="dxa"/>
          </w:tcPr>
          <w:p w:rsidR="001875BC" w:rsidRPr="003278C8" w:rsidP="001875BC" w14:paraId="073D8644" w14:textId="399DC82A">
            <w:pPr>
              <w:pStyle w:val="7190"/>
              <w:bidi w:val="0"/>
              <w:spacing w:before="100" w:after="100"/>
              <w:rPr>
                <w:color w:val="00305F"/>
              </w:rPr>
            </w:pPr>
            <w:r w:rsidRPr="003278C8">
              <w:rPr>
                <w:color w:val="00305F"/>
              </w:rPr>
              <w:t xml:space="preserve">The Burial System in Israel – Follow-up Audit  </w:t>
            </w:r>
          </w:p>
        </w:tc>
      </w:tr>
      <w:tr w14:paraId="36AD8A36" w14:textId="77777777" w:rsidTr="00BC7301">
        <w:tblPrEx>
          <w:tblW w:w="0" w:type="auto"/>
          <w:tblLook w:val="04A0"/>
        </w:tblPrEx>
        <w:tc>
          <w:tcPr>
            <w:tcW w:w="985" w:type="dxa"/>
          </w:tcPr>
          <w:p w:rsidR="001875BC" w:rsidRPr="003278C8" w:rsidP="003278C8" w14:paraId="6EB7D206" w14:textId="77777777">
            <w:pPr>
              <w:pStyle w:val="7190"/>
              <w:bidi w:val="0"/>
              <w:spacing w:after="0"/>
              <w:rPr>
                <w:color w:val="00305F"/>
                <w:sz w:val="22"/>
                <w:szCs w:val="22"/>
                <w:rtl/>
              </w:rPr>
            </w:pPr>
          </w:p>
        </w:tc>
        <w:tc>
          <w:tcPr>
            <w:tcW w:w="567" w:type="dxa"/>
          </w:tcPr>
          <w:p w:rsidR="001875BC" w:rsidRPr="003278C8" w:rsidP="003278C8" w14:paraId="1D0132DB" w14:textId="77777777">
            <w:pPr>
              <w:pStyle w:val="7190"/>
              <w:bidi w:val="0"/>
              <w:spacing w:after="0"/>
              <w:rPr>
                <w:color w:val="00305F"/>
                <w:sz w:val="22"/>
                <w:szCs w:val="22"/>
                <w:rtl/>
              </w:rPr>
            </w:pPr>
          </w:p>
        </w:tc>
        <w:tc>
          <w:tcPr>
            <w:tcW w:w="5818" w:type="dxa"/>
          </w:tcPr>
          <w:p w:rsidR="001875BC" w:rsidRPr="003278C8" w:rsidP="003278C8" w14:paraId="5208CD01" w14:textId="53DC0947">
            <w:pPr>
              <w:pStyle w:val="7190"/>
              <w:bidi w:val="0"/>
              <w:spacing w:after="0"/>
              <w:rPr>
                <w:color w:val="00305F"/>
                <w:sz w:val="22"/>
                <w:szCs w:val="22"/>
              </w:rPr>
            </w:pPr>
            <w:r w:rsidRPr="003278C8">
              <w:rPr>
                <w:color w:val="00305F"/>
                <w:sz w:val="22"/>
                <w:szCs w:val="22"/>
              </w:rPr>
              <w:t>Ministry of Culture and Sports</w:t>
            </w:r>
          </w:p>
        </w:tc>
      </w:tr>
      <w:tr w14:paraId="10D726EB" w14:textId="77777777" w:rsidTr="00BC7301">
        <w:tblPrEx>
          <w:tblW w:w="0" w:type="auto"/>
          <w:tblLook w:val="04A0"/>
        </w:tblPrEx>
        <w:tc>
          <w:tcPr>
            <w:tcW w:w="985" w:type="dxa"/>
          </w:tcPr>
          <w:p w:rsidR="001875BC" w:rsidRPr="003278C8" w:rsidP="001875BC" w14:paraId="3A9C1435" w14:textId="3875097B">
            <w:pPr>
              <w:pStyle w:val="7190"/>
              <w:bidi w:val="0"/>
              <w:spacing w:before="100" w:after="100"/>
              <w:rPr>
                <w:rFonts w:ascii="Arial" w:hAnsi="Arial"/>
                <w:color w:val="00305F"/>
                <w:sz w:val="24"/>
                <w:rtl/>
              </w:rPr>
            </w:pPr>
            <w:r>
              <w:rPr>
                <w:rFonts w:ascii="Arial" w:hAnsi="Arial" w:hint="cs"/>
                <w:color w:val="00305F"/>
                <w:sz w:val="24"/>
                <w:rtl/>
              </w:rPr>
              <w:t>153</w:t>
            </w:r>
          </w:p>
        </w:tc>
        <w:tc>
          <w:tcPr>
            <w:tcW w:w="567" w:type="dxa"/>
          </w:tcPr>
          <w:p w:rsidR="001875BC" w:rsidRPr="003278C8" w:rsidP="001875BC" w14:paraId="10BFFFE3" w14:textId="77777777">
            <w:pPr>
              <w:pStyle w:val="7190"/>
              <w:bidi w:val="0"/>
              <w:spacing w:before="100" w:after="100"/>
              <w:rPr>
                <w:rFonts w:ascii="Arial" w:hAnsi="Arial"/>
                <w:color w:val="00305F"/>
                <w:sz w:val="24"/>
                <w:rtl/>
              </w:rPr>
            </w:pPr>
          </w:p>
        </w:tc>
        <w:tc>
          <w:tcPr>
            <w:tcW w:w="5818" w:type="dxa"/>
          </w:tcPr>
          <w:p w:rsidR="001875BC" w:rsidRPr="003278C8" w:rsidP="001875BC" w14:paraId="30C857A5" w14:textId="1F8C23F0">
            <w:pPr>
              <w:pStyle w:val="7190"/>
              <w:bidi w:val="0"/>
              <w:spacing w:before="100" w:after="100"/>
              <w:rPr>
                <w:color w:val="00305F"/>
              </w:rPr>
            </w:pPr>
            <w:r w:rsidRPr="003278C8">
              <w:rPr>
                <w:color w:val="00305F"/>
              </w:rPr>
              <w:t xml:space="preserve">The Football Association's Budget Control Authority  </w:t>
            </w:r>
          </w:p>
        </w:tc>
      </w:tr>
      <w:tr w14:paraId="659C9EF5" w14:textId="77777777" w:rsidTr="00BC7301">
        <w:tblPrEx>
          <w:tblW w:w="0" w:type="auto"/>
          <w:tblLook w:val="04A0"/>
        </w:tblPrEx>
        <w:tc>
          <w:tcPr>
            <w:tcW w:w="985" w:type="dxa"/>
          </w:tcPr>
          <w:p w:rsidR="0007784F" w:rsidRPr="003278C8" w:rsidP="001875BC" w14:paraId="32EEC37D" w14:textId="77777777">
            <w:pPr>
              <w:pStyle w:val="7190"/>
              <w:bidi w:val="0"/>
              <w:spacing w:before="100" w:after="100"/>
              <w:rPr>
                <w:rFonts w:ascii="Arial" w:hAnsi="Arial"/>
                <w:color w:val="00305F"/>
                <w:sz w:val="24"/>
                <w:rtl/>
              </w:rPr>
            </w:pPr>
          </w:p>
        </w:tc>
        <w:tc>
          <w:tcPr>
            <w:tcW w:w="567" w:type="dxa"/>
          </w:tcPr>
          <w:p w:rsidR="0007784F" w:rsidRPr="003278C8" w:rsidP="001875BC" w14:paraId="0CCE5BEB" w14:textId="77777777">
            <w:pPr>
              <w:pStyle w:val="7190"/>
              <w:bidi w:val="0"/>
              <w:spacing w:before="100" w:after="100"/>
              <w:rPr>
                <w:rFonts w:ascii="Arial" w:hAnsi="Arial"/>
                <w:color w:val="00305F"/>
                <w:sz w:val="24"/>
                <w:rtl/>
              </w:rPr>
            </w:pPr>
          </w:p>
        </w:tc>
        <w:tc>
          <w:tcPr>
            <w:tcW w:w="5818" w:type="dxa"/>
          </w:tcPr>
          <w:p w:rsidR="0007784F" w:rsidRPr="003278C8" w:rsidP="0007784F" w14:paraId="63A9011D" w14:textId="0002F581">
            <w:pPr>
              <w:pStyle w:val="7190"/>
              <w:bidi w:val="0"/>
              <w:spacing w:before="240" w:after="0"/>
              <w:rPr>
                <w:color w:val="00305F"/>
              </w:rPr>
            </w:pPr>
            <w:r w:rsidRPr="003278C8">
              <w:rPr>
                <w:b/>
                <w:bCs/>
                <w:color w:val="00305F"/>
                <w:sz w:val="22"/>
                <w:szCs w:val="22"/>
              </w:rPr>
              <w:t>A Collection of Reports Concerning the Coronavirus</w:t>
            </w:r>
          </w:p>
        </w:tc>
      </w:tr>
      <w:tr w14:paraId="1183F8D4" w14:textId="77777777" w:rsidTr="00BC7301">
        <w:tblPrEx>
          <w:tblW w:w="0" w:type="auto"/>
          <w:tblLook w:val="04A0"/>
        </w:tblPrEx>
        <w:tc>
          <w:tcPr>
            <w:tcW w:w="985" w:type="dxa"/>
          </w:tcPr>
          <w:p w:rsidR="0007784F" w:rsidRPr="003278C8" w:rsidP="001875BC" w14:paraId="448B0CA6" w14:textId="7A46B8F8">
            <w:pPr>
              <w:pStyle w:val="7190"/>
              <w:bidi w:val="0"/>
              <w:spacing w:before="100" w:after="100"/>
              <w:rPr>
                <w:rFonts w:ascii="Arial" w:hAnsi="Arial"/>
                <w:color w:val="00305F"/>
                <w:sz w:val="24"/>
                <w:rtl/>
              </w:rPr>
            </w:pPr>
            <w:r>
              <w:rPr>
                <w:rFonts w:ascii="Arial" w:hAnsi="Arial" w:hint="cs"/>
                <w:color w:val="00305F"/>
                <w:sz w:val="24"/>
                <w:rtl/>
              </w:rPr>
              <w:t>165</w:t>
            </w:r>
          </w:p>
        </w:tc>
        <w:tc>
          <w:tcPr>
            <w:tcW w:w="567" w:type="dxa"/>
          </w:tcPr>
          <w:p w:rsidR="0007784F" w:rsidRPr="003278C8" w:rsidP="001875BC" w14:paraId="25710882" w14:textId="77777777">
            <w:pPr>
              <w:pStyle w:val="7190"/>
              <w:bidi w:val="0"/>
              <w:spacing w:before="100" w:after="100"/>
              <w:rPr>
                <w:rFonts w:ascii="Arial" w:hAnsi="Arial"/>
                <w:color w:val="00305F"/>
                <w:sz w:val="24"/>
                <w:rtl/>
              </w:rPr>
            </w:pPr>
          </w:p>
        </w:tc>
        <w:tc>
          <w:tcPr>
            <w:tcW w:w="5818" w:type="dxa"/>
          </w:tcPr>
          <w:p w:rsidR="0007784F" w:rsidRPr="003278C8" w:rsidP="001875BC" w14:paraId="7C6032A6" w14:textId="1E2274FC">
            <w:pPr>
              <w:pStyle w:val="7190"/>
              <w:bidi w:val="0"/>
              <w:spacing w:before="100" w:after="100"/>
              <w:rPr>
                <w:color w:val="00305F"/>
              </w:rPr>
            </w:pPr>
            <w:r w:rsidRPr="003278C8">
              <w:rPr>
                <w:color w:val="00305F"/>
              </w:rPr>
              <w:t>The Operation of the Array of Institutional Antigen Testing and Recognizing It as Diagnostic Testing for Covid-19</w:t>
            </w:r>
          </w:p>
        </w:tc>
      </w:tr>
      <w:tr w14:paraId="1D9A8C0B" w14:textId="77777777" w:rsidTr="001E5452">
        <w:tblPrEx>
          <w:tblW w:w="0" w:type="auto"/>
          <w:tblLook w:val="04A0"/>
        </w:tblPrEx>
        <w:tc>
          <w:tcPr>
            <w:tcW w:w="985" w:type="dxa"/>
          </w:tcPr>
          <w:p w:rsidR="001875BC" w:rsidRPr="003278C8" w:rsidP="001875BC" w14:paraId="7AB10CA4" w14:textId="285967CE">
            <w:pPr>
              <w:pStyle w:val="7190"/>
              <w:bidi w:val="0"/>
              <w:spacing w:before="100" w:after="100"/>
              <w:rPr>
                <w:rFonts w:ascii="Arial" w:hAnsi="Arial"/>
                <w:color w:val="00305F"/>
                <w:sz w:val="24"/>
                <w:rtl/>
              </w:rPr>
            </w:pPr>
            <w:r>
              <w:rPr>
                <w:rFonts w:ascii="Arial" w:hAnsi="Arial" w:hint="cs"/>
                <w:color w:val="00305F"/>
                <w:sz w:val="24"/>
                <w:rtl/>
              </w:rPr>
              <w:t>177</w:t>
            </w:r>
          </w:p>
        </w:tc>
        <w:tc>
          <w:tcPr>
            <w:tcW w:w="567" w:type="dxa"/>
          </w:tcPr>
          <w:p w:rsidR="001875BC" w:rsidRPr="003278C8" w:rsidP="001875BC" w14:paraId="753EF313" w14:textId="77777777">
            <w:pPr>
              <w:pStyle w:val="7190"/>
              <w:bidi w:val="0"/>
              <w:spacing w:before="100" w:after="100"/>
              <w:rPr>
                <w:rFonts w:ascii="Arial" w:hAnsi="Arial"/>
                <w:color w:val="00305F"/>
                <w:sz w:val="24"/>
                <w:rtl/>
              </w:rPr>
            </w:pPr>
          </w:p>
        </w:tc>
        <w:tc>
          <w:tcPr>
            <w:tcW w:w="5818" w:type="dxa"/>
          </w:tcPr>
          <w:p w:rsidR="001875BC" w:rsidRPr="003278C8" w:rsidP="001875BC" w14:paraId="0B0017B7" w14:textId="09882F55">
            <w:pPr>
              <w:pStyle w:val="7190"/>
              <w:bidi w:val="0"/>
              <w:spacing w:before="100" w:after="100"/>
              <w:rPr>
                <w:color w:val="00305F"/>
              </w:rPr>
            </w:pPr>
            <w:r w:rsidRPr="003278C8">
              <w:rPr>
                <w:color w:val="00305F"/>
                <w:spacing w:val="-4"/>
              </w:rPr>
              <w:t>Vaccination of the Population Against the Coronavirus</w:t>
            </w:r>
          </w:p>
        </w:tc>
      </w:tr>
      <w:tr w14:paraId="40EFAED9" w14:textId="77777777" w:rsidTr="001E5452">
        <w:tblPrEx>
          <w:tblW w:w="0" w:type="auto"/>
          <w:tblLook w:val="04A0"/>
        </w:tblPrEx>
        <w:tc>
          <w:tcPr>
            <w:tcW w:w="985" w:type="dxa"/>
          </w:tcPr>
          <w:p w:rsidR="001875BC" w:rsidRPr="003278C8" w:rsidP="001875BC" w14:paraId="5F0F5C9B" w14:textId="50B78A31">
            <w:pPr>
              <w:pStyle w:val="7190"/>
              <w:bidi w:val="0"/>
              <w:spacing w:before="100" w:after="100"/>
              <w:rPr>
                <w:rFonts w:ascii="Arial" w:hAnsi="Arial"/>
                <w:color w:val="00305F"/>
                <w:sz w:val="24"/>
                <w:rtl/>
              </w:rPr>
            </w:pPr>
            <w:r>
              <w:rPr>
                <w:rFonts w:ascii="Arial" w:hAnsi="Arial" w:hint="cs"/>
                <w:color w:val="00305F"/>
                <w:sz w:val="24"/>
                <w:rtl/>
              </w:rPr>
              <w:t>193</w:t>
            </w:r>
          </w:p>
        </w:tc>
        <w:tc>
          <w:tcPr>
            <w:tcW w:w="567" w:type="dxa"/>
          </w:tcPr>
          <w:p w:rsidR="001875BC" w:rsidRPr="003278C8" w:rsidP="001875BC" w14:paraId="6B608C96" w14:textId="77777777">
            <w:pPr>
              <w:pStyle w:val="7190"/>
              <w:bidi w:val="0"/>
              <w:spacing w:before="100" w:after="100"/>
              <w:rPr>
                <w:rFonts w:ascii="Arial" w:hAnsi="Arial"/>
                <w:color w:val="00305F"/>
                <w:sz w:val="24"/>
                <w:rtl/>
              </w:rPr>
            </w:pPr>
          </w:p>
        </w:tc>
        <w:tc>
          <w:tcPr>
            <w:tcW w:w="5818" w:type="dxa"/>
          </w:tcPr>
          <w:p w:rsidR="001875BC" w:rsidRPr="003278C8" w:rsidP="001875BC" w14:paraId="71FE3978" w14:textId="222CED5D">
            <w:pPr>
              <w:pStyle w:val="7190"/>
              <w:bidi w:val="0"/>
              <w:spacing w:before="100" w:after="100"/>
              <w:rPr>
                <w:color w:val="00305F"/>
              </w:rPr>
            </w:pPr>
            <w:r w:rsidRPr="003278C8">
              <w:rPr>
                <w:color w:val="00305F"/>
                <w:spacing w:val="-4"/>
              </w:rPr>
              <w:t>Covid-19 Vaccines and Testing in the Education System</w:t>
            </w:r>
          </w:p>
        </w:tc>
      </w:tr>
      <w:tr w14:paraId="43102BC2" w14:textId="77777777" w:rsidTr="001E5452">
        <w:tblPrEx>
          <w:tblW w:w="0" w:type="auto"/>
          <w:tblLook w:val="04A0"/>
        </w:tblPrEx>
        <w:tc>
          <w:tcPr>
            <w:tcW w:w="985" w:type="dxa"/>
          </w:tcPr>
          <w:p w:rsidR="007A166F" w:rsidRPr="003278C8" w:rsidP="003278C8" w14:paraId="6497656A" w14:textId="313DC6E5">
            <w:pPr>
              <w:pStyle w:val="7190"/>
              <w:bidi w:val="0"/>
              <w:spacing w:before="240" w:after="100"/>
              <w:rPr>
                <w:rFonts w:ascii="Arial" w:hAnsi="Arial"/>
                <w:b/>
                <w:bCs/>
                <w:color w:val="00305F"/>
                <w:sz w:val="24"/>
                <w:rtl/>
              </w:rPr>
            </w:pPr>
          </w:p>
        </w:tc>
        <w:tc>
          <w:tcPr>
            <w:tcW w:w="567" w:type="dxa"/>
          </w:tcPr>
          <w:p w:rsidR="007A166F" w:rsidRPr="003278C8" w:rsidP="003278C8" w14:paraId="1F1A930A" w14:textId="77777777">
            <w:pPr>
              <w:pStyle w:val="7190"/>
              <w:bidi w:val="0"/>
              <w:spacing w:before="240" w:after="100"/>
              <w:rPr>
                <w:rFonts w:ascii="Arial" w:hAnsi="Arial"/>
                <w:b/>
                <w:bCs/>
                <w:color w:val="00305F"/>
                <w:sz w:val="24"/>
                <w:rtl/>
              </w:rPr>
            </w:pPr>
          </w:p>
        </w:tc>
        <w:tc>
          <w:tcPr>
            <w:tcW w:w="5818" w:type="dxa"/>
          </w:tcPr>
          <w:p w:rsidR="007A166F" w:rsidRPr="003278C8" w:rsidP="003278C8" w14:paraId="59879FF4" w14:textId="02058555">
            <w:pPr>
              <w:pStyle w:val="7190"/>
              <w:bidi w:val="0"/>
              <w:spacing w:before="240" w:after="100"/>
              <w:rPr>
                <w:rFonts w:ascii="Arial" w:hAnsi="Arial"/>
                <w:b/>
                <w:bCs/>
                <w:color w:val="00305F"/>
                <w:sz w:val="24"/>
              </w:rPr>
            </w:pPr>
            <w:r w:rsidRPr="009A334D">
              <w:rPr>
                <w:rFonts w:ascii="Arial" w:hAnsi="Arial"/>
                <w:b/>
                <w:bCs/>
                <w:color w:val="00305F"/>
                <w:sz w:val="24"/>
              </w:rPr>
              <w:t xml:space="preserve">State </w:t>
            </w:r>
            <w:r w:rsidR="0078358E">
              <w:rPr>
                <w:rFonts w:ascii="Arial" w:hAnsi="Arial"/>
                <w:b/>
                <w:bCs/>
                <w:color w:val="00305F"/>
                <w:sz w:val="24"/>
              </w:rPr>
              <w:t>I</w:t>
            </w:r>
            <w:r w:rsidRPr="009A334D">
              <w:rPr>
                <w:rFonts w:ascii="Arial" w:hAnsi="Arial"/>
                <w:b/>
                <w:bCs/>
                <w:color w:val="00305F"/>
                <w:sz w:val="24"/>
              </w:rPr>
              <w:t>nstitutions</w:t>
            </w:r>
          </w:p>
        </w:tc>
      </w:tr>
      <w:tr w14:paraId="069CD4F0" w14:textId="77777777" w:rsidTr="001E5452">
        <w:tblPrEx>
          <w:tblW w:w="0" w:type="auto"/>
          <w:tblLook w:val="04A0"/>
        </w:tblPrEx>
        <w:tc>
          <w:tcPr>
            <w:tcW w:w="985" w:type="dxa"/>
          </w:tcPr>
          <w:p w:rsidR="003278C8" w:rsidRPr="003278C8" w:rsidP="003278C8" w14:paraId="634EBAE1" w14:textId="77777777">
            <w:pPr>
              <w:pStyle w:val="7190"/>
              <w:bidi w:val="0"/>
              <w:spacing w:before="100" w:after="0"/>
              <w:rPr>
                <w:rFonts w:ascii="Arial" w:hAnsi="Arial"/>
                <w:b/>
                <w:bCs/>
                <w:color w:val="00305F"/>
                <w:sz w:val="24"/>
                <w:rtl/>
              </w:rPr>
            </w:pPr>
          </w:p>
        </w:tc>
        <w:tc>
          <w:tcPr>
            <w:tcW w:w="567" w:type="dxa"/>
          </w:tcPr>
          <w:p w:rsidR="003278C8" w:rsidRPr="003278C8" w:rsidP="003278C8" w14:paraId="5E643E66" w14:textId="77777777">
            <w:pPr>
              <w:pStyle w:val="7190"/>
              <w:bidi w:val="0"/>
              <w:spacing w:before="100" w:after="0"/>
              <w:rPr>
                <w:rFonts w:ascii="Arial" w:hAnsi="Arial"/>
                <w:b/>
                <w:bCs/>
                <w:color w:val="00305F"/>
                <w:sz w:val="24"/>
                <w:rtl/>
              </w:rPr>
            </w:pPr>
          </w:p>
        </w:tc>
        <w:tc>
          <w:tcPr>
            <w:tcW w:w="5818" w:type="dxa"/>
          </w:tcPr>
          <w:p w:rsidR="003278C8" w:rsidRPr="003278C8" w:rsidP="003278C8" w14:paraId="46BAC824" w14:textId="1DD73F9A">
            <w:pPr>
              <w:pStyle w:val="7190"/>
              <w:bidi w:val="0"/>
              <w:spacing w:before="100" w:after="0"/>
              <w:rPr>
                <w:rFonts w:ascii="Arial" w:hAnsi="Arial"/>
                <w:b/>
                <w:bCs/>
                <w:color w:val="00305F"/>
                <w:sz w:val="24"/>
              </w:rPr>
            </w:pPr>
            <w:r w:rsidRPr="009A334D">
              <w:rPr>
                <w:color w:val="00305F"/>
                <w:sz w:val="22"/>
                <w:szCs w:val="22"/>
              </w:rPr>
              <w:t>Israel Land Authority</w:t>
            </w:r>
          </w:p>
        </w:tc>
      </w:tr>
      <w:tr w14:paraId="4ECF6F8E" w14:textId="77777777" w:rsidTr="001E5452">
        <w:tblPrEx>
          <w:tblW w:w="0" w:type="auto"/>
          <w:tblLook w:val="04A0"/>
        </w:tblPrEx>
        <w:tc>
          <w:tcPr>
            <w:tcW w:w="985" w:type="dxa"/>
          </w:tcPr>
          <w:p w:rsidR="007A166F" w:rsidRPr="003278C8" w:rsidP="007A166F" w14:paraId="11398AC6" w14:textId="276653EB">
            <w:pPr>
              <w:pStyle w:val="7190"/>
              <w:bidi w:val="0"/>
              <w:spacing w:before="100" w:after="100"/>
              <w:rPr>
                <w:rFonts w:ascii="Arial" w:hAnsi="Arial"/>
                <w:color w:val="00305F"/>
                <w:sz w:val="24"/>
                <w:rtl/>
              </w:rPr>
            </w:pPr>
            <w:r>
              <w:rPr>
                <w:rFonts w:ascii="Arial" w:hAnsi="Arial" w:hint="cs"/>
                <w:color w:val="00305F"/>
                <w:sz w:val="24"/>
                <w:rtl/>
              </w:rPr>
              <w:t>209</w:t>
            </w:r>
          </w:p>
        </w:tc>
        <w:tc>
          <w:tcPr>
            <w:tcW w:w="567" w:type="dxa"/>
          </w:tcPr>
          <w:p w:rsidR="007A166F" w:rsidRPr="003278C8" w:rsidP="007A166F" w14:paraId="678D7929" w14:textId="77777777">
            <w:pPr>
              <w:pStyle w:val="7190"/>
              <w:bidi w:val="0"/>
              <w:spacing w:before="100" w:after="100"/>
              <w:rPr>
                <w:rFonts w:ascii="Arial" w:hAnsi="Arial"/>
                <w:color w:val="00305F"/>
                <w:sz w:val="24"/>
                <w:rtl/>
              </w:rPr>
            </w:pPr>
          </w:p>
        </w:tc>
        <w:tc>
          <w:tcPr>
            <w:tcW w:w="5818" w:type="dxa"/>
          </w:tcPr>
          <w:p w:rsidR="007A166F" w:rsidRPr="003278C8" w:rsidP="007A166F" w14:paraId="396E12AE" w14:textId="52EA5A98">
            <w:pPr>
              <w:pStyle w:val="7190"/>
              <w:bidi w:val="0"/>
              <w:spacing w:before="100" w:after="100"/>
              <w:rPr>
                <w:color w:val="00305F"/>
                <w:spacing w:val="-4"/>
              </w:rPr>
            </w:pPr>
            <w:r w:rsidRPr="003278C8">
              <w:rPr>
                <w:color w:val="00305F"/>
                <w:spacing w:val="-4"/>
              </w:rPr>
              <w:t>Information Security and Cyber Protection at the Israel Land Authority</w:t>
            </w:r>
          </w:p>
        </w:tc>
      </w:tr>
    </w:tbl>
    <w:p w:rsidR="009C0D3F" w:rsidRPr="009C0D3F" w:rsidP="00064016" w14:paraId="0AF20478" w14:textId="24AE18CF">
      <w:pPr>
        <w:pStyle w:val="7190"/>
        <w:jc w:val="center"/>
        <w:rPr>
          <w:sz w:val="24"/>
          <w:rtl/>
        </w:rPr>
        <w:sectPr w:rsidSect="007824E3">
          <w:headerReference w:type="even" r:id="rId17"/>
          <w:headerReference w:type="default" r:id="rId18"/>
          <w:footerReference w:type="default" r:id="rId19"/>
          <w:headerReference w:type="first" r:id="rId20"/>
          <w:pgSz w:w="11906" w:h="16838" w:code="9"/>
          <w:pgMar w:top="3062" w:right="2268" w:bottom="2552" w:left="2268" w:header="1134" w:footer="1361" w:gutter="0"/>
          <w:cols w:space="720"/>
          <w:titlePg/>
          <w:bidi/>
          <w:rtlGutter/>
          <w:docGrid w:linePitch="272"/>
        </w:sectPr>
      </w:pPr>
      <w:r>
        <w:rPr>
          <w:b/>
          <w:bCs/>
          <w:noProof/>
          <w:sz w:val="22"/>
          <w:szCs w:val="22"/>
          <w:rtl/>
          <w:lang w:val="he-IL"/>
        </w:rPr>
        <mc:AlternateContent>
          <mc:Choice Requires="wps">
            <w:drawing>
              <wp:anchor distT="0" distB="0" distL="114300" distR="114300" simplePos="0" relativeHeight="251701248" behindDoc="0" locked="0" layoutInCell="1" allowOverlap="1">
                <wp:simplePos x="0" y="0"/>
                <wp:positionH relativeFrom="column">
                  <wp:posOffset>3876016</wp:posOffset>
                </wp:positionH>
                <wp:positionV relativeFrom="paragraph">
                  <wp:posOffset>2620034</wp:posOffset>
                </wp:positionV>
                <wp:extent cx="1454331" cy="735058"/>
                <wp:effectExtent l="12700" t="12700" r="19050" b="14605"/>
                <wp:wrapNone/>
                <wp:docPr id="24" name="מלבן 24"/>
                <wp:cNvGraphicFramePr/>
                <a:graphic xmlns:a="http://schemas.openxmlformats.org/drawingml/2006/main">
                  <a:graphicData uri="http://schemas.microsoft.com/office/word/2010/wordprocessingShape">
                    <wps:wsp xmlns:wps="http://schemas.microsoft.com/office/word/2010/wordprocessingShape">
                      <wps:cNvSpPr/>
                      <wps:spPr>
                        <a:xfrm>
                          <a:off x="0" y="0"/>
                          <a:ext cx="1454331" cy="735058"/>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V relativeFrom="margin">
                  <wp14:pctHeight>0</wp14:pctHeight>
                </wp14:sizeRelV>
              </wp:anchor>
            </w:drawing>
          </mc:Choice>
          <mc:Fallback>
            <w:pict>
              <v:rect id="מלבן 24" o:spid="_x0000_s1046" style="width:114.5pt;height:57.9pt;margin-top:206.3pt;margin-left:305.2pt;mso-height-percent:0;mso-height-relative:margin;mso-wrap-distance-bottom:0;mso-wrap-distance-left:9pt;mso-wrap-distance-right:9pt;mso-wrap-distance-top:0;mso-wrap-style:square;position:absolute;visibility:visible;v-text-anchor:middle;z-index:251702272" fillcolor="white" strokecolor="white" strokeweight="2pt"/>
            </w:pict>
          </mc:Fallback>
        </mc:AlternateContent>
      </w:r>
      <w:r w:rsidR="00522B96">
        <w:rPr>
          <w:b/>
          <w:bCs/>
          <w:noProof/>
          <w:sz w:val="22"/>
          <w:szCs w:val="22"/>
          <w:rtl/>
          <w:lang w:val="he-IL"/>
        </w:rPr>
        <mc:AlternateContent>
          <mc:Choice Requires="wps">
            <w:drawing>
              <wp:anchor distT="0" distB="0" distL="114300" distR="114300" simplePos="0" relativeHeight="251697152" behindDoc="0" locked="0" layoutInCell="1" allowOverlap="1">
                <wp:simplePos x="0" y="0"/>
                <wp:positionH relativeFrom="column">
                  <wp:posOffset>-704669</wp:posOffset>
                </wp:positionH>
                <wp:positionV relativeFrom="paragraph">
                  <wp:posOffset>195127</wp:posOffset>
                </wp:positionV>
                <wp:extent cx="1454331" cy="501106"/>
                <wp:effectExtent l="12700" t="12700" r="19050" b="6985"/>
                <wp:wrapNone/>
                <wp:docPr id="35" name="מלבן 35"/>
                <wp:cNvGraphicFramePr/>
                <a:graphic xmlns:a="http://schemas.openxmlformats.org/drawingml/2006/main">
                  <a:graphicData uri="http://schemas.microsoft.com/office/word/2010/wordprocessingShape">
                    <wps:wsp xmlns:wps="http://schemas.microsoft.com/office/word/2010/wordprocessingShape">
                      <wps:cNvSpPr/>
                      <wps:spPr>
                        <a:xfrm>
                          <a:off x="0" y="0"/>
                          <a:ext cx="1454331" cy="501106"/>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V relativeFrom="margin">
                  <wp14:pctHeight>0</wp14:pctHeight>
                </wp14:sizeRelV>
              </wp:anchor>
            </w:drawing>
          </mc:Choice>
          <mc:Fallback>
            <w:pict>
              <v:rect id="מלבן 35" o:spid="_x0000_s1047" style="width:114.5pt;height:39.45pt;margin-top:15.35pt;margin-left:-55.5pt;mso-height-percent:0;mso-height-relative:margin;mso-wrap-distance-bottom:0;mso-wrap-distance-left:9pt;mso-wrap-distance-right:9pt;mso-wrap-distance-top:0;mso-wrap-style:square;position:absolute;visibility:visible;v-text-anchor:middle;z-index:251698176" fillcolor="white" strokecolor="white" strokeweight="2pt"/>
            </w:pict>
          </mc:Fallback>
        </mc:AlternateContent>
      </w:r>
      <w:r w:rsidR="00C158FE">
        <w:rPr>
          <w:noProof/>
          <w:sz w:val="22"/>
          <w:szCs w:val="22"/>
          <w:rtl/>
          <w:lang w:val="he-IL"/>
        </w:rPr>
        <mc:AlternateContent>
          <mc:Choice Requires="wps">
            <w:drawing>
              <wp:anchor distT="0" distB="0" distL="114300" distR="114300" simplePos="0" relativeHeight="251678720" behindDoc="0" locked="0" layoutInCell="1" allowOverlap="1">
                <wp:simplePos x="0" y="0"/>
                <wp:positionH relativeFrom="column">
                  <wp:posOffset>-545758</wp:posOffset>
                </wp:positionH>
                <wp:positionV relativeFrom="paragraph">
                  <wp:posOffset>4127500</wp:posOffset>
                </wp:positionV>
                <wp:extent cx="794825" cy="478302"/>
                <wp:effectExtent l="12700" t="12700" r="18415" b="17145"/>
                <wp:wrapNone/>
                <wp:docPr id="9" name="מלבן 9"/>
                <wp:cNvGraphicFramePr/>
                <a:graphic xmlns:a="http://schemas.openxmlformats.org/drawingml/2006/main">
                  <a:graphicData uri="http://schemas.microsoft.com/office/word/2010/wordprocessingShape">
                    <wps:wsp xmlns:wps="http://schemas.microsoft.com/office/word/2010/wordprocessingShape">
                      <wps:cNvSpPr/>
                      <wps:spPr>
                        <a:xfrm>
                          <a:off x="0" y="0"/>
                          <a:ext cx="794825" cy="478302"/>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anchor>
            </w:drawing>
          </mc:Choice>
          <mc:Fallback>
            <w:pict>
              <v:rect id="מלבן 9" o:spid="_x0000_s1048" style="width:62.6pt;height:37.65pt;margin-top:325pt;margin-left:-42.95pt;mso-wrap-distance-bottom:0;mso-wrap-distance-left:9pt;mso-wrap-distance-right:9pt;mso-wrap-distance-top:0;mso-wrap-style:square;position:absolute;visibility:visible;v-text-anchor:middle;z-index:251679744" fillcolor="white" strokecolor="white" strokeweight="2pt"/>
            </w:pict>
          </mc:Fallback>
        </mc:AlternateContent>
      </w:r>
    </w:p>
    <w:p w:rsidR="00F611CF" w:rsidRPr="006C067D" w:rsidP="00F611CF" w14:paraId="0214656F" w14:textId="5EFC9F83">
      <w:pPr>
        <w:rPr>
          <w:rFonts w:ascii="Arial" w:hAnsi="Arial"/>
          <w:szCs w:val="22"/>
          <w:rtl/>
        </w:rPr>
      </w:pPr>
    </w:p>
    <w:p w:rsidR="000E6A95" w:rsidRPr="001D6DD6" w:rsidP="000E6A95" w14:paraId="7A9DB702" w14:textId="7059E4CB">
      <w:pPr>
        <w:pStyle w:val="KOT1N"/>
        <w:spacing w:after="360"/>
        <w:jc w:val="left"/>
        <w:rPr>
          <w:rFonts w:ascii="Tahoma" w:hAnsi="Tahoma"/>
          <w:rtl/>
        </w:rPr>
      </w:pPr>
      <w:r w:rsidRPr="001D6DD6">
        <w:rPr>
          <w:rFonts w:ascii="Tahoma" w:hAnsi="Tahoma"/>
        </w:rPr>
        <w:t>Foreword</w:t>
      </w:r>
    </w:p>
    <w:p w:rsidR="003278C8" w:rsidP="003278C8" w14:paraId="4C164182" w14:textId="77777777">
      <w:pPr>
        <w:pStyle w:val="7190"/>
        <w:bidi w:val="0"/>
      </w:pPr>
      <w:r>
        <w:t xml:space="preserve">The State Comptroller’s Annual Audit Report of May 2024 was submitted to the Knesset under the State Comptroller Law, 1958 [Consolidated Version]. The report includes two parts: The first part consists of an audit of the defense system; the second, an audit of government ministries and state institutions. </w:t>
      </w:r>
    </w:p>
    <w:p w:rsidR="003278C8" w:rsidRPr="00AC14C6" w:rsidP="003278C8" w14:paraId="0CDBEFBF" w14:textId="77777777">
      <w:pPr>
        <w:pStyle w:val="7190"/>
        <w:bidi w:val="0"/>
      </w:pPr>
      <w:r w:rsidRPr="00AC14C6">
        <w:t xml:space="preserve">On the morning of Saturday, </w:t>
      </w:r>
      <w:r w:rsidRPr="00995DE5">
        <w:t>"Shemini Atzeret" and "Simchat Torah" holiday</w:t>
      </w:r>
      <w:r w:rsidRPr="00AC14C6">
        <w:t xml:space="preserve">, October 7th, 2023, the terrorist organization Hamas launched a murderous surprise attack on the communities surrounding Gaza and nearby areas, alongside a heavy barrage of thousands of missiles and rockets on southern and central Israel. In the terror attack, 256 Israelis were abducted: 124 were released or escaped, and 132 remain captive; from the massacre until mid-April 2024, 1,542 Israelis were killed, including 604 IDF soldiers, and 15,140 injured. In the days following October 7th, 2023, tens of thousands of residents from communities surrounding Gaza were evacuated from their homes, while still coping with the severe traumas many of them experienced that day. Following the escalation of hostilities on the northern front, tens of thousands of residents from northern border communities were also evacuated from their homes. </w:t>
      </w:r>
    </w:p>
    <w:p w:rsidR="003278C8" w:rsidRPr="00AC14C6" w:rsidP="003278C8" w14:paraId="6C892BDB" w14:textId="77777777">
      <w:pPr>
        <w:pStyle w:val="7190"/>
        <w:bidi w:val="0"/>
      </w:pPr>
      <w:r w:rsidRPr="00AC14C6">
        <w:t>As previously announced, our office is conducting a comprehensive audit, addressing several issues related to the massacre on October 7th, 2023, and the "Iron Swords" war. In my opinion, there is a public and moral obligation to conduct an audit that will examine the functioning of all echelons on the day of the massacre, both during the period preceding it, and in its aftermath.</w:t>
      </w:r>
    </w:p>
    <w:p w:rsidR="003278C8" w:rsidRPr="00AC14C6" w:rsidP="003278C8" w14:paraId="6564569C" w14:textId="77777777">
      <w:pPr>
        <w:pStyle w:val="7190"/>
        <w:bidi w:val="0"/>
      </w:pPr>
      <w:r w:rsidRPr="00AC14C6">
        <w:t>In tandem with the audit on the war issue, our office continued to fulfill its role and conducted audits in other areas as well. The following is an overview of some of the chapters in the report:</w:t>
      </w:r>
    </w:p>
    <w:p w:rsidR="003278C8" w:rsidRPr="00AC14C6" w:rsidP="003278C8" w14:paraId="555B87CC" w14:textId="65AFBBBA">
      <w:pPr>
        <w:pStyle w:val="7190"/>
        <w:bidi w:val="0"/>
      </w:pPr>
      <w:r w:rsidRPr="00AC14C6">
        <w:t xml:space="preserve">The </w:t>
      </w:r>
      <w:bookmarkStart w:id="0" w:name="_Hlk166477688"/>
      <w:r w:rsidRPr="00AC14C6">
        <w:t xml:space="preserve">budget authorization to commit </w:t>
      </w:r>
      <w:bookmarkEnd w:id="0"/>
      <w:r w:rsidRPr="00AC14C6">
        <w:t xml:space="preserve">of the Ministry of Defense is the maximum amount to which the ministry can commit </w:t>
      </w:r>
      <w:r w:rsidRPr="00AC14C6">
        <w:t>in a given year</w:t>
      </w:r>
      <w:r w:rsidRPr="00AC14C6">
        <w:t xml:space="preserve">, enabling it to carry out multi-year contracts in amounts of tens of billions of shekels per year. In the audit of </w:t>
      </w:r>
      <w:r>
        <w:rPr>
          <w:b/>
          <w:bCs/>
        </w:rPr>
        <w:t>T</w:t>
      </w:r>
      <w:r w:rsidRPr="003040EB">
        <w:rPr>
          <w:b/>
          <w:bCs/>
        </w:rPr>
        <w:t xml:space="preserve">he </w:t>
      </w:r>
      <w:r>
        <w:rPr>
          <w:b/>
          <w:bCs/>
        </w:rPr>
        <w:t>P</w:t>
      </w:r>
      <w:r w:rsidRPr="003040EB">
        <w:rPr>
          <w:b/>
          <w:bCs/>
        </w:rPr>
        <w:t xml:space="preserve">lanning and </w:t>
      </w:r>
      <w:r>
        <w:rPr>
          <w:b/>
          <w:bCs/>
        </w:rPr>
        <w:t>C</w:t>
      </w:r>
      <w:r w:rsidRPr="003040EB">
        <w:rPr>
          <w:b/>
          <w:bCs/>
        </w:rPr>
        <w:t xml:space="preserve">ontrol of the Ministry of Defense's </w:t>
      </w:r>
      <w:r>
        <w:rPr>
          <w:b/>
          <w:bCs/>
        </w:rPr>
        <w:t>B</w:t>
      </w:r>
      <w:r w:rsidRPr="003040EB">
        <w:rPr>
          <w:b/>
          <w:bCs/>
        </w:rPr>
        <w:t xml:space="preserve">udget </w:t>
      </w:r>
      <w:r>
        <w:rPr>
          <w:b/>
          <w:bCs/>
        </w:rPr>
        <w:t>A</w:t>
      </w:r>
      <w:r w:rsidRPr="003040EB">
        <w:rPr>
          <w:b/>
          <w:bCs/>
        </w:rPr>
        <w:t xml:space="preserve">uthorization to </w:t>
      </w:r>
      <w:r>
        <w:rPr>
          <w:b/>
          <w:bCs/>
        </w:rPr>
        <w:t>C</w:t>
      </w:r>
      <w:r w:rsidRPr="003040EB">
        <w:rPr>
          <w:b/>
          <w:bCs/>
        </w:rPr>
        <w:t xml:space="preserve">ommit, </w:t>
      </w:r>
      <w:r w:rsidRPr="00080087">
        <w:t>deficiencies</w:t>
      </w:r>
      <w:r w:rsidRPr="00AC14C6">
        <w:t xml:space="preserve"> were found in the activities of the Ministry of Finance and the Ministry of Defense as part of the planning processes of the Ministry of Defense's budget authorization to commit. It was noted that the Budget Division in the Ministry of Defense does not plan the allocation of the budget authorization to commit to entities and update it optimally throughout the year. Typically, although the budget authorization to commit does not cover all the entities' needs, in about 40% of the programs budgeted in 2017</w:t>
      </w:r>
      <m:oMath>
        <m:r>
          <m:rPr>
            <m:sty m:val="p"/>
          </m:rPr>
          <w:rPr>
            <w:rFonts w:ascii="Cambria Math" w:hAnsi="Cambria Math"/>
          </w:rPr>
          <m:t>-</m:t>
        </m:r>
      </m:oMath>
      <w:r w:rsidRPr="00AC14C6">
        <w:t xml:space="preserve">2022 (except for 2021), execution rates of up to 40% of their updated budgets were recorded, and in a quarter of the programs, execution rates of up to 20% were recorded. Furthermore, about 15% of the programs were allocated budget supplements during the year that were entirely unutilized, between NIS 58 million to </w:t>
      </w:r>
      <w:r w:rsidRPr="00AC14C6">
        <w:t>NIS 2.2 billion. In addition, the audit by the Ministerial Committee for Procurement raised a lack of a comprehensive status report, thoroughly examining the budgetary implications of conducting a defense project on the defense budget in the coming years.  This is despite the State Comptroller's Office estimate that the defense system will have a budget leeway of several billion NIS on average per year in 2023</w:t>
      </w:r>
      <m:oMath>
        <m:r>
          <m:rPr>
            <m:sty m:val="p"/>
          </m:rPr>
          <w:rPr>
            <w:rFonts w:ascii="Cambria Math" w:hAnsi="Cambria Math"/>
          </w:rPr>
          <m:t>-</m:t>
        </m:r>
      </m:oMath>
      <w:r w:rsidRPr="00AC14C6">
        <w:t xml:space="preserve">2027 (based on an expanding assumption), only about 10% of the estimated sources for these years.  Furthermore, discrepancies were found in the Ministry of Defense’s reporting to the Joint Committee in the Knesset on quarterly changes in the budget authorization to commit, the cumulative amount of which in the period from quarter A 2017 to quarter B 2022 was NIS 68.5 billion. Given the necessity of the budget authorization to commit for the functioning of the defense system and the significant amount involved, as well as its impact on the inflexibility of the defense budget, the State Comptroller’s Office recommends that the Ministry of Finance and the Ministry of Defense improve the planning processes for the budget authorization to commit. They should formulate the budget proposal based on the multi-year commitments in NIS and foreign currency aid and expand the scope of information presented to the Ministerial Committee for Procurement as it proceeds to examine the budgetary implications of implementing defense projects. In addition, it is recommended that the Ministry of defense and the Ministry of Finance, in coordination with the Joint Committee of the Knesset, improve the quality of quarterly reporting on changes in the defense budget. </w:t>
      </w:r>
    </w:p>
    <w:p w:rsidR="003278C8" w:rsidRPr="00AC14C6" w:rsidP="003278C8" w14:paraId="337570E1" w14:textId="77777777">
      <w:pPr>
        <w:pStyle w:val="7190"/>
        <w:bidi w:val="0"/>
      </w:pPr>
      <w:r w:rsidRPr="00AC14C6">
        <w:t xml:space="preserve">This audit was conducted prior to the outbreak of the "Iron Swords" war.  It should be noted that the deficiencies and recommendations presented in the audit become even more important given the expected increase in the defense budget, including the budget authorization to commit, as well as the multi-annual commitments in the defense budget that will be required during and after the war. </w:t>
      </w:r>
    </w:p>
    <w:p w:rsidR="003278C8" w:rsidRPr="00AC14C6" w:rsidP="003278C8" w14:paraId="3B78446D" w14:textId="28D8B9F0">
      <w:pPr>
        <w:pStyle w:val="7190"/>
        <w:bidi w:val="0"/>
      </w:pPr>
      <w:r w:rsidRPr="00AC14C6">
        <w:t xml:space="preserve">The State Comptroller's Office also conducted a systemic audit on </w:t>
      </w:r>
      <w:r>
        <w:rPr>
          <w:b/>
          <w:bCs/>
        </w:rPr>
        <w:t>T</w:t>
      </w:r>
      <w:r w:rsidRPr="003040EB">
        <w:rPr>
          <w:b/>
          <w:bCs/>
        </w:rPr>
        <w:t>he</w:t>
      </w:r>
      <w:r w:rsidRPr="00AC14C6">
        <w:t xml:space="preserve"> </w:t>
      </w:r>
      <w:r>
        <w:rPr>
          <w:b/>
          <w:bCs/>
        </w:rPr>
        <w:t>S</w:t>
      </w:r>
      <w:r w:rsidRPr="003040EB">
        <w:rPr>
          <w:b/>
          <w:bCs/>
        </w:rPr>
        <w:t xml:space="preserve">ecurity of </w:t>
      </w:r>
      <w:r>
        <w:rPr>
          <w:b/>
          <w:bCs/>
        </w:rPr>
        <w:t>C</w:t>
      </w:r>
      <w:r w:rsidRPr="003040EB">
        <w:rPr>
          <w:b/>
          <w:bCs/>
        </w:rPr>
        <w:t xml:space="preserve">ivil </w:t>
      </w:r>
      <w:r>
        <w:rPr>
          <w:b/>
          <w:bCs/>
        </w:rPr>
        <w:t>I</w:t>
      </w:r>
      <w:r w:rsidRPr="003040EB">
        <w:rPr>
          <w:b/>
          <w:bCs/>
        </w:rPr>
        <w:t xml:space="preserve">nternational </w:t>
      </w:r>
      <w:r>
        <w:rPr>
          <w:b/>
          <w:bCs/>
        </w:rPr>
        <w:t>A</w:t>
      </w:r>
      <w:r w:rsidRPr="003040EB">
        <w:rPr>
          <w:b/>
          <w:bCs/>
        </w:rPr>
        <w:t xml:space="preserve">viation to and </w:t>
      </w:r>
      <w:r>
        <w:rPr>
          <w:b/>
          <w:bCs/>
        </w:rPr>
        <w:t>F</w:t>
      </w:r>
      <w:r w:rsidRPr="003040EB">
        <w:rPr>
          <w:b/>
          <w:bCs/>
        </w:rPr>
        <w:t>rom Israel.</w:t>
      </w:r>
      <w:r w:rsidRPr="00AC14C6">
        <w:t xml:space="preserve"> The audit examined international aviation security leaving Ben Gurion Airport; Israeli aviation security abroad; and the security of foreign civilian and private aircraft entering Israeli airspace. The State Comptroller’s Office recommends that the National Security Council (</w:t>
      </w:r>
      <w:r w:rsidR="009A334D">
        <w:t>NSC</w:t>
      </w:r>
      <w:r w:rsidRPr="00AC14C6">
        <w:t xml:space="preserve">), conduct staff work in collaboration with the Ministry of Transportation, the Ministry of Finance, the Civil Aviation Authority, the </w:t>
      </w:r>
      <w:r w:rsidRPr="009A334D" w:rsidR="009A334D">
        <w:t>Israel Security Agency</w:t>
      </w:r>
      <w:r w:rsidRPr="00AC14C6">
        <w:t>, (</w:t>
      </w:r>
      <w:r w:rsidR="009A334D">
        <w:t>ISA</w:t>
      </w:r>
      <w:r w:rsidRPr="00AC14C6">
        <w:t xml:space="preserve">), and the Police, addressing the entire spectrum of civil aviation security in Israel, including aviation departing from Israel, Israeli aviation abroad, and incoming foreign aviation. In addition, the relevance of government and security cabinet decisions on the subject, some of which were made as early as the 1970s, should be examined. Furthermore, it is recommended that at the conclusion of the work, the </w:t>
      </w:r>
      <w:r w:rsidR="009A334D">
        <w:t>NSC</w:t>
      </w:r>
      <w:r w:rsidRPr="00AC14C6">
        <w:t xml:space="preserve"> advise the Prime Minister and the security cabinet on how to regulate responsibility for the issue and allocate resources, thus ensuring an integrated vision. The State Comptroller’s Office recommends the Prime Minister, the Minister of Transportation, and the Minister of Finance to address and formulate comprehensive aviation security policy. It should be noted that the Subcommittee of the Knesset State Audit Committee decided not to disclose this chapter to the Knesset and publish only the main audit actions and excerpts from its summary, to safeguard national security, </w:t>
      </w:r>
      <w:r w:rsidRPr="00AC14C6">
        <w:t>under Section 17(a) of the State Comptroller Law, 1958 [Consolidated Version]. In addition, the committee decided to impose confidentiality for three months on the following reports</w:t>
      </w:r>
      <w:r>
        <w:t xml:space="preserve">: </w:t>
      </w:r>
    </w:p>
    <w:p w:rsidR="003278C8" w:rsidRPr="00AC14C6" w:rsidP="003278C8" w14:paraId="0FE5D787" w14:textId="77777777">
      <w:pPr>
        <w:pStyle w:val="7190"/>
        <w:numPr>
          <w:ilvl w:val="0"/>
          <w:numId w:val="33"/>
        </w:numPr>
        <w:bidi w:val="0"/>
        <w:ind w:left="357" w:hanging="357"/>
      </w:pPr>
      <w:r w:rsidRPr="00AC14C6">
        <w:t>The IDF’s Preparedness and Readiness for Warfare in the Electromagnetic Spectrum Domain</w:t>
      </w:r>
    </w:p>
    <w:p w:rsidR="003278C8" w:rsidRPr="00AC14C6" w:rsidP="003278C8" w14:paraId="7F8A05EB" w14:textId="77777777">
      <w:pPr>
        <w:pStyle w:val="7190"/>
        <w:numPr>
          <w:ilvl w:val="0"/>
          <w:numId w:val="33"/>
        </w:numPr>
        <w:bidi w:val="0"/>
        <w:ind w:left="357" w:hanging="357"/>
      </w:pPr>
      <w:r w:rsidRPr="00AC14C6">
        <w:t xml:space="preserve">Cyber Defense of Unmanned Aerial Vehicles (UAVs). </w:t>
      </w:r>
    </w:p>
    <w:p w:rsidR="003278C8" w:rsidP="003278C8" w14:paraId="6D120B32" w14:textId="1C6FCE64">
      <w:pPr>
        <w:pStyle w:val="7190"/>
        <w:numPr>
          <w:ilvl w:val="0"/>
          <w:numId w:val="33"/>
        </w:numPr>
        <w:bidi w:val="0"/>
        <w:ind w:left="357" w:hanging="357"/>
      </w:pPr>
      <w:r w:rsidRPr="00AC14C6">
        <w:t xml:space="preserve">Cyber defense: Aspects of regulation and protection of information and computing systems at Rafael Advanced Defense Systems Ltd. </w:t>
      </w:r>
    </w:p>
    <w:p w:rsidR="003278C8" w:rsidRPr="00AC14C6" w:rsidP="003278C8" w14:paraId="68445CB2" w14:textId="77777777">
      <w:pPr>
        <w:pStyle w:val="7190"/>
        <w:numPr>
          <w:ilvl w:val="0"/>
          <w:numId w:val="33"/>
        </w:numPr>
        <w:bidi w:val="0"/>
        <w:ind w:left="357" w:hanging="357"/>
      </w:pPr>
      <w:r>
        <w:t>P</w:t>
      </w:r>
      <w:r w:rsidRPr="00AC14C6">
        <w:t>rotection against cyber threats to Home Front Command's means of command and control</w:t>
      </w:r>
      <w:r>
        <w:t>.</w:t>
      </w:r>
    </w:p>
    <w:p w:rsidR="003278C8" w:rsidRPr="00AC14C6" w:rsidP="003278C8" w14:paraId="21A50949" w14:textId="77777777">
      <w:pPr>
        <w:pStyle w:val="7190"/>
        <w:bidi w:val="0"/>
      </w:pPr>
      <w:r w:rsidRPr="00AC14C6">
        <w:t>As stated, the report includes audit chapters on government ministries and state institutions, and the following is an overview of some of them</w:t>
      </w:r>
      <w:r>
        <w:t>.</w:t>
      </w:r>
    </w:p>
    <w:p w:rsidR="003278C8" w:rsidRPr="00AC14C6" w:rsidP="003278C8" w14:paraId="5361E938" w14:textId="0CB83B88">
      <w:pPr>
        <w:pStyle w:val="7190"/>
        <w:bidi w:val="0"/>
      </w:pPr>
      <w:r w:rsidRPr="00AC14C6">
        <w:t>According to Section 19 of the State Comptroller Law</w:t>
      </w:r>
      <w:r>
        <w:t xml:space="preserve">, </w:t>
      </w:r>
      <w:r w:rsidRPr="003040EB">
        <w:rPr>
          <w:b/>
          <w:bCs/>
        </w:rPr>
        <w:t xml:space="preserve">the </w:t>
      </w:r>
      <w:r w:rsidR="009A334D">
        <w:rPr>
          <w:b/>
          <w:bCs/>
        </w:rPr>
        <w:t>F</w:t>
      </w:r>
      <w:r w:rsidRPr="003040EB">
        <w:rPr>
          <w:b/>
          <w:bCs/>
        </w:rPr>
        <w:t xml:space="preserve">inancial </w:t>
      </w:r>
      <w:r w:rsidR="009A334D">
        <w:rPr>
          <w:b/>
          <w:bCs/>
        </w:rPr>
        <w:t>S</w:t>
      </w:r>
      <w:r w:rsidRPr="003040EB">
        <w:rPr>
          <w:b/>
          <w:bCs/>
        </w:rPr>
        <w:t xml:space="preserve">tatements of the State of Israel were </w:t>
      </w:r>
      <w:r w:rsidR="00B963A6">
        <w:rPr>
          <w:b/>
          <w:bCs/>
        </w:rPr>
        <w:t>E</w:t>
      </w:r>
      <w:r w:rsidRPr="003040EB">
        <w:rPr>
          <w:b/>
          <w:bCs/>
        </w:rPr>
        <w:t xml:space="preserve">xamined as of December 31, 2022, with </w:t>
      </w:r>
      <w:r w:rsidR="009A334D">
        <w:rPr>
          <w:b/>
          <w:bCs/>
        </w:rPr>
        <w:t>E</w:t>
      </w:r>
      <w:r w:rsidRPr="003040EB">
        <w:rPr>
          <w:b/>
          <w:bCs/>
        </w:rPr>
        <w:t xml:space="preserve">mphasis on </w:t>
      </w:r>
      <w:r w:rsidR="009A334D">
        <w:rPr>
          <w:b/>
          <w:bCs/>
        </w:rPr>
        <w:t>F</w:t>
      </w:r>
      <w:r w:rsidRPr="003040EB">
        <w:rPr>
          <w:b/>
          <w:bCs/>
        </w:rPr>
        <w:t xml:space="preserve">ixed </w:t>
      </w:r>
      <w:r w:rsidR="009A334D">
        <w:rPr>
          <w:b/>
          <w:bCs/>
        </w:rPr>
        <w:t>A</w:t>
      </w:r>
      <w:r w:rsidRPr="003040EB">
        <w:rPr>
          <w:b/>
          <w:bCs/>
        </w:rPr>
        <w:t>ssets</w:t>
      </w:r>
      <w:r>
        <w:t xml:space="preserve">. </w:t>
      </w:r>
      <w:r w:rsidRPr="00AC14C6">
        <w:t xml:space="preserve">The total assets presented in the financial statements of the state as of December 31, 2022, was about NIS 2,009 billion, compared to about NIS 799 billion – total assets as of December 31, 2021. This represents growth of about 151%, resulting from the first-time inclusion of state-owned land assets as a surplus in the balance sheet. The total fixed assets, plus the total land held by the state, account for about 85% of the total assets. Fixed assets are tangible items held for the production or provision of goods or services, or for lease to others or for administrative purposes, which are expected to be used for over one period. Fixed assets are of great importance of the state’s asset inventory and have a significant impact on </w:t>
      </w:r>
      <w:r w:rsidRPr="00AC14C6">
        <w:t>all of</w:t>
      </w:r>
      <w:r w:rsidRPr="00AC14C6">
        <w:t xml:space="preserve"> its financial statements; therefore, it is important that the recognition of fixed assets, their registration, and their accounting measurement be conducted properly. In the audit, it was found that in 2022, progress was made regarding the above registration – land assets were included for the first time in the balance sheet, but the data on fixed assets were still not fully presented in the state's financial statements. These include many qualifications and lack significant components, such as data on assets of the Ministry of Defense, some assets abroad and some intangible assets, as well as data on contingent assets for royalties from natural resources at about NIS 34.8 billion. In addition, several deficiencies were found in the statements of the Ministry of Health, the Ministry of Foreign Affairs, and the Ministry of Transportation concerning the presentation of fixed assets and the integrity of the data. Regarding the method of measurement of fixed assets in the financial statements of the government ministries examined (Ministry of Construction and Housing, Ministry of Health, Ministry of Foreign Affairs, and Ministry of Transportation), it was found that in their statements, these ministries present fixed assets according to the cost method. Thus, the real value of the fixed assets is not presented in their financial statements. The audit also found that there are items of property whose useful life is not shown at all in Israel's financial statements, for example: Cultural and heritage assets, as well as aviation assets, as opposed to some comparable countries (Canada, Australia, and New Zealand) where this data is </w:t>
      </w:r>
      <w:r w:rsidRPr="00AC14C6">
        <w:t xml:space="preserve">presented. It was also found that there are comparable countries, such as New Zealand, whose financial statements include more detailed information than those of the State of Israel; for example, regarding fixed assets such as roads, the electricity grid, and the railway network. </w:t>
      </w:r>
    </w:p>
    <w:p w:rsidR="003278C8" w:rsidRPr="00AC14C6" w:rsidP="003278C8" w14:paraId="6E3CEFEB" w14:textId="77777777">
      <w:pPr>
        <w:pStyle w:val="7190"/>
        <w:bidi w:val="0"/>
      </w:pPr>
      <w:r w:rsidRPr="00AC14C6">
        <w:t>The Accountant General should complete the mapping of state-owned fixed assets, including the mapping of the property held by the Ministry of Defense, for its accounting registration and proper presentation in the state's financial statements. Moreover, he should ensure that the deficiencies raised in this report regarding the presentation of fixed assets and completeness of the data are rectified. In addition, the Accountant General should continue to improve land data to present them fully and comprehensively in the state's financial statements.</w:t>
      </w:r>
    </w:p>
    <w:p w:rsidR="003278C8" w:rsidRPr="00AC14C6" w:rsidP="003278C8" w14:paraId="32CCFDC3" w14:textId="032CF276">
      <w:pPr>
        <w:pStyle w:val="7190"/>
        <w:bidi w:val="0"/>
      </w:pPr>
      <w:r w:rsidRPr="00AC14C6">
        <w:t xml:space="preserve">Football is one of the most popular sports in the world, and Israel is no exception. Football, like other sports, is also an educational and social tool contributing to the development and nurturing of the generation of children and youth – according to the values of sports and the promotion of health, teamwork, responsibility, and discipline. This report includes an audit of </w:t>
      </w:r>
      <w:r>
        <w:rPr>
          <w:b/>
          <w:bCs/>
        </w:rPr>
        <w:t>T</w:t>
      </w:r>
      <w:r w:rsidRPr="003040EB">
        <w:rPr>
          <w:b/>
          <w:bCs/>
        </w:rPr>
        <w:t>he Budget Control Authority of the Football Association.</w:t>
      </w:r>
      <w:r w:rsidRPr="00AC14C6">
        <w:t xml:space="preserve"> Given the difficult economic situation of football clubs in Israel and to maintain their financial stability, the association established the Authority in 1992. A review of about 22 years from the 1999/2000 season to the 22/23 season demonstrate that the deficit in the aggregate capital of the professional league clubs did not decrease and even increased – from NIS 237 million to NIS 281 million (a real increase of about 18.5%, according to the May 2023 index). The audit included analysis of the financial statements of 28 teams in the Premier League and National League for the 22/23 season, subject to regulatory control, and it was found that 19 of them had negative equity in this season,</w:t>
      </w:r>
      <w:r>
        <w:t xml:space="preserve"> </w:t>
      </w:r>
      <w:r w:rsidRPr="00AC14C6">
        <w:t>of about NIS 326 million</w:t>
      </w:r>
      <w:r>
        <w:t>.</w:t>
      </w:r>
      <w:r w:rsidRPr="00AC14C6">
        <w:t xml:space="preserve"> This is contrary to the expected, given the establishment of the authority, as it was established against the backdrop of the difficult economic situation of football clubs in Israel, to maintain their financial stability. Thus, the authority has not fulfilled the purpose for which it was established. The international trend led by UEFA in its club licensing regulations is to improve the financial state of the clubs participating in its organized competitions, while setting financial thresholds and goals for them. According to the Budget Control Regulations (established by the Israeli Association), a club that fails to meet the criteria for reducing past debts or decreasing the deficit in its equity </w:t>
      </w:r>
      <w:r w:rsidRPr="009A334D" w:rsidR="009A334D">
        <w:t>can participate</w:t>
      </w:r>
      <w:r w:rsidR="009A334D">
        <w:t xml:space="preserve"> </w:t>
      </w:r>
      <w:r w:rsidRPr="00AC14C6">
        <w:t xml:space="preserve">in the league. It is recommended </w:t>
      </w:r>
      <w:r w:rsidR="009A334D">
        <w:t>that</w:t>
      </w:r>
      <w:r w:rsidRPr="00AC14C6">
        <w:t xml:space="preserve"> the association, encourage clubs to improve their financial resilience, including making the clubs' participation contingent upon reducing their equity deficit or improving predetermined financial ratios, such as the current ratio. In its regulations, the Association should set rules to ensure that revenue from youth departments is channeled to their intended purpose and not diverted to other activities, and that control is maintained over this. Such action is essential to prevent harm to investment in and development of the youth department. It is recommended that the association demand to receive from the authority aggregate financial information at least about all the groups together, according to various indices and financial ratios; it is also recommended to publish this information on the association's website.</w:t>
      </w:r>
    </w:p>
    <w:p w:rsidR="003278C8" w:rsidRPr="00AC14C6" w:rsidP="003278C8" w14:paraId="7D2FF12F" w14:textId="1E6195FB">
      <w:pPr>
        <w:pStyle w:val="7190"/>
        <w:bidi w:val="0"/>
      </w:pPr>
      <w:r w:rsidRPr="00AC14C6">
        <w:t>The Central Unit for Enforcement and Investigations at the Ministry of Agriculture is of great importance given its law enforcement function in public health, animal health and welfare, and protection of agricultural crops from pests. The audit on</w:t>
      </w:r>
      <w:r>
        <w:t xml:space="preserve"> </w:t>
      </w:r>
      <w:r>
        <w:rPr>
          <w:b/>
          <w:bCs/>
        </w:rPr>
        <w:t>T</w:t>
      </w:r>
      <w:r w:rsidRPr="003040EB">
        <w:rPr>
          <w:b/>
          <w:bCs/>
        </w:rPr>
        <w:t>he Central Unit for Enforcement and Investigations at the Ministry of Agriculture</w:t>
      </w:r>
      <w:r w:rsidRPr="00AC14C6">
        <w:t xml:space="preserve"> (</w:t>
      </w:r>
      <w:r>
        <w:t>"</w:t>
      </w:r>
      <w:r w:rsidRPr="00AC14C6">
        <w:t>the Unit</w:t>
      </w:r>
      <w:r>
        <w:t>"</w:t>
      </w:r>
      <w:r w:rsidRPr="00AC14C6">
        <w:t>) indicate that in 2018</w:t>
      </w:r>
      <m:oMath>
        <m:r>
          <m:rPr>
            <m:sty m:val="p"/>
          </m:rPr>
          <w:rPr>
            <w:rFonts w:ascii="Cambria Math" w:hAnsi="Cambria Math"/>
          </w:rPr>
          <m:t>-</m:t>
        </m:r>
      </m:oMath>
      <w:r w:rsidRPr="00AC14C6">
        <w:t>2022, about 20,000 incidents were opened in the Unit, in about 21% of which (about 5,000) investigations were opened</w:t>
      </w:r>
      <w:r>
        <w:t>.</w:t>
      </w:r>
      <w:r w:rsidRPr="00AC14C6">
        <w:t xml:space="preserve"> During those years, the Ministry of Agriculture imposed administrative fines at about NIS 23 million in areas where the Unit was entrusted with their enforcement. In 2019</w:t>
      </w:r>
      <m:oMath>
        <m:r>
          <m:rPr>
            <m:sty m:val="p"/>
          </m:rPr>
          <w:rPr>
            <w:rFonts w:ascii="Cambria Math" w:hAnsi="Cambria Math"/>
          </w:rPr>
          <m:t>-</m:t>
        </m:r>
      </m:oMath>
      <w:r w:rsidRPr="00AC14C6">
        <w:t xml:space="preserve">2022, about 39,000 transfers of plant products were documented, from the Palestinian Authority (PA) to Israel through the goods crossings between Israel and the Judea and Samaria region. The audit raised deficiencies that enable uncontrolled transfer of goods between Israel and the PA, including inadequate physical infrastructure at the goods crossings, lack of information sharing and synchronization of information systems between the entities operating at the crossings – the Land Crossings Authority (RAMIM) in the Ministry of Defense, Customs, and the Unit. In this </w:t>
      </w:r>
      <w:r w:rsidRPr="00AC14C6">
        <w:t>state of affairs</w:t>
      </w:r>
      <w:r w:rsidRPr="00AC14C6">
        <w:t>, it is extremely difficult to prevent smuggling and laundering of agricultural produce, a black economy, and cruelty to animals. In addition, in a wide-ranging sampling, 40% of the samples taken in 2022 raised abnormalities of pesticide residues in the plant produce transferred from the Palestinian Authority to Israel. The Unit, RAMIM, and Customs should intensify their collaboration to ensure that the goods crossings can fulfill their purpose – preventing uncontrolled transfer of agricultural goods between Israel and the PA and ensure that the Unit has the necessary tools to perform its function. In addition, the Ministry of Health, the Ministry of Agriculture, RAMIM, and the defense system should examine the existing mechanism for the transfer of plant produce from the PA to Israel, and reduce the extent of abnormal pesticide residues found in the produce transferred from the PA. The audit also presented misconduct by employees and managers in the Unit</w:t>
      </w:r>
      <w:r w:rsidR="00A6250F">
        <w:t xml:space="preserve"> and,</w:t>
      </w:r>
      <w:r w:rsidRPr="00AC14C6">
        <w:t xml:space="preserve"> that over the years, several disciplinary proceedings were </w:t>
      </w:r>
      <w:r w:rsidRPr="00A6250F" w:rsidR="00A6250F">
        <w:t xml:space="preserve">conducted against them </w:t>
      </w:r>
      <w:r w:rsidRPr="00AC14C6">
        <w:t>in the Civil Service Commission. In practice, this has also led to the shutdown of the Unit's intelligence apparatus for over three years, followed by its re-establishment in a limited and ineffective form. The Minister of Agriculture and Director-General of the Ministry of Agriculture should introduce substantial changes in the Unit: regarding its management, ensuring compliance with its work procedures, eradicating recurring disciplinary incidents, and setting its priorities and organizational structure. Appointment of a new director for the Central Unit for Enforcement and Investigations at the Ministry of Agriculture</w:t>
      </w:r>
      <w:r w:rsidR="00A6250F">
        <w:t xml:space="preserve"> </w:t>
      </w:r>
      <w:r w:rsidRPr="00AC14C6">
        <w:t>as in September 2023, along with additional required actions including setting work objectives for the unit, ongoing supervision and control of their implementation, and examination and implementation of recommendations from an external consulting firm</w:t>
      </w:r>
      <w:r w:rsidR="00A6250F">
        <w:t xml:space="preserve">, </w:t>
      </w:r>
      <w:r w:rsidRPr="00AC14C6">
        <w:t xml:space="preserve">may assist the Ministry of Agriculture in applying the necessary changes in the work and output of the Unit. Hence, the unit can optimally perform its functions, </w:t>
      </w:r>
      <w:r w:rsidRPr="00A6250F" w:rsidR="00A6250F">
        <w:t>particularly</w:t>
      </w:r>
      <w:r w:rsidR="00A6250F">
        <w:t xml:space="preserve"> </w:t>
      </w:r>
      <w:r w:rsidRPr="00AC14C6">
        <w:t>safeguarding public health and the health and welfare of animals, as well as protecting vegetation.</w:t>
      </w:r>
    </w:p>
    <w:p w:rsidR="003278C8" w:rsidP="003278C8" w14:paraId="3344A5FD" w14:textId="69CD6F7E">
      <w:pPr>
        <w:pStyle w:val="7190"/>
        <w:bidi w:val="0"/>
        <w:rPr>
          <w:b/>
          <w:bCs/>
        </w:rPr>
      </w:pPr>
      <w:r w:rsidRPr="00AC14C6">
        <w:t xml:space="preserve">This report consists of </w:t>
      </w:r>
      <w:r>
        <w:t>three</w:t>
      </w:r>
      <w:r w:rsidRPr="00AC14C6">
        <w:t xml:space="preserve"> chapters relating to the Covid-19 pandemic that broke out globally at the end of 2019:</w:t>
      </w:r>
      <w:r>
        <w:t xml:space="preserve"> </w:t>
      </w:r>
      <w:r w:rsidRPr="00A6250F" w:rsidR="00A6250F">
        <w:rPr>
          <w:b/>
          <w:bCs/>
        </w:rPr>
        <w:t>V</w:t>
      </w:r>
      <w:r w:rsidRPr="00A6250F">
        <w:rPr>
          <w:b/>
          <w:bCs/>
        </w:rPr>
        <w:t xml:space="preserve">accination of the </w:t>
      </w:r>
      <w:r w:rsidRPr="00A6250F" w:rsidR="00A6250F">
        <w:rPr>
          <w:b/>
          <w:bCs/>
        </w:rPr>
        <w:t>P</w:t>
      </w:r>
      <w:r w:rsidRPr="00A6250F">
        <w:rPr>
          <w:b/>
          <w:bCs/>
        </w:rPr>
        <w:t xml:space="preserve">opulation </w:t>
      </w:r>
      <w:r w:rsidRPr="00A6250F" w:rsidR="00A6250F">
        <w:rPr>
          <w:b/>
          <w:bCs/>
        </w:rPr>
        <w:t>A</w:t>
      </w:r>
      <w:r w:rsidRPr="00A6250F">
        <w:rPr>
          <w:b/>
          <w:bCs/>
        </w:rPr>
        <w:t>gainst</w:t>
      </w:r>
      <w:r w:rsidRPr="00AC14C6">
        <w:t xml:space="preserve"> </w:t>
      </w:r>
      <w:r w:rsidRPr="009A334D" w:rsidR="009A334D">
        <w:rPr>
          <w:b/>
          <w:bCs/>
        </w:rPr>
        <w:t>C</w:t>
      </w:r>
      <w:r w:rsidRPr="009A334D">
        <w:rPr>
          <w:b/>
          <w:bCs/>
        </w:rPr>
        <w:t>oronavirus</w:t>
      </w:r>
      <w:r w:rsidRPr="00AC14C6">
        <w:t xml:space="preserve"> was</w:t>
      </w:r>
      <w:r>
        <w:t xml:space="preserve"> </w:t>
      </w:r>
      <w:r w:rsidRPr="00AC14C6">
        <w:t xml:space="preserve">one of the </w:t>
      </w:r>
      <w:r w:rsidR="009A334D">
        <w:t>main</w:t>
      </w:r>
      <w:r w:rsidRPr="00AC14C6">
        <w:t xml:space="preserve"> tools for dealing with the virus and Israel, led by the Ministry of Health, was among the </w:t>
      </w:r>
      <w:r w:rsidRPr="00AC14C6">
        <w:t>first countries in the world to vaccinate. T</w:t>
      </w:r>
      <w:r w:rsidR="00A6250F">
        <w:t>hus,</w:t>
      </w:r>
      <w:r w:rsidRPr="00AC14C6">
        <w:t xml:space="preserve"> significantly contribut</w:t>
      </w:r>
      <w:r w:rsidR="00A6250F">
        <w:t>ing</w:t>
      </w:r>
      <w:r w:rsidRPr="00AC14C6">
        <w:t xml:space="preserve"> to saving </w:t>
      </w:r>
      <w:bookmarkStart w:id="1" w:name="_Hlk148422243"/>
      <w:r w:rsidRPr="00AC14C6">
        <w:t>thousands of Israelis lives</w:t>
      </w:r>
      <w:bookmarkEnd w:id="1"/>
      <w:r>
        <w:t>.</w:t>
      </w:r>
      <w:r w:rsidRPr="00AC14C6">
        <w:t xml:space="preserve"> The vaccination campaign launched by the healthcare system, especially in its first months, prevented harm to public health and have saved the lives of many, especially those defined as high-risk populations – the elderly and those who suffered from serious comorbidities. It also ensured the return of the economy to full activity. It was noted that the Ministry of Health collected data on side effects from several reporting channels, and medical officials transmitted most of the reports through an interface to the ministry's computerized system </w:t>
      </w:r>
      <w:r w:rsidRPr="00AC14C6" w:rsidR="00A6250F">
        <w:t>–</w:t>
      </w:r>
      <w:r w:rsidRPr="00AC14C6">
        <w:t xml:space="preserve"> the Israel National Medical Record (“</w:t>
      </w:r>
      <w:r w:rsidRPr="00AC14C6">
        <w:t>Nachlieli</w:t>
      </w:r>
      <w:r w:rsidRPr="00AC14C6">
        <w:t xml:space="preserve">”) system. The audit raised that due to technical malfunctions in the interface to the </w:t>
      </w:r>
      <w:r w:rsidRPr="00AC14C6">
        <w:t>Nachlieli</w:t>
      </w:r>
      <w:r w:rsidRPr="00AC14C6">
        <w:t xml:space="preserve"> system, a significant portion (82%) of the reports transmitted by medical officials were not recorded. In addition, the Ministry of Health failed to analyze about 33,000 reports received from the public in 2021. In the end, only about 55,000 of the reports submitted by medical professionals were recorded and improved, and most of them concerned mild symptoms, such as colds and pain at the injection site. The audit also indicated that due to the Covid-19 pandemic, the parents' rate (participating in a survey conducted by the State Comptroller) expressing concern about permanent damage caused to their children from routine vaccinations increased from about 46% in 2016 to about 57% in 2022. In addition, the children rate vaccinated with all routine vaccines decreased in 2022 compared to 2017 by about 3 to 12 percentage points. Public trust in the healthcare system, concerns about Covid-19 vaccine side effects, and the dissemination of misinformation regarding Covid-19 vaccinations were among the factors that may have affected population vaccination rates. Increasing public trust in the healthcare system; drawing lessons from the Covid-19 crisis regarding population vaccination, particularly in formulating a strategy and tactics to combat misinformation; and future preparedness for dealing with pandemic events – all are crucial to the Ministry of Health's ability to ensure that Israeli citizens receive necessary vaccinations to protect their health</w:t>
      </w:r>
      <w:r>
        <w:t xml:space="preserve">. </w:t>
      </w:r>
    </w:p>
    <w:p w:rsidR="003278C8" w:rsidP="003278C8" w14:paraId="6BA0B5F2" w14:textId="1D61FE8A">
      <w:pPr>
        <w:pStyle w:val="7190"/>
        <w:bidi w:val="0"/>
      </w:pPr>
      <w:r w:rsidRPr="003040EB">
        <w:rPr>
          <w:b/>
          <w:bCs/>
        </w:rPr>
        <w:t xml:space="preserve">Covid-19 </w:t>
      </w:r>
      <w:r>
        <w:rPr>
          <w:b/>
          <w:bCs/>
        </w:rPr>
        <w:t>V</w:t>
      </w:r>
      <w:r w:rsidRPr="003040EB">
        <w:rPr>
          <w:b/>
          <w:bCs/>
        </w:rPr>
        <w:t>accin</w:t>
      </w:r>
      <w:r w:rsidR="00A6250F">
        <w:rPr>
          <w:b/>
          <w:bCs/>
        </w:rPr>
        <w:t>es</w:t>
      </w:r>
      <w:r w:rsidRPr="003040EB">
        <w:rPr>
          <w:b/>
          <w:bCs/>
        </w:rPr>
        <w:t xml:space="preserve"> and </w:t>
      </w:r>
      <w:r>
        <w:rPr>
          <w:b/>
          <w:bCs/>
        </w:rPr>
        <w:t>T</w:t>
      </w:r>
      <w:r w:rsidRPr="003040EB">
        <w:rPr>
          <w:b/>
          <w:bCs/>
        </w:rPr>
        <w:t xml:space="preserve">esting in the </w:t>
      </w:r>
      <w:r>
        <w:rPr>
          <w:b/>
          <w:bCs/>
        </w:rPr>
        <w:t>E</w:t>
      </w:r>
      <w:r w:rsidRPr="003040EB">
        <w:rPr>
          <w:b/>
          <w:bCs/>
        </w:rPr>
        <w:t xml:space="preserve">ducation </w:t>
      </w:r>
      <w:r>
        <w:rPr>
          <w:b/>
          <w:bCs/>
        </w:rPr>
        <w:t>S</w:t>
      </w:r>
      <w:r w:rsidRPr="003040EB">
        <w:rPr>
          <w:b/>
          <w:bCs/>
        </w:rPr>
        <w:t>ystem</w:t>
      </w:r>
      <w:r w:rsidRPr="00AC14C6">
        <w:t xml:space="preserve"> – towards the 2021</w:t>
      </w:r>
      <m:oMath>
        <m:r>
          <m:rPr>
            <m:sty m:val="p"/>
          </m:rPr>
          <w:rPr>
            <w:rFonts w:ascii="Cambria Math" w:hAnsi="Cambria Math"/>
          </w:rPr>
          <m:t>-</m:t>
        </m:r>
      </m:oMath>
      <w:r w:rsidRPr="00AC14C6">
        <w:t>2022 academic year, in early September 2021, the government decided to reopen all schools after about a year in which the education system operated remotely due to lockdowns or hybrid learning combining remote and frontal studies</w:t>
      </w:r>
      <w:r>
        <w:t>.</w:t>
      </w:r>
      <w:r w:rsidRPr="00AC14C6">
        <w:t xml:space="preserve"> The main challenge faced by the education system at that time was to allow students to return to frontal learning in schools and maintain a regular study routine. According to government decisions and Ministry of Health guidelines, the main measures designed to enable a full return to school were vaccinating students in schools and conducting rapid antigen tests to assist in detecting student and education staff illnesses and isolate them. The audit raised that only a small proportion (4%) of students, across all age groups, were vaccinated under the school vaccination programs. This figure reflects that the vaccination programs failed to meet their targets. Similarly, the contribution of the testing programs was low, reflected both in the low rate of participation in these programs (12% of schools participated in the "Education Shield" program, and 13% of classes participated in the "Green Classroom" program) and in the low parent rate declarations submitted under the testing programs. For example, in the "Check and Learn" program, the average rate of parents who submitted declarations on the day the program was launched was 21% of all parents required to do so. In addition to the limited contribution of the testing </w:t>
      </w:r>
      <w:r w:rsidRPr="00AC14C6">
        <w:t>and vaccination programs, the audit raised several deficiencies related to their implementation, including Ministry of Education guidelines for schools to operate vaccination and Covid-19 testing programs, distribution of antigen kits, parental declarations regarding students' Covid-19 testing, advocacy, and encouragement of vaccination. The Ministry of Education, in collaboration with the Ministry of Health, should draw conclusions from the students' testing and vaccination plans implementation in the 2021</w:t>
      </w:r>
      <w:r w:rsidR="00A6250F">
        <w:t>/</w:t>
      </w:r>
      <w:r w:rsidRPr="00AC14C6">
        <w:t>2022 academic year, rectify the deficiencies, and implement the recommendations. This should be done with a forward-looking perspective, to enhance the effectiveness of testing and vaccination guidelines in preparation for a potential resurgence of Covid-19 or another pandemic outbreak</w:t>
      </w:r>
      <w:r>
        <w:t>.</w:t>
      </w:r>
    </w:p>
    <w:p w:rsidR="003278C8" w:rsidRPr="00AC14C6" w:rsidP="003278C8" w14:paraId="0F70F95B" w14:textId="52AACF66">
      <w:pPr>
        <w:pStyle w:val="7190"/>
        <w:bidi w:val="0"/>
      </w:pPr>
      <w:r>
        <w:rPr>
          <w:b/>
          <w:bCs/>
        </w:rPr>
        <w:t>O</w:t>
      </w:r>
      <w:r w:rsidRPr="003040EB">
        <w:rPr>
          <w:b/>
          <w:bCs/>
        </w:rPr>
        <w:t xml:space="preserve">peration of </w:t>
      </w:r>
      <w:r w:rsidRPr="00A6250F" w:rsidR="00A6250F">
        <w:rPr>
          <w:b/>
          <w:bCs/>
        </w:rPr>
        <w:t>Array of</w:t>
      </w:r>
      <w:r w:rsidR="00A6250F">
        <w:rPr>
          <w:b/>
          <w:bCs/>
        </w:rPr>
        <w:t xml:space="preserve"> </w:t>
      </w:r>
      <w:r w:rsidRPr="003040EB">
        <w:rPr>
          <w:b/>
          <w:bCs/>
        </w:rPr>
        <w:t xml:space="preserve">the </w:t>
      </w:r>
      <w:r>
        <w:rPr>
          <w:b/>
          <w:bCs/>
        </w:rPr>
        <w:t>I</w:t>
      </w:r>
      <w:r w:rsidRPr="003040EB">
        <w:rPr>
          <w:b/>
          <w:bCs/>
        </w:rPr>
        <w:t xml:space="preserve">nstitutional </w:t>
      </w:r>
      <w:r>
        <w:rPr>
          <w:b/>
          <w:bCs/>
        </w:rPr>
        <w:t>A</w:t>
      </w:r>
      <w:r w:rsidRPr="003040EB">
        <w:rPr>
          <w:b/>
          <w:bCs/>
        </w:rPr>
        <w:t xml:space="preserve">ntigen </w:t>
      </w:r>
      <w:r>
        <w:rPr>
          <w:b/>
          <w:bCs/>
        </w:rPr>
        <w:t>T</w:t>
      </w:r>
      <w:r w:rsidRPr="003040EB">
        <w:rPr>
          <w:b/>
          <w:bCs/>
        </w:rPr>
        <w:t xml:space="preserve">esting and </w:t>
      </w:r>
      <w:r w:rsidRPr="00A6250F" w:rsidR="00A6250F">
        <w:rPr>
          <w:b/>
          <w:bCs/>
        </w:rPr>
        <w:t>Recognizing it</w:t>
      </w:r>
      <w:r w:rsidR="00A6250F">
        <w:rPr>
          <w:b/>
          <w:bCs/>
        </w:rPr>
        <w:t xml:space="preserve"> </w:t>
      </w:r>
      <w:r w:rsidRPr="003040EB">
        <w:rPr>
          <w:b/>
          <w:bCs/>
        </w:rPr>
        <w:t xml:space="preserve">as </w:t>
      </w:r>
      <w:r>
        <w:rPr>
          <w:b/>
          <w:bCs/>
        </w:rPr>
        <w:t>D</w:t>
      </w:r>
      <w:r w:rsidRPr="003040EB">
        <w:rPr>
          <w:b/>
          <w:bCs/>
        </w:rPr>
        <w:t xml:space="preserve">iagnostic </w:t>
      </w:r>
      <w:r>
        <w:rPr>
          <w:b/>
          <w:bCs/>
        </w:rPr>
        <w:t>T</w:t>
      </w:r>
      <w:r w:rsidRPr="003040EB">
        <w:rPr>
          <w:b/>
          <w:bCs/>
        </w:rPr>
        <w:t>ests for Covid-19 –</w:t>
      </w:r>
      <w:r>
        <w:t xml:space="preserve"> </w:t>
      </w:r>
      <w:r w:rsidRPr="00AC14C6">
        <w:t>the Covid-19 outbreak in Israel began in March 2020</w:t>
      </w:r>
      <w:r>
        <w:t>.</w:t>
      </w:r>
      <w:r w:rsidRPr="00AC14C6">
        <w:t xml:space="preserve"> Establishment of the testing </w:t>
      </w:r>
      <w:r w:rsidR="00A6250F">
        <w:t>array</w:t>
      </w:r>
      <w:r w:rsidRPr="00AC14C6">
        <w:t xml:space="preserve"> for diagnosing Covid-19 infection and its operation were central components in dealing with this virus, both globally and in Israel. The ability to rapidly deploy antigen testing stations as required, to provide the public with efficient, equitable, and high-quality service has gained increased importance since this involved providing services that affected the entire population, impacted daily life, and enabled a return to normal alongside the pandemic. The audit raised that despite the increase in the spread of the pandemic from wave to wave, it took the Ministry of Health until January 2022 to expand the number of daily Covid-19 diagnostic tests by adding institutional antigen tests to PCR tests, resulting in suboptimal deployment of sampling stations and waiting lines. Establishing infrastructure that will enable the Ministry of Health to provide a rapid and quality response in emergency is essential for the health system to cope with future emergencies. </w:t>
      </w:r>
    </w:p>
    <w:p w:rsidR="003278C8" w:rsidRPr="00AC14C6" w:rsidP="003278C8" w14:paraId="7C1AD605" w14:textId="77777777">
      <w:pPr>
        <w:pStyle w:val="7190"/>
        <w:bidi w:val="0"/>
      </w:pPr>
      <w:r w:rsidRPr="00AC14C6">
        <w:t>This report also includes findings from three follow-up audits</w:t>
      </w:r>
      <w:r>
        <w:t xml:space="preserve"> </w:t>
      </w:r>
      <w:r w:rsidRPr="00AC14C6">
        <w:t xml:space="preserve">– </w:t>
      </w:r>
      <w:r>
        <w:rPr>
          <w:b/>
          <w:bCs/>
        </w:rPr>
        <w:t>T</w:t>
      </w:r>
      <w:r w:rsidRPr="003040EB">
        <w:rPr>
          <w:b/>
          <w:bCs/>
        </w:rPr>
        <w:t xml:space="preserve">he </w:t>
      </w:r>
      <w:r>
        <w:rPr>
          <w:b/>
          <w:bCs/>
        </w:rPr>
        <w:t>B</w:t>
      </w:r>
      <w:r w:rsidRPr="003040EB">
        <w:rPr>
          <w:b/>
          <w:bCs/>
        </w:rPr>
        <w:t xml:space="preserve">urial </w:t>
      </w:r>
      <w:r>
        <w:rPr>
          <w:b/>
          <w:bCs/>
        </w:rPr>
        <w:t>S</w:t>
      </w:r>
      <w:r w:rsidRPr="003040EB">
        <w:rPr>
          <w:b/>
          <w:bCs/>
        </w:rPr>
        <w:t xml:space="preserve">ystem in Israel; </w:t>
      </w:r>
      <w:r>
        <w:rPr>
          <w:b/>
          <w:bCs/>
        </w:rPr>
        <w:t>A</w:t>
      </w:r>
      <w:r w:rsidRPr="003040EB">
        <w:rPr>
          <w:b/>
          <w:bCs/>
        </w:rPr>
        <w:t xml:space="preserve">dvanced </w:t>
      </w:r>
      <w:r>
        <w:rPr>
          <w:b/>
          <w:bCs/>
        </w:rPr>
        <w:t>I</w:t>
      </w:r>
      <w:r w:rsidRPr="003040EB">
        <w:rPr>
          <w:b/>
          <w:bCs/>
        </w:rPr>
        <w:t xml:space="preserve">maging </w:t>
      </w:r>
      <w:r>
        <w:rPr>
          <w:b/>
          <w:bCs/>
        </w:rPr>
        <w:t>T</w:t>
      </w:r>
      <w:r w:rsidRPr="003040EB">
        <w:rPr>
          <w:b/>
          <w:bCs/>
        </w:rPr>
        <w:t xml:space="preserve">ests; </w:t>
      </w:r>
      <w:r>
        <w:rPr>
          <w:b/>
          <w:bCs/>
        </w:rPr>
        <w:t>C</w:t>
      </w:r>
      <w:r w:rsidRPr="003040EB">
        <w:rPr>
          <w:b/>
          <w:bCs/>
        </w:rPr>
        <w:t xml:space="preserve">lassified </w:t>
      </w:r>
      <w:r>
        <w:rPr>
          <w:b/>
          <w:bCs/>
        </w:rPr>
        <w:t>I</w:t>
      </w:r>
      <w:r w:rsidRPr="003040EB">
        <w:rPr>
          <w:b/>
          <w:bCs/>
        </w:rPr>
        <w:t xml:space="preserve">nformation – </w:t>
      </w:r>
      <w:r>
        <w:rPr>
          <w:b/>
          <w:bCs/>
        </w:rPr>
        <w:t>S</w:t>
      </w:r>
      <w:r w:rsidRPr="003040EB">
        <w:rPr>
          <w:b/>
          <w:bCs/>
        </w:rPr>
        <w:t xml:space="preserve">ecuring it in </w:t>
      </w:r>
      <w:r>
        <w:rPr>
          <w:b/>
          <w:bCs/>
        </w:rPr>
        <w:t>A</w:t>
      </w:r>
      <w:r w:rsidRPr="003040EB">
        <w:rPr>
          <w:b/>
          <w:bCs/>
        </w:rPr>
        <w:t xml:space="preserve">rchives and </w:t>
      </w:r>
      <w:r>
        <w:rPr>
          <w:b/>
          <w:bCs/>
        </w:rPr>
        <w:t>P</w:t>
      </w:r>
      <w:r w:rsidRPr="003040EB">
        <w:rPr>
          <w:b/>
          <w:bCs/>
        </w:rPr>
        <w:t xml:space="preserve">reventing its </w:t>
      </w:r>
      <w:r>
        <w:rPr>
          <w:b/>
          <w:bCs/>
        </w:rPr>
        <w:t>P</w:t>
      </w:r>
      <w:r w:rsidRPr="003040EB">
        <w:rPr>
          <w:b/>
          <w:bCs/>
        </w:rPr>
        <w:t>ublication</w:t>
      </w:r>
      <w:r w:rsidRPr="00AC14C6">
        <w:t xml:space="preserve">. Following the rectification of deficiencies raised in previous reports is an important tool to ensure that the audited bodies have indeed addressed the required issues. Therefore, year by year, the volume of follow-up audits we conduct increases, and their level of execution improves. </w:t>
      </w:r>
    </w:p>
    <w:p w:rsidR="003278C8" w:rsidRPr="003040EB" w:rsidP="003278C8" w14:paraId="2C918656" w14:textId="77777777">
      <w:pPr>
        <w:pStyle w:val="7190"/>
        <w:bidi w:val="0"/>
        <w:rPr>
          <w:b/>
          <w:bCs/>
        </w:rPr>
      </w:pPr>
      <w:r w:rsidRPr="003040EB">
        <w:rPr>
          <w:b/>
          <w:bCs/>
        </w:rPr>
        <w:t>Preparing this report required a significant effort on the part of State Comptroller Office employees, who worked diligently to prepare it – with professionalism, thoroughness, fairness, and meticulousness. The office employees fulfill their public role with a true sense of mission and deserve our gratitude.</w:t>
      </w:r>
    </w:p>
    <w:p w:rsidR="003278C8" w:rsidRPr="003040EB" w:rsidP="003278C8" w14:paraId="65DB6948" w14:textId="7EAEE3E6">
      <w:pPr>
        <w:pStyle w:val="7190"/>
        <w:bidi w:val="0"/>
      </w:pPr>
      <w:r>
        <w:t>T</w:t>
      </w:r>
      <w:r w:rsidRPr="003040EB">
        <w:t xml:space="preserve">his report covers various and diverse topics. Each chapter open to the public, as well as decision-makers, a window into the activities of the audited bodies. Thus, assisting in ensuring the integrity of the public service in the Israel and significantly contributing to enhance efficiency, savings, and integrity in the audited bodies while maintaining good governance principles. </w:t>
      </w:r>
    </w:p>
    <w:p w:rsidR="003278C8" w:rsidRPr="00AC14C6" w:rsidP="003278C8" w14:paraId="2D62D968" w14:textId="77777777">
      <w:pPr>
        <w:pStyle w:val="7190"/>
        <w:bidi w:val="0"/>
      </w:pPr>
      <w:r w:rsidRPr="00AC14C6">
        <w:t xml:space="preserve">Many of the audited bodies performed positive actions, the most prominent of these according to the State Comptroller's Law were expressed proportionately in the report, thus providing a full situation report of the key findings. Nevertheless, it remains the duty of the audited bodies to swiftly and efficiently address the deficiencies raised in this report. </w:t>
      </w:r>
    </w:p>
    <w:p w:rsidR="003278C8" w:rsidRPr="00AC14C6" w:rsidP="003278C8" w14:paraId="443B33FC" w14:textId="77777777">
      <w:pPr>
        <w:pStyle w:val="7190"/>
        <w:bidi w:val="0"/>
      </w:pPr>
      <w:r w:rsidRPr="00AC14C6">
        <w:t>We shall continue to pray and hope for the victory of the IDF and the defense system in this challenging war imposed upon us by our enemies who seek to destroy us as a nation and a country, for the return of the abductees to their homes, and for peaceful and tranquil days.</w:t>
      </w:r>
    </w:p>
    <w:p w:rsidR="003278C8" w:rsidP="003278C8" w14:paraId="2E463625" w14:textId="77777777">
      <w:pPr>
        <w:tabs>
          <w:tab w:val="left" w:pos="424"/>
        </w:tabs>
        <w:bidi w:val="0"/>
        <w:spacing w:after="180" w:line="260" w:lineRule="exact"/>
        <w:rPr>
          <w:rFonts w:eastAsia="Times New Roman" w:cs="Times New Roman"/>
          <w:b/>
          <w:bCs/>
          <w:color w:val="000000" w:themeColor="text1"/>
          <w:spacing w:val="2"/>
          <w:sz w:val="24"/>
        </w:rPr>
      </w:pPr>
    </w:p>
    <w:p w:rsidR="003278C8" w:rsidP="003278C8" w14:paraId="5697FCFC" w14:textId="77777777">
      <w:pPr>
        <w:tabs>
          <w:tab w:val="left" w:pos="424"/>
        </w:tabs>
        <w:bidi w:val="0"/>
        <w:spacing w:after="180" w:line="260" w:lineRule="exact"/>
        <w:rPr>
          <w:rFonts w:ascii="Tahoma" w:hAnsi="Tahoma" w:cs="Tahoma"/>
          <w:color w:val="0D0D0D" w:themeColor="text1" w:themeTint="F2"/>
          <w:spacing w:val="2"/>
          <w:sz w:val="18"/>
          <w:szCs w:val="18"/>
          <w:rtl/>
        </w:rPr>
      </w:pPr>
    </w:p>
    <w:p w:rsidR="003278C8" w:rsidRPr="00C6221F" w:rsidP="003278C8" w14:paraId="1FD13DB2" w14:textId="77777777">
      <w:pPr>
        <w:tabs>
          <w:tab w:val="left" w:pos="424"/>
        </w:tabs>
        <w:bidi w:val="0"/>
        <w:spacing w:after="180" w:line="260" w:lineRule="exact"/>
        <w:rPr>
          <w:rFonts w:ascii="Tahoma" w:hAnsi="Tahoma" w:cs="Tahoma"/>
          <w:color w:val="0D0D0D" w:themeColor="text1" w:themeTint="F2"/>
          <w:spacing w:val="2"/>
          <w:sz w:val="18"/>
          <w:szCs w:val="18"/>
        </w:rPr>
      </w:pPr>
    </w:p>
    <w:p w:rsidR="003278C8" w:rsidRPr="00C6221F" w:rsidP="003278C8" w14:paraId="39388997" w14:textId="77777777">
      <w:pPr>
        <w:widowControl w:val="0"/>
        <w:bidi w:val="0"/>
        <w:spacing w:line="240" w:lineRule="atLeast"/>
        <w:ind w:left="2268"/>
        <w:jc w:val="center"/>
        <w:rPr>
          <w:rFonts w:ascii="Tahoma" w:hAnsi="Tahoma" w:cs="Tahoma"/>
          <w:b/>
          <w:bCs/>
          <w:spacing w:val="2"/>
          <w:sz w:val="18"/>
          <w:szCs w:val="18"/>
          <w:rtl/>
          <w:lang w:eastAsia="he-IL"/>
        </w:rPr>
      </w:pPr>
      <w:r w:rsidRPr="00C6221F">
        <w:rPr>
          <w:rFonts w:ascii="Tahoma" w:hAnsi="Tahoma" w:cs="Tahoma"/>
          <w:b/>
          <w:bCs/>
          <w:noProof/>
          <w:spacing w:val="2"/>
          <w:sz w:val="18"/>
          <w:szCs w:val="18"/>
          <w:rtl/>
        </w:rPr>
        <w:drawing>
          <wp:inline distT="0" distB="0" distL="0" distR="0">
            <wp:extent cx="1630005" cy="512810"/>
            <wp:effectExtent l="0" t="0" r="0" b="0"/>
            <wp:docPr id="2123057079" name="Picture 12" descr="תמונה שמכילה כתב יד, קליגרפיה, גופן, טקסט&#10;&#10;התיאור נוצר באופן אוטומט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3057079" name="Picture 12" descr="תמונה שמכילה כתב יד, קליגרפיה, גופן, טקסט&#10;&#10;התיאור נוצר באופן אוטומטי"/>
                    <pic:cNvPicPr/>
                  </pic:nvPicPr>
                  <pic:blipFill>
                    <a:blip xmlns:r="http://schemas.openxmlformats.org/officeDocument/2006/relationships" r:embed="rId21">
                      <a:extLst>
                        <a:ext xmlns:a="http://schemas.openxmlformats.org/drawingml/2006/main" uri="{28A0092B-C50C-407E-A947-70E740481C1C}">
                          <a14:useLocalDpi xmlns:a14="http://schemas.microsoft.com/office/drawing/2010/main" val="0"/>
                        </a:ext>
                      </a:extLst>
                    </a:blip>
                    <a:stretch>
                      <a:fillRect/>
                    </a:stretch>
                  </pic:blipFill>
                  <pic:spPr>
                    <a:xfrm>
                      <a:off x="0" y="0"/>
                      <a:ext cx="1630005" cy="512810"/>
                    </a:xfrm>
                    <a:prstGeom prst="rect">
                      <a:avLst/>
                    </a:prstGeom>
                  </pic:spPr>
                </pic:pic>
              </a:graphicData>
            </a:graphic>
          </wp:inline>
        </w:drawing>
      </w:r>
    </w:p>
    <w:p w:rsidR="003278C8" w:rsidRPr="00D27A1F" w:rsidP="003278C8" w14:paraId="49033AF9" w14:textId="77777777">
      <w:pPr>
        <w:widowControl w:val="0"/>
        <w:bidi w:val="0"/>
        <w:spacing w:line="280" w:lineRule="exact"/>
        <w:ind w:left="2268"/>
        <w:jc w:val="center"/>
        <w:rPr>
          <w:rFonts w:ascii="Tahoma" w:hAnsi="Tahoma" w:cs="Tahoma"/>
          <w:b/>
          <w:bCs/>
          <w:spacing w:val="2"/>
          <w:sz w:val="18"/>
          <w:szCs w:val="18"/>
          <w:rtl/>
          <w:lang w:eastAsia="he-IL"/>
        </w:rPr>
      </w:pPr>
      <w:r w:rsidRPr="00D27A1F">
        <w:rPr>
          <w:rFonts w:ascii="Tahoma" w:hAnsi="Tahoma" w:cs="Tahoma"/>
          <w:b/>
          <w:bCs/>
          <w:spacing w:val="2"/>
          <w:sz w:val="18"/>
          <w:szCs w:val="18"/>
          <w:lang w:eastAsia="he-IL"/>
        </w:rPr>
        <w:t>Matanyahu</w:t>
      </w:r>
      <w:r w:rsidRPr="00D27A1F">
        <w:rPr>
          <w:rFonts w:ascii="Tahoma" w:hAnsi="Tahoma" w:cs="Tahoma"/>
          <w:b/>
          <w:bCs/>
          <w:spacing w:val="2"/>
          <w:sz w:val="18"/>
          <w:szCs w:val="18"/>
          <w:lang w:eastAsia="he-IL"/>
        </w:rPr>
        <w:t xml:space="preserve"> </w:t>
      </w:r>
      <w:r w:rsidRPr="00D27A1F">
        <w:rPr>
          <w:rFonts w:ascii="Tahoma" w:hAnsi="Tahoma" w:cs="Tahoma"/>
          <w:b/>
          <w:bCs/>
          <w:spacing w:val="2"/>
          <w:sz w:val="18"/>
          <w:szCs w:val="18"/>
          <w:lang w:eastAsia="he-IL"/>
        </w:rPr>
        <w:t>Englman</w:t>
      </w:r>
    </w:p>
    <w:p w:rsidR="003278C8" w:rsidRPr="00D27A1F" w:rsidP="003278C8" w14:paraId="1BFA497C" w14:textId="77777777">
      <w:pPr>
        <w:widowControl w:val="0"/>
        <w:bidi w:val="0"/>
        <w:spacing w:line="280" w:lineRule="exact"/>
        <w:ind w:left="2268"/>
        <w:jc w:val="center"/>
        <w:rPr>
          <w:rFonts w:ascii="Tahoma" w:hAnsi="Tahoma" w:cs="Tahoma"/>
          <w:spacing w:val="2"/>
          <w:sz w:val="18"/>
          <w:szCs w:val="18"/>
          <w:lang w:eastAsia="he-IL"/>
        </w:rPr>
      </w:pPr>
      <w:r w:rsidRPr="00D27A1F">
        <w:rPr>
          <w:rFonts w:ascii="Tahoma" w:hAnsi="Tahoma" w:cs="Tahoma"/>
          <w:spacing w:val="2"/>
          <w:sz w:val="18"/>
          <w:szCs w:val="18"/>
          <w:lang w:eastAsia="he-IL"/>
        </w:rPr>
        <w:t xml:space="preserve">State Comptroller and </w:t>
      </w:r>
    </w:p>
    <w:p w:rsidR="003278C8" w:rsidRPr="00D27A1F" w:rsidP="003278C8" w14:paraId="6BE1EA84" w14:textId="77777777">
      <w:pPr>
        <w:widowControl w:val="0"/>
        <w:bidi w:val="0"/>
        <w:spacing w:line="280" w:lineRule="exact"/>
        <w:ind w:left="2268"/>
        <w:jc w:val="center"/>
        <w:rPr>
          <w:rFonts w:ascii="Tahoma" w:hAnsi="Tahoma" w:cs="Tahoma"/>
          <w:spacing w:val="2"/>
          <w:sz w:val="18"/>
          <w:szCs w:val="18"/>
          <w:lang w:eastAsia="he-IL"/>
        </w:rPr>
      </w:pPr>
      <w:r w:rsidRPr="00D27A1F">
        <w:rPr>
          <w:rFonts w:ascii="Tahoma" w:hAnsi="Tahoma" w:cs="Tahoma"/>
          <w:spacing w:val="2"/>
          <w:sz w:val="18"/>
          <w:szCs w:val="18"/>
          <w:lang w:eastAsia="he-IL"/>
        </w:rPr>
        <w:t>Ombudsman of Israel</w:t>
      </w:r>
    </w:p>
    <w:p w:rsidR="003278C8" w:rsidRPr="00C6221F" w:rsidP="003278C8" w14:paraId="54EECD4D" w14:textId="77777777">
      <w:pPr>
        <w:widowControl w:val="0"/>
        <w:bidi w:val="0"/>
        <w:spacing w:line="280" w:lineRule="exact"/>
        <w:ind w:left="2268"/>
        <w:jc w:val="center"/>
        <w:rPr>
          <w:rFonts w:ascii="Tahoma" w:hAnsi="Tahoma" w:cs="Tahoma"/>
          <w:spacing w:val="2"/>
          <w:szCs w:val="20"/>
          <w:lang w:eastAsia="he-IL"/>
        </w:rPr>
      </w:pPr>
    </w:p>
    <w:p w:rsidR="003278C8" w:rsidP="003278C8" w14:paraId="6846ECD8" w14:textId="77777777">
      <w:pPr>
        <w:widowControl w:val="0"/>
        <w:bidi w:val="0"/>
        <w:spacing w:line="280" w:lineRule="exact"/>
        <w:ind w:left="2268"/>
        <w:jc w:val="center"/>
        <w:rPr>
          <w:rFonts w:ascii="Tahoma" w:hAnsi="Tahoma" w:cs="Tahoma"/>
          <w:spacing w:val="2"/>
          <w:szCs w:val="20"/>
          <w:lang w:eastAsia="he-IL"/>
        </w:rPr>
      </w:pPr>
    </w:p>
    <w:p w:rsidR="003278C8" w:rsidRPr="00C6221F" w:rsidP="003278C8" w14:paraId="03F90D90" w14:textId="77777777">
      <w:pPr>
        <w:widowControl w:val="0"/>
        <w:bidi w:val="0"/>
        <w:spacing w:line="280" w:lineRule="exact"/>
        <w:ind w:left="2268"/>
        <w:jc w:val="center"/>
        <w:rPr>
          <w:rFonts w:ascii="Tahoma" w:hAnsi="Tahoma" w:cs="Tahoma"/>
          <w:spacing w:val="2"/>
          <w:szCs w:val="20"/>
          <w:rtl/>
          <w:lang w:eastAsia="he-IL"/>
        </w:rPr>
      </w:pPr>
    </w:p>
    <w:p w:rsidR="003278C8" w:rsidRPr="00C6221F" w:rsidP="003278C8" w14:paraId="048A00CB" w14:textId="77777777">
      <w:pPr>
        <w:bidi w:val="0"/>
        <w:spacing w:before="120" w:line="240" w:lineRule="auto"/>
        <w:rPr>
          <w:rFonts w:ascii="Tahoma" w:hAnsi="Tahoma" w:cs="Tahoma"/>
          <w:color w:val="0D0D0D" w:themeColor="text1" w:themeTint="F2"/>
          <w:spacing w:val="2"/>
          <w:sz w:val="18"/>
          <w:szCs w:val="18"/>
          <w:rtl/>
        </w:rPr>
      </w:pPr>
      <w:r w:rsidRPr="00C6221F">
        <w:rPr>
          <w:rFonts w:ascii="Tahoma" w:hAnsi="Tahoma" w:cs="Tahoma"/>
          <w:color w:val="0D0D0D" w:themeColor="text1" w:themeTint="F2"/>
          <w:spacing w:val="2"/>
          <w:sz w:val="18"/>
          <w:szCs w:val="18"/>
        </w:rPr>
        <w:t xml:space="preserve">Jerusalem, </w:t>
      </w:r>
      <w:r>
        <w:rPr>
          <w:rFonts w:ascii="Tahoma" w:hAnsi="Tahoma" w:cs="Tahoma"/>
          <w:color w:val="0D0D0D" w:themeColor="text1" w:themeTint="F2"/>
          <w:spacing w:val="2"/>
          <w:sz w:val="18"/>
          <w:szCs w:val="18"/>
        </w:rPr>
        <w:t>May</w:t>
      </w:r>
      <w:r>
        <w:rPr>
          <w:rFonts w:ascii="Tahoma" w:hAnsi="Tahoma" w:cs="Tahoma" w:hint="cs"/>
          <w:color w:val="0D0D0D" w:themeColor="text1" w:themeTint="F2"/>
          <w:spacing w:val="2"/>
          <w:sz w:val="18"/>
          <w:szCs w:val="18"/>
          <w:rtl/>
        </w:rPr>
        <w:t xml:space="preserve"> </w:t>
      </w:r>
      <w:r w:rsidRPr="00C6221F">
        <w:rPr>
          <w:rFonts w:ascii="Tahoma" w:hAnsi="Tahoma" w:cs="Tahoma"/>
          <w:color w:val="0D0D0D" w:themeColor="text1" w:themeTint="F2"/>
          <w:spacing w:val="2"/>
          <w:sz w:val="18"/>
          <w:szCs w:val="18"/>
        </w:rPr>
        <w:t>202</w:t>
      </w:r>
      <w:r>
        <w:rPr>
          <w:rFonts w:ascii="Tahoma" w:hAnsi="Tahoma" w:cs="Tahoma" w:hint="cs"/>
          <w:color w:val="0D0D0D" w:themeColor="text1" w:themeTint="F2"/>
          <w:spacing w:val="2"/>
          <w:sz w:val="18"/>
          <w:szCs w:val="18"/>
          <w:rtl/>
        </w:rPr>
        <w:t>4</w:t>
      </w:r>
    </w:p>
    <w:p w:rsidR="00697F31" w:rsidRPr="006C067D" w:rsidP="00697F31" w14:paraId="6C2497F1" w14:textId="77777777">
      <w:pPr>
        <w:tabs>
          <w:tab w:val="right" w:pos="12"/>
          <w:tab w:val="right" w:pos="156"/>
        </w:tabs>
        <w:spacing w:line="360" w:lineRule="auto"/>
        <w:rPr>
          <w:b/>
          <w:bCs/>
          <w:sz w:val="2"/>
          <w:szCs w:val="2"/>
          <w:u w:val="single"/>
          <w:rtl/>
        </w:rPr>
      </w:pPr>
    </w:p>
    <w:p w:rsidR="00697F31" w:rsidRPr="006C067D" w:rsidP="00697F31" w14:paraId="52E5F77A" w14:textId="77777777">
      <w:pPr>
        <w:tabs>
          <w:tab w:val="right" w:pos="12"/>
          <w:tab w:val="right" w:pos="156"/>
        </w:tabs>
        <w:ind w:hanging="129"/>
        <w:rPr>
          <w:b/>
          <w:bCs/>
          <w:sz w:val="2"/>
          <w:szCs w:val="2"/>
          <w:rtl/>
        </w:rPr>
      </w:pPr>
    </w:p>
    <w:p w:rsidR="00697F31" w:rsidRPr="006C067D" w:rsidP="00697F31" w14:paraId="5B53F822" w14:textId="77777777">
      <w:pPr>
        <w:tabs>
          <w:tab w:val="left" w:pos="1683"/>
        </w:tabs>
        <w:rPr>
          <w:sz w:val="2"/>
          <w:szCs w:val="2"/>
          <w:rtl/>
        </w:rPr>
      </w:pPr>
      <w:r w:rsidRPr="006C067D">
        <w:rPr>
          <w:sz w:val="24"/>
          <w:rtl/>
        </w:rPr>
        <w:tab/>
      </w:r>
    </w:p>
    <w:p w:rsidR="00B20B13" w:rsidRPr="006C067D" w:rsidP="00B20B13" w14:paraId="494BF6CF" w14:textId="63375E95">
      <w:pPr>
        <w:tabs>
          <w:tab w:val="right" w:pos="12"/>
          <w:tab w:val="right" w:pos="156"/>
        </w:tabs>
        <w:spacing w:line="360" w:lineRule="auto"/>
        <w:rPr>
          <w:b/>
          <w:bCs/>
          <w:sz w:val="2"/>
          <w:szCs w:val="2"/>
          <w:u w:val="single"/>
          <w:rtl/>
        </w:rPr>
      </w:pPr>
    </w:p>
    <w:p w:rsidR="00B20B13" w:rsidRPr="006C067D" w:rsidP="00B20B13" w14:paraId="598EC18E" w14:textId="493375B3">
      <w:pPr>
        <w:tabs>
          <w:tab w:val="right" w:pos="12"/>
          <w:tab w:val="right" w:pos="156"/>
        </w:tabs>
        <w:ind w:hanging="129"/>
        <w:rPr>
          <w:b/>
          <w:bCs/>
          <w:sz w:val="2"/>
          <w:szCs w:val="2"/>
          <w:rtl/>
        </w:rPr>
      </w:pPr>
    </w:p>
    <w:p w:rsidR="00F96F26" w:rsidRPr="002907DE" w:rsidP="002907DE" w14:paraId="3CC61AEA" w14:textId="19105A31">
      <w:pPr>
        <w:tabs>
          <w:tab w:val="left" w:pos="1683"/>
        </w:tabs>
        <w:rPr>
          <w:sz w:val="2"/>
          <w:szCs w:val="2"/>
          <w:rtl/>
        </w:rPr>
        <w:sectPr w:rsidSect="007824E3">
          <w:headerReference w:type="even" r:id="rId22"/>
          <w:headerReference w:type="default" r:id="rId23"/>
          <w:footerReference w:type="even" r:id="rId24"/>
          <w:footerReference w:type="default" r:id="rId25"/>
          <w:headerReference w:type="first" r:id="rId26"/>
          <w:footerReference w:type="first" r:id="rId27"/>
          <w:pgSz w:w="11906" w:h="16838" w:code="9"/>
          <w:pgMar w:top="3062" w:right="2268" w:bottom="2552" w:left="2268" w:header="1134" w:footer="1361" w:gutter="0"/>
          <w:cols w:space="708"/>
          <w:docGrid w:linePitch="360"/>
        </w:sectPr>
      </w:pPr>
    </w:p>
    <w:p w:rsidR="00BD786C" w:rsidP="003278C8" w14:paraId="33191633" w14:textId="66E6A8DB">
      <w:pPr>
        <w:bidi w:val="0"/>
        <w:spacing w:after="200" w:line="276" w:lineRule="auto"/>
        <w:rPr>
          <w:rFonts w:ascii="Tahoma" w:eastAsia="Times New Roman" w:hAnsi="Tahoma" w:cs="Tahoma"/>
          <w:b/>
          <w:bCs/>
          <w:color w:val="00305F"/>
          <w:sz w:val="32"/>
          <w:szCs w:val="32"/>
        </w:rPr>
      </w:pPr>
      <w:r>
        <w:rPr>
          <w:rFonts w:ascii="Tahoma" w:eastAsia="Times New Roman" w:hAnsi="Tahoma" w:cs="Tahoma"/>
          <w:b/>
          <w:bCs/>
          <w:noProof/>
          <w:color w:val="00305F"/>
          <w:sz w:val="32"/>
          <w:szCs w:val="32"/>
        </w:rPr>
        <mc:AlternateContent>
          <mc:Choice Requires="wps">
            <w:drawing>
              <wp:anchor distT="0" distB="0" distL="114300" distR="114300" simplePos="0" relativeHeight="251707392" behindDoc="0" locked="0" layoutInCell="1" allowOverlap="1">
                <wp:simplePos x="0" y="0"/>
                <wp:positionH relativeFrom="column">
                  <wp:posOffset>-611749</wp:posOffset>
                </wp:positionH>
                <wp:positionV relativeFrom="paragraph">
                  <wp:posOffset>7207445</wp:posOffset>
                </wp:positionV>
                <wp:extent cx="1266092" cy="414216"/>
                <wp:effectExtent l="12700" t="12700" r="17145" b="17780"/>
                <wp:wrapNone/>
                <wp:docPr id="1668914303" name="מלבן 2"/>
                <wp:cNvGraphicFramePr/>
                <a:graphic xmlns:a="http://schemas.openxmlformats.org/drawingml/2006/main">
                  <a:graphicData uri="http://schemas.microsoft.com/office/word/2010/wordprocessingShape">
                    <wps:wsp xmlns:wps="http://schemas.microsoft.com/office/word/2010/wordprocessingShape">
                      <wps:cNvSpPr/>
                      <wps:spPr>
                        <a:xfrm>
                          <a:off x="0" y="0"/>
                          <a:ext cx="1266092" cy="414216"/>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anchor>
            </w:drawing>
          </mc:Choice>
          <mc:Fallback>
            <w:pict>
              <v:rect id="מלבן 2" o:spid="_x0000_s1049" style="width:99.7pt;height:32.6pt;margin-top:567.5pt;margin-left:-48.15pt;mso-wrap-distance-bottom:0;mso-wrap-distance-left:9pt;mso-wrap-distance-right:9pt;mso-wrap-distance-top:0;mso-wrap-style:square;position:absolute;visibility:visible;v-text-anchor:middle;z-index:251708416" fillcolor="white" strokecolor="white" strokeweight="2pt"/>
            </w:pict>
          </mc:Fallback>
        </mc:AlternateContent>
      </w:r>
    </w:p>
    <w:sectPr w:rsidSect="00A8428C">
      <w:headerReference w:type="default" r:id="rId28"/>
      <w:footnotePr>
        <w:numRestart w:val="eachSect"/>
      </w:footnotePr>
      <w:type w:val="continuous"/>
      <w:pgSz w:w="11906" w:h="16838" w:code="9"/>
      <w:pgMar w:top="3062" w:right="2268" w:bottom="2552" w:left="2268" w:header="1134" w:footer="1361"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5C4BE0" w14:paraId="125E2526" w14:textId="77777777">
      <w:pPr>
        <w:spacing w:line="240" w:lineRule="auto"/>
      </w:pPr>
      <w:r>
        <w:separator/>
      </w:r>
    </w:p>
    <w:p w:rsidR="005C4BE0" w14:paraId="40C3EF9B" w14:textId="77777777"/>
  </w:endnote>
  <w:endnote w:type="continuationSeparator" w:id="1">
    <w:p w:rsidR="005C4BE0" w14:paraId="257AC273" w14:textId="77777777">
      <w:pPr>
        <w:spacing w:line="240" w:lineRule="auto"/>
      </w:pPr>
      <w:r>
        <w:continuationSeparator/>
      </w:r>
    </w:p>
    <w:p w:rsidR="005C4BE0" w14:paraId="71828F8A"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David">
    <w:altName w:val="Malgun Gothic Semilight"/>
    <w:panose1 w:val="020E0502060401010101"/>
    <w:charset w:val="00"/>
    <w:family w:val="swiss"/>
    <w:pitch w:val="variable"/>
    <w:sig w:usb0="00000803" w:usb1="00000000" w:usb2="00000000" w:usb3="00000000" w:csb0="00000021" w:csb1="00000000"/>
  </w:font>
  <w:font w:name="TypoUpright BT">
    <w:panose1 w:val="020B0604020202020204"/>
    <w:charset w:val="00"/>
    <w:family w:val="script"/>
    <w:pitch w:val="variable"/>
    <w:sig w:usb0="800000AF" w:usb1="1000204A" w:usb2="00000000" w:usb3="00000000" w:csb0="0000001B"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FrankRuehl">
    <w:panose1 w:val="020E0503060101010101"/>
    <w:charset w:val="B1"/>
    <w:family w:val="swiss"/>
    <w:pitch w:val="variable"/>
    <w:sig w:usb0="00000803" w:usb1="00000000" w:usb2="00000000" w:usb3="00000000" w:csb0="00000021" w:csb1="00000000"/>
  </w:font>
  <w:font w:name="Lucida Sans Unicode">
    <w:panose1 w:val="020B0602030504020204"/>
    <w:charset w:val="00"/>
    <w:family w:val="swiss"/>
    <w:pitch w:val="variable"/>
    <w:sig w:usb0="80000AFF" w:usb1="0000396B" w:usb2="00000000" w:usb3="00000000" w:csb0="000000BF" w:csb1="00000000"/>
  </w:font>
  <w:font w:name="Arial Bold">
    <w:altName w:val="Arial"/>
    <w:panose1 w:val="020B0604020202020204"/>
    <w:charset w:val="00"/>
    <w:family w:val="roman"/>
    <w:pitch w:val="default"/>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12792" w:rsidP="00A0272B" w14:paraId="7CF2D899" w14:textId="77777777">
    <w:pPr>
      <w:pStyle w:val="Footer"/>
      <w:spacing w:after="120" w:line="312" w:lineRule="auto"/>
      <w:ind w:right="-567"/>
      <w:jc w:val="right"/>
      <w:rPr>
        <w:rFonts w:ascii="Tahoma" w:hAnsi="Tahoma" w:cs="Tahoma"/>
        <w:sz w:val="18"/>
        <w:szCs w:val="18"/>
        <w:rtl/>
      </w:rPr>
    </w:pPr>
  </w:p>
  <w:p w:rsidR="00D12792" w:rsidP="00C00262" w14:paraId="0B6C571A" w14:textId="77777777">
    <w:pPr>
      <w:pStyle w:val="Footer"/>
      <w:spacing w:after="120" w:line="312" w:lineRule="auto"/>
      <w:ind w:left="-737"/>
      <w:jc w:val="left"/>
      <w:rPr>
        <w:rFonts w:ascii="Tahoma" w:hAnsi="Tahoma" w:cs="Tahoma"/>
        <w:color w:val="004E6C"/>
        <w:sz w:val="18"/>
        <w:szCs w:val="18"/>
        <w:rtl/>
      </w:rPr>
    </w:pPr>
    <w:r w:rsidRPr="00F94EB4">
      <w:rPr>
        <w:rFonts w:ascii="Tahoma" w:hAnsi="Tahoma" w:cs="Tahoma"/>
        <w:sz w:val="18"/>
        <w:szCs w:val="18"/>
      </w:rPr>
      <w:t>|</w:t>
    </w:r>
    <w:r w:rsidRPr="00F94EB4">
      <w:rPr>
        <w:rFonts w:ascii="Tahoma" w:hAnsi="Tahoma" w:cs="Tahoma"/>
        <w:sz w:val="18"/>
        <w:szCs w:val="18"/>
        <w:rtl/>
      </w:rPr>
      <w:t xml:space="preserve"> </w:t>
    </w:r>
    <w:r>
      <w:rPr>
        <w:rFonts w:ascii="Tahoma" w:hAnsi="Tahoma" w:cs="Tahoma" w:hint="cs"/>
        <w:sz w:val="18"/>
        <w:szCs w:val="18"/>
        <w:rtl/>
      </w:rPr>
      <w:t xml:space="preserve">  </w:t>
    </w:r>
    <w:r w:rsidRPr="00F94EB4">
      <w:rPr>
        <w:rFonts w:ascii="Tahoma" w:hAnsi="Tahoma" w:cs="Tahoma"/>
        <w:sz w:val="18"/>
        <w:szCs w:val="18"/>
        <w:rtl/>
      </w:rPr>
      <w:fldChar w:fldCharType="begin"/>
    </w:r>
    <w:r w:rsidRPr="00F94EB4">
      <w:rPr>
        <w:rFonts w:ascii="Tahoma" w:hAnsi="Tahoma" w:cs="Tahoma"/>
        <w:sz w:val="18"/>
        <w:szCs w:val="18"/>
        <w:rtl/>
      </w:rPr>
      <w:instrText xml:space="preserve"> </w:instrText>
    </w:r>
    <w:r w:rsidRPr="00F94EB4">
      <w:rPr>
        <w:rFonts w:ascii="Tahoma" w:hAnsi="Tahoma" w:cs="Tahoma"/>
        <w:sz w:val="18"/>
        <w:szCs w:val="18"/>
      </w:rPr>
      <w:instrText xml:space="preserve">PAGE </w:instrText>
    </w:r>
    <w:r w:rsidRPr="00F94EB4">
      <w:rPr>
        <w:rFonts w:ascii="Tahoma" w:hAnsi="Tahoma" w:cs="Tahoma"/>
        <w:sz w:val="18"/>
        <w:szCs w:val="18"/>
        <w:rtl/>
      </w:rPr>
      <w:instrText xml:space="preserve"> \* </w:instrText>
    </w:r>
    <w:r w:rsidRPr="00F94EB4">
      <w:rPr>
        <w:rFonts w:ascii="Tahoma" w:hAnsi="Tahoma" w:cs="Tahoma"/>
        <w:sz w:val="18"/>
        <w:szCs w:val="18"/>
      </w:rPr>
      <w:instrText>MERGEFORMAT</w:instrText>
    </w:r>
    <w:r w:rsidRPr="00F94EB4">
      <w:rPr>
        <w:rFonts w:ascii="Tahoma" w:hAnsi="Tahoma" w:cs="Tahoma"/>
        <w:sz w:val="18"/>
        <w:szCs w:val="18"/>
        <w:rtl/>
      </w:rPr>
      <w:instrText xml:space="preserve"> </w:instrText>
    </w:r>
    <w:r w:rsidRPr="00F94EB4">
      <w:rPr>
        <w:rFonts w:ascii="Tahoma" w:hAnsi="Tahoma" w:cs="Tahoma"/>
        <w:sz w:val="18"/>
        <w:szCs w:val="18"/>
        <w:rtl/>
      </w:rPr>
      <w:fldChar w:fldCharType="separate"/>
    </w:r>
    <w:r>
      <w:rPr>
        <w:rFonts w:ascii="Tahoma" w:hAnsi="Tahoma" w:cs="Tahoma"/>
        <w:sz w:val="18"/>
        <w:szCs w:val="18"/>
        <w:rtl/>
      </w:rPr>
      <w:t>4</w:t>
    </w:r>
    <w:r w:rsidRPr="00F94EB4">
      <w:rPr>
        <w:rFonts w:ascii="Tahoma" w:hAnsi="Tahoma" w:cs="Tahoma"/>
        <w:sz w:val="18"/>
        <w:szCs w:val="18"/>
        <w:rtl/>
      </w:rPr>
      <w:fldChar w:fldCharType="end"/>
    </w:r>
    <w:r>
      <w:rPr>
        <w:rFonts w:ascii="Tahoma" w:hAnsi="Tahoma" w:cs="Tahoma" w:hint="cs"/>
        <w:sz w:val="18"/>
        <w:szCs w:val="18"/>
        <w:rtl/>
      </w:rPr>
      <w:t xml:space="preserve">   </w:t>
    </w:r>
    <w:r w:rsidRPr="0013302E">
      <w:rPr>
        <w:rFonts w:ascii="Tahoma" w:hAnsi="Tahoma" w:cs="Tahoma"/>
        <w:sz w:val="18"/>
        <w:szCs w:val="18"/>
      </w:rPr>
      <w:t>|</w:t>
    </w:r>
    <w:r>
      <w:rPr>
        <w:rFonts w:ascii="Tahoma" w:hAnsi="Tahoma" w:cs="Tahoma" w:hint="cs"/>
        <w:color w:val="004E6C"/>
        <w:sz w:val="18"/>
        <w:szCs w:val="18"/>
        <w:rtl/>
      </w:rPr>
      <w:t xml:space="preserve">     </w:t>
    </w:r>
  </w:p>
  <w:p w:rsidR="00D12792" w:rsidRPr="00A0272B" w:rsidP="00A0272B" w14:paraId="56563B1D" w14:textId="77777777">
    <w:pPr>
      <w:pStyle w:val="Footer"/>
      <w:rPr>
        <w:szCs w:val="20"/>
        <w:rtl/>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12792" w:rsidP="00A0272B" w14:paraId="775442AC" w14:textId="77777777">
    <w:pPr>
      <w:pStyle w:val="Footer"/>
      <w:spacing w:after="120" w:line="312" w:lineRule="auto"/>
      <w:ind w:right="-567"/>
      <w:jc w:val="right"/>
      <w:rPr>
        <w:rFonts w:ascii="Tahoma" w:hAnsi="Tahoma" w:cs="Tahoma"/>
        <w:sz w:val="18"/>
        <w:szCs w:val="18"/>
        <w:rtl/>
      </w:rPr>
    </w:pPr>
  </w:p>
  <w:p w:rsidR="00D12792" w:rsidP="00C00262" w14:paraId="768EB2AC" w14:textId="77777777">
    <w:pPr>
      <w:pStyle w:val="Footer"/>
      <w:spacing w:after="120" w:line="312" w:lineRule="auto"/>
      <w:ind w:right="-737"/>
      <w:jc w:val="right"/>
      <w:rPr>
        <w:rFonts w:ascii="Tahoma" w:hAnsi="Tahoma" w:cs="Tahoma"/>
        <w:sz w:val="18"/>
        <w:szCs w:val="18"/>
        <w:rtl/>
      </w:rPr>
    </w:pPr>
    <w:r w:rsidRPr="00F94EB4">
      <w:rPr>
        <w:rFonts w:ascii="Tahoma" w:hAnsi="Tahoma" w:cs="Tahoma"/>
        <w:sz w:val="18"/>
        <w:szCs w:val="18"/>
      </w:rPr>
      <w:t xml:space="preserve">| </w:t>
    </w:r>
    <w:r w:rsidRPr="00F94EB4">
      <w:rPr>
        <w:rFonts w:ascii="Tahoma" w:hAnsi="Tahoma" w:cs="Tahoma"/>
        <w:sz w:val="18"/>
        <w:szCs w:val="18"/>
        <w:rtl/>
      </w:rPr>
      <w:t xml:space="preserve"> </w:t>
    </w:r>
    <w:r>
      <w:rPr>
        <w:rFonts w:ascii="Tahoma" w:hAnsi="Tahoma" w:cs="Tahoma" w:hint="cs"/>
        <w:sz w:val="18"/>
        <w:szCs w:val="18"/>
        <w:rtl/>
      </w:rPr>
      <w:t xml:space="preserve">  </w:t>
    </w:r>
    <w:r w:rsidRPr="00F94EB4">
      <w:rPr>
        <w:rFonts w:ascii="Tahoma" w:hAnsi="Tahoma" w:cs="Tahoma"/>
        <w:sz w:val="18"/>
        <w:szCs w:val="18"/>
        <w:rtl/>
      </w:rPr>
      <w:fldChar w:fldCharType="begin"/>
    </w:r>
    <w:r w:rsidRPr="00F94EB4">
      <w:rPr>
        <w:rFonts w:ascii="Tahoma" w:hAnsi="Tahoma" w:cs="Tahoma"/>
        <w:sz w:val="18"/>
        <w:szCs w:val="18"/>
        <w:rtl/>
      </w:rPr>
      <w:instrText xml:space="preserve"> </w:instrText>
    </w:r>
    <w:r w:rsidRPr="00F94EB4">
      <w:rPr>
        <w:rFonts w:ascii="Tahoma" w:hAnsi="Tahoma" w:cs="Tahoma"/>
        <w:sz w:val="18"/>
        <w:szCs w:val="18"/>
      </w:rPr>
      <w:instrText xml:space="preserve">PAGE </w:instrText>
    </w:r>
    <w:r w:rsidRPr="00F94EB4">
      <w:rPr>
        <w:rFonts w:ascii="Tahoma" w:hAnsi="Tahoma" w:cs="Tahoma"/>
        <w:sz w:val="18"/>
        <w:szCs w:val="18"/>
        <w:rtl/>
      </w:rPr>
      <w:instrText xml:space="preserve"> \* </w:instrText>
    </w:r>
    <w:r w:rsidRPr="00F94EB4">
      <w:rPr>
        <w:rFonts w:ascii="Tahoma" w:hAnsi="Tahoma" w:cs="Tahoma"/>
        <w:sz w:val="18"/>
        <w:szCs w:val="18"/>
      </w:rPr>
      <w:instrText>MERGEFORMAT</w:instrText>
    </w:r>
    <w:r w:rsidRPr="00F94EB4">
      <w:rPr>
        <w:rFonts w:ascii="Tahoma" w:hAnsi="Tahoma" w:cs="Tahoma"/>
        <w:sz w:val="18"/>
        <w:szCs w:val="18"/>
        <w:rtl/>
      </w:rPr>
      <w:instrText xml:space="preserve"> </w:instrText>
    </w:r>
    <w:r w:rsidRPr="00F94EB4">
      <w:rPr>
        <w:rFonts w:ascii="Tahoma" w:hAnsi="Tahoma" w:cs="Tahoma"/>
        <w:sz w:val="18"/>
        <w:szCs w:val="18"/>
        <w:rtl/>
      </w:rPr>
      <w:fldChar w:fldCharType="separate"/>
    </w:r>
    <w:r>
      <w:rPr>
        <w:rFonts w:ascii="Tahoma" w:hAnsi="Tahoma" w:cs="Tahoma"/>
        <w:sz w:val="18"/>
        <w:szCs w:val="18"/>
        <w:rtl/>
      </w:rPr>
      <w:t>5</w:t>
    </w:r>
    <w:r w:rsidRPr="00F94EB4">
      <w:rPr>
        <w:rFonts w:ascii="Tahoma" w:hAnsi="Tahoma" w:cs="Tahoma"/>
        <w:sz w:val="18"/>
        <w:szCs w:val="18"/>
        <w:rtl/>
      </w:rPr>
      <w:fldChar w:fldCharType="end"/>
    </w:r>
    <w:r w:rsidRPr="00F94EB4">
      <w:rPr>
        <w:rFonts w:ascii="Tahoma" w:hAnsi="Tahoma" w:cs="Tahoma"/>
        <w:sz w:val="18"/>
        <w:szCs w:val="18"/>
        <w:rtl/>
      </w:rPr>
      <w:t xml:space="preserve"> </w:t>
    </w:r>
    <w:r>
      <w:rPr>
        <w:rFonts w:ascii="Tahoma" w:hAnsi="Tahoma" w:cs="Tahoma" w:hint="cs"/>
        <w:sz w:val="18"/>
        <w:szCs w:val="18"/>
        <w:rtl/>
      </w:rPr>
      <w:t xml:space="preserve">  |</w:t>
    </w:r>
  </w:p>
  <w:p w:rsidR="00D12792" w:rsidRPr="00A0272B" w:rsidP="00A0272B" w14:paraId="5B6969CB" w14:textId="77777777">
    <w:pPr>
      <w:pStyle w:val="Footer"/>
      <w:rPr>
        <w:szCs w:val="20"/>
        <w:rt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0446C" w:rsidP="00E0446C" w14:paraId="2E0A8F5F" w14:textId="73A2F3A7">
    <w:pPr>
      <w:pStyle w:val="Footer"/>
      <w:bidi w:val="0"/>
      <w:spacing w:after="120" w:line="312" w:lineRule="auto"/>
      <w:ind w:right="-737"/>
      <w:jc w:val="right"/>
      <w:rPr>
        <w:rFonts w:ascii="Tahoma" w:hAnsi="Tahoma" w:cs="Tahoma"/>
        <w:sz w:val="18"/>
        <w:szCs w:val="18"/>
        <w:rtl/>
      </w:rPr>
    </w:pPr>
    <w:r w:rsidRPr="00F94EB4">
      <w:rPr>
        <w:rFonts w:ascii="Tahoma" w:hAnsi="Tahoma" w:cs="Tahoma"/>
        <w:sz w:val="18"/>
        <w:szCs w:val="18"/>
      </w:rPr>
      <w:t>|</w:t>
    </w:r>
    <w:r>
      <w:rPr>
        <w:rFonts w:ascii="Tahoma" w:hAnsi="Tahoma" w:cs="Tahoma"/>
        <w:sz w:val="18"/>
        <w:szCs w:val="18"/>
      </w:rPr>
      <w:t xml:space="preserve"> </w:t>
    </w:r>
    <w:r>
      <w:rPr>
        <w:noProof/>
      </w:rPr>
      <w:t xml:space="preserve"> </w:t>
    </w:r>
    <w:r w:rsidRPr="005B086D">
      <w:rPr>
        <w:noProof/>
      </w:rPr>
      <w:t xml:space="preserve"> </w:t>
    </w:r>
    <w:r w:rsidR="00C158FE">
      <w:rPr>
        <w:rFonts w:ascii="Tahoma" w:hAnsi="Tahoma" w:cs="Tahoma"/>
        <w:sz w:val="18"/>
        <w:szCs w:val="18"/>
      </w:rPr>
      <w:t>5</w:t>
    </w:r>
    <w:r w:rsidRPr="00F94EB4">
      <w:rPr>
        <w:rFonts w:ascii="Tahoma" w:hAnsi="Tahoma" w:cs="Tahoma"/>
        <w:sz w:val="18"/>
        <w:szCs w:val="18"/>
      </w:rPr>
      <w:t xml:space="preserve"> </w:t>
    </w:r>
    <w:r>
      <w:rPr>
        <w:rFonts w:ascii="Tahoma" w:hAnsi="Tahoma" w:cs="Tahoma"/>
        <w:sz w:val="18"/>
        <w:szCs w:val="18"/>
      </w:rPr>
      <w:t xml:space="preserve">  </w:t>
    </w:r>
    <w:r w:rsidRPr="00F94EB4">
      <w:rPr>
        <w:rFonts w:ascii="Tahoma" w:hAnsi="Tahoma" w:cs="Tahoma"/>
        <w:sz w:val="18"/>
        <w:szCs w:val="18"/>
        <w:rtl/>
      </w:rPr>
      <w:t xml:space="preserve"> </w:t>
    </w:r>
    <w:r>
      <w:rPr>
        <w:rFonts w:ascii="Tahoma" w:hAnsi="Tahoma" w:cs="Tahoma" w:hint="cs"/>
        <w:sz w:val="18"/>
        <w:szCs w:val="18"/>
        <w:rtl/>
      </w:rPr>
      <w:t>|</w:t>
    </w:r>
  </w:p>
  <w:p w:rsidR="00D12792" w:rsidRPr="00870DCF" w:rsidP="00870DCF" w14:paraId="12C827B4" w14:textId="78BBA170">
    <w:pPr>
      <w:pStyle w:val="Footer"/>
      <w:spacing w:after="120" w:line="312" w:lineRule="auto"/>
      <w:ind w:right="-737"/>
      <w:jc w:val="right"/>
      <w:rPr>
        <w:rFonts w:ascii="Tahoma" w:hAnsi="Tahoma" w:cs="Tahoma"/>
        <w:sz w:val="18"/>
        <w:szCs w:val="18"/>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0446C" w:rsidP="00E0446C" w14:paraId="18E72760" w14:textId="0148C0A0">
    <w:pPr>
      <w:pStyle w:val="Footer"/>
      <w:bidi w:val="0"/>
      <w:spacing w:after="120" w:line="312" w:lineRule="auto"/>
      <w:ind w:left="-680"/>
      <w:jc w:val="left"/>
      <w:rPr>
        <w:rFonts w:ascii="Tahoma" w:hAnsi="Tahoma" w:cs="Tahoma"/>
        <w:color w:val="004E6C"/>
        <w:sz w:val="18"/>
        <w:szCs w:val="18"/>
        <w:rtl/>
      </w:rPr>
    </w:pPr>
    <w:r w:rsidRPr="00F94EB4">
      <w:rPr>
        <w:rFonts w:ascii="Tahoma" w:hAnsi="Tahoma" w:cs="Tahoma"/>
        <w:sz w:val="18"/>
        <w:szCs w:val="18"/>
      </w:rPr>
      <w:t>|</w:t>
    </w:r>
    <w:r w:rsidRPr="00F94EB4">
      <w:rPr>
        <w:rFonts w:ascii="Tahoma" w:hAnsi="Tahoma" w:cs="Tahoma"/>
        <w:sz w:val="18"/>
        <w:szCs w:val="18"/>
        <w:rtl/>
      </w:rPr>
      <w:t xml:space="preserve"> </w:t>
    </w:r>
    <w:r>
      <w:rPr>
        <w:rFonts w:ascii="Tahoma" w:hAnsi="Tahoma" w:cs="Tahoma" w:hint="cs"/>
        <w:sz w:val="18"/>
        <w:szCs w:val="18"/>
        <w:rtl/>
      </w:rPr>
      <w:t xml:space="preserve">  </w:t>
    </w:r>
    <w:r w:rsidR="00C158FE">
      <w:rPr>
        <w:rFonts w:ascii="Tahoma" w:hAnsi="Tahoma" w:cs="Tahoma"/>
        <w:sz w:val="18"/>
        <w:szCs w:val="18"/>
      </w:rPr>
      <w:t>6</w:t>
    </w:r>
    <w:r>
      <w:rPr>
        <w:rFonts w:ascii="Tahoma" w:hAnsi="Tahoma" w:cs="Tahoma" w:hint="cs"/>
        <w:sz w:val="18"/>
        <w:szCs w:val="18"/>
        <w:rtl/>
      </w:rPr>
      <w:t xml:space="preserve">   </w:t>
    </w:r>
    <w:r w:rsidRPr="0013302E">
      <w:rPr>
        <w:rFonts w:ascii="Tahoma" w:hAnsi="Tahoma" w:cs="Tahoma"/>
        <w:sz w:val="18"/>
        <w:szCs w:val="18"/>
      </w:rPr>
      <w:t>|</w:t>
    </w:r>
    <w:r>
      <w:rPr>
        <w:rFonts w:ascii="Tahoma" w:hAnsi="Tahoma" w:cs="Tahoma" w:hint="cs"/>
        <w:color w:val="004E6C"/>
        <w:sz w:val="18"/>
        <w:szCs w:val="18"/>
        <w:rtl/>
      </w:rPr>
      <w:t xml:space="preserve">     </w:t>
    </w:r>
  </w:p>
  <w:p w:rsidR="00DA4697" w:rsidRPr="006668CA" w:rsidP="006668CA" w14:paraId="0C89F632" w14:textId="3FBAB653">
    <w:pPr>
      <w:pStyle w:val="Footer"/>
      <w:spacing w:after="120" w:line="312" w:lineRule="auto"/>
      <w:jc w:val="right"/>
      <w:rPr>
        <w:rFonts w:ascii="Tahoma" w:hAnsi="Tahoma" w:cs="Tahoma"/>
        <w:color w:val="002060"/>
        <w:sz w:val="18"/>
        <w:szCs w:val="18"/>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A4697" w:rsidP="00337C4E" w14:paraId="56186361" w14:textId="163BA40A">
    <w:pPr>
      <w:pStyle w:val="Footer"/>
      <w:spacing w:after="120" w:line="312" w:lineRule="auto"/>
      <w:ind w:left="-510"/>
      <w:jc w:val="left"/>
      <w:rPr>
        <w:rFonts w:ascii="Tahoma" w:hAnsi="Tahoma" w:cs="Tahoma"/>
        <w:sz w:val="18"/>
        <w:szCs w:val="18"/>
        <w:rtl/>
      </w:rPr>
    </w:pPr>
  </w:p>
  <w:p w:rsidR="00DA4697" w:rsidP="00B07B37" w14:paraId="55F954A2" w14:textId="019C4EBD">
    <w:pPr>
      <w:pStyle w:val="Footer"/>
      <w:bidi w:val="0"/>
      <w:spacing w:after="120" w:line="312" w:lineRule="auto"/>
      <w:ind w:left="-680"/>
      <w:jc w:val="left"/>
      <w:rPr>
        <w:rFonts w:ascii="Tahoma" w:hAnsi="Tahoma" w:cs="Tahoma"/>
        <w:color w:val="004E6C"/>
        <w:sz w:val="18"/>
        <w:szCs w:val="18"/>
        <w:rtl/>
      </w:rPr>
    </w:pPr>
    <w:r w:rsidRPr="00F94EB4">
      <w:rPr>
        <w:rFonts w:ascii="Tahoma" w:hAnsi="Tahoma" w:cs="Tahoma"/>
        <w:sz w:val="18"/>
        <w:szCs w:val="18"/>
      </w:rPr>
      <w:t>|</w:t>
    </w:r>
    <w:r w:rsidRPr="00F94EB4">
      <w:rPr>
        <w:rFonts w:ascii="Tahoma" w:hAnsi="Tahoma" w:cs="Tahoma"/>
        <w:sz w:val="18"/>
        <w:szCs w:val="18"/>
        <w:rtl/>
      </w:rPr>
      <w:t xml:space="preserve"> </w:t>
    </w:r>
    <w:r>
      <w:rPr>
        <w:rFonts w:ascii="Tahoma" w:hAnsi="Tahoma" w:cs="Tahoma" w:hint="cs"/>
        <w:sz w:val="18"/>
        <w:szCs w:val="18"/>
        <w:rtl/>
      </w:rPr>
      <w:t xml:space="preserve"> </w:t>
    </w:r>
    <w:r w:rsidR="00C6205F">
      <w:rPr>
        <w:rFonts w:ascii="Tahoma" w:hAnsi="Tahoma" w:cs="Tahoma" w:hint="cs"/>
        <w:sz w:val="18"/>
        <w:szCs w:val="18"/>
        <w:rtl/>
      </w:rPr>
      <w:t xml:space="preserve"> </w:t>
    </w:r>
    <w:r w:rsidRPr="00F94EB4">
      <w:rPr>
        <w:rFonts w:ascii="Tahoma" w:hAnsi="Tahoma" w:cs="Tahoma"/>
        <w:sz w:val="18"/>
        <w:szCs w:val="18"/>
        <w:rtl/>
      </w:rPr>
      <w:fldChar w:fldCharType="begin"/>
    </w:r>
    <w:r w:rsidRPr="00F94EB4">
      <w:rPr>
        <w:rFonts w:ascii="Tahoma" w:hAnsi="Tahoma" w:cs="Tahoma"/>
        <w:sz w:val="18"/>
        <w:szCs w:val="18"/>
        <w:rtl/>
      </w:rPr>
      <w:instrText xml:space="preserve"> </w:instrText>
    </w:r>
    <w:r w:rsidRPr="00F94EB4">
      <w:rPr>
        <w:rFonts w:ascii="Tahoma" w:hAnsi="Tahoma" w:cs="Tahoma"/>
        <w:sz w:val="18"/>
        <w:szCs w:val="18"/>
      </w:rPr>
      <w:instrText xml:space="preserve">PAGE </w:instrText>
    </w:r>
    <w:r w:rsidRPr="00F94EB4">
      <w:rPr>
        <w:rFonts w:ascii="Tahoma" w:hAnsi="Tahoma" w:cs="Tahoma"/>
        <w:sz w:val="18"/>
        <w:szCs w:val="18"/>
        <w:rtl/>
      </w:rPr>
      <w:instrText xml:space="preserve"> \* </w:instrText>
    </w:r>
    <w:r w:rsidRPr="00F94EB4">
      <w:rPr>
        <w:rFonts w:ascii="Tahoma" w:hAnsi="Tahoma" w:cs="Tahoma"/>
        <w:sz w:val="18"/>
        <w:szCs w:val="18"/>
      </w:rPr>
      <w:instrText>MERGEFORMAT</w:instrText>
    </w:r>
    <w:r w:rsidRPr="00F94EB4">
      <w:rPr>
        <w:rFonts w:ascii="Tahoma" w:hAnsi="Tahoma" w:cs="Tahoma"/>
        <w:sz w:val="18"/>
        <w:szCs w:val="18"/>
        <w:rtl/>
      </w:rPr>
      <w:instrText xml:space="preserve"> </w:instrText>
    </w:r>
    <w:r w:rsidRPr="00F94EB4">
      <w:rPr>
        <w:rFonts w:ascii="Tahoma" w:hAnsi="Tahoma" w:cs="Tahoma"/>
        <w:sz w:val="18"/>
        <w:szCs w:val="18"/>
        <w:rtl/>
      </w:rPr>
      <w:fldChar w:fldCharType="separate"/>
    </w:r>
    <w:r w:rsidRPr="00F94EB4">
      <w:rPr>
        <w:rFonts w:ascii="Tahoma" w:hAnsi="Tahoma" w:cs="Tahoma"/>
        <w:sz w:val="18"/>
        <w:szCs w:val="18"/>
        <w:rtl/>
      </w:rPr>
      <w:t>9</w:t>
    </w:r>
    <w:r w:rsidRPr="00F94EB4">
      <w:rPr>
        <w:rFonts w:ascii="Tahoma" w:hAnsi="Tahoma" w:cs="Tahoma"/>
        <w:sz w:val="18"/>
        <w:szCs w:val="18"/>
        <w:rtl/>
      </w:rPr>
      <w:fldChar w:fldCharType="end"/>
    </w:r>
    <w:r>
      <w:rPr>
        <w:rFonts w:ascii="Tahoma" w:hAnsi="Tahoma" w:cs="Tahoma" w:hint="cs"/>
        <w:sz w:val="18"/>
        <w:szCs w:val="18"/>
        <w:rtl/>
      </w:rPr>
      <w:t xml:space="preserve">   </w:t>
    </w:r>
    <w:r w:rsidRPr="0013302E">
      <w:rPr>
        <w:rFonts w:ascii="Tahoma" w:hAnsi="Tahoma" w:cs="Tahoma"/>
        <w:sz w:val="18"/>
        <w:szCs w:val="18"/>
      </w:rPr>
      <w:t>|</w:t>
    </w:r>
    <w:r>
      <w:rPr>
        <w:rFonts w:ascii="Tahoma" w:hAnsi="Tahoma" w:cs="Tahoma" w:hint="cs"/>
        <w:color w:val="004E6C"/>
        <w:sz w:val="18"/>
        <w:szCs w:val="18"/>
        <w:rtl/>
      </w:rPr>
      <w:t xml:space="preserve">     </w:t>
    </w:r>
  </w:p>
  <w:p w:rsidR="00DA4697" w:rsidRPr="00F94EB4" w:rsidP="00337C4E" w14:paraId="4ACFF620" w14:textId="7AC89577">
    <w:pPr>
      <w:pStyle w:val="Footer"/>
      <w:spacing w:after="120" w:line="312" w:lineRule="auto"/>
      <w:ind w:left="-510"/>
      <w:jc w:val="left"/>
      <w:rPr>
        <w:rFonts w:ascii="Tahoma" w:hAnsi="Tahoma" w:cs="Tahoma"/>
        <w:color w:val="004E6C"/>
        <w:sz w:val="18"/>
        <w:szCs w:val="18"/>
        <w:rtl/>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A4697" w:rsidP="002427C4" w14:paraId="2C2A80D5" w14:textId="31CE7D53">
    <w:pPr>
      <w:pStyle w:val="Footer"/>
      <w:bidi w:val="0"/>
      <w:spacing w:after="120" w:line="312" w:lineRule="auto"/>
      <w:ind w:right="-737"/>
      <w:jc w:val="right"/>
      <w:rPr>
        <w:rFonts w:ascii="Tahoma" w:hAnsi="Tahoma" w:cs="Tahoma"/>
        <w:sz w:val="18"/>
        <w:szCs w:val="18"/>
        <w:rtl/>
      </w:rPr>
    </w:pPr>
    <w:r w:rsidRPr="00F94EB4">
      <w:rPr>
        <w:rFonts w:ascii="Tahoma" w:hAnsi="Tahoma" w:cs="Tahoma"/>
        <w:sz w:val="18"/>
        <w:szCs w:val="18"/>
      </w:rPr>
      <w:t>|</w:t>
    </w:r>
    <w:r w:rsidR="002427C4">
      <w:rPr>
        <w:rFonts w:ascii="Tahoma" w:hAnsi="Tahoma" w:cs="Tahoma"/>
        <w:sz w:val="18"/>
        <w:szCs w:val="18"/>
      </w:rPr>
      <w:t xml:space="preserve"> </w:t>
    </w:r>
    <w:r w:rsidR="002427C4">
      <w:rPr>
        <w:noProof/>
      </w:rPr>
      <w:t xml:space="preserve"> </w:t>
    </w:r>
    <w:r w:rsidRPr="005B086D">
      <w:rPr>
        <w:noProof/>
      </w:rPr>
      <w:t xml:space="preserve"> </w:t>
    </w:r>
    <w:r w:rsidRPr="00F94EB4" w:rsidR="002427C4">
      <w:rPr>
        <w:rFonts w:ascii="Tahoma" w:hAnsi="Tahoma" w:cs="Tahoma"/>
        <w:sz w:val="18"/>
        <w:szCs w:val="18"/>
        <w:rtl/>
      </w:rPr>
      <w:fldChar w:fldCharType="begin"/>
    </w:r>
    <w:r w:rsidRPr="00F94EB4" w:rsidR="002427C4">
      <w:rPr>
        <w:rFonts w:ascii="Tahoma" w:hAnsi="Tahoma" w:cs="Tahoma"/>
        <w:sz w:val="18"/>
        <w:szCs w:val="18"/>
        <w:rtl/>
      </w:rPr>
      <w:instrText xml:space="preserve"> </w:instrText>
    </w:r>
    <w:r w:rsidRPr="00F94EB4" w:rsidR="002427C4">
      <w:rPr>
        <w:rFonts w:ascii="Tahoma" w:hAnsi="Tahoma" w:cs="Tahoma"/>
        <w:sz w:val="18"/>
        <w:szCs w:val="18"/>
      </w:rPr>
      <w:instrText xml:space="preserve">PAGE </w:instrText>
    </w:r>
    <w:r w:rsidRPr="00F94EB4" w:rsidR="002427C4">
      <w:rPr>
        <w:rFonts w:ascii="Tahoma" w:hAnsi="Tahoma" w:cs="Tahoma"/>
        <w:sz w:val="18"/>
        <w:szCs w:val="18"/>
        <w:rtl/>
      </w:rPr>
      <w:instrText xml:space="preserve"> \* </w:instrText>
    </w:r>
    <w:r w:rsidRPr="00F94EB4" w:rsidR="002427C4">
      <w:rPr>
        <w:rFonts w:ascii="Tahoma" w:hAnsi="Tahoma" w:cs="Tahoma"/>
        <w:sz w:val="18"/>
        <w:szCs w:val="18"/>
      </w:rPr>
      <w:instrText>MERGEFORMAT</w:instrText>
    </w:r>
    <w:r w:rsidRPr="00F94EB4" w:rsidR="002427C4">
      <w:rPr>
        <w:rFonts w:ascii="Tahoma" w:hAnsi="Tahoma" w:cs="Tahoma"/>
        <w:sz w:val="18"/>
        <w:szCs w:val="18"/>
        <w:rtl/>
      </w:rPr>
      <w:instrText xml:space="preserve"> </w:instrText>
    </w:r>
    <w:r w:rsidRPr="00F94EB4" w:rsidR="002427C4">
      <w:rPr>
        <w:rFonts w:ascii="Tahoma" w:hAnsi="Tahoma" w:cs="Tahoma"/>
        <w:sz w:val="18"/>
        <w:szCs w:val="18"/>
        <w:rtl/>
      </w:rPr>
      <w:fldChar w:fldCharType="separate"/>
    </w:r>
    <w:r w:rsidR="002427C4">
      <w:rPr>
        <w:rFonts w:ascii="Tahoma" w:hAnsi="Tahoma" w:cs="Tahoma"/>
        <w:sz w:val="18"/>
        <w:szCs w:val="18"/>
        <w:rtl/>
      </w:rPr>
      <w:t>3</w:t>
    </w:r>
    <w:r w:rsidRPr="00F94EB4" w:rsidR="002427C4">
      <w:rPr>
        <w:rFonts w:ascii="Tahoma" w:hAnsi="Tahoma" w:cs="Tahoma"/>
        <w:sz w:val="18"/>
        <w:szCs w:val="18"/>
        <w:rtl/>
      </w:rPr>
      <w:fldChar w:fldCharType="end"/>
    </w:r>
    <w:r w:rsidRPr="00F94EB4">
      <w:rPr>
        <w:rFonts w:ascii="Tahoma" w:hAnsi="Tahoma" w:cs="Tahoma"/>
        <w:sz w:val="18"/>
        <w:szCs w:val="18"/>
      </w:rPr>
      <w:t xml:space="preserve"> </w:t>
    </w:r>
    <w:r w:rsidR="002427C4">
      <w:rPr>
        <w:rFonts w:ascii="Tahoma" w:hAnsi="Tahoma" w:cs="Tahoma"/>
        <w:sz w:val="18"/>
        <w:szCs w:val="18"/>
      </w:rPr>
      <w:t xml:space="preserve">  </w:t>
    </w:r>
    <w:r w:rsidRPr="00F94EB4">
      <w:rPr>
        <w:rFonts w:ascii="Tahoma" w:hAnsi="Tahoma" w:cs="Tahoma"/>
        <w:sz w:val="18"/>
        <w:szCs w:val="18"/>
        <w:rtl/>
      </w:rPr>
      <w:t xml:space="preserve"> </w:t>
    </w:r>
    <w:r>
      <w:rPr>
        <w:rFonts w:ascii="Tahoma" w:hAnsi="Tahoma" w:cs="Tahoma" w:hint="cs"/>
        <w:sz w:val="18"/>
        <w:szCs w:val="18"/>
        <w:rtl/>
      </w:rPr>
      <w:t>|</w:t>
    </w:r>
  </w:p>
  <w:p w:rsidR="00DA4697" w:rsidP="005B086D" w14:paraId="12CBD4D4" w14:textId="61FA3D4C">
    <w:pPr>
      <w:pStyle w:val="Footer"/>
      <w:spacing w:after="120" w:line="312" w:lineRule="auto"/>
      <w:ind w:right="-567"/>
      <w:jc w:val="right"/>
      <w:rPr>
        <w:rFonts w:ascii="Tahoma" w:hAnsi="Tahoma" w:cs="Tahoma"/>
        <w:sz w:val="18"/>
        <w:szCs w:val="18"/>
        <w:rtl/>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A4697" w:rsidRPr="00D15500" w:rsidP="00D15500" w14:paraId="3078F9E1" w14:textId="77777777">
    <w:pPr>
      <w:pStyle w:val="Footer"/>
      <w:spacing w:after="120" w:line="312" w:lineRule="auto"/>
      <w:jc w:val="right"/>
      <w:rPr>
        <w:rFonts w:ascii="Tahoma" w:hAnsi="Tahoma" w:cs="Tahoma"/>
        <w:color w:val="002060"/>
        <w:sz w:val="18"/>
        <w:szCs w:val="18"/>
      </w:rPr>
    </w:pPr>
    <w:bookmarkStart w:id="2" w:name="tempMark"/>
    <w:bookmarkEnd w:id="2"/>
    <w:r w:rsidRPr="00D15500">
      <w:rPr>
        <w:rFonts w:ascii="Tahoma" w:hAnsi="Tahoma" w:cs="Tahoma"/>
        <w:color w:val="002060"/>
        <w:sz w:val="18"/>
        <w:szCs w:val="18"/>
        <w:rtl/>
      </w:rPr>
      <w:t>ה</w:t>
    </w:r>
    <w:r>
      <w:rPr>
        <w:rFonts w:ascii="Tahoma" w:hAnsi="Tahoma" w:cs="Tahoma"/>
        <w:color w:val="002060"/>
        <w:sz w:val="18"/>
        <w:szCs w:val="18"/>
        <w:rtl/>
      </w:rPr>
      <w:t>היערכות לתחרות בנמלי הים</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5C4BE0" w:rsidP="00DC2873" w14:paraId="1A9992A2" w14:textId="77777777">
      <w:pPr>
        <w:spacing w:line="240" w:lineRule="auto"/>
        <w:jc w:val="right"/>
      </w:pPr>
      <w:r>
        <w:separator/>
      </w:r>
    </w:p>
  </w:footnote>
  <w:footnote w:type="continuationSeparator" w:id="1">
    <w:p w:rsidR="005C4BE0" w:rsidP="00C23CC9" w14:paraId="258C017E" w14:textId="77777777">
      <w:pPr>
        <w:spacing w:line="240" w:lineRule="auto"/>
      </w:pPr>
      <w:r>
        <w:continuationSeparator/>
      </w:r>
    </w:p>
    <w:p w:rsidR="005C4BE0" w14:paraId="07220150"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12792" w:rsidRPr="00D15500" w:rsidP="005B4811" w14:paraId="55D4C8FD" w14:textId="7B0CF846">
    <w:pPr>
      <w:pStyle w:val="Header"/>
      <w:tabs>
        <w:tab w:val="center" w:pos="457"/>
        <w:tab w:val="clear" w:pos="4153"/>
        <w:tab w:val="clear" w:pos="8306"/>
      </w:tabs>
      <w:spacing w:line="312" w:lineRule="auto"/>
      <w:jc w:val="left"/>
      <w:rPr>
        <w:rFonts w:ascii="Tahoma" w:hAnsi="Tahoma" w:cs="Tahoma"/>
        <w:color w:val="002060"/>
        <w:sz w:val="18"/>
        <w:szCs w:val="18"/>
        <w:rt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A4697" w:rsidP="007255AF" w14:paraId="5CDEE855" w14:textId="6E6B1005">
    <w:pPr>
      <w:pStyle w:val="Header"/>
      <w:tabs>
        <w:tab w:val="left" w:pos="493"/>
        <w:tab w:val="center" w:pos="4111"/>
        <w:tab w:val="clear" w:pos="4153"/>
        <w:tab w:val="right" w:pos="7478"/>
        <w:tab w:val="right" w:pos="8222"/>
        <w:tab w:val="clear" w:pos="8306"/>
      </w:tabs>
      <w:jc w:val="left"/>
      <w:rPr>
        <w:rFonts w:ascii="Tahoma" w:hAnsi="Tahoma" w:cs="Tahoma"/>
        <w:color w:val="002060"/>
        <w:sz w:val="18"/>
        <w:szCs w:val="18"/>
      </w:rPr>
    </w:pPr>
    <w:r>
      <w:rPr>
        <w:noProof/>
        <w:rtl/>
        <w:lang w:val="he-IL"/>
      </w:rPr>
      <mc:AlternateContent>
        <mc:Choice Requires="wps">
          <w:drawing>
            <wp:anchor distT="0" distB="0" distL="114300" distR="114300" simplePos="0" relativeHeight="251675648" behindDoc="1" locked="0" layoutInCell="1" allowOverlap="1">
              <wp:simplePos x="0" y="0"/>
              <wp:positionH relativeFrom="margin">
                <wp:posOffset>-916305</wp:posOffset>
              </wp:positionH>
              <wp:positionV relativeFrom="margin">
                <wp:posOffset>-1051560</wp:posOffset>
              </wp:positionV>
              <wp:extent cx="6479540" cy="8999855"/>
              <wp:effectExtent l="0" t="0" r="16510" b="10795"/>
              <wp:wrapNone/>
              <wp:docPr id="577" name="Text Box 577"/>
              <wp:cNvGraphicFramePr/>
              <a:graphic xmlns:a="http://schemas.openxmlformats.org/drawingml/2006/main">
                <a:graphicData uri="http://schemas.microsoft.com/office/word/2010/wordprocessingShape">
                  <wps:wsp xmlns:wps="http://schemas.microsoft.com/office/word/2010/wordprocessingShape">
                    <wps:cNvSpPr txBox="1"/>
                    <wps:spPr>
                      <a:xfrm>
                        <a:off x="0" y="0"/>
                        <a:ext cx="6479540" cy="8999855"/>
                      </a:xfrm>
                      <a:prstGeom prst="rect">
                        <a:avLst/>
                      </a:prstGeom>
                      <a:noFill/>
                      <a:ln w="3175">
                        <a:solidFill>
                          <a:schemeClr val="bg1">
                            <a:lumMod val="65000"/>
                          </a:schemeClr>
                        </a:solidFill>
                        <a:prstDash val="lgDash"/>
                      </a:ln>
                    </wps:spPr>
                    <wps:txbx>
                      <w:txbxContent>
                        <w:p w:rsidR="00E82EA3" w:rsidRPr="00DE3ECA" w:rsidP="00E82EA3" w14:textId="77777777">
                          <w:pPr>
                            <w:rPr>
                              <w:color w:val="FFFFFF" w:themeColor="background1"/>
                              <w14:textOutline w14:w="12700" w14:cap="rnd" w14:cmpd="dbl">
                                <w14:solidFill>
                                  <w14:srgbClr w14:val="00B050"/>
                                </w14:solidFill>
                                <w14:prstDash w14:val="sys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77" o:spid="_x0000_s2049" type="#_x0000_t202" style="width:510.2pt;height:708.65pt;margin-top:-82.8pt;margin-left:-72.1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39808" filled="f" strokecolor="#a5a5a5" strokeweight="0.25pt">
              <v:stroke dashstyle="longDash"/>
              <v:textbox>
                <w:txbxContent>
                  <w:p w:rsidR="00E82EA3" w:rsidRPr="00DE3ECA" w:rsidP="00E82EA3" w14:paraId="15A155EC" w14:textId="77777777">
                    <w:pPr>
                      <w:rPr>
                        <w:color w:val="FFFFFF" w:themeColor="background1"/>
                        <w14:textOutline w14:w="12700" w14:cap="rnd" w14:cmpd="dbl">
                          <w14:solidFill>
                            <w14:srgbClr w14:val="00B050"/>
                          </w14:solidFill>
                          <w14:prstDash w14:val="sysDash"/>
                          <w14:bevel/>
                        </w14:textOutline>
                      </w:rPr>
                    </w:pPr>
                  </w:p>
                </w:txbxContent>
              </v:textbox>
              <w10:wrap anchorx="margin" anchory="margin"/>
            </v:shape>
          </w:pict>
        </mc:Fallback>
      </mc:AlternateContent>
    </w:r>
  </w:p>
  <w:p w:rsidR="00DA4697" w:rsidP="00F2565F" w14:paraId="5465C61E" w14:textId="1F98A940">
    <w:pPr>
      <w:pStyle w:val="Header"/>
      <w:tabs>
        <w:tab w:val="left" w:pos="493"/>
        <w:tab w:val="center" w:pos="4111"/>
        <w:tab w:val="clear" w:pos="4153"/>
        <w:tab w:val="right" w:pos="7478"/>
        <w:tab w:val="right" w:pos="8222"/>
        <w:tab w:val="clear" w:pos="8306"/>
      </w:tabs>
      <w:jc w:val="right"/>
      <w:rPr>
        <w:rFonts w:ascii="Tahoma" w:hAnsi="Tahoma" w:cs="Tahoma"/>
        <w:color w:val="002060"/>
        <w:sz w:val="18"/>
        <w:szCs w:val="18"/>
      </w:rPr>
    </w:pPr>
  </w:p>
  <w:p w:rsidR="00DA4697" w:rsidP="007255AF" w14:paraId="268AFC17" w14:textId="52018CDE">
    <w:pPr>
      <w:pStyle w:val="Header"/>
      <w:tabs>
        <w:tab w:val="left" w:pos="493"/>
        <w:tab w:val="center" w:pos="4111"/>
        <w:tab w:val="clear" w:pos="4153"/>
        <w:tab w:val="right" w:pos="7478"/>
        <w:tab w:val="right" w:pos="8222"/>
        <w:tab w:val="clear" w:pos="8306"/>
      </w:tabs>
      <w:jc w:val="left"/>
      <w:rPr>
        <w:rFonts w:ascii="Tahoma" w:hAnsi="Tahoma" w:cs="Tahoma"/>
        <w:color w:val="002060"/>
        <w:sz w:val="18"/>
        <w:szCs w:val="18"/>
      </w:rPr>
    </w:pPr>
  </w:p>
  <w:p w:rsidR="00DA4697" w:rsidP="007255AF" w14:paraId="3BA5282B" w14:textId="0DF822A9">
    <w:pPr>
      <w:pStyle w:val="Header"/>
      <w:tabs>
        <w:tab w:val="left" w:pos="493"/>
        <w:tab w:val="center" w:pos="4111"/>
        <w:tab w:val="clear" w:pos="4153"/>
        <w:tab w:val="right" w:pos="7478"/>
        <w:tab w:val="right" w:pos="8222"/>
        <w:tab w:val="clear" w:pos="8306"/>
      </w:tabs>
      <w:jc w:val="left"/>
      <w:rPr>
        <w:rFonts w:ascii="Tahoma" w:hAnsi="Tahoma" w:cs="Tahoma"/>
        <w:color w:val="002060"/>
        <w:sz w:val="18"/>
        <w:szCs w:val="18"/>
      </w:rPr>
    </w:pPr>
  </w:p>
  <w:p w:rsidR="00DA4697" w:rsidP="00A33696" w14:paraId="0929BB0C" w14:textId="1934D3DE">
    <w:pPr>
      <w:pStyle w:val="Header"/>
      <w:tabs>
        <w:tab w:val="left" w:pos="493"/>
        <w:tab w:val="clear" w:pos="4153"/>
        <w:tab w:val="left" w:pos="5150"/>
        <w:tab w:val="clear" w:pos="8306"/>
      </w:tabs>
      <w:rPr>
        <w:rtl/>
      </w:rPr>
    </w:pPr>
    <w:r w:rsidRPr="006637B9">
      <w:rPr>
        <w:rFonts w:ascii="Tahoma" w:hAnsi="Tahoma" w:cs="Tahoma"/>
        <w:noProof/>
        <w:color w:val="002060"/>
        <w:sz w:val="18"/>
        <w:szCs w:val="18"/>
      </w:rPr>
      <mc:AlternateContent>
        <mc:Choice Requires="wps">
          <w:drawing>
            <wp:anchor distT="0" distB="0" distL="114300" distR="114300" simplePos="0" relativeHeight="251658240" behindDoc="0" locked="0" layoutInCell="1" allowOverlap="1">
              <wp:simplePos x="0" y="0"/>
              <wp:positionH relativeFrom="column">
                <wp:posOffset>236583</wp:posOffset>
              </wp:positionH>
              <wp:positionV relativeFrom="paragraph">
                <wp:posOffset>66675</wp:posOffset>
              </wp:positionV>
              <wp:extent cx="3281680" cy="280670"/>
              <wp:effectExtent l="0" t="0" r="0" b="4445"/>
              <wp:wrapSquare wrapText="bothSides"/>
              <wp:docPr id="18"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281680" cy="280670"/>
                      </a:xfrm>
                      <a:prstGeom prst="rect">
                        <a:avLst/>
                      </a:prstGeom>
                      <a:solidFill>
                        <a:srgbClr val="FFFFFF"/>
                      </a:solidFill>
                      <a:ln w="9525">
                        <a:noFill/>
                        <a:miter lim="800000"/>
                        <a:headEnd/>
                        <a:tailEnd/>
                      </a:ln>
                    </wps:spPr>
                    <wps:txbx>
                      <w:txbxContent>
                        <w:p w:rsidR="00DA4697" w:rsidRPr="0012741E" w:rsidP="006637B9" w14:textId="1B1914BF">
                          <w:pPr>
                            <w:jc w:val="left"/>
                            <w:rPr>
                              <w:sz w:val="15"/>
                              <w:szCs w:val="15"/>
                            </w:rPr>
                          </w:pPr>
                          <w:r>
                            <w:rPr>
                              <w:rFonts w:ascii="Tahoma" w:hAnsi="Tahoma" w:cs="Tahoma" w:hint="cs"/>
                              <w:color w:val="002060"/>
                              <w:sz w:val="18"/>
                              <w:szCs w:val="18"/>
                              <w:rtl/>
                            </w:rPr>
                            <w:t xml:space="preserve">        </w:t>
                          </w:r>
                          <w:r w:rsidR="00DA079E">
                            <w:rPr>
                              <w:rFonts w:ascii="Tahoma" w:hAnsi="Tahoma" w:cs="Tahoma" w:hint="cs"/>
                              <w:color w:val="002060"/>
                              <w:sz w:val="18"/>
                              <w:szCs w:val="18"/>
                              <w:rtl/>
                            </w:rPr>
                            <w:t xml:space="preserve">                                                         </w:t>
                          </w:r>
                          <w:r>
                            <w:rPr>
                              <w:rFonts w:ascii="Tahoma" w:hAnsi="Tahoma" w:cs="Tahoma" w:hint="cs"/>
                              <w:color w:val="002060"/>
                              <w:sz w:val="18"/>
                              <w:szCs w:val="18"/>
                              <w:rtl/>
                            </w:rPr>
                            <w:t xml:space="preserve"> </w:t>
                          </w:r>
                          <w:r w:rsidRPr="007824E3" w:rsidR="007824E3">
                            <w:rPr>
                              <w:rFonts w:ascii="Tahoma" w:hAnsi="Tahoma" w:cs="Tahoma"/>
                              <w:color w:val="0D0D0D" w:themeColor="text1" w:themeTint="F2"/>
                              <w:sz w:val="15"/>
                              <w:szCs w:val="15"/>
                            </w:rPr>
                            <w:t>Table of contents</w:t>
                          </w:r>
                        </w:p>
                      </w:txbxContent>
                    </wps:txbx>
                    <wps:bodyPr rot="0" vert="horz" wrap="square" lIns="91440" tIns="45720" rIns="91440" bIns="45720" anchor="t" anchorCtr="0">
                      <a:spAutoFit/>
                    </wps:bodyPr>
                  </wps:wsp>
                </a:graphicData>
              </a:graphic>
              <wp14:sizeRelH relativeFrom="margin">
                <wp14:pctWidth>0</wp14:pctWidth>
              </wp14:sizeRelH>
            </wp:anchor>
          </w:drawing>
        </mc:Choice>
        <mc:Fallback>
          <w:pict>
            <v:shape id="Text Box 2" o:spid="_x0000_s2050" type="#_x0000_t202" style="width:258.4pt;height:22.1pt;margin-top:5.25pt;margin-left:18.65pt;mso-width-percent:0;mso-width-relative:margin;mso-wrap-distance-bottom:0;mso-wrap-distance-left:9pt;mso-wrap-distance-right:9pt;mso-wrap-distance-top:0;mso-wrap-style:square;position:absolute;visibility:visible;v-text-anchor:top;z-index:251659264" stroked="f">
              <v:textbox style="mso-fit-shape-to-text:t">
                <w:txbxContent>
                  <w:p w:rsidR="00DA4697" w:rsidRPr="0012741E" w:rsidP="006637B9" w14:paraId="7647DFBB" w14:textId="1B1914BF">
                    <w:pPr>
                      <w:jc w:val="left"/>
                      <w:rPr>
                        <w:sz w:val="15"/>
                        <w:szCs w:val="15"/>
                      </w:rPr>
                    </w:pPr>
                    <w:r>
                      <w:rPr>
                        <w:rFonts w:ascii="Tahoma" w:hAnsi="Tahoma" w:cs="Tahoma" w:hint="cs"/>
                        <w:color w:val="002060"/>
                        <w:sz w:val="18"/>
                        <w:szCs w:val="18"/>
                        <w:rtl/>
                      </w:rPr>
                      <w:t xml:space="preserve">        </w:t>
                    </w:r>
                    <w:r w:rsidR="00DA079E">
                      <w:rPr>
                        <w:rFonts w:ascii="Tahoma" w:hAnsi="Tahoma" w:cs="Tahoma" w:hint="cs"/>
                        <w:color w:val="002060"/>
                        <w:sz w:val="18"/>
                        <w:szCs w:val="18"/>
                        <w:rtl/>
                      </w:rPr>
                      <w:t xml:space="preserve">                                                         </w:t>
                    </w:r>
                    <w:r>
                      <w:rPr>
                        <w:rFonts w:ascii="Tahoma" w:hAnsi="Tahoma" w:cs="Tahoma" w:hint="cs"/>
                        <w:color w:val="002060"/>
                        <w:sz w:val="18"/>
                        <w:szCs w:val="18"/>
                        <w:rtl/>
                      </w:rPr>
                      <w:t xml:space="preserve"> </w:t>
                    </w:r>
                    <w:r w:rsidRPr="007824E3" w:rsidR="007824E3">
                      <w:rPr>
                        <w:rFonts w:ascii="Tahoma" w:hAnsi="Tahoma" w:cs="Tahoma"/>
                        <w:color w:val="0D0D0D" w:themeColor="text1" w:themeTint="F2"/>
                        <w:sz w:val="15"/>
                        <w:szCs w:val="15"/>
                      </w:rPr>
                      <w:t>Table of contents</w:t>
                    </w:r>
                  </w:p>
                </w:txbxContent>
              </v:textbox>
              <w10:wrap type="square"/>
            </v:shape>
          </w:pict>
        </mc:Fallback>
      </mc:AlternateContent>
    </w:r>
    <w:r w:rsidR="00DA079E">
      <w:rPr>
        <w:noProof/>
      </w:rPr>
      <mc:AlternateContent>
        <mc:Choice Requires="wps">
          <w:drawing>
            <wp:anchor distT="0" distB="0" distL="114300" distR="114300" simplePos="0" relativeHeight="251666432" behindDoc="0" locked="0" layoutInCell="1" allowOverlap="1">
              <wp:simplePos x="0" y="0"/>
              <wp:positionH relativeFrom="column">
                <wp:posOffset>-60960</wp:posOffset>
              </wp:positionH>
              <wp:positionV relativeFrom="paragraph">
                <wp:posOffset>381635</wp:posOffset>
              </wp:positionV>
              <wp:extent cx="6235700" cy="0"/>
              <wp:effectExtent l="0" t="0" r="0" b="0"/>
              <wp:wrapNone/>
              <wp:docPr id="7" name="Straight Connector 7"/>
              <wp:cNvGraphicFramePr/>
              <a:graphic xmlns:a="http://schemas.openxmlformats.org/drawingml/2006/main">
                <a:graphicData uri="http://schemas.microsoft.com/office/word/2010/wordprocessingShape">
                  <wps:wsp xmlns:wps="http://schemas.microsoft.com/office/word/2010/wordprocessingShape">
                    <wps:cNvCnPr/>
                    <wps:spPr>
                      <a:xfrm flipH="1">
                        <a:off x="0" y="0"/>
                        <a:ext cx="6235700"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7" o:spid="_x0000_s2051" style="flip:x;mso-height-percent:0;mso-height-relative:margin;mso-width-percent:0;mso-width-relative:margin;mso-wrap-distance-bottom:0;mso-wrap-distance-left:9pt;mso-wrap-distance-right:9pt;mso-wrap-distance-top:0;mso-wrap-style:square;position:absolute;visibility:visible;z-index:251667456" from="-4.8pt,30.05pt" to="486.2pt,30.05pt" strokecolor="#0d0d0d" strokeweight="0.25pt"/>
          </w:pict>
        </mc:Fallback>
      </mc:AlternateContent>
    </w:r>
    <w:r w:rsidR="00DA079E">
      <w:rPr>
        <w:rFonts w:ascii="Tahoma" w:hAnsi="Tahoma" w:cs="Tahoma"/>
        <w:noProof/>
        <w:color w:val="002060"/>
        <w:sz w:val="18"/>
        <w:szCs w:val="18"/>
      </w:rPr>
      <w:drawing>
        <wp:anchor distT="0" distB="0" distL="114300" distR="114300" simplePos="0" relativeHeight="251677696" behindDoc="0" locked="0" layoutInCell="1" allowOverlap="1">
          <wp:simplePos x="0" y="0"/>
          <wp:positionH relativeFrom="column">
            <wp:posOffset>-8890</wp:posOffset>
          </wp:positionH>
          <wp:positionV relativeFrom="paragraph">
            <wp:posOffset>51435</wp:posOffset>
          </wp:positionV>
          <wp:extent cx="248285" cy="298450"/>
          <wp:effectExtent l="0" t="0" r="0" b="6350"/>
          <wp:wrapNone/>
          <wp:docPr id="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6"/>
                  <pic:cNvPicPr/>
                </pic:nvPicPr>
                <pic:blipFill>
                  <a:blip xmlns:r="http://schemas.openxmlformats.org/officeDocument/2006/relationships" r:embed="rId1">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a:xfrm>
                    <a:off x="0" y="0"/>
                    <a:ext cx="248285" cy="298450"/>
                  </a:xfrm>
                  <a:prstGeom prst="rect">
                    <a:avLst/>
                  </a:prstGeom>
                </pic:spPr>
              </pic:pic>
            </a:graphicData>
          </a:graphic>
          <wp14:sizeRelH relativeFrom="margin">
            <wp14:pctWidth>0</wp14:pctWidth>
          </wp14:sizeRelH>
          <wp14:sizeRelV relativeFrom="margin">
            <wp14:pctHeight>0</wp14:pctHeight>
          </wp14:sizeRelV>
        </wp:anchor>
      </w:drawing>
    </w:r>
    <w:r>
      <w:rPr>
        <w:rFonts w:ascii="Tahoma" w:hAnsi="Tahoma" w:cs="Tahoma"/>
        <w:color w:val="002060"/>
        <w:sz w:val="18"/>
        <w:szCs w:val="18"/>
      </w:rPr>
      <w:tab/>
    </w:r>
    <w:r>
      <w:rPr>
        <w:rtl/>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824E3" w:rsidP="007824E3" w14:paraId="4202EEF2" w14:textId="77777777">
    <w:pPr>
      <w:pStyle w:val="Header"/>
      <w:tabs>
        <w:tab w:val="left" w:pos="493"/>
        <w:tab w:val="center" w:pos="4111"/>
        <w:tab w:val="clear" w:pos="4153"/>
        <w:tab w:val="right" w:pos="7478"/>
        <w:tab w:val="right" w:pos="8222"/>
        <w:tab w:val="clear" w:pos="8306"/>
      </w:tabs>
      <w:jc w:val="left"/>
      <w:rPr>
        <w:rtl/>
      </w:rPr>
    </w:pPr>
    <w:r>
      <w:rPr>
        <w:noProof/>
        <w:rtl/>
        <w:lang w:val="he-IL"/>
      </w:rPr>
      <mc:AlternateContent>
        <mc:Choice Requires="wps">
          <w:drawing>
            <wp:anchor distT="0" distB="0" distL="114300" distR="114300" simplePos="0" relativeHeight="251697152" behindDoc="1" locked="0" layoutInCell="1" allowOverlap="1">
              <wp:simplePos x="0" y="0"/>
              <wp:positionH relativeFrom="margin">
                <wp:posOffset>-955675</wp:posOffset>
              </wp:positionH>
              <wp:positionV relativeFrom="margin">
                <wp:posOffset>-1052830</wp:posOffset>
              </wp:positionV>
              <wp:extent cx="6480000" cy="9000000"/>
              <wp:effectExtent l="0" t="0" r="16510" b="10795"/>
              <wp:wrapNone/>
              <wp:docPr id="37" name="Text Box 53"/>
              <wp:cNvGraphicFramePr/>
              <a:graphic xmlns:a="http://schemas.openxmlformats.org/drawingml/2006/main">
                <a:graphicData uri="http://schemas.microsoft.com/office/word/2010/wordprocessingShape">
                  <wps:wsp xmlns:wps="http://schemas.microsoft.com/office/word/2010/wordprocessingShape">
                    <wps:cNvSpPr txBox="1"/>
                    <wps:spPr>
                      <a:xfrm>
                        <a:off x="0" y="0"/>
                        <a:ext cx="6480000" cy="9000000"/>
                      </a:xfrm>
                      <a:prstGeom prst="rect">
                        <a:avLst/>
                      </a:prstGeom>
                      <a:noFill/>
                      <a:ln w="3175">
                        <a:solidFill>
                          <a:schemeClr val="bg1">
                            <a:lumMod val="65000"/>
                          </a:schemeClr>
                        </a:solidFill>
                        <a:prstDash val="lgDash"/>
                      </a:ln>
                    </wps:spPr>
                    <wps:txbx>
                      <w:txbxContent>
                        <w:p w:rsidR="007824E3" w:rsidRPr="00DE3ECA" w:rsidP="007824E3" w14:textId="77777777">
                          <w:pPr>
                            <w:rPr>
                              <w:color w:val="FFFFFF" w:themeColor="background1"/>
                              <w14:textOutline w14:w="12700" w14:cap="rnd" w14:cmpd="dbl">
                                <w14:solidFill>
                                  <w14:srgbClr w14:val="00B050"/>
                                </w14:solidFill>
                                <w14:prstDash w14:val="sys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3" o:spid="_x0000_s2052" type="#_x0000_t202" style="width:510.25pt;height:708.65pt;margin-top:-82.9pt;margin-left:-75.2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18304" filled="f" strokecolor="#a5a5a5" strokeweight="0.25pt">
              <v:stroke dashstyle="longDash"/>
              <v:textbox>
                <w:txbxContent>
                  <w:p w:rsidR="007824E3" w:rsidRPr="00DE3ECA" w:rsidP="007824E3" w14:paraId="6FE2AD2A" w14:textId="77777777">
                    <w:pPr>
                      <w:rPr>
                        <w:color w:val="FFFFFF" w:themeColor="background1"/>
                        <w14:textOutline w14:w="12700" w14:cap="rnd" w14:cmpd="dbl">
                          <w14:solidFill>
                            <w14:srgbClr w14:val="00B050"/>
                          </w14:solidFill>
                          <w14:prstDash w14:val="sysDash"/>
                          <w14:bevel/>
                        </w14:textOutline>
                      </w:rPr>
                    </w:pPr>
                  </w:p>
                </w:txbxContent>
              </v:textbox>
              <w10:wrap anchorx="margin" anchory="margin"/>
            </v:shape>
          </w:pict>
        </mc:Fallback>
      </mc:AlternateContent>
    </w:r>
  </w:p>
  <w:p w:rsidR="007824E3" w:rsidP="007824E3" w14:paraId="059598B4" w14:textId="77777777">
    <w:pPr>
      <w:pStyle w:val="Header"/>
      <w:tabs>
        <w:tab w:val="left" w:pos="493"/>
        <w:tab w:val="center" w:pos="4111"/>
        <w:tab w:val="clear" w:pos="4153"/>
        <w:tab w:val="right" w:pos="7478"/>
        <w:tab w:val="right" w:pos="8222"/>
        <w:tab w:val="clear" w:pos="8306"/>
      </w:tabs>
      <w:jc w:val="left"/>
      <w:rPr>
        <w:rtl/>
      </w:rPr>
    </w:pPr>
  </w:p>
  <w:p w:rsidR="007824E3" w:rsidP="007824E3" w14:paraId="570FDC40" w14:textId="77777777">
    <w:pPr>
      <w:pStyle w:val="Header"/>
      <w:tabs>
        <w:tab w:val="left" w:pos="493"/>
        <w:tab w:val="center" w:pos="4111"/>
        <w:tab w:val="clear" w:pos="4153"/>
        <w:tab w:val="right" w:pos="7478"/>
        <w:tab w:val="right" w:pos="8222"/>
        <w:tab w:val="clear" w:pos="8306"/>
      </w:tabs>
      <w:jc w:val="left"/>
      <w:rPr>
        <w:rtl/>
      </w:rPr>
    </w:pPr>
  </w:p>
  <w:p w:rsidR="007824E3" w:rsidRPr="001526AC" w:rsidP="007824E3" w14:paraId="16815932" w14:textId="77777777">
    <w:pPr>
      <w:pStyle w:val="Header"/>
      <w:tabs>
        <w:tab w:val="left" w:pos="493"/>
        <w:tab w:val="center" w:pos="4111"/>
        <w:tab w:val="clear" w:pos="4153"/>
        <w:tab w:val="right" w:pos="7478"/>
        <w:tab w:val="right" w:pos="8222"/>
        <w:tab w:val="clear" w:pos="8306"/>
      </w:tabs>
      <w:jc w:val="left"/>
      <w:rPr>
        <w:rtl/>
      </w:rPr>
    </w:pPr>
    <w:r w:rsidRPr="00BE3B4B">
      <w:rPr>
        <w:noProof/>
        <w:rtl/>
      </w:rPr>
      <mc:AlternateContent>
        <mc:Choice Requires="wps">
          <w:drawing>
            <wp:anchor distT="45720" distB="45720" distL="114300" distR="114300" simplePos="0" relativeHeight="251699200" behindDoc="0" locked="0" layoutInCell="1" allowOverlap="1">
              <wp:simplePos x="0" y="0"/>
              <wp:positionH relativeFrom="column">
                <wp:posOffset>-829544</wp:posOffset>
              </wp:positionH>
              <wp:positionV relativeFrom="paragraph">
                <wp:posOffset>221615</wp:posOffset>
              </wp:positionV>
              <wp:extent cx="5257800" cy="259080"/>
              <wp:effectExtent l="0" t="0" r="12700" b="7620"/>
              <wp:wrapNone/>
              <wp:docPr id="38"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257800" cy="259080"/>
                      </a:xfrm>
                      <a:prstGeom prst="rect">
                        <a:avLst/>
                      </a:prstGeom>
                      <a:solidFill>
                        <a:srgbClr val="FFFFFF"/>
                      </a:solidFill>
                      <a:ln w="9525">
                        <a:solidFill>
                          <a:schemeClr val="bg1"/>
                        </a:solidFill>
                        <a:miter lim="800000"/>
                        <a:headEnd/>
                        <a:tailEnd/>
                      </a:ln>
                    </wps:spPr>
                    <wps:txbx>
                      <w:txbxContent>
                        <w:p w:rsidR="007824E3" w:rsidRPr="00A4133B" w:rsidP="007824E3" w14:textId="15F04598">
                          <w:pPr>
                            <w:bidi w:val="0"/>
                            <w:jc w:val="right"/>
                            <w:rPr>
                              <w:color w:val="0D0D0D" w:themeColor="text1" w:themeTint="F2"/>
                              <w:sz w:val="16"/>
                              <w:szCs w:val="16"/>
                            </w:rPr>
                          </w:pPr>
                          <w:r w:rsidRPr="002F49AA">
                            <w:rPr>
                              <w:rFonts w:ascii="Tahoma" w:hAnsi="Tahoma" w:eastAsiaTheme="majorEastAsia" w:cs="Tahoma"/>
                              <w:noProof/>
                              <w:color w:val="0D0D0D" w:themeColor="text1" w:themeTint="F2"/>
                              <w:sz w:val="16"/>
                              <w:szCs w:val="16"/>
                            </w:rPr>
                            <w:t>Report of the State comptroller of Israel | January 2024</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_x0000_s2053" type="#_x0000_t202" style="width:414pt;height:20.4pt;margin-top:17.45pt;margin-left:-65.3pt;mso-height-percent:0;mso-height-relative:margin;mso-width-percent:0;mso-width-relative:margin;mso-wrap-distance-bottom:3.6pt;mso-wrap-distance-left:9pt;mso-wrap-distance-right:9pt;mso-wrap-distance-top:3.6pt;mso-wrap-style:square;position:absolute;visibility:visible;v-text-anchor:top;z-index:251700224" strokecolor="white">
              <v:textbox>
                <w:txbxContent>
                  <w:p w:rsidR="007824E3" w:rsidRPr="00A4133B" w:rsidP="007824E3" w14:paraId="11213535" w14:textId="15F04598">
                    <w:pPr>
                      <w:bidi w:val="0"/>
                      <w:jc w:val="right"/>
                      <w:rPr>
                        <w:color w:val="0D0D0D" w:themeColor="text1" w:themeTint="F2"/>
                        <w:sz w:val="16"/>
                        <w:szCs w:val="16"/>
                      </w:rPr>
                    </w:pPr>
                    <w:r w:rsidRPr="002F49AA">
                      <w:rPr>
                        <w:rFonts w:ascii="Tahoma" w:hAnsi="Tahoma" w:eastAsiaTheme="majorEastAsia" w:cs="Tahoma"/>
                        <w:noProof/>
                        <w:color w:val="0D0D0D" w:themeColor="text1" w:themeTint="F2"/>
                        <w:sz w:val="16"/>
                        <w:szCs w:val="16"/>
                      </w:rPr>
                      <w:t>Report of the State comptroller of Israel | January 2024</w:t>
                    </w:r>
                  </w:p>
                </w:txbxContent>
              </v:textbox>
            </v:shape>
          </w:pict>
        </mc:Fallback>
      </mc:AlternateContent>
    </w:r>
    <w:r>
      <w:rPr>
        <w:rFonts w:ascii="Tahoma" w:hAnsi="Tahoma" w:cs="Tahoma"/>
        <w:noProof/>
        <w:sz w:val="22"/>
        <w:szCs w:val="22"/>
        <w:rtl/>
        <w:lang w:val="he-IL"/>
      </w:rPr>
      <w:drawing>
        <wp:anchor distT="0" distB="0" distL="114300" distR="114300" simplePos="0" relativeHeight="251702272" behindDoc="0" locked="0" layoutInCell="1" allowOverlap="1">
          <wp:simplePos x="0" y="0"/>
          <wp:positionH relativeFrom="column">
            <wp:posOffset>4415289</wp:posOffset>
          </wp:positionH>
          <wp:positionV relativeFrom="paragraph">
            <wp:posOffset>217805</wp:posOffset>
          </wp:positionV>
          <wp:extent cx="343535" cy="240030"/>
          <wp:effectExtent l="0" t="0" r="0" b="1270"/>
          <wp:wrapSquare wrapText="bothSides"/>
          <wp:docPr id="4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10"/>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43535" cy="240030"/>
                  </a:xfrm>
                  <a:prstGeom prst="rect">
                    <a:avLst/>
                  </a:prstGeom>
                </pic:spPr>
              </pic:pic>
            </a:graphicData>
          </a:graphic>
          <wp14:sizeRelH relativeFrom="margin">
            <wp14:pctWidth>0</wp14:pctWidth>
          </wp14:sizeRelH>
          <wp14:sizeRelV relativeFrom="margin">
            <wp14:pctHeight>0</wp14:pctHeight>
          </wp14:sizeRelV>
        </wp:anchor>
      </w:drawing>
    </w:r>
    <w:r w:rsidRPr="00BE3B4B">
      <w:rPr>
        <w:noProof/>
        <w:szCs w:val="20"/>
        <w:rtl/>
      </w:rPr>
      <w:drawing>
        <wp:anchor distT="0" distB="0" distL="114300" distR="114300" simplePos="0" relativeHeight="251701248" behindDoc="0" locked="0" layoutInCell="1" allowOverlap="1">
          <wp:simplePos x="0" y="0"/>
          <wp:positionH relativeFrom="column">
            <wp:posOffset>8819515</wp:posOffset>
          </wp:positionH>
          <wp:positionV relativeFrom="paragraph">
            <wp:posOffset>248285</wp:posOffset>
          </wp:positionV>
          <wp:extent cx="343535" cy="240030"/>
          <wp:effectExtent l="0" t="0" r="0" b="1270"/>
          <wp:wrapSquare wrapText="bothSides"/>
          <wp:docPr id="4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10"/>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43535" cy="24003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95104" behindDoc="0" locked="0" layoutInCell="1" allowOverlap="1">
              <wp:simplePos x="0" y="0"/>
              <wp:positionH relativeFrom="column">
                <wp:posOffset>-2910840</wp:posOffset>
              </wp:positionH>
              <wp:positionV relativeFrom="paragraph">
                <wp:posOffset>491490</wp:posOffset>
              </wp:positionV>
              <wp:extent cx="7620635" cy="0"/>
              <wp:effectExtent l="0" t="0" r="0" b="0"/>
              <wp:wrapNone/>
              <wp:docPr id="39" name="Straight Connector 634"/>
              <wp:cNvGraphicFramePr/>
              <a:graphic xmlns:a="http://schemas.openxmlformats.org/drawingml/2006/main">
                <a:graphicData uri="http://schemas.microsoft.com/office/word/2010/wordprocessingShape">
                  <wps:wsp xmlns:wps="http://schemas.microsoft.com/office/word/2010/wordprocessingShape">
                    <wps:cNvCnPr/>
                    <wps:spPr>
                      <a:xfrm flipH="1">
                        <a:off x="0" y="0"/>
                        <a:ext cx="7620635"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34" o:spid="_x0000_s2054" style="flip:x;mso-height-percent:0;mso-height-relative:margin;mso-width-percent:0;mso-width-relative:margin;mso-wrap-distance-bottom:0;mso-wrap-distance-left:9pt;mso-wrap-distance-right:9pt;mso-wrap-distance-top:0;mso-wrap-style:square;position:absolute;visibility:visible;z-index:251696128" from="-229.2pt,38.7pt" to="370.85pt,38.7pt" strokecolor="#0d0d0d" strokeweight="0.25pt"/>
          </w:pict>
        </mc:Fallback>
      </mc:AlternateContent>
    </w:r>
  </w:p>
  <w:p w:rsidR="00DA4697" w:rsidRPr="007824E3" w:rsidP="007824E3" w14:paraId="7C0E7E90" w14:textId="753E3E23">
    <w:pPr>
      <w:pStyle w:val="Header"/>
      <w:rPr>
        <w:szCs w:val="20"/>
        <w:rtl/>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63A3A" w:rsidP="00A63A3A" w14:paraId="3011010F" w14:textId="0BD51AD2">
    <w:pPr>
      <w:pStyle w:val="Header"/>
      <w:tabs>
        <w:tab w:val="left" w:pos="493"/>
        <w:tab w:val="center" w:pos="4111"/>
        <w:tab w:val="clear" w:pos="4153"/>
        <w:tab w:val="right" w:pos="7478"/>
        <w:tab w:val="right" w:pos="8222"/>
        <w:tab w:val="clear" w:pos="8306"/>
      </w:tabs>
      <w:jc w:val="left"/>
      <w:rPr>
        <w:rtl/>
      </w:rPr>
    </w:pPr>
    <w:r>
      <w:rPr>
        <w:noProof/>
        <w:rtl/>
        <w:lang w:val="he-IL"/>
      </w:rPr>
      <mc:AlternateContent>
        <mc:Choice Requires="wps">
          <w:drawing>
            <wp:anchor distT="0" distB="0" distL="114300" distR="114300" simplePos="0" relativeHeight="251678720" behindDoc="1" locked="0" layoutInCell="1" allowOverlap="1">
              <wp:simplePos x="0" y="0"/>
              <wp:positionH relativeFrom="margin">
                <wp:posOffset>-955675</wp:posOffset>
              </wp:positionH>
              <wp:positionV relativeFrom="margin">
                <wp:posOffset>-1052830</wp:posOffset>
              </wp:positionV>
              <wp:extent cx="6480000" cy="9000000"/>
              <wp:effectExtent l="0" t="0" r="16510" b="10795"/>
              <wp:wrapNone/>
              <wp:docPr id="12" name="Text Box 53"/>
              <wp:cNvGraphicFramePr/>
              <a:graphic xmlns:a="http://schemas.openxmlformats.org/drawingml/2006/main">
                <a:graphicData uri="http://schemas.microsoft.com/office/word/2010/wordprocessingShape">
                  <wps:wsp xmlns:wps="http://schemas.microsoft.com/office/word/2010/wordprocessingShape">
                    <wps:cNvSpPr txBox="1"/>
                    <wps:spPr>
                      <a:xfrm>
                        <a:off x="0" y="0"/>
                        <a:ext cx="6480000" cy="9000000"/>
                      </a:xfrm>
                      <a:prstGeom prst="rect">
                        <a:avLst/>
                      </a:prstGeom>
                      <a:noFill/>
                      <a:ln w="3175">
                        <a:solidFill>
                          <a:schemeClr val="bg1">
                            <a:lumMod val="65000"/>
                          </a:schemeClr>
                        </a:solidFill>
                        <a:prstDash val="lgDash"/>
                      </a:ln>
                    </wps:spPr>
                    <wps:txbx>
                      <w:txbxContent>
                        <w:p w:rsidR="00A63A3A" w:rsidRPr="00DE3ECA" w:rsidP="00A63A3A" w14:textId="77777777">
                          <w:pPr>
                            <w:rPr>
                              <w:color w:val="FFFFFF" w:themeColor="background1"/>
                              <w14:textOutline w14:w="12700" w14:cap="rnd" w14:cmpd="dbl">
                                <w14:solidFill>
                                  <w14:srgbClr w14:val="00B050"/>
                                </w14:solidFill>
                                <w14:prstDash w14:val="sys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2055" type="#_x0000_t202" style="width:510.25pt;height:708.65pt;margin-top:-82.9pt;margin-left:-75.2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36736" filled="f" strokecolor="#a5a5a5" strokeweight="0.25pt">
              <v:stroke dashstyle="longDash"/>
              <v:textbox>
                <w:txbxContent>
                  <w:p w:rsidR="00A63A3A" w:rsidRPr="00DE3ECA" w:rsidP="00A63A3A" w14:paraId="6281FE98" w14:textId="77777777">
                    <w:pPr>
                      <w:rPr>
                        <w:color w:val="FFFFFF" w:themeColor="background1"/>
                        <w14:textOutline w14:w="12700" w14:cap="rnd" w14:cmpd="dbl">
                          <w14:solidFill>
                            <w14:srgbClr w14:val="00B050"/>
                          </w14:solidFill>
                          <w14:prstDash w14:val="sysDash"/>
                          <w14:bevel/>
                        </w14:textOutline>
                      </w:rPr>
                    </w:pPr>
                  </w:p>
                </w:txbxContent>
              </v:textbox>
              <w10:wrap anchorx="margin" anchory="margin"/>
            </v:shape>
          </w:pict>
        </mc:Fallback>
      </mc:AlternateContent>
    </w:r>
  </w:p>
  <w:p w:rsidR="00A63A3A" w:rsidP="00A63A3A" w14:paraId="17626F3F" w14:textId="0FDC222B">
    <w:pPr>
      <w:pStyle w:val="Header"/>
      <w:tabs>
        <w:tab w:val="left" w:pos="493"/>
        <w:tab w:val="center" w:pos="4111"/>
        <w:tab w:val="clear" w:pos="4153"/>
        <w:tab w:val="right" w:pos="7478"/>
        <w:tab w:val="right" w:pos="8222"/>
        <w:tab w:val="clear" w:pos="8306"/>
      </w:tabs>
      <w:jc w:val="left"/>
      <w:rPr>
        <w:rtl/>
      </w:rPr>
    </w:pPr>
  </w:p>
  <w:p w:rsidR="00A63A3A" w:rsidP="00A63A3A" w14:paraId="365292B6" w14:textId="7894F2B4">
    <w:pPr>
      <w:pStyle w:val="Header"/>
      <w:tabs>
        <w:tab w:val="left" w:pos="493"/>
        <w:tab w:val="center" w:pos="4111"/>
        <w:tab w:val="clear" w:pos="4153"/>
        <w:tab w:val="right" w:pos="7478"/>
        <w:tab w:val="right" w:pos="8222"/>
        <w:tab w:val="clear" w:pos="8306"/>
      </w:tabs>
      <w:jc w:val="left"/>
    </w:pPr>
  </w:p>
  <w:p w:rsidR="00A63A3A" w:rsidP="00A63A3A" w14:paraId="08A56AD5" w14:textId="71260E3B">
    <w:pPr>
      <w:pStyle w:val="Header"/>
      <w:tabs>
        <w:tab w:val="left" w:pos="493"/>
        <w:tab w:val="center" w:pos="4111"/>
        <w:tab w:val="clear" w:pos="4153"/>
        <w:tab w:val="right" w:pos="7478"/>
        <w:tab w:val="right" w:pos="8222"/>
        <w:tab w:val="clear" w:pos="8306"/>
      </w:tabs>
      <w:jc w:val="left"/>
      <w:rPr>
        <w:rtl/>
      </w:rPr>
    </w:pPr>
    <w:r w:rsidRPr="00A63A3A">
      <w:rPr>
        <w:noProof/>
        <w:rtl/>
      </w:rPr>
      <mc:AlternateContent>
        <mc:Choice Requires="wps">
          <w:drawing>
            <wp:anchor distT="45720" distB="45720" distL="114300" distR="114300" simplePos="0" relativeHeight="251682816" behindDoc="0" locked="0" layoutInCell="1" allowOverlap="1">
              <wp:simplePos x="0" y="0"/>
              <wp:positionH relativeFrom="column">
                <wp:posOffset>-581660</wp:posOffset>
              </wp:positionH>
              <wp:positionV relativeFrom="paragraph">
                <wp:posOffset>169496</wp:posOffset>
              </wp:positionV>
              <wp:extent cx="5258301" cy="259080"/>
              <wp:effectExtent l="0" t="0" r="12700" b="7620"/>
              <wp:wrapNone/>
              <wp:docPr id="17"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258301" cy="259080"/>
                      </a:xfrm>
                      <a:prstGeom prst="rect">
                        <a:avLst/>
                      </a:prstGeom>
                      <a:solidFill>
                        <a:srgbClr val="FFFFFF"/>
                      </a:solidFill>
                      <a:ln w="9525">
                        <a:solidFill>
                          <a:schemeClr val="bg1"/>
                        </a:solidFill>
                        <a:miter lim="800000"/>
                        <a:headEnd/>
                        <a:tailEnd/>
                      </a:ln>
                    </wps:spPr>
                    <wps:txbx>
                      <w:txbxContent>
                        <w:p w:rsidR="00A63A3A" w:rsidRPr="00F01BFA" w:rsidP="00A63A3A" w14:textId="5F32F50F">
                          <w:pPr>
                            <w:bidi w:val="0"/>
                            <w:jc w:val="right"/>
                            <w:rPr>
                              <w:color w:val="0D0D0D" w:themeColor="text1" w:themeTint="F2"/>
                              <w:sz w:val="16"/>
                              <w:szCs w:val="16"/>
                            </w:rPr>
                          </w:pPr>
                          <w:r w:rsidRPr="00B963A6">
                            <w:rPr>
                              <w:rFonts w:ascii="Tahoma" w:hAnsi="Tahoma" w:eastAsiaTheme="majorEastAsia" w:cs="Tahoma"/>
                              <w:noProof/>
                              <w:color w:val="0D0D0D" w:themeColor="text1" w:themeTint="F2"/>
                              <w:sz w:val="16"/>
                              <w:szCs w:val="16"/>
                            </w:rPr>
                            <w:t xml:space="preserve">Report of the State Comptroller of Israel </w:t>
                          </w:r>
                          <w:r w:rsidRPr="001E4DB9" w:rsidR="002F6D6C">
                            <w:rPr>
                              <w:rFonts w:ascii="Tahoma" w:hAnsi="Tahoma" w:eastAsiaTheme="majorEastAsia" w:cs="Tahoma"/>
                              <w:noProof/>
                              <w:color w:val="0D0D0D" w:themeColor="text1" w:themeTint="F2"/>
                              <w:sz w:val="16"/>
                              <w:szCs w:val="16"/>
                            </w:rPr>
                            <w:t>| May 2024</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_x0000_s2056" type="#_x0000_t202" style="width:414.05pt;height:20.4pt;margin-top:13.35pt;margin-left:-45.8pt;mso-height-percent:0;mso-height-relative:margin;mso-width-percent:0;mso-width-relative:margin;mso-wrap-distance-bottom:3.6pt;mso-wrap-distance-left:9pt;mso-wrap-distance-right:9pt;mso-wrap-distance-top:3.6pt;mso-wrap-style:square;position:absolute;visibility:visible;v-text-anchor:top;z-index:251683840" strokecolor="white">
              <v:textbox>
                <w:txbxContent>
                  <w:p w:rsidR="00A63A3A" w:rsidRPr="00F01BFA" w:rsidP="00A63A3A" w14:paraId="7CCEAB29" w14:textId="5F32F50F">
                    <w:pPr>
                      <w:bidi w:val="0"/>
                      <w:jc w:val="right"/>
                      <w:rPr>
                        <w:color w:val="0D0D0D" w:themeColor="text1" w:themeTint="F2"/>
                        <w:sz w:val="16"/>
                        <w:szCs w:val="16"/>
                      </w:rPr>
                    </w:pPr>
                    <w:r w:rsidRPr="00B963A6">
                      <w:rPr>
                        <w:rFonts w:ascii="Tahoma" w:hAnsi="Tahoma" w:eastAsiaTheme="majorEastAsia" w:cs="Tahoma"/>
                        <w:noProof/>
                        <w:color w:val="0D0D0D" w:themeColor="text1" w:themeTint="F2"/>
                        <w:sz w:val="16"/>
                        <w:szCs w:val="16"/>
                      </w:rPr>
                      <w:t xml:space="preserve">Report of the State Comptroller of Israel </w:t>
                    </w:r>
                    <w:r w:rsidRPr="001E4DB9" w:rsidR="002F6D6C">
                      <w:rPr>
                        <w:rFonts w:ascii="Tahoma" w:hAnsi="Tahoma" w:eastAsiaTheme="majorEastAsia" w:cs="Tahoma"/>
                        <w:noProof/>
                        <w:color w:val="0D0D0D" w:themeColor="text1" w:themeTint="F2"/>
                        <w:sz w:val="16"/>
                        <w:szCs w:val="16"/>
                      </w:rPr>
                      <w:t>| May 2024</w:t>
                    </w:r>
                  </w:p>
                </w:txbxContent>
              </v:textbox>
            </v:shape>
          </w:pict>
        </mc:Fallback>
      </mc:AlternateContent>
    </w:r>
  </w:p>
  <w:p w:rsidR="00A76E5A" w:rsidRPr="00A63A3A" w:rsidP="00A63A3A" w14:paraId="767AEAC6" w14:textId="0BE5276C">
    <w:pPr>
      <w:pStyle w:val="Header"/>
    </w:pPr>
    <w:r>
      <w:rPr>
        <w:rFonts w:ascii="Tahoma" w:hAnsi="Tahoma" w:cs="Tahoma"/>
        <w:noProof/>
        <w:sz w:val="22"/>
        <w:szCs w:val="22"/>
        <w:rtl/>
        <w:lang w:val="he-IL"/>
      </w:rPr>
      <w:drawing>
        <wp:anchor distT="0" distB="0" distL="114300" distR="114300" simplePos="0" relativeHeight="251685888" behindDoc="0" locked="0" layoutInCell="1" allowOverlap="1">
          <wp:simplePos x="0" y="0"/>
          <wp:positionH relativeFrom="column">
            <wp:posOffset>4623435</wp:posOffset>
          </wp:positionH>
          <wp:positionV relativeFrom="paragraph">
            <wp:posOffset>18366</wp:posOffset>
          </wp:positionV>
          <wp:extent cx="343535" cy="240030"/>
          <wp:effectExtent l="0" t="0" r="0" b="1270"/>
          <wp:wrapSquare wrapText="bothSides"/>
          <wp:docPr id="1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0"/>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43535" cy="240030"/>
                  </a:xfrm>
                  <a:prstGeom prst="rect">
                    <a:avLst/>
                  </a:prstGeom>
                </pic:spPr>
              </pic:pic>
            </a:graphicData>
          </a:graphic>
          <wp14:sizeRelH relativeFrom="margin">
            <wp14:pctWidth>0</wp14:pctWidth>
          </wp14:sizeRelH>
          <wp14:sizeRelV relativeFrom="margin">
            <wp14:pctHeight>0</wp14:pctHeight>
          </wp14:sizeRelV>
        </wp:anchor>
      </w:drawing>
    </w:r>
    <w:r w:rsidRPr="00A63A3A">
      <w:rPr>
        <w:noProof/>
        <w:rtl/>
      </w:rPr>
      <mc:AlternateContent>
        <mc:Choice Requires="wps">
          <w:drawing>
            <wp:anchor distT="0" distB="0" distL="114300" distR="114300" simplePos="0" relativeHeight="251680768" behindDoc="0" locked="0" layoutInCell="1" allowOverlap="1">
              <wp:simplePos x="0" y="0"/>
              <wp:positionH relativeFrom="column">
                <wp:posOffset>-5214386</wp:posOffset>
              </wp:positionH>
              <wp:positionV relativeFrom="paragraph">
                <wp:posOffset>295910</wp:posOffset>
              </wp:positionV>
              <wp:extent cx="10142989" cy="0"/>
              <wp:effectExtent l="0" t="0" r="17145" b="12700"/>
              <wp:wrapNone/>
              <wp:docPr id="16" name="Straight Connector 634"/>
              <wp:cNvGraphicFramePr/>
              <a:graphic xmlns:a="http://schemas.openxmlformats.org/drawingml/2006/main">
                <a:graphicData uri="http://schemas.microsoft.com/office/word/2010/wordprocessingShape">
                  <wps:wsp xmlns:wps="http://schemas.microsoft.com/office/word/2010/wordprocessingShape">
                    <wps:cNvCnPr/>
                    <wps:spPr>
                      <a:xfrm flipH="1">
                        <a:off x="0" y="0"/>
                        <a:ext cx="10142989"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34" o:spid="_x0000_s2057" style="flip:x;mso-height-percent:0;mso-height-relative:margin;mso-width-percent:0;mso-width-relative:margin;mso-wrap-distance-bottom:0;mso-wrap-distance-left:9pt;mso-wrap-distance-right:9pt;mso-wrap-distance-top:0;mso-wrap-style:square;position:absolute;visibility:visible;z-index:251681792" from="-410.6pt,23.3pt" to="388.05pt,23.3pt" strokecolor="#0d0d0d" strokeweight="0.25pt"/>
          </w:pict>
        </mc:Fallback>
      </mc:AlternateContent>
    </w:r>
    <w:r w:rsidRPr="00A63A3A">
      <w:rPr>
        <w:noProof/>
        <w:szCs w:val="20"/>
        <w:rtl/>
      </w:rPr>
      <w:drawing>
        <wp:anchor distT="0" distB="0" distL="114300" distR="114300" simplePos="0" relativeHeight="251684864" behindDoc="0" locked="0" layoutInCell="1" allowOverlap="1">
          <wp:simplePos x="0" y="0"/>
          <wp:positionH relativeFrom="column">
            <wp:posOffset>7509510</wp:posOffset>
          </wp:positionH>
          <wp:positionV relativeFrom="paragraph">
            <wp:posOffset>176530</wp:posOffset>
          </wp:positionV>
          <wp:extent cx="343535" cy="240030"/>
          <wp:effectExtent l="0" t="0" r="0" b="7620"/>
          <wp:wrapSquare wrapText="bothSides"/>
          <wp:docPr id="2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10"/>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43535" cy="240030"/>
                  </a:xfrm>
                  <a:prstGeom prst="rect">
                    <a:avLst/>
                  </a:prstGeom>
                </pic:spPr>
              </pic:pic>
            </a:graphicData>
          </a:graphic>
          <wp14:sizeRelH relativeFrom="margin">
            <wp14:pctWidth>0</wp14:pctWidth>
          </wp14:sizeRelH>
          <wp14:sizeRelV relativeFrom="margin">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824E3" w:rsidP="007255AF" w14:paraId="52B9C41F" w14:textId="77777777">
    <w:pPr>
      <w:pStyle w:val="Header"/>
      <w:tabs>
        <w:tab w:val="left" w:pos="493"/>
        <w:tab w:val="center" w:pos="4111"/>
        <w:tab w:val="clear" w:pos="4153"/>
        <w:tab w:val="right" w:pos="7478"/>
        <w:tab w:val="right" w:pos="8222"/>
        <w:tab w:val="clear" w:pos="8306"/>
      </w:tabs>
      <w:jc w:val="left"/>
      <w:rPr>
        <w:rFonts w:ascii="Tahoma" w:hAnsi="Tahoma" w:cs="Tahoma"/>
        <w:color w:val="002060"/>
        <w:sz w:val="18"/>
        <w:szCs w:val="18"/>
      </w:rPr>
    </w:pPr>
    <w:r>
      <w:rPr>
        <w:noProof/>
        <w:rtl/>
        <w:lang w:val="he-IL"/>
      </w:rPr>
      <mc:AlternateContent>
        <mc:Choice Requires="wps">
          <w:drawing>
            <wp:anchor distT="0" distB="0" distL="114300" distR="114300" simplePos="0" relativeHeight="251707392" behindDoc="1" locked="0" layoutInCell="1" allowOverlap="1">
              <wp:simplePos x="0" y="0"/>
              <wp:positionH relativeFrom="margin">
                <wp:posOffset>-916305</wp:posOffset>
              </wp:positionH>
              <wp:positionV relativeFrom="margin">
                <wp:posOffset>-1051560</wp:posOffset>
              </wp:positionV>
              <wp:extent cx="6479540" cy="8999855"/>
              <wp:effectExtent l="0" t="0" r="16510" b="10795"/>
              <wp:wrapNone/>
              <wp:docPr id="42" name="Text Box 577"/>
              <wp:cNvGraphicFramePr/>
              <a:graphic xmlns:a="http://schemas.openxmlformats.org/drawingml/2006/main">
                <a:graphicData uri="http://schemas.microsoft.com/office/word/2010/wordprocessingShape">
                  <wps:wsp xmlns:wps="http://schemas.microsoft.com/office/word/2010/wordprocessingShape">
                    <wps:cNvSpPr txBox="1"/>
                    <wps:spPr>
                      <a:xfrm>
                        <a:off x="0" y="0"/>
                        <a:ext cx="6479540" cy="8999855"/>
                      </a:xfrm>
                      <a:prstGeom prst="rect">
                        <a:avLst/>
                      </a:prstGeom>
                      <a:noFill/>
                      <a:ln w="3175">
                        <a:solidFill>
                          <a:schemeClr val="bg1">
                            <a:lumMod val="65000"/>
                          </a:schemeClr>
                        </a:solidFill>
                        <a:prstDash val="lgDash"/>
                      </a:ln>
                    </wps:spPr>
                    <wps:txbx>
                      <w:txbxContent>
                        <w:p w:rsidR="007824E3" w:rsidRPr="00DE3ECA" w:rsidP="00E82EA3" w14:textId="77777777">
                          <w:pPr>
                            <w:rPr>
                              <w:color w:val="FFFFFF" w:themeColor="background1"/>
                              <w14:textOutline w14:w="12700" w14:cap="rnd" w14:cmpd="dbl">
                                <w14:solidFill>
                                  <w14:srgbClr w14:val="00B050"/>
                                </w14:solidFill>
                                <w14:prstDash w14:val="sys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2058" type="#_x0000_t202" style="width:510.2pt;height:708.65pt;margin-top:-82.8pt;margin-left:-72.1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08064" filled="f" strokecolor="#a5a5a5" strokeweight="0.25pt">
              <v:stroke dashstyle="longDash"/>
              <v:textbox>
                <w:txbxContent>
                  <w:p w:rsidR="007824E3" w:rsidRPr="00DE3ECA" w:rsidP="00E82EA3" w14:paraId="7A27461C" w14:textId="77777777">
                    <w:pPr>
                      <w:rPr>
                        <w:color w:val="FFFFFF" w:themeColor="background1"/>
                        <w14:textOutline w14:w="12700" w14:cap="rnd" w14:cmpd="dbl">
                          <w14:solidFill>
                            <w14:srgbClr w14:val="00B050"/>
                          </w14:solidFill>
                          <w14:prstDash w14:val="sysDash"/>
                          <w14:bevel/>
                        </w14:textOutline>
                      </w:rPr>
                    </w:pPr>
                  </w:p>
                </w:txbxContent>
              </v:textbox>
              <w10:wrap anchorx="margin" anchory="margin"/>
            </v:shape>
          </w:pict>
        </mc:Fallback>
      </mc:AlternateContent>
    </w:r>
  </w:p>
  <w:p w:rsidR="007824E3" w:rsidP="00F2565F" w14:paraId="3BA5B75F" w14:textId="77777777">
    <w:pPr>
      <w:pStyle w:val="Header"/>
      <w:tabs>
        <w:tab w:val="left" w:pos="493"/>
        <w:tab w:val="center" w:pos="4111"/>
        <w:tab w:val="clear" w:pos="4153"/>
        <w:tab w:val="right" w:pos="7478"/>
        <w:tab w:val="right" w:pos="8222"/>
        <w:tab w:val="clear" w:pos="8306"/>
      </w:tabs>
      <w:jc w:val="right"/>
      <w:rPr>
        <w:rFonts w:ascii="Tahoma" w:hAnsi="Tahoma" w:cs="Tahoma"/>
        <w:color w:val="002060"/>
        <w:sz w:val="18"/>
        <w:szCs w:val="18"/>
      </w:rPr>
    </w:pPr>
  </w:p>
  <w:p w:rsidR="007824E3" w:rsidP="007255AF" w14:paraId="5F7896BE" w14:textId="77777777">
    <w:pPr>
      <w:pStyle w:val="Header"/>
      <w:tabs>
        <w:tab w:val="left" w:pos="493"/>
        <w:tab w:val="center" w:pos="4111"/>
        <w:tab w:val="clear" w:pos="4153"/>
        <w:tab w:val="right" w:pos="7478"/>
        <w:tab w:val="right" w:pos="8222"/>
        <w:tab w:val="clear" w:pos="8306"/>
      </w:tabs>
      <w:jc w:val="left"/>
      <w:rPr>
        <w:rFonts w:ascii="Tahoma" w:hAnsi="Tahoma" w:cs="Tahoma"/>
        <w:color w:val="002060"/>
        <w:sz w:val="18"/>
        <w:szCs w:val="18"/>
      </w:rPr>
    </w:pPr>
  </w:p>
  <w:p w:rsidR="007824E3" w:rsidP="007255AF" w14:paraId="303BF20F" w14:textId="77777777">
    <w:pPr>
      <w:pStyle w:val="Header"/>
      <w:tabs>
        <w:tab w:val="left" w:pos="493"/>
        <w:tab w:val="center" w:pos="4111"/>
        <w:tab w:val="clear" w:pos="4153"/>
        <w:tab w:val="right" w:pos="7478"/>
        <w:tab w:val="right" w:pos="8222"/>
        <w:tab w:val="clear" w:pos="8306"/>
      </w:tabs>
      <w:jc w:val="left"/>
      <w:rPr>
        <w:rFonts w:ascii="Tahoma" w:hAnsi="Tahoma" w:cs="Tahoma"/>
        <w:color w:val="002060"/>
        <w:sz w:val="18"/>
        <w:szCs w:val="18"/>
      </w:rPr>
    </w:pPr>
  </w:p>
  <w:p w:rsidR="007824E3" w:rsidP="00A33696" w14:paraId="06C1E6AB" w14:textId="77777777">
    <w:pPr>
      <w:pStyle w:val="Header"/>
      <w:tabs>
        <w:tab w:val="left" w:pos="493"/>
        <w:tab w:val="clear" w:pos="4153"/>
        <w:tab w:val="left" w:pos="5150"/>
        <w:tab w:val="clear" w:pos="8306"/>
      </w:tabs>
      <w:rPr>
        <w:rtl/>
      </w:rPr>
    </w:pPr>
    <w:r w:rsidRPr="006637B9">
      <w:rPr>
        <w:rFonts w:ascii="Tahoma" w:hAnsi="Tahoma" w:cs="Tahoma"/>
        <w:noProof/>
        <w:color w:val="002060"/>
        <w:sz w:val="18"/>
        <w:szCs w:val="18"/>
      </w:rPr>
      <mc:AlternateContent>
        <mc:Choice Requires="wps">
          <w:drawing>
            <wp:anchor distT="0" distB="0" distL="114300" distR="114300" simplePos="0" relativeHeight="251703296" behindDoc="0" locked="0" layoutInCell="1" allowOverlap="1">
              <wp:simplePos x="0" y="0"/>
              <wp:positionH relativeFrom="column">
                <wp:posOffset>236583</wp:posOffset>
              </wp:positionH>
              <wp:positionV relativeFrom="paragraph">
                <wp:posOffset>66675</wp:posOffset>
              </wp:positionV>
              <wp:extent cx="3281680" cy="280670"/>
              <wp:effectExtent l="0" t="0" r="0" b="4445"/>
              <wp:wrapSquare wrapText="bothSides"/>
              <wp:docPr id="43"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281680" cy="280670"/>
                      </a:xfrm>
                      <a:prstGeom prst="rect">
                        <a:avLst/>
                      </a:prstGeom>
                      <a:solidFill>
                        <a:srgbClr val="FFFFFF"/>
                      </a:solidFill>
                      <a:ln w="9525">
                        <a:noFill/>
                        <a:miter lim="800000"/>
                        <a:headEnd/>
                        <a:tailEnd/>
                      </a:ln>
                    </wps:spPr>
                    <wps:txbx>
                      <w:txbxContent>
                        <w:p w:rsidR="007824E3" w:rsidRPr="0012741E" w:rsidP="007824E3" w14:textId="4AB78372">
                          <w:pPr>
                            <w:bidi w:val="0"/>
                            <w:jc w:val="left"/>
                            <w:rPr>
                              <w:sz w:val="15"/>
                              <w:szCs w:val="15"/>
                            </w:rPr>
                          </w:pPr>
                          <w:r>
                            <w:rPr>
                              <w:rFonts w:ascii="Tahoma" w:hAnsi="Tahoma" w:cs="Tahoma"/>
                              <w:color w:val="0D0D0D" w:themeColor="text1" w:themeTint="F2"/>
                              <w:sz w:val="15"/>
                              <w:szCs w:val="15"/>
                            </w:rPr>
                            <w:t>Foreword</w:t>
                          </w:r>
                        </w:p>
                      </w:txbxContent>
                    </wps:txbx>
                    <wps:bodyPr rot="0" vert="horz" wrap="square" lIns="91440" tIns="45720" rIns="91440" bIns="45720" anchor="t" anchorCtr="0">
                      <a:spAutoFit/>
                    </wps:bodyPr>
                  </wps:wsp>
                </a:graphicData>
              </a:graphic>
              <wp14:sizeRelH relativeFrom="margin">
                <wp14:pctWidth>0</wp14:pctWidth>
              </wp14:sizeRelH>
            </wp:anchor>
          </w:drawing>
        </mc:Choice>
        <mc:Fallback>
          <w:pict>
            <v:shape id="_x0000_s2059" type="#_x0000_t202" style="width:258.4pt;height:22.1pt;margin-top:5.25pt;margin-left:18.65pt;mso-width-percent:0;mso-width-relative:margin;mso-wrap-distance-bottom:0;mso-wrap-distance-left:9pt;mso-wrap-distance-right:9pt;mso-wrap-distance-top:0;mso-wrap-style:square;position:absolute;visibility:visible;v-text-anchor:top;z-index:251704320" stroked="f">
              <v:textbox style="mso-fit-shape-to-text:t">
                <w:txbxContent>
                  <w:p w:rsidR="007824E3" w:rsidRPr="0012741E" w:rsidP="007824E3" w14:paraId="1F1C56B1" w14:textId="4AB78372">
                    <w:pPr>
                      <w:bidi w:val="0"/>
                      <w:jc w:val="left"/>
                      <w:rPr>
                        <w:sz w:val="15"/>
                        <w:szCs w:val="15"/>
                      </w:rPr>
                    </w:pPr>
                    <w:r>
                      <w:rPr>
                        <w:rFonts w:ascii="Tahoma" w:hAnsi="Tahoma" w:cs="Tahoma"/>
                        <w:color w:val="0D0D0D" w:themeColor="text1" w:themeTint="F2"/>
                        <w:sz w:val="15"/>
                        <w:szCs w:val="15"/>
                      </w:rPr>
                      <w:t>Foreword</w:t>
                    </w:r>
                  </w:p>
                </w:txbxContent>
              </v:textbox>
              <w10:wrap type="square"/>
            </v:shape>
          </w:pict>
        </mc:Fallback>
      </mc:AlternateContent>
    </w:r>
    <w:r>
      <w:rPr>
        <w:noProof/>
      </w:rPr>
      <mc:AlternateContent>
        <mc:Choice Requires="wps">
          <w:drawing>
            <wp:anchor distT="0" distB="0" distL="114300" distR="114300" simplePos="0" relativeHeight="251705344" behindDoc="0" locked="0" layoutInCell="1" allowOverlap="1">
              <wp:simplePos x="0" y="0"/>
              <wp:positionH relativeFrom="column">
                <wp:posOffset>-60960</wp:posOffset>
              </wp:positionH>
              <wp:positionV relativeFrom="paragraph">
                <wp:posOffset>381635</wp:posOffset>
              </wp:positionV>
              <wp:extent cx="6235700" cy="0"/>
              <wp:effectExtent l="0" t="0" r="0" b="0"/>
              <wp:wrapNone/>
              <wp:docPr id="45" name="Straight Connector 7"/>
              <wp:cNvGraphicFramePr/>
              <a:graphic xmlns:a="http://schemas.openxmlformats.org/drawingml/2006/main">
                <a:graphicData uri="http://schemas.microsoft.com/office/word/2010/wordprocessingShape">
                  <wps:wsp xmlns:wps="http://schemas.microsoft.com/office/word/2010/wordprocessingShape">
                    <wps:cNvCnPr/>
                    <wps:spPr>
                      <a:xfrm flipH="1">
                        <a:off x="0" y="0"/>
                        <a:ext cx="6235700"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7" o:spid="_x0000_s2060" style="flip:x;mso-height-percent:0;mso-height-relative:margin;mso-width-percent:0;mso-width-relative:margin;mso-wrap-distance-bottom:0;mso-wrap-distance-left:9pt;mso-wrap-distance-right:9pt;mso-wrap-distance-top:0;mso-wrap-style:square;position:absolute;visibility:visible;z-index:251706368" from="-4.8pt,30.05pt" to="486.2pt,30.05pt" strokecolor="#0d0d0d" strokeweight="0.25pt"/>
          </w:pict>
        </mc:Fallback>
      </mc:AlternateContent>
    </w:r>
    <w:r>
      <w:rPr>
        <w:rFonts w:ascii="Tahoma" w:hAnsi="Tahoma" w:cs="Tahoma"/>
        <w:noProof/>
        <w:color w:val="002060"/>
        <w:sz w:val="18"/>
        <w:szCs w:val="18"/>
      </w:rPr>
      <w:drawing>
        <wp:anchor distT="0" distB="0" distL="114300" distR="114300" simplePos="0" relativeHeight="251709440" behindDoc="0" locked="0" layoutInCell="1" allowOverlap="1">
          <wp:simplePos x="0" y="0"/>
          <wp:positionH relativeFrom="column">
            <wp:posOffset>-8890</wp:posOffset>
          </wp:positionH>
          <wp:positionV relativeFrom="paragraph">
            <wp:posOffset>51435</wp:posOffset>
          </wp:positionV>
          <wp:extent cx="248285" cy="298450"/>
          <wp:effectExtent l="0" t="0" r="0" b="6350"/>
          <wp:wrapNone/>
          <wp:docPr id="4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6"/>
                  <pic:cNvPicPr/>
                </pic:nvPicPr>
                <pic:blipFill>
                  <a:blip xmlns:r="http://schemas.openxmlformats.org/officeDocument/2006/relationships" r:embed="rId1">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a:xfrm>
                    <a:off x="0" y="0"/>
                    <a:ext cx="248285" cy="298450"/>
                  </a:xfrm>
                  <a:prstGeom prst="rect">
                    <a:avLst/>
                  </a:prstGeom>
                </pic:spPr>
              </pic:pic>
            </a:graphicData>
          </a:graphic>
          <wp14:sizeRelH relativeFrom="margin">
            <wp14:pctWidth>0</wp14:pctWidth>
          </wp14:sizeRelH>
          <wp14:sizeRelV relativeFrom="margin">
            <wp14:pctHeight>0</wp14:pctHeight>
          </wp14:sizeRelV>
        </wp:anchor>
      </w:drawing>
    </w:r>
    <w:r>
      <w:rPr>
        <w:rFonts w:ascii="Tahoma" w:hAnsi="Tahoma" w:cs="Tahoma"/>
        <w:color w:val="002060"/>
        <w:sz w:val="18"/>
        <w:szCs w:val="18"/>
      </w:rPr>
      <w:tab/>
    </w:r>
    <w:r>
      <w:rPr>
        <w:rtl/>
      </w:rP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E3B4B" w:rsidP="001526AC" w14:paraId="27EB38BB" w14:textId="77777777">
    <w:pPr>
      <w:pStyle w:val="Header"/>
      <w:tabs>
        <w:tab w:val="left" w:pos="493"/>
        <w:tab w:val="center" w:pos="4111"/>
        <w:tab w:val="clear" w:pos="4153"/>
        <w:tab w:val="right" w:pos="7478"/>
        <w:tab w:val="right" w:pos="8222"/>
        <w:tab w:val="clear" w:pos="8306"/>
      </w:tabs>
      <w:jc w:val="left"/>
      <w:rPr>
        <w:rtl/>
      </w:rPr>
    </w:pPr>
    <w:r>
      <w:rPr>
        <w:noProof/>
        <w:rtl/>
        <w:lang w:val="he-IL"/>
      </w:rPr>
      <mc:AlternateContent>
        <mc:Choice Requires="wps">
          <w:drawing>
            <wp:anchor distT="0" distB="0" distL="114300" distR="114300" simplePos="0" relativeHeight="251688960" behindDoc="1" locked="0" layoutInCell="1" allowOverlap="1">
              <wp:simplePos x="0" y="0"/>
              <wp:positionH relativeFrom="margin">
                <wp:posOffset>-955675</wp:posOffset>
              </wp:positionH>
              <wp:positionV relativeFrom="margin">
                <wp:posOffset>-1052830</wp:posOffset>
              </wp:positionV>
              <wp:extent cx="6480000" cy="9000000"/>
              <wp:effectExtent l="0" t="0" r="16510" b="10795"/>
              <wp:wrapNone/>
              <wp:docPr id="2052770989" name="Text Box 53"/>
              <wp:cNvGraphicFramePr/>
              <a:graphic xmlns:a="http://schemas.openxmlformats.org/drawingml/2006/main">
                <a:graphicData uri="http://schemas.microsoft.com/office/word/2010/wordprocessingShape">
                  <wps:wsp xmlns:wps="http://schemas.microsoft.com/office/word/2010/wordprocessingShape">
                    <wps:cNvSpPr txBox="1"/>
                    <wps:spPr>
                      <a:xfrm>
                        <a:off x="0" y="0"/>
                        <a:ext cx="6480000" cy="9000000"/>
                      </a:xfrm>
                      <a:prstGeom prst="rect">
                        <a:avLst/>
                      </a:prstGeom>
                      <a:noFill/>
                      <a:ln w="3175">
                        <a:solidFill>
                          <a:schemeClr val="bg1">
                            <a:lumMod val="65000"/>
                          </a:schemeClr>
                        </a:solidFill>
                        <a:prstDash val="lgDash"/>
                      </a:ln>
                    </wps:spPr>
                    <wps:txbx>
                      <w:txbxContent>
                        <w:p w:rsidR="00BE3B4B" w:rsidRPr="00DE3ECA" w:rsidP="006E67D8" w14:textId="77777777">
                          <w:pPr>
                            <w:rPr>
                              <w:color w:val="FFFFFF" w:themeColor="background1"/>
                              <w14:textOutline w14:w="12700" w14:cap="rnd" w14:cmpd="dbl">
                                <w14:solidFill>
                                  <w14:srgbClr w14:val="00B050"/>
                                </w14:solidFill>
                                <w14:prstDash w14:val="sys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2061" type="#_x0000_t202" style="width:510.25pt;height:708.65pt;margin-top:-82.9pt;margin-left:-75.2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26496" filled="f" strokecolor="#a5a5a5" strokeweight="0.25pt">
              <v:stroke dashstyle="longDash"/>
              <v:textbox>
                <w:txbxContent>
                  <w:p w:rsidR="00BE3B4B" w:rsidRPr="00DE3ECA" w:rsidP="006E67D8" w14:paraId="3346CE31" w14:textId="77777777">
                    <w:pPr>
                      <w:rPr>
                        <w:color w:val="FFFFFF" w:themeColor="background1"/>
                        <w14:textOutline w14:w="12700" w14:cap="rnd" w14:cmpd="dbl">
                          <w14:solidFill>
                            <w14:srgbClr w14:val="00B050"/>
                          </w14:solidFill>
                          <w14:prstDash w14:val="sysDash"/>
                          <w14:bevel/>
                        </w14:textOutline>
                      </w:rPr>
                    </w:pPr>
                  </w:p>
                </w:txbxContent>
              </v:textbox>
              <w10:wrap anchorx="margin" anchory="margin"/>
            </v:shape>
          </w:pict>
        </mc:Fallback>
      </mc:AlternateContent>
    </w:r>
  </w:p>
  <w:p w:rsidR="00BE3B4B" w:rsidP="001526AC" w14:paraId="05EC28DE" w14:textId="77777777">
    <w:pPr>
      <w:pStyle w:val="Header"/>
      <w:tabs>
        <w:tab w:val="left" w:pos="493"/>
        <w:tab w:val="center" w:pos="4111"/>
        <w:tab w:val="clear" w:pos="4153"/>
        <w:tab w:val="right" w:pos="7478"/>
        <w:tab w:val="right" w:pos="8222"/>
        <w:tab w:val="clear" w:pos="8306"/>
      </w:tabs>
      <w:jc w:val="left"/>
      <w:rPr>
        <w:rtl/>
      </w:rPr>
    </w:pPr>
  </w:p>
  <w:p w:rsidR="00BE3B4B" w:rsidP="00005B23" w14:paraId="4FE87256" w14:textId="002E8DC7">
    <w:pPr>
      <w:pStyle w:val="Header"/>
      <w:tabs>
        <w:tab w:val="left" w:pos="493"/>
        <w:tab w:val="center" w:pos="4111"/>
        <w:tab w:val="clear" w:pos="4153"/>
        <w:tab w:val="right" w:pos="7478"/>
        <w:tab w:val="right" w:pos="8222"/>
        <w:tab w:val="clear" w:pos="8306"/>
      </w:tabs>
      <w:jc w:val="left"/>
      <w:rPr>
        <w:rtl/>
      </w:rPr>
    </w:pPr>
  </w:p>
  <w:p w:rsidR="00BE3B4B" w:rsidRPr="001526AC" w:rsidP="00005B23" w14:paraId="23773518" w14:textId="23183E45">
    <w:pPr>
      <w:pStyle w:val="Header"/>
      <w:tabs>
        <w:tab w:val="left" w:pos="493"/>
        <w:tab w:val="center" w:pos="4111"/>
        <w:tab w:val="clear" w:pos="4153"/>
        <w:tab w:val="right" w:pos="7478"/>
        <w:tab w:val="right" w:pos="8222"/>
        <w:tab w:val="clear" w:pos="8306"/>
      </w:tabs>
      <w:jc w:val="left"/>
      <w:rPr>
        <w:rtl/>
      </w:rPr>
    </w:pPr>
    <w:r w:rsidRPr="00BE3B4B">
      <w:rPr>
        <w:noProof/>
        <w:rtl/>
      </w:rPr>
      <mc:AlternateContent>
        <mc:Choice Requires="wps">
          <w:drawing>
            <wp:anchor distT="45720" distB="45720" distL="114300" distR="114300" simplePos="0" relativeHeight="251691008" behindDoc="0" locked="0" layoutInCell="1" allowOverlap="1">
              <wp:simplePos x="0" y="0"/>
              <wp:positionH relativeFrom="column">
                <wp:posOffset>-829544</wp:posOffset>
              </wp:positionH>
              <wp:positionV relativeFrom="paragraph">
                <wp:posOffset>221615</wp:posOffset>
              </wp:positionV>
              <wp:extent cx="5257800" cy="259080"/>
              <wp:effectExtent l="0" t="0" r="12700" b="7620"/>
              <wp:wrapNone/>
              <wp:docPr id="2052770993"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257800" cy="259080"/>
                      </a:xfrm>
                      <a:prstGeom prst="rect">
                        <a:avLst/>
                      </a:prstGeom>
                      <a:solidFill>
                        <a:srgbClr val="FFFFFF"/>
                      </a:solidFill>
                      <a:ln w="9525">
                        <a:solidFill>
                          <a:schemeClr val="bg1"/>
                        </a:solidFill>
                        <a:miter lim="800000"/>
                        <a:headEnd/>
                        <a:tailEnd/>
                      </a:ln>
                    </wps:spPr>
                    <wps:txbx>
                      <w:txbxContent>
                        <w:p w:rsidR="00BE3B4B" w:rsidRPr="00A4133B" w:rsidP="00BE3B4B" w14:textId="3F1CAB95">
                          <w:pPr>
                            <w:bidi w:val="0"/>
                            <w:jc w:val="right"/>
                            <w:rPr>
                              <w:color w:val="0D0D0D" w:themeColor="text1" w:themeTint="F2"/>
                              <w:sz w:val="16"/>
                              <w:szCs w:val="16"/>
                            </w:rPr>
                          </w:pPr>
                          <w:r w:rsidRPr="00B963A6">
                            <w:rPr>
                              <w:rFonts w:ascii="Tahoma" w:hAnsi="Tahoma" w:eastAsiaTheme="majorEastAsia" w:cs="Tahoma"/>
                              <w:noProof/>
                              <w:color w:val="0D0D0D" w:themeColor="text1" w:themeTint="F2"/>
                              <w:sz w:val="16"/>
                              <w:szCs w:val="16"/>
                            </w:rPr>
                            <w:t xml:space="preserve">Report of the State Comptroller of Israel </w:t>
                          </w:r>
                          <w:r w:rsidRPr="001E4DB9" w:rsidR="002F6D6C">
                            <w:rPr>
                              <w:rFonts w:ascii="Tahoma" w:hAnsi="Tahoma" w:eastAsiaTheme="majorEastAsia" w:cs="Tahoma"/>
                              <w:noProof/>
                              <w:color w:val="0D0D0D" w:themeColor="text1" w:themeTint="F2"/>
                              <w:sz w:val="16"/>
                              <w:szCs w:val="16"/>
                            </w:rPr>
                            <w:t>| May 2024</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_x0000_s2062" type="#_x0000_t202" style="width:414pt;height:20.4pt;margin-top:17.45pt;margin-left:-65.3pt;mso-height-percent:0;mso-height-relative:margin;mso-width-percent:0;mso-width-relative:margin;mso-wrap-distance-bottom:3.6pt;mso-wrap-distance-left:9pt;mso-wrap-distance-right:9pt;mso-wrap-distance-top:3.6pt;mso-wrap-style:square;position:absolute;visibility:visible;v-text-anchor:top;z-index:251692032" strokecolor="white">
              <v:textbox>
                <w:txbxContent>
                  <w:p w:rsidR="00BE3B4B" w:rsidRPr="00A4133B" w:rsidP="00BE3B4B" w14:paraId="49DA2D2E" w14:textId="3F1CAB95">
                    <w:pPr>
                      <w:bidi w:val="0"/>
                      <w:jc w:val="right"/>
                      <w:rPr>
                        <w:color w:val="0D0D0D" w:themeColor="text1" w:themeTint="F2"/>
                        <w:sz w:val="16"/>
                        <w:szCs w:val="16"/>
                      </w:rPr>
                    </w:pPr>
                    <w:r w:rsidRPr="00B963A6">
                      <w:rPr>
                        <w:rFonts w:ascii="Tahoma" w:hAnsi="Tahoma" w:eastAsiaTheme="majorEastAsia" w:cs="Tahoma"/>
                        <w:noProof/>
                        <w:color w:val="0D0D0D" w:themeColor="text1" w:themeTint="F2"/>
                        <w:sz w:val="16"/>
                        <w:szCs w:val="16"/>
                      </w:rPr>
                      <w:t xml:space="preserve">Report of the State Comptroller of Israel </w:t>
                    </w:r>
                    <w:r w:rsidRPr="001E4DB9" w:rsidR="002F6D6C">
                      <w:rPr>
                        <w:rFonts w:ascii="Tahoma" w:hAnsi="Tahoma" w:eastAsiaTheme="majorEastAsia" w:cs="Tahoma"/>
                        <w:noProof/>
                        <w:color w:val="0D0D0D" w:themeColor="text1" w:themeTint="F2"/>
                        <w:sz w:val="16"/>
                        <w:szCs w:val="16"/>
                      </w:rPr>
                      <w:t>| May 2024</w:t>
                    </w:r>
                  </w:p>
                </w:txbxContent>
              </v:textbox>
            </v:shape>
          </w:pict>
        </mc:Fallback>
      </mc:AlternateContent>
    </w:r>
    <w:r>
      <w:rPr>
        <w:rFonts w:ascii="Tahoma" w:hAnsi="Tahoma" w:cs="Tahoma"/>
        <w:noProof/>
        <w:sz w:val="22"/>
        <w:szCs w:val="22"/>
        <w:rtl/>
        <w:lang w:val="he-IL"/>
      </w:rPr>
      <w:drawing>
        <wp:anchor distT="0" distB="0" distL="114300" distR="114300" simplePos="0" relativeHeight="251694080" behindDoc="0" locked="0" layoutInCell="1" allowOverlap="1">
          <wp:simplePos x="0" y="0"/>
          <wp:positionH relativeFrom="column">
            <wp:posOffset>4415289</wp:posOffset>
          </wp:positionH>
          <wp:positionV relativeFrom="paragraph">
            <wp:posOffset>217805</wp:posOffset>
          </wp:positionV>
          <wp:extent cx="343535" cy="240030"/>
          <wp:effectExtent l="0" t="0" r="0" b="1270"/>
          <wp:wrapSquare wrapText="bothSides"/>
          <wp:docPr id="205277099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770995" name="Picture 10"/>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43535" cy="240030"/>
                  </a:xfrm>
                  <a:prstGeom prst="rect">
                    <a:avLst/>
                  </a:prstGeom>
                </pic:spPr>
              </pic:pic>
            </a:graphicData>
          </a:graphic>
          <wp14:sizeRelH relativeFrom="margin">
            <wp14:pctWidth>0</wp14:pctWidth>
          </wp14:sizeRelH>
          <wp14:sizeRelV relativeFrom="margin">
            <wp14:pctHeight>0</wp14:pctHeight>
          </wp14:sizeRelV>
        </wp:anchor>
      </w:drawing>
    </w:r>
    <w:r w:rsidRPr="00BE3B4B">
      <w:rPr>
        <w:noProof/>
        <w:szCs w:val="20"/>
        <w:rtl/>
      </w:rPr>
      <w:drawing>
        <wp:anchor distT="0" distB="0" distL="114300" distR="114300" simplePos="0" relativeHeight="251693056" behindDoc="0" locked="0" layoutInCell="1" allowOverlap="1">
          <wp:simplePos x="0" y="0"/>
          <wp:positionH relativeFrom="column">
            <wp:posOffset>8819515</wp:posOffset>
          </wp:positionH>
          <wp:positionV relativeFrom="paragraph">
            <wp:posOffset>248285</wp:posOffset>
          </wp:positionV>
          <wp:extent cx="343535" cy="240030"/>
          <wp:effectExtent l="0" t="0" r="0" b="1270"/>
          <wp:wrapSquare wrapText="bothSides"/>
          <wp:docPr id="205277099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770994" name="Picture 10"/>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43535" cy="24003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86912" behindDoc="0" locked="0" layoutInCell="1" allowOverlap="1">
              <wp:simplePos x="0" y="0"/>
              <wp:positionH relativeFrom="column">
                <wp:posOffset>-2910840</wp:posOffset>
              </wp:positionH>
              <wp:positionV relativeFrom="paragraph">
                <wp:posOffset>491490</wp:posOffset>
              </wp:positionV>
              <wp:extent cx="7620635" cy="0"/>
              <wp:effectExtent l="0" t="0" r="0" b="0"/>
              <wp:wrapNone/>
              <wp:docPr id="2052770991" name="Straight Connector 634"/>
              <wp:cNvGraphicFramePr/>
              <a:graphic xmlns:a="http://schemas.openxmlformats.org/drawingml/2006/main">
                <a:graphicData uri="http://schemas.microsoft.com/office/word/2010/wordprocessingShape">
                  <wps:wsp xmlns:wps="http://schemas.microsoft.com/office/word/2010/wordprocessingShape">
                    <wps:cNvCnPr/>
                    <wps:spPr>
                      <a:xfrm flipH="1">
                        <a:off x="0" y="0"/>
                        <a:ext cx="7620635"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34" o:spid="_x0000_s2063" style="flip:x;mso-height-percent:0;mso-height-relative:margin;mso-width-percent:0;mso-width-relative:margin;mso-wrap-distance-bottom:0;mso-wrap-distance-left:9pt;mso-wrap-distance-right:9pt;mso-wrap-distance-top:0;mso-wrap-style:square;position:absolute;visibility:visible;z-index:251687936" from="-229.2pt,38.7pt" to="370.85pt,38.7pt" strokecolor="#0d0d0d" strokeweight="0.25pt"/>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A4697" w:rsidRPr="00D15500" w:rsidP="005B4811" w14:paraId="2D401969" w14:textId="77777777">
    <w:pPr>
      <w:pStyle w:val="Header"/>
      <w:tabs>
        <w:tab w:val="center" w:pos="457"/>
        <w:tab w:val="clear" w:pos="4153"/>
        <w:tab w:val="clear" w:pos="8306"/>
      </w:tabs>
      <w:spacing w:line="312" w:lineRule="auto"/>
      <w:jc w:val="left"/>
      <w:rPr>
        <w:rFonts w:ascii="Tahoma" w:hAnsi="Tahoma" w:cs="Tahoma"/>
        <w:color w:val="002060"/>
        <w:sz w:val="18"/>
        <w:szCs w:val="18"/>
        <w:rtl/>
      </w:rPr>
    </w:pPr>
    <w:r>
      <w:rPr>
        <w:rFonts w:ascii="Tahoma" w:hAnsi="Tahoma" w:cs="Tahoma"/>
        <w:noProof/>
        <w:sz w:val="24"/>
      </w:rPr>
      <w:drawing>
        <wp:anchor distT="0" distB="0" distL="114300" distR="114300" simplePos="0" relativeHeight="251664384" behindDoc="0" locked="0" layoutInCell="1" allowOverlap="1">
          <wp:simplePos x="0" y="0"/>
          <wp:positionH relativeFrom="column">
            <wp:posOffset>1509601</wp:posOffset>
          </wp:positionH>
          <wp:positionV relativeFrom="paragraph">
            <wp:posOffset>-19685</wp:posOffset>
          </wp:positionV>
          <wp:extent cx="379095" cy="250190"/>
          <wp:effectExtent l="0" t="0" r="1905" b="0"/>
          <wp:wrapTopAndBottom/>
          <wp:docPr id="2052770977"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770977" name="mevaker-semel.new-1.png"/>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79095" cy="250190"/>
                  </a:xfrm>
                  <a:prstGeom prst="rect">
                    <a:avLst/>
                  </a:prstGeom>
                </pic:spPr>
              </pic:pic>
            </a:graphicData>
          </a:graphic>
          <wp14:sizeRelH relativeFrom="page">
            <wp14:pctWidth>0</wp14:pctWidth>
          </wp14:sizeRelH>
          <wp14:sizeRelV relativeFrom="page">
            <wp14:pctHeight>0</wp14:pctHeight>
          </wp14:sizeRelV>
        </wp:anchor>
      </w:drawing>
    </w:r>
    <w:r w:rsidRPr="005B4811">
      <w:rPr>
        <w:rFonts w:ascii="Tahoma" w:hAnsi="Tahoma" w:cs="Tahoma"/>
        <w:noProof/>
        <w:color w:val="002060"/>
        <w:sz w:val="18"/>
        <w:szCs w:val="18"/>
        <w:rtl/>
      </w:rPr>
      <mc:AlternateContent>
        <mc:Choice Requires="wps">
          <w:drawing>
            <wp:anchor distT="45720" distB="45720" distL="114300" distR="114300" simplePos="0" relativeHeight="251662336" behindDoc="0" locked="0" layoutInCell="1" allowOverlap="1">
              <wp:simplePos x="0" y="0"/>
              <wp:positionH relativeFrom="margin">
                <wp:posOffset>-87836</wp:posOffset>
              </wp:positionH>
              <wp:positionV relativeFrom="paragraph">
                <wp:posOffset>-17145</wp:posOffset>
              </wp:positionV>
              <wp:extent cx="1641475" cy="284480"/>
              <wp:effectExtent l="0" t="0" r="0" b="1270"/>
              <wp:wrapSquare wrapText="bothSides"/>
              <wp:docPr id="2"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641475" cy="284480"/>
                      </a:xfrm>
                      <a:prstGeom prst="rect">
                        <a:avLst/>
                      </a:prstGeom>
                      <a:solidFill>
                        <a:srgbClr val="FFFFFF"/>
                      </a:solidFill>
                      <a:ln w="9525">
                        <a:noFill/>
                        <a:miter lim="800000"/>
                        <a:headEnd/>
                        <a:tailEnd/>
                      </a:ln>
                    </wps:spPr>
                    <wps:txbx>
                      <w:txbxContent>
                        <w:p w:rsidR="00DA4697" w:rsidRPr="005B4811" w:rsidP="005B4811" w14:textId="77777777">
                          <w:pPr>
                            <w:rPr>
                              <w:rtl/>
                            </w:rPr>
                          </w:pPr>
                          <w:r w:rsidRPr="00D15500">
                            <w:rPr>
                              <w:rFonts w:ascii="Tahoma" w:hAnsi="Tahoma" w:cs="Tahoma" w:hint="cs"/>
                              <w:color w:val="002060"/>
                              <w:sz w:val="18"/>
                              <w:szCs w:val="18"/>
                              <w:rtl/>
                            </w:rPr>
                            <w:t xml:space="preserve">מבקר המדינה, </w:t>
                          </w:r>
                          <w:r w:rsidRPr="00D15500">
                            <w:rPr>
                              <w:rFonts w:ascii="Tahoma" w:hAnsi="Tahoma" w:cs="Tahoma"/>
                              <w:color w:val="002060"/>
                              <w:sz w:val="18"/>
                              <w:szCs w:val="18"/>
                              <w:rtl/>
                            </w:rPr>
                            <w:t>דוח</w:t>
                          </w:r>
                          <w:r w:rsidRPr="00D15500">
                            <w:rPr>
                              <w:rFonts w:ascii="Tahoma" w:hAnsi="Tahoma" w:cs="Tahoma" w:hint="cs"/>
                              <w:color w:val="002060"/>
                              <w:sz w:val="18"/>
                              <w:szCs w:val="18"/>
                              <w:rtl/>
                            </w:rPr>
                            <w:t xml:space="preserve"> שנתי</w:t>
                          </w:r>
                          <w:r w:rsidRPr="00D15500">
                            <w:rPr>
                              <w:rFonts w:ascii="Tahoma" w:hAnsi="Tahoma" w:cs="Tahoma"/>
                              <w:color w:val="002060"/>
                              <w:sz w:val="18"/>
                              <w:szCs w:val="18"/>
                              <w:rtl/>
                            </w:rPr>
                            <w:t xml:space="preserve"> 70א</w:t>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תיבת טקסט 2" o:spid="_x0000_s2064" type="#_x0000_t202" style="width:129.25pt;height:22.4pt;margin-top:-1.35pt;margin-left:-6.9pt;flip:x;mso-height-percent:0;mso-height-relative:margin;mso-position-horizontal-relative:margin;mso-width-percent:0;mso-width-relative:margin;mso-wrap-distance-bottom:3.6pt;mso-wrap-distance-left:9pt;mso-wrap-distance-right:9pt;mso-wrap-distance-top:3.6pt;mso-wrap-style:square;position:absolute;visibility:visible;v-text-anchor:top;z-index:251663360" stroked="f">
              <v:textbox>
                <w:txbxContent>
                  <w:p w:rsidR="00DA4697" w:rsidRPr="005B4811" w:rsidP="005B4811" w14:paraId="00ACE667" w14:textId="77777777">
                    <w:pPr>
                      <w:rPr>
                        <w:rtl/>
                      </w:rPr>
                    </w:pPr>
                    <w:r w:rsidRPr="00D15500">
                      <w:rPr>
                        <w:rFonts w:ascii="Tahoma" w:hAnsi="Tahoma" w:cs="Tahoma" w:hint="cs"/>
                        <w:color w:val="002060"/>
                        <w:sz w:val="18"/>
                        <w:szCs w:val="18"/>
                        <w:rtl/>
                      </w:rPr>
                      <w:t xml:space="preserve">מבקר המדינה, </w:t>
                    </w:r>
                    <w:r w:rsidRPr="00D15500">
                      <w:rPr>
                        <w:rFonts w:ascii="Tahoma" w:hAnsi="Tahoma" w:cs="Tahoma"/>
                        <w:color w:val="002060"/>
                        <w:sz w:val="18"/>
                        <w:szCs w:val="18"/>
                        <w:rtl/>
                      </w:rPr>
                      <w:t>דוח</w:t>
                    </w:r>
                    <w:r w:rsidRPr="00D15500">
                      <w:rPr>
                        <w:rFonts w:ascii="Tahoma" w:hAnsi="Tahoma" w:cs="Tahoma" w:hint="cs"/>
                        <w:color w:val="002060"/>
                        <w:sz w:val="18"/>
                        <w:szCs w:val="18"/>
                        <w:rtl/>
                      </w:rPr>
                      <w:t xml:space="preserve"> שנתי</w:t>
                    </w:r>
                    <w:r w:rsidRPr="00D15500">
                      <w:rPr>
                        <w:rFonts w:ascii="Tahoma" w:hAnsi="Tahoma" w:cs="Tahoma"/>
                        <w:color w:val="002060"/>
                        <w:sz w:val="18"/>
                        <w:szCs w:val="18"/>
                        <w:rtl/>
                      </w:rPr>
                      <w:t xml:space="preserve"> 70א</w:t>
                    </w:r>
                  </w:p>
                </w:txbxContent>
              </v:textbox>
              <w10:wrap type="square"/>
            </v:shape>
          </w:pict>
        </mc:Fallback>
      </mc:AlternateContent>
    </w:r>
    <w:r w:rsidRPr="005B4811">
      <w:rPr>
        <w:rFonts w:ascii="Tahoma" w:hAnsi="Tahoma" w:cs="Tahoma"/>
        <w:noProof/>
        <w:color w:val="002060"/>
        <w:sz w:val="18"/>
        <w:szCs w:val="18"/>
        <w:rtl/>
      </w:rPr>
      <mc:AlternateContent>
        <mc:Choice Requires="wps">
          <w:drawing>
            <wp:anchor distT="45720" distB="45720" distL="114300" distR="114300" simplePos="0" relativeHeight="251660288" behindDoc="0" locked="0" layoutInCell="1" allowOverlap="1">
              <wp:simplePos x="0" y="0"/>
              <wp:positionH relativeFrom="column">
                <wp:posOffset>4078399</wp:posOffset>
              </wp:positionH>
              <wp:positionV relativeFrom="paragraph">
                <wp:posOffset>-11430</wp:posOffset>
              </wp:positionV>
              <wp:extent cx="895985" cy="1419098"/>
              <wp:effectExtent l="0" t="0" r="0" b="6350"/>
              <wp:wrapSquare wrapText="bothSides"/>
              <wp:docPr id="217"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895985" cy="1419098"/>
                      </a:xfrm>
                      <a:prstGeom prst="rect">
                        <a:avLst/>
                      </a:prstGeom>
                      <a:solidFill>
                        <a:srgbClr val="FFFFFF"/>
                      </a:solidFill>
                      <a:ln w="9525">
                        <a:noFill/>
                        <a:miter lim="800000"/>
                        <a:headEnd/>
                        <a:tailEnd/>
                      </a:ln>
                    </wps:spPr>
                    <wps:txbx>
                      <w:txbxContent>
                        <w:p w:rsidR="00DA4697" w:rsidRPr="005B4811" w:rsidP="005B4811" w14:textId="77777777">
                          <w:pPr>
                            <w:rPr>
                              <w:rtl/>
                              <w:cs/>
                            </w:rPr>
                          </w:pPr>
                          <w:r w:rsidRPr="005B4811">
                            <w:rPr>
                              <w:rFonts w:ascii="Tahoma" w:hAnsi="Tahoma" w:cs="Tahoma" w:hint="cs"/>
                              <w:color w:val="002060"/>
                              <w:sz w:val="18"/>
                              <w:szCs w:val="18"/>
                              <w:rtl/>
                            </w:rPr>
                            <w:t>מדינת ישראל</w:t>
                          </w:r>
                        </w:p>
                      </w:txbxContent>
                    </wps:txbx>
                    <wps:bodyPr rot="0" vert="horz" wrap="square" anchor="t" anchorCtr="0">
                      <a:spAutoFit/>
                    </wps:bodyPr>
                  </wps:wsp>
                </a:graphicData>
              </a:graphic>
              <wp14:sizeRelH relativeFrom="margin">
                <wp14:pctWidth>0</wp14:pctWidth>
              </wp14:sizeRelH>
              <wp14:sizeRelV relativeFrom="margin">
                <wp14:pctHeight>20000</wp14:pctHeight>
              </wp14:sizeRelV>
            </wp:anchor>
          </w:drawing>
        </mc:Choice>
        <mc:Fallback>
          <w:pict>
            <v:shape id="_x0000_s2065" type="#_x0000_t202" style="width:70.55pt;height:123.65pt;margin-top:-0.9pt;margin-left:321.15pt;flip:x;mso-height-percent:200;mso-height-relative:margin;mso-width-percent:0;mso-width-relative:margin;mso-wrap-distance-bottom:3.6pt;mso-wrap-distance-left:9pt;mso-wrap-distance-right:9pt;mso-wrap-distance-top:3.6pt;mso-wrap-style:square;position:absolute;visibility:visible;v-text-anchor:top;z-index:251661312" stroked="f">
              <v:textbox style="mso-fit-shape-to-text:t">
                <w:txbxContent>
                  <w:p w:rsidR="00DA4697" w:rsidRPr="005B4811" w:rsidP="005B4811" w14:paraId="68AEB69D" w14:textId="77777777">
                    <w:pPr>
                      <w:rPr>
                        <w:rtl/>
                        <w:cs/>
                      </w:rPr>
                    </w:pPr>
                    <w:r w:rsidRPr="005B4811">
                      <w:rPr>
                        <w:rFonts w:ascii="Tahoma" w:hAnsi="Tahoma" w:cs="Tahoma" w:hint="cs"/>
                        <w:color w:val="002060"/>
                        <w:sz w:val="18"/>
                        <w:szCs w:val="18"/>
                        <w:rtl/>
                      </w:rPr>
                      <w:t>מדינת ישראל</w:t>
                    </w:r>
                  </w:p>
                </w:txbxContent>
              </v:textbox>
              <w10:wrap type="square"/>
            </v:shape>
          </w:pict>
        </mc:Fallback>
      </mc:AlternateContent>
    </w:r>
    <w:r>
      <w:rPr>
        <w:rFonts w:ascii="Tahoma" w:hAnsi="Tahoma" w:cs="Tahoma"/>
        <w:noProof/>
        <w:szCs w:val="18"/>
      </w:rPr>
      <w:drawing>
        <wp:anchor distT="0" distB="0" distL="114300" distR="114300" simplePos="0" relativeHeight="251665408" behindDoc="0" locked="0" layoutInCell="1" allowOverlap="1">
          <wp:simplePos x="0" y="0"/>
          <wp:positionH relativeFrom="column">
            <wp:posOffset>4955969</wp:posOffset>
          </wp:positionH>
          <wp:positionV relativeFrom="paragraph">
            <wp:posOffset>-43815</wp:posOffset>
          </wp:positionV>
          <wp:extent cx="245110" cy="301625"/>
          <wp:effectExtent l="0" t="0" r="2540" b="3175"/>
          <wp:wrapSquare wrapText="bothSides"/>
          <wp:docPr id="2052770978"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770978" name="israel-blue.1.png"/>
                  <pic:cNvPicPr/>
                </pic:nvPicPr>
                <pic:blipFill>
                  <a:blip xmlns:r="http://schemas.openxmlformats.org/officeDocument/2006/relationships" r:embed="rId2" cstate="print">
                    <a:extLst>
                      <a:ext xmlns:a="http://schemas.openxmlformats.org/drawingml/2006/main" uri="{28A0092B-C50C-407E-A947-70E740481C1C}">
                        <a14:useLocalDpi xmlns:a14="http://schemas.microsoft.com/office/drawing/2010/main" val="0"/>
                      </a:ext>
                    </a:extLst>
                  </a:blip>
                  <a:stretch>
                    <a:fillRect/>
                  </a:stretch>
                </pic:blipFill>
                <pic:spPr>
                  <a:xfrm>
                    <a:off x="0" y="0"/>
                    <a:ext cx="245110" cy="301625"/>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A4697" w:rsidP="001526AC" w14:paraId="3BE4C2F9" w14:textId="673D4A5C">
    <w:pPr>
      <w:pStyle w:val="Header"/>
      <w:tabs>
        <w:tab w:val="left" w:pos="493"/>
        <w:tab w:val="center" w:pos="4111"/>
        <w:tab w:val="clear" w:pos="4153"/>
        <w:tab w:val="right" w:pos="7478"/>
        <w:tab w:val="right" w:pos="8222"/>
        <w:tab w:val="clear" w:pos="8306"/>
      </w:tabs>
      <w:jc w:val="left"/>
      <w:rPr>
        <w:rtl/>
      </w:rPr>
    </w:pPr>
    <w:r>
      <w:rPr>
        <w:noProof/>
        <w:rtl/>
        <w:lang w:val="he-IL"/>
      </w:rPr>
      <mc:AlternateContent>
        <mc:Choice Requires="wps">
          <w:drawing>
            <wp:anchor distT="0" distB="0" distL="114300" distR="114300" simplePos="0" relativeHeight="251673600" behindDoc="1" locked="0" layoutInCell="1" allowOverlap="1">
              <wp:simplePos x="0" y="0"/>
              <wp:positionH relativeFrom="margin">
                <wp:posOffset>-908050</wp:posOffset>
              </wp:positionH>
              <wp:positionV relativeFrom="margin">
                <wp:posOffset>-1030605</wp:posOffset>
              </wp:positionV>
              <wp:extent cx="6479540" cy="8999855"/>
              <wp:effectExtent l="0" t="0" r="16510" b="10795"/>
              <wp:wrapNone/>
              <wp:docPr id="44" name="Text Box 44"/>
              <wp:cNvGraphicFramePr/>
              <a:graphic xmlns:a="http://schemas.openxmlformats.org/drawingml/2006/main">
                <a:graphicData uri="http://schemas.microsoft.com/office/word/2010/wordprocessingShape">
                  <wps:wsp xmlns:wps="http://schemas.microsoft.com/office/word/2010/wordprocessingShape">
                    <wps:cNvSpPr txBox="1"/>
                    <wps:spPr>
                      <a:xfrm>
                        <a:off x="0" y="0"/>
                        <a:ext cx="6479540" cy="8999855"/>
                      </a:xfrm>
                      <a:prstGeom prst="rect">
                        <a:avLst/>
                      </a:prstGeom>
                      <a:noFill/>
                      <a:ln w="19050">
                        <a:solidFill>
                          <a:schemeClr val="bg1">
                            <a:lumMod val="65000"/>
                          </a:schemeClr>
                        </a:solidFill>
                        <a:prstDash val="lgDash"/>
                      </a:ln>
                    </wps:spPr>
                    <wps:txbx>
                      <w:txbxContent>
                        <w:p w:rsidR="00DA4697" w:rsidRPr="00DE3ECA" w:rsidP="001C5C9D" w14:textId="7889A2CF">
                          <w:pPr>
                            <w:rPr>
                              <w:color w:val="FFFFFF" w:themeColor="background1"/>
                              <w14:textOutline w14:w="12700" w14:cap="rnd" w14:cmpd="dbl">
                                <w14:solidFill>
                                  <w14:srgbClr w14:val="00B050"/>
                                </w14:solidFill>
                                <w14:prstDash w14:val="sys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4" o:spid="_x0000_s2066" type="#_x0000_t202" style="width:510.2pt;height:708.65pt;margin-top:-81.15pt;margin-left:-71.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41856" filled="f" strokecolor="#a5a5a5" strokeweight="1.5pt">
              <v:stroke dashstyle="longDash"/>
              <v:textbox>
                <w:txbxContent>
                  <w:p w:rsidR="00DA4697" w:rsidRPr="00DE3ECA" w:rsidP="001C5C9D" w14:paraId="41E6941D" w14:textId="7889A2CF">
                    <w:pPr>
                      <w:rPr>
                        <w:color w:val="FFFFFF" w:themeColor="background1"/>
                        <w14:textOutline w14:w="12700" w14:cap="rnd" w14:cmpd="dbl">
                          <w14:solidFill>
                            <w14:srgbClr w14:val="00B050"/>
                          </w14:solidFill>
                          <w14:prstDash w14:val="sysDash"/>
                          <w14:bevel/>
                        </w14:textOutline>
                      </w:rPr>
                    </w:pPr>
                  </w:p>
                </w:txbxContent>
              </v:textbox>
              <w10:wrap anchorx="margin" anchory="margin"/>
            </v:shape>
          </w:pict>
        </mc:Fallback>
      </mc:AlternateContent>
    </w:r>
  </w:p>
  <w:p w:rsidR="00DA4697" w:rsidP="001C5C9D" w14:paraId="52188F3E" w14:textId="6AFEEEA3">
    <w:pPr>
      <w:pStyle w:val="Header"/>
      <w:tabs>
        <w:tab w:val="clear" w:pos="4153"/>
        <w:tab w:val="left" w:pos="4530"/>
        <w:tab w:val="clear" w:pos="8306"/>
      </w:tabs>
      <w:jc w:val="left"/>
      <w:rPr>
        <w:rtl/>
      </w:rPr>
    </w:pPr>
    <w:r>
      <w:rPr>
        <w:rtl/>
      </w:rPr>
      <w:tab/>
    </w:r>
  </w:p>
  <w:p w:rsidR="00DA4697" w:rsidP="001C5C9D" w14:paraId="0DBAA24E" w14:textId="77777777">
    <w:pPr>
      <w:pStyle w:val="Header"/>
      <w:tabs>
        <w:tab w:val="center" w:pos="3685"/>
        <w:tab w:val="clear" w:pos="4153"/>
        <w:tab w:val="clear" w:pos="8306"/>
      </w:tabs>
      <w:jc w:val="left"/>
    </w:pPr>
    <w:r w:rsidRPr="00DA4512">
      <w:rPr>
        <w:noProof/>
        <w:rtl/>
      </w:rPr>
      <mc:AlternateContent>
        <mc:Choice Requires="wps">
          <w:drawing>
            <wp:anchor distT="45720" distB="45720" distL="114300" distR="114300" simplePos="0" relativeHeight="251670528" behindDoc="0" locked="0" layoutInCell="1" allowOverlap="1">
              <wp:simplePos x="0" y="0"/>
              <wp:positionH relativeFrom="column">
                <wp:posOffset>323850</wp:posOffset>
              </wp:positionH>
              <wp:positionV relativeFrom="paragraph">
                <wp:posOffset>360045</wp:posOffset>
              </wp:positionV>
              <wp:extent cx="3228975" cy="259080"/>
              <wp:effectExtent l="0" t="0" r="28575" b="26670"/>
              <wp:wrapNone/>
              <wp:docPr id="22"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228975" cy="259080"/>
                      </a:xfrm>
                      <a:prstGeom prst="rect">
                        <a:avLst/>
                      </a:prstGeom>
                      <a:solidFill>
                        <a:srgbClr val="FFFFFF"/>
                      </a:solidFill>
                      <a:ln w="9525">
                        <a:solidFill>
                          <a:schemeClr val="bg1"/>
                        </a:solidFill>
                        <a:miter lim="800000"/>
                        <a:headEnd/>
                        <a:tailEnd/>
                      </a:ln>
                    </wps:spPr>
                    <wps:txbx>
                      <w:txbxContent>
                        <w:p w:rsidR="00DA4697" w:rsidRPr="004D562B" w:rsidP="00DA4512" w14:textId="77777777">
                          <w:pPr>
                            <w:jc w:val="right"/>
                            <w:rPr>
                              <w:color w:val="0D0D0D"/>
                              <w:sz w:val="16"/>
                              <w:szCs w:val="16"/>
                            </w:rPr>
                          </w:pPr>
                          <w:r w:rsidRPr="004D562B">
                            <w:rPr>
                              <w:rFonts w:ascii="Tahoma" w:hAnsi="Tahoma" w:cs="Tahoma" w:hint="cs"/>
                              <w:color w:val="0D0D0D"/>
                              <w:sz w:val="16"/>
                              <w:szCs w:val="16"/>
                              <w:rtl/>
                            </w:rPr>
                            <w:t xml:space="preserve">מבקר המדינה   |   </w:t>
                          </w:r>
                          <w:r w:rsidRPr="004D562B">
                            <w:rPr>
                              <w:rFonts w:ascii="Tahoma" w:hAnsi="Tahoma" w:cs="Tahoma"/>
                              <w:color w:val="0D0D0D"/>
                              <w:sz w:val="16"/>
                              <w:szCs w:val="16"/>
                              <w:rtl/>
                            </w:rPr>
                            <w:t>דוח</w:t>
                          </w:r>
                          <w:r w:rsidRPr="004D562B">
                            <w:rPr>
                              <w:rFonts w:ascii="Tahoma" w:hAnsi="Tahoma" w:cs="Tahoma" w:hint="cs"/>
                              <w:color w:val="0D0D0D"/>
                              <w:sz w:val="16"/>
                              <w:szCs w:val="16"/>
                              <w:rtl/>
                            </w:rPr>
                            <w:t xml:space="preserve"> ביקורת שנתי 71ג   |   התשפ"א-2021</w:t>
                          </w:r>
                          <w:r w:rsidRPr="004D562B">
                            <w:rPr>
                              <w:rFonts w:hint="cs"/>
                              <w:color w:val="0D0D0D"/>
                              <w:sz w:val="16"/>
                              <w:szCs w:val="16"/>
                              <w:rtl/>
                            </w:rPr>
                            <w:t xml:space="preserve">         </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_x0000_s2067" type="#_x0000_t202" style="width:254.25pt;height:20.4pt;margin-top:28.35pt;margin-left:25.5pt;mso-height-percent:0;mso-height-relative:margin;mso-width-percent:0;mso-width-relative:margin;mso-wrap-distance-bottom:3.6pt;mso-wrap-distance-left:9pt;mso-wrap-distance-right:9pt;mso-wrap-distance-top:3.6pt;mso-wrap-style:square;position:absolute;visibility:visible;v-text-anchor:top;z-index:251671552" strokecolor="white">
              <v:textbox>
                <w:txbxContent>
                  <w:p w:rsidR="00DA4697" w:rsidRPr="004D562B" w:rsidP="00DA4512" w14:paraId="5B61FBF3" w14:textId="77777777">
                    <w:pPr>
                      <w:jc w:val="right"/>
                      <w:rPr>
                        <w:color w:val="0D0D0D"/>
                        <w:sz w:val="16"/>
                        <w:szCs w:val="16"/>
                      </w:rPr>
                    </w:pPr>
                    <w:r w:rsidRPr="004D562B">
                      <w:rPr>
                        <w:rFonts w:ascii="Tahoma" w:hAnsi="Tahoma" w:cs="Tahoma" w:hint="cs"/>
                        <w:color w:val="0D0D0D"/>
                        <w:sz w:val="16"/>
                        <w:szCs w:val="16"/>
                        <w:rtl/>
                      </w:rPr>
                      <w:t xml:space="preserve">מבקר המדינה   |   </w:t>
                    </w:r>
                    <w:r w:rsidRPr="004D562B">
                      <w:rPr>
                        <w:rFonts w:ascii="Tahoma" w:hAnsi="Tahoma" w:cs="Tahoma"/>
                        <w:color w:val="0D0D0D"/>
                        <w:sz w:val="16"/>
                        <w:szCs w:val="16"/>
                        <w:rtl/>
                      </w:rPr>
                      <w:t>דוח</w:t>
                    </w:r>
                    <w:r w:rsidRPr="004D562B">
                      <w:rPr>
                        <w:rFonts w:ascii="Tahoma" w:hAnsi="Tahoma" w:cs="Tahoma" w:hint="cs"/>
                        <w:color w:val="0D0D0D"/>
                        <w:sz w:val="16"/>
                        <w:szCs w:val="16"/>
                        <w:rtl/>
                      </w:rPr>
                      <w:t xml:space="preserve"> ביקורת שנתי 71ג   |   התשפ"א-2021</w:t>
                    </w:r>
                    <w:r w:rsidRPr="004D562B">
                      <w:rPr>
                        <w:rFonts w:hint="cs"/>
                        <w:color w:val="0D0D0D"/>
                        <w:sz w:val="16"/>
                        <w:szCs w:val="16"/>
                        <w:rtl/>
                      </w:rPr>
                      <w:t xml:space="preserve">         </w:t>
                    </w:r>
                  </w:p>
                </w:txbxContent>
              </v:textbox>
            </v:shape>
          </w:pict>
        </mc:Fallback>
      </mc:AlternateContent>
    </w:r>
    <w:r w:rsidRPr="00DA4512">
      <w:rPr>
        <w:noProof/>
        <w:szCs w:val="20"/>
        <w:rtl/>
      </w:rPr>
      <w:drawing>
        <wp:anchor distT="0" distB="0" distL="114300" distR="114300" simplePos="0" relativeHeight="251672576" behindDoc="0" locked="0" layoutInCell="1" allowOverlap="1">
          <wp:simplePos x="0" y="0"/>
          <wp:positionH relativeFrom="column">
            <wp:posOffset>-17780</wp:posOffset>
          </wp:positionH>
          <wp:positionV relativeFrom="paragraph">
            <wp:posOffset>380365</wp:posOffset>
          </wp:positionV>
          <wp:extent cx="343535" cy="240030"/>
          <wp:effectExtent l="0" t="0" r="0" b="7620"/>
          <wp:wrapSquare wrapText="bothSides"/>
          <wp:docPr id="205277097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770979" name="Picture 10"/>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43535" cy="24003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8480" behindDoc="0" locked="0" layoutInCell="1" allowOverlap="1">
              <wp:simplePos x="0" y="0"/>
              <wp:positionH relativeFrom="column">
                <wp:posOffset>-55880</wp:posOffset>
              </wp:positionH>
              <wp:positionV relativeFrom="paragraph">
                <wp:posOffset>640080</wp:posOffset>
              </wp:positionV>
              <wp:extent cx="6721475" cy="0"/>
              <wp:effectExtent l="0" t="0" r="0" b="0"/>
              <wp:wrapNone/>
              <wp:docPr id="20" name="Straight Connector 20"/>
              <wp:cNvGraphicFramePr/>
              <a:graphic xmlns:a="http://schemas.openxmlformats.org/drawingml/2006/main">
                <a:graphicData uri="http://schemas.microsoft.com/office/word/2010/wordprocessingShape">
                  <wps:wsp xmlns:wps="http://schemas.microsoft.com/office/word/2010/wordprocessingShape">
                    <wps:cNvCnPr/>
                    <wps:spPr>
                      <a:xfrm flipH="1">
                        <a:off x="0" y="0"/>
                        <a:ext cx="6721475" cy="0"/>
                      </a:xfrm>
                      <a:prstGeom prst="line">
                        <a:avLst/>
                      </a:prstGeom>
                      <a:ln w="3175">
                        <a:gradFill rotWithShape="1">
                          <a:gsLst>
                            <a:gs pos="0">
                              <a:schemeClr val="tx1"/>
                            </a:gs>
                            <a:gs pos="74000">
                              <a:schemeClr val="accent1">
                                <a:lumMod val="45000"/>
                                <a:lumOff val="55000"/>
                              </a:schemeClr>
                            </a:gs>
                            <a:gs pos="73000">
                              <a:srgbClr val="0D0D0D"/>
                            </a:gs>
                            <a:gs pos="100000">
                              <a:schemeClr val="accent1">
                                <a:lumMod val="30000"/>
                                <a:lumOff val="70000"/>
                              </a:schemeClr>
                            </a:gs>
                          </a:gsLst>
                          <a:lin ang="5400000" scaled="1"/>
                        </a:gra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0" o:spid="_x0000_s2068" style="flip:x;mso-height-percent:0;mso-height-relative:margin;mso-width-percent:0;mso-width-relative:margin;mso-wrap-distance-bottom:0;mso-wrap-distance-left:9pt;mso-wrap-distance-right:9pt;mso-wrap-distance-top:0;mso-wrap-style:square;position:absolute;visibility:visible;z-index:251669504" from="-4.4pt,50.4pt" to="524.85pt,50.4pt" strokeweight="0.25pt"/>
          </w:pict>
        </mc:Fallback>
      </mc:AlternateContent>
    </w:r>
  </w:p>
  <w:p w:rsidR="00DA4697" w:rsidRPr="001526AC" w:rsidP="001C5C9D" w14:paraId="133C0DA0" w14:textId="2B0F86FF">
    <w:pPr>
      <w:pStyle w:val="Header"/>
      <w:tabs>
        <w:tab w:val="center" w:pos="3685"/>
        <w:tab w:val="clear" w:pos="4153"/>
        <w:tab w:val="clear" w:pos="8306"/>
      </w:tabs>
      <w:jc w:val="left"/>
      <w:rPr>
        <w:rtl/>
      </w:rPr>
    </w:pPr>
    <w:r>
      <w:rPr>
        <w:rtl/>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1.7pt;height:141.7pt" o:bullet="t">
        <v:imagedata r:id="rId1" o:title="זכוכית מגדלת5"/>
      </v:shape>
    </w:pict>
  </w:numPicBullet>
  <w:abstractNum w:abstractNumId="0">
    <w:nsid w:val="07C54509"/>
    <w:multiLevelType w:val="multilevel"/>
    <w:tmpl w:val="3030E6FC"/>
    <w:lvl w:ilvl="0">
      <w:start w:val="1"/>
      <w:numFmt w:val="decimal"/>
      <w:pStyle w:val="7121"/>
      <w:lvlText w:val="%1."/>
      <w:lvlJc w:val="left"/>
      <w:pPr>
        <w:ind w:left="340" w:hanging="340"/>
      </w:pPr>
      <w:rPr>
        <w:rFonts w:hint="default"/>
      </w:rPr>
    </w:lvl>
    <w:lvl w:ilvl="1">
      <w:start w:val="1"/>
      <w:numFmt w:val="hebrew1"/>
      <w:lvlText w:val="%2."/>
      <w:lvlJc w:val="left"/>
      <w:pPr>
        <w:ind w:left="680" w:hanging="340"/>
      </w:pPr>
      <w:rPr>
        <w:rFonts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1">
    <w:nsid w:val="08AB3182"/>
    <w:multiLevelType w:val="hybridMultilevel"/>
    <w:tmpl w:val="236674FC"/>
    <w:lvl w:ilvl="0">
      <w:start w:val="1"/>
      <w:numFmt w:val="decimal"/>
      <w:lvlText w:val="%1."/>
      <w:lvlJc w:val="left"/>
      <w:pPr>
        <w:ind w:left="720" w:hanging="360"/>
      </w:pPr>
      <w:rPr>
        <w:rFonts w:hint="default"/>
        <w:sz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DDA1A01"/>
    <w:multiLevelType w:val="hybridMultilevel"/>
    <w:tmpl w:val="CD76C6BE"/>
    <w:lvl w:ilvl="0">
      <w:start w:val="1"/>
      <w:numFmt w:val="bullet"/>
      <w:pStyle w:val="71BULLETS0"/>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0DDD178A"/>
    <w:multiLevelType w:val="hybridMultilevel"/>
    <w:tmpl w:val="FEFEF4F2"/>
    <w:lvl w:ilvl="0">
      <w:start w:val="1"/>
      <w:numFmt w:val="bullet"/>
      <w:pStyle w:val="71BULLETS"/>
      <w:lvlText w:val=""/>
      <w:lvlJc w:val="left"/>
      <w:pPr>
        <w:ind w:left="1414" w:hanging="360"/>
      </w:pPr>
      <w:rPr>
        <w:rFonts w:ascii="Symbol" w:hAnsi="Symbol" w:hint="default"/>
      </w:rPr>
    </w:lvl>
    <w:lvl w:ilvl="1" w:tentative="1">
      <w:start w:val="1"/>
      <w:numFmt w:val="bullet"/>
      <w:lvlText w:val="o"/>
      <w:lvlJc w:val="left"/>
      <w:pPr>
        <w:ind w:left="2134" w:hanging="360"/>
      </w:pPr>
      <w:rPr>
        <w:rFonts w:ascii="Courier New" w:hAnsi="Courier New" w:cs="Courier New" w:hint="default"/>
      </w:rPr>
    </w:lvl>
    <w:lvl w:ilvl="2" w:tentative="1">
      <w:start w:val="1"/>
      <w:numFmt w:val="bullet"/>
      <w:lvlText w:val=""/>
      <w:lvlJc w:val="left"/>
      <w:pPr>
        <w:ind w:left="2854" w:hanging="360"/>
      </w:pPr>
      <w:rPr>
        <w:rFonts w:ascii="Wingdings" w:hAnsi="Wingdings" w:hint="default"/>
      </w:rPr>
    </w:lvl>
    <w:lvl w:ilvl="3" w:tentative="1">
      <w:start w:val="1"/>
      <w:numFmt w:val="bullet"/>
      <w:lvlText w:val=""/>
      <w:lvlJc w:val="left"/>
      <w:pPr>
        <w:ind w:left="3574" w:hanging="360"/>
      </w:pPr>
      <w:rPr>
        <w:rFonts w:ascii="Symbol" w:hAnsi="Symbol" w:hint="default"/>
      </w:rPr>
    </w:lvl>
    <w:lvl w:ilvl="4" w:tentative="1">
      <w:start w:val="1"/>
      <w:numFmt w:val="bullet"/>
      <w:lvlText w:val="o"/>
      <w:lvlJc w:val="left"/>
      <w:pPr>
        <w:ind w:left="4294" w:hanging="360"/>
      </w:pPr>
      <w:rPr>
        <w:rFonts w:ascii="Courier New" w:hAnsi="Courier New" w:cs="Courier New" w:hint="default"/>
      </w:rPr>
    </w:lvl>
    <w:lvl w:ilvl="5" w:tentative="1">
      <w:start w:val="1"/>
      <w:numFmt w:val="bullet"/>
      <w:lvlText w:val=""/>
      <w:lvlJc w:val="left"/>
      <w:pPr>
        <w:ind w:left="5014" w:hanging="360"/>
      </w:pPr>
      <w:rPr>
        <w:rFonts w:ascii="Wingdings" w:hAnsi="Wingdings" w:hint="default"/>
      </w:rPr>
    </w:lvl>
    <w:lvl w:ilvl="6" w:tentative="1">
      <w:start w:val="1"/>
      <w:numFmt w:val="bullet"/>
      <w:lvlText w:val=""/>
      <w:lvlJc w:val="left"/>
      <w:pPr>
        <w:ind w:left="5734" w:hanging="360"/>
      </w:pPr>
      <w:rPr>
        <w:rFonts w:ascii="Symbol" w:hAnsi="Symbol" w:hint="default"/>
      </w:rPr>
    </w:lvl>
    <w:lvl w:ilvl="7" w:tentative="1">
      <w:start w:val="1"/>
      <w:numFmt w:val="bullet"/>
      <w:lvlText w:val="o"/>
      <w:lvlJc w:val="left"/>
      <w:pPr>
        <w:ind w:left="6454" w:hanging="360"/>
      </w:pPr>
      <w:rPr>
        <w:rFonts w:ascii="Courier New" w:hAnsi="Courier New" w:cs="Courier New" w:hint="default"/>
      </w:rPr>
    </w:lvl>
    <w:lvl w:ilvl="8" w:tentative="1">
      <w:start w:val="1"/>
      <w:numFmt w:val="bullet"/>
      <w:lvlText w:val=""/>
      <w:lvlJc w:val="left"/>
      <w:pPr>
        <w:ind w:left="7174" w:hanging="360"/>
      </w:pPr>
      <w:rPr>
        <w:rFonts w:ascii="Wingdings" w:hAnsi="Wingdings" w:hint="default"/>
      </w:rPr>
    </w:lvl>
  </w:abstractNum>
  <w:abstractNum w:abstractNumId="4">
    <w:nsid w:val="11286EA9"/>
    <w:multiLevelType w:val="hybridMultilevel"/>
    <w:tmpl w:val="A79EF7AE"/>
    <w:lvl w:ilvl="0">
      <w:start w:val="1"/>
      <w:numFmt w:val="decimal"/>
      <w:lvlText w:val="%1."/>
      <w:lvlJc w:val="left"/>
      <w:pPr>
        <w:ind w:left="720" w:hanging="360"/>
      </w:pPr>
      <w:rPr>
        <w:rFonts w:hint="default"/>
        <w:b w:val="0"/>
        <w:sz w:val="24"/>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11701D68"/>
    <w:multiLevelType w:val="hybridMultilevel"/>
    <w:tmpl w:val="BD04BBB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1A0D200F"/>
    <w:multiLevelType w:val="hybridMultilevel"/>
    <w:tmpl w:val="8206BB0C"/>
    <w:lvl w:ilvl="0">
      <w:start w:val="1"/>
      <w:numFmt w:val="bullet"/>
      <w:pStyle w:val="Style3"/>
      <w:lvlText w:val=""/>
      <w:lvlPicBulletId w:val="0"/>
      <w:lvlJc w:val="left"/>
      <w:pPr>
        <w:ind w:left="1573" w:hanging="360"/>
      </w:pPr>
      <w:rPr>
        <w:rFonts w:ascii="Symbol" w:hAnsi="Symbol" w:cs="Symbol" w:hint="default"/>
        <w:color w:val="auto"/>
        <w:sz w:val="28"/>
        <w:szCs w:val="28"/>
        <w:lang w:bidi="he-IL"/>
      </w:rPr>
    </w:lvl>
    <w:lvl w:ilvl="1">
      <w:start w:val="1"/>
      <w:numFmt w:val="bullet"/>
      <w:lvlText w:val="o"/>
      <w:lvlJc w:val="left"/>
      <w:pPr>
        <w:ind w:left="2435" w:hanging="360"/>
      </w:pPr>
      <w:rPr>
        <w:rFonts w:ascii="Courier New" w:hAnsi="Courier New" w:cs="Courier New" w:hint="default"/>
      </w:rPr>
    </w:lvl>
    <w:lvl w:ilvl="2" w:tentative="1">
      <w:start w:val="1"/>
      <w:numFmt w:val="bullet"/>
      <w:lvlText w:val=""/>
      <w:lvlJc w:val="left"/>
      <w:pPr>
        <w:ind w:left="3155" w:hanging="360"/>
      </w:pPr>
      <w:rPr>
        <w:rFonts w:ascii="Wingdings" w:hAnsi="Wingdings" w:hint="default"/>
      </w:rPr>
    </w:lvl>
    <w:lvl w:ilvl="3" w:tentative="1">
      <w:start w:val="1"/>
      <w:numFmt w:val="bullet"/>
      <w:lvlText w:val=""/>
      <w:lvlJc w:val="left"/>
      <w:pPr>
        <w:ind w:left="3875" w:hanging="360"/>
      </w:pPr>
      <w:rPr>
        <w:rFonts w:ascii="Symbol" w:hAnsi="Symbol" w:hint="default"/>
      </w:rPr>
    </w:lvl>
    <w:lvl w:ilvl="4" w:tentative="1">
      <w:start w:val="1"/>
      <w:numFmt w:val="bullet"/>
      <w:lvlText w:val="o"/>
      <w:lvlJc w:val="left"/>
      <w:pPr>
        <w:ind w:left="4595" w:hanging="360"/>
      </w:pPr>
      <w:rPr>
        <w:rFonts w:ascii="Courier New" w:hAnsi="Courier New" w:cs="Courier New" w:hint="default"/>
      </w:rPr>
    </w:lvl>
    <w:lvl w:ilvl="5" w:tentative="1">
      <w:start w:val="1"/>
      <w:numFmt w:val="bullet"/>
      <w:lvlText w:val=""/>
      <w:lvlJc w:val="left"/>
      <w:pPr>
        <w:ind w:left="5315" w:hanging="360"/>
      </w:pPr>
      <w:rPr>
        <w:rFonts w:ascii="Wingdings" w:hAnsi="Wingdings" w:hint="default"/>
      </w:rPr>
    </w:lvl>
    <w:lvl w:ilvl="6" w:tentative="1">
      <w:start w:val="1"/>
      <w:numFmt w:val="bullet"/>
      <w:lvlText w:val=""/>
      <w:lvlJc w:val="left"/>
      <w:pPr>
        <w:ind w:left="6035" w:hanging="360"/>
      </w:pPr>
      <w:rPr>
        <w:rFonts w:ascii="Symbol" w:hAnsi="Symbol" w:hint="default"/>
      </w:rPr>
    </w:lvl>
    <w:lvl w:ilvl="7" w:tentative="1">
      <w:start w:val="1"/>
      <w:numFmt w:val="bullet"/>
      <w:lvlText w:val="o"/>
      <w:lvlJc w:val="left"/>
      <w:pPr>
        <w:ind w:left="6755" w:hanging="360"/>
      </w:pPr>
      <w:rPr>
        <w:rFonts w:ascii="Courier New" w:hAnsi="Courier New" w:cs="Courier New" w:hint="default"/>
      </w:rPr>
    </w:lvl>
    <w:lvl w:ilvl="8" w:tentative="1">
      <w:start w:val="1"/>
      <w:numFmt w:val="bullet"/>
      <w:lvlText w:val=""/>
      <w:lvlJc w:val="left"/>
      <w:pPr>
        <w:ind w:left="7475" w:hanging="360"/>
      </w:pPr>
      <w:rPr>
        <w:rFonts w:ascii="Wingdings" w:hAnsi="Wingdings" w:hint="default"/>
      </w:rPr>
    </w:lvl>
  </w:abstractNum>
  <w:abstractNum w:abstractNumId="7">
    <w:nsid w:val="1CCB5BF3"/>
    <w:multiLevelType w:val="multilevel"/>
    <w:tmpl w:val="646C0440"/>
    <w:lvl w:ilvl="0">
      <w:start w:val="1"/>
      <w:numFmt w:val="decimal"/>
      <w:lvlText w:val="%1."/>
      <w:lvlJc w:val="left"/>
      <w:pPr>
        <w:ind w:left="340" w:hanging="340"/>
      </w:pPr>
      <w:rPr>
        <w:rFonts w:hint="default"/>
      </w:rPr>
    </w:lvl>
    <w:lvl w:ilvl="1">
      <w:start w:val="1"/>
      <w:numFmt w:val="none"/>
      <w:pStyle w:val="714"/>
      <w:lvlText w:val="א."/>
      <w:lvlJc w:val="left"/>
      <w:pPr>
        <w:tabs>
          <w:tab w:val="num" w:pos="794"/>
        </w:tabs>
        <w:ind w:left="794" w:hanging="85"/>
      </w:pPr>
      <w:rPr>
        <w:b w:val="0"/>
        <w:bCs w:val="0"/>
        <w:i w:val="0"/>
        <w:iCs w:val="0"/>
        <w:caps w:val="0"/>
        <w:smallCaps w:val="0"/>
        <w:strike w:val="0"/>
        <w:dstrike w:val="0"/>
        <w:noProof w:val="0"/>
        <w:vanish w:val="0"/>
        <w:color w:val="00000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noFill/>
          <w14:prstDash w14:val="solid"/>
          <w14:bevel/>
        </w14:textOutline>
        <w14:scene3d>
          <w14:camera w14:prst="orthographicFront"/>
          <w14:lightRig w14:rig="threePt" w14:dir="t">
            <w14:rot w14:lat="0" w14:lon="0" w14:rev="0"/>
          </w14:lightRig>
        </w14:scene3d>
        <w14:props3d/>
        <w14:ligatures w14:val="none"/>
        <w14:numForm w14:val="default"/>
        <w14:numSpacing w14:val="default"/>
        <w14:stylisticSets xmlns:w14="http://schemas.microsoft.com/office/word/2010/wordml"/>
        <w14:cntxtAlts w14:val="0"/>
      </w:rPr>
    </w:lvl>
    <w:lvl w:ilvl="2">
      <w:start w:val="1"/>
      <w:numFmt w:val="decimal"/>
      <w:lvlText w:val="(%3)"/>
      <w:lvlJc w:val="left"/>
      <w:pPr>
        <w:ind w:left="1077" w:hanging="397"/>
      </w:pPr>
      <w:rPr>
        <w:rFonts w:hint="default"/>
        <w:sz w:val="24"/>
        <w:szCs w:val="24"/>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8">
    <w:nsid w:val="21F60817"/>
    <w:multiLevelType w:val="hybridMultilevel"/>
    <w:tmpl w:val="193436E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2C9E552A"/>
    <w:multiLevelType w:val="hybridMultilevel"/>
    <w:tmpl w:val="E2B4AE2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2DE56E8C"/>
    <w:multiLevelType w:val="singleLevel"/>
    <w:tmpl w:val="1FD0DF68"/>
    <w:lvl w:ilvl="0">
      <w:start w:val="1"/>
      <w:numFmt w:val="none"/>
      <w:pStyle w:val="BulletList2"/>
      <w:lvlText w:val=""/>
      <w:lvlJc w:val="center"/>
      <w:pPr>
        <w:tabs>
          <w:tab w:val="num" w:pos="1083"/>
        </w:tabs>
        <w:ind w:left="1083" w:hanging="306"/>
      </w:pPr>
      <w:rPr>
        <w:rFonts w:ascii="Symbol" w:hAnsi="Symbol" w:hint="default"/>
      </w:rPr>
    </w:lvl>
  </w:abstractNum>
  <w:abstractNum w:abstractNumId="11">
    <w:nsid w:val="34FD1CEF"/>
    <w:multiLevelType w:val="hybridMultilevel"/>
    <w:tmpl w:val="E4A2CB6A"/>
    <w:lvl w:ilvl="0">
      <w:start w:val="1"/>
      <w:numFmt w:val="decimal"/>
      <w:lvlText w:val="%1."/>
      <w:lvlJc w:val="left"/>
      <w:pPr>
        <w:ind w:left="360" w:hanging="360"/>
      </w:pPr>
      <w:rPr>
        <w:rFonts w:hint="default"/>
      </w:rPr>
    </w:lvl>
    <w:lvl w:ilvl="1" w:tentative="1">
      <w:start w:val="1"/>
      <w:numFmt w:val="lowerLetter"/>
      <w:lvlText w:val="%2."/>
      <w:lvlJc w:val="left"/>
      <w:pPr>
        <w:ind w:left="2214" w:hanging="360"/>
      </w:pPr>
    </w:lvl>
    <w:lvl w:ilvl="2" w:tentative="1">
      <w:start w:val="1"/>
      <w:numFmt w:val="lowerRoman"/>
      <w:lvlText w:val="%3."/>
      <w:lvlJc w:val="right"/>
      <w:pPr>
        <w:ind w:left="2934" w:hanging="180"/>
      </w:pPr>
    </w:lvl>
    <w:lvl w:ilvl="3" w:tentative="1">
      <w:start w:val="1"/>
      <w:numFmt w:val="decimal"/>
      <w:lvlText w:val="%4."/>
      <w:lvlJc w:val="left"/>
      <w:pPr>
        <w:ind w:left="3654" w:hanging="360"/>
      </w:pPr>
    </w:lvl>
    <w:lvl w:ilvl="4" w:tentative="1">
      <w:start w:val="1"/>
      <w:numFmt w:val="lowerLetter"/>
      <w:lvlText w:val="%5."/>
      <w:lvlJc w:val="left"/>
      <w:pPr>
        <w:ind w:left="4374" w:hanging="360"/>
      </w:pPr>
    </w:lvl>
    <w:lvl w:ilvl="5" w:tentative="1">
      <w:start w:val="1"/>
      <w:numFmt w:val="lowerRoman"/>
      <w:lvlText w:val="%6."/>
      <w:lvlJc w:val="right"/>
      <w:pPr>
        <w:ind w:left="5094" w:hanging="180"/>
      </w:pPr>
    </w:lvl>
    <w:lvl w:ilvl="6" w:tentative="1">
      <w:start w:val="1"/>
      <w:numFmt w:val="decimal"/>
      <w:lvlText w:val="%7."/>
      <w:lvlJc w:val="left"/>
      <w:pPr>
        <w:ind w:left="5814" w:hanging="360"/>
      </w:pPr>
    </w:lvl>
    <w:lvl w:ilvl="7" w:tentative="1">
      <w:start w:val="1"/>
      <w:numFmt w:val="lowerLetter"/>
      <w:lvlText w:val="%8."/>
      <w:lvlJc w:val="left"/>
      <w:pPr>
        <w:ind w:left="6534" w:hanging="360"/>
      </w:pPr>
    </w:lvl>
    <w:lvl w:ilvl="8" w:tentative="1">
      <w:start w:val="1"/>
      <w:numFmt w:val="lowerRoman"/>
      <w:lvlText w:val="%9."/>
      <w:lvlJc w:val="right"/>
      <w:pPr>
        <w:ind w:left="7254" w:hanging="180"/>
      </w:pPr>
    </w:lvl>
  </w:abstractNum>
  <w:abstractNum w:abstractNumId="12">
    <w:nsid w:val="3BA731A4"/>
    <w:multiLevelType w:val="multilevel"/>
    <w:tmpl w:val="00DEBF2A"/>
    <w:lvl w:ilvl="0">
      <w:start w:val="1"/>
      <w:numFmt w:val="decimal"/>
      <w:pStyle w:val="Hn1"/>
      <w:lvlText w:val="%1."/>
      <w:lvlJc w:val="left"/>
      <w:pPr>
        <w:tabs>
          <w:tab w:val="num" w:pos="720"/>
        </w:tabs>
        <w:ind w:left="720" w:hanging="720"/>
      </w:pPr>
      <w:rPr>
        <w:rFonts w:hint="default"/>
      </w:rPr>
    </w:lvl>
    <w:lvl w:ilvl="1">
      <w:start w:val="1"/>
      <w:numFmt w:val="decimal"/>
      <w:pStyle w:val="Hn2"/>
      <w:lvlText w:val="%1.%2"/>
      <w:lvlJc w:val="left"/>
      <w:pPr>
        <w:tabs>
          <w:tab w:val="num" w:pos="720"/>
        </w:tabs>
        <w:ind w:left="720" w:hanging="720"/>
      </w:pPr>
      <w:rPr>
        <w:rFonts w:hint="default"/>
      </w:rPr>
    </w:lvl>
    <w:lvl w:ilvl="2">
      <w:start w:val="1"/>
      <w:numFmt w:val="decimal"/>
      <w:pStyle w:val="Hn3"/>
      <w:lvlText w:val="%1.%2.%3"/>
      <w:lvlJc w:val="left"/>
      <w:pPr>
        <w:tabs>
          <w:tab w:val="num" w:pos="720"/>
        </w:tabs>
        <w:ind w:left="720" w:hanging="720"/>
      </w:pPr>
      <w:rPr>
        <w:rFonts w:hint="default"/>
        <w:color w:val="auto"/>
      </w:rPr>
    </w:lvl>
    <w:lvl w:ilvl="3">
      <w:start w:val="1"/>
      <w:numFmt w:val="decimal"/>
      <w:pStyle w:val="Hn4"/>
      <w:lvlText w:val="%1.%2.%3.%4"/>
      <w:lvlJc w:val="left"/>
      <w:pPr>
        <w:tabs>
          <w:tab w:val="num" w:pos="720"/>
        </w:tabs>
        <w:ind w:left="720" w:hanging="720"/>
      </w:pPr>
      <w:rPr>
        <w:rFonts w:hint="default"/>
      </w:rPr>
    </w:lvl>
    <w:lvl w:ilvl="4">
      <w:start w:val="1"/>
      <w:numFmt w:val="decimal"/>
      <w:pStyle w:val="Hn5"/>
      <w:lvlText w:val="%1.%2.%3.%4.%5"/>
      <w:lvlJc w:val="left"/>
      <w:pPr>
        <w:tabs>
          <w:tab w:val="num" w:pos="720"/>
        </w:tabs>
        <w:ind w:left="720" w:hanging="720"/>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3">
    <w:nsid w:val="3BC1088C"/>
    <w:multiLevelType w:val="multilevel"/>
    <w:tmpl w:val="50E48E52"/>
    <w:lvl w:ilvl="0">
      <w:start w:val="1"/>
      <w:numFmt w:val="decimal"/>
      <w:pStyle w:val="712"/>
      <w:lvlText w:val="%1."/>
      <w:lvlJc w:val="left"/>
      <w:pPr>
        <w:ind w:left="397" w:hanging="397"/>
      </w:pPr>
      <w:rPr>
        <w:rFonts w:hint="default"/>
        <w:b w:val="0"/>
        <w:bCs w:val="0"/>
        <w:i w:val="0"/>
        <w:iCs w:val="0"/>
        <w:caps w:val="0"/>
        <w:smallCaps w:val="0"/>
        <w:strike w:val="0"/>
        <w:dstrike w:val="0"/>
        <w:noProof w:val="0"/>
        <w:vanish w:val="0"/>
        <w:color w:val="auto"/>
        <w:spacing w:val="0"/>
        <w:kern w:val="0"/>
        <w:position w:val="0"/>
        <w:u w:val="none"/>
        <w:effect w:val="none"/>
        <w:vertAlign w:val="baseline"/>
        <w:lang w:bidi="he-IL"/>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noFill/>
          <w14:prstDash w14:val="solid"/>
          <w14:bevel/>
        </w14:textOutline>
        <w14:scene3d>
          <w14:camera w14:prst="orthographicFront"/>
          <w14:lightRig w14:rig="threePt" w14:dir="t">
            <w14:rot w14:lat="0" w14:lon="0" w14:rev="0"/>
          </w14:lightRig>
        </w14:scene3d>
        <w14:props3d/>
        <w14:ligatures w14:val="none"/>
        <w14:numForm w14:val="default"/>
        <w14:numSpacing w14:val="default"/>
        <w14:stylisticSets xmlns:w14="http://schemas.microsoft.com/office/word/2010/wordml"/>
        <w14:cntxtAlts w14:val="0"/>
      </w:rPr>
    </w:lvl>
    <w:lvl w:ilvl="1">
      <w:start w:val="1"/>
      <w:numFmt w:val="hebrew1"/>
      <w:pStyle w:val="7116"/>
      <w:lvlText w:val="%2."/>
      <w:lvlJc w:val="left"/>
      <w:pPr>
        <w:ind w:left="765" w:hanging="340"/>
      </w:pPr>
      <w:rPr>
        <w:rFonts w:hint="default"/>
        <w:lang w:val="en-US"/>
      </w:rPr>
    </w:lvl>
    <w:lvl w:ilvl="2">
      <w:start w:val="1"/>
      <w:numFmt w:val="decimal"/>
      <w:pStyle w:val="a3"/>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14">
    <w:nsid w:val="459C2999"/>
    <w:multiLevelType w:val="multilevel"/>
    <w:tmpl w:val="065C52B0"/>
    <w:lvl w:ilvl="0">
      <w:start w:val="1"/>
      <w:numFmt w:val="hebrew1"/>
      <w:pStyle w:val="7122"/>
      <w:lvlText w:val="%1."/>
      <w:lvlJc w:val="left"/>
      <w:pPr>
        <w:ind w:left="340" w:hanging="340"/>
      </w:pPr>
      <w:rPr>
        <w:rFonts w:ascii="Tahoma" w:eastAsia="Times New Roman" w:hAnsi="Tahoma" w:cs="Tahoma" w:hint="default"/>
        <w:lang w:bidi="he-IL"/>
      </w:rPr>
    </w:lvl>
    <w:lvl w:ilvl="1">
      <w:start w:val="1"/>
      <w:numFmt w:val="hebrew1"/>
      <w:lvlText w:val="%2."/>
      <w:lvlJc w:val="left"/>
      <w:pPr>
        <w:ind w:left="680" w:hanging="340"/>
      </w:pPr>
      <w:rPr>
        <w:rFonts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15">
    <w:nsid w:val="5C2D00DD"/>
    <w:multiLevelType w:val="multilevel"/>
    <w:tmpl w:val="CB2CFB36"/>
    <w:styleLink w:val="-"/>
    <w:lvl w:ilvl="0">
      <w:start w:val="1"/>
      <w:numFmt w:val="decimal"/>
      <w:lvlText w:val="%1."/>
      <w:lvlJc w:val="left"/>
      <w:pPr>
        <w:tabs>
          <w:tab w:val="num" w:pos="357"/>
        </w:tabs>
        <w:ind w:left="357" w:hanging="357"/>
      </w:pPr>
    </w:lvl>
    <w:lvl w:ilvl="1">
      <w:start w:val="1"/>
      <w:numFmt w:val="decimal"/>
      <w:lvlText w:val="%1.%2."/>
      <w:lvlJc w:val="left"/>
      <w:pPr>
        <w:tabs>
          <w:tab w:val="num" w:pos="794"/>
        </w:tabs>
        <w:ind w:left="794" w:hanging="437"/>
      </w:pPr>
    </w:lvl>
    <w:lvl w:ilvl="2">
      <w:start w:val="1"/>
      <w:numFmt w:val="decimal"/>
      <w:lvlText w:val="%1.%2.%3."/>
      <w:lvlJc w:val="left"/>
      <w:pPr>
        <w:tabs>
          <w:tab w:val="num" w:pos="1440"/>
        </w:tabs>
        <w:ind w:left="1225" w:hanging="505"/>
      </w:pPr>
    </w:lvl>
    <w:lvl w:ilvl="3">
      <w:start w:val="1"/>
      <w:numFmt w:val="decimal"/>
      <w:lvlText w:val="%1.%2.%3.%4."/>
      <w:lvlJc w:val="left"/>
      <w:pPr>
        <w:tabs>
          <w:tab w:val="num" w:pos="1797"/>
        </w:tabs>
        <w:ind w:left="1729" w:hanging="652"/>
      </w:pPr>
    </w:lvl>
    <w:lvl w:ilvl="4">
      <w:start w:val="1"/>
      <w:numFmt w:val="decimal"/>
      <w:lvlText w:val="%1.%2.%3.%4.%5."/>
      <w:lvlJc w:val="left"/>
      <w:pPr>
        <w:tabs>
          <w:tab w:val="num" w:pos="2517"/>
        </w:tabs>
        <w:ind w:left="2234" w:hanging="794"/>
      </w:pPr>
    </w:lvl>
    <w:lvl w:ilvl="5">
      <w:start w:val="1"/>
      <w:numFmt w:val="decimal"/>
      <w:lvlText w:val="%1.%2.%3.%4.%5.%6."/>
      <w:lvlJc w:val="left"/>
      <w:pPr>
        <w:tabs>
          <w:tab w:val="num" w:pos="2880"/>
        </w:tabs>
        <w:ind w:left="2738" w:hanging="941"/>
      </w:pPr>
    </w:lvl>
    <w:lvl w:ilvl="6">
      <w:start w:val="1"/>
      <w:numFmt w:val="decimal"/>
      <w:lvlText w:val="%1.%2.%3.%4.%5.%6.%7."/>
      <w:lvlJc w:val="left"/>
      <w:pPr>
        <w:tabs>
          <w:tab w:val="num" w:pos="3600"/>
        </w:tabs>
        <w:ind w:left="3237" w:hanging="1077"/>
      </w:pPr>
    </w:lvl>
    <w:lvl w:ilvl="7">
      <w:start w:val="1"/>
      <w:numFmt w:val="decimal"/>
      <w:lvlText w:val="%1.%2.%3.%4.%5.%6.%7.%8."/>
      <w:lvlJc w:val="left"/>
      <w:pPr>
        <w:tabs>
          <w:tab w:val="num" w:pos="3957"/>
        </w:tabs>
        <w:ind w:left="3742" w:hanging="1225"/>
      </w:pPr>
    </w:lvl>
    <w:lvl w:ilvl="8">
      <w:start w:val="1"/>
      <w:numFmt w:val="decimal"/>
      <w:lvlText w:val="%1.%2.%3.%4.%5.%6.%7.%8.%9."/>
      <w:lvlJc w:val="left"/>
      <w:pPr>
        <w:tabs>
          <w:tab w:val="num" w:pos="4677"/>
        </w:tabs>
        <w:ind w:left="4320" w:hanging="1440"/>
      </w:pPr>
    </w:lvl>
  </w:abstractNum>
  <w:abstractNum w:abstractNumId="16">
    <w:nsid w:val="5F743717"/>
    <w:multiLevelType w:val="multilevel"/>
    <w:tmpl w:val="54B40DD4"/>
    <w:lvl w:ilvl="0">
      <w:start w:val="1"/>
      <w:numFmt w:val="decimal"/>
      <w:pStyle w:val="a23"/>
      <w:lvlText w:val="%1."/>
      <w:lvlJc w:val="left"/>
      <w:pPr>
        <w:tabs>
          <w:tab w:val="num" w:pos="360"/>
        </w:tabs>
        <w:ind w:left="360" w:hanging="360"/>
      </w:pPr>
      <w:rPr>
        <w:rFonts w:cs="David" w:hint="cs"/>
        <w:szCs w:val="24"/>
      </w:rPr>
    </w:lvl>
    <w:lvl w:ilvl="1">
      <w:start w:val="1"/>
      <w:numFmt w:val="decimal"/>
      <w:lvlText w:val="%1.%2."/>
      <w:lvlJc w:val="left"/>
      <w:pPr>
        <w:tabs>
          <w:tab w:val="num" w:pos="792"/>
        </w:tabs>
        <w:ind w:left="792" w:hanging="432"/>
      </w:pPr>
      <w:rPr>
        <w:rFonts w:cs="David" w:hint="cs"/>
        <w:b w:val="0"/>
        <w:bCs w:val="0"/>
        <w:sz w:val="24"/>
        <w:szCs w:val="24"/>
      </w:rPr>
    </w:lvl>
    <w:lvl w:ilvl="2">
      <w:start w:val="1"/>
      <w:numFmt w:val="decimal"/>
      <w:lvlText w:val="%1.%2.%3."/>
      <w:lvlJc w:val="left"/>
      <w:pPr>
        <w:tabs>
          <w:tab w:val="num" w:pos="1418"/>
        </w:tabs>
        <w:ind w:left="1418" w:hanging="624"/>
      </w:pPr>
      <w:rPr>
        <w:rFonts w:cs="David" w:hint="cs"/>
        <w:b w:val="0"/>
        <w:bCs w:val="0"/>
        <w:szCs w:val="24"/>
      </w:rPr>
    </w:lvl>
    <w:lvl w:ilvl="3">
      <w:start w:val="1"/>
      <w:numFmt w:val="decimal"/>
      <w:lvlText w:val="%1.%2.%3.%4."/>
      <w:lvlJc w:val="left"/>
      <w:pPr>
        <w:tabs>
          <w:tab w:val="num" w:pos="2098"/>
        </w:tabs>
        <w:ind w:left="2098" w:hanging="680"/>
      </w:pPr>
      <w:rPr>
        <w:rFonts w:cs="David" w:hint="cs"/>
        <w:b w:val="0"/>
        <w:bCs w:val="0"/>
        <w:szCs w:val="24"/>
      </w:rPr>
    </w:lvl>
    <w:lvl w:ilvl="4">
      <w:start w:val="1"/>
      <w:numFmt w:val="decimal"/>
      <w:lvlText w:val="%1.%2.%3.%4.%5."/>
      <w:lvlJc w:val="left"/>
      <w:pPr>
        <w:tabs>
          <w:tab w:val="num" w:pos="2325"/>
        </w:tabs>
        <w:ind w:left="2325" w:hanging="227"/>
      </w:pPr>
      <w:rPr>
        <w:rFonts w:cs="David" w:hint="cs"/>
        <w:szCs w:val="24"/>
      </w:rPr>
    </w:lvl>
    <w:lvl w:ilvl="5">
      <w:start w:val="1"/>
      <w:numFmt w:val="decimal"/>
      <w:lvlText w:val="%1.%2.%3.%4.%5.%6."/>
      <w:lvlJc w:val="left"/>
      <w:pPr>
        <w:tabs>
          <w:tab w:val="num" w:pos="2880"/>
        </w:tabs>
        <w:ind w:left="2736" w:hanging="936"/>
      </w:pPr>
      <w:rPr>
        <w:rFonts w:cs="David" w:hint="cs"/>
      </w:rPr>
    </w:lvl>
    <w:lvl w:ilvl="6">
      <w:start w:val="1"/>
      <w:numFmt w:val="decimal"/>
      <w:lvlText w:val="%1.%2.%3.%4.%5.%6.%7."/>
      <w:lvlJc w:val="left"/>
      <w:pPr>
        <w:tabs>
          <w:tab w:val="num" w:pos="3600"/>
        </w:tabs>
        <w:ind w:left="3240" w:hanging="1080"/>
      </w:pPr>
      <w:rPr>
        <w:rFonts w:cs="TypoUpright BT" w:hint="default"/>
      </w:rPr>
    </w:lvl>
    <w:lvl w:ilvl="7">
      <w:start w:val="1"/>
      <w:numFmt w:val="decimal"/>
      <w:lvlText w:val="%1.%2.%3.%4.%5.%6.%7.%8."/>
      <w:lvlJc w:val="left"/>
      <w:pPr>
        <w:tabs>
          <w:tab w:val="num" w:pos="3960"/>
        </w:tabs>
        <w:ind w:left="3744" w:hanging="1224"/>
      </w:pPr>
      <w:rPr>
        <w:rFonts w:cs="TypoUpright BT" w:hint="default"/>
      </w:rPr>
    </w:lvl>
    <w:lvl w:ilvl="8">
      <w:start w:val="1"/>
      <w:numFmt w:val="decimal"/>
      <w:lvlText w:val="%1.%2.%3.%4.%5.%6.%7.%8.%9."/>
      <w:lvlJc w:val="left"/>
      <w:pPr>
        <w:tabs>
          <w:tab w:val="num" w:pos="4680"/>
        </w:tabs>
        <w:ind w:left="4320" w:hanging="1440"/>
      </w:pPr>
      <w:rPr>
        <w:rFonts w:cs="TypoUpright BT" w:hint="default"/>
      </w:rPr>
    </w:lvl>
  </w:abstractNum>
  <w:abstractNum w:abstractNumId="17">
    <w:nsid w:val="67BA1BB6"/>
    <w:multiLevelType w:val="hybridMultilevel"/>
    <w:tmpl w:val="85F0C9C2"/>
    <w:lvl w:ilvl="0">
      <w:start w:val="1"/>
      <w:numFmt w:val="decimal"/>
      <w:lvlText w:val="%1."/>
      <w:lvlJc w:val="left"/>
      <w:pPr>
        <w:ind w:left="720" w:hanging="360"/>
      </w:pPr>
      <w:rPr>
        <w:rFonts w:asciiTheme="majorBidi" w:hAnsiTheme="majorBidi" w:cstheme="majorBidi" w:hint="default"/>
        <w:b w:val="0"/>
        <w:bCs w:val="0"/>
        <w:sz w:val="20"/>
        <w:szCs w:val="24"/>
      </w:rPr>
    </w:lvl>
    <w:lvl w:ilvl="1">
      <w:start w:val="11"/>
      <w:numFmt w:val="lowerLetter"/>
      <w:lvlText w:val="%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685005DF"/>
    <w:multiLevelType w:val="hybridMultilevel"/>
    <w:tmpl w:val="2F54F38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6DB6403D"/>
    <w:multiLevelType w:val="multilevel"/>
    <w:tmpl w:val="F1C00854"/>
    <w:lvl w:ilvl="0">
      <w:start w:val="1"/>
      <w:numFmt w:val="decimal"/>
      <w:lvlText w:val="%1."/>
      <w:lvlJc w:val="left"/>
      <w:pPr>
        <w:ind w:left="340" w:hanging="340"/>
      </w:pPr>
      <w:rPr>
        <w:rFonts w:hint="default"/>
        <w:b w:val="0"/>
        <w:bCs w:val="0"/>
      </w:rPr>
    </w:lvl>
    <w:lvl w:ilvl="1">
      <w:start w:val="1"/>
      <w:numFmt w:val="decimal"/>
      <w:pStyle w:val="7114"/>
      <w:lvlText w:val="%2."/>
      <w:lvlJc w:val="left"/>
      <w:pPr>
        <w:ind w:left="1616" w:hanging="340"/>
      </w:pPr>
      <w:rPr>
        <w:rFonts w:hint="default"/>
        <w:b w:val="0"/>
        <w:bCs w:val="0"/>
        <w:i w:val="0"/>
        <w:iCs w:val="0"/>
        <w:caps w:val="0"/>
        <w:smallCaps w:val="0"/>
        <w:strike w:val="0"/>
        <w:dstrike w:val="0"/>
        <w:noProof w:val="0"/>
        <w:vanish w:val="0"/>
        <w:color w:val="00000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noFill/>
          <w14:prstDash w14:val="solid"/>
          <w14:bevel/>
        </w14:textOutline>
        <w14:scene3d>
          <w14:camera w14:prst="orthographicFront"/>
          <w14:lightRig w14:rig="threePt" w14:dir="t">
            <w14:rot w14:lat="0" w14:lon="0" w14:rev="0"/>
          </w14:lightRig>
        </w14:scene3d>
        <w14:props3d/>
        <w14:ligatures w14:val="none"/>
        <w14:numForm w14:val="default"/>
        <w14:numSpacing w14:val="default"/>
        <w14:stylisticSets xmlns:w14="http://schemas.microsoft.com/office/word/2010/wordml"/>
        <w14:cntxtAlts w14:val="0"/>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20">
    <w:nsid w:val="6EE93AB4"/>
    <w:multiLevelType w:val="hybridMultilevel"/>
    <w:tmpl w:val="4572B962"/>
    <w:lvl w:ilvl="0">
      <w:start w:val="1"/>
      <w:numFmt w:val="decimal"/>
      <w:lvlText w:val="%1."/>
      <w:lvlJc w:val="left"/>
      <w:pPr>
        <w:ind w:left="720" w:hanging="360"/>
      </w:pPr>
      <w:rPr>
        <w:rFonts w:asciiTheme="majorBidi" w:hAnsiTheme="majorBidi" w:cstheme="majorBidi" w:hint="default"/>
        <w:b w:val="0"/>
        <w:bCs w:val="0"/>
        <w:sz w:val="20"/>
        <w:szCs w:val="24"/>
      </w:rPr>
    </w:lvl>
    <w:lvl w:ilvl="1">
      <w:start w:val="11"/>
      <w:numFmt w:val="lowerLetter"/>
      <w:lvlText w:val="%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774F6A82"/>
    <w:multiLevelType w:val="multilevel"/>
    <w:tmpl w:val="E0F81BCC"/>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22">
    <w:nsid w:val="777D407F"/>
    <w:multiLevelType w:val="hybridMultilevel"/>
    <w:tmpl w:val="31B681E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78570223"/>
    <w:multiLevelType w:val="hybridMultilevel"/>
    <w:tmpl w:val="5502987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7B263C11"/>
    <w:multiLevelType w:val="hybridMultilevel"/>
    <w:tmpl w:val="2070BD4C"/>
    <w:lvl w:ilvl="0">
      <w:start w:val="2"/>
      <w:numFmt w:val="bullet"/>
      <w:lvlText w:val=""/>
      <w:lvlJc w:val="left"/>
      <w:pPr>
        <w:ind w:left="720" w:hanging="360"/>
      </w:pPr>
      <w:rPr>
        <w:rFonts w:ascii="Symbol" w:hAnsi="Symbol" w:eastAsiaTheme="minorHAnsi" w:cs="David" w:hint="default"/>
        <w:b/>
        <w:i w:val="0"/>
        <w:caps w:val="0"/>
        <w:strike w:val="0"/>
        <w:dstrike w:val="0"/>
        <w:vanish w:val="0"/>
        <w:color w:val="auto"/>
        <w:sz w:val="22"/>
        <w:szCs w:val="18"/>
        <w:vertAlign w:val="baseline"/>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7D365B29"/>
    <w:multiLevelType w:val="multilevel"/>
    <w:tmpl w:val="E3AA6D54"/>
    <w:lvl w:ilvl="0">
      <w:start w:val="1"/>
      <w:numFmt w:val="hebrew1"/>
      <w:pStyle w:val="7120"/>
      <w:lvlText w:val="%1."/>
      <w:lvlJc w:val="left"/>
      <w:pPr>
        <w:ind w:left="663" w:hanging="340"/>
      </w:pPr>
      <w:rPr>
        <w:rFonts w:ascii="Tahoma" w:hAnsi="Tahoma" w:eastAsiaTheme="minorHAnsi" w:cs="Tahoma" w:hint="default"/>
        <w:b w:val="0"/>
        <w:bCs w:val="0"/>
      </w:rPr>
    </w:lvl>
    <w:lvl w:ilvl="1">
      <w:start w:val="1"/>
      <w:numFmt w:val="hebrew1"/>
      <w:lvlText w:val="%2."/>
      <w:lvlJc w:val="left"/>
      <w:pPr>
        <w:ind w:left="1003" w:hanging="340"/>
      </w:pPr>
    </w:lvl>
    <w:lvl w:ilvl="2">
      <w:start w:val="1"/>
      <w:numFmt w:val="decimal"/>
      <w:lvlText w:val="(%3)"/>
      <w:lvlJc w:val="left"/>
      <w:pPr>
        <w:ind w:left="1400" w:hanging="397"/>
      </w:pPr>
    </w:lvl>
    <w:lvl w:ilvl="3">
      <w:start w:val="1"/>
      <w:numFmt w:val="hebrew1"/>
      <w:lvlText w:val="(%4)"/>
      <w:lvlJc w:val="left"/>
      <w:pPr>
        <w:ind w:left="1797" w:hanging="397"/>
      </w:pPr>
    </w:lvl>
    <w:lvl w:ilvl="4">
      <w:start w:val="1"/>
      <w:numFmt w:val="lowerLetter"/>
      <w:lvlText w:val="(%5)"/>
      <w:lvlJc w:val="left"/>
      <w:pPr>
        <w:ind w:left="2120" w:hanging="357"/>
      </w:pPr>
    </w:lvl>
    <w:lvl w:ilvl="5">
      <w:start w:val="1"/>
      <w:numFmt w:val="lowerRoman"/>
      <w:lvlText w:val="(%6)"/>
      <w:lvlJc w:val="left"/>
      <w:pPr>
        <w:ind w:left="2483" w:hanging="363"/>
      </w:pPr>
    </w:lvl>
    <w:lvl w:ilvl="6">
      <w:start w:val="1"/>
      <w:numFmt w:val="decimal"/>
      <w:lvlText w:val="%7."/>
      <w:lvlJc w:val="left"/>
      <w:pPr>
        <w:ind w:left="2840" w:hanging="357"/>
      </w:pPr>
    </w:lvl>
    <w:lvl w:ilvl="7">
      <w:start w:val="1"/>
      <w:numFmt w:val="lowerLetter"/>
      <w:lvlText w:val="%8."/>
      <w:lvlJc w:val="left"/>
      <w:pPr>
        <w:ind w:left="3203" w:hanging="363"/>
      </w:pPr>
    </w:lvl>
    <w:lvl w:ilvl="8">
      <w:start w:val="1"/>
      <w:numFmt w:val="lowerRoman"/>
      <w:lvlText w:val="%9."/>
      <w:lvlJc w:val="left"/>
      <w:pPr>
        <w:ind w:left="3560" w:hanging="357"/>
      </w:pPr>
    </w:lvl>
  </w:abstractNum>
  <w:num w:numId="1" w16cid:durableId="1357120906">
    <w:abstractNumId w:val="7"/>
  </w:num>
  <w:num w:numId="2" w16cid:durableId="410009135">
    <w:abstractNumId w:val="13"/>
  </w:num>
  <w:num w:numId="3" w16cid:durableId="1500730454">
    <w:abstractNumId w:val="19"/>
  </w:num>
  <w:num w:numId="4" w16cid:durableId="78645908">
    <w:abstractNumId w:val="15"/>
  </w:num>
  <w:num w:numId="5" w16cid:durableId="1275677973">
    <w:abstractNumId w:val="10"/>
  </w:num>
  <w:num w:numId="6" w16cid:durableId="653753002">
    <w:abstractNumId w:val="12"/>
  </w:num>
  <w:num w:numId="7" w16cid:durableId="224269108">
    <w:abstractNumId w:val="25"/>
  </w:num>
  <w:num w:numId="8" w16cid:durableId="439835152">
    <w:abstractNumId w:val="0"/>
  </w:num>
  <w:num w:numId="9" w16cid:durableId="1413434321">
    <w:abstractNumId w:val="14"/>
  </w:num>
  <w:num w:numId="10" w16cid:durableId="1156579616">
    <w:abstractNumId w:val="3"/>
  </w:num>
  <w:num w:numId="11" w16cid:durableId="611285882">
    <w:abstractNumId w:val="16"/>
  </w:num>
  <w:num w:numId="12" w16cid:durableId="1409763858">
    <w:abstractNumId w:val="2"/>
  </w:num>
  <w:num w:numId="13" w16cid:durableId="1331372033">
    <w:abstractNumId w:val="6"/>
  </w:num>
  <w:num w:numId="14" w16cid:durableId="156482539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059552273">
    <w:abstractNumId w:val="8"/>
  </w:num>
  <w:num w:numId="16" w16cid:durableId="1273591268">
    <w:abstractNumId w:val="11"/>
  </w:num>
  <w:num w:numId="17" w16cid:durableId="1168063022">
    <w:abstractNumId w:val="18"/>
  </w:num>
  <w:num w:numId="18" w16cid:durableId="204343474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3553526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607125550">
    <w:abstractNumId w:val="1"/>
  </w:num>
  <w:num w:numId="21" w16cid:durableId="4908757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906038454">
    <w:abstractNumId w:val="21"/>
  </w:num>
  <w:num w:numId="23" w16cid:durableId="1346880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620039735">
    <w:abstractNumId w:val="4"/>
  </w:num>
  <w:num w:numId="25" w16cid:durableId="49238088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10864627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711267084">
    <w:abstractNumId w:val="17"/>
  </w:num>
  <w:num w:numId="28" w16cid:durableId="440493306">
    <w:abstractNumId w:val="20"/>
  </w:num>
  <w:num w:numId="29" w16cid:durableId="625821032">
    <w:abstractNumId w:val="5"/>
  </w:num>
  <w:num w:numId="30" w16cid:durableId="476647105">
    <w:abstractNumId w:val="22"/>
  </w:num>
  <w:num w:numId="31" w16cid:durableId="1596671325">
    <w:abstractNumId w:val="23"/>
  </w:num>
  <w:num w:numId="32" w16cid:durableId="1058167225">
    <w:abstractNumId w:val="9"/>
  </w:num>
  <w:num w:numId="33" w16cid:durableId="2123529841">
    <w:abstractNumId w:val="2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hideSpellingErrors/>
  <w:zoom w:percent="149"/>
  <w:proofState w:spelling="clean" w:grammar="clean"/>
  <w:attachedTemplate r:id="rId1"/>
  <w:stylePaneSortMethod w:val="name"/>
  <w:defaultTabStop w:val="720"/>
  <w:evenAndOddHeaders/>
  <w:drawingGridHorizontalSpacing w:val="100"/>
  <w:displayHorizontalDrawingGridEvery w:val="2"/>
  <w:displayVerticalDrawingGridEvery w:val="2"/>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05CC"/>
    <w:rsid w:val="0000085D"/>
    <w:rsid w:val="00000C40"/>
    <w:rsid w:val="000018EF"/>
    <w:rsid w:val="00001C6B"/>
    <w:rsid w:val="00001D5A"/>
    <w:rsid w:val="00002EF7"/>
    <w:rsid w:val="00003B00"/>
    <w:rsid w:val="00003B77"/>
    <w:rsid w:val="00003D51"/>
    <w:rsid w:val="00003F96"/>
    <w:rsid w:val="0000520D"/>
    <w:rsid w:val="000054B7"/>
    <w:rsid w:val="00005B23"/>
    <w:rsid w:val="00005EE0"/>
    <w:rsid w:val="00006B59"/>
    <w:rsid w:val="000100D8"/>
    <w:rsid w:val="0001014C"/>
    <w:rsid w:val="000107D8"/>
    <w:rsid w:val="00011BFC"/>
    <w:rsid w:val="00011DF7"/>
    <w:rsid w:val="00012657"/>
    <w:rsid w:val="00013BC3"/>
    <w:rsid w:val="0001431C"/>
    <w:rsid w:val="000155F0"/>
    <w:rsid w:val="000157CF"/>
    <w:rsid w:val="00015A22"/>
    <w:rsid w:val="000168DE"/>
    <w:rsid w:val="0001735B"/>
    <w:rsid w:val="00017851"/>
    <w:rsid w:val="000206F1"/>
    <w:rsid w:val="00021298"/>
    <w:rsid w:val="00021FFB"/>
    <w:rsid w:val="00023E81"/>
    <w:rsid w:val="000246D2"/>
    <w:rsid w:val="00024E0C"/>
    <w:rsid w:val="000251E2"/>
    <w:rsid w:val="0002582E"/>
    <w:rsid w:val="000259C7"/>
    <w:rsid w:val="00026245"/>
    <w:rsid w:val="00026367"/>
    <w:rsid w:val="000264D7"/>
    <w:rsid w:val="00026ACC"/>
    <w:rsid w:val="0002705C"/>
    <w:rsid w:val="0003001D"/>
    <w:rsid w:val="000303C9"/>
    <w:rsid w:val="00031C68"/>
    <w:rsid w:val="00031C69"/>
    <w:rsid w:val="00031CEB"/>
    <w:rsid w:val="00032932"/>
    <w:rsid w:val="00033061"/>
    <w:rsid w:val="0003410F"/>
    <w:rsid w:val="0003494D"/>
    <w:rsid w:val="00035688"/>
    <w:rsid w:val="00035B80"/>
    <w:rsid w:val="00035C03"/>
    <w:rsid w:val="000362CA"/>
    <w:rsid w:val="00036B0F"/>
    <w:rsid w:val="00036EB8"/>
    <w:rsid w:val="00037DEE"/>
    <w:rsid w:val="000406C4"/>
    <w:rsid w:val="00040918"/>
    <w:rsid w:val="00040C4D"/>
    <w:rsid w:val="000413AB"/>
    <w:rsid w:val="000419ED"/>
    <w:rsid w:val="00042688"/>
    <w:rsid w:val="00042837"/>
    <w:rsid w:val="0004293F"/>
    <w:rsid w:val="00042BB1"/>
    <w:rsid w:val="00043204"/>
    <w:rsid w:val="000436EC"/>
    <w:rsid w:val="00043931"/>
    <w:rsid w:val="00043CC0"/>
    <w:rsid w:val="000448BE"/>
    <w:rsid w:val="00045038"/>
    <w:rsid w:val="00045492"/>
    <w:rsid w:val="000456D3"/>
    <w:rsid w:val="00046670"/>
    <w:rsid w:val="000470AE"/>
    <w:rsid w:val="00047976"/>
    <w:rsid w:val="00047A92"/>
    <w:rsid w:val="00047CF6"/>
    <w:rsid w:val="00047E7B"/>
    <w:rsid w:val="000501A4"/>
    <w:rsid w:val="00050995"/>
    <w:rsid w:val="00050BDE"/>
    <w:rsid w:val="00050DDE"/>
    <w:rsid w:val="00052281"/>
    <w:rsid w:val="00052AE4"/>
    <w:rsid w:val="000532AA"/>
    <w:rsid w:val="00053AA7"/>
    <w:rsid w:val="00053D09"/>
    <w:rsid w:val="00054B57"/>
    <w:rsid w:val="0005582D"/>
    <w:rsid w:val="0005596D"/>
    <w:rsid w:val="00055CB5"/>
    <w:rsid w:val="00055E07"/>
    <w:rsid w:val="00055E4C"/>
    <w:rsid w:val="00055EC9"/>
    <w:rsid w:val="00056B3E"/>
    <w:rsid w:val="000571B9"/>
    <w:rsid w:val="0005725C"/>
    <w:rsid w:val="00057574"/>
    <w:rsid w:val="00060045"/>
    <w:rsid w:val="00060178"/>
    <w:rsid w:val="00060441"/>
    <w:rsid w:val="000615B4"/>
    <w:rsid w:val="00061760"/>
    <w:rsid w:val="0006189A"/>
    <w:rsid w:val="000618D0"/>
    <w:rsid w:val="00061D7A"/>
    <w:rsid w:val="00063297"/>
    <w:rsid w:val="00063A11"/>
    <w:rsid w:val="00064016"/>
    <w:rsid w:val="0006411D"/>
    <w:rsid w:val="0006445C"/>
    <w:rsid w:val="0006456C"/>
    <w:rsid w:val="00064637"/>
    <w:rsid w:val="00066628"/>
    <w:rsid w:val="00066AF6"/>
    <w:rsid w:val="0006721D"/>
    <w:rsid w:val="000672AB"/>
    <w:rsid w:val="000675B0"/>
    <w:rsid w:val="00067A76"/>
    <w:rsid w:val="00067E32"/>
    <w:rsid w:val="00067F12"/>
    <w:rsid w:val="000706BF"/>
    <w:rsid w:val="000707EE"/>
    <w:rsid w:val="00070E3F"/>
    <w:rsid w:val="000710A8"/>
    <w:rsid w:val="00071F2E"/>
    <w:rsid w:val="00072B83"/>
    <w:rsid w:val="00072FE8"/>
    <w:rsid w:val="000736B3"/>
    <w:rsid w:val="000738F6"/>
    <w:rsid w:val="00073A16"/>
    <w:rsid w:val="00073D9F"/>
    <w:rsid w:val="0007429C"/>
    <w:rsid w:val="00074533"/>
    <w:rsid w:val="00074F31"/>
    <w:rsid w:val="00076758"/>
    <w:rsid w:val="00076ED7"/>
    <w:rsid w:val="0007717F"/>
    <w:rsid w:val="0007762A"/>
    <w:rsid w:val="0007784F"/>
    <w:rsid w:val="00077B79"/>
    <w:rsid w:val="00080072"/>
    <w:rsid w:val="00080087"/>
    <w:rsid w:val="00081494"/>
    <w:rsid w:val="00081D0E"/>
    <w:rsid w:val="000824F8"/>
    <w:rsid w:val="0008345D"/>
    <w:rsid w:val="00083692"/>
    <w:rsid w:val="00083FD0"/>
    <w:rsid w:val="00084E3A"/>
    <w:rsid w:val="00085086"/>
    <w:rsid w:val="00085A22"/>
    <w:rsid w:val="00085B99"/>
    <w:rsid w:val="00086221"/>
    <w:rsid w:val="0008669B"/>
    <w:rsid w:val="00086738"/>
    <w:rsid w:val="00086BCD"/>
    <w:rsid w:val="00090633"/>
    <w:rsid w:val="000907D0"/>
    <w:rsid w:val="00091811"/>
    <w:rsid w:val="00091A72"/>
    <w:rsid w:val="00093E30"/>
    <w:rsid w:val="0009432F"/>
    <w:rsid w:val="00094D5D"/>
    <w:rsid w:val="00094F15"/>
    <w:rsid w:val="0009524E"/>
    <w:rsid w:val="0009559D"/>
    <w:rsid w:val="0009573B"/>
    <w:rsid w:val="00096CF4"/>
    <w:rsid w:val="00096EEC"/>
    <w:rsid w:val="000971EF"/>
    <w:rsid w:val="00097CDE"/>
    <w:rsid w:val="000A00AE"/>
    <w:rsid w:val="000A01F2"/>
    <w:rsid w:val="000A0884"/>
    <w:rsid w:val="000A0915"/>
    <w:rsid w:val="000A134E"/>
    <w:rsid w:val="000A15B1"/>
    <w:rsid w:val="000A1610"/>
    <w:rsid w:val="000A1B28"/>
    <w:rsid w:val="000A26F1"/>
    <w:rsid w:val="000A2BD8"/>
    <w:rsid w:val="000A3690"/>
    <w:rsid w:val="000A43A6"/>
    <w:rsid w:val="000A4686"/>
    <w:rsid w:val="000A5140"/>
    <w:rsid w:val="000A567C"/>
    <w:rsid w:val="000A5B75"/>
    <w:rsid w:val="000A65A9"/>
    <w:rsid w:val="000A69A7"/>
    <w:rsid w:val="000A7D65"/>
    <w:rsid w:val="000B1102"/>
    <w:rsid w:val="000B153C"/>
    <w:rsid w:val="000B1C94"/>
    <w:rsid w:val="000B2074"/>
    <w:rsid w:val="000B2C5B"/>
    <w:rsid w:val="000B2DBE"/>
    <w:rsid w:val="000B3056"/>
    <w:rsid w:val="000B3A23"/>
    <w:rsid w:val="000B4419"/>
    <w:rsid w:val="000B4B55"/>
    <w:rsid w:val="000B55BB"/>
    <w:rsid w:val="000B597C"/>
    <w:rsid w:val="000B6604"/>
    <w:rsid w:val="000B77FC"/>
    <w:rsid w:val="000B7912"/>
    <w:rsid w:val="000B7B95"/>
    <w:rsid w:val="000C05CB"/>
    <w:rsid w:val="000C089C"/>
    <w:rsid w:val="000C0B98"/>
    <w:rsid w:val="000C0F17"/>
    <w:rsid w:val="000C164B"/>
    <w:rsid w:val="000C16F6"/>
    <w:rsid w:val="000C1D0D"/>
    <w:rsid w:val="000C27DC"/>
    <w:rsid w:val="000C2AB9"/>
    <w:rsid w:val="000C2C20"/>
    <w:rsid w:val="000C404B"/>
    <w:rsid w:val="000C43E0"/>
    <w:rsid w:val="000C492E"/>
    <w:rsid w:val="000C4BD9"/>
    <w:rsid w:val="000C50A1"/>
    <w:rsid w:val="000C5E23"/>
    <w:rsid w:val="000C5F85"/>
    <w:rsid w:val="000C6AAF"/>
    <w:rsid w:val="000C7459"/>
    <w:rsid w:val="000D04B8"/>
    <w:rsid w:val="000D11EB"/>
    <w:rsid w:val="000D1714"/>
    <w:rsid w:val="000D2056"/>
    <w:rsid w:val="000D22F0"/>
    <w:rsid w:val="000D2A57"/>
    <w:rsid w:val="000D2F93"/>
    <w:rsid w:val="000D2FE7"/>
    <w:rsid w:val="000D3ADE"/>
    <w:rsid w:val="000D4B88"/>
    <w:rsid w:val="000D53BB"/>
    <w:rsid w:val="000D5B81"/>
    <w:rsid w:val="000D5C0B"/>
    <w:rsid w:val="000D7666"/>
    <w:rsid w:val="000D7EB1"/>
    <w:rsid w:val="000E013E"/>
    <w:rsid w:val="000E0BA2"/>
    <w:rsid w:val="000E1FBD"/>
    <w:rsid w:val="000E2359"/>
    <w:rsid w:val="000E23EA"/>
    <w:rsid w:val="000E2715"/>
    <w:rsid w:val="000E2B2C"/>
    <w:rsid w:val="000E3022"/>
    <w:rsid w:val="000E3B68"/>
    <w:rsid w:val="000E3D52"/>
    <w:rsid w:val="000E3DFA"/>
    <w:rsid w:val="000E44FD"/>
    <w:rsid w:val="000E4D6A"/>
    <w:rsid w:val="000E4DF7"/>
    <w:rsid w:val="000E50E1"/>
    <w:rsid w:val="000E5149"/>
    <w:rsid w:val="000E5834"/>
    <w:rsid w:val="000E6198"/>
    <w:rsid w:val="000E64A1"/>
    <w:rsid w:val="000E6A95"/>
    <w:rsid w:val="000E6AAF"/>
    <w:rsid w:val="000E6F44"/>
    <w:rsid w:val="000E73AF"/>
    <w:rsid w:val="000E7622"/>
    <w:rsid w:val="000F0FAA"/>
    <w:rsid w:val="000F158C"/>
    <w:rsid w:val="000F1DEA"/>
    <w:rsid w:val="000F2408"/>
    <w:rsid w:val="000F2E36"/>
    <w:rsid w:val="000F3700"/>
    <w:rsid w:val="000F4578"/>
    <w:rsid w:val="000F4797"/>
    <w:rsid w:val="000F4B6E"/>
    <w:rsid w:val="000F4C79"/>
    <w:rsid w:val="000F5EDB"/>
    <w:rsid w:val="000F60AB"/>
    <w:rsid w:val="000F62A9"/>
    <w:rsid w:val="000F63B0"/>
    <w:rsid w:val="000F6F38"/>
    <w:rsid w:val="000F76A8"/>
    <w:rsid w:val="000F7725"/>
    <w:rsid w:val="000F78AE"/>
    <w:rsid w:val="00101157"/>
    <w:rsid w:val="00101681"/>
    <w:rsid w:val="00101BB0"/>
    <w:rsid w:val="00101D0F"/>
    <w:rsid w:val="0010231B"/>
    <w:rsid w:val="0010413A"/>
    <w:rsid w:val="00105970"/>
    <w:rsid w:val="00105C14"/>
    <w:rsid w:val="00106A59"/>
    <w:rsid w:val="00107175"/>
    <w:rsid w:val="00107447"/>
    <w:rsid w:val="0010747A"/>
    <w:rsid w:val="001075AF"/>
    <w:rsid w:val="00107A35"/>
    <w:rsid w:val="00107D4A"/>
    <w:rsid w:val="0011074D"/>
    <w:rsid w:val="0011146E"/>
    <w:rsid w:val="00111AD4"/>
    <w:rsid w:val="00111CA0"/>
    <w:rsid w:val="00111F8A"/>
    <w:rsid w:val="00112134"/>
    <w:rsid w:val="00112923"/>
    <w:rsid w:val="00112E28"/>
    <w:rsid w:val="00113AD4"/>
    <w:rsid w:val="00113C2F"/>
    <w:rsid w:val="00113E28"/>
    <w:rsid w:val="00114290"/>
    <w:rsid w:val="00114325"/>
    <w:rsid w:val="00114C7A"/>
    <w:rsid w:val="00114E4E"/>
    <w:rsid w:val="00115432"/>
    <w:rsid w:val="001157CE"/>
    <w:rsid w:val="00115E66"/>
    <w:rsid w:val="001172DF"/>
    <w:rsid w:val="00117408"/>
    <w:rsid w:val="00117C0E"/>
    <w:rsid w:val="0012150C"/>
    <w:rsid w:val="00121EA1"/>
    <w:rsid w:val="0012279D"/>
    <w:rsid w:val="001239A8"/>
    <w:rsid w:val="001239E1"/>
    <w:rsid w:val="001243A4"/>
    <w:rsid w:val="001247BA"/>
    <w:rsid w:val="00124DC1"/>
    <w:rsid w:val="00125628"/>
    <w:rsid w:val="00125881"/>
    <w:rsid w:val="0012741E"/>
    <w:rsid w:val="001305E5"/>
    <w:rsid w:val="00131349"/>
    <w:rsid w:val="00131CCD"/>
    <w:rsid w:val="001321A1"/>
    <w:rsid w:val="0013302E"/>
    <w:rsid w:val="0013406B"/>
    <w:rsid w:val="00134F83"/>
    <w:rsid w:val="001354CB"/>
    <w:rsid w:val="00135695"/>
    <w:rsid w:val="00135742"/>
    <w:rsid w:val="00135A23"/>
    <w:rsid w:val="00136479"/>
    <w:rsid w:val="00136496"/>
    <w:rsid w:val="0013664A"/>
    <w:rsid w:val="0013667B"/>
    <w:rsid w:val="00136A10"/>
    <w:rsid w:val="0013702C"/>
    <w:rsid w:val="00137337"/>
    <w:rsid w:val="001378D5"/>
    <w:rsid w:val="00137FF0"/>
    <w:rsid w:val="00140CC4"/>
    <w:rsid w:val="00141BD3"/>
    <w:rsid w:val="00141BD6"/>
    <w:rsid w:val="00141E09"/>
    <w:rsid w:val="00142206"/>
    <w:rsid w:val="00143176"/>
    <w:rsid w:val="001431D6"/>
    <w:rsid w:val="00143B4D"/>
    <w:rsid w:val="00143FFA"/>
    <w:rsid w:val="0014435E"/>
    <w:rsid w:val="00144908"/>
    <w:rsid w:val="00144BB3"/>
    <w:rsid w:val="00144C4B"/>
    <w:rsid w:val="001451A4"/>
    <w:rsid w:val="001460BB"/>
    <w:rsid w:val="001466D7"/>
    <w:rsid w:val="0014715B"/>
    <w:rsid w:val="00147ED0"/>
    <w:rsid w:val="00150611"/>
    <w:rsid w:val="00150A48"/>
    <w:rsid w:val="00150BE4"/>
    <w:rsid w:val="00150BE7"/>
    <w:rsid w:val="00150BEB"/>
    <w:rsid w:val="00150CC9"/>
    <w:rsid w:val="00150F89"/>
    <w:rsid w:val="00151B16"/>
    <w:rsid w:val="00152452"/>
    <w:rsid w:val="001526AC"/>
    <w:rsid w:val="00152C2F"/>
    <w:rsid w:val="00153149"/>
    <w:rsid w:val="00153A60"/>
    <w:rsid w:val="00153D95"/>
    <w:rsid w:val="00154091"/>
    <w:rsid w:val="0015454A"/>
    <w:rsid w:val="00154682"/>
    <w:rsid w:val="00154827"/>
    <w:rsid w:val="00154F60"/>
    <w:rsid w:val="00155501"/>
    <w:rsid w:val="001560B9"/>
    <w:rsid w:val="001568E3"/>
    <w:rsid w:val="00156CAA"/>
    <w:rsid w:val="00156DEF"/>
    <w:rsid w:val="0015702B"/>
    <w:rsid w:val="00157577"/>
    <w:rsid w:val="00157D86"/>
    <w:rsid w:val="00160155"/>
    <w:rsid w:val="0016031C"/>
    <w:rsid w:val="00161124"/>
    <w:rsid w:val="00161717"/>
    <w:rsid w:val="00161DA5"/>
    <w:rsid w:val="00162EAF"/>
    <w:rsid w:val="001630E8"/>
    <w:rsid w:val="001637C1"/>
    <w:rsid w:val="001639FB"/>
    <w:rsid w:val="00163D00"/>
    <w:rsid w:val="0016401B"/>
    <w:rsid w:val="001643E4"/>
    <w:rsid w:val="00164534"/>
    <w:rsid w:val="00164B64"/>
    <w:rsid w:val="00164C99"/>
    <w:rsid w:val="00165294"/>
    <w:rsid w:val="00166477"/>
    <w:rsid w:val="00166D27"/>
    <w:rsid w:val="00167D07"/>
    <w:rsid w:val="00170230"/>
    <w:rsid w:val="00170320"/>
    <w:rsid w:val="00170625"/>
    <w:rsid w:val="0017091D"/>
    <w:rsid w:val="0017146B"/>
    <w:rsid w:val="00171B4A"/>
    <w:rsid w:val="00171F81"/>
    <w:rsid w:val="0017200D"/>
    <w:rsid w:val="0017265F"/>
    <w:rsid w:val="001730B0"/>
    <w:rsid w:val="00173FDD"/>
    <w:rsid w:val="0017466B"/>
    <w:rsid w:val="001747CF"/>
    <w:rsid w:val="00174A21"/>
    <w:rsid w:val="00175053"/>
    <w:rsid w:val="0017513A"/>
    <w:rsid w:val="00175663"/>
    <w:rsid w:val="00175FE2"/>
    <w:rsid w:val="00176411"/>
    <w:rsid w:val="00176B96"/>
    <w:rsid w:val="00177D09"/>
    <w:rsid w:val="00177D2F"/>
    <w:rsid w:val="00180392"/>
    <w:rsid w:val="00181A6A"/>
    <w:rsid w:val="001821A3"/>
    <w:rsid w:val="00182DC0"/>
    <w:rsid w:val="00183085"/>
    <w:rsid w:val="00183604"/>
    <w:rsid w:val="001839FA"/>
    <w:rsid w:val="00183DDC"/>
    <w:rsid w:val="001850C6"/>
    <w:rsid w:val="0018586A"/>
    <w:rsid w:val="001858E5"/>
    <w:rsid w:val="00185B85"/>
    <w:rsid w:val="0018758B"/>
    <w:rsid w:val="001875BC"/>
    <w:rsid w:val="001875D3"/>
    <w:rsid w:val="001900F7"/>
    <w:rsid w:val="0019015A"/>
    <w:rsid w:val="00190396"/>
    <w:rsid w:val="00190F93"/>
    <w:rsid w:val="0019167B"/>
    <w:rsid w:val="00191FF6"/>
    <w:rsid w:val="00192E51"/>
    <w:rsid w:val="00192F16"/>
    <w:rsid w:val="00193071"/>
    <w:rsid w:val="00193101"/>
    <w:rsid w:val="0019399F"/>
    <w:rsid w:val="00194286"/>
    <w:rsid w:val="001954F2"/>
    <w:rsid w:val="00195BC7"/>
    <w:rsid w:val="00195EBA"/>
    <w:rsid w:val="001960B4"/>
    <w:rsid w:val="0019758B"/>
    <w:rsid w:val="00197B6F"/>
    <w:rsid w:val="00197B8A"/>
    <w:rsid w:val="001A0CA6"/>
    <w:rsid w:val="001A166A"/>
    <w:rsid w:val="001A1E88"/>
    <w:rsid w:val="001A2081"/>
    <w:rsid w:val="001A2A50"/>
    <w:rsid w:val="001A2F88"/>
    <w:rsid w:val="001A325B"/>
    <w:rsid w:val="001A38A7"/>
    <w:rsid w:val="001A3974"/>
    <w:rsid w:val="001A40B6"/>
    <w:rsid w:val="001A4E80"/>
    <w:rsid w:val="001A5D04"/>
    <w:rsid w:val="001A613C"/>
    <w:rsid w:val="001A6276"/>
    <w:rsid w:val="001A72F6"/>
    <w:rsid w:val="001A7D06"/>
    <w:rsid w:val="001B1655"/>
    <w:rsid w:val="001B17FB"/>
    <w:rsid w:val="001B2821"/>
    <w:rsid w:val="001B285C"/>
    <w:rsid w:val="001B2ACB"/>
    <w:rsid w:val="001B2C49"/>
    <w:rsid w:val="001B2D16"/>
    <w:rsid w:val="001B2DBB"/>
    <w:rsid w:val="001B3BE6"/>
    <w:rsid w:val="001B3EFA"/>
    <w:rsid w:val="001B41A2"/>
    <w:rsid w:val="001B4B0A"/>
    <w:rsid w:val="001B4E87"/>
    <w:rsid w:val="001B4EA7"/>
    <w:rsid w:val="001B5656"/>
    <w:rsid w:val="001B5DFF"/>
    <w:rsid w:val="001B65B8"/>
    <w:rsid w:val="001B6CEA"/>
    <w:rsid w:val="001B70CA"/>
    <w:rsid w:val="001B75F0"/>
    <w:rsid w:val="001C00D8"/>
    <w:rsid w:val="001C057E"/>
    <w:rsid w:val="001C2CAD"/>
    <w:rsid w:val="001C308D"/>
    <w:rsid w:val="001C3187"/>
    <w:rsid w:val="001C3232"/>
    <w:rsid w:val="001C34D5"/>
    <w:rsid w:val="001C3ED9"/>
    <w:rsid w:val="001C450A"/>
    <w:rsid w:val="001C45D9"/>
    <w:rsid w:val="001C49B8"/>
    <w:rsid w:val="001C5A02"/>
    <w:rsid w:val="001C5BF5"/>
    <w:rsid w:val="001C5C9D"/>
    <w:rsid w:val="001C72B2"/>
    <w:rsid w:val="001D1192"/>
    <w:rsid w:val="001D149A"/>
    <w:rsid w:val="001D223A"/>
    <w:rsid w:val="001D2243"/>
    <w:rsid w:val="001D2793"/>
    <w:rsid w:val="001D2F2A"/>
    <w:rsid w:val="001D331F"/>
    <w:rsid w:val="001D3679"/>
    <w:rsid w:val="001D3CC2"/>
    <w:rsid w:val="001D461F"/>
    <w:rsid w:val="001D46D3"/>
    <w:rsid w:val="001D49E8"/>
    <w:rsid w:val="001D6714"/>
    <w:rsid w:val="001D6DD6"/>
    <w:rsid w:val="001D713E"/>
    <w:rsid w:val="001D77E6"/>
    <w:rsid w:val="001D7E74"/>
    <w:rsid w:val="001E0D0D"/>
    <w:rsid w:val="001E1C40"/>
    <w:rsid w:val="001E1EC3"/>
    <w:rsid w:val="001E1FB9"/>
    <w:rsid w:val="001E1FD1"/>
    <w:rsid w:val="001E23E2"/>
    <w:rsid w:val="001E3778"/>
    <w:rsid w:val="001E3F7F"/>
    <w:rsid w:val="001E475C"/>
    <w:rsid w:val="001E4DB9"/>
    <w:rsid w:val="001E57D3"/>
    <w:rsid w:val="001E59BD"/>
    <w:rsid w:val="001E5C3E"/>
    <w:rsid w:val="001E641F"/>
    <w:rsid w:val="001E773D"/>
    <w:rsid w:val="001F068F"/>
    <w:rsid w:val="001F0BBB"/>
    <w:rsid w:val="001F0DE8"/>
    <w:rsid w:val="001F4057"/>
    <w:rsid w:val="001F407D"/>
    <w:rsid w:val="001F4183"/>
    <w:rsid w:val="001F5566"/>
    <w:rsid w:val="001F6AE0"/>
    <w:rsid w:val="001F6B1F"/>
    <w:rsid w:val="001F6BA7"/>
    <w:rsid w:val="00200434"/>
    <w:rsid w:val="00200E5B"/>
    <w:rsid w:val="00200FE9"/>
    <w:rsid w:val="002014C8"/>
    <w:rsid w:val="00202068"/>
    <w:rsid w:val="00202878"/>
    <w:rsid w:val="00202F8B"/>
    <w:rsid w:val="00203277"/>
    <w:rsid w:val="00203604"/>
    <w:rsid w:val="00205081"/>
    <w:rsid w:val="00205724"/>
    <w:rsid w:val="002064F7"/>
    <w:rsid w:val="00206509"/>
    <w:rsid w:val="00206BDB"/>
    <w:rsid w:val="0021058F"/>
    <w:rsid w:val="0021135F"/>
    <w:rsid w:val="0021150C"/>
    <w:rsid w:val="002120DB"/>
    <w:rsid w:val="002127FD"/>
    <w:rsid w:val="00212904"/>
    <w:rsid w:val="00212B04"/>
    <w:rsid w:val="00212EEA"/>
    <w:rsid w:val="002130B4"/>
    <w:rsid w:val="00213826"/>
    <w:rsid w:val="00214BC0"/>
    <w:rsid w:val="00214CAA"/>
    <w:rsid w:val="002154D1"/>
    <w:rsid w:val="00215BEE"/>
    <w:rsid w:val="0021654E"/>
    <w:rsid w:val="0022072A"/>
    <w:rsid w:val="00220B3D"/>
    <w:rsid w:val="0022100A"/>
    <w:rsid w:val="00221160"/>
    <w:rsid w:val="0022133C"/>
    <w:rsid w:val="002213EE"/>
    <w:rsid w:val="00221922"/>
    <w:rsid w:val="00221B94"/>
    <w:rsid w:val="00222AAD"/>
    <w:rsid w:val="0022348A"/>
    <w:rsid w:val="00224723"/>
    <w:rsid w:val="002248C1"/>
    <w:rsid w:val="00224C04"/>
    <w:rsid w:val="002251A4"/>
    <w:rsid w:val="00225489"/>
    <w:rsid w:val="00225718"/>
    <w:rsid w:val="00225CAE"/>
    <w:rsid w:val="0022705A"/>
    <w:rsid w:val="00227CD0"/>
    <w:rsid w:val="00227E88"/>
    <w:rsid w:val="0023004B"/>
    <w:rsid w:val="002301B6"/>
    <w:rsid w:val="00230B94"/>
    <w:rsid w:val="00231C3C"/>
    <w:rsid w:val="00231DC5"/>
    <w:rsid w:val="00232836"/>
    <w:rsid w:val="002338F8"/>
    <w:rsid w:val="00234167"/>
    <w:rsid w:val="0023448C"/>
    <w:rsid w:val="00234AB5"/>
    <w:rsid w:val="00234F9B"/>
    <w:rsid w:val="0023589B"/>
    <w:rsid w:val="00235AEE"/>
    <w:rsid w:val="00235D75"/>
    <w:rsid w:val="002366CE"/>
    <w:rsid w:val="002375D3"/>
    <w:rsid w:val="0024001A"/>
    <w:rsid w:val="00240887"/>
    <w:rsid w:val="002419F2"/>
    <w:rsid w:val="002427C4"/>
    <w:rsid w:val="00243E20"/>
    <w:rsid w:val="00244096"/>
    <w:rsid w:val="0024417D"/>
    <w:rsid w:val="00244C55"/>
    <w:rsid w:val="00244C99"/>
    <w:rsid w:val="00245470"/>
    <w:rsid w:val="00246CD7"/>
    <w:rsid w:val="00247C83"/>
    <w:rsid w:val="00250370"/>
    <w:rsid w:val="0025068A"/>
    <w:rsid w:val="00250751"/>
    <w:rsid w:val="002516DF"/>
    <w:rsid w:val="00251B50"/>
    <w:rsid w:val="00254CF4"/>
    <w:rsid w:val="00255715"/>
    <w:rsid w:val="00255877"/>
    <w:rsid w:val="0025701A"/>
    <w:rsid w:val="002575ED"/>
    <w:rsid w:val="002576EB"/>
    <w:rsid w:val="002578A9"/>
    <w:rsid w:val="00260BF5"/>
    <w:rsid w:val="00260D04"/>
    <w:rsid w:val="0026130F"/>
    <w:rsid w:val="00261C84"/>
    <w:rsid w:val="00262A9E"/>
    <w:rsid w:val="002634F4"/>
    <w:rsid w:val="00263521"/>
    <w:rsid w:val="00263A1E"/>
    <w:rsid w:val="00263DB7"/>
    <w:rsid w:val="00265428"/>
    <w:rsid w:val="002654D1"/>
    <w:rsid w:val="00266618"/>
    <w:rsid w:val="0027101D"/>
    <w:rsid w:val="0027121E"/>
    <w:rsid w:val="0027188F"/>
    <w:rsid w:val="002739B2"/>
    <w:rsid w:val="00273A52"/>
    <w:rsid w:val="0027424D"/>
    <w:rsid w:val="00275375"/>
    <w:rsid w:val="00275A79"/>
    <w:rsid w:val="00276563"/>
    <w:rsid w:val="00276D55"/>
    <w:rsid w:val="00277114"/>
    <w:rsid w:val="002813A0"/>
    <w:rsid w:val="00281F46"/>
    <w:rsid w:val="0028281A"/>
    <w:rsid w:val="00282C5A"/>
    <w:rsid w:val="00283FFC"/>
    <w:rsid w:val="002841CB"/>
    <w:rsid w:val="00284ABA"/>
    <w:rsid w:val="00284B06"/>
    <w:rsid w:val="00285362"/>
    <w:rsid w:val="00285EC0"/>
    <w:rsid w:val="0028686C"/>
    <w:rsid w:val="0028694C"/>
    <w:rsid w:val="002869E1"/>
    <w:rsid w:val="00286A23"/>
    <w:rsid w:val="00286C34"/>
    <w:rsid w:val="002907DE"/>
    <w:rsid w:val="00290C01"/>
    <w:rsid w:val="00291775"/>
    <w:rsid w:val="002920D3"/>
    <w:rsid w:val="002925CD"/>
    <w:rsid w:val="00292A58"/>
    <w:rsid w:val="00293FC3"/>
    <w:rsid w:val="00294784"/>
    <w:rsid w:val="00294AF0"/>
    <w:rsid w:val="00296A9F"/>
    <w:rsid w:val="002970CC"/>
    <w:rsid w:val="00297B77"/>
    <w:rsid w:val="00297FD7"/>
    <w:rsid w:val="002A04CC"/>
    <w:rsid w:val="002A1117"/>
    <w:rsid w:val="002A18D6"/>
    <w:rsid w:val="002A2132"/>
    <w:rsid w:val="002A2C5A"/>
    <w:rsid w:val="002A3A3E"/>
    <w:rsid w:val="002A4153"/>
    <w:rsid w:val="002A4707"/>
    <w:rsid w:val="002A4B57"/>
    <w:rsid w:val="002A53E2"/>
    <w:rsid w:val="002A57EB"/>
    <w:rsid w:val="002A598C"/>
    <w:rsid w:val="002A6418"/>
    <w:rsid w:val="002A64F8"/>
    <w:rsid w:val="002A68DE"/>
    <w:rsid w:val="002A6A8F"/>
    <w:rsid w:val="002A6B3B"/>
    <w:rsid w:val="002A7D21"/>
    <w:rsid w:val="002B0C29"/>
    <w:rsid w:val="002B10E8"/>
    <w:rsid w:val="002B12C0"/>
    <w:rsid w:val="002B30DB"/>
    <w:rsid w:val="002B3A8C"/>
    <w:rsid w:val="002B55FA"/>
    <w:rsid w:val="002B5C10"/>
    <w:rsid w:val="002B5D65"/>
    <w:rsid w:val="002B637F"/>
    <w:rsid w:val="002B65DC"/>
    <w:rsid w:val="002B6FB4"/>
    <w:rsid w:val="002C06EB"/>
    <w:rsid w:val="002C1D86"/>
    <w:rsid w:val="002C1EE0"/>
    <w:rsid w:val="002C28D3"/>
    <w:rsid w:val="002C2B0E"/>
    <w:rsid w:val="002C316A"/>
    <w:rsid w:val="002C3B87"/>
    <w:rsid w:val="002C4139"/>
    <w:rsid w:val="002C4302"/>
    <w:rsid w:val="002C4F9F"/>
    <w:rsid w:val="002C54FF"/>
    <w:rsid w:val="002C56F7"/>
    <w:rsid w:val="002C58AD"/>
    <w:rsid w:val="002C65B3"/>
    <w:rsid w:val="002C6D22"/>
    <w:rsid w:val="002C70A2"/>
    <w:rsid w:val="002C7D35"/>
    <w:rsid w:val="002D1688"/>
    <w:rsid w:val="002D1D7A"/>
    <w:rsid w:val="002D2963"/>
    <w:rsid w:val="002D3201"/>
    <w:rsid w:val="002D3AC8"/>
    <w:rsid w:val="002D4617"/>
    <w:rsid w:val="002D4E81"/>
    <w:rsid w:val="002D555F"/>
    <w:rsid w:val="002D572F"/>
    <w:rsid w:val="002D5930"/>
    <w:rsid w:val="002D65CF"/>
    <w:rsid w:val="002D6964"/>
    <w:rsid w:val="002D69A4"/>
    <w:rsid w:val="002D6DBD"/>
    <w:rsid w:val="002D6EA6"/>
    <w:rsid w:val="002D79C7"/>
    <w:rsid w:val="002E0151"/>
    <w:rsid w:val="002E01CC"/>
    <w:rsid w:val="002E0A57"/>
    <w:rsid w:val="002E188D"/>
    <w:rsid w:val="002E1E1F"/>
    <w:rsid w:val="002E24BB"/>
    <w:rsid w:val="002E2DB0"/>
    <w:rsid w:val="002E3AA6"/>
    <w:rsid w:val="002E424B"/>
    <w:rsid w:val="002E4818"/>
    <w:rsid w:val="002E498B"/>
    <w:rsid w:val="002E5757"/>
    <w:rsid w:val="002E6B3E"/>
    <w:rsid w:val="002E707E"/>
    <w:rsid w:val="002E70B8"/>
    <w:rsid w:val="002E7528"/>
    <w:rsid w:val="002E76D3"/>
    <w:rsid w:val="002F06E7"/>
    <w:rsid w:val="002F1184"/>
    <w:rsid w:val="002F11D2"/>
    <w:rsid w:val="002F1452"/>
    <w:rsid w:val="002F1610"/>
    <w:rsid w:val="002F2019"/>
    <w:rsid w:val="002F24F0"/>
    <w:rsid w:val="002F29CA"/>
    <w:rsid w:val="002F3162"/>
    <w:rsid w:val="002F42B0"/>
    <w:rsid w:val="002F4761"/>
    <w:rsid w:val="002F49AA"/>
    <w:rsid w:val="002F5163"/>
    <w:rsid w:val="002F5628"/>
    <w:rsid w:val="002F5A80"/>
    <w:rsid w:val="002F5B51"/>
    <w:rsid w:val="002F5CEC"/>
    <w:rsid w:val="002F6D6C"/>
    <w:rsid w:val="002F6FA5"/>
    <w:rsid w:val="002F724D"/>
    <w:rsid w:val="002F7C75"/>
    <w:rsid w:val="0030043A"/>
    <w:rsid w:val="00300822"/>
    <w:rsid w:val="00300F74"/>
    <w:rsid w:val="0030114C"/>
    <w:rsid w:val="00301153"/>
    <w:rsid w:val="003020D6"/>
    <w:rsid w:val="00302134"/>
    <w:rsid w:val="00302C17"/>
    <w:rsid w:val="00302DC7"/>
    <w:rsid w:val="0030338B"/>
    <w:rsid w:val="003038A7"/>
    <w:rsid w:val="003040EB"/>
    <w:rsid w:val="0030415A"/>
    <w:rsid w:val="00304D83"/>
    <w:rsid w:val="00304E57"/>
    <w:rsid w:val="003050D0"/>
    <w:rsid w:val="00305143"/>
    <w:rsid w:val="0030516B"/>
    <w:rsid w:val="00305A00"/>
    <w:rsid w:val="00305E58"/>
    <w:rsid w:val="003067B1"/>
    <w:rsid w:val="003071E1"/>
    <w:rsid w:val="00307A51"/>
    <w:rsid w:val="00307EC9"/>
    <w:rsid w:val="003108E3"/>
    <w:rsid w:val="00311190"/>
    <w:rsid w:val="0031135A"/>
    <w:rsid w:val="00313D58"/>
    <w:rsid w:val="00313EEC"/>
    <w:rsid w:val="00315624"/>
    <w:rsid w:val="00315BD6"/>
    <w:rsid w:val="00315D7F"/>
    <w:rsid w:val="00315FF2"/>
    <w:rsid w:val="00316385"/>
    <w:rsid w:val="00316C57"/>
    <w:rsid w:val="00316F0F"/>
    <w:rsid w:val="003177E2"/>
    <w:rsid w:val="00320B6A"/>
    <w:rsid w:val="0032289E"/>
    <w:rsid w:val="00322998"/>
    <w:rsid w:val="00322A81"/>
    <w:rsid w:val="00323027"/>
    <w:rsid w:val="0032331E"/>
    <w:rsid w:val="003233BC"/>
    <w:rsid w:val="00324236"/>
    <w:rsid w:val="00324BC1"/>
    <w:rsid w:val="00324C2A"/>
    <w:rsid w:val="00324F0D"/>
    <w:rsid w:val="003257C6"/>
    <w:rsid w:val="00325F44"/>
    <w:rsid w:val="0032676C"/>
    <w:rsid w:val="00326ABF"/>
    <w:rsid w:val="00326C7C"/>
    <w:rsid w:val="00326EF0"/>
    <w:rsid w:val="00326F6A"/>
    <w:rsid w:val="003271AB"/>
    <w:rsid w:val="00327593"/>
    <w:rsid w:val="0032765C"/>
    <w:rsid w:val="003278C8"/>
    <w:rsid w:val="00327D99"/>
    <w:rsid w:val="003318C2"/>
    <w:rsid w:val="00331924"/>
    <w:rsid w:val="00332663"/>
    <w:rsid w:val="00332F33"/>
    <w:rsid w:val="00333BC5"/>
    <w:rsid w:val="003343B9"/>
    <w:rsid w:val="00334A65"/>
    <w:rsid w:val="00334D20"/>
    <w:rsid w:val="00335267"/>
    <w:rsid w:val="0033564C"/>
    <w:rsid w:val="003356A2"/>
    <w:rsid w:val="00335A0A"/>
    <w:rsid w:val="00337048"/>
    <w:rsid w:val="003370BA"/>
    <w:rsid w:val="00337846"/>
    <w:rsid w:val="0033799E"/>
    <w:rsid w:val="00337BB0"/>
    <w:rsid w:val="00337C4E"/>
    <w:rsid w:val="0034038A"/>
    <w:rsid w:val="003405D2"/>
    <w:rsid w:val="003405E7"/>
    <w:rsid w:val="0034070F"/>
    <w:rsid w:val="00340C7C"/>
    <w:rsid w:val="00340D4D"/>
    <w:rsid w:val="0034149F"/>
    <w:rsid w:val="003419FB"/>
    <w:rsid w:val="00341C37"/>
    <w:rsid w:val="00343B0B"/>
    <w:rsid w:val="00343D49"/>
    <w:rsid w:val="00344346"/>
    <w:rsid w:val="00344842"/>
    <w:rsid w:val="00344BBF"/>
    <w:rsid w:val="00345868"/>
    <w:rsid w:val="0034637E"/>
    <w:rsid w:val="003466B0"/>
    <w:rsid w:val="00346930"/>
    <w:rsid w:val="00347612"/>
    <w:rsid w:val="00347800"/>
    <w:rsid w:val="00347942"/>
    <w:rsid w:val="00347A15"/>
    <w:rsid w:val="003509DF"/>
    <w:rsid w:val="003513C7"/>
    <w:rsid w:val="0035145F"/>
    <w:rsid w:val="00351AD0"/>
    <w:rsid w:val="00351F4E"/>
    <w:rsid w:val="003525D4"/>
    <w:rsid w:val="003543E9"/>
    <w:rsid w:val="0035448A"/>
    <w:rsid w:val="00355453"/>
    <w:rsid w:val="003556E1"/>
    <w:rsid w:val="003559A1"/>
    <w:rsid w:val="00355B59"/>
    <w:rsid w:val="00356540"/>
    <w:rsid w:val="00356926"/>
    <w:rsid w:val="00356C79"/>
    <w:rsid w:val="00356CD5"/>
    <w:rsid w:val="00357420"/>
    <w:rsid w:val="00357544"/>
    <w:rsid w:val="00360285"/>
    <w:rsid w:val="003606C0"/>
    <w:rsid w:val="003608B0"/>
    <w:rsid w:val="00361812"/>
    <w:rsid w:val="00363344"/>
    <w:rsid w:val="003633E1"/>
    <w:rsid w:val="00363FE3"/>
    <w:rsid w:val="003640C2"/>
    <w:rsid w:val="00364581"/>
    <w:rsid w:val="003651FF"/>
    <w:rsid w:val="003655C7"/>
    <w:rsid w:val="0036568B"/>
    <w:rsid w:val="00365C9E"/>
    <w:rsid w:val="00365D63"/>
    <w:rsid w:val="00365DC9"/>
    <w:rsid w:val="00365DE2"/>
    <w:rsid w:val="0036639F"/>
    <w:rsid w:val="003668A5"/>
    <w:rsid w:val="003675CC"/>
    <w:rsid w:val="003679C6"/>
    <w:rsid w:val="00370E4A"/>
    <w:rsid w:val="00371181"/>
    <w:rsid w:val="0037128C"/>
    <w:rsid w:val="00371316"/>
    <w:rsid w:val="00371B1D"/>
    <w:rsid w:val="0037230B"/>
    <w:rsid w:val="00372476"/>
    <w:rsid w:val="0037259B"/>
    <w:rsid w:val="0037289B"/>
    <w:rsid w:val="003729F9"/>
    <w:rsid w:val="003734FE"/>
    <w:rsid w:val="0037370B"/>
    <w:rsid w:val="00373CE2"/>
    <w:rsid w:val="003757DE"/>
    <w:rsid w:val="00375AE4"/>
    <w:rsid w:val="00375C87"/>
    <w:rsid w:val="00375F4A"/>
    <w:rsid w:val="00376061"/>
    <w:rsid w:val="00376625"/>
    <w:rsid w:val="0037752E"/>
    <w:rsid w:val="0037753E"/>
    <w:rsid w:val="00377B33"/>
    <w:rsid w:val="00380052"/>
    <w:rsid w:val="003801D8"/>
    <w:rsid w:val="003806AE"/>
    <w:rsid w:val="00381983"/>
    <w:rsid w:val="00382741"/>
    <w:rsid w:val="00382981"/>
    <w:rsid w:val="00383755"/>
    <w:rsid w:val="003839AA"/>
    <w:rsid w:val="003843E4"/>
    <w:rsid w:val="00384EDD"/>
    <w:rsid w:val="00385426"/>
    <w:rsid w:val="0038575C"/>
    <w:rsid w:val="00385CBB"/>
    <w:rsid w:val="00387987"/>
    <w:rsid w:val="003907CF"/>
    <w:rsid w:val="00391776"/>
    <w:rsid w:val="00391943"/>
    <w:rsid w:val="00391D47"/>
    <w:rsid w:val="00392578"/>
    <w:rsid w:val="003926A8"/>
    <w:rsid w:val="003929A4"/>
    <w:rsid w:val="00392CEC"/>
    <w:rsid w:val="00392E92"/>
    <w:rsid w:val="00392F5B"/>
    <w:rsid w:val="0039301B"/>
    <w:rsid w:val="003941E1"/>
    <w:rsid w:val="0039563E"/>
    <w:rsid w:val="0039592D"/>
    <w:rsid w:val="00396082"/>
    <w:rsid w:val="00396AAF"/>
    <w:rsid w:val="00396D3F"/>
    <w:rsid w:val="00396EB2"/>
    <w:rsid w:val="003971AD"/>
    <w:rsid w:val="00397234"/>
    <w:rsid w:val="00397B41"/>
    <w:rsid w:val="00397C56"/>
    <w:rsid w:val="003A042B"/>
    <w:rsid w:val="003A08AE"/>
    <w:rsid w:val="003A38C7"/>
    <w:rsid w:val="003A3AB2"/>
    <w:rsid w:val="003A3D05"/>
    <w:rsid w:val="003A47A9"/>
    <w:rsid w:val="003A613A"/>
    <w:rsid w:val="003A66EF"/>
    <w:rsid w:val="003A769E"/>
    <w:rsid w:val="003A780A"/>
    <w:rsid w:val="003B0B84"/>
    <w:rsid w:val="003B1053"/>
    <w:rsid w:val="003B166B"/>
    <w:rsid w:val="003B1F61"/>
    <w:rsid w:val="003B30AD"/>
    <w:rsid w:val="003B4CBF"/>
    <w:rsid w:val="003B505F"/>
    <w:rsid w:val="003B57EC"/>
    <w:rsid w:val="003B5853"/>
    <w:rsid w:val="003B5A1E"/>
    <w:rsid w:val="003B5E39"/>
    <w:rsid w:val="003B639B"/>
    <w:rsid w:val="003B6576"/>
    <w:rsid w:val="003B6D05"/>
    <w:rsid w:val="003B71E3"/>
    <w:rsid w:val="003B7A94"/>
    <w:rsid w:val="003C0A02"/>
    <w:rsid w:val="003C0C22"/>
    <w:rsid w:val="003C2534"/>
    <w:rsid w:val="003C26AC"/>
    <w:rsid w:val="003C2A0B"/>
    <w:rsid w:val="003C2EC6"/>
    <w:rsid w:val="003C32FE"/>
    <w:rsid w:val="003C3358"/>
    <w:rsid w:val="003C3511"/>
    <w:rsid w:val="003C4F30"/>
    <w:rsid w:val="003C5044"/>
    <w:rsid w:val="003C5153"/>
    <w:rsid w:val="003C5BB1"/>
    <w:rsid w:val="003C5BC7"/>
    <w:rsid w:val="003C6C20"/>
    <w:rsid w:val="003C73F8"/>
    <w:rsid w:val="003C7AD3"/>
    <w:rsid w:val="003C7B2D"/>
    <w:rsid w:val="003D0F91"/>
    <w:rsid w:val="003D16F2"/>
    <w:rsid w:val="003D1D5C"/>
    <w:rsid w:val="003D2796"/>
    <w:rsid w:val="003D2960"/>
    <w:rsid w:val="003D2AE6"/>
    <w:rsid w:val="003D314F"/>
    <w:rsid w:val="003D3533"/>
    <w:rsid w:val="003D415E"/>
    <w:rsid w:val="003D4194"/>
    <w:rsid w:val="003D43B8"/>
    <w:rsid w:val="003D5549"/>
    <w:rsid w:val="003D5B8A"/>
    <w:rsid w:val="003D5CAC"/>
    <w:rsid w:val="003D6310"/>
    <w:rsid w:val="003D6CAC"/>
    <w:rsid w:val="003D6EDD"/>
    <w:rsid w:val="003D6FE1"/>
    <w:rsid w:val="003D7383"/>
    <w:rsid w:val="003D7489"/>
    <w:rsid w:val="003D7A6A"/>
    <w:rsid w:val="003E000E"/>
    <w:rsid w:val="003E009E"/>
    <w:rsid w:val="003E0ABC"/>
    <w:rsid w:val="003E20EB"/>
    <w:rsid w:val="003E2333"/>
    <w:rsid w:val="003E248F"/>
    <w:rsid w:val="003E26E6"/>
    <w:rsid w:val="003E2F13"/>
    <w:rsid w:val="003E31EE"/>
    <w:rsid w:val="003E351E"/>
    <w:rsid w:val="003E364E"/>
    <w:rsid w:val="003E4D21"/>
    <w:rsid w:val="003E4D5A"/>
    <w:rsid w:val="003E58C2"/>
    <w:rsid w:val="003E5FCA"/>
    <w:rsid w:val="003E66A4"/>
    <w:rsid w:val="003E672B"/>
    <w:rsid w:val="003E6F99"/>
    <w:rsid w:val="003E77E9"/>
    <w:rsid w:val="003E798E"/>
    <w:rsid w:val="003F06E0"/>
    <w:rsid w:val="003F0C61"/>
    <w:rsid w:val="003F0D90"/>
    <w:rsid w:val="003F0E51"/>
    <w:rsid w:val="003F2708"/>
    <w:rsid w:val="003F284F"/>
    <w:rsid w:val="003F2DBB"/>
    <w:rsid w:val="003F2F7C"/>
    <w:rsid w:val="003F316F"/>
    <w:rsid w:val="003F3A87"/>
    <w:rsid w:val="003F48CD"/>
    <w:rsid w:val="003F59C0"/>
    <w:rsid w:val="003F5B6A"/>
    <w:rsid w:val="003F6A36"/>
    <w:rsid w:val="003F6CB2"/>
    <w:rsid w:val="003F6D65"/>
    <w:rsid w:val="003F782E"/>
    <w:rsid w:val="003F7B2B"/>
    <w:rsid w:val="004002DD"/>
    <w:rsid w:val="00400D5E"/>
    <w:rsid w:val="00401ED1"/>
    <w:rsid w:val="00402757"/>
    <w:rsid w:val="004029F9"/>
    <w:rsid w:val="00402DAE"/>
    <w:rsid w:val="00403EED"/>
    <w:rsid w:val="0040422D"/>
    <w:rsid w:val="004045D8"/>
    <w:rsid w:val="0040494A"/>
    <w:rsid w:val="00405277"/>
    <w:rsid w:val="004064E0"/>
    <w:rsid w:val="00406E80"/>
    <w:rsid w:val="00406F61"/>
    <w:rsid w:val="00406FEF"/>
    <w:rsid w:val="004078B5"/>
    <w:rsid w:val="0041045D"/>
    <w:rsid w:val="004105DF"/>
    <w:rsid w:val="00410935"/>
    <w:rsid w:val="00410D75"/>
    <w:rsid w:val="00411671"/>
    <w:rsid w:val="0041180B"/>
    <w:rsid w:val="00411AFD"/>
    <w:rsid w:val="0041212D"/>
    <w:rsid w:val="0041284E"/>
    <w:rsid w:val="00412889"/>
    <w:rsid w:val="00413464"/>
    <w:rsid w:val="00413826"/>
    <w:rsid w:val="00414A8A"/>
    <w:rsid w:val="004156B7"/>
    <w:rsid w:val="00416D06"/>
    <w:rsid w:val="00417266"/>
    <w:rsid w:val="004175BE"/>
    <w:rsid w:val="00417D4C"/>
    <w:rsid w:val="00420371"/>
    <w:rsid w:val="004204DC"/>
    <w:rsid w:val="004206BA"/>
    <w:rsid w:val="0042090E"/>
    <w:rsid w:val="0042091E"/>
    <w:rsid w:val="00420DB1"/>
    <w:rsid w:val="0042151A"/>
    <w:rsid w:val="00421D2C"/>
    <w:rsid w:val="0042232C"/>
    <w:rsid w:val="0042545B"/>
    <w:rsid w:val="00425C95"/>
    <w:rsid w:val="00425E72"/>
    <w:rsid w:val="00425E85"/>
    <w:rsid w:val="0042649D"/>
    <w:rsid w:val="00426862"/>
    <w:rsid w:val="00426CE7"/>
    <w:rsid w:val="00426D50"/>
    <w:rsid w:val="00427402"/>
    <w:rsid w:val="004276E0"/>
    <w:rsid w:val="00427A72"/>
    <w:rsid w:val="00427D9F"/>
    <w:rsid w:val="00430277"/>
    <w:rsid w:val="00431AA5"/>
    <w:rsid w:val="00431C39"/>
    <w:rsid w:val="00432A56"/>
    <w:rsid w:val="00433DC5"/>
    <w:rsid w:val="00434C19"/>
    <w:rsid w:val="00435E10"/>
    <w:rsid w:val="0043603B"/>
    <w:rsid w:val="00436048"/>
    <w:rsid w:val="00436479"/>
    <w:rsid w:val="0043662F"/>
    <w:rsid w:val="00436B23"/>
    <w:rsid w:val="00436B37"/>
    <w:rsid w:val="0043791D"/>
    <w:rsid w:val="00437CB8"/>
    <w:rsid w:val="00437D9B"/>
    <w:rsid w:val="00440C19"/>
    <w:rsid w:val="004413C7"/>
    <w:rsid w:val="004414E6"/>
    <w:rsid w:val="004417D2"/>
    <w:rsid w:val="004424B2"/>
    <w:rsid w:val="004428A8"/>
    <w:rsid w:val="00442E2D"/>
    <w:rsid w:val="0044305F"/>
    <w:rsid w:val="00443D1B"/>
    <w:rsid w:val="0044419E"/>
    <w:rsid w:val="00444597"/>
    <w:rsid w:val="0044459F"/>
    <w:rsid w:val="004453BB"/>
    <w:rsid w:val="00445522"/>
    <w:rsid w:val="0044619B"/>
    <w:rsid w:val="00446802"/>
    <w:rsid w:val="004470C5"/>
    <w:rsid w:val="004474BB"/>
    <w:rsid w:val="004475E5"/>
    <w:rsid w:val="004503E1"/>
    <w:rsid w:val="00451A68"/>
    <w:rsid w:val="00451AA2"/>
    <w:rsid w:val="00451E5C"/>
    <w:rsid w:val="0045209D"/>
    <w:rsid w:val="00452950"/>
    <w:rsid w:val="00452FA4"/>
    <w:rsid w:val="00453265"/>
    <w:rsid w:val="00453750"/>
    <w:rsid w:val="004537EC"/>
    <w:rsid w:val="00453CEB"/>
    <w:rsid w:val="004547C8"/>
    <w:rsid w:val="0045495E"/>
    <w:rsid w:val="00455BC0"/>
    <w:rsid w:val="00455C7E"/>
    <w:rsid w:val="0045637F"/>
    <w:rsid w:val="00456A60"/>
    <w:rsid w:val="00456AD9"/>
    <w:rsid w:val="00456F88"/>
    <w:rsid w:val="00460179"/>
    <w:rsid w:val="00460B1C"/>
    <w:rsid w:val="004617CF"/>
    <w:rsid w:val="004622BB"/>
    <w:rsid w:val="00462348"/>
    <w:rsid w:val="00463683"/>
    <w:rsid w:val="00464D56"/>
    <w:rsid w:val="00464DF0"/>
    <w:rsid w:val="00465562"/>
    <w:rsid w:val="00465DDF"/>
    <w:rsid w:val="004661DB"/>
    <w:rsid w:val="00466B28"/>
    <w:rsid w:val="004675B0"/>
    <w:rsid w:val="00467D5E"/>
    <w:rsid w:val="0047012B"/>
    <w:rsid w:val="004705A4"/>
    <w:rsid w:val="00471164"/>
    <w:rsid w:val="0047126F"/>
    <w:rsid w:val="00471AA2"/>
    <w:rsid w:val="00471E18"/>
    <w:rsid w:val="00471FC6"/>
    <w:rsid w:val="0047228C"/>
    <w:rsid w:val="004736FF"/>
    <w:rsid w:val="004743DF"/>
    <w:rsid w:val="00474EE3"/>
    <w:rsid w:val="00474EFE"/>
    <w:rsid w:val="0047620F"/>
    <w:rsid w:val="00476508"/>
    <w:rsid w:val="004767BA"/>
    <w:rsid w:val="004779AA"/>
    <w:rsid w:val="00477F44"/>
    <w:rsid w:val="00480011"/>
    <w:rsid w:val="00480107"/>
    <w:rsid w:val="004809CB"/>
    <w:rsid w:val="00482259"/>
    <w:rsid w:val="00482559"/>
    <w:rsid w:val="0048280E"/>
    <w:rsid w:val="00482C33"/>
    <w:rsid w:val="004830BE"/>
    <w:rsid w:val="004833CE"/>
    <w:rsid w:val="004836A0"/>
    <w:rsid w:val="00483D0D"/>
    <w:rsid w:val="004845B2"/>
    <w:rsid w:val="00485309"/>
    <w:rsid w:val="00485787"/>
    <w:rsid w:val="00486172"/>
    <w:rsid w:val="004865D8"/>
    <w:rsid w:val="00487169"/>
    <w:rsid w:val="004875EB"/>
    <w:rsid w:val="0049015A"/>
    <w:rsid w:val="004902C9"/>
    <w:rsid w:val="00490589"/>
    <w:rsid w:val="00490E40"/>
    <w:rsid w:val="00491199"/>
    <w:rsid w:val="004919A3"/>
    <w:rsid w:val="00491D1E"/>
    <w:rsid w:val="00492D47"/>
    <w:rsid w:val="004930AA"/>
    <w:rsid w:val="004939B6"/>
    <w:rsid w:val="00493AE1"/>
    <w:rsid w:val="00493CBE"/>
    <w:rsid w:val="004945A4"/>
    <w:rsid w:val="00494C49"/>
    <w:rsid w:val="00495214"/>
    <w:rsid w:val="004955D7"/>
    <w:rsid w:val="0049574B"/>
    <w:rsid w:val="004961C5"/>
    <w:rsid w:val="004965B9"/>
    <w:rsid w:val="00497103"/>
    <w:rsid w:val="0049732E"/>
    <w:rsid w:val="004976B0"/>
    <w:rsid w:val="00497953"/>
    <w:rsid w:val="00497FC7"/>
    <w:rsid w:val="00497FC9"/>
    <w:rsid w:val="004A0385"/>
    <w:rsid w:val="004A07F3"/>
    <w:rsid w:val="004A0E02"/>
    <w:rsid w:val="004A0E75"/>
    <w:rsid w:val="004A144B"/>
    <w:rsid w:val="004A1FF4"/>
    <w:rsid w:val="004A30DB"/>
    <w:rsid w:val="004A3415"/>
    <w:rsid w:val="004A3A1C"/>
    <w:rsid w:val="004A5AE0"/>
    <w:rsid w:val="004A5FCA"/>
    <w:rsid w:val="004A6B9E"/>
    <w:rsid w:val="004A6C9C"/>
    <w:rsid w:val="004A6CC0"/>
    <w:rsid w:val="004A6FE6"/>
    <w:rsid w:val="004A77C4"/>
    <w:rsid w:val="004A7ABE"/>
    <w:rsid w:val="004B09A3"/>
    <w:rsid w:val="004B117A"/>
    <w:rsid w:val="004B18AE"/>
    <w:rsid w:val="004B21B0"/>
    <w:rsid w:val="004B2564"/>
    <w:rsid w:val="004B2D77"/>
    <w:rsid w:val="004B2F85"/>
    <w:rsid w:val="004B3850"/>
    <w:rsid w:val="004B4756"/>
    <w:rsid w:val="004B4F65"/>
    <w:rsid w:val="004B5F7A"/>
    <w:rsid w:val="004B6164"/>
    <w:rsid w:val="004B63AE"/>
    <w:rsid w:val="004B7C1A"/>
    <w:rsid w:val="004C056A"/>
    <w:rsid w:val="004C0FFF"/>
    <w:rsid w:val="004C116D"/>
    <w:rsid w:val="004C1653"/>
    <w:rsid w:val="004C1BDC"/>
    <w:rsid w:val="004C2149"/>
    <w:rsid w:val="004C2531"/>
    <w:rsid w:val="004C2B02"/>
    <w:rsid w:val="004C3342"/>
    <w:rsid w:val="004C4396"/>
    <w:rsid w:val="004C4F65"/>
    <w:rsid w:val="004C6628"/>
    <w:rsid w:val="004C7A8F"/>
    <w:rsid w:val="004C7D9F"/>
    <w:rsid w:val="004D16BE"/>
    <w:rsid w:val="004D1983"/>
    <w:rsid w:val="004D1BC8"/>
    <w:rsid w:val="004D1D1F"/>
    <w:rsid w:val="004D2576"/>
    <w:rsid w:val="004D2869"/>
    <w:rsid w:val="004D2D0A"/>
    <w:rsid w:val="004D3387"/>
    <w:rsid w:val="004D38B0"/>
    <w:rsid w:val="004D3AAD"/>
    <w:rsid w:val="004D4C8A"/>
    <w:rsid w:val="004D518E"/>
    <w:rsid w:val="004D562B"/>
    <w:rsid w:val="004D581B"/>
    <w:rsid w:val="004D5AD1"/>
    <w:rsid w:val="004D708B"/>
    <w:rsid w:val="004D7A95"/>
    <w:rsid w:val="004E0BE3"/>
    <w:rsid w:val="004E0E03"/>
    <w:rsid w:val="004E0F37"/>
    <w:rsid w:val="004E13FA"/>
    <w:rsid w:val="004E1450"/>
    <w:rsid w:val="004E1AA9"/>
    <w:rsid w:val="004E1D0E"/>
    <w:rsid w:val="004E1DB7"/>
    <w:rsid w:val="004E1FE7"/>
    <w:rsid w:val="004E221D"/>
    <w:rsid w:val="004E229B"/>
    <w:rsid w:val="004E3112"/>
    <w:rsid w:val="004E39BD"/>
    <w:rsid w:val="004E4095"/>
    <w:rsid w:val="004E5265"/>
    <w:rsid w:val="004E6717"/>
    <w:rsid w:val="004E6D72"/>
    <w:rsid w:val="004E7219"/>
    <w:rsid w:val="004E7332"/>
    <w:rsid w:val="004E776C"/>
    <w:rsid w:val="004F01B0"/>
    <w:rsid w:val="004F19E2"/>
    <w:rsid w:val="004F1D1F"/>
    <w:rsid w:val="004F24FD"/>
    <w:rsid w:val="004F2E45"/>
    <w:rsid w:val="004F30E8"/>
    <w:rsid w:val="004F431D"/>
    <w:rsid w:val="004F43AB"/>
    <w:rsid w:val="004F4F1F"/>
    <w:rsid w:val="004F4F7A"/>
    <w:rsid w:val="004F4F85"/>
    <w:rsid w:val="004F539A"/>
    <w:rsid w:val="004F5524"/>
    <w:rsid w:val="004F5B56"/>
    <w:rsid w:val="004F679D"/>
    <w:rsid w:val="0050010C"/>
    <w:rsid w:val="005001D1"/>
    <w:rsid w:val="005001D8"/>
    <w:rsid w:val="005006C5"/>
    <w:rsid w:val="005011A2"/>
    <w:rsid w:val="005019DF"/>
    <w:rsid w:val="00501D89"/>
    <w:rsid w:val="0050204B"/>
    <w:rsid w:val="0050240C"/>
    <w:rsid w:val="00502507"/>
    <w:rsid w:val="00502920"/>
    <w:rsid w:val="00502A0F"/>
    <w:rsid w:val="00502FAD"/>
    <w:rsid w:val="00503072"/>
    <w:rsid w:val="0050313A"/>
    <w:rsid w:val="005031BB"/>
    <w:rsid w:val="00503380"/>
    <w:rsid w:val="00503B67"/>
    <w:rsid w:val="00503E67"/>
    <w:rsid w:val="00503F81"/>
    <w:rsid w:val="005048AA"/>
    <w:rsid w:val="005048E9"/>
    <w:rsid w:val="00504A34"/>
    <w:rsid w:val="00505366"/>
    <w:rsid w:val="00510184"/>
    <w:rsid w:val="005106EB"/>
    <w:rsid w:val="00510973"/>
    <w:rsid w:val="00510A6C"/>
    <w:rsid w:val="00510D89"/>
    <w:rsid w:val="00511F6D"/>
    <w:rsid w:val="005130A4"/>
    <w:rsid w:val="0051326F"/>
    <w:rsid w:val="00513BCD"/>
    <w:rsid w:val="00513F33"/>
    <w:rsid w:val="005147FC"/>
    <w:rsid w:val="00514DD2"/>
    <w:rsid w:val="005158BE"/>
    <w:rsid w:val="00515C82"/>
    <w:rsid w:val="00516835"/>
    <w:rsid w:val="00516FB8"/>
    <w:rsid w:val="00517613"/>
    <w:rsid w:val="0052031E"/>
    <w:rsid w:val="00520B9E"/>
    <w:rsid w:val="00520C3B"/>
    <w:rsid w:val="00520C4B"/>
    <w:rsid w:val="0052156D"/>
    <w:rsid w:val="00521A4E"/>
    <w:rsid w:val="00522475"/>
    <w:rsid w:val="005227A0"/>
    <w:rsid w:val="0052289F"/>
    <w:rsid w:val="00522B96"/>
    <w:rsid w:val="00522FC1"/>
    <w:rsid w:val="005232B5"/>
    <w:rsid w:val="005239EA"/>
    <w:rsid w:val="00523C70"/>
    <w:rsid w:val="00524289"/>
    <w:rsid w:val="005250BC"/>
    <w:rsid w:val="005254F8"/>
    <w:rsid w:val="005259CE"/>
    <w:rsid w:val="00526053"/>
    <w:rsid w:val="005265D4"/>
    <w:rsid w:val="00526812"/>
    <w:rsid w:val="0052721A"/>
    <w:rsid w:val="00527B92"/>
    <w:rsid w:val="00527F31"/>
    <w:rsid w:val="00530147"/>
    <w:rsid w:val="0053022D"/>
    <w:rsid w:val="005315AB"/>
    <w:rsid w:val="005324E4"/>
    <w:rsid w:val="005325F3"/>
    <w:rsid w:val="005326D9"/>
    <w:rsid w:val="005328F3"/>
    <w:rsid w:val="00533572"/>
    <w:rsid w:val="00534021"/>
    <w:rsid w:val="005342AA"/>
    <w:rsid w:val="00534623"/>
    <w:rsid w:val="005346A1"/>
    <w:rsid w:val="005352B7"/>
    <w:rsid w:val="00535691"/>
    <w:rsid w:val="00535D72"/>
    <w:rsid w:val="00536216"/>
    <w:rsid w:val="005369F8"/>
    <w:rsid w:val="00536D35"/>
    <w:rsid w:val="005373BF"/>
    <w:rsid w:val="005379CF"/>
    <w:rsid w:val="00537EE4"/>
    <w:rsid w:val="0054001C"/>
    <w:rsid w:val="005402FF"/>
    <w:rsid w:val="00540551"/>
    <w:rsid w:val="005408D0"/>
    <w:rsid w:val="00540A49"/>
    <w:rsid w:val="00540FF0"/>
    <w:rsid w:val="00541177"/>
    <w:rsid w:val="005413A3"/>
    <w:rsid w:val="00541A40"/>
    <w:rsid w:val="00542C8D"/>
    <w:rsid w:val="00542CDA"/>
    <w:rsid w:val="00542EA3"/>
    <w:rsid w:val="00543699"/>
    <w:rsid w:val="00543A22"/>
    <w:rsid w:val="00543F8A"/>
    <w:rsid w:val="00544A17"/>
    <w:rsid w:val="0054509A"/>
    <w:rsid w:val="00545927"/>
    <w:rsid w:val="00546559"/>
    <w:rsid w:val="005474F6"/>
    <w:rsid w:val="00547C0F"/>
    <w:rsid w:val="005500D2"/>
    <w:rsid w:val="00550BA0"/>
    <w:rsid w:val="00550E94"/>
    <w:rsid w:val="00551035"/>
    <w:rsid w:val="00551B42"/>
    <w:rsid w:val="00551DB7"/>
    <w:rsid w:val="00553469"/>
    <w:rsid w:val="00554AAD"/>
    <w:rsid w:val="005554C5"/>
    <w:rsid w:val="005556CA"/>
    <w:rsid w:val="005559D1"/>
    <w:rsid w:val="00555CE4"/>
    <w:rsid w:val="00555D63"/>
    <w:rsid w:val="00555E7D"/>
    <w:rsid w:val="00556192"/>
    <w:rsid w:val="005565A6"/>
    <w:rsid w:val="005565B2"/>
    <w:rsid w:val="00556E6F"/>
    <w:rsid w:val="00556F6F"/>
    <w:rsid w:val="00557296"/>
    <w:rsid w:val="00557A6C"/>
    <w:rsid w:val="005608B2"/>
    <w:rsid w:val="0056099A"/>
    <w:rsid w:val="00560A43"/>
    <w:rsid w:val="00561000"/>
    <w:rsid w:val="00561471"/>
    <w:rsid w:val="00563749"/>
    <w:rsid w:val="00563C85"/>
    <w:rsid w:val="00563DDB"/>
    <w:rsid w:val="00564813"/>
    <w:rsid w:val="0056546C"/>
    <w:rsid w:val="0056563A"/>
    <w:rsid w:val="00565966"/>
    <w:rsid w:val="00565B05"/>
    <w:rsid w:val="00565BD3"/>
    <w:rsid w:val="00565F1B"/>
    <w:rsid w:val="00566629"/>
    <w:rsid w:val="00567686"/>
    <w:rsid w:val="005676DC"/>
    <w:rsid w:val="005702C5"/>
    <w:rsid w:val="005715C9"/>
    <w:rsid w:val="00571D67"/>
    <w:rsid w:val="0057233D"/>
    <w:rsid w:val="00572E2F"/>
    <w:rsid w:val="00572E40"/>
    <w:rsid w:val="00573801"/>
    <w:rsid w:val="00574579"/>
    <w:rsid w:val="00574593"/>
    <w:rsid w:val="00574757"/>
    <w:rsid w:val="0057527E"/>
    <w:rsid w:val="00575A1D"/>
    <w:rsid w:val="00575A7F"/>
    <w:rsid w:val="005764A9"/>
    <w:rsid w:val="00576529"/>
    <w:rsid w:val="00576867"/>
    <w:rsid w:val="00576D2C"/>
    <w:rsid w:val="00576EFD"/>
    <w:rsid w:val="00577BC4"/>
    <w:rsid w:val="00580508"/>
    <w:rsid w:val="005806F9"/>
    <w:rsid w:val="00580C5C"/>
    <w:rsid w:val="00580DA8"/>
    <w:rsid w:val="00580F79"/>
    <w:rsid w:val="0058142E"/>
    <w:rsid w:val="00581795"/>
    <w:rsid w:val="00583B95"/>
    <w:rsid w:val="005850FD"/>
    <w:rsid w:val="0058597D"/>
    <w:rsid w:val="00585BB5"/>
    <w:rsid w:val="00585F34"/>
    <w:rsid w:val="00587DC2"/>
    <w:rsid w:val="005906E5"/>
    <w:rsid w:val="00590AE1"/>
    <w:rsid w:val="00590EBE"/>
    <w:rsid w:val="0059185F"/>
    <w:rsid w:val="00591F15"/>
    <w:rsid w:val="00592EBE"/>
    <w:rsid w:val="00593050"/>
    <w:rsid w:val="0059393A"/>
    <w:rsid w:val="0059466A"/>
    <w:rsid w:val="005950C8"/>
    <w:rsid w:val="0059531A"/>
    <w:rsid w:val="0059595B"/>
    <w:rsid w:val="00595A3D"/>
    <w:rsid w:val="00595D44"/>
    <w:rsid w:val="0059614A"/>
    <w:rsid w:val="005963B4"/>
    <w:rsid w:val="005977BF"/>
    <w:rsid w:val="0059796B"/>
    <w:rsid w:val="005A021D"/>
    <w:rsid w:val="005A0CEA"/>
    <w:rsid w:val="005A1450"/>
    <w:rsid w:val="005A1852"/>
    <w:rsid w:val="005A190A"/>
    <w:rsid w:val="005A1A1B"/>
    <w:rsid w:val="005A20C9"/>
    <w:rsid w:val="005A2216"/>
    <w:rsid w:val="005A24B5"/>
    <w:rsid w:val="005A2CFC"/>
    <w:rsid w:val="005A40BA"/>
    <w:rsid w:val="005A504A"/>
    <w:rsid w:val="005A57D6"/>
    <w:rsid w:val="005A5A70"/>
    <w:rsid w:val="005A7389"/>
    <w:rsid w:val="005A78EE"/>
    <w:rsid w:val="005A7CA2"/>
    <w:rsid w:val="005B02F2"/>
    <w:rsid w:val="005B086D"/>
    <w:rsid w:val="005B095F"/>
    <w:rsid w:val="005B1071"/>
    <w:rsid w:val="005B1790"/>
    <w:rsid w:val="005B1F44"/>
    <w:rsid w:val="005B20D0"/>
    <w:rsid w:val="005B2AC2"/>
    <w:rsid w:val="005B3945"/>
    <w:rsid w:val="005B4811"/>
    <w:rsid w:val="005B4C75"/>
    <w:rsid w:val="005B529D"/>
    <w:rsid w:val="005B53E0"/>
    <w:rsid w:val="005B5853"/>
    <w:rsid w:val="005B5E6C"/>
    <w:rsid w:val="005B63E4"/>
    <w:rsid w:val="005B674E"/>
    <w:rsid w:val="005B6AB5"/>
    <w:rsid w:val="005B6CCC"/>
    <w:rsid w:val="005B71CE"/>
    <w:rsid w:val="005B757C"/>
    <w:rsid w:val="005B78A1"/>
    <w:rsid w:val="005C0120"/>
    <w:rsid w:val="005C05FF"/>
    <w:rsid w:val="005C14A0"/>
    <w:rsid w:val="005C198B"/>
    <w:rsid w:val="005C23D7"/>
    <w:rsid w:val="005C26CE"/>
    <w:rsid w:val="005C2859"/>
    <w:rsid w:val="005C287F"/>
    <w:rsid w:val="005C2B01"/>
    <w:rsid w:val="005C2D2D"/>
    <w:rsid w:val="005C438E"/>
    <w:rsid w:val="005C43F3"/>
    <w:rsid w:val="005C4BE0"/>
    <w:rsid w:val="005C552D"/>
    <w:rsid w:val="005C55B2"/>
    <w:rsid w:val="005C5648"/>
    <w:rsid w:val="005C608E"/>
    <w:rsid w:val="005C62D9"/>
    <w:rsid w:val="005C6ED8"/>
    <w:rsid w:val="005C7994"/>
    <w:rsid w:val="005C7A15"/>
    <w:rsid w:val="005D00DB"/>
    <w:rsid w:val="005D07D2"/>
    <w:rsid w:val="005D0F46"/>
    <w:rsid w:val="005D14F8"/>
    <w:rsid w:val="005D1BB8"/>
    <w:rsid w:val="005D2577"/>
    <w:rsid w:val="005D25B7"/>
    <w:rsid w:val="005D293C"/>
    <w:rsid w:val="005D30B8"/>
    <w:rsid w:val="005D360E"/>
    <w:rsid w:val="005D48FE"/>
    <w:rsid w:val="005D4DA2"/>
    <w:rsid w:val="005D5DA2"/>
    <w:rsid w:val="005D5EAC"/>
    <w:rsid w:val="005D66B0"/>
    <w:rsid w:val="005D6BA1"/>
    <w:rsid w:val="005D6C63"/>
    <w:rsid w:val="005D6E99"/>
    <w:rsid w:val="005D7598"/>
    <w:rsid w:val="005E009F"/>
    <w:rsid w:val="005E1528"/>
    <w:rsid w:val="005E2189"/>
    <w:rsid w:val="005E25F7"/>
    <w:rsid w:val="005E2A5A"/>
    <w:rsid w:val="005E2C15"/>
    <w:rsid w:val="005E3DDA"/>
    <w:rsid w:val="005E4642"/>
    <w:rsid w:val="005E46DC"/>
    <w:rsid w:val="005E4A51"/>
    <w:rsid w:val="005E4C95"/>
    <w:rsid w:val="005E58A5"/>
    <w:rsid w:val="005E5E61"/>
    <w:rsid w:val="005F00DC"/>
    <w:rsid w:val="005F038B"/>
    <w:rsid w:val="005F0908"/>
    <w:rsid w:val="005F0B3C"/>
    <w:rsid w:val="005F0E3E"/>
    <w:rsid w:val="005F14B1"/>
    <w:rsid w:val="005F16C0"/>
    <w:rsid w:val="005F1D95"/>
    <w:rsid w:val="005F1FA4"/>
    <w:rsid w:val="005F2129"/>
    <w:rsid w:val="005F22F1"/>
    <w:rsid w:val="005F27EF"/>
    <w:rsid w:val="005F30B1"/>
    <w:rsid w:val="005F3434"/>
    <w:rsid w:val="005F3AEF"/>
    <w:rsid w:val="005F3C03"/>
    <w:rsid w:val="005F4418"/>
    <w:rsid w:val="005F492A"/>
    <w:rsid w:val="005F49D2"/>
    <w:rsid w:val="005F4C19"/>
    <w:rsid w:val="005F4CED"/>
    <w:rsid w:val="005F5352"/>
    <w:rsid w:val="005F5527"/>
    <w:rsid w:val="005F6B5C"/>
    <w:rsid w:val="005F6F91"/>
    <w:rsid w:val="005F7321"/>
    <w:rsid w:val="00600F74"/>
    <w:rsid w:val="00601269"/>
    <w:rsid w:val="00601C2F"/>
    <w:rsid w:val="00603ABE"/>
    <w:rsid w:val="00603F19"/>
    <w:rsid w:val="00604D69"/>
    <w:rsid w:val="006052E4"/>
    <w:rsid w:val="00605442"/>
    <w:rsid w:val="0060683C"/>
    <w:rsid w:val="00607532"/>
    <w:rsid w:val="00607C9B"/>
    <w:rsid w:val="006104FE"/>
    <w:rsid w:val="00610930"/>
    <w:rsid w:val="00610B37"/>
    <w:rsid w:val="00611216"/>
    <w:rsid w:val="006125B0"/>
    <w:rsid w:val="00612FC6"/>
    <w:rsid w:val="00613AF3"/>
    <w:rsid w:val="00613D28"/>
    <w:rsid w:val="0061404F"/>
    <w:rsid w:val="0061424C"/>
    <w:rsid w:val="00614C2C"/>
    <w:rsid w:val="00614E96"/>
    <w:rsid w:val="00614EA9"/>
    <w:rsid w:val="00615EA0"/>
    <w:rsid w:val="00615F30"/>
    <w:rsid w:val="00616E27"/>
    <w:rsid w:val="00617088"/>
    <w:rsid w:val="00617831"/>
    <w:rsid w:val="0062007E"/>
    <w:rsid w:val="00620205"/>
    <w:rsid w:val="006202CC"/>
    <w:rsid w:val="00620470"/>
    <w:rsid w:val="00620736"/>
    <w:rsid w:val="006212E4"/>
    <w:rsid w:val="00621EF4"/>
    <w:rsid w:val="00622128"/>
    <w:rsid w:val="006229B1"/>
    <w:rsid w:val="006229F2"/>
    <w:rsid w:val="006241BE"/>
    <w:rsid w:val="00625009"/>
    <w:rsid w:val="00625759"/>
    <w:rsid w:val="00625B32"/>
    <w:rsid w:val="00625B8F"/>
    <w:rsid w:val="006278CC"/>
    <w:rsid w:val="00630332"/>
    <w:rsid w:val="0063189C"/>
    <w:rsid w:val="00631C39"/>
    <w:rsid w:val="00632878"/>
    <w:rsid w:val="00632C05"/>
    <w:rsid w:val="00633595"/>
    <w:rsid w:val="00634521"/>
    <w:rsid w:val="0063468C"/>
    <w:rsid w:val="00634DAD"/>
    <w:rsid w:val="006358A5"/>
    <w:rsid w:val="006359D0"/>
    <w:rsid w:val="00635B2E"/>
    <w:rsid w:val="006364F7"/>
    <w:rsid w:val="00636EAC"/>
    <w:rsid w:val="0063728E"/>
    <w:rsid w:val="006372F2"/>
    <w:rsid w:val="0063730B"/>
    <w:rsid w:val="006373B0"/>
    <w:rsid w:val="00637630"/>
    <w:rsid w:val="00637810"/>
    <w:rsid w:val="00637918"/>
    <w:rsid w:val="0063799F"/>
    <w:rsid w:val="00637E30"/>
    <w:rsid w:val="00637E67"/>
    <w:rsid w:val="00640391"/>
    <w:rsid w:val="0064090C"/>
    <w:rsid w:val="00640A83"/>
    <w:rsid w:val="00642D42"/>
    <w:rsid w:val="00642E0E"/>
    <w:rsid w:val="00643044"/>
    <w:rsid w:val="006430ED"/>
    <w:rsid w:val="006434BE"/>
    <w:rsid w:val="00643B35"/>
    <w:rsid w:val="00644879"/>
    <w:rsid w:val="0064527F"/>
    <w:rsid w:val="006454AC"/>
    <w:rsid w:val="006457EB"/>
    <w:rsid w:val="00645A81"/>
    <w:rsid w:val="00646222"/>
    <w:rsid w:val="0064663D"/>
    <w:rsid w:val="00650191"/>
    <w:rsid w:val="00650351"/>
    <w:rsid w:val="006505DC"/>
    <w:rsid w:val="006509BB"/>
    <w:rsid w:val="00650BE0"/>
    <w:rsid w:val="00651032"/>
    <w:rsid w:val="006514C8"/>
    <w:rsid w:val="00651605"/>
    <w:rsid w:val="006516A6"/>
    <w:rsid w:val="00651A21"/>
    <w:rsid w:val="00651FD1"/>
    <w:rsid w:val="006531CB"/>
    <w:rsid w:val="00653453"/>
    <w:rsid w:val="00653E4D"/>
    <w:rsid w:val="00653F03"/>
    <w:rsid w:val="006541A6"/>
    <w:rsid w:val="00654347"/>
    <w:rsid w:val="00654926"/>
    <w:rsid w:val="00654C6A"/>
    <w:rsid w:val="00655B41"/>
    <w:rsid w:val="00656821"/>
    <w:rsid w:val="006569B1"/>
    <w:rsid w:val="006572F6"/>
    <w:rsid w:val="00657379"/>
    <w:rsid w:val="00657BBC"/>
    <w:rsid w:val="006600F5"/>
    <w:rsid w:val="0066027D"/>
    <w:rsid w:val="00660609"/>
    <w:rsid w:val="006609B1"/>
    <w:rsid w:val="006624F0"/>
    <w:rsid w:val="0066294A"/>
    <w:rsid w:val="0066318C"/>
    <w:rsid w:val="006637B9"/>
    <w:rsid w:val="00663AAC"/>
    <w:rsid w:val="00664533"/>
    <w:rsid w:val="0066498E"/>
    <w:rsid w:val="006659DD"/>
    <w:rsid w:val="00665B84"/>
    <w:rsid w:val="006662AD"/>
    <w:rsid w:val="006668CA"/>
    <w:rsid w:val="0066760C"/>
    <w:rsid w:val="00667ABB"/>
    <w:rsid w:val="006708C9"/>
    <w:rsid w:val="00670B88"/>
    <w:rsid w:val="00670E84"/>
    <w:rsid w:val="0067240D"/>
    <w:rsid w:val="006726E0"/>
    <w:rsid w:val="00674A96"/>
    <w:rsid w:val="006750F1"/>
    <w:rsid w:val="00675A81"/>
    <w:rsid w:val="0067643D"/>
    <w:rsid w:val="0067675D"/>
    <w:rsid w:val="00677A1C"/>
    <w:rsid w:val="00677C73"/>
    <w:rsid w:val="00677F7C"/>
    <w:rsid w:val="0068074C"/>
    <w:rsid w:val="0068250F"/>
    <w:rsid w:val="006834E5"/>
    <w:rsid w:val="00683815"/>
    <w:rsid w:val="00683A28"/>
    <w:rsid w:val="00684856"/>
    <w:rsid w:val="00684959"/>
    <w:rsid w:val="00684DEA"/>
    <w:rsid w:val="006854F2"/>
    <w:rsid w:val="0068565C"/>
    <w:rsid w:val="0068620A"/>
    <w:rsid w:val="006862BE"/>
    <w:rsid w:val="00686E12"/>
    <w:rsid w:val="00690E56"/>
    <w:rsid w:val="00691B4D"/>
    <w:rsid w:val="0069249C"/>
    <w:rsid w:val="00692613"/>
    <w:rsid w:val="0069335D"/>
    <w:rsid w:val="00694C3C"/>
    <w:rsid w:val="00697E8B"/>
    <w:rsid w:val="00697F31"/>
    <w:rsid w:val="006A040F"/>
    <w:rsid w:val="006A1039"/>
    <w:rsid w:val="006A21AF"/>
    <w:rsid w:val="006A2D1D"/>
    <w:rsid w:val="006A49AE"/>
    <w:rsid w:val="006A4C49"/>
    <w:rsid w:val="006A5A4C"/>
    <w:rsid w:val="006A6846"/>
    <w:rsid w:val="006A7121"/>
    <w:rsid w:val="006A75AC"/>
    <w:rsid w:val="006A7632"/>
    <w:rsid w:val="006A7897"/>
    <w:rsid w:val="006A7F23"/>
    <w:rsid w:val="006B056A"/>
    <w:rsid w:val="006B0630"/>
    <w:rsid w:val="006B0734"/>
    <w:rsid w:val="006B0FA2"/>
    <w:rsid w:val="006B1475"/>
    <w:rsid w:val="006B15E1"/>
    <w:rsid w:val="006B1754"/>
    <w:rsid w:val="006B17DE"/>
    <w:rsid w:val="006B18F5"/>
    <w:rsid w:val="006B1A63"/>
    <w:rsid w:val="006B2A03"/>
    <w:rsid w:val="006B2ABD"/>
    <w:rsid w:val="006B2E94"/>
    <w:rsid w:val="006B3858"/>
    <w:rsid w:val="006B5363"/>
    <w:rsid w:val="006B56D9"/>
    <w:rsid w:val="006B657B"/>
    <w:rsid w:val="006B709C"/>
    <w:rsid w:val="006B7850"/>
    <w:rsid w:val="006C01B3"/>
    <w:rsid w:val="006C0671"/>
    <w:rsid w:val="006C067D"/>
    <w:rsid w:val="006C150F"/>
    <w:rsid w:val="006C1ABF"/>
    <w:rsid w:val="006C1BD3"/>
    <w:rsid w:val="006C1C44"/>
    <w:rsid w:val="006C1C92"/>
    <w:rsid w:val="006C1D80"/>
    <w:rsid w:val="006C2017"/>
    <w:rsid w:val="006C2C47"/>
    <w:rsid w:val="006C34ED"/>
    <w:rsid w:val="006C3B12"/>
    <w:rsid w:val="006C3D2D"/>
    <w:rsid w:val="006C4023"/>
    <w:rsid w:val="006C4287"/>
    <w:rsid w:val="006C431D"/>
    <w:rsid w:val="006C4D54"/>
    <w:rsid w:val="006C58DF"/>
    <w:rsid w:val="006C5FAE"/>
    <w:rsid w:val="006C6452"/>
    <w:rsid w:val="006C69D4"/>
    <w:rsid w:val="006C7199"/>
    <w:rsid w:val="006C7422"/>
    <w:rsid w:val="006D0087"/>
    <w:rsid w:val="006D04D2"/>
    <w:rsid w:val="006D167F"/>
    <w:rsid w:val="006D176D"/>
    <w:rsid w:val="006D280F"/>
    <w:rsid w:val="006D383A"/>
    <w:rsid w:val="006D4161"/>
    <w:rsid w:val="006D476A"/>
    <w:rsid w:val="006D5CCE"/>
    <w:rsid w:val="006D60EF"/>
    <w:rsid w:val="006D6131"/>
    <w:rsid w:val="006D66B2"/>
    <w:rsid w:val="006D6CC0"/>
    <w:rsid w:val="006D6DC4"/>
    <w:rsid w:val="006D76F3"/>
    <w:rsid w:val="006D786C"/>
    <w:rsid w:val="006D795F"/>
    <w:rsid w:val="006D79E4"/>
    <w:rsid w:val="006D7BA7"/>
    <w:rsid w:val="006E07AA"/>
    <w:rsid w:val="006E123A"/>
    <w:rsid w:val="006E1791"/>
    <w:rsid w:val="006E24C0"/>
    <w:rsid w:val="006E2C4B"/>
    <w:rsid w:val="006E36C3"/>
    <w:rsid w:val="006E3C03"/>
    <w:rsid w:val="006E42E4"/>
    <w:rsid w:val="006E4684"/>
    <w:rsid w:val="006E4ABF"/>
    <w:rsid w:val="006E52CE"/>
    <w:rsid w:val="006E57B4"/>
    <w:rsid w:val="006E585B"/>
    <w:rsid w:val="006E5FB1"/>
    <w:rsid w:val="006E6297"/>
    <w:rsid w:val="006E632D"/>
    <w:rsid w:val="006E6560"/>
    <w:rsid w:val="006E663F"/>
    <w:rsid w:val="006E67D8"/>
    <w:rsid w:val="006E6CC2"/>
    <w:rsid w:val="006E6E66"/>
    <w:rsid w:val="006E787E"/>
    <w:rsid w:val="006F0215"/>
    <w:rsid w:val="006F10E1"/>
    <w:rsid w:val="006F11DD"/>
    <w:rsid w:val="006F161B"/>
    <w:rsid w:val="006F1674"/>
    <w:rsid w:val="006F19AA"/>
    <w:rsid w:val="006F19AB"/>
    <w:rsid w:val="006F26FB"/>
    <w:rsid w:val="006F281D"/>
    <w:rsid w:val="006F285F"/>
    <w:rsid w:val="006F3142"/>
    <w:rsid w:val="006F347B"/>
    <w:rsid w:val="006F3536"/>
    <w:rsid w:val="006F3A6E"/>
    <w:rsid w:val="006F4A1E"/>
    <w:rsid w:val="006F713A"/>
    <w:rsid w:val="006F78A5"/>
    <w:rsid w:val="00700615"/>
    <w:rsid w:val="00701441"/>
    <w:rsid w:val="00701F32"/>
    <w:rsid w:val="007021CD"/>
    <w:rsid w:val="00702A1E"/>
    <w:rsid w:val="00702A70"/>
    <w:rsid w:val="00702E9B"/>
    <w:rsid w:val="0070320C"/>
    <w:rsid w:val="007033B5"/>
    <w:rsid w:val="00704670"/>
    <w:rsid w:val="00704E3E"/>
    <w:rsid w:val="00705DA7"/>
    <w:rsid w:val="00706400"/>
    <w:rsid w:val="00706474"/>
    <w:rsid w:val="0070704B"/>
    <w:rsid w:val="00710AF8"/>
    <w:rsid w:val="00710BF9"/>
    <w:rsid w:val="00710F65"/>
    <w:rsid w:val="00712ACD"/>
    <w:rsid w:val="0071327A"/>
    <w:rsid w:val="00713714"/>
    <w:rsid w:val="0071397B"/>
    <w:rsid w:val="007139D1"/>
    <w:rsid w:val="00713E05"/>
    <w:rsid w:val="007149F9"/>
    <w:rsid w:val="00715002"/>
    <w:rsid w:val="007158E1"/>
    <w:rsid w:val="007163C0"/>
    <w:rsid w:val="007202FA"/>
    <w:rsid w:val="0072059F"/>
    <w:rsid w:val="00720648"/>
    <w:rsid w:val="00720B9C"/>
    <w:rsid w:val="00720C94"/>
    <w:rsid w:val="0072168B"/>
    <w:rsid w:val="007217C3"/>
    <w:rsid w:val="0072199D"/>
    <w:rsid w:val="0072219B"/>
    <w:rsid w:val="00722424"/>
    <w:rsid w:val="0072288D"/>
    <w:rsid w:val="00722DED"/>
    <w:rsid w:val="00723C1D"/>
    <w:rsid w:val="00723CC5"/>
    <w:rsid w:val="007244C8"/>
    <w:rsid w:val="00724A11"/>
    <w:rsid w:val="00725154"/>
    <w:rsid w:val="007255AF"/>
    <w:rsid w:val="00725E30"/>
    <w:rsid w:val="007264A6"/>
    <w:rsid w:val="00726680"/>
    <w:rsid w:val="00726C56"/>
    <w:rsid w:val="00727068"/>
    <w:rsid w:val="007270D6"/>
    <w:rsid w:val="00727786"/>
    <w:rsid w:val="007278B3"/>
    <w:rsid w:val="00727AE5"/>
    <w:rsid w:val="00727E46"/>
    <w:rsid w:val="00730041"/>
    <w:rsid w:val="0073024E"/>
    <w:rsid w:val="00730423"/>
    <w:rsid w:val="00730D60"/>
    <w:rsid w:val="00731EC4"/>
    <w:rsid w:val="00731FA8"/>
    <w:rsid w:val="0073212E"/>
    <w:rsid w:val="0073326F"/>
    <w:rsid w:val="0073378E"/>
    <w:rsid w:val="007343B1"/>
    <w:rsid w:val="00734516"/>
    <w:rsid w:val="00734D2F"/>
    <w:rsid w:val="00735043"/>
    <w:rsid w:val="007356CC"/>
    <w:rsid w:val="00736983"/>
    <w:rsid w:val="00737520"/>
    <w:rsid w:val="007406F6"/>
    <w:rsid w:val="00740C3E"/>
    <w:rsid w:val="00740E0F"/>
    <w:rsid w:val="00742601"/>
    <w:rsid w:val="00743800"/>
    <w:rsid w:val="0074450C"/>
    <w:rsid w:val="00744632"/>
    <w:rsid w:val="00744A32"/>
    <w:rsid w:val="00744A94"/>
    <w:rsid w:val="007452B3"/>
    <w:rsid w:val="0074683C"/>
    <w:rsid w:val="00746F99"/>
    <w:rsid w:val="0074714A"/>
    <w:rsid w:val="007474F0"/>
    <w:rsid w:val="00747AC3"/>
    <w:rsid w:val="00747B67"/>
    <w:rsid w:val="00750F58"/>
    <w:rsid w:val="007524DB"/>
    <w:rsid w:val="007526C7"/>
    <w:rsid w:val="00753115"/>
    <w:rsid w:val="007536B9"/>
    <w:rsid w:val="00753941"/>
    <w:rsid w:val="00753A65"/>
    <w:rsid w:val="00753ADE"/>
    <w:rsid w:val="007547F1"/>
    <w:rsid w:val="00754B71"/>
    <w:rsid w:val="007551D8"/>
    <w:rsid w:val="0075625B"/>
    <w:rsid w:val="00756E3A"/>
    <w:rsid w:val="00756E55"/>
    <w:rsid w:val="0075719C"/>
    <w:rsid w:val="00757B56"/>
    <w:rsid w:val="00760B67"/>
    <w:rsid w:val="00760F3C"/>
    <w:rsid w:val="00761CE2"/>
    <w:rsid w:val="00761E1F"/>
    <w:rsid w:val="00761E43"/>
    <w:rsid w:val="0076282F"/>
    <w:rsid w:val="00763CCF"/>
    <w:rsid w:val="00763E35"/>
    <w:rsid w:val="00764C13"/>
    <w:rsid w:val="007657FC"/>
    <w:rsid w:val="00766829"/>
    <w:rsid w:val="00766AEC"/>
    <w:rsid w:val="0076737F"/>
    <w:rsid w:val="00770173"/>
    <w:rsid w:val="0077170D"/>
    <w:rsid w:val="00771BEC"/>
    <w:rsid w:val="00771F85"/>
    <w:rsid w:val="00772487"/>
    <w:rsid w:val="00772730"/>
    <w:rsid w:val="007728EB"/>
    <w:rsid w:val="0077300F"/>
    <w:rsid w:val="00773308"/>
    <w:rsid w:val="0077389E"/>
    <w:rsid w:val="00773F61"/>
    <w:rsid w:val="00774E68"/>
    <w:rsid w:val="0077505C"/>
    <w:rsid w:val="0077594D"/>
    <w:rsid w:val="007761EE"/>
    <w:rsid w:val="0077697F"/>
    <w:rsid w:val="0077727E"/>
    <w:rsid w:val="00777388"/>
    <w:rsid w:val="00777BE8"/>
    <w:rsid w:val="00777DAD"/>
    <w:rsid w:val="00780097"/>
    <w:rsid w:val="007809A9"/>
    <w:rsid w:val="00780D40"/>
    <w:rsid w:val="00781125"/>
    <w:rsid w:val="00781F3B"/>
    <w:rsid w:val="007824AB"/>
    <w:rsid w:val="007824E3"/>
    <w:rsid w:val="0078358E"/>
    <w:rsid w:val="00783850"/>
    <w:rsid w:val="00784ACA"/>
    <w:rsid w:val="00784D2F"/>
    <w:rsid w:val="00784F53"/>
    <w:rsid w:val="00786364"/>
    <w:rsid w:val="00787591"/>
    <w:rsid w:val="007877E8"/>
    <w:rsid w:val="00787AC0"/>
    <w:rsid w:val="00787EAD"/>
    <w:rsid w:val="0079068D"/>
    <w:rsid w:val="00790BF1"/>
    <w:rsid w:val="00791581"/>
    <w:rsid w:val="00792B80"/>
    <w:rsid w:val="007937F8"/>
    <w:rsid w:val="007938BB"/>
    <w:rsid w:val="00795121"/>
    <w:rsid w:val="00795C02"/>
    <w:rsid w:val="00795E68"/>
    <w:rsid w:val="00795F23"/>
    <w:rsid w:val="00796843"/>
    <w:rsid w:val="0079764A"/>
    <w:rsid w:val="007A0926"/>
    <w:rsid w:val="007A166F"/>
    <w:rsid w:val="007A1E36"/>
    <w:rsid w:val="007A2FCF"/>
    <w:rsid w:val="007A3DF5"/>
    <w:rsid w:val="007A3EF4"/>
    <w:rsid w:val="007A3F08"/>
    <w:rsid w:val="007A4DFA"/>
    <w:rsid w:val="007A4EBD"/>
    <w:rsid w:val="007A521B"/>
    <w:rsid w:val="007A54C1"/>
    <w:rsid w:val="007A582C"/>
    <w:rsid w:val="007A70F6"/>
    <w:rsid w:val="007A711B"/>
    <w:rsid w:val="007A75A0"/>
    <w:rsid w:val="007A76A0"/>
    <w:rsid w:val="007A7E74"/>
    <w:rsid w:val="007A7F2A"/>
    <w:rsid w:val="007B0184"/>
    <w:rsid w:val="007B06A5"/>
    <w:rsid w:val="007B0A01"/>
    <w:rsid w:val="007B0C46"/>
    <w:rsid w:val="007B112B"/>
    <w:rsid w:val="007B1D44"/>
    <w:rsid w:val="007B21F2"/>
    <w:rsid w:val="007B3FAA"/>
    <w:rsid w:val="007B4427"/>
    <w:rsid w:val="007B566B"/>
    <w:rsid w:val="007B571D"/>
    <w:rsid w:val="007B5B26"/>
    <w:rsid w:val="007B619F"/>
    <w:rsid w:val="007B6592"/>
    <w:rsid w:val="007B687A"/>
    <w:rsid w:val="007B691A"/>
    <w:rsid w:val="007B6CE2"/>
    <w:rsid w:val="007B6D25"/>
    <w:rsid w:val="007B6FD2"/>
    <w:rsid w:val="007B78B6"/>
    <w:rsid w:val="007C0288"/>
    <w:rsid w:val="007C07F6"/>
    <w:rsid w:val="007C0832"/>
    <w:rsid w:val="007C096F"/>
    <w:rsid w:val="007C1372"/>
    <w:rsid w:val="007C17FC"/>
    <w:rsid w:val="007C1C85"/>
    <w:rsid w:val="007C1FF6"/>
    <w:rsid w:val="007C2E02"/>
    <w:rsid w:val="007C2F86"/>
    <w:rsid w:val="007C4108"/>
    <w:rsid w:val="007C45FB"/>
    <w:rsid w:val="007C4A9A"/>
    <w:rsid w:val="007C553D"/>
    <w:rsid w:val="007C56CB"/>
    <w:rsid w:val="007C5CAC"/>
    <w:rsid w:val="007C76F8"/>
    <w:rsid w:val="007C7734"/>
    <w:rsid w:val="007D01B9"/>
    <w:rsid w:val="007D0632"/>
    <w:rsid w:val="007D0E2D"/>
    <w:rsid w:val="007D15AE"/>
    <w:rsid w:val="007D16B5"/>
    <w:rsid w:val="007D1D12"/>
    <w:rsid w:val="007D1D95"/>
    <w:rsid w:val="007D337B"/>
    <w:rsid w:val="007D4382"/>
    <w:rsid w:val="007D49A1"/>
    <w:rsid w:val="007D56D2"/>
    <w:rsid w:val="007D5C93"/>
    <w:rsid w:val="007D61B8"/>
    <w:rsid w:val="007D6945"/>
    <w:rsid w:val="007D6C89"/>
    <w:rsid w:val="007D6DE7"/>
    <w:rsid w:val="007D70B5"/>
    <w:rsid w:val="007D7181"/>
    <w:rsid w:val="007D72D2"/>
    <w:rsid w:val="007D760B"/>
    <w:rsid w:val="007D77AF"/>
    <w:rsid w:val="007D7E03"/>
    <w:rsid w:val="007D7EB3"/>
    <w:rsid w:val="007E01DB"/>
    <w:rsid w:val="007E10DE"/>
    <w:rsid w:val="007E19A6"/>
    <w:rsid w:val="007E2820"/>
    <w:rsid w:val="007E36FC"/>
    <w:rsid w:val="007E3828"/>
    <w:rsid w:val="007E3B77"/>
    <w:rsid w:val="007E3C92"/>
    <w:rsid w:val="007E405F"/>
    <w:rsid w:val="007E4217"/>
    <w:rsid w:val="007E5629"/>
    <w:rsid w:val="007E5AD7"/>
    <w:rsid w:val="007E68C3"/>
    <w:rsid w:val="007E69A8"/>
    <w:rsid w:val="007E6E5C"/>
    <w:rsid w:val="007E750F"/>
    <w:rsid w:val="007E7D7C"/>
    <w:rsid w:val="007F02E3"/>
    <w:rsid w:val="007F1517"/>
    <w:rsid w:val="007F1621"/>
    <w:rsid w:val="007F16B7"/>
    <w:rsid w:val="007F1D4F"/>
    <w:rsid w:val="007F313F"/>
    <w:rsid w:val="007F34DE"/>
    <w:rsid w:val="007F34EB"/>
    <w:rsid w:val="007F3B2C"/>
    <w:rsid w:val="007F42D5"/>
    <w:rsid w:val="007F4A1B"/>
    <w:rsid w:val="007F4AD9"/>
    <w:rsid w:val="007F53B3"/>
    <w:rsid w:val="007F572D"/>
    <w:rsid w:val="007F5D02"/>
    <w:rsid w:val="007F6056"/>
    <w:rsid w:val="007F7FF2"/>
    <w:rsid w:val="00800889"/>
    <w:rsid w:val="00800A64"/>
    <w:rsid w:val="0080175F"/>
    <w:rsid w:val="00801F46"/>
    <w:rsid w:val="00802129"/>
    <w:rsid w:val="008024D4"/>
    <w:rsid w:val="00802E55"/>
    <w:rsid w:val="00803382"/>
    <w:rsid w:val="00803CE5"/>
    <w:rsid w:val="00804642"/>
    <w:rsid w:val="008050AB"/>
    <w:rsid w:val="0080539E"/>
    <w:rsid w:val="008059B4"/>
    <w:rsid w:val="00805B42"/>
    <w:rsid w:val="00805E4B"/>
    <w:rsid w:val="00806B0D"/>
    <w:rsid w:val="00806D63"/>
    <w:rsid w:val="00807409"/>
    <w:rsid w:val="0080798A"/>
    <w:rsid w:val="008102AD"/>
    <w:rsid w:val="00810FB6"/>
    <w:rsid w:val="0081167C"/>
    <w:rsid w:val="00811E96"/>
    <w:rsid w:val="00811EF6"/>
    <w:rsid w:val="0081268F"/>
    <w:rsid w:val="0081297F"/>
    <w:rsid w:val="008148B4"/>
    <w:rsid w:val="0081495F"/>
    <w:rsid w:val="00815EB6"/>
    <w:rsid w:val="0081653B"/>
    <w:rsid w:val="008166A5"/>
    <w:rsid w:val="00816788"/>
    <w:rsid w:val="008168F8"/>
    <w:rsid w:val="00820393"/>
    <w:rsid w:val="008203CF"/>
    <w:rsid w:val="00820603"/>
    <w:rsid w:val="0082350D"/>
    <w:rsid w:val="00823E80"/>
    <w:rsid w:val="00824AA0"/>
    <w:rsid w:val="00825A1B"/>
    <w:rsid w:val="00825AAA"/>
    <w:rsid w:val="0082763E"/>
    <w:rsid w:val="0083171F"/>
    <w:rsid w:val="00831AF4"/>
    <w:rsid w:val="00831C86"/>
    <w:rsid w:val="00831FC6"/>
    <w:rsid w:val="008327D7"/>
    <w:rsid w:val="00832A1F"/>
    <w:rsid w:val="00833E19"/>
    <w:rsid w:val="00834535"/>
    <w:rsid w:val="00834E18"/>
    <w:rsid w:val="00834E9C"/>
    <w:rsid w:val="00835707"/>
    <w:rsid w:val="0083622F"/>
    <w:rsid w:val="00836462"/>
    <w:rsid w:val="008368AA"/>
    <w:rsid w:val="00837276"/>
    <w:rsid w:val="008372A9"/>
    <w:rsid w:val="008375AA"/>
    <w:rsid w:val="00837997"/>
    <w:rsid w:val="00842138"/>
    <w:rsid w:val="008422A4"/>
    <w:rsid w:val="00842561"/>
    <w:rsid w:val="00842BBF"/>
    <w:rsid w:val="00842F70"/>
    <w:rsid w:val="00843FE7"/>
    <w:rsid w:val="00844CA1"/>
    <w:rsid w:val="00844E79"/>
    <w:rsid w:val="00845894"/>
    <w:rsid w:val="00845E79"/>
    <w:rsid w:val="00845E9A"/>
    <w:rsid w:val="00846682"/>
    <w:rsid w:val="0084668B"/>
    <w:rsid w:val="008474A5"/>
    <w:rsid w:val="008477E8"/>
    <w:rsid w:val="008478AA"/>
    <w:rsid w:val="00847B0A"/>
    <w:rsid w:val="00847B8A"/>
    <w:rsid w:val="00847C79"/>
    <w:rsid w:val="00847D4E"/>
    <w:rsid w:val="00850080"/>
    <w:rsid w:val="00850599"/>
    <w:rsid w:val="00850910"/>
    <w:rsid w:val="00851076"/>
    <w:rsid w:val="008511EC"/>
    <w:rsid w:val="00851C99"/>
    <w:rsid w:val="00851CD4"/>
    <w:rsid w:val="00851F62"/>
    <w:rsid w:val="00851FD3"/>
    <w:rsid w:val="00852213"/>
    <w:rsid w:val="0085238A"/>
    <w:rsid w:val="008524EB"/>
    <w:rsid w:val="00852890"/>
    <w:rsid w:val="0085318D"/>
    <w:rsid w:val="008565BC"/>
    <w:rsid w:val="00856648"/>
    <w:rsid w:val="00856A67"/>
    <w:rsid w:val="00856B26"/>
    <w:rsid w:val="00856B71"/>
    <w:rsid w:val="00856C93"/>
    <w:rsid w:val="008573F9"/>
    <w:rsid w:val="00857D59"/>
    <w:rsid w:val="00861731"/>
    <w:rsid w:val="0086190F"/>
    <w:rsid w:val="0086219D"/>
    <w:rsid w:val="00862862"/>
    <w:rsid w:val="00862898"/>
    <w:rsid w:val="00862BAF"/>
    <w:rsid w:val="00863B4F"/>
    <w:rsid w:val="00864147"/>
    <w:rsid w:val="008642D0"/>
    <w:rsid w:val="0086437F"/>
    <w:rsid w:val="0086613E"/>
    <w:rsid w:val="008676E6"/>
    <w:rsid w:val="00867ECB"/>
    <w:rsid w:val="00867FC5"/>
    <w:rsid w:val="00870DCF"/>
    <w:rsid w:val="008714DB"/>
    <w:rsid w:val="00871578"/>
    <w:rsid w:val="00871B57"/>
    <w:rsid w:val="00871BB6"/>
    <w:rsid w:val="00871E21"/>
    <w:rsid w:val="0087267C"/>
    <w:rsid w:val="008736E6"/>
    <w:rsid w:val="008747C9"/>
    <w:rsid w:val="00875402"/>
    <w:rsid w:val="00875449"/>
    <w:rsid w:val="00875858"/>
    <w:rsid w:val="00876359"/>
    <w:rsid w:val="00876705"/>
    <w:rsid w:val="00877544"/>
    <w:rsid w:val="00877E88"/>
    <w:rsid w:val="0088002F"/>
    <w:rsid w:val="008802A2"/>
    <w:rsid w:val="00880A80"/>
    <w:rsid w:val="00881072"/>
    <w:rsid w:val="008816A3"/>
    <w:rsid w:val="008829F7"/>
    <w:rsid w:val="00882E18"/>
    <w:rsid w:val="00884A24"/>
    <w:rsid w:val="00884B09"/>
    <w:rsid w:val="00885345"/>
    <w:rsid w:val="00885469"/>
    <w:rsid w:val="008862D8"/>
    <w:rsid w:val="008865D6"/>
    <w:rsid w:val="008866AA"/>
    <w:rsid w:val="008866DF"/>
    <w:rsid w:val="00886AEF"/>
    <w:rsid w:val="00887178"/>
    <w:rsid w:val="00887446"/>
    <w:rsid w:val="0088747B"/>
    <w:rsid w:val="00887648"/>
    <w:rsid w:val="008879D3"/>
    <w:rsid w:val="00890168"/>
    <w:rsid w:val="00890A6C"/>
    <w:rsid w:val="00890D9C"/>
    <w:rsid w:val="00892310"/>
    <w:rsid w:val="00892F80"/>
    <w:rsid w:val="00893A03"/>
    <w:rsid w:val="00894610"/>
    <w:rsid w:val="00894E27"/>
    <w:rsid w:val="00895566"/>
    <w:rsid w:val="00895572"/>
    <w:rsid w:val="00895BAB"/>
    <w:rsid w:val="00895CB8"/>
    <w:rsid w:val="00895E96"/>
    <w:rsid w:val="0089661E"/>
    <w:rsid w:val="00896C38"/>
    <w:rsid w:val="00897606"/>
    <w:rsid w:val="00897D19"/>
    <w:rsid w:val="00897F55"/>
    <w:rsid w:val="008A056C"/>
    <w:rsid w:val="008A0C03"/>
    <w:rsid w:val="008A0D84"/>
    <w:rsid w:val="008A12D8"/>
    <w:rsid w:val="008A14DB"/>
    <w:rsid w:val="008A17D5"/>
    <w:rsid w:val="008A1A62"/>
    <w:rsid w:val="008A1D01"/>
    <w:rsid w:val="008A1DEE"/>
    <w:rsid w:val="008A1FFE"/>
    <w:rsid w:val="008A21D4"/>
    <w:rsid w:val="008A2348"/>
    <w:rsid w:val="008A2836"/>
    <w:rsid w:val="008A2C51"/>
    <w:rsid w:val="008A342D"/>
    <w:rsid w:val="008A374A"/>
    <w:rsid w:val="008A45D1"/>
    <w:rsid w:val="008A4609"/>
    <w:rsid w:val="008A4780"/>
    <w:rsid w:val="008A4896"/>
    <w:rsid w:val="008A4C8C"/>
    <w:rsid w:val="008A5963"/>
    <w:rsid w:val="008A5ABF"/>
    <w:rsid w:val="008A5FD4"/>
    <w:rsid w:val="008A64B7"/>
    <w:rsid w:val="008A6E78"/>
    <w:rsid w:val="008A774D"/>
    <w:rsid w:val="008A78F7"/>
    <w:rsid w:val="008B0887"/>
    <w:rsid w:val="008B1542"/>
    <w:rsid w:val="008B17A0"/>
    <w:rsid w:val="008B1BDB"/>
    <w:rsid w:val="008B1F0F"/>
    <w:rsid w:val="008B22B0"/>
    <w:rsid w:val="008B2C01"/>
    <w:rsid w:val="008B2E28"/>
    <w:rsid w:val="008B31F7"/>
    <w:rsid w:val="008B33C0"/>
    <w:rsid w:val="008B3522"/>
    <w:rsid w:val="008B3869"/>
    <w:rsid w:val="008B3D4A"/>
    <w:rsid w:val="008B4256"/>
    <w:rsid w:val="008B468D"/>
    <w:rsid w:val="008B4F41"/>
    <w:rsid w:val="008B5F0A"/>
    <w:rsid w:val="008B6972"/>
    <w:rsid w:val="008C05F1"/>
    <w:rsid w:val="008C07C7"/>
    <w:rsid w:val="008C097F"/>
    <w:rsid w:val="008C09EB"/>
    <w:rsid w:val="008C0B8B"/>
    <w:rsid w:val="008C0E17"/>
    <w:rsid w:val="008C1006"/>
    <w:rsid w:val="008C1B15"/>
    <w:rsid w:val="008C2AB9"/>
    <w:rsid w:val="008C329B"/>
    <w:rsid w:val="008C3DBB"/>
    <w:rsid w:val="008C4092"/>
    <w:rsid w:val="008C5036"/>
    <w:rsid w:val="008C5D99"/>
    <w:rsid w:val="008C61AE"/>
    <w:rsid w:val="008C6F75"/>
    <w:rsid w:val="008C7200"/>
    <w:rsid w:val="008C7627"/>
    <w:rsid w:val="008D043E"/>
    <w:rsid w:val="008D0443"/>
    <w:rsid w:val="008D0D42"/>
    <w:rsid w:val="008D111E"/>
    <w:rsid w:val="008D12BF"/>
    <w:rsid w:val="008D1B62"/>
    <w:rsid w:val="008D1B9E"/>
    <w:rsid w:val="008D1F9A"/>
    <w:rsid w:val="008D2082"/>
    <w:rsid w:val="008D2388"/>
    <w:rsid w:val="008D304E"/>
    <w:rsid w:val="008D4146"/>
    <w:rsid w:val="008D42F6"/>
    <w:rsid w:val="008D5013"/>
    <w:rsid w:val="008D59E9"/>
    <w:rsid w:val="008D7367"/>
    <w:rsid w:val="008D7D2D"/>
    <w:rsid w:val="008E0F0B"/>
    <w:rsid w:val="008E1159"/>
    <w:rsid w:val="008E1580"/>
    <w:rsid w:val="008E1A9C"/>
    <w:rsid w:val="008E20F1"/>
    <w:rsid w:val="008E2F17"/>
    <w:rsid w:val="008E3175"/>
    <w:rsid w:val="008E32CE"/>
    <w:rsid w:val="008E3CC4"/>
    <w:rsid w:val="008E3DDC"/>
    <w:rsid w:val="008E417F"/>
    <w:rsid w:val="008E47ED"/>
    <w:rsid w:val="008E4F24"/>
    <w:rsid w:val="008E5512"/>
    <w:rsid w:val="008E59C0"/>
    <w:rsid w:val="008E5F4E"/>
    <w:rsid w:val="008E6EF3"/>
    <w:rsid w:val="008E76F8"/>
    <w:rsid w:val="008F080D"/>
    <w:rsid w:val="008F08C3"/>
    <w:rsid w:val="008F1056"/>
    <w:rsid w:val="008F1589"/>
    <w:rsid w:val="008F1873"/>
    <w:rsid w:val="008F18E5"/>
    <w:rsid w:val="008F2E02"/>
    <w:rsid w:val="008F3327"/>
    <w:rsid w:val="008F3549"/>
    <w:rsid w:val="008F4578"/>
    <w:rsid w:val="008F49E7"/>
    <w:rsid w:val="008F4A43"/>
    <w:rsid w:val="008F4BA0"/>
    <w:rsid w:val="008F4D58"/>
    <w:rsid w:val="008F5110"/>
    <w:rsid w:val="008F51BE"/>
    <w:rsid w:val="008F51FC"/>
    <w:rsid w:val="008F5B13"/>
    <w:rsid w:val="008F6006"/>
    <w:rsid w:val="008F62CE"/>
    <w:rsid w:val="008F6832"/>
    <w:rsid w:val="008F6845"/>
    <w:rsid w:val="008F71B1"/>
    <w:rsid w:val="008F71BC"/>
    <w:rsid w:val="008F7246"/>
    <w:rsid w:val="008F7778"/>
    <w:rsid w:val="008F7DE6"/>
    <w:rsid w:val="009015B2"/>
    <w:rsid w:val="00901881"/>
    <w:rsid w:val="009022AF"/>
    <w:rsid w:val="009037F5"/>
    <w:rsid w:val="009040D4"/>
    <w:rsid w:val="00904723"/>
    <w:rsid w:val="0090565B"/>
    <w:rsid w:val="00905ACD"/>
    <w:rsid w:val="00906209"/>
    <w:rsid w:val="0090659B"/>
    <w:rsid w:val="0090660F"/>
    <w:rsid w:val="00906D38"/>
    <w:rsid w:val="00906E90"/>
    <w:rsid w:val="00906F53"/>
    <w:rsid w:val="00907652"/>
    <w:rsid w:val="0091051D"/>
    <w:rsid w:val="00910533"/>
    <w:rsid w:val="00910C50"/>
    <w:rsid w:val="009117BF"/>
    <w:rsid w:val="00912796"/>
    <w:rsid w:val="00912CB8"/>
    <w:rsid w:val="00913B17"/>
    <w:rsid w:val="00913B73"/>
    <w:rsid w:val="00913C62"/>
    <w:rsid w:val="009143C1"/>
    <w:rsid w:val="009147BA"/>
    <w:rsid w:val="00914E96"/>
    <w:rsid w:val="0091566D"/>
    <w:rsid w:val="009160AC"/>
    <w:rsid w:val="00916484"/>
    <w:rsid w:val="00916B7D"/>
    <w:rsid w:val="00916F2F"/>
    <w:rsid w:val="00917575"/>
    <w:rsid w:val="009176BF"/>
    <w:rsid w:val="00917ABD"/>
    <w:rsid w:val="00920136"/>
    <w:rsid w:val="0092027A"/>
    <w:rsid w:val="00920652"/>
    <w:rsid w:val="009209E3"/>
    <w:rsid w:val="00921847"/>
    <w:rsid w:val="00921EDE"/>
    <w:rsid w:val="0092228B"/>
    <w:rsid w:val="00923216"/>
    <w:rsid w:val="009234D0"/>
    <w:rsid w:val="00923A33"/>
    <w:rsid w:val="00923DB7"/>
    <w:rsid w:val="009261BF"/>
    <w:rsid w:val="009266A4"/>
    <w:rsid w:val="00926AD5"/>
    <w:rsid w:val="00926EC9"/>
    <w:rsid w:val="009272C6"/>
    <w:rsid w:val="0093107E"/>
    <w:rsid w:val="009313EE"/>
    <w:rsid w:val="00931A9D"/>
    <w:rsid w:val="00931E55"/>
    <w:rsid w:val="009336A3"/>
    <w:rsid w:val="00933910"/>
    <w:rsid w:val="00933A3E"/>
    <w:rsid w:val="00934D39"/>
    <w:rsid w:val="00934DEB"/>
    <w:rsid w:val="0093548A"/>
    <w:rsid w:val="00935D7D"/>
    <w:rsid w:val="00935F94"/>
    <w:rsid w:val="00936381"/>
    <w:rsid w:val="00936F5C"/>
    <w:rsid w:val="00936F84"/>
    <w:rsid w:val="009376D7"/>
    <w:rsid w:val="00937A6E"/>
    <w:rsid w:val="00940851"/>
    <w:rsid w:val="00941194"/>
    <w:rsid w:val="0094125B"/>
    <w:rsid w:val="00941352"/>
    <w:rsid w:val="0094160F"/>
    <w:rsid w:val="009422BC"/>
    <w:rsid w:val="0094287F"/>
    <w:rsid w:val="00942B51"/>
    <w:rsid w:val="009430E5"/>
    <w:rsid w:val="0094315F"/>
    <w:rsid w:val="009431A3"/>
    <w:rsid w:val="009432CB"/>
    <w:rsid w:val="009436D4"/>
    <w:rsid w:val="00943AFE"/>
    <w:rsid w:val="00943DE3"/>
    <w:rsid w:val="00944192"/>
    <w:rsid w:val="0094678B"/>
    <w:rsid w:val="00946AB7"/>
    <w:rsid w:val="00946B07"/>
    <w:rsid w:val="009505BB"/>
    <w:rsid w:val="009510AD"/>
    <w:rsid w:val="009513BE"/>
    <w:rsid w:val="00951DAD"/>
    <w:rsid w:val="00951DBF"/>
    <w:rsid w:val="00951EFA"/>
    <w:rsid w:val="00952259"/>
    <w:rsid w:val="0095242E"/>
    <w:rsid w:val="00953B97"/>
    <w:rsid w:val="00954408"/>
    <w:rsid w:val="00954D0E"/>
    <w:rsid w:val="00954FE1"/>
    <w:rsid w:val="0095542B"/>
    <w:rsid w:val="009556AE"/>
    <w:rsid w:val="00955DD9"/>
    <w:rsid w:val="009565BD"/>
    <w:rsid w:val="00956939"/>
    <w:rsid w:val="00956AAC"/>
    <w:rsid w:val="00956AB0"/>
    <w:rsid w:val="00956BC0"/>
    <w:rsid w:val="00961878"/>
    <w:rsid w:val="00961EF6"/>
    <w:rsid w:val="009620E7"/>
    <w:rsid w:val="00962780"/>
    <w:rsid w:val="00962B87"/>
    <w:rsid w:val="00962E13"/>
    <w:rsid w:val="00962FF1"/>
    <w:rsid w:val="009630CE"/>
    <w:rsid w:val="009641AD"/>
    <w:rsid w:val="009642EC"/>
    <w:rsid w:val="009647A2"/>
    <w:rsid w:val="00965427"/>
    <w:rsid w:val="00965842"/>
    <w:rsid w:val="0096653F"/>
    <w:rsid w:val="009679D9"/>
    <w:rsid w:val="009703F8"/>
    <w:rsid w:val="0097067B"/>
    <w:rsid w:val="009712AE"/>
    <w:rsid w:val="0097174E"/>
    <w:rsid w:val="00971BE0"/>
    <w:rsid w:val="00971EFA"/>
    <w:rsid w:val="0097253D"/>
    <w:rsid w:val="009725A2"/>
    <w:rsid w:val="00972CE5"/>
    <w:rsid w:val="00972D69"/>
    <w:rsid w:val="00973313"/>
    <w:rsid w:val="00973381"/>
    <w:rsid w:val="00974915"/>
    <w:rsid w:val="009752C7"/>
    <w:rsid w:val="009759F2"/>
    <w:rsid w:val="00976119"/>
    <w:rsid w:val="00976190"/>
    <w:rsid w:val="00976469"/>
    <w:rsid w:val="00976532"/>
    <w:rsid w:val="0097654B"/>
    <w:rsid w:val="00976A43"/>
    <w:rsid w:val="00976B93"/>
    <w:rsid w:val="009770B8"/>
    <w:rsid w:val="00977265"/>
    <w:rsid w:val="00977579"/>
    <w:rsid w:val="009775B0"/>
    <w:rsid w:val="00977C6D"/>
    <w:rsid w:val="00977F17"/>
    <w:rsid w:val="00980499"/>
    <w:rsid w:val="00981469"/>
    <w:rsid w:val="00981AF3"/>
    <w:rsid w:val="00982497"/>
    <w:rsid w:val="00982C61"/>
    <w:rsid w:val="00982CD1"/>
    <w:rsid w:val="00982EEF"/>
    <w:rsid w:val="0098342A"/>
    <w:rsid w:val="00983AE1"/>
    <w:rsid w:val="00983E85"/>
    <w:rsid w:val="009848B7"/>
    <w:rsid w:val="009854B6"/>
    <w:rsid w:val="00985829"/>
    <w:rsid w:val="00985D36"/>
    <w:rsid w:val="00985DBA"/>
    <w:rsid w:val="009865D6"/>
    <w:rsid w:val="00986975"/>
    <w:rsid w:val="0098757B"/>
    <w:rsid w:val="00990506"/>
    <w:rsid w:val="00990F79"/>
    <w:rsid w:val="009910DC"/>
    <w:rsid w:val="00991584"/>
    <w:rsid w:val="0099172C"/>
    <w:rsid w:val="00991B19"/>
    <w:rsid w:val="00991F23"/>
    <w:rsid w:val="00992605"/>
    <w:rsid w:val="00993599"/>
    <w:rsid w:val="00994CCA"/>
    <w:rsid w:val="00995DE5"/>
    <w:rsid w:val="009974A8"/>
    <w:rsid w:val="009975C9"/>
    <w:rsid w:val="009A0A09"/>
    <w:rsid w:val="009A1489"/>
    <w:rsid w:val="009A245B"/>
    <w:rsid w:val="009A2516"/>
    <w:rsid w:val="009A2FAA"/>
    <w:rsid w:val="009A334D"/>
    <w:rsid w:val="009A349F"/>
    <w:rsid w:val="009A3852"/>
    <w:rsid w:val="009A444E"/>
    <w:rsid w:val="009A4788"/>
    <w:rsid w:val="009A4A6E"/>
    <w:rsid w:val="009B0A9C"/>
    <w:rsid w:val="009B10AE"/>
    <w:rsid w:val="009B1240"/>
    <w:rsid w:val="009B1690"/>
    <w:rsid w:val="009B18D7"/>
    <w:rsid w:val="009B23EE"/>
    <w:rsid w:val="009B3610"/>
    <w:rsid w:val="009B37D3"/>
    <w:rsid w:val="009B4C61"/>
    <w:rsid w:val="009B4CB0"/>
    <w:rsid w:val="009B4CE0"/>
    <w:rsid w:val="009B54CF"/>
    <w:rsid w:val="009B5A8C"/>
    <w:rsid w:val="009B5C74"/>
    <w:rsid w:val="009B661E"/>
    <w:rsid w:val="009B68A4"/>
    <w:rsid w:val="009B75F0"/>
    <w:rsid w:val="009B7D1B"/>
    <w:rsid w:val="009C01B9"/>
    <w:rsid w:val="009C0342"/>
    <w:rsid w:val="009C0408"/>
    <w:rsid w:val="009C0D3F"/>
    <w:rsid w:val="009C12CC"/>
    <w:rsid w:val="009C161A"/>
    <w:rsid w:val="009C1E60"/>
    <w:rsid w:val="009C3C12"/>
    <w:rsid w:val="009C4088"/>
    <w:rsid w:val="009C5D49"/>
    <w:rsid w:val="009C718C"/>
    <w:rsid w:val="009C7345"/>
    <w:rsid w:val="009C7BBD"/>
    <w:rsid w:val="009C7C63"/>
    <w:rsid w:val="009C7FE0"/>
    <w:rsid w:val="009D025C"/>
    <w:rsid w:val="009D05CC"/>
    <w:rsid w:val="009D09AE"/>
    <w:rsid w:val="009D0EE8"/>
    <w:rsid w:val="009D10F3"/>
    <w:rsid w:val="009D11AB"/>
    <w:rsid w:val="009D1B21"/>
    <w:rsid w:val="009D2A1F"/>
    <w:rsid w:val="009D2BAC"/>
    <w:rsid w:val="009D3941"/>
    <w:rsid w:val="009D55EE"/>
    <w:rsid w:val="009D5970"/>
    <w:rsid w:val="009D5C32"/>
    <w:rsid w:val="009D73F5"/>
    <w:rsid w:val="009D740A"/>
    <w:rsid w:val="009D7D93"/>
    <w:rsid w:val="009E040E"/>
    <w:rsid w:val="009E10F4"/>
    <w:rsid w:val="009E1607"/>
    <w:rsid w:val="009E1A3F"/>
    <w:rsid w:val="009E21B7"/>
    <w:rsid w:val="009E2CF2"/>
    <w:rsid w:val="009E2EA7"/>
    <w:rsid w:val="009E312B"/>
    <w:rsid w:val="009E3966"/>
    <w:rsid w:val="009E41D0"/>
    <w:rsid w:val="009E4844"/>
    <w:rsid w:val="009E4CC2"/>
    <w:rsid w:val="009E564F"/>
    <w:rsid w:val="009E6184"/>
    <w:rsid w:val="009E655C"/>
    <w:rsid w:val="009E6625"/>
    <w:rsid w:val="009E6F2E"/>
    <w:rsid w:val="009E7478"/>
    <w:rsid w:val="009E752B"/>
    <w:rsid w:val="009E7AA3"/>
    <w:rsid w:val="009E7BF0"/>
    <w:rsid w:val="009F0A3A"/>
    <w:rsid w:val="009F0BD3"/>
    <w:rsid w:val="009F1F49"/>
    <w:rsid w:val="009F3218"/>
    <w:rsid w:val="009F394C"/>
    <w:rsid w:val="009F3A44"/>
    <w:rsid w:val="009F3FCB"/>
    <w:rsid w:val="009F4F93"/>
    <w:rsid w:val="009F556C"/>
    <w:rsid w:val="009F711E"/>
    <w:rsid w:val="009F7F2B"/>
    <w:rsid w:val="00A0001D"/>
    <w:rsid w:val="00A01037"/>
    <w:rsid w:val="00A0119C"/>
    <w:rsid w:val="00A017D4"/>
    <w:rsid w:val="00A01C9C"/>
    <w:rsid w:val="00A01F05"/>
    <w:rsid w:val="00A0272B"/>
    <w:rsid w:val="00A0287D"/>
    <w:rsid w:val="00A03332"/>
    <w:rsid w:val="00A0369C"/>
    <w:rsid w:val="00A03771"/>
    <w:rsid w:val="00A04024"/>
    <w:rsid w:val="00A04595"/>
    <w:rsid w:val="00A0541B"/>
    <w:rsid w:val="00A06208"/>
    <w:rsid w:val="00A0628B"/>
    <w:rsid w:val="00A068D9"/>
    <w:rsid w:val="00A06EAB"/>
    <w:rsid w:val="00A06EB9"/>
    <w:rsid w:val="00A1016F"/>
    <w:rsid w:val="00A10443"/>
    <w:rsid w:val="00A10996"/>
    <w:rsid w:val="00A10B74"/>
    <w:rsid w:val="00A10C18"/>
    <w:rsid w:val="00A10EC9"/>
    <w:rsid w:val="00A11F7F"/>
    <w:rsid w:val="00A12648"/>
    <w:rsid w:val="00A136A9"/>
    <w:rsid w:val="00A13855"/>
    <w:rsid w:val="00A140A3"/>
    <w:rsid w:val="00A149B4"/>
    <w:rsid w:val="00A15500"/>
    <w:rsid w:val="00A155A6"/>
    <w:rsid w:val="00A15B34"/>
    <w:rsid w:val="00A16421"/>
    <w:rsid w:val="00A1647B"/>
    <w:rsid w:val="00A177A3"/>
    <w:rsid w:val="00A17907"/>
    <w:rsid w:val="00A20EFE"/>
    <w:rsid w:val="00A21556"/>
    <w:rsid w:val="00A21903"/>
    <w:rsid w:val="00A22AF7"/>
    <w:rsid w:val="00A23211"/>
    <w:rsid w:val="00A23CD2"/>
    <w:rsid w:val="00A2405B"/>
    <w:rsid w:val="00A25013"/>
    <w:rsid w:val="00A25467"/>
    <w:rsid w:val="00A25512"/>
    <w:rsid w:val="00A2551C"/>
    <w:rsid w:val="00A25C16"/>
    <w:rsid w:val="00A2617B"/>
    <w:rsid w:val="00A27672"/>
    <w:rsid w:val="00A30028"/>
    <w:rsid w:val="00A301EF"/>
    <w:rsid w:val="00A3040F"/>
    <w:rsid w:val="00A3123A"/>
    <w:rsid w:val="00A3168A"/>
    <w:rsid w:val="00A31CD2"/>
    <w:rsid w:val="00A323BA"/>
    <w:rsid w:val="00A32EFA"/>
    <w:rsid w:val="00A335F7"/>
    <w:rsid w:val="00A33696"/>
    <w:rsid w:val="00A339B5"/>
    <w:rsid w:val="00A339FB"/>
    <w:rsid w:val="00A348FE"/>
    <w:rsid w:val="00A35D28"/>
    <w:rsid w:val="00A35E53"/>
    <w:rsid w:val="00A36254"/>
    <w:rsid w:val="00A3635F"/>
    <w:rsid w:val="00A36905"/>
    <w:rsid w:val="00A36916"/>
    <w:rsid w:val="00A36941"/>
    <w:rsid w:val="00A3747B"/>
    <w:rsid w:val="00A37995"/>
    <w:rsid w:val="00A40327"/>
    <w:rsid w:val="00A408EB"/>
    <w:rsid w:val="00A4133B"/>
    <w:rsid w:val="00A4189A"/>
    <w:rsid w:val="00A41A4E"/>
    <w:rsid w:val="00A42346"/>
    <w:rsid w:val="00A42565"/>
    <w:rsid w:val="00A42621"/>
    <w:rsid w:val="00A436D2"/>
    <w:rsid w:val="00A43752"/>
    <w:rsid w:val="00A4391C"/>
    <w:rsid w:val="00A441F1"/>
    <w:rsid w:val="00A443B8"/>
    <w:rsid w:val="00A452B2"/>
    <w:rsid w:val="00A454E3"/>
    <w:rsid w:val="00A463F3"/>
    <w:rsid w:val="00A47100"/>
    <w:rsid w:val="00A472D1"/>
    <w:rsid w:val="00A47335"/>
    <w:rsid w:val="00A47902"/>
    <w:rsid w:val="00A47B8B"/>
    <w:rsid w:val="00A50258"/>
    <w:rsid w:val="00A5085F"/>
    <w:rsid w:val="00A51149"/>
    <w:rsid w:val="00A53AB4"/>
    <w:rsid w:val="00A53DBB"/>
    <w:rsid w:val="00A53FB6"/>
    <w:rsid w:val="00A5498C"/>
    <w:rsid w:val="00A54FE4"/>
    <w:rsid w:val="00A5541A"/>
    <w:rsid w:val="00A56092"/>
    <w:rsid w:val="00A567CB"/>
    <w:rsid w:val="00A57DEC"/>
    <w:rsid w:val="00A60C13"/>
    <w:rsid w:val="00A615A6"/>
    <w:rsid w:val="00A61AD5"/>
    <w:rsid w:val="00A61BAB"/>
    <w:rsid w:val="00A61C95"/>
    <w:rsid w:val="00A6250F"/>
    <w:rsid w:val="00A62ADC"/>
    <w:rsid w:val="00A62B8A"/>
    <w:rsid w:val="00A62DEF"/>
    <w:rsid w:val="00A637C6"/>
    <w:rsid w:val="00A63824"/>
    <w:rsid w:val="00A63A3A"/>
    <w:rsid w:val="00A63A5F"/>
    <w:rsid w:val="00A63D9A"/>
    <w:rsid w:val="00A63FAB"/>
    <w:rsid w:val="00A6458B"/>
    <w:rsid w:val="00A64688"/>
    <w:rsid w:val="00A64C0E"/>
    <w:rsid w:val="00A65327"/>
    <w:rsid w:val="00A653AC"/>
    <w:rsid w:val="00A65632"/>
    <w:rsid w:val="00A65BF7"/>
    <w:rsid w:val="00A65DCD"/>
    <w:rsid w:val="00A66506"/>
    <w:rsid w:val="00A66E2A"/>
    <w:rsid w:val="00A6769C"/>
    <w:rsid w:val="00A67E6C"/>
    <w:rsid w:val="00A67FE1"/>
    <w:rsid w:val="00A70081"/>
    <w:rsid w:val="00A703C1"/>
    <w:rsid w:val="00A70642"/>
    <w:rsid w:val="00A7067D"/>
    <w:rsid w:val="00A712E0"/>
    <w:rsid w:val="00A7189A"/>
    <w:rsid w:val="00A71C9E"/>
    <w:rsid w:val="00A71DDE"/>
    <w:rsid w:val="00A7228B"/>
    <w:rsid w:val="00A72A7B"/>
    <w:rsid w:val="00A72B75"/>
    <w:rsid w:val="00A73038"/>
    <w:rsid w:val="00A7328F"/>
    <w:rsid w:val="00A737C5"/>
    <w:rsid w:val="00A73F8D"/>
    <w:rsid w:val="00A749FD"/>
    <w:rsid w:val="00A74B8A"/>
    <w:rsid w:val="00A74C77"/>
    <w:rsid w:val="00A74D94"/>
    <w:rsid w:val="00A74DF1"/>
    <w:rsid w:val="00A75387"/>
    <w:rsid w:val="00A758BE"/>
    <w:rsid w:val="00A75C2A"/>
    <w:rsid w:val="00A7668A"/>
    <w:rsid w:val="00A768EE"/>
    <w:rsid w:val="00A76C99"/>
    <w:rsid w:val="00A76E5A"/>
    <w:rsid w:val="00A76F14"/>
    <w:rsid w:val="00A775D5"/>
    <w:rsid w:val="00A800C8"/>
    <w:rsid w:val="00A801F8"/>
    <w:rsid w:val="00A811CB"/>
    <w:rsid w:val="00A81D00"/>
    <w:rsid w:val="00A81D2F"/>
    <w:rsid w:val="00A81E59"/>
    <w:rsid w:val="00A81EBE"/>
    <w:rsid w:val="00A826F1"/>
    <w:rsid w:val="00A82712"/>
    <w:rsid w:val="00A82D02"/>
    <w:rsid w:val="00A8428C"/>
    <w:rsid w:val="00A84364"/>
    <w:rsid w:val="00A84806"/>
    <w:rsid w:val="00A84CD0"/>
    <w:rsid w:val="00A858E9"/>
    <w:rsid w:val="00A85E5B"/>
    <w:rsid w:val="00A85E73"/>
    <w:rsid w:val="00A86ED1"/>
    <w:rsid w:val="00A86F9B"/>
    <w:rsid w:val="00A915F4"/>
    <w:rsid w:val="00A91687"/>
    <w:rsid w:val="00A917A9"/>
    <w:rsid w:val="00A91C36"/>
    <w:rsid w:val="00A91D41"/>
    <w:rsid w:val="00A93F51"/>
    <w:rsid w:val="00A96010"/>
    <w:rsid w:val="00A9684D"/>
    <w:rsid w:val="00A97402"/>
    <w:rsid w:val="00A97873"/>
    <w:rsid w:val="00AA0B30"/>
    <w:rsid w:val="00AA0EFF"/>
    <w:rsid w:val="00AA1E18"/>
    <w:rsid w:val="00AA1E6C"/>
    <w:rsid w:val="00AA29DC"/>
    <w:rsid w:val="00AA2B4F"/>
    <w:rsid w:val="00AA321D"/>
    <w:rsid w:val="00AA3259"/>
    <w:rsid w:val="00AA383C"/>
    <w:rsid w:val="00AA3C4B"/>
    <w:rsid w:val="00AA4B32"/>
    <w:rsid w:val="00AA4CFF"/>
    <w:rsid w:val="00AA4D52"/>
    <w:rsid w:val="00AA4F04"/>
    <w:rsid w:val="00AA5773"/>
    <w:rsid w:val="00AA6669"/>
    <w:rsid w:val="00AA690A"/>
    <w:rsid w:val="00AA6AB3"/>
    <w:rsid w:val="00AA6D26"/>
    <w:rsid w:val="00AA74C0"/>
    <w:rsid w:val="00AB0541"/>
    <w:rsid w:val="00AB09EE"/>
    <w:rsid w:val="00AB19B4"/>
    <w:rsid w:val="00AB2400"/>
    <w:rsid w:val="00AB25DF"/>
    <w:rsid w:val="00AB5377"/>
    <w:rsid w:val="00AB5B77"/>
    <w:rsid w:val="00AB7D08"/>
    <w:rsid w:val="00AB7F83"/>
    <w:rsid w:val="00AC0B81"/>
    <w:rsid w:val="00AC14C6"/>
    <w:rsid w:val="00AC2300"/>
    <w:rsid w:val="00AC3451"/>
    <w:rsid w:val="00AC3506"/>
    <w:rsid w:val="00AC387E"/>
    <w:rsid w:val="00AC4DD2"/>
    <w:rsid w:val="00AC5210"/>
    <w:rsid w:val="00AC5BDF"/>
    <w:rsid w:val="00AC662A"/>
    <w:rsid w:val="00AC6903"/>
    <w:rsid w:val="00AC6B95"/>
    <w:rsid w:val="00AC722F"/>
    <w:rsid w:val="00AC7669"/>
    <w:rsid w:val="00AC79C9"/>
    <w:rsid w:val="00AD0AF6"/>
    <w:rsid w:val="00AD103E"/>
    <w:rsid w:val="00AD277E"/>
    <w:rsid w:val="00AD343E"/>
    <w:rsid w:val="00AD4267"/>
    <w:rsid w:val="00AD476A"/>
    <w:rsid w:val="00AD47AA"/>
    <w:rsid w:val="00AD4ABF"/>
    <w:rsid w:val="00AD4C67"/>
    <w:rsid w:val="00AD52D1"/>
    <w:rsid w:val="00AD54E1"/>
    <w:rsid w:val="00AD5632"/>
    <w:rsid w:val="00AD6306"/>
    <w:rsid w:val="00AD67DE"/>
    <w:rsid w:val="00AD6842"/>
    <w:rsid w:val="00AD7076"/>
    <w:rsid w:val="00AD739C"/>
    <w:rsid w:val="00AE0764"/>
    <w:rsid w:val="00AE16D1"/>
    <w:rsid w:val="00AE1BC1"/>
    <w:rsid w:val="00AE1BD1"/>
    <w:rsid w:val="00AE1DBE"/>
    <w:rsid w:val="00AE276C"/>
    <w:rsid w:val="00AE3BFD"/>
    <w:rsid w:val="00AE3DF4"/>
    <w:rsid w:val="00AE41D4"/>
    <w:rsid w:val="00AE4788"/>
    <w:rsid w:val="00AE4BEA"/>
    <w:rsid w:val="00AE4C6D"/>
    <w:rsid w:val="00AE50A3"/>
    <w:rsid w:val="00AE54FF"/>
    <w:rsid w:val="00AE563F"/>
    <w:rsid w:val="00AE6595"/>
    <w:rsid w:val="00AE6749"/>
    <w:rsid w:val="00AE6B0B"/>
    <w:rsid w:val="00AE71A8"/>
    <w:rsid w:val="00AE74AF"/>
    <w:rsid w:val="00AE74B3"/>
    <w:rsid w:val="00AE7530"/>
    <w:rsid w:val="00AE7678"/>
    <w:rsid w:val="00AF0329"/>
    <w:rsid w:val="00AF0774"/>
    <w:rsid w:val="00AF11B5"/>
    <w:rsid w:val="00AF1D47"/>
    <w:rsid w:val="00AF1F48"/>
    <w:rsid w:val="00AF2612"/>
    <w:rsid w:val="00AF3889"/>
    <w:rsid w:val="00AF39DC"/>
    <w:rsid w:val="00AF3BD3"/>
    <w:rsid w:val="00AF3F13"/>
    <w:rsid w:val="00AF3FE3"/>
    <w:rsid w:val="00AF4A53"/>
    <w:rsid w:val="00AF4F33"/>
    <w:rsid w:val="00AF52DC"/>
    <w:rsid w:val="00AF6305"/>
    <w:rsid w:val="00AF6A68"/>
    <w:rsid w:val="00AF72F9"/>
    <w:rsid w:val="00AF7ED1"/>
    <w:rsid w:val="00B001C6"/>
    <w:rsid w:val="00B008DF"/>
    <w:rsid w:val="00B00BB3"/>
    <w:rsid w:val="00B00E5C"/>
    <w:rsid w:val="00B011D8"/>
    <w:rsid w:val="00B0131B"/>
    <w:rsid w:val="00B014AD"/>
    <w:rsid w:val="00B01819"/>
    <w:rsid w:val="00B022D8"/>
    <w:rsid w:val="00B024A5"/>
    <w:rsid w:val="00B02540"/>
    <w:rsid w:val="00B039AB"/>
    <w:rsid w:val="00B039E9"/>
    <w:rsid w:val="00B03B7D"/>
    <w:rsid w:val="00B04DC3"/>
    <w:rsid w:val="00B04EED"/>
    <w:rsid w:val="00B0529B"/>
    <w:rsid w:val="00B05E03"/>
    <w:rsid w:val="00B0644E"/>
    <w:rsid w:val="00B07B37"/>
    <w:rsid w:val="00B1077D"/>
    <w:rsid w:val="00B10841"/>
    <w:rsid w:val="00B10B1F"/>
    <w:rsid w:val="00B11176"/>
    <w:rsid w:val="00B1173B"/>
    <w:rsid w:val="00B123B7"/>
    <w:rsid w:val="00B13CB1"/>
    <w:rsid w:val="00B14BEA"/>
    <w:rsid w:val="00B15975"/>
    <w:rsid w:val="00B167CE"/>
    <w:rsid w:val="00B16B62"/>
    <w:rsid w:val="00B1758A"/>
    <w:rsid w:val="00B17902"/>
    <w:rsid w:val="00B17A2E"/>
    <w:rsid w:val="00B17C66"/>
    <w:rsid w:val="00B20292"/>
    <w:rsid w:val="00B206B1"/>
    <w:rsid w:val="00B20B13"/>
    <w:rsid w:val="00B20BCC"/>
    <w:rsid w:val="00B22004"/>
    <w:rsid w:val="00B22C0A"/>
    <w:rsid w:val="00B22FF9"/>
    <w:rsid w:val="00B23F87"/>
    <w:rsid w:val="00B24213"/>
    <w:rsid w:val="00B242E1"/>
    <w:rsid w:val="00B244B0"/>
    <w:rsid w:val="00B24980"/>
    <w:rsid w:val="00B250B5"/>
    <w:rsid w:val="00B25B42"/>
    <w:rsid w:val="00B2635D"/>
    <w:rsid w:val="00B267F1"/>
    <w:rsid w:val="00B2725F"/>
    <w:rsid w:val="00B27998"/>
    <w:rsid w:val="00B308E1"/>
    <w:rsid w:val="00B30FEF"/>
    <w:rsid w:val="00B31D3D"/>
    <w:rsid w:val="00B32196"/>
    <w:rsid w:val="00B32623"/>
    <w:rsid w:val="00B331DC"/>
    <w:rsid w:val="00B33BCF"/>
    <w:rsid w:val="00B34D88"/>
    <w:rsid w:val="00B35546"/>
    <w:rsid w:val="00B3556A"/>
    <w:rsid w:val="00B35594"/>
    <w:rsid w:val="00B3580D"/>
    <w:rsid w:val="00B36B6D"/>
    <w:rsid w:val="00B3756E"/>
    <w:rsid w:val="00B3781E"/>
    <w:rsid w:val="00B401AE"/>
    <w:rsid w:val="00B402BB"/>
    <w:rsid w:val="00B4069E"/>
    <w:rsid w:val="00B414AF"/>
    <w:rsid w:val="00B41708"/>
    <w:rsid w:val="00B42998"/>
    <w:rsid w:val="00B4301A"/>
    <w:rsid w:val="00B438DD"/>
    <w:rsid w:val="00B43B6A"/>
    <w:rsid w:val="00B43FF7"/>
    <w:rsid w:val="00B4438B"/>
    <w:rsid w:val="00B453BE"/>
    <w:rsid w:val="00B46135"/>
    <w:rsid w:val="00B46241"/>
    <w:rsid w:val="00B46422"/>
    <w:rsid w:val="00B46735"/>
    <w:rsid w:val="00B468A0"/>
    <w:rsid w:val="00B47896"/>
    <w:rsid w:val="00B47C72"/>
    <w:rsid w:val="00B507E9"/>
    <w:rsid w:val="00B50878"/>
    <w:rsid w:val="00B50D0F"/>
    <w:rsid w:val="00B51EF7"/>
    <w:rsid w:val="00B5205A"/>
    <w:rsid w:val="00B52363"/>
    <w:rsid w:val="00B524C0"/>
    <w:rsid w:val="00B52693"/>
    <w:rsid w:val="00B52CF9"/>
    <w:rsid w:val="00B52D9E"/>
    <w:rsid w:val="00B530F8"/>
    <w:rsid w:val="00B535DF"/>
    <w:rsid w:val="00B53C31"/>
    <w:rsid w:val="00B5445A"/>
    <w:rsid w:val="00B555A9"/>
    <w:rsid w:val="00B55A15"/>
    <w:rsid w:val="00B55E82"/>
    <w:rsid w:val="00B563AF"/>
    <w:rsid w:val="00B563E9"/>
    <w:rsid w:val="00B56902"/>
    <w:rsid w:val="00B56922"/>
    <w:rsid w:val="00B56B70"/>
    <w:rsid w:val="00B57983"/>
    <w:rsid w:val="00B604C8"/>
    <w:rsid w:val="00B60ED0"/>
    <w:rsid w:val="00B62189"/>
    <w:rsid w:val="00B627E7"/>
    <w:rsid w:val="00B6283F"/>
    <w:rsid w:val="00B62F33"/>
    <w:rsid w:val="00B630AC"/>
    <w:rsid w:val="00B65066"/>
    <w:rsid w:val="00B6668D"/>
    <w:rsid w:val="00B666B9"/>
    <w:rsid w:val="00B66A94"/>
    <w:rsid w:val="00B66F81"/>
    <w:rsid w:val="00B67145"/>
    <w:rsid w:val="00B677F1"/>
    <w:rsid w:val="00B67914"/>
    <w:rsid w:val="00B707AF"/>
    <w:rsid w:val="00B70882"/>
    <w:rsid w:val="00B709B8"/>
    <w:rsid w:val="00B7275C"/>
    <w:rsid w:val="00B72D75"/>
    <w:rsid w:val="00B72F97"/>
    <w:rsid w:val="00B73774"/>
    <w:rsid w:val="00B741EF"/>
    <w:rsid w:val="00B747A2"/>
    <w:rsid w:val="00B75001"/>
    <w:rsid w:val="00B75D6E"/>
    <w:rsid w:val="00B75F72"/>
    <w:rsid w:val="00B76DC1"/>
    <w:rsid w:val="00B77CFD"/>
    <w:rsid w:val="00B800B7"/>
    <w:rsid w:val="00B80425"/>
    <w:rsid w:val="00B805C4"/>
    <w:rsid w:val="00B806D4"/>
    <w:rsid w:val="00B81548"/>
    <w:rsid w:val="00B81633"/>
    <w:rsid w:val="00B81F81"/>
    <w:rsid w:val="00B82FF5"/>
    <w:rsid w:val="00B831BA"/>
    <w:rsid w:val="00B83A38"/>
    <w:rsid w:val="00B83D46"/>
    <w:rsid w:val="00B850CE"/>
    <w:rsid w:val="00B862C0"/>
    <w:rsid w:val="00B863D9"/>
    <w:rsid w:val="00B864BA"/>
    <w:rsid w:val="00B86C03"/>
    <w:rsid w:val="00B86E98"/>
    <w:rsid w:val="00B90192"/>
    <w:rsid w:val="00B90A49"/>
    <w:rsid w:val="00B90B9B"/>
    <w:rsid w:val="00B90C7D"/>
    <w:rsid w:val="00B91455"/>
    <w:rsid w:val="00B919E1"/>
    <w:rsid w:val="00B92313"/>
    <w:rsid w:val="00B933BC"/>
    <w:rsid w:val="00B93791"/>
    <w:rsid w:val="00B93921"/>
    <w:rsid w:val="00B945A2"/>
    <w:rsid w:val="00B94702"/>
    <w:rsid w:val="00B962AB"/>
    <w:rsid w:val="00B963A6"/>
    <w:rsid w:val="00B966B6"/>
    <w:rsid w:val="00B96C66"/>
    <w:rsid w:val="00B97B6F"/>
    <w:rsid w:val="00BA05AF"/>
    <w:rsid w:val="00BA0622"/>
    <w:rsid w:val="00BA096B"/>
    <w:rsid w:val="00BA13D0"/>
    <w:rsid w:val="00BA14FE"/>
    <w:rsid w:val="00BA1C0C"/>
    <w:rsid w:val="00BA1C65"/>
    <w:rsid w:val="00BA1F66"/>
    <w:rsid w:val="00BA23AE"/>
    <w:rsid w:val="00BA2A52"/>
    <w:rsid w:val="00BA3293"/>
    <w:rsid w:val="00BA35C3"/>
    <w:rsid w:val="00BA3C29"/>
    <w:rsid w:val="00BA3F2E"/>
    <w:rsid w:val="00BA403D"/>
    <w:rsid w:val="00BA4357"/>
    <w:rsid w:val="00BA4760"/>
    <w:rsid w:val="00BA4FF0"/>
    <w:rsid w:val="00BA58D9"/>
    <w:rsid w:val="00BA5FB5"/>
    <w:rsid w:val="00BA6341"/>
    <w:rsid w:val="00BA6E60"/>
    <w:rsid w:val="00BA7003"/>
    <w:rsid w:val="00BA71ED"/>
    <w:rsid w:val="00BA7CCE"/>
    <w:rsid w:val="00BB065D"/>
    <w:rsid w:val="00BB14CF"/>
    <w:rsid w:val="00BB17C8"/>
    <w:rsid w:val="00BB1CF9"/>
    <w:rsid w:val="00BB2101"/>
    <w:rsid w:val="00BB2133"/>
    <w:rsid w:val="00BB26DC"/>
    <w:rsid w:val="00BB30F3"/>
    <w:rsid w:val="00BB315F"/>
    <w:rsid w:val="00BB325E"/>
    <w:rsid w:val="00BB3D90"/>
    <w:rsid w:val="00BB48F1"/>
    <w:rsid w:val="00BB5036"/>
    <w:rsid w:val="00BB5BAF"/>
    <w:rsid w:val="00BB6888"/>
    <w:rsid w:val="00BB6EFD"/>
    <w:rsid w:val="00BB779D"/>
    <w:rsid w:val="00BB7A4D"/>
    <w:rsid w:val="00BC068E"/>
    <w:rsid w:val="00BC107E"/>
    <w:rsid w:val="00BC1C7C"/>
    <w:rsid w:val="00BC205F"/>
    <w:rsid w:val="00BC3D44"/>
    <w:rsid w:val="00BC4213"/>
    <w:rsid w:val="00BC4C7F"/>
    <w:rsid w:val="00BC5C80"/>
    <w:rsid w:val="00BC5D5B"/>
    <w:rsid w:val="00BC5F08"/>
    <w:rsid w:val="00BC6161"/>
    <w:rsid w:val="00BC65A4"/>
    <w:rsid w:val="00BC65B2"/>
    <w:rsid w:val="00BC7301"/>
    <w:rsid w:val="00BC75B3"/>
    <w:rsid w:val="00BC7E15"/>
    <w:rsid w:val="00BC7E36"/>
    <w:rsid w:val="00BD020B"/>
    <w:rsid w:val="00BD09B1"/>
    <w:rsid w:val="00BD0FE8"/>
    <w:rsid w:val="00BD16D6"/>
    <w:rsid w:val="00BD1B72"/>
    <w:rsid w:val="00BD31B3"/>
    <w:rsid w:val="00BD3BB5"/>
    <w:rsid w:val="00BD41C0"/>
    <w:rsid w:val="00BD485C"/>
    <w:rsid w:val="00BD4AA0"/>
    <w:rsid w:val="00BD521B"/>
    <w:rsid w:val="00BD59C0"/>
    <w:rsid w:val="00BD6053"/>
    <w:rsid w:val="00BD6593"/>
    <w:rsid w:val="00BD66B2"/>
    <w:rsid w:val="00BD71AD"/>
    <w:rsid w:val="00BD76B1"/>
    <w:rsid w:val="00BD7725"/>
    <w:rsid w:val="00BD786C"/>
    <w:rsid w:val="00BD78AD"/>
    <w:rsid w:val="00BD78F4"/>
    <w:rsid w:val="00BE0F6C"/>
    <w:rsid w:val="00BE1D73"/>
    <w:rsid w:val="00BE1EC9"/>
    <w:rsid w:val="00BE1F09"/>
    <w:rsid w:val="00BE2650"/>
    <w:rsid w:val="00BE26F9"/>
    <w:rsid w:val="00BE2DD8"/>
    <w:rsid w:val="00BE301A"/>
    <w:rsid w:val="00BE3B4B"/>
    <w:rsid w:val="00BE400A"/>
    <w:rsid w:val="00BE458A"/>
    <w:rsid w:val="00BE4BE8"/>
    <w:rsid w:val="00BE4DBA"/>
    <w:rsid w:val="00BE4E51"/>
    <w:rsid w:val="00BE5D07"/>
    <w:rsid w:val="00BE61FC"/>
    <w:rsid w:val="00BE7A1E"/>
    <w:rsid w:val="00BF0159"/>
    <w:rsid w:val="00BF0D84"/>
    <w:rsid w:val="00BF1423"/>
    <w:rsid w:val="00BF18FE"/>
    <w:rsid w:val="00BF1C55"/>
    <w:rsid w:val="00BF224A"/>
    <w:rsid w:val="00BF28A4"/>
    <w:rsid w:val="00BF37C5"/>
    <w:rsid w:val="00BF3AAA"/>
    <w:rsid w:val="00BF42FD"/>
    <w:rsid w:val="00BF497A"/>
    <w:rsid w:val="00BF4AC8"/>
    <w:rsid w:val="00BF5BF6"/>
    <w:rsid w:val="00BF5E37"/>
    <w:rsid w:val="00BF6983"/>
    <w:rsid w:val="00BF70D4"/>
    <w:rsid w:val="00BF71E4"/>
    <w:rsid w:val="00BF7831"/>
    <w:rsid w:val="00BF7B13"/>
    <w:rsid w:val="00C00262"/>
    <w:rsid w:val="00C0163D"/>
    <w:rsid w:val="00C017CA"/>
    <w:rsid w:val="00C02152"/>
    <w:rsid w:val="00C0264E"/>
    <w:rsid w:val="00C03099"/>
    <w:rsid w:val="00C03CE8"/>
    <w:rsid w:val="00C0494D"/>
    <w:rsid w:val="00C04B74"/>
    <w:rsid w:val="00C05806"/>
    <w:rsid w:val="00C05FA3"/>
    <w:rsid w:val="00C06A1F"/>
    <w:rsid w:val="00C07158"/>
    <w:rsid w:val="00C108A9"/>
    <w:rsid w:val="00C10D63"/>
    <w:rsid w:val="00C123A3"/>
    <w:rsid w:val="00C12466"/>
    <w:rsid w:val="00C141FB"/>
    <w:rsid w:val="00C143BD"/>
    <w:rsid w:val="00C1441B"/>
    <w:rsid w:val="00C14FB5"/>
    <w:rsid w:val="00C151EC"/>
    <w:rsid w:val="00C1544B"/>
    <w:rsid w:val="00C158FE"/>
    <w:rsid w:val="00C15A04"/>
    <w:rsid w:val="00C1656A"/>
    <w:rsid w:val="00C16815"/>
    <w:rsid w:val="00C17D4D"/>
    <w:rsid w:val="00C17D55"/>
    <w:rsid w:val="00C205F8"/>
    <w:rsid w:val="00C2100C"/>
    <w:rsid w:val="00C2106B"/>
    <w:rsid w:val="00C21175"/>
    <w:rsid w:val="00C226C2"/>
    <w:rsid w:val="00C2297F"/>
    <w:rsid w:val="00C22CC3"/>
    <w:rsid w:val="00C2305A"/>
    <w:rsid w:val="00C237BB"/>
    <w:rsid w:val="00C23CC9"/>
    <w:rsid w:val="00C24114"/>
    <w:rsid w:val="00C248DB"/>
    <w:rsid w:val="00C248DD"/>
    <w:rsid w:val="00C2492B"/>
    <w:rsid w:val="00C2557A"/>
    <w:rsid w:val="00C255F6"/>
    <w:rsid w:val="00C256E7"/>
    <w:rsid w:val="00C25831"/>
    <w:rsid w:val="00C2605E"/>
    <w:rsid w:val="00C26EDD"/>
    <w:rsid w:val="00C27BF6"/>
    <w:rsid w:val="00C27C80"/>
    <w:rsid w:val="00C30577"/>
    <w:rsid w:val="00C30B3D"/>
    <w:rsid w:val="00C30BEF"/>
    <w:rsid w:val="00C30DC6"/>
    <w:rsid w:val="00C31631"/>
    <w:rsid w:val="00C316BC"/>
    <w:rsid w:val="00C31E72"/>
    <w:rsid w:val="00C32004"/>
    <w:rsid w:val="00C323BD"/>
    <w:rsid w:val="00C32B66"/>
    <w:rsid w:val="00C33180"/>
    <w:rsid w:val="00C33462"/>
    <w:rsid w:val="00C33AE2"/>
    <w:rsid w:val="00C34138"/>
    <w:rsid w:val="00C34324"/>
    <w:rsid w:val="00C344E9"/>
    <w:rsid w:val="00C3492B"/>
    <w:rsid w:val="00C35315"/>
    <w:rsid w:val="00C3555A"/>
    <w:rsid w:val="00C3626C"/>
    <w:rsid w:val="00C364B9"/>
    <w:rsid w:val="00C36CE9"/>
    <w:rsid w:val="00C37741"/>
    <w:rsid w:val="00C37E3D"/>
    <w:rsid w:val="00C4041E"/>
    <w:rsid w:val="00C40C64"/>
    <w:rsid w:val="00C433C4"/>
    <w:rsid w:val="00C43FBA"/>
    <w:rsid w:val="00C441CC"/>
    <w:rsid w:val="00C44475"/>
    <w:rsid w:val="00C44F87"/>
    <w:rsid w:val="00C45757"/>
    <w:rsid w:val="00C4609E"/>
    <w:rsid w:val="00C46807"/>
    <w:rsid w:val="00C46C4D"/>
    <w:rsid w:val="00C47D44"/>
    <w:rsid w:val="00C50B1E"/>
    <w:rsid w:val="00C51C72"/>
    <w:rsid w:val="00C51CB1"/>
    <w:rsid w:val="00C521B4"/>
    <w:rsid w:val="00C52914"/>
    <w:rsid w:val="00C532A5"/>
    <w:rsid w:val="00C544CC"/>
    <w:rsid w:val="00C546E7"/>
    <w:rsid w:val="00C55114"/>
    <w:rsid w:val="00C56262"/>
    <w:rsid w:val="00C57198"/>
    <w:rsid w:val="00C578CE"/>
    <w:rsid w:val="00C617BF"/>
    <w:rsid w:val="00C6205F"/>
    <w:rsid w:val="00C6221F"/>
    <w:rsid w:val="00C62692"/>
    <w:rsid w:val="00C62791"/>
    <w:rsid w:val="00C62FA1"/>
    <w:rsid w:val="00C64069"/>
    <w:rsid w:val="00C64871"/>
    <w:rsid w:val="00C64B36"/>
    <w:rsid w:val="00C64C87"/>
    <w:rsid w:val="00C653BA"/>
    <w:rsid w:val="00C657B4"/>
    <w:rsid w:val="00C6774F"/>
    <w:rsid w:val="00C677AA"/>
    <w:rsid w:val="00C67EA3"/>
    <w:rsid w:val="00C71914"/>
    <w:rsid w:val="00C7263B"/>
    <w:rsid w:val="00C727EF"/>
    <w:rsid w:val="00C72D01"/>
    <w:rsid w:val="00C72F2F"/>
    <w:rsid w:val="00C73290"/>
    <w:rsid w:val="00C736A7"/>
    <w:rsid w:val="00C739FD"/>
    <w:rsid w:val="00C74181"/>
    <w:rsid w:val="00C74636"/>
    <w:rsid w:val="00C74AF1"/>
    <w:rsid w:val="00C752C9"/>
    <w:rsid w:val="00C759F1"/>
    <w:rsid w:val="00C7613A"/>
    <w:rsid w:val="00C761B9"/>
    <w:rsid w:val="00C77315"/>
    <w:rsid w:val="00C7751B"/>
    <w:rsid w:val="00C77AEB"/>
    <w:rsid w:val="00C77C98"/>
    <w:rsid w:val="00C80069"/>
    <w:rsid w:val="00C805DA"/>
    <w:rsid w:val="00C8096C"/>
    <w:rsid w:val="00C80A78"/>
    <w:rsid w:val="00C80F33"/>
    <w:rsid w:val="00C80FD0"/>
    <w:rsid w:val="00C8100B"/>
    <w:rsid w:val="00C816BC"/>
    <w:rsid w:val="00C825DD"/>
    <w:rsid w:val="00C82BAA"/>
    <w:rsid w:val="00C82DDB"/>
    <w:rsid w:val="00C85089"/>
    <w:rsid w:val="00C852AC"/>
    <w:rsid w:val="00C857F9"/>
    <w:rsid w:val="00C86543"/>
    <w:rsid w:val="00C8683F"/>
    <w:rsid w:val="00C86967"/>
    <w:rsid w:val="00C87D19"/>
    <w:rsid w:val="00C906CF"/>
    <w:rsid w:val="00C9091D"/>
    <w:rsid w:val="00C90FA2"/>
    <w:rsid w:val="00C91CA5"/>
    <w:rsid w:val="00C91D17"/>
    <w:rsid w:val="00C91D26"/>
    <w:rsid w:val="00C92267"/>
    <w:rsid w:val="00C92D31"/>
    <w:rsid w:val="00C94857"/>
    <w:rsid w:val="00C954FD"/>
    <w:rsid w:val="00C959C2"/>
    <w:rsid w:val="00C95BC5"/>
    <w:rsid w:val="00C95DEA"/>
    <w:rsid w:val="00C95FCA"/>
    <w:rsid w:val="00C974ED"/>
    <w:rsid w:val="00C976AC"/>
    <w:rsid w:val="00C97A8D"/>
    <w:rsid w:val="00CA0083"/>
    <w:rsid w:val="00CA04C0"/>
    <w:rsid w:val="00CA0837"/>
    <w:rsid w:val="00CA0BD9"/>
    <w:rsid w:val="00CA4064"/>
    <w:rsid w:val="00CA41D2"/>
    <w:rsid w:val="00CA4753"/>
    <w:rsid w:val="00CA4C00"/>
    <w:rsid w:val="00CA4D91"/>
    <w:rsid w:val="00CA4F20"/>
    <w:rsid w:val="00CA5908"/>
    <w:rsid w:val="00CA5D21"/>
    <w:rsid w:val="00CA6512"/>
    <w:rsid w:val="00CA7A61"/>
    <w:rsid w:val="00CB0C16"/>
    <w:rsid w:val="00CB1327"/>
    <w:rsid w:val="00CB149F"/>
    <w:rsid w:val="00CB1EAE"/>
    <w:rsid w:val="00CB1F5B"/>
    <w:rsid w:val="00CB2147"/>
    <w:rsid w:val="00CB30F5"/>
    <w:rsid w:val="00CB3133"/>
    <w:rsid w:val="00CB315D"/>
    <w:rsid w:val="00CB3B4E"/>
    <w:rsid w:val="00CB3EC6"/>
    <w:rsid w:val="00CB4BEE"/>
    <w:rsid w:val="00CB4F56"/>
    <w:rsid w:val="00CB598E"/>
    <w:rsid w:val="00CB68CC"/>
    <w:rsid w:val="00CB6BB5"/>
    <w:rsid w:val="00CB6D6A"/>
    <w:rsid w:val="00CB7873"/>
    <w:rsid w:val="00CC0309"/>
    <w:rsid w:val="00CC07DB"/>
    <w:rsid w:val="00CC0A26"/>
    <w:rsid w:val="00CC0AB1"/>
    <w:rsid w:val="00CC1838"/>
    <w:rsid w:val="00CC341C"/>
    <w:rsid w:val="00CC3645"/>
    <w:rsid w:val="00CC3F55"/>
    <w:rsid w:val="00CC4116"/>
    <w:rsid w:val="00CC54B1"/>
    <w:rsid w:val="00CC55AE"/>
    <w:rsid w:val="00CC79A2"/>
    <w:rsid w:val="00CC7D66"/>
    <w:rsid w:val="00CD0153"/>
    <w:rsid w:val="00CD02C6"/>
    <w:rsid w:val="00CD092E"/>
    <w:rsid w:val="00CD0A75"/>
    <w:rsid w:val="00CD11DE"/>
    <w:rsid w:val="00CD143E"/>
    <w:rsid w:val="00CD1963"/>
    <w:rsid w:val="00CD19CA"/>
    <w:rsid w:val="00CD1AC2"/>
    <w:rsid w:val="00CD31B3"/>
    <w:rsid w:val="00CD34FD"/>
    <w:rsid w:val="00CD3E17"/>
    <w:rsid w:val="00CD3EFC"/>
    <w:rsid w:val="00CD467E"/>
    <w:rsid w:val="00CD50A4"/>
    <w:rsid w:val="00CD51ED"/>
    <w:rsid w:val="00CD5CFC"/>
    <w:rsid w:val="00CD6C4D"/>
    <w:rsid w:val="00CD7357"/>
    <w:rsid w:val="00CD7B3A"/>
    <w:rsid w:val="00CE0199"/>
    <w:rsid w:val="00CE0440"/>
    <w:rsid w:val="00CE05E1"/>
    <w:rsid w:val="00CE0620"/>
    <w:rsid w:val="00CE1146"/>
    <w:rsid w:val="00CE16F2"/>
    <w:rsid w:val="00CE178F"/>
    <w:rsid w:val="00CE18AA"/>
    <w:rsid w:val="00CE1CC5"/>
    <w:rsid w:val="00CE1E16"/>
    <w:rsid w:val="00CE253C"/>
    <w:rsid w:val="00CE2EE4"/>
    <w:rsid w:val="00CE3346"/>
    <w:rsid w:val="00CE3797"/>
    <w:rsid w:val="00CE3ADA"/>
    <w:rsid w:val="00CE4025"/>
    <w:rsid w:val="00CE41CB"/>
    <w:rsid w:val="00CE48D3"/>
    <w:rsid w:val="00CE498F"/>
    <w:rsid w:val="00CE5D42"/>
    <w:rsid w:val="00CE5FE1"/>
    <w:rsid w:val="00CE6803"/>
    <w:rsid w:val="00CE6D99"/>
    <w:rsid w:val="00CE7CAC"/>
    <w:rsid w:val="00CF0777"/>
    <w:rsid w:val="00CF0FF4"/>
    <w:rsid w:val="00CF1622"/>
    <w:rsid w:val="00CF1EB5"/>
    <w:rsid w:val="00CF26D0"/>
    <w:rsid w:val="00CF34DB"/>
    <w:rsid w:val="00CF3CAD"/>
    <w:rsid w:val="00CF3E28"/>
    <w:rsid w:val="00CF425F"/>
    <w:rsid w:val="00CF4635"/>
    <w:rsid w:val="00CF46ED"/>
    <w:rsid w:val="00CF5173"/>
    <w:rsid w:val="00CF51E8"/>
    <w:rsid w:val="00CF5BA3"/>
    <w:rsid w:val="00CF637A"/>
    <w:rsid w:val="00CF7C31"/>
    <w:rsid w:val="00D00CF6"/>
    <w:rsid w:val="00D013E2"/>
    <w:rsid w:val="00D01F80"/>
    <w:rsid w:val="00D0208A"/>
    <w:rsid w:val="00D025CC"/>
    <w:rsid w:val="00D028B3"/>
    <w:rsid w:val="00D0293C"/>
    <w:rsid w:val="00D02DA7"/>
    <w:rsid w:val="00D0304E"/>
    <w:rsid w:val="00D04EC9"/>
    <w:rsid w:val="00D053C2"/>
    <w:rsid w:val="00D05E0E"/>
    <w:rsid w:val="00D06218"/>
    <w:rsid w:val="00D066C4"/>
    <w:rsid w:val="00D104AC"/>
    <w:rsid w:val="00D10566"/>
    <w:rsid w:val="00D11C6E"/>
    <w:rsid w:val="00D12792"/>
    <w:rsid w:val="00D12AD5"/>
    <w:rsid w:val="00D138B4"/>
    <w:rsid w:val="00D13D12"/>
    <w:rsid w:val="00D140C2"/>
    <w:rsid w:val="00D149DF"/>
    <w:rsid w:val="00D14E88"/>
    <w:rsid w:val="00D152AA"/>
    <w:rsid w:val="00D15500"/>
    <w:rsid w:val="00D15C15"/>
    <w:rsid w:val="00D15E24"/>
    <w:rsid w:val="00D16725"/>
    <w:rsid w:val="00D16D23"/>
    <w:rsid w:val="00D17643"/>
    <w:rsid w:val="00D17911"/>
    <w:rsid w:val="00D17FB4"/>
    <w:rsid w:val="00D20188"/>
    <w:rsid w:val="00D201E3"/>
    <w:rsid w:val="00D2027A"/>
    <w:rsid w:val="00D20A48"/>
    <w:rsid w:val="00D20B23"/>
    <w:rsid w:val="00D20C94"/>
    <w:rsid w:val="00D218EF"/>
    <w:rsid w:val="00D22433"/>
    <w:rsid w:val="00D22748"/>
    <w:rsid w:val="00D22E55"/>
    <w:rsid w:val="00D232AE"/>
    <w:rsid w:val="00D233E0"/>
    <w:rsid w:val="00D2347F"/>
    <w:rsid w:val="00D23626"/>
    <w:rsid w:val="00D25371"/>
    <w:rsid w:val="00D26918"/>
    <w:rsid w:val="00D27734"/>
    <w:rsid w:val="00D27A1F"/>
    <w:rsid w:val="00D27BED"/>
    <w:rsid w:val="00D3089C"/>
    <w:rsid w:val="00D3182A"/>
    <w:rsid w:val="00D32136"/>
    <w:rsid w:val="00D3222B"/>
    <w:rsid w:val="00D3227D"/>
    <w:rsid w:val="00D330D8"/>
    <w:rsid w:val="00D33197"/>
    <w:rsid w:val="00D33567"/>
    <w:rsid w:val="00D33EEE"/>
    <w:rsid w:val="00D341A7"/>
    <w:rsid w:val="00D34B4B"/>
    <w:rsid w:val="00D35236"/>
    <w:rsid w:val="00D35305"/>
    <w:rsid w:val="00D3579C"/>
    <w:rsid w:val="00D35B2D"/>
    <w:rsid w:val="00D37121"/>
    <w:rsid w:val="00D376AA"/>
    <w:rsid w:val="00D40043"/>
    <w:rsid w:val="00D40A47"/>
    <w:rsid w:val="00D41051"/>
    <w:rsid w:val="00D410F8"/>
    <w:rsid w:val="00D417AE"/>
    <w:rsid w:val="00D41B6F"/>
    <w:rsid w:val="00D446AE"/>
    <w:rsid w:val="00D457ED"/>
    <w:rsid w:val="00D468B0"/>
    <w:rsid w:val="00D46AEF"/>
    <w:rsid w:val="00D46D32"/>
    <w:rsid w:val="00D46EB7"/>
    <w:rsid w:val="00D476EB"/>
    <w:rsid w:val="00D478AA"/>
    <w:rsid w:val="00D47F55"/>
    <w:rsid w:val="00D50FBA"/>
    <w:rsid w:val="00D51372"/>
    <w:rsid w:val="00D5162F"/>
    <w:rsid w:val="00D51AD6"/>
    <w:rsid w:val="00D51C50"/>
    <w:rsid w:val="00D5266D"/>
    <w:rsid w:val="00D52BBA"/>
    <w:rsid w:val="00D52C1C"/>
    <w:rsid w:val="00D52C47"/>
    <w:rsid w:val="00D53BD6"/>
    <w:rsid w:val="00D54AEA"/>
    <w:rsid w:val="00D54E4B"/>
    <w:rsid w:val="00D55A96"/>
    <w:rsid w:val="00D56796"/>
    <w:rsid w:val="00D56D40"/>
    <w:rsid w:val="00D56D85"/>
    <w:rsid w:val="00D60345"/>
    <w:rsid w:val="00D60B6B"/>
    <w:rsid w:val="00D60C19"/>
    <w:rsid w:val="00D60D72"/>
    <w:rsid w:val="00D60D80"/>
    <w:rsid w:val="00D61918"/>
    <w:rsid w:val="00D61F53"/>
    <w:rsid w:val="00D62F54"/>
    <w:rsid w:val="00D63019"/>
    <w:rsid w:val="00D631BD"/>
    <w:rsid w:val="00D64502"/>
    <w:rsid w:val="00D64812"/>
    <w:rsid w:val="00D64E31"/>
    <w:rsid w:val="00D65604"/>
    <w:rsid w:val="00D656B6"/>
    <w:rsid w:val="00D6585F"/>
    <w:rsid w:val="00D65F9D"/>
    <w:rsid w:val="00D666E7"/>
    <w:rsid w:val="00D66C52"/>
    <w:rsid w:val="00D678F8"/>
    <w:rsid w:val="00D67C66"/>
    <w:rsid w:val="00D67E37"/>
    <w:rsid w:val="00D705C5"/>
    <w:rsid w:val="00D706C6"/>
    <w:rsid w:val="00D707D8"/>
    <w:rsid w:val="00D721EC"/>
    <w:rsid w:val="00D726CE"/>
    <w:rsid w:val="00D73677"/>
    <w:rsid w:val="00D73943"/>
    <w:rsid w:val="00D74912"/>
    <w:rsid w:val="00D74A6E"/>
    <w:rsid w:val="00D752E2"/>
    <w:rsid w:val="00D75805"/>
    <w:rsid w:val="00D75B50"/>
    <w:rsid w:val="00D75BE2"/>
    <w:rsid w:val="00D76480"/>
    <w:rsid w:val="00D778DB"/>
    <w:rsid w:val="00D779F7"/>
    <w:rsid w:val="00D80478"/>
    <w:rsid w:val="00D80557"/>
    <w:rsid w:val="00D80754"/>
    <w:rsid w:val="00D81F77"/>
    <w:rsid w:val="00D82F54"/>
    <w:rsid w:val="00D83026"/>
    <w:rsid w:val="00D83045"/>
    <w:rsid w:val="00D83354"/>
    <w:rsid w:val="00D844D3"/>
    <w:rsid w:val="00D857E6"/>
    <w:rsid w:val="00D85885"/>
    <w:rsid w:val="00D85F90"/>
    <w:rsid w:val="00D8653A"/>
    <w:rsid w:val="00D871CE"/>
    <w:rsid w:val="00D87542"/>
    <w:rsid w:val="00D87D77"/>
    <w:rsid w:val="00D87DD8"/>
    <w:rsid w:val="00D90174"/>
    <w:rsid w:val="00D91AF5"/>
    <w:rsid w:val="00D920CA"/>
    <w:rsid w:val="00D92BFA"/>
    <w:rsid w:val="00D935D1"/>
    <w:rsid w:val="00D9375F"/>
    <w:rsid w:val="00D937F8"/>
    <w:rsid w:val="00D93883"/>
    <w:rsid w:val="00D93A88"/>
    <w:rsid w:val="00D93B43"/>
    <w:rsid w:val="00D93D76"/>
    <w:rsid w:val="00D93D78"/>
    <w:rsid w:val="00D93FAF"/>
    <w:rsid w:val="00D940D3"/>
    <w:rsid w:val="00D94DB5"/>
    <w:rsid w:val="00D95202"/>
    <w:rsid w:val="00D959A7"/>
    <w:rsid w:val="00D95B44"/>
    <w:rsid w:val="00D95C20"/>
    <w:rsid w:val="00D961B5"/>
    <w:rsid w:val="00D961C7"/>
    <w:rsid w:val="00D963D2"/>
    <w:rsid w:val="00D96BFE"/>
    <w:rsid w:val="00D96F7E"/>
    <w:rsid w:val="00D9778A"/>
    <w:rsid w:val="00D97B59"/>
    <w:rsid w:val="00D97C16"/>
    <w:rsid w:val="00D97D49"/>
    <w:rsid w:val="00DA025F"/>
    <w:rsid w:val="00DA0755"/>
    <w:rsid w:val="00DA079E"/>
    <w:rsid w:val="00DA08A5"/>
    <w:rsid w:val="00DA23AB"/>
    <w:rsid w:val="00DA2B4B"/>
    <w:rsid w:val="00DA4512"/>
    <w:rsid w:val="00DA4697"/>
    <w:rsid w:val="00DA4D03"/>
    <w:rsid w:val="00DA4EAF"/>
    <w:rsid w:val="00DA5A16"/>
    <w:rsid w:val="00DA6949"/>
    <w:rsid w:val="00DA7999"/>
    <w:rsid w:val="00DA7D0B"/>
    <w:rsid w:val="00DB07CA"/>
    <w:rsid w:val="00DB0823"/>
    <w:rsid w:val="00DB0E2A"/>
    <w:rsid w:val="00DB111E"/>
    <w:rsid w:val="00DB2718"/>
    <w:rsid w:val="00DB2773"/>
    <w:rsid w:val="00DB27E9"/>
    <w:rsid w:val="00DB2A06"/>
    <w:rsid w:val="00DB383F"/>
    <w:rsid w:val="00DB3A50"/>
    <w:rsid w:val="00DB532F"/>
    <w:rsid w:val="00DB53D6"/>
    <w:rsid w:val="00DB5CC0"/>
    <w:rsid w:val="00DB5FF0"/>
    <w:rsid w:val="00DB63F1"/>
    <w:rsid w:val="00DB65D7"/>
    <w:rsid w:val="00DB6791"/>
    <w:rsid w:val="00DB6C38"/>
    <w:rsid w:val="00DB6E76"/>
    <w:rsid w:val="00DB736F"/>
    <w:rsid w:val="00DB7445"/>
    <w:rsid w:val="00DB7D53"/>
    <w:rsid w:val="00DC000F"/>
    <w:rsid w:val="00DC0464"/>
    <w:rsid w:val="00DC0787"/>
    <w:rsid w:val="00DC0F18"/>
    <w:rsid w:val="00DC1303"/>
    <w:rsid w:val="00DC1403"/>
    <w:rsid w:val="00DC2873"/>
    <w:rsid w:val="00DC389B"/>
    <w:rsid w:val="00DC394C"/>
    <w:rsid w:val="00DC42A4"/>
    <w:rsid w:val="00DC42EA"/>
    <w:rsid w:val="00DC4933"/>
    <w:rsid w:val="00DC558C"/>
    <w:rsid w:val="00DC5ED6"/>
    <w:rsid w:val="00DC635D"/>
    <w:rsid w:val="00DC6513"/>
    <w:rsid w:val="00DC693E"/>
    <w:rsid w:val="00DC7C31"/>
    <w:rsid w:val="00DD0C3F"/>
    <w:rsid w:val="00DD1F41"/>
    <w:rsid w:val="00DD26CC"/>
    <w:rsid w:val="00DD3543"/>
    <w:rsid w:val="00DD3766"/>
    <w:rsid w:val="00DD380F"/>
    <w:rsid w:val="00DD3D20"/>
    <w:rsid w:val="00DD503F"/>
    <w:rsid w:val="00DD514C"/>
    <w:rsid w:val="00DD68C0"/>
    <w:rsid w:val="00DD6DE7"/>
    <w:rsid w:val="00DD71D6"/>
    <w:rsid w:val="00DD73A8"/>
    <w:rsid w:val="00DD7687"/>
    <w:rsid w:val="00DD7B55"/>
    <w:rsid w:val="00DE0797"/>
    <w:rsid w:val="00DE08C3"/>
    <w:rsid w:val="00DE094A"/>
    <w:rsid w:val="00DE17FA"/>
    <w:rsid w:val="00DE1ACD"/>
    <w:rsid w:val="00DE1DAB"/>
    <w:rsid w:val="00DE20A2"/>
    <w:rsid w:val="00DE2520"/>
    <w:rsid w:val="00DE261E"/>
    <w:rsid w:val="00DE269D"/>
    <w:rsid w:val="00DE3288"/>
    <w:rsid w:val="00DE3ECA"/>
    <w:rsid w:val="00DE52B7"/>
    <w:rsid w:val="00DE6636"/>
    <w:rsid w:val="00DE6C5F"/>
    <w:rsid w:val="00DE70EA"/>
    <w:rsid w:val="00DF0175"/>
    <w:rsid w:val="00DF0B89"/>
    <w:rsid w:val="00DF0CBD"/>
    <w:rsid w:val="00DF131B"/>
    <w:rsid w:val="00DF164A"/>
    <w:rsid w:val="00DF299E"/>
    <w:rsid w:val="00DF2BC6"/>
    <w:rsid w:val="00DF3044"/>
    <w:rsid w:val="00DF3395"/>
    <w:rsid w:val="00DF353C"/>
    <w:rsid w:val="00DF3DF8"/>
    <w:rsid w:val="00DF4216"/>
    <w:rsid w:val="00DF46B7"/>
    <w:rsid w:val="00DF46C8"/>
    <w:rsid w:val="00DF476B"/>
    <w:rsid w:val="00DF4978"/>
    <w:rsid w:val="00DF55D6"/>
    <w:rsid w:val="00DF58F4"/>
    <w:rsid w:val="00DF5AAF"/>
    <w:rsid w:val="00DF6074"/>
    <w:rsid w:val="00DF73B6"/>
    <w:rsid w:val="00DF781C"/>
    <w:rsid w:val="00E00270"/>
    <w:rsid w:val="00E008D8"/>
    <w:rsid w:val="00E00C6B"/>
    <w:rsid w:val="00E02A3C"/>
    <w:rsid w:val="00E02F70"/>
    <w:rsid w:val="00E032F6"/>
    <w:rsid w:val="00E03F4C"/>
    <w:rsid w:val="00E03F4E"/>
    <w:rsid w:val="00E0446C"/>
    <w:rsid w:val="00E049A5"/>
    <w:rsid w:val="00E051FB"/>
    <w:rsid w:val="00E056B0"/>
    <w:rsid w:val="00E05984"/>
    <w:rsid w:val="00E05C27"/>
    <w:rsid w:val="00E063DE"/>
    <w:rsid w:val="00E0671B"/>
    <w:rsid w:val="00E07453"/>
    <w:rsid w:val="00E075B4"/>
    <w:rsid w:val="00E07F6A"/>
    <w:rsid w:val="00E118AB"/>
    <w:rsid w:val="00E11C81"/>
    <w:rsid w:val="00E11E0F"/>
    <w:rsid w:val="00E11E5E"/>
    <w:rsid w:val="00E12077"/>
    <w:rsid w:val="00E121E9"/>
    <w:rsid w:val="00E129D1"/>
    <w:rsid w:val="00E12F2F"/>
    <w:rsid w:val="00E12FBA"/>
    <w:rsid w:val="00E1319F"/>
    <w:rsid w:val="00E13A48"/>
    <w:rsid w:val="00E13FB6"/>
    <w:rsid w:val="00E14ACF"/>
    <w:rsid w:val="00E14BAD"/>
    <w:rsid w:val="00E14D14"/>
    <w:rsid w:val="00E14F98"/>
    <w:rsid w:val="00E159EC"/>
    <w:rsid w:val="00E15C68"/>
    <w:rsid w:val="00E16E4C"/>
    <w:rsid w:val="00E173EF"/>
    <w:rsid w:val="00E20A78"/>
    <w:rsid w:val="00E20B50"/>
    <w:rsid w:val="00E20B5E"/>
    <w:rsid w:val="00E20F69"/>
    <w:rsid w:val="00E21906"/>
    <w:rsid w:val="00E221AF"/>
    <w:rsid w:val="00E224BF"/>
    <w:rsid w:val="00E22732"/>
    <w:rsid w:val="00E22B39"/>
    <w:rsid w:val="00E2398E"/>
    <w:rsid w:val="00E23A5C"/>
    <w:rsid w:val="00E24570"/>
    <w:rsid w:val="00E2459F"/>
    <w:rsid w:val="00E24B98"/>
    <w:rsid w:val="00E2527D"/>
    <w:rsid w:val="00E262A9"/>
    <w:rsid w:val="00E2688C"/>
    <w:rsid w:val="00E2693C"/>
    <w:rsid w:val="00E2710F"/>
    <w:rsid w:val="00E27916"/>
    <w:rsid w:val="00E3047D"/>
    <w:rsid w:val="00E3066D"/>
    <w:rsid w:val="00E30AF9"/>
    <w:rsid w:val="00E31F86"/>
    <w:rsid w:val="00E31FB7"/>
    <w:rsid w:val="00E32363"/>
    <w:rsid w:val="00E32488"/>
    <w:rsid w:val="00E327E4"/>
    <w:rsid w:val="00E32E77"/>
    <w:rsid w:val="00E3388D"/>
    <w:rsid w:val="00E34A76"/>
    <w:rsid w:val="00E34C86"/>
    <w:rsid w:val="00E34DB8"/>
    <w:rsid w:val="00E35369"/>
    <w:rsid w:val="00E35682"/>
    <w:rsid w:val="00E35930"/>
    <w:rsid w:val="00E35DF9"/>
    <w:rsid w:val="00E3649B"/>
    <w:rsid w:val="00E3745E"/>
    <w:rsid w:val="00E37A35"/>
    <w:rsid w:val="00E37B12"/>
    <w:rsid w:val="00E37BEF"/>
    <w:rsid w:val="00E37D65"/>
    <w:rsid w:val="00E41042"/>
    <w:rsid w:val="00E4127C"/>
    <w:rsid w:val="00E41B14"/>
    <w:rsid w:val="00E41DD4"/>
    <w:rsid w:val="00E4219A"/>
    <w:rsid w:val="00E424A0"/>
    <w:rsid w:val="00E42698"/>
    <w:rsid w:val="00E4274A"/>
    <w:rsid w:val="00E43B12"/>
    <w:rsid w:val="00E43E66"/>
    <w:rsid w:val="00E443AB"/>
    <w:rsid w:val="00E444BC"/>
    <w:rsid w:val="00E44F11"/>
    <w:rsid w:val="00E4510E"/>
    <w:rsid w:val="00E46906"/>
    <w:rsid w:val="00E46AA8"/>
    <w:rsid w:val="00E46EA3"/>
    <w:rsid w:val="00E47D3D"/>
    <w:rsid w:val="00E50223"/>
    <w:rsid w:val="00E5059B"/>
    <w:rsid w:val="00E50F61"/>
    <w:rsid w:val="00E51502"/>
    <w:rsid w:val="00E51C1B"/>
    <w:rsid w:val="00E5332C"/>
    <w:rsid w:val="00E53353"/>
    <w:rsid w:val="00E535A6"/>
    <w:rsid w:val="00E53C45"/>
    <w:rsid w:val="00E53CE0"/>
    <w:rsid w:val="00E53DA7"/>
    <w:rsid w:val="00E54C11"/>
    <w:rsid w:val="00E558E5"/>
    <w:rsid w:val="00E55DB0"/>
    <w:rsid w:val="00E5703B"/>
    <w:rsid w:val="00E577EC"/>
    <w:rsid w:val="00E57C4D"/>
    <w:rsid w:val="00E602BD"/>
    <w:rsid w:val="00E62337"/>
    <w:rsid w:val="00E62809"/>
    <w:rsid w:val="00E63321"/>
    <w:rsid w:val="00E634AD"/>
    <w:rsid w:val="00E635BD"/>
    <w:rsid w:val="00E63675"/>
    <w:rsid w:val="00E638A7"/>
    <w:rsid w:val="00E63FAC"/>
    <w:rsid w:val="00E64141"/>
    <w:rsid w:val="00E645E9"/>
    <w:rsid w:val="00E64C9D"/>
    <w:rsid w:val="00E6537A"/>
    <w:rsid w:val="00E65567"/>
    <w:rsid w:val="00E65B31"/>
    <w:rsid w:val="00E65B3E"/>
    <w:rsid w:val="00E65F2E"/>
    <w:rsid w:val="00E65FF3"/>
    <w:rsid w:val="00E660EC"/>
    <w:rsid w:val="00E6618A"/>
    <w:rsid w:val="00E67470"/>
    <w:rsid w:val="00E67A24"/>
    <w:rsid w:val="00E67D62"/>
    <w:rsid w:val="00E7025B"/>
    <w:rsid w:val="00E70552"/>
    <w:rsid w:val="00E712F8"/>
    <w:rsid w:val="00E71416"/>
    <w:rsid w:val="00E72B05"/>
    <w:rsid w:val="00E72E0E"/>
    <w:rsid w:val="00E72FE7"/>
    <w:rsid w:val="00E73D0E"/>
    <w:rsid w:val="00E74A39"/>
    <w:rsid w:val="00E75234"/>
    <w:rsid w:val="00E75609"/>
    <w:rsid w:val="00E75790"/>
    <w:rsid w:val="00E75BCD"/>
    <w:rsid w:val="00E76031"/>
    <w:rsid w:val="00E76714"/>
    <w:rsid w:val="00E80437"/>
    <w:rsid w:val="00E81031"/>
    <w:rsid w:val="00E81525"/>
    <w:rsid w:val="00E8184C"/>
    <w:rsid w:val="00E81B55"/>
    <w:rsid w:val="00E82CEF"/>
    <w:rsid w:val="00E82D91"/>
    <w:rsid w:val="00E82EA3"/>
    <w:rsid w:val="00E83A79"/>
    <w:rsid w:val="00E83DC4"/>
    <w:rsid w:val="00E83DCE"/>
    <w:rsid w:val="00E83E7A"/>
    <w:rsid w:val="00E842A8"/>
    <w:rsid w:val="00E84360"/>
    <w:rsid w:val="00E847B3"/>
    <w:rsid w:val="00E84E89"/>
    <w:rsid w:val="00E86804"/>
    <w:rsid w:val="00E86871"/>
    <w:rsid w:val="00E870BF"/>
    <w:rsid w:val="00E871BC"/>
    <w:rsid w:val="00E87A23"/>
    <w:rsid w:val="00E90229"/>
    <w:rsid w:val="00E90ABA"/>
    <w:rsid w:val="00E91899"/>
    <w:rsid w:val="00E92268"/>
    <w:rsid w:val="00E9246B"/>
    <w:rsid w:val="00E92604"/>
    <w:rsid w:val="00E927A2"/>
    <w:rsid w:val="00E9310E"/>
    <w:rsid w:val="00E936C2"/>
    <w:rsid w:val="00E93B8A"/>
    <w:rsid w:val="00E942AE"/>
    <w:rsid w:val="00E96274"/>
    <w:rsid w:val="00E96D36"/>
    <w:rsid w:val="00E974B7"/>
    <w:rsid w:val="00E97DD3"/>
    <w:rsid w:val="00EA00A6"/>
    <w:rsid w:val="00EA1134"/>
    <w:rsid w:val="00EA1489"/>
    <w:rsid w:val="00EA148E"/>
    <w:rsid w:val="00EA1A6D"/>
    <w:rsid w:val="00EA21DA"/>
    <w:rsid w:val="00EA22FE"/>
    <w:rsid w:val="00EA28D1"/>
    <w:rsid w:val="00EA335A"/>
    <w:rsid w:val="00EA3D63"/>
    <w:rsid w:val="00EA4F3D"/>
    <w:rsid w:val="00EA55C1"/>
    <w:rsid w:val="00EA5AC0"/>
    <w:rsid w:val="00EA61F0"/>
    <w:rsid w:val="00EA6854"/>
    <w:rsid w:val="00EA7391"/>
    <w:rsid w:val="00EB0AA6"/>
    <w:rsid w:val="00EB1273"/>
    <w:rsid w:val="00EB1C22"/>
    <w:rsid w:val="00EB22C0"/>
    <w:rsid w:val="00EB396F"/>
    <w:rsid w:val="00EB400B"/>
    <w:rsid w:val="00EB4B77"/>
    <w:rsid w:val="00EB4F3B"/>
    <w:rsid w:val="00EB50F0"/>
    <w:rsid w:val="00EB5C40"/>
    <w:rsid w:val="00EB5DB5"/>
    <w:rsid w:val="00EB6A2C"/>
    <w:rsid w:val="00EB6B83"/>
    <w:rsid w:val="00EB6DA9"/>
    <w:rsid w:val="00EB7804"/>
    <w:rsid w:val="00EB7A62"/>
    <w:rsid w:val="00EC08AD"/>
    <w:rsid w:val="00EC1828"/>
    <w:rsid w:val="00EC1B2E"/>
    <w:rsid w:val="00EC2514"/>
    <w:rsid w:val="00EC287C"/>
    <w:rsid w:val="00EC2AB4"/>
    <w:rsid w:val="00EC2B87"/>
    <w:rsid w:val="00EC3089"/>
    <w:rsid w:val="00EC4214"/>
    <w:rsid w:val="00EC4338"/>
    <w:rsid w:val="00EC4966"/>
    <w:rsid w:val="00EC4ABA"/>
    <w:rsid w:val="00EC4FF0"/>
    <w:rsid w:val="00EC535F"/>
    <w:rsid w:val="00EC6229"/>
    <w:rsid w:val="00EC6B44"/>
    <w:rsid w:val="00EC73C2"/>
    <w:rsid w:val="00EC749B"/>
    <w:rsid w:val="00EC760C"/>
    <w:rsid w:val="00EC7CED"/>
    <w:rsid w:val="00ED0541"/>
    <w:rsid w:val="00ED0A14"/>
    <w:rsid w:val="00ED0D39"/>
    <w:rsid w:val="00ED0EA7"/>
    <w:rsid w:val="00ED172E"/>
    <w:rsid w:val="00ED19D4"/>
    <w:rsid w:val="00ED1F4F"/>
    <w:rsid w:val="00ED353C"/>
    <w:rsid w:val="00ED37B1"/>
    <w:rsid w:val="00ED41B5"/>
    <w:rsid w:val="00ED41DC"/>
    <w:rsid w:val="00ED42A0"/>
    <w:rsid w:val="00ED5433"/>
    <w:rsid w:val="00ED6D2B"/>
    <w:rsid w:val="00ED78DB"/>
    <w:rsid w:val="00ED7DE0"/>
    <w:rsid w:val="00EE02DA"/>
    <w:rsid w:val="00EE0BC0"/>
    <w:rsid w:val="00EE11C7"/>
    <w:rsid w:val="00EE123E"/>
    <w:rsid w:val="00EE298D"/>
    <w:rsid w:val="00EE2B5D"/>
    <w:rsid w:val="00EE2BB3"/>
    <w:rsid w:val="00EE37A3"/>
    <w:rsid w:val="00EE4E61"/>
    <w:rsid w:val="00EE4F91"/>
    <w:rsid w:val="00EE6737"/>
    <w:rsid w:val="00EE6D5C"/>
    <w:rsid w:val="00EE7093"/>
    <w:rsid w:val="00EE70C3"/>
    <w:rsid w:val="00EE7375"/>
    <w:rsid w:val="00EE7465"/>
    <w:rsid w:val="00EE75B5"/>
    <w:rsid w:val="00EE7E8F"/>
    <w:rsid w:val="00EF2215"/>
    <w:rsid w:val="00EF302F"/>
    <w:rsid w:val="00EF3040"/>
    <w:rsid w:val="00EF3061"/>
    <w:rsid w:val="00EF3B49"/>
    <w:rsid w:val="00EF45CF"/>
    <w:rsid w:val="00EF48F2"/>
    <w:rsid w:val="00EF4B52"/>
    <w:rsid w:val="00EF5517"/>
    <w:rsid w:val="00EF5CDA"/>
    <w:rsid w:val="00EF70BA"/>
    <w:rsid w:val="00F002A4"/>
    <w:rsid w:val="00F0031B"/>
    <w:rsid w:val="00F005E5"/>
    <w:rsid w:val="00F00B12"/>
    <w:rsid w:val="00F00B5D"/>
    <w:rsid w:val="00F00CF5"/>
    <w:rsid w:val="00F013CB"/>
    <w:rsid w:val="00F018BF"/>
    <w:rsid w:val="00F01B1E"/>
    <w:rsid w:val="00F01BFA"/>
    <w:rsid w:val="00F02214"/>
    <w:rsid w:val="00F02230"/>
    <w:rsid w:val="00F0267C"/>
    <w:rsid w:val="00F02FF5"/>
    <w:rsid w:val="00F03379"/>
    <w:rsid w:val="00F0345E"/>
    <w:rsid w:val="00F03FC4"/>
    <w:rsid w:val="00F04BF2"/>
    <w:rsid w:val="00F05790"/>
    <w:rsid w:val="00F05CF9"/>
    <w:rsid w:val="00F06766"/>
    <w:rsid w:val="00F06960"/>
    <w:rsid w:val="00F06967"/>
    <w:rsid w:val="00F07E52"/>
    <w:rsid w:val="00F105A9"/>
    <w:rsid w:val="00F106E4"/>
    <w:rsid w:val="00F10ECA"/>
    <w:rsid w:val="00F115D6"/>
    <w:rsid w:val="00F1171C"/>
    <w:rsid w:val="00F119FB"/>
    <w:rsid w:val="00F11BF6"/>
    <w:rsid w:val="00F11F70"/>
    <w:rsid w:val="00F12333"/>
    <w:rsid w:val="00F1255D"/>
    <w:rsid w:val="00F12F5F"/>
    <w:rsid w:val="00F145D4"/>
    <w:rsid w:val="00F14AEC"/>
    <w:rsid w:val="00F14ED0"/>
    <w:rsid w:val="00F14EDC"/>
    <w:rsid w:val="00F15BB3"/>
    <w:rsid w:val="00F15F5B"/>
    <w:rsid w:val="00F16210"/>
    <w:rsid w:val="00F164D5"/>
    <w:rsid w:val="00F16B80"/>
    <w:rsid w:val="00F1792F"/>
    <w:rsid w:val="00F17A56"/>
    <w:rsid w:val="00F20474"/>
    <w:rsid w:val="00F209A2"/>
    <w:rsid w:val="00F21AB6"/>
    <w:rsid w:val="00F223D5"/>
    <w:rsid w:val="00F2283A"/>
    <w:rsid w:val="00F22A84"/>
    <w:rsid w:val="00F22A8F"/>
    <w:rsid w:val="00F22ED6"/>
    <w:rsid w:val="00F23EB4"/>
    <w:rsid w:val="00F243B3"/>
    <w:rsid w:val="00F24BD2"/>
    <w:rsid w:val="00F2529A"/>
    <w:rsid w:val="00F25333"/>
    <w:rsid w:val="00F2565F"/>
    <w:rsid w:val="00F25A72"/>
    <w:rsid w:val="00F25BCF"/>
    <w:rsid w:val="00F25C41"/>
    <w:rsid w:val="00F25F5E"/>
    <w:rsid w:val="00F260CB"/>
    <w:rsid w:val="00F26C19"/>
    <w:rsid w:val="00F27A70"/>
    <w:rsid w:val="00F3192A"/>
    <w:rsid w:val="00F322C3"/>
    <w:rsid w:val="00F32553"/>
    <w:rsid w:val="00F32690"/>
    <w:rsid w:val="00F327CE"/>
    <w:rsid w:val="00F332ED"/>
    <w:rsid w:val="00F33552"/>
    <w:rsid w:val="00F335AB"/>
    <w:rsid w:val="00F33C8D"/>
    <w:rsid w:val="00F348D1"/>
    <w:rsid w:val="00F35955"/>
    <w:rsid w:val="00F3669D"/>
    <w:rsid w:val="00F378C1"/>
    <w:rsid w:val="00F40CC5"/>
    <w:rsid w:val="00F40E48"/>
    <w:rsid w:val="00F410B5"/>
    <w:rsid w:val="00F41836"/>
    <w:rsid w:val="00F41AF4"/>
    <w:rsid w:val="00F41DE0"/>
    <w:rsid w:val="00F42FBC"/>
    <w:rsid w:val="00F4385E"/>
    <w:rsid w:val="00F43BFB"/>
    <w:rsid w:val="00F43C27"/>
    <w:rsid w:val="00F43C2B"/>
    <w:rsid w:val="00F43F5D"/>
    <w:rsid w:val="00F4401D"/>
    <w:rsid w:val="00F4423A"/>
    <w:rsid w:val="00F44398"/>
    <w:rsid w:val="00F448C3"/>
    <w:rsid w:val="00F44C53"/>
    <w:rsid w:val="00F45085"/>
    <w:rsid w:val="00F450F4"/>
    <w:rsid w:val="00F45564"/>
    <w:rsid w:val="00F4632F"/>
    <w:rsid w:val="00F463F1"/>
    <w:rsid w:val="00F46892"/>
    <w:rsid w:val="00F469B2"/>
    <w:rsid w:val="00F47200"/>
    <w:rsid w:val="00F47953"/>
    <w:rsid w:val="00F50572"/>
    <w:rsid w:val="00F505BC"/>
    <w:rsid w:val="00F50E5A"/>
    <w:rsid w:val="00F50EC6"/>
    <w:rsid w:val="00F511FB"/>
    <w:rsid w:val="00F51333"/>
    <w:rsid w:val="00F52456"/>
    <w:rsid w:val="00F5281E"/>
    <w:rsid w:val="00F531AA"/>
    <w:rsid w:val="00F536B7"/>
    <w:rsid w:val="00F537AD"/>
    <w:rsid w:val="00F53BDD"/>
    <w:rsid w:val="00F53FEE"/>
    <w:rsid w:val="00F54BDD"/>
    <w:rsid w:val="00F54DAB"/>
    <w:rsid w:val="00F55470"/>
    <w:rsid w:val="00F56161"/>
    <w:rsid w:val="00F561CC"/>
    <w:rsid w:val="00F563CD"/>
    <w:rsid w:val="00F56862"/>
    <w:rsid w:val="00F56FE5"/>
    <w:rsid w:val="00F575AF"/>
    <w:rsid w:val="00F57925"/>
    <w:rsid w:val="00F57A83"/>
    <w:rsid w:val="00F604F4"/>
    <w:rsid w:val="00F60AFA"/>
    <w:rsid w:val="00F611CF"/>
    <w:rsid w:val="00F62588"/>
    <w:rsid w:val="00F627EB"/>
    <w:rsid w:val="00F629BF"/>
    <w:rsid w:val="00F633D8"/>
    <w:rsid w:val="00F6431B"/>
    <w:rsid w:val="00F64B3B"/>
    <w:rsid w:val="00F64BF7"/>
    <w:rsid w:val="00F64C76"/>
    <w:rsid w:val="00F64CCC"/>
    <w:rsid w:val="00F64ED6"/>
    <w:rsid w:val="00F65747"/>
    <w:rsid w:val="00F65AD5"/>
    <w:rsid w:val="00F65F15"/>
    <w:rsid w:val="00F660F7"/>
    <w:rsid w:val="00F6638A"/>
    <w:rsid w:val="00F66673"/>
    <w:rsid w:val="00F6692A"/>
    <w:rsid w:val="00F66E97"/>
    <w:rsid w:val="00F6754F"/>
    <w:rsid w:val="00F6755D"/>
    <w:rsid w:val="00F675B0"/>
    <w:rsid w:val="00F7076A"/>
    <w:rsid w:val="00F707C9"/>
    <w:rsid w:val="00F70DE9"/>
    <w:rsid w:val="00F70E58"/>
    <w:rsid w:val="00F710FE"/>
    <w:rsid w:val="00F71BEA"/>
    <w:rsid w:val="00F73DA6"/>
    <w:rsid w:val="00F73E69"/>
    <w:rsid w:val="00F744F4"/>
    <w:rsid w:val="00F74A01"/>
    <w:rsid w:val="00F74AA8"/>
    <w:rsid w:val="00F74F89"/>
    <w:rsid w:val="00F75A10"/>
    <w:rsid w:val="00F75D9F"/>
    <w:rsid w:val="00F76063"/>
    <w:rsid w:val="00F76D11"/>
    <w:rsid w:val="00F77276"/>
    <w:rsid w:val="00F77A8D"/>
    <w:rsid w:val="00F77D27"/>
    <w:rsid w:val="00F77E98"/>
    <w:rsid w:val="00F80013"/>
    <w:rsid w:val="00F8095A"/>
    <w:rsid w:val="00F8143C"/>
    <w:rsid w:val="00F81441"/>
    <w:rsid w:val="00F81476"/>
    <w:rsid w:val="00F81681"/>
    <w:rsid w:val="00F81E11"/>
    <w:rsid w:val="00F8260F"/>
    <w:rsid w:val="00F83228"/>
    <w:rsid w:val="00F834A7"/>
    <w:rsid w:val="00F847A0"/>
    <w:rsid w:val="00F85D19"/>
    <w:rsid w:val="00F860A3"/>
    <w:rsid w:val="00F864FC"/>
    <w:rsid w:val="00F86808"/>
    <w:rsid w:val="00F8760E"/>
    <w:rsid w:val="00F8773E"/>
    <w:rsid w:val="00F90646"/>
    <w:rsid w:val="00F9082B"/>
    <w:rsid w:val="00F9142D"/>
    <w:rsid w:val="00F915A4"/>
    <w:rsid w:val="00F91E42"/>
    <w:rsid w:val="00F91EF0"/>
    <w:rsid w:val="00F92104"/>
    <w:rsid w:val="00F9227B"/>
    <w:rsid w:val="00F93676"/>
    <w:rsid w:val="00F93A3D"/>
    <w:rsid w:val="00F93C99"/>
    <w:rsid w:val="00F93DCD"/>
    <w:rsid w:val="00F94009"/>
    <w:rsid w:val="00F9412A"/>
    <w:rsid w:val="00F94471"/>
    <w:rsid w:val="00F94C16"/>
    <w:rsid w:val="00F94D3F"/>
    <w:rsid w:val="00F94EB4"/>
    <w:rsid w:val="00F9591A"/>
    <w:rsid w:val="00F9689E"/>
    <w:rsid w:val="00F96F26"/>
    <w:rsid w:val="00F970A3"/>
    <w:rsid w:val="00FA03A6"/>
    <w:rsid w:val="00FA066D"/>
    <w:rsid w:val="00FA0956"/>
    <w:rsid w:val="00FA0FB3"/>
    <w:rsid w:val="00FA1126"/>
    <w:rsid w:val="00FA1B03"/>
    <w:rsid w:val="00FA24F3"/>
    <w:rsid w:val="00FA263E"/>
    <w:rsid w:val="00FA2798"/>
    <w:rsid w:val="00FA3A4D"/>
    <w:rsid w:val="00FA42BC"/>
    <w:rsid w:val="00FA4635"/>
    <w:rsid w:val="00FA509C"/>
    <w:rsid w:val="00FA5C21"/>
    <w:rsid w:val="00FA5FCE"/>
    <w:rsid w:val="00FA6B30"/>
    <w:rsid w:val="00FA6C13"/>
    <w:rsid w:val="00FA761A"/>
    <w:rsid w:val="00FA786A"/>
    <w:rsid w:val="00FA7DA0"/>
    <w:rsid w:val="00FB0515"/>
    <w:rsid w:val="00FB0EE9"/>
    <w:rsid w:val="00FB0EFB"/>
    <w:rsid w:val="00FB0F8A"/>
    <w:rsid w:val="00FB1300"/>
    <w:rsid w:val="00FB19BF"/>
    <w:rsid w:val="00FB20F3"/>
    <w:rsid w:val="00FB252E"/>
    <w:rsid w:val="00FB2EB5"/>
    <w:rsid w:val="00FB30F6"/>
    <w:rsid w:val="00FB34E4"/>
    <w:rsid w:val="00FB38ED"/>
    <w:rsid w:val="00FB3DE3"/>
    <w:rsid w:val="00FB3F26"/>
    <w:rsid w:val="00FB4C8E"/>
    <w:rsid w:val="00FB4D15"/>
    <w:rsid w:val="00FB4E84"/>
    <w:rsid w:val="00FB5CC6"/>
    <w:rsid w:val="00FB6302"/>
    <w:rsid w:val="00FB68DD"/>
    <w:rsid w:val="00FB7718"/>
    <w:rsid w:val="00FB7F99"/>
    <w:rsid w:val="00FC02F4"/>
    <w:rsid w:val="00FC1BFB"/>
    <w:rsid w:val="00FC2683"/>
    <w:rsid w:val="00FC2810"/>
    <w:rsid w:val="00FC3213"/>
    <w:rsid w:val="00FC3C6C"/>
    <w:rsid w:val="00FC48C6"/>
    <w:rsid w:val="00FC4A91"/>
    <w:rsid w:val="00FC4E0B"/>
    <w:rsid w:val="00FC6141"/>
    <w:rsid w:val="00FC623A"/>
    <w:rsid w:val="00FC646D"/>
    <w:rsid w:val="00FC65E5"/>
    <w:rsid w:val="00FC6C78"/>
    <w:rsid w:val="00FC6CEF"/>
    <w:rsid w:val="00FC6E1D"/>
    <w:rsid w:val="00FC740E"/>
    <w:rsid w:val="00FD1AA4"/>
    <w:rsid w:val="00FD1BD4"/>
    <w:rsid w:val="00FD1EA8"/>
    <w:rsid w:val="00FD2DBC"/>
    <w:rsid w:val="00FD2FA7"/>
    <w:rsid w:val="00FD3B87"/>
    <w:rsid w:val="00FD4B79"/>
    <w:rsid w:val="00FD5465"/>
    <w:rsid w:val="00FD58EF"/>
    <w:rsid w:val="00FD5BC9"/>
    <w:rsid w:val="00FD5FE1"/>
    <w:rsid w:val="00FD620D"/>
    <w:rsid w:val="00FD64B8"/>
    <w:rsid w:val="00FD667B"/>
    <w:rsid w:val="00FD7165"/>
    <w:rsid w:val="00FE013B"/>
    <w:rsid w:val="00FE0207"/>
    <w:rsid w:val="00FE0852"/>
    <w:rsid w:val="00FE1303"/>
    <w:rsid w:val="00FE1ABB"/>
    <w:rsid w:val="00FE291B"/>
    <w:rsid w:val="00FE330C"/>
    <w:rsid w:val="00FE3B4E"/>
    <w:rsid w:val="00FE40C1"/>
    <w:rsid w:val="00FE410C"/>
    <w:rsid w:val="00FE546C"/>
    <w:rsid w:val="00FE54AE"/>
    <w:rsid w:val="00FE5671"/>
    <w:rsid w:val="00FE59BB"/>
    <w:rsid w:val="00FE5E25"/>
    <w:rsid w:val="00FE6AE8"/>
    <w:rsid w:val="00FE70D5"/>
    <w:rsid w:val="00FE7127"/>
    <w:rsid w:val="00FF041F"/>
    <w:rsid w:val="00FF0C67"/>
    <w:rsid w:val="00FF0E6A"/>
    <w:rsid w:val="00FF0F69"/>
    <w:rsid w:val="00FF1623"/>
    <w:rsid w:val="00FF21EF"/>
    <w:rsid w:val="00FF2A34"/>
    <w:rsid w:val="00FF4A4D"/>
    <w:rsid w:val="00FF5813"/>
    <w:rsid w:val="00FF5E54"/>
    <w:rsid w:val="00FF5E85"/>
    <w:rsid w:val="00FF6B4E"/>
    <w:rsid w:val="00FF7C76"/>
  </w:rsids>
  <w:docVars>
    <w:docVar w:name="btnwarning" w:val="1"/>
    <w:docVar w:name="sivug" w:val="1"/>
    <w:docVar w:name="space" w:val="1.3"/>
  </w:docVars>
  <m:mathPr>
    <m:mathFont m:val="Cambria Math"/>
  </m:mathPr>
  <w:themeFontLang w:val="en-US" w:bidi="he-IL"/>
  <w:clrSchemeMapping w:bg1="light1" w:t1="dark1" w:bg2="light2" w:t2="dark2" w:accent1="accent1" w:accent2="accent2" w:accent3="accent3" w:accent4="accent4" w:accent5="accent5" w:accent6="accent6" w:hyperlink="hyperlink" w:followedHyperlink="followedHyperlink"/>
  <w14:docId w14:val="20A2A98B"/>
  <w15:docId w15:val="{422F9390-8713-499C-A610-9FFE0F697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hAnsi="Times New Roman" w:eastAsiaTheme="minorHAnsi" w:cs="David"/>
        <w:szCs w:val="24"/>
        <w:lang w:val="en-US" w:eastAsia="en-US" w:bidi="he-IL"/>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C08AD"/>
    <w:pPr>
      <w:bidi/>
      <w:spacing w:after="0" w:line="312" w:lineRule="auto"/>
    </w:pPr>
  </w:style>
  <w:style w:type="paragraph" w:styleId="Heading1">
    <w:name w:val="heading 1"/>
    <w:basedOn w:val="Normal"/>
    <w:next w:val="Normal"/>
    <w:link w:val="11"/>
    <w:uiPriority w:val="1"/>
    <w:qFormat/>
    <w:rsid w:val="00F41DE0"/>
    <w:pPr>
      <w:keepNext/>
      <w:keepLines/>
      <w:jc w:val="center"/>
      <w:outlineLvl w:val="0"/>
    </w:pPr>
    <w:rPr>
      <w:rFonts w:eastAsiaTheme="majorEastAsia"/>
      <w:bCs/>
      <w:szCs w:val="36"/>
      <w:u w:val="single"/>
    </w:rPr>
  </w:style>
  <w:style w:type="paragraph" w:styleId="Heading2">
    <w:name w:val="heading 2"/>
    <w:basedOn w:val="Normal"/>
    <w:next w:val="Normal"/>
    <w:link w:val="22"/>
    <w:uiPriority w:val="1"/>
    <w:qFormat/>
    <w:rsid w:val="00F41DE0"/>
    <w:pPr>
      <w:keepNext/>
      <w:keepLines/>
      <w:spacing w:before="480"/>
      <w:jc w:val="center"/>
      <w:outlineLvl w:val="1"/>
    </w:pPr>
    <w:rPr>
      <w:rFonts w:eastAsiaTheme="majorEastAsia"/>
      <w:bCs/>
      <w:szCs w:val="32"/>
    </w:rPr>
  </w:style>
  <w:style w:type="paragraph" w:styleId="Heading3">
    <w:name w:val="heading 3"/>
    <w:basedOn w:val="Normal"/>
    <w:next w:val="Normal"/>
    <w:link w:val="32"/>
    <w:uiPriority w:val="1"/>
    <w:qFormat/>
    <w:rsid w:val="00F41DE0"/>
    <w:pPr>
      <w:keepNext/>
      <w:keepLines/>
      <w:spacing w:before="240"/>
      <w:outlineLvl w:val="2"/>
    </w:pPr>
    <w:rPr>
      <w:rFonts w:eastAsiaTheme="majorEastAsia"/>
      <w:bCs/>
      <w:szCs w:val="28"/>
      <w:u w:val="single"/>
    </w:rPr>
  </w:style>
  <w:style w:type="paragraph" w:styleId="Heading4">
    <w:name w:val="heading 4"/>
    <w:basedOn w:val="Normal"/>
    <w:next w:val="Normal"/>
    <w:link w:val="41"/>
    <w:uiPriority w:val="1"/>
    <w:qFormat/>
    <w:rsid w:val="00F41DE0"/>
    <w:pPr>
      <w:keepNext/>
      <w:keepLines/>
      <w:spacing w:before="240"/>
      <w:outlineLvl w:val="3"/>
    </w:pPr>
    <w:rPr>
      <w:rFonts w:eastAsiaTheme="majorEastAsia"/>
      <w:bCs/>
      <w:szCs w:val="26"/>
    </w:rPr>
  </w:style>
  <w:style w:type="paragraph" w:styleId="Heading5">
    <w:name w:val="heading 5"/>
    <w:basedOn w:val="Normal"/>
    <w:next w:val="Normal"/>
    <w:link w:val="51"/>
    <w:uiPriority w:val="1"/>
    <w:qFormat/>
    <w:rsid w:val="00F41DE0"/>
    <w:pPr>
      <w:keepNext/>
      <w:keepLines/>
      <w:outlineLvl w:val="4"/>
    </w:pPr>
    <w:rPr>
      <w:rFonts w:eastAsiaTheme="majorEastAsia"/>
      <w:bCs/>
      <w:spacing w:val="40"/>
    </w:rPr>
  </w:style>
  <w:style w:type="paragraph" w:styleId="Heading6">
    <w:name w:val="heading 6"/>
    <w:basedOn w:val="Normal"/>
    <w:next w:val="Normal"/>
    <w:link w:val="61"/>
    <w:uiPriority w:val="1"/>
    <w:qFormat/>
    <w:rsid w:val="00F41DE0"/>
    <w:pPr>
      <w:keepNext/>
      <w:keepLines/>
      <w:outlineLvl w:val="5"/>
    </w:pPr>
    <w:rPr>
      <w:rFonts w:eastAsiaTheme="majorEastAsia"/>
      <w:spacing w:val="40"/>
    </w:rPr>
  </w:style>
  <w:style w:type="paragraph" w:styleId="Heading7">
    <w:name w:val="heading 7"/>
    <w:basedOn w:val="Normal"/>
    <w:next w:val="Normal"/>
    <w:link w:val="71"/>
    <w:uiPriority w:val="1"/>
    <w:qFormat/>
    <w:rsid w:val="00F41DE0"/>
    <w:pPr>
      <w:keepNext/>
      <w:keepLines/>
      <w:outlineLvl w:val="6"/>
    </w:pPr>
    <w:rPr>
      <w:rFonts w:eastAsiaTheme="majorEastAsia"/>
      <w:bCs/>
      <w:spacing w:val="40"/>
    </w:rPr>
  </w:style>
  <w:style w:type="paragraph" w:styleId="Heading8">
    <w:name w:val="heading 8"/>
    <w:basedOn w:val="Normal"/>
    <w:next w:val="Normal"/>
    <w:link w:val="81"/>
    <w:uiPriority w:val="1"/>
    <w:qFormat/>
    <w:rsid w:val="00F41DE0"/>
    <w:pPr>
      <w:keepNext/>
      <w:keepLines/>
      <w:outlineLvl w:val="7"/>
    </w:pPr>
    <w:rPr>
      <w:rFonts w:eastAsiaTheme="majorEastAsia"/>
      <w:spacing w:val="40"/>
    </w:rPr>
  </w:style>
  <w:style w:type="paragraph" w:styleId="Heading9">
    <w:name w:val="heading 9"/>
    <w:basedOn w:val="Normal"/>
    <w:next w:val="Normal"/>
    <w:link w:val="92"/>
    <w:uiPriority w:val="9"/>
    <w:semiHidden/>
    <w:unhideWhenUsed/>
    <w:rsid w:val="00BA23A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1">
    <w:name w:val="כותרת 1 תו1"/>
    <w:basedOn w:val="DefaultParagraphFont"/>
    <w:link w:val="Heading1"/>
    <w:uiPriority w:val="1"/>
    <w:rsid w:val="00F41DE0"/>
    <w:rPr>
      <w:rFonts w:eastAsiaTheme="majorEastAsia"/>
      <w:bCs/>
      <w:szCs w:val="36"/>
      <w:u w:val="single"/>
    </w:rPr>
  </w:style>
  <w:style w:type="character" w:customStyle="1" w:styleId="22">
    <w:name w:val="כותרת 2 תו2"/>
    <w:basedOn w:val="DefaultParagraphFont"/>
    <w:link w:val="Heading2"/>
    <w:uiPriority w:val="1"/>
    <w:rsid w:val="00F41DE0"/>
    <w:rPr>
      <w:rFonts w:eastAsiaTheme="majorEastAsia"/>
      <w:bCs/>
      <w:szCs w:val="32"/>
    </w:rPr>
  </w:style>
  <w:style w:type="character" w:customStyle="1" w:styleId="32">
    <w:name w:val="כותרת 3 תו2"/>
    <w:basedOn w:val="DefaultParagraphFont"/>
    <w:link w:val="Heading3"/>
    <w:uiPriority w:val="1"/>
    <w:rsid w:val="00F41DE0"/>
    <w:rPr>
      <w:rFonts w:eastAsiaTheme="majorEastAsia"/>
      <w:bCs/>
      <w:szCs w:val="28"/>
      <w:u w:val="single"/>
    </w:rPr>
  </w:style>
  <w:style w:type="character" w:customStyle="1" w:styleId="41">
    <w:name w:val="כותרת 4 תו1"/>
    <w:basedOn w:val="DefaultParagraphFont"/>
    <w:link w:val="Heading4"/>
    <w:uiPriority w:val="1"/>
    <w:rsid w:val="00F41DE0"/>
    <w:rPr>
      <w:rFonts w:eastAsiaTheme="majorEastAsia"/>
      <w:bCs/>
      <w:szCs w:val="26"/>
    </w:rPr>
  </w:style>
  <w:style w:type="character" w:customStyle="1" w:styleId="51">
    <w:name w:val="כותרת 5 תו1"/>
    <w:basedOn w:val="DefaultParagraphFont"/>
    <w:link w:val="Heading5"/>
    <w:uiPriority w:val="1"/>
    <w:rsid w:val="00F41DE0"/>
    <w:rPr>
      <w:rFonts w:eastAsiaTheme="majorEastAsia"/>
      <w:bCs/>
      <w:spacing w:val="40"/>
    </w:rPr>
  </w:style>
  <w:style w:type="character" w:customStyle="1" w:styleId="61">
    <w:name w:val="כותרת 6 תו1"/>
    <w:basedOn w:val="DefaultParagraphFont"/>
    <w:link w:val="Heading6"/>
    <w:uiPriority w:val="1"/>
    <w:rsid w:val="00F41DE0"/>
    <w:rPr>
      <w:rFonts w:eastAsiaTheme="majorEastAsia"/>
      <w:spacing w:val="40"/>
    </w:rPr>
  </w:style>
  <w:style w:type="character" w:customStyle="1" w:styleId="71">
    <w:name w:val="כותרת 7 תו1"/>
    <w:basedOn w:val="DefaultParagraphFont"/>
    <w:link w:val="Heading7"/>
    <w:uiPriority w:val="1"/>
    <w:rsid w:val="00F41DE0"/>
    <w:rPr>
      <w:rFonts w:eastAsiaTheme="majorEastAsia"/>
      <w:bCs/>
      <w:spacing w:val="40"/>
    </w:rPr>
  </w:style>
  <w:style w:type="character" w:customStyle="1" w:styleId="81">
    <w:name w:val="כותרת 8 תו1"/>
    <w:basedOn w:val="DefaultParagraphFont"/>
    <w:link w:val="Heading8"/>
    <w:uiPriority w:val="1"/>
    <w:rsid w:val="00F41DE0"/>
    <w:rPr>
      <w:rFonts w:eastAsiaTheme="majorEastAsia"/>
      <w:spacing w:val="40"/>
    </w:rPr>
  </w:style>
  <w:style w:type="paragraph" w:styleId="Header">
    <w:name w:val="header"/>
    <w:basedOn w:val="Normal"/>
    <w:link w:val="1"/>
    <w:uiPriority w:val="99"/>
    <w:unhideWhenUsed/>
    <w:rsid w:val="000501A4"/>
    <w:pPr>
      <w:tabs>
        <w:tab w:val="center" w:pos="4153"/>
        <w:tab w:val="right" w:pos="8306"/>
      </w:tabs>
      <w:spacing w:line="240" w:lineRule="auto"/>
    </w:pPr>
  </w:style>
  <w:style w:type="character" w:customStyle="1" w:styleId="1">
    <w:name w:val="כותרת עליונה תו1"/>
    <w:basedOn w:val="DefaultParagraphFont"/>
    <w:link w:val="Header"/>
    <w:uiPriority w:val="99"/>
    <w:rsid w:val="000501A4"/>
  </w:style>
  <w:style w:type="paragraph" w:styleId="Footer">
    <w:name w:val="footer"/>
    <w:aliases w:val="כותרת תחתונה תו תו תו,כותרת תחתונה תו תו תו תו תו"/>
    <w:basedOn w:val="Normal"/>
    <w:link w:val="2"/>
    <w:uiPriority w:val="99"/>
    <w:unhideWhenUsed/>
    <w:qFormat/>
    <w:rsid w:val="000501A4"/>
    <w:pPr>
      <w:tabs>
        <w:tab w:val="center" w:pos="4153"/>
        <w:tab w:val="right" w:pos="8306"/>
      </w:tabs>
      <w:spacing w:line="240" w:lineRule="auto"/>
    </w:pPr>
  </w:style>
  <w:style w:type="character" w:customStyle="1" w:styleId="2">
    <w:name w:val="כותרת תחתונה תו2"/>
    <w:aliases w:val="כותרת תחתונה תו תו תו תו,כותרת תחתונה תו תו תו תו תו תו"/>
    <w:basedOn w:val="DefaultParagraphFont"/>
    <w:link w:val="Footer"/>
    <w:uiPriority w:val="99"/>
    <w:rsid w:val="000501A4"/>
  </w:style>
  <w:style w:type="paragraph" w:styleId="Date">
    <w:name w:val="Date"/>
    <w:basedOn w:val="Normal"/>
    <w:next w:val="Normal"/>
    <w:link w:val="23"/>
    <w:uiPriority w:val="99"/>
    <w:unhideWhenUsed/>
    <w:rsid w:val="000501A4"/>
    <w:pPr>
      <w:spacing w:before="120" w:line="240" w:lineRule="auto"/>
    </w:pPr>
  </w:style>
  <w:style w:type="character" w:customStyle="1" w:styleId="23">
    <w:name w:val="תאריך תו2"/>
    <w:basedOn w:val="DefaultParagraphFont"/>
    <w:link w:val="Date"/>
    <w:uiPriority w:val="99"/>
    <w:rsid w:val="000501A4"/>
  </w:style>
  <w:style w:type="paragraph" w:styleId="FootnoteText">
    <w:name w:val="footnote text"/>
    <w:aliases w:val=" Char,F,FOOTNOTES,Footnote Text - Sharp,Footnote Text - Sharp Char,Footnote Text - Sharp Char Char,Footnote Text Char Char Char Char Char,Footnote reference,Sharp - Footnote Text,Sharp - Footnote Text1 Char,fn,footnote text,single space"/>
    <w:basedOn w:val="Normal"/>
    <w:link w:val="3"/>
    <w:uiPriority w:val="99"/>
    <w:qFormat/>
    <w:rsid w:val="00574579"/>
    <w:pPr>
      <w:spacing w:line="240" w:lineRule="auto"/>
      <w:ind w:left="720" w:hanging="720"/>
    </w:pPr>
    <w:rPr>
      <w:szCs w:val="20"/>
    </w:rPr>
  </w:style>
  <w:style w:type="character" w:customStyle="1" w:styleId="3">
    <w:name w:val="טקסט הערת שוליים תו3"/>
    <w:aliases w:val=" Char תו1,FOOTNOTES תו1,Footnote Text - Sharp Char Char תו1,Footnote Text - Sharp Char תו1,Footnote Text - Sharp תו1,Footnote Text Char Char Char Char Char תו1,Footnote reference תו1,Sharp - Footnote Text תו1,fn תו1,footnote text תו"/>
    <w:basedOn w:val="DefaultParagraphFont"/>
    <w:link w:val="FootnoteText"/>
    <w:uiPriority w:val="99"/>
    <w:rsid w:val="00574579"/>
    <w:rPr>
      <w:szCs w:val="20"/>
    </w:rPr>
  </w:style>
  <w:style w:type="character" w:styleId="FootnoteReference0">
    <w:name w:val="footnote reference"/>
    <w:aliases w:val="Footnote Reference_0,Footnote Reference_0_0,Footnote Reference_0_0_0,Footnote Reference_0_0_0_0,Footnote Reference_1,Footnote Reference_2,Footnote Reference_3,Footnote Reference_3_0,Footnote Reference_4,Footnote text,Style,מ"/>
    <w:basedOn w:val="DefaultParagraphFont"/>
    <w:uiPriority w:val="99"/>
    <w:unhideWhenUsed/>
    <w:qFormat/>
    <w:rsid w:val="00566629"/>
    <w:rPr>
      <w:vertAlign w:val="superscript"/>
    </w:rPr>
  </w:style>
  <w:style w:type="table" w:styleId="TableGrid">
    <w:name w:val="Table Grid"/>
    <w:basedOn w:val="TableNormal"/>
    <w:uiPriority w:val="59"/>
    <w:rsid w:val="00DA4697"/>
    <w:pPr>
      <w:spacing w:before="120" w:after="120" w:line="240" w:lineRule="exact"/>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D05CC"/>
    <w:rPr>
      <w:rFonts w:cs="Times New Roman"/>
      <w:sz w:val="24"/>
    </w:rPr>
  </w:style>
  <w:style w:type="paragraph" w:styleId="BalloonText">
    <w:name w:val="Balloon Text"/>
    <w:basedOn w:val="Normal"/>
    <w:link w:val="10"/>
    <w:uiPriority w:val="99"/>
    <w:unhideWhenUsed/>
    <w:rsid w:val="00AF6305"/>
    <w:pPr>
      <w:spacing w:line="240" w:lineRule="auto"/>
    </w:pPr>
    <w:rPr>
      <w:rFonts w:ascii="Tahoma" w:hAnsi="Tahoma" w:cs="Tahoma"/>
      <w:sz w:val="18"/>
      <w:szCs w:val="18"/>
    </w:rPr>
  </w:style>
  <w:style w:type="character" w:customStyle="1" w:styleId="10">
    <w:name w:val="טקסט בלונים תו1"/>
    <w:basedOn w:val="DefaultParagraphFont"/>
    <w:link w:val="BalloonText"/>
    <w:uiPriority w:val="99"/>
    <w:rsid w:val="00AF6305"/>
    <w:rPr>
      <w:rFonts w:ascii="Tahoma" w:hAnsi="Tahoma" w:cs="Tahoma"/>
      <w:sz w:val="18"/>
      <w:szCs w:val="18"/>
    </w:rPr>
  </w:style>
  <w:style w:type="character" w:styleId="CommentReference">
    <w:name w:val="annotation reference"/>
    <w:basedOn w:val="DefaultParagraphFont"/>
    <w:uiPriority w:val="99"/>
    <w:unhideWhenUsed/>
    <w:rsid w:val="005F492A"/>
    <w:rPr>
      <w:sz w:val="16"/>
      <w:szCs w:val="16"/>
    </w:rPr>
  </w:style>
  <w:style w:type="paragraph" w:styleId="CommentText">
    <w:name w:val="annotation text"/>
    <w:basedOn w:val="Normal"/>
    <w:link w:val="12"/>
    <w:uiPriority w:val="99"/>
    <w:unhideWhenUsed/>
    <w:rsid w:val="005F492A"/>
    <w:pPr>
      <w:spacing w:line="240" w:lineRule="auto"/>
    </w:pPr>
    <w:rPr>
      <w:szCs w:val="20"/>
    </w:rPr>
  </w:style>
  <w:style w:type="character" w:customStyle="1" w:styleId="12">
    <w:name w:val="טקסט הערה תו1"/>
    <w:basedOn w:val="DefaultParagraphFont"/>
    <w:link w:val="CommentText"/>
    <w:uiPriority w:val="99"/>
    <w:rsid w:val="005F492A"/>
    <w:rPr>
      <w:szCs w:val="20"/>
    </w:rPr>
  </w:style>
  <w:style w:type="paragraph" w:styleId="CommentSubject">
    <w:name w:val="annotation subject"/>
    <w:basedOn w:val="CommentText"/>
    <w:next w:val="CommentText"/>
    <w:link w:val="24"/>
    <w:uiPriority w:val="99"/>
    <w:unhideWhenUsed/>
    <w:rsid w:val="005F492A"/>
    <w:rPr>
      <w:b/>
      <w:bCs/>
    </w:rPr>
  </w:style>
  <w:style w:type="character" w:customStyle="1" w:styleId="24">
    <w:name w:val="נושא הערה תו2"/>
    <w:basedOn w:val="12"/>
    <w:link w:val="CommentSubject"/>
    <w:uiPriority w:val="99"/>
    <w:rsid w:val="005F492A"/>
    <w:rPr>
      <w:b/>
      <w:bCs/>
      <w:szCs w:val="20"/>
    </w:rPr>
  </w:style>
  <w:style w:type="paragraph" w:styleId="ListParagraph">
    <w:name w:val="List Paragraph"/>
    <w:aliases w:val="LP1,פיסקת bullets"/>
    <w:basedOn w:val="Normal"/>
    <w:link w:val="a2"/>
    <w:uiPriority w:val="34"/>
    <w:qFormat/>
    <w:rsid w:val="003F6D65"/>
    <w:pPr>
      <w:ind w:left="720"/>
      <w:contextualSpacing/>
    </w:pPr>
  </w:style>
  <w:style w:type="paragraph" w:styleId="TOC1">
    <w:name w:val="toc 1"/>
    <w:basedOn w:val="Normal"/>
    <w:next w:val="Normal"/>
    <w:autoRedefine/>
    <w:uiPriority w:val="39"/>
    <w:unhideWhenUsed/>
    <w:rsid w:val="00171B4A"/>
    <w:pPr>
      <w:spacing w:after="100"/>
    </w:pPr>
  </w:style>
  <w:style w:type="paragraph" w:styleId="TOC2">
    <w:name w:val="toc 2"/>
    <w:basedOn w:val="Normal"/>
    <w:next w:val="Normal"/>
    <w:autoRedefine/>
    <w:uiPriority w:val="39"/>
    <w:unhideWhenUsed/>
    <w:rsid w:val="00171B4A"/>
    <w:pPr>
      <w:spacing w:after="100"/>
      <w:ind w:left="200"/>
    </w:pPr>
  </w:style>
  <w:style w:type="paragraph" w:styleId="TOC3">
    <w:name w:val="toc 3"/>
    <w:basedOn w:val="Normal"/>
    <w:next w:val="Normal"/>
    <w:autoRedefine/>
    <w:uiPriority w:val="39"/>
    <w:unhideWhenUsed/>
    <w:rsid w:val="00171B4A"/>
    <w:pPr>
      <w:spacing w:after="100"/>
      <w:ind w:left="400"/>
    </w:pPr>
  </w:style>
  <w:style w:type="character" w:styleId="Hyperlink">
    <w:name w:val="Hyperlink"/>
    <w:basedOn w:val="DefaultParagraphFont"/>
    <w:uiPriority w:val="99"/>
    <w:unhideWhenUsed/>
    <w:rsid w:val="00171B4A"/>
    <w:rPr>
      <w:color w:val="0000FF" w:themeColor="hyperlink"/>
      <w:u w:val="single"/>
    </w:rPr>
  </w:style>
  <w:style w:type="paragraph" w:styleId="Revision">
    <w:name w:val="Revision"/>
    <w:hidden/>
    <w:uiPriority w:val="99"/>
    <w:semiHidden/>
    <w:rsid w:val="00AF6A68"/>
    <w:pPr>
      <w:spacing w:after="0" w:line="240" w:lineRule="auto"/>
      <w:jc w:val="left"/>
    </w:pPr>
  </w:style>
  <w:style w:type="paragraph" w:customStyle="1" w:styleId="RESHET">
    <w:name w:val="RESHET"/>
    <w:basedOn w:val="Normal"/>
    <w:rsid w:val="00A7067D"/>
    <w:pPr>
      <w:pBdr>
        <w:top w:val="single" w:sz="4" w:space="4" w:color="FFFFFF"/>
        <w:left w:val="single" w:sz="4" w:space="11" w:color="FFFFFF"/>
        <w:bottom w:val="single" w:sz="4" w:space="6" w:color="FFFFFF"/>
        <w:right w:val="single" w:sz="4" w:space="11" w:color="FFFFFF"/>
      </w:pBdr>
      <w:shd w:val="pct25" w:color="00FF00" w:fill="auto"/>
      <w:spacing w:after="120" w:line="230" w:lineRule="exact"/>
      <w:ind w:left="227" w:right="227"/>
    </w:pPr>
    <w:rPr>
      <w:rFonts w:eastAsia="Times New Roman" w:cs="FrankRuehl"/>
      <w:b/>
      <w:bCs/>
      <w:sz w:val="24"/>
      <w:szCs w:val="22"/>
      <w:lang w:eastAsia="he-IL"/>
    </w:rPr>
  </w:style>
  <w:style w:type="paragraph" w:customStyle="1" w:styleId="NAME">
    <w:name w:val="NAME"/>
    <w:basedOn w:val="Normal"/>
    <w:rsid w:val="00D5266D"/>
    <w:pPr>
      <w:spacing w:before="2000" w:after="120"/>
      <w:jc w:val="center"/>
      <w:outlineLvl w:val="0"/>
    </w:pPr>
    <w:rPr>
      <w:rFonts w:ascii="Tahoma" w:eastAsia="Times New Roman" w:hAnsi="Tahoma" w:cs="Tahoma"/>
      <w:color w:val="2A2AA6"/>
      <w:sz w:val="42"/>
      <w:szCs w:val="42"/>
      <w:lang w:eastAsia="he-IL"/>
    </w:rPr>
  </w:style>
  <w:style w:type="paragraph" w:customStyle="1" w:styleId="KOT4">
    <w:name w:val="KOT4"/>
    <w:basedOn w:val="Normal"/>
    <w:rsid w:val="00796843"/>
    <w:pPr>
      <w:keepNext/>
      <w:spacing w:before="120" w:after="120" w:line="360" w:lineRule="exact"/>
      <w:ind w:right="2268"/>
      <w:jc w:val="left"/>
      <w:outlineLvl w:val="1"/>
    </w:pPr>
    <w:rPr>
      <w:rFonts w:ascii="Tahoma" w:eastAsia="Times New Roman" w:hAnsi="Tahoma" w:cs="Tahoma"/>
      <w:color w:val="009692"/>
      <w:sz w:val="32"/>
      <w:szCs w:val="32"/>
    </w:rPr>
  </w:style>
  <w:style w:type="character" w:customStyle="1" w:styleId="73">
    <w:name w:val="כותרת 7 תו3"/>
    <w:basedOn w:val="DefaultParagraphFont"/>
    <w:uiPriority w:val="1"/>
    <w:rsid w:val="00456AD9"/>
    <w:rPr>
      <w:rFonts w:asciiTheme="majorHAnsi" w:eastAsiaTheme="majorEastAsia" w:hAnsiTheme="majorHAnsi" w:cstheme="majorBidi"/>
      <w:b/>
      <w:bCs/>
      <w:color w:val="632423" w:themeColor="accent2" w:themeShade="80"/>
      <w:sz w:val="22"/>
      <w:szCs w:val="22"/>
    </w:rPr>
  </w:style>
  <w:style w:type="paragraph" w:customStyle="1" w:styleId="tab-name">
    <w:name w:val="tab-name"/>
    <w:basedOn w:val="Normal"/>
    <w:link w:val="tab-nameChar"/>
    <w:qFormat/>
    <w:rsid w:val="000F76A8"/>
    <w:pPr>
      <w:keepNext/>
      <w:spacing w:before="480" w:after="240" w:line="320" w:lineRule="exact"/>
      <w:jc w:val="left"/>
    </w:pPr>
    <w:rPr>
      <w:rFonts w:ascii="Tahoma" w:hAnsi="Tahoma" w:eastAsiaTheme="minorEastAsia" w:cs="Tahoma"/>
      <w:color w:val="365F91" w:themeColor="accent1" w:themeShade="BF"/>
      <w:sz w:val="18"/>
      <w:szCs w:val="18"/>
    </w:rPr>
  </w:style>
  <w:style w:type="paragraph" w:customStyle="1" w:styleId="name-sub">
    <w:name w:val="name-sub"/>
    <w:basedOn w:val="NAME"/>
    <w:qFormat/>
    <w:rsid w:val="000F76A8"/>
    <w:pPr>
      <w:spacing w:before="0"/>
    </w:pPr>
    <w:rPr>
      <w:sz w:val="36"/>
      <w:szCs w:val="36"/>
    </w:rPr>
  </w:style>
  <w:style w:type="table" w:customStyle="1" w:styleId="13">
    <w:name w:val="רשת טבלה1"/>
    <w:basedOn w:val="TableNormal"/>
    <w:next w:val="TableGrid"/>
    <w:uiPriority w:val="59"/>
    <w:rsid w:val="008B17A0"/>
    <w:pPr>
      <w:spacing w:after="0" w:line="240" w:lineRule="auto"/>
      <w:jc w:val="left"/>
    </w:pPr>
    <w:rPr>
      <w:rFonts w:eastAsia="Times New Roman"/>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ext-source">
    <w:name w:val="text-source"/>
    <w:basedOn w:val="Normal"/>
    <w:next w:val="Normal"/>
    <w:qFormat/>
    <w:rsid w:val="008B17A0"/>
    <w:pPr>
      <w:shd w:val="clear" w:color="auto" w:fill="FFFFFF"/>
      <w:spacing w:before="120" w:after="240" w:line="200" w:lineRule="exact"/>
      <w:ind w:right="2268"/>
      <w:jc w:val="left"/>
    </w:pPr>
    <w:rPr>
      <w:rFonts w:ascii="Tahoma" w:eastAsia="Times New Roman" w:hAnsi="Tahoma" w:cs="Tahoma"/>
      <w:color w:val="222222"/>
      <w:sz w:val="14"/>
      <w:szCs w:val="14"/>
    </w:rPr>
  </w:style>
  <w:style w:type="table" w:customStyle="1" w:styleId="1-41">
    <w:name w:val="טבלת רשת 1 בהירה - הדגשה 41"/>
    <w:basedOn w:val="TableNormal"/>
    <w:uiPriority w:val="46"/>
    <w:rsid w:val="00444597"/>
    <w:pPr>
      <w:spacing w:after="0" w:line="240" w:lineRule="auto"/>
    </w:p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character" w:styleId="Strong">
    <w:name w:val="Strong"/>
    <w:basedOn w:val="DefaultParagraphFont"/>
    <w:uiPriority w:val="22"/>
    <w:qFormat/>
    <w:rsid w:val="00444597"/>
    <w:rPr>
      <w:b/>
      <w:bCs/>
    </w:rPr>
  </w:style>
  <w:style w:type="paragraph" w:customStyle="1" w:styleId="rtejustify">
    <w:name w:val="rtejustify"/>
    <w:basedOn w:val="Normal"/>
    <w:rsid w:val="00444597"/>
    <w:pPr>
      <w:bidi w:val="0"/>
      <w:spacing w:before="100" w:beforeAutospacing="1" w:after="100" w:afterAutospacing="1" w:line="240" w:lineRule="auto"/>
      <w:jc w:val="left"/>
    </w:pPr>
    <w:rPr>
      <w:rFonts w:eastAsia="Times New Roman" w:cs="Times New Roman"/>
      <w:sz w:val="24"/>
    </w:rPr>
  </w:style>
  <w:style w:type="paragraph" w:customStyle="1" w:styleId="KOT1">
    <w:name w:val="KOT1"/>
    <w:basedOn w:val="Normal"/>
    <w:rsid w:val="00444597"/>
    <w:pPr>
      <w:keepNext/>
      <w:spacing w:after="360" w:line="400" w:lineRule="exact"/>
      <w:jc w:val="center"/>
    </w:pPr>
    <w:rPr>
      <w:rFonts w:eastAsia="Times New Roman"/>
      <w:b/>
      <w:bCs/>
      <w:sz w:val="36"/>
      <w:szCs w:val="36"/>
      <w:lang w:eastAsia="he-IL"/>
    </w:rPr>
  </w:style>
  <w:style w:type="paragraph" w:styleId="Caption">
    <w:name w:val="caption"/>
    <w:basedOn w:val="Normal"/>
    <w:next w:val="Normal"/>
    <w:uiPriority w:val="35"/>
    <w:unhideWhenUsed/>
    <w:qFormat/>
    <w:rsid w:val="00444597"/>
    <w:pPr>
      <w:spacing w:after="200" w:line="240" w:lineRule="auto"/>
    </w:pPr>
    <w:rPr>
      <w:i/>
      <w:iCs/>
      <w:color w:val="1F497D" w:themeColor="text2"/>
      <w:sz w:val="18"/>
      <w:szCs w:val="18"/>
    </w:rPr>
  </w:style>
  <w:style w:type="character" w:customStyle="1" w:styleId="Bodytext2">
    <w:name w:val="Body text (2)_"/>
    <w:basedOn w:val="DefaultParagraphFont"/>
    <w:link w:val="Bodytext20"/>
    <w:rsid w:val="00444597"/>
    <w:rPr>
      <w:rFonts w:eastAsia="Times New Roman" w:cs="Times New Roman"/>
      <w:sz w:val="22"/>
      <w:szCs w:val="22"/>
      <w:shd w:val="clear" w:color="auto" w:fill="FFFFFF"/>
    </w:rPr>
  </w:style>
  <w:style w:type="paragraph" w:customStyle="1" w:styleId="Bodytext20">
    <w:name w:val="Body text (2)"/>
    <w:basedOn w:val="Normal"/>
    <w:link w:val="Bodytext2"/>
    <w:rsid w:val="00444597"/>
    <w:pPr>
      <w:widowControl w:val="0"/>
      <w:shd w:val="clear" w:color="auto" w:fill="FFFFFF"/>
      <w:spacing w:line="259" w:lineRule="exact"/>
    </w:pPr>
    <w:rPr>
      <w:rFonts w:eastAsia="Times New Roman" w:cs="Times New Roman"/>
      <w:sz w:val="22"/>
      <w:szCs w:val="22"/>
    </w:rPr>
  </w:style>
  <w:style w:type="character" w:customStyle="1" w:styleId="Bodytext7">
    <w:name w:val="Body text (7)_"/>
    <w:basedOn w:val="DefaultParagraphFont"/>
    <w:link w:val="Bodytext70"/>
    <w:rsid w:val="00444597"/>
    <w:rPr>
      <w:rFonts w:eastAsia="Times New Roman" w:cs="Times New Roman"/>
      <w:sz w:val="22"/>
      <w:szCs w:val="22"/>
      <w:shd w:val="clear" w:color="auto" w:fill="FFFFFF"/>
    </w:rPr>
  </w:style>
  <w:style w:type="paragraph" w:customStyle="1" w:styleId="Bodytext70">
    <w:name w:val="Body text (7)"/>
    <w:basedOn w:val="Normal"/>
    <w:link w:val="Bodytext7"/>
    <w:rsid w:val="00444597"/>
    <w:pPr>
      <w:widowControl w:val="0"/>
      <w:shd w:val="clear" w:color="auto" w:fill="FFFFFF"/>
      <w:spacing w:line="384" w:lineRule="exact"/>
      <w:ind w:hanging="360"/>
    </w:pPr>
    <w:rPr>
      <w:rFonts w:eastAsia="Times New Roman" w:cs="Times New Roman"/>
      <w:sz w:val="22"/>
      <w:szCs w:val="22"/>
    </w:rPr>
  </w:style>
  <w:style w:type="character" w:customStyle="1" w:styleId="Bodytext2Bold">
    <w:name w:val="Body text (2) + Bold"/>
    <w:basedOn w:val="Bodytext2"/>
    <w:rsid w:val="00444597"/>
    <w:rPr>
      <w:rFonts w:ascii="Lucida Sans Unicode" w:eastAsia="Lucida Sans Unicode" w:hAnsi="Lucida Sans Unicode" w:cs="Lucida Sans Unicode"/>
      <w:b/>
      <w:bCs/>
      <w:i w:val="0"/>
      <w:iCs w:val="0"/>
      <w:smallCaps w:val="0"/>
      <w:strike w:val="0"/>
      <w:color w:val="000000"/>
      <w:spacing w:val="0"/>
      <w:w w:val="100"/>
      <w:position w:val="0"/>
      <w:sz w:val="20"/>
      <w:szCs w:val="20"/>
      <w:u w:val="none"/>
      <w:shd w:val="clear" w:color="auto" w:fill="FFFFFF"/>
      <w:lang w:val="he-IL" w:eastAsia="he-IL" w:bidi="he-IL"/>
    </w:rPr>
  </w:style>
  <w:style w:type="character" w:customStyle="1" w:styleId="Heading10">
    <w:name w:val="Heading #1_"/>
    <w:basedOn w:val="DefaultParagraphFont"/>
    <w:rsid w:val="00444597"/>
    <w:rPr>
      <w:rFonts w:ascii="Lucida Sans Unicode" w:eastAsia="Lucida Sans Unicode" w:hAnsi="Lucida Sans Unicode" w:cs="Lucida Sans Unicode"/>
      <w:b/>
      <w:bCs/>
      <w:i w:val="0"/>
      <w:iCs w:val="0"/>
      <w:smallCaps w:val="0"/>
      <w:strike w:val="0"/>
      <w:sz w:val="24"/>
      <w:szCs w:val="24"/>
      <w:u w:val="none"/>
    </w:rPr>
  </w:style>
  <w:style w:type="character" w:customStyle="1" w:styleId="Heading11">
    <w:name w:val="Heading #1"/>
    <w:basedOn w:val="Heading10"/>
    <w:rsid w:val="00444597"/>
    <w:rPr>
      <w:rFonts w:ascii="Lucida Sans Unicode" w:eastAsia="Lucida Sans Unicode" w:hAnsi="Lucida Sans Unicode" w:cs="Lucida Sans Unicode"/>
      <w:b/>
      <w:bCs/>
      <w:i w:val="0"/>
      <w:iCs w:val="0"/>
      <w:smallCaps w:val="0"/>
      <w:strike w:val="0"/>
      <w:color w:val="000000"/>
      <w:spacing w:val="0"/>
      <w:w w:val="100"/>
      <w:position w:val="0"/>
      <w:sz w:val="24"/>
      <w:szCs w:val="24"/>
      <w:u w:val="none"/>
      <w:lang w:val="he-IL" w:eastAsia="he-IL" w:bidi="he-IL"/>
    </w:rPr>
  </w:style>
  <w:style w:type="character" w:customStyle="1" w:styleId="Bodytext3">
    <w:name w:val="Body text (3)_"/>
    <w:basedOn w:val="DefaultParagraphFont"/>
    <w:rsid w:val="00444597"/>
    <w:rPr>
      <w:rFonts w:ascii="Lucida Sans Unicode" w:eastAsia="Lucida Sans Unicode" w:hAnsi="Lucida Sans Unicode" w:cs="Lucida Sans Unicode"/>
      <w:b w:val="0"/>
      <w:bCs w:val="0"/>
      <w:i w:val="0"/>
      <w:iCs w:val="0"/>
      <w:smallCaps w:val="0"/>
      <w:strike w:val="0"/>
      <w:sz w:val="16"/>
      <w:szCs w:val="16"/>
      <w:u w:val="none"/>
    </w:rPr>
  </w:style>
  <w:style w:type="character" w:customStyle="1" w:styleId="Bodytext30">
    <w:name w:val="Body text (3)"/>
    <w:basedOn w:val="Bodytext3"/>
    <w:rsid w:val="00444597"/>
    <w:rPr>
      <w:rFonts w:ascii="Lucida Sans Unicode" w:eastAsia="Lucida Sans Unicode" w:hAnsi="Lucida Sans Unicode" w:cs="Lucida Sans Unicode"/>
      <w:b w:val="0"/>
      <w:bCs w:val="0"/>
      <w:i w:val="0"/>
      <w:iCs w:val="0"/>
      <w:smallCaps w:val="0"/>
      <w:strike w:val="0"/>
      <w:color w:val="000000"/>
      <w:spacing w:val="0"/>
      <w:w w:val="100"/>
      <w:position w:val="0"/>
      <w:sz w:val="16"/>
      <w:szCs w:val="16"/>
      <w:u w:val="none"/>
      <w:lang w:val="he-IL" w:eastAsia="he-IL" w:bidi="he-IL"/>
    </w:rPr>
  </w:style>
  <w:style w:type="character" w:customStyle="1" w:styleId="Bodytext2Spacing-1pt">
    <w:name w:val="Body text (2) + Spacing -1 pt"/>
    <w:basedOn w:val="Bodytext2"/>
    <w:rsid w:val="00444597"/>
    <w:rPr>
      <w:rFonts w:ascii="Lucida Sans Unicode" w:eastAsia="Lucida Sans Unicode" w:hAnsi="Lucida Sans Unicode" w:cs="Lucida Sans Unicode"/>
      <w:b w:val="0"/>
      <w:bCs w:val="0"/>
      <w:i w:val="0"/>
      <w:iCs w:val="0"/>
      <w:smallCaps w:val="0"/>
      <w:strike w:val="0"/>
      <w:color w:val="000000"/>
      <w:spacing w:val="-30"/>
      <w:w w:val="100"/>
      <w:position w:val="0"/>
      <w:sz w:val="20"/>
      <w:szCs w:val="20"/>
      <w:u w:val="none"/>
      <w:shd w:val="clear" w:color="auto" w:fill="FFFFFF"/>
      <w:lang w:val="en-US" w:eastAsia="en-US" w:bidi="en-US"/>
    </w:rPr>
  </w:style>
  <w:style w:type="character" w:customStyle="1" w:styleId="Bodytext6">
    <w:name w:val="Body text (6)_"/>
    <w:basedOn w:val="DefaultParagraphFont"/>
    <w:link w:val="Bodytext60"/>
    <w:rsid w:val="00444597"/>
    <w:rPr>
      <w:rFonts w:ascii="Lucida Sans Unicode" w:eastAsia="Lucida Sans Unicode" w:hAnsi="Lucida Sans Unicode" w:cs="Lucida Sans Unicode"/>
      <w:b/>
      <w:bCs/>
      <w:szCs w:val="20"/>
      <w:shd w:val="clear" w:color="auto" w:fill="FFFFFF"/>
    </w:rPr>
  </w:style>
  <w:style w:type="paragraph" w:customStyle="1" w:styleId="Bodytext60">
    <w:name w:val="Body text (6)"/>
    <w:basedOn w:val="Normal"/>
    <w:link w:val="Bodytext6"/>
    <w:rsid w:val="00444597"/>
    <w:pPr>
      <w:widowControl w:val="0"/>
      <w:shd w:val="clear" w:color="auto" w:fill="FFFFFF"/>
      <w:spacing w:line="370" w:lineRule="exact"/>
    </w:pPr>
    <w:rPr>
      <w:rFonts w:ascii="Lucida Sans Unicode" w:eastAsia="Lucida Sans Unicode" w:hAnsi="Lucida Sans Unicode" w:cs="Lucida Sans Unicode"/>
      <w:b/>
      <w:bCs/>
      <w:szCs w:val="20"/>
    </w:rPr>
  </w:style>
  <w:style w:type="character" w:customStyle="1" w:styleId="Bodytext6NotBold">
    <w:name w:val="Body text (6) + Not Bold"/>
    <w:aliases w:val="Spacing -1 pt"/>
    <w:basedOn w:val="Bodytext6"/>
    <w:rsid w:val="00444597"/>
    <w:rPr>
      <w:rFonts w:ascii="Lucida Sans Unicode" w:eastAsia="Lucida Sans Unicode" w:hAnsi="Lucida Sans Unicode" w:cs="Lucida Sans Unicode"/>
      <w:b/>
      <w:bCs/>
      <w:i w:val="0"/>
      <w:iCs w:val="0"/>
      <w:smallCaps w:val="0"/>
      <w:strike w:val="0"/>
      <w:color w:val="000000"/>
      <w:spacing w:val="0"/>
      <w:w w:val="100"/>
      <w:position w:val="0"/>
      <w:sz w:val="20"/>
      <w:szCs w:val="20"/>
      <w:u w:val="none"/>
      <w:shd w:val="clear" w:color="auto" w:fill="FFFFFF"/>
      <w:lang w:val="he-IL" w:eastAsia="he-IL" w:bidi="he-IL"/>
    </w:rPr>
  </w:style>
  <w:style w:type="character" w:customStyle="1" w:styleId="gmail-msofootnotereference">
    <w:name w:val="gmail-msofootnotereference"/>
    <w:basedOn w:val="DefaultParagraphFont"/>
    <w:rsid w:val="00444597"/>
  </w:style>
  <w:style w:type="paragraph" w:customStyle="1" w:styleId="running-text">
    <w:name w:val="running-text"/>
    <w:qFormat/>
    <w:rsid w:val="00444597"/>
    <w:pPr>
      <w:spacing w:after="120" w:line="240" w:lineRule="exact"/>
      <w:ind w:right="2268"/>
    </w:pPr>
    <w:rPr>
      <w:rFonts w:ascii="Tahoma" w:hAnsi="Tahoma" w:eastAsiaTheme="minorEastAsia" w:cs="Tahoma"/>
      <w:sz w:val="17"/>
      <w:szCs w:val="18"/>
    </w:rPr>
  </w:style>
  <w:style w:type="paragraph" w:styleId="BodyTextIndent">
    <w:name w:val="Body Text Indent"/>
    <w:basedOn w:val="Normal"/>
    <w:link w:val="a"/>
    <w:uiPriority w:val="99"/>
    <w:unhideWhenUsed/>
    <w:rsid w:val="0006189A"/>
    <w:pPr>
      <w:spacing w:after="120"/>
      <w:ind w:left="340"/>
    </w:pPr>
    <w:rPr>
      <w:rFonts w:ascii="Tahoma" w:hAnsi="Tahoma" w:cs="Tahoma"/>
      <w:sz w:val="16"/>
      <w:szCs w:val="20"/>
    </w:rPr>
  </w:style>
  <w:style w:type="character" w:customStyle="1" w:styleId="a">
    <w:name w:val="כניסה בגוף טקסט תו"/>
    <w:basedOn w:val="DefaultParagraphFont"/>
    <w:link w:val="BodyTextIndent"/>
    <w:uiPriority w:val="99"/>
    <w:rsid w:val="0006189A"/>
    <w:rPr>
      <w:rFonts w:ascii="Tahoma" w:hAnsi="Tahoma" w:cs="Tahoma"/>
      <w:sz w:val="16"/>
      <w:szCs w:val="20"/>
    </w:rPr>
  </w:style>
  <w:style w:type="paragraph" w:customStyle="1" w:styleId="121">
    <w:name w:val="כותרת 1_21"/>
    <w:basedOn w:val="tab-name"/>
    <w:link w:val="121Char"/>
    <w:qFormat/>
    <w:rsid w:val="00737520"/>
    <w:pPr>
      <w:keepNext w:val="0"/>
      <w:spacing w:before="1440" w:after="0" w:line="312" w:lineRule="auto"/>
      <w:jc w:val="center"/>
      <w:outlineLvl w:val="0"/>
    </w:pPr>
    <w:rPr>
      <w:color w:val="2A2AA6"/>
      <w:sz w:val="42"/>
      <w:szCs w:val="42"/>
    </w:rPr>
  </w:style>
  <w:style w:type="character" w:customStyle="1" w:styleId="default">
    <w:name w:val="default"/>
    <w:rsid w:val="00417266"/>
    <w:rPr>
      <w:rFonts w:ascii="Times New Roman" w:hAnsi="Times New Roman" w:cs="Times New Roman"/>
      <w:sz w:val="26"/>
      <w:szCs w:val="26"/>
    </w:rPr>
  </w:style>
  <w:style w:type="character" w:customStyle="1" w:styleId="alink">
    <w:name w:val="a_link"/>
    <w:basedOn w:val="DefaultParagraphFont"/>
    <w:rsid w:val="00417266"/>
    <w:rPr>
      <w:color w:val="0000FF"/>
    </w:rPr>
  </w:style>
  <w:style w:type="character" w:customStyle="1" w:styleId="reference-text">
    <w:name w:val="reference-text"/>
    <w:basedOn w:val="DefaultParagraphFont"/>
    <w:rsid w:val="00417266"/>
  </w:style>
  <w:style w:type="character" w:customStyle="1" w:styleId="mw-cite-backlink">
    <w:name w:val="mw-cite-backlink"/>
    <w:basedOn w:val="DefaultParagraphFont"/>
    <w:rsid w:val="00417266"/>
  </w:style>
  <w:style w:type="character" w:customStyle="1" w:styleId="cite-accessibility-label">
    <w:name w:val="cite-accessibility-label"/>
    <w:basedOn w:val="DefaultParagraphFont"/>
    <w:rsid w:val="00417266"/>
  </w:style>
  <w:style w:type="paragraph" w:customStyle="1" w:styleId="a0">
    <w:name w:val="תואר"/>
    <w:basedOn w:val="Normal"/>
    <w:link w:val="a1"/>
    <w:qFormat/>
    <w:rsid w:val="00417266"/>
    <w:pPr>
      <w:spacing w:line="240" w:lineRule="auto"/>
      <w:jc w:val="center"/>
    </w:pPr>
    <w:rPr>
      <w:rFonts w:eastAsia="Times New Roman" w:cs="Times New Roman"/>
      <w:b/>
      <w:bCs/>
      <w:sz w:val="32"/>
      <w:szCs w:val="32"/>
      <w:lang w:eastAsia="he-IL"/>
    </w:rPr>
  </w:style>
  <w:style w:type="character" w:customStyle="1" w:styleId="a1">
    <w:name w:val="תואר תו"/>
    <w:link w:val="a0"/>
    <w:locked/>
    <w:rsid w:val="00417266"/>
    <w:rPr>
      <w:rFonts w:eastAsia="Times New Roman" w:cs="Times New Roman"/>
      <w:b/>
      <w:bCs/>
      <w:sz w:val="32"/>
      <w:szCs w:val="32"/>
      <w:lang w:eastAsia="he-IL"/>
    </w:rPr>
  </w:style>
  <w:style w:type="paragraph" w:customStyle="1" w:styleId="p00">
    <w:name w:val="p00"/>
    <w:basedOn w:val="Normal"/>
    <w:rsid w:val="00417266"/>
    <w:pPr>
      <w:bidi w:val="0"/>
      <w:spacing w:before="100" w:beforeAutospacing="1" w:after="100" w:afterAutospacing="1" w:line="240" w:lineRule="auto"/>
      <w:jc w:val="left"/>
    </w:pPr>
    <w:rPr>
      <w:rFonts w:eastAsia="Times New Roman" w:cs="Times New Roman"/>
      <w:sz w:val="24"/>
    </w:rPr>
  </w:style>
  <w:style w:type="character" w:customStyle="1" w:styleId="wcag-sr-only">
    <w:name w:val="wcag-sr-only"/>
    <w:basedOn w:val="DefaultParagraphFont"/>
    <w:rsid w:val="00417266"/>
  </w:style>
  <w:style w:type="character" w:styleId="Emphasis">
    <w:name w:val="Emphasis"/>
    <w:basedOn w:val="DefaultParagraphFont"/>
    <w:uiPriority w:val="20"/>
    <w:qFormat/>
    <w:rsid w:val="00417266"/>
    <w:rPr>
      <w:i/>
      <w:iCs/>
    </w:rPr>
  </w:style>
  <w:style w:type="character" w:customStyle="1" w:styleId="25">
    <w:name w:val="טקסט הערת שוליים תו2"/>
    <w:uiPriority w:val="99"/>
    <w:rsid w:val="00417266"/>
    <w:rPr>
      <w:rFonts w:cs="David"/>
    </w:rPr>
  </w:style>
  <w:style w:type="paragraph" w:styleId="TOCHeading">
    <w:name w:val="TOC Heading"/>
    <w:basedOn w:val="Heading1"/>
    <w:next w:val="Normal"/>
    <w:uiPriority w:val="39"/>
    <w:unhideWhenUsed/>
    <w:qFormat/>
    <w:rsid w:val="00417266"/>
    <w:pPr>
      <w:spacing w:before="240" w:line="259" w:lineRule="auto"/>
      <w:jc w:val="left"/>
      <w:outlineLvl w:val="9"/>
    </w:pPr>
    <w:rPr>
      <w:rFonts w:asciiTheme="majorHAnsi" w:hAnsiTheme="majorHAnsi" w:cstheme="majorBidi"/>
      <w:bCs w:val="0"/>
      <w:color w:val="365F91" w:themeColor="accent1" w:themeShade="BF"/>
      <w:sz w:val="32"/>
      <w:szCs w:val="32"/>
      <w:u w:val="none"/>
      <w:rtl/>
      <w:cs/>
    </w:rPr>
  </w:style>
  <w:style w:type="paragraph" w:styleId="TOC7">
    <w:name w:val="toc 7"/>
    <w:basedOn w:val="Normal"/>
    <w:next w:val="Normal"/>
    <w:autoRedefine/>
    <w:uiPriority w:val="39"/>
    <w:unhideWhenUsed/>
    <w:rsid w:val="00417266"/>
    <w:pPr>
      <w:spacing w:after="100"/>
      <w:ind w:left="1200"/>
    </w:pPr>
  </w:style>
  <w:style w:type="paragraph" w:styleId="TOC5">
    <w:name w:val="toc 5"/>
    <w:basedOn w:val="Normal"/>
    <w:next w:val="Normal"/>
    <w:autoRedefine/>
    <w:uiPriority w:val="39"/>
    <w:unhideWhenUsed/>
    <w:rsid w:val="00417266"/>
    <w:pPr>
      <w:spacing w:after="100"/>
      <w:ind w:left="800"/>
    </w:pPr>
  </w:style>
  <w:style w:type="paragraph" w:styleId="TOC4">
    <w:name w:val="toc 4"/>
    <w:basedOn w:val="Normal"/>
    <w:next w:val="Normal"/>
    <w:autoRedefine/>
    <w:uiPriority w:val="39"/>
    <w:unhideWhenUsed/>
    <w:rsid w:val="00417266"/>
    <w:pPr>
      <w:spacing w:after="100"/>
      <w:ind w:left="600"/>
    </w:pPr>
  </w:style>
  <w:style w:type="character" w:customStyle="1" w:styleId="highlightspan">
    <w:name w:val="highlightspan"/>
    <w:basedOn w:val="DefaultParagraphFont"/>
    <w:rsid w:val="00417266"/>
  </w:style>
  <w:style w:type="character" w:customStyle="1" w:styleId="14">
    <w:name w:val="נושא הערה תו1"/>
    <w:basedOn w:val="12"/>
    <w:uiPriority w:val="99"/>
    <w:semiHidden/>
    <w:rsid w:val="00417266"/>
    <w:rPr>
      <w:b/>
      <w:bCs/>
      <w:szCs w:val="20"/>
    </w:rPr>
  </w:style>
  <w:style w:type="character" w:styleId="FollowedHyperlink">
    <w:name w:val="FollowedHyperlink"/>
    <w:basedOn w:val="DefaultParagraphFont"/>
    <w:uiPriority w:val="99"/>
    <w:semiHidden/>
    <w:unhideWhenUsed/>
    <w:rsid w:val="00417266"/>
    <w:rPr>
      <w:color w:val="800080" w:themeColor="followedHyperlink"/>
      <w:u w:val="single"/>
    </w:rPr>
  </w:style>
  <w:style w:type="paragraph" w:styleId="TableofFigures">
    <w:name w:val="table of figures"/>
    <w:basedOn w:val="Normal"/>
    <w:next w:val="Normal"/>
    <w:uiPriority w:val="99"/>
    <w:semiHidden/>
    <w:unhideWhenUsed/>
    <w:rsid w:val="00417266"/>
  </w:style>
  <w:style w:type="character" w:styleId="PlaceholderText">
    <w:name w:val="Placeholder Text"/>
    <w:basedOn w:val="DefaultParagraphFont"/>
    <w:uiPriority w:val="99"/>
    <w:semiHidden/>
    <w:rsid w:val="00417266"/>
    <w:rPr>
      <w:color w:val="808080"/>
    </w:rPr>
  </w:style>
  <w:style w:type="paragraph" w:customStyle="1" w:styleId="71316">
    <w:name w:val="71 ג כותרת 3_16"/>
    <w:basedOn w:val="Heading3"/>
    <w:link w:val="71316Char"/>
    <w:qFormat/>
    <w:rsid w:val="002B3A8C"/>
    <w:pPr>
      <w:keepLines w:val="0"/>
      <w:spacing w:before="360" w:after="180" w:line="240" w:lineRule="atLeast"/>
      <w:jc w:val="left"/>
    </w:pPr>
    <w:rPr>
      <w:rFonts w:ascii="Tahoma" w:eastAsia="Times New Roman" w:hAnsi="Tahoma" w:cs="Tahoma"/>
      <w:b/>
      <w:color w:val="00305F"/>
      <w:sz w:val="32"/>
      <w:szCs w:val="32"/>
      <w:u w:val="none"/>
    </w:rPr>
  </w:style>
  <w:style w:type="paragraph" w:customStyle="1" w:styleId="100">
    <w:name w:val="טקסט רץ 10"/>
    <w:basedOn w:val="Normal"/>
    <w:link w:val="10Char"/>
    <w:qFormat/>
    <w:rsid w:val="00705DA7"/>
    <w:pPr>
      <w:spacing w:after="120"/>
    </w:pPr>
    <w:rPr>
      <w:rFonts w:ascii="Tahoma" w:hAnsi="Tahoma" w:cs="Tahoma"/>
      <w:szCs w:val="20"/>
    </w:rPr>
  </w:style>
  <w:style w:type="character" w:customStyle="1" w:styleId="71316Char">
    <w:name w:val="71 ג כותרת 3_16 Char"/>
    <w:basedOn w:val="32"/>
    <w:link w:val="71316"/>
    <w:rsid w:val="002B3A8C"/>
    <w:rPr>
      <w:rFonts w:ascii="Tahoma" w:eastAsia="Times New Roman" w:hAnsi="Tahoma" w:cs="Tahoma"/>
      <w:b/>
      <w:bCs/>
      <w:color w:val="00305F"/>
      <w:sz w:val="32"/>
      <w:szCs w:val="32"/>
      <w:u w:val="single"/>
    </w:rPr>
  </w:style>
  <w:style w:type="paragraph" w:customStyle="1" w:styleId="710">
    <w:name w:val="71ג הערות שוליים"/>
    <w:basedOn w:val="FootnoteText"/>
    <w:link w:val="71Char2"/>
    <w:qFormat/>
    <w:rsid w:val="00A408EB"/>
    <w:pPr>
      <w:spacing w:after="60" w:line="220" w:lineRule="exact"/>
      <w:ind w:left="397" w:hanging="397"/>
    </w:pPr>
    <w:rPr>
      <w:rFonts w:ascii="Tahoma" w:hAnsi="Tahoma" w:cs="Tahoma"/>
      <w:color w:val="0D0D0D" w:themeColor="text1" w:themeTint="F2"/>
      <w:sz w:val="14"/>
      <w:szCs w:val="14"/>
    </w:rPr>
  </w:style>
  <w:style w:type="paragraph" w:customStyle="1" w:styleId="711">
    <w:name w:val="71ג לוחות/תרשימים/תמונות/אינפוגרפיקה/מפות"/>
    <w:basedOn w:val="Normal"/>
    <w:qFormat/>
    <w:rsid w:val="006509BB"/>
    <w:pPr>
      <w:keepNext/>
      <w:spacing w:before="240" w:after="240" w:line="260" w:lineRule="exact"/>
      <w:jc w:val="center"/>
    </w:pPr>
    <w:rPr>
      <w:rFonts w:ascii="Tahoma" w:hAnsi="Tahoma" w:eastAsiaTheme="minorEastAsia" w:cs="Tahoma"/>
      <w:b/>
      <w:bCs/>
      <w:color w:val="0D0D0D" w:themeColor="text1" w:themeTint="F2"/>
      <w:szCs w:val="20"/>
    </w:rPr>
  </w:style>
  <w:style w:type="paragraph" w:customStyle="1" w:styleId="218">
    <w:name w:val="כותרת 2_18"/>
    <w:basedOn w:val="Heading2"/>
    <w:link w:val="218Char"/>
    <w:qFormat/>
    <w:rsid w:val="00635B2E"/>
    <w:pPr>
      <w:keepLines w:val="0"/>
      <w:spacing w:before="600" w:after="120"/>
      <w:jc w:val="left"/>
    </w:pPr>
    <w:rPr>
      <w:rFonts w:ascii="Arial Bold" w:eastAsia="Times New Roman" w:hAnsi="Arial Bold" w:cs="Tahoma"/>
      <w:bCs w:val="0"/>
      <w:color w:val="365F91"/>
      <w:sz w:val="36"/>
      <w:szCs w:val="36"/>
    </w:rPr>
  </w:style>
  <w:style w:type="character" w:customStyle="1" w:styleId="218Char">
    <w:name w:val="כותרת 2_18 Char"/>
    <w:link w:val="218"/>
    <w:rsid w:val="00635B2E"/>
    <w:rPr>
      <w:rFonts w:ascii="Arial Bold" w:eastAsia="Times New Roman" w:hAnsi="Arial Bold" w:cs="Tahoma"/>
      <w:color w:val="365F91"/>
      <w:sz w:val="36"/>
      <w:szCs w:val="36"/>
    </w:rPr>
  </w:style>
  <w:style w:type="character" w:customStyle="1" w:styleId="a2">
    <w:name w:val="פיסקת רשימה תו"/>
    <w:aliases w:val="LP1 תו,פיסקת bullets תו"/>
    <w:link w:val="ListParagraph"/>
    <w:uiPriority w:val="34"/>
    <w:rsid w:val="00DD7B55"/>
  </w:style>
  <w:style w:type="paragraph" w:customStyle="1" w:styleId="712">
    <w:name w:val="71ג הזחה ראשונה מספר"/>
    <w:basedOn w:val="ListParagraph"/>
    <w:qFormat/>
    <w:rsid w:val="007C76F8"/>
    <w:pPr>
      <w:numPr>
        <w:numId w:val="2"/>
      </w:numPr>
      <w:spacing w:after="180" w:line="260" w:lineRule="exact"/>
      <w:contextualSpacing w:val="0"/>
    </w:pPr>
    <w:rPr>
      <w:rFonts w:ascii="Tahoma" w:hAnsi="Tahoma" w:cs="Tahoma"/>
      <w:color w:val="0D0D0D" w:themeColor="text1" w:themeTint="F2"/>
      <w:sz w:val="18"/>
      <w:szCs w:val="18"/>
    </w:rPr>
  </w:style>
  <w:style w:type="paragraph" w:customStyle="1" w:styleId="713">
    <w:name w:val="71ג הזחה שנייה ריק"/>
    <w:basedOn w:val="BodyTextIndent"/>
    <w:link w:val="71Char"/>
    <w:qFormat/>
    <w:rsid w:val="0074714A"/>
    <w:pPr>
      <w:spacing w:after="180" w:line="260" w:lineRule="exact"/>
      <w:ind w:left="794"/>
    </w:pPr>
    <w:rPr>
      <w:color w:val="0D0D0D" w:themeColor="text1" w:themeTint="F2"/>
      <w:sz w:val="18"/>
      <w:szCs w:val="18"/>
    </w:rPr>
  </w:style>
  <w:style w:type="paragraph" w:customStyle="1" w:styleId="714">
    <w:name w:val="71ג הזחה שנייה אותיות"/>
    <w:basedOn w:val="ListParagraph"/>
    <w:qFormat/>
    <w:rsid w:val="00591F15"/>
    <w:pPr>
      <w:numPr>
        <w:ilvl w:val="1"/>
        <w:numId w:val="1"/>
      </w:numPr>
      <w:spacing w:after="180" w:line="260" w:lineRule="exact"/>
    </w:pPr>
    <w:rPr>
      <w:rFonts w:ascii="Tahoma" w:hAnsi="Tahoma" w:cs="Tahoma"/>
      <w:color w:val="0D0D0D" w:themeColor="text1" w:themeTint="F2"/>
      <w:sz w:val="18"/>
      <w:szCs w:val="18"/>
    </w:rPr>
  </w:style>
  <w:style w:type="paragraph" w:customStyle="1" w:styleId="715">
    <w:name w:val="71ג מקרא+הערות לתרשים/לוח/תמונה"/>
    <w:basedOn w:val="710"/>
    <w:link w:val="71Char3"/>
    <w:qFormat/>
    <w:rsid w:val="00DA6949"/>
    <w:pPr>
      <w:spacing w:before="120" w:after="240" w:line="240" w:lineRule="exact"/>
    </w:pPr>
    <w:rPr>
      <w:sz w:val="16"/>
      <w:szCs w:val="16"/>
    </w:rPr>
  </w:style>
  <w:style w:type="paragraph" w:customStyle="1" w:styleId="716">
    <w:name w:val="71ג קוביה כחולה הזחה שנייה"/>
    <w:basedOn w:val="RESHET"/>
    <w:qFormat/>
    <w:rsid w:val="001F0BBB"/>
    <w:pPr>
      <w:keepLines/>
      <w:pBdr>
        <w:top w:val="single" w:sz="18" w:space="4" w:color="EDF1FA"/>
        <w:left w:val="single" w:sz="18" w:space="11" w:color="EDF1FA"/>
        <w:bottom w:val="single" w:sz="18" w:space="6" w:color="EDF1FA"/>
        <w:right w:val="single" w:sz="18" w:space="11" w:color="EDF1FA"/>
      </w:pBdr>
      <w:shd w:val="solid" w:color="EDF1FA" w:fill="auto"/>
      <w:tabs>
        <w:tab w:val="left" w:pos="624"/>
      </w:tabs>
      <w:spacing w:after="180" w:line="260" w:lineRule="exact"/>
      <w:ind w:left="1077" w:right="284"/>
    </w:pPr>
    <w:rPr>
      <w:rFonts w:ascii="Tahoma" w:hAnsi="Tahoma" w:cs="Tahoma"/>
      <w:b w:val="0"/>
      <w:bCs w:val="0"/>
      <w:color w:val="0D0D0D" w:themeColor="text1" w:themeTint="F2"/>
      <w:sz w:val="18"/>
      <w:szCs w:val="18"/>
    </w:rPr>
  </w:style>
  <w:style w:type="paragraph" w:customStyle="1" w:styleId="717">
    <w:name w:val="71ג קוביה כחולה בתוך הזחה ראשונה"/>
    <w:basedOn w:val="716"/>
    <w:qFormat/>
    <w:rsid w:val="00001C6B"/>
    <w:pPr>
      <w:ind w:left="680"/>
    </w:pPr>
  </w:style>
  <w:style w:type="paragraph" w:customStyle="1" w:styleId="7179">
    <w:name w:val="71ג כותרת 7_9"/>
    <w:qFormat/>
    <w:rsid w:val="0064527F"/>
    <w:pPr>
      <w:spacing w:after="180" w:line="260" w:lineRule="atLeast"/>
      <w:ind w:left="397"/>
    </w:pPr>
    <w:rPr>
      <w:rFonts w:ascii="Tahoma" w:hAnsi="Tahoma" w:cs="Tahoma"/>
      <w:color w:val="0D0D0D" w:themeColor="text1" w:themeTint="F2"/>
      <w:sz w:val="18"/>
      <w:szCs w:val="18"/>
    </w:rPr>
  </w:style>
  <w:style w:type="paragraph" w:customStyle="1" w:styleId="718">
    <w:name w:val="71ג הזחה שנייה ללא מספר"/>
    <w:basedOn w:val="713"/>
    <w:link w:val="71Char0"/>
    <w:qFormat/>
    <w:rsid w:val="00543F8A"/>
  </w:style>
  <w:style w:type="character" w:customStyle="1" w:styleId="71Char">
    <w:name w:val="71ג הזחה שנייה ריק Char"/>
    <w:basedOn w:val="a"/>
    <w:link w:val="713"/>
    <w:rsid w:val="0074714A"/>
    <w:rPr>
      <w:rFonts w:ascii="Tahoma" w:hAnsi="Tahoma" w:cs="Tahoma"/>
      <w:color w:val="0D0D0D" w:themeColor="text1" w:themeTint="F2"/>
      <w:sz w:val="18"/>
      <w:szCs w:val="18"/>
    </w:rPr>
  </w:style>
  <w:style w:type="character" w:customStyle="1" w:styleId="71Char0">
    <w:name w:val="71ג הזחה שנייה ללא מספר Char"/>
    <w:basedOn w:val="71Char"/>
    <w:link w:val="718"/>
    <w:rsid w:val="00543F8A"/>
    <w:rPr>
      <w:rFonts w:ascii="Tahoma" w:hAnsi="Tahoma" w:cs="Tahoma"/>
      <w:color w:val="0D0D0D" w:themeColor="text1" w:themeTint="F2"/>
      <w:sz w:val="18"/>
      <w:szCs w:val="18"/>
    </w:rPr>
  </w:style>
  <w:style w:type="paragraph" w:customStyle="1" w:styleId="719">
    <w:name w:val="71ג מספור הערות שוליים"/>
    <w:basedOn w:val="710"/>
    <w:qFormat/>
    <w:rsid w:val="003B639B"/>
  </w:style>
  <w:style w:type="paragraph" w:customStyle="1" w:styleId="71R">
    <w:name w:val="71ג טבלה טקסט R"/>
    <w:basedOn w:val="Normal"/>
    <w:qFormat/>
    <w:rsid w:val="0068250F"/>
    <w:pPr>
      <w:spacing w:before="120" w:after="120" w:line="240" w:lineRule="exact"/>
      <w:jc w:val="left"/>
    </w:pPr>
    <w:rPr>
      <w:rFonts w:ascii="Tahoma" w:hAnsi="Tahoma" w:eastAsiaTheme="minorEastAsia" w:cs="Tahoma"/>
      <w:sz w:val="16"/>
      <w:szCs w:val="16"/>
    </w:rPr>
  </w:style>
  <w:style w:type="paragraph" w:customStyle="1" w:styleId="71B">
    <w:name w:val="71ג טבלה טקסט B"/>
    <w:basedOn w:val="Normal"/>
    <w:qFormat/>
    <w:rsid w:val="0068250F"/>
    <w:pPr>
      <w:spacing w:before="120" w:after="120" w:line="240" w:lineRule="exact"/>
      <w:jc w:val="left"/>
    </w:pPr>
    <w:rPr>
      <w:rFonts w:ascii="Tahoma" w:hAnsi="Tahoma" w:eastAsiaTheme="minorEastAsia" w:cs="Tahoma"/>
      <w:b/>
      <w:bCs/>
      <w:sz w:val="16"/>
      <w:szCs w:val="16"/>
    </w:rPr>
  </w:style>
  <w:style w:type="paragraph" w:customStyle="1" w:styleId="71HEADER">
    <w:name w:val="71ג טבלה HEADER"/>
    <w:basedOn w:val="Normal"/>
    <w:qFormat/>
    <w:rsid w:val="00E37BEF"/>
    <w:pPr>
      <w:spacing w:before="60" w:after="60" w:line="180" w:lineRule="exact"/>
      <w:jc w:val="left"/>
    </w:pPr>
    <w:rPr>
      <w:rFonts w:ascii="Tahoma" w:hAnsi="Tahoma" w:eastAsiaTheme="minorEastAsia" w:cs="Tahoma"/>
      <w:b/>
      <w:color w:val="0D0D0D" w:themeColor="text1" w:themeTint="F2"/>
      <w:sz w:val="16"/>
      <w:szCs w:val="16"/>
    </w:rPr>
  </w:style>
  <w:style w:type="paragraph" w:customStyle="1" w:styleId="Style1">
    <w:name w:val="Style1"/>
    <w:basedOn w:val="714"/>
    <w:qFormat/>
    <w:rsid w:val="00085B99"/>
  </w:style>
  <w:style w:type="paragraph" w:customStyle="1" w:styleId="a3">
    <w:name w:val="כניסה שלישית"/>
    <w:basedOn w:val="ListParagraph"/>
    <w:qFormat/>
    <w:rsid w:val="008E5512"/>
    <w:pPr>
      <w:numPr>
        <w:ilvl w:val="2"/>
        <w:numId w:val="2"/>
      </w:numPr>
      <w:spacing w:after="120"/>
    </w:pPr>
    <w:rPr>
      <w:rFonts w:ascii="Tahoma" w:hAnsi="Tahoma" w:cs="Tahoma"/>
      <w:szCs w:val="20"/>
    </w:rPr>
  </w:style>
  <w:style w:type="paragraph" w:customStyle="1" w:styleId="7110">
    <w:name w:val="71ג הזחה שלישית"/>
    <w:basedOn w:val="718"/>
    <w:qFormat/>
    <w:rsid w:val="00591F15"/>
    <w:pPr>
      <w:ind w:left="1191"/>
    </w:pPr>
  </w:style>
  <w:style w:type="paragraph" w:customStyle="1" w:styleId="7111">
    <w:name w:val="71ג קוביה כחולה הזחה שלישית"/>
    <w:basedOn w:val="716"/>
    <w:qFormat/>
    <w:rsid w:val="00976B93"/>
    <w:pPr>
      <w:ind w:left="1474"/>
    </w:pPr>
  </w:style>
  <w:style w:type="paragraph" w:customStyle="1" w:styleId="15">
    <w:name w:val="קוביה הזחה 1"/>
    <w:basedOn w:val="716"/>
    <w:qFormat/>
    <w:rsid w:val="005C2859"/>
    <w:pPr>
      <w:ind w:left="680"/>
    </w:pPr>
  </w:style>
  <w:style w:type="paragraph" w:customStyle="1" w:styleId="7112">
    <w:name w:val="71ג הזחה ראשונה ללא מספר"/>
    <w:basedOn w:val="718"/>
    <w:qFormat/>
    <w:rsid w:val="00151B16"/>
    <w:pPr>
      <w:ind w:left="397"/>
    </w:pPr>
  </w:style>
  <w:style w:type="paragraph" w:customStyle="1" w:styleId="7113">
    <w:name w:val="71ג קוביה רצה"/>
    <w:basedOn w:val="717"/>
    <w:qFormat/>
    <w:rsid w:val="00A70642"/>
    <w:pPr>
      <w:ind w:left="284" w:right="227"/>
    </w:pPr>
  </w:style>
  <w:style w:type="paragraph" w:customStyle="1" w:styleId="71414">
    <w:name w:val="71ג כותרת 4_14"/>
    <w:basedOn w:val="Heading4"/>
    <w:qFormat/>
    <w:rsid w:val="00F115D6"/>
    <w:pPr>
      <w:spacing w:after="180" w:line="240" w:lineRule="atLeast"/>
      <w:jc w:val="left"/>
    </w:pPr>
    <w:rPr>
      <w:rFonts w:ascii="Tahoma" w:hAnsi="Tahoma" w:cs="Tahoma"/>
      <w:b/>
      <w:color w:val="00305F"/>
      <w:sz w:val="28"/>
      <w:szCs w:val="28"/>
    </w:rPr>
  </w:style>
  <w:style w:type="paragraph" w:customStyle="1" w:styleId="7114">
    <w:name w:val="71ג הזחה בתוך קוביה"/>
    <w:basedOn w:val="7113"/>
    <w:qFormat/>
    <w:rsid w:val="009D0EE8"/>
    <w:pPr>
      <w:numPr>
        <w:ilvl w:val="1"/>
        <w:numId w:val="3"/>
      </w:numPr>
      <w:ind w:left="624" w:hanging="284"/>
    </w:pPr>
  </w:style>
  <w:style w:type="paragraph" w:customStyle="1" w:styleId="71512">
    <w:name w:val="71 גכותרת 5_12"/>
    <w:basedOn w:val="100"/>
    <w:qFormat/>
    <w:rsid w:val="00F115D6"/>
    <w:pPr>
      <w:spacing w:before="240" w:after="180" w:line="240" w:lineRule="atLeast"/>
      <w:jc w:val="left"/>
    </w:pPr>
    <w:rPr>
      <w:b/>
      <w:bCs/>
      <w:color w:val="00305F"/>
      <w:sz w:val="24"/>
      <w:szCs w:val="24"/>
    </w:rPr>
  </w:style>
  <w:style w:type="paragraph" w:customStyle="1" w:styleId="7115">
    <w:name w:val="71ג מספרים בתוך קוביה"/>
    <w:basedOn w:val="7114"/>
    <w:rsid w:val="00E12FBA"/>
  </w:style>
  <w:style w:type="paragraph" w:customStyle="1" w:styleId="7116">
    <w:name w:val="71ג אותיות בתוך קוביה 1"/>
    <w:basedOn w:val="7115"/>
    <w:qFormat/>
    <w:rsid w:val="00B30FEF"/>
    <w:pPr>
      <w:numPr>
        <w:numId w:val="2"/>
      </w:numPr>
    </w:pPr>
  </w:style>
  <w:style w:type="numbering" w:customStyle="1" w:styleId="-">
    <w:name w:val="משרד האוצר - מדורג"/>
    <w:uiPriority w:val="99"/>
    <w:rsid w:val="006D5CCE"/>
    <w:pPr>
      <w:numPr>
        <w:numId w:val="4"/>
      </w:numPr>
    </w:pPr>
  </w:style>
  <w:style w:type="paragraph" w:customStyle="1" w:styleId="gmail-msolistparagraph">
    <w:name w:val="gmail-msolistparagraph"/>
    <w:basedOn w:val="Normal"/>
    <w:uiPriority w:val="99"/>
    <w:rsid w:val="006D5CCE"/>
    <w:pPr>
      <w:bidi w:val="0"/>
      <w:spacing w:before="100" w:beforeAutospacing="1" w:after="100" w:afterAutospacing="1" w:line="240" w:lineRule="auto"/>
      <w:jc w:val="left"/>
    </w:pPr>
    <w:rPr>
      <w:rFonts w:cs="Times New Roman"/>
      <w:sz w:val="24"/>
    </w:rPr>
  </w:style>
  <w:style w:type="paragraph" w:styleId="PlainText">
    <w:name w:val="Plain Text"/>
    <w:basedOn w:val="Normal"/>
    <w:link w:val="a4"/>
    <w:uiPriority w:val="99"/>
    <w:unhideWhenUsed/>
    <w:rsid w:val="006D5CCE"/>
    <w:pPr>
      <w:spacing w:line="240" w:lineRule="auto"/>
      <w:jc w:val="left"/>
    </w:pPr>
    <w:rPr>
      <w:rFonts w:ascii="Calibri" w:hAnsi="Calibri" w:cstheme="minorBidi"/>
      <w:sz w:val="22"/>
      <w:szCs w:val="21"/>
    </w:rPr>
  </w:style>
  <w:style w:type="character" w:customStyle="1" w:styleId="a4">
    <w:name w:val="טקסט רגיל תו"/>
    <w:basedOn w:val="DefaultParagraphFont"/>
    <w:link w:val="PlainText"/>
    <w:uiPriority w:val="99"/>
    <w:rsid w:val="006D5CCE"/>
    <w:rPr>
      <w:rFonts w:ascii="Calibri" w:hAnsi="Calibri" w:cstheme="minorBidi"/>
      <w:sz w:val="22"/>
      <w:szCs w:val="21"/>
    </w:rPr>
  </w:style>
  <w:style w:type="table" w:customStyle="1" w:styleId="26">
    <w:name w:val="רשת טבלה2"/>
    <w:basedOn w:val="TableNormal"/>
    <w:next w:val="TableGrid"/>
    <w:uiPriority w:val="59"/>
    <w:rsid w:val="006D5CCE"/>
    <w:pPr>
      <w:spacing w:after="0" w:line="240" w:lineRule="auto"/>
      <w:jc w:val="left"/>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a5"/>
    <w:uiPriority w:val="99"/>
    <w:semiHidden/>
    <w:unhideWhenUsed/>
    <w:rsid w:val="006D5CCE"/>
    <w:pPr>
      <w:spacing w:line="240" w:lineRule="auto"/>
    </w:pPr>
    <w:rPr>
      <w:szCs w:val="20"/>
    </w:rPr>
  </w:style>
  <w:style w:type="character" w:customStyle="1" w:styleId="a5">
    <w:name w:val="טקסט הערת סיום תו"/>
    <w:basedOn w:val="DefaultParagraphFont"/>
    <w:link w:val="EndnoteText"/>
    <w:uiPriority w:val="99"/>
    <w:semiHidden/>
    <w:rsid w:val="006D5CCE"/>
    <w:rPr>
      <w:szCs w:val="20"/>
    </w:rPr>
  </w:style>
  <w:style w:type="character" w:styleId="EndnoteReference">
    <w:name w:val="endnote reference"/>
    <w:basedOn w:val="DefaultParagraphFont"/>
    <w:uiPriority w:val="99"/>
    <w:semiHidden/>
    <w:unhideWhenUsed/>
    <w:rsid w:val="006D5CCE"/>
    <w:rPr>
      <w:vertAlign w:val="superscript"/>
    </w:rPr>
  </w:style>
  <w:style w:type="paragraph" w:customStyle="1" w:styleId="110">
    <w:name w:val="כותרת 11"/>
    <w:basedOn w:val="Normal"/>
    <w:next w:val="Normal"/>
    <w:link w:val="17"/>
    <w:uiPriority w:val="1"/>
    <w:qFormat/>
    <w:rsid w:val="002516DF"/>
    <w:pPr>
      <w:keepNext/>
      <w:keepLines/>
      <w:jc w:val="center"/>
      <w:outlineLvl w:val="0"/>
    </w:pPr>
    <w:rPr>
      <w:rFonts w:eastAsia="Times New Roman"/>
      <w:bCs/>
      <w:szCs w:val="36"/>
      <w:u w:val="single"/>
    </w:rPr>
  </w:style>
  <w:style w:type="paragraph" w:customStyle="1" w:styleId="210">
    <w:name w:val="כותרת 21"/>
    <w:basedOn w:val="Normal"/>
    <w:next w:val="Normal"/>
    <w:link w:val="27"/>
    <w:uiPriority w:val="1"/>
    <w:qFormat/>
    <w:rsid w:val="002516DF"/>
    <w:pPr>
      <w:keepNext/>
      <w:keepLines/>
      <w:spacing w:before="480"/>
      <w:jc w:val="center"/>
      <w:outlineLvl w:val="1"/>
    </w:pPr>
    <w:rPr>
      <w:rFonts w:eastAsia="Times New Roman"/>
      <w:bCs/>
      <w:szCs w:val="32"/>
    </w:rPr>
  </w:style>
  <w:style w:type="paragraph" w:customStyle="1" w:styleId="31">
    <w:name w:val="כותרת 31"/>
    <w:basedOn w:val="Normal"/>
    <w:next w:val="Normal"/>
    <w:link w:val="30"/>
    <w:uiPriority w:val="1"/>
    <w:qFormat/>
    <w:rsid w:val="002516DF"/>
    <w:pPr>
      <w:keepNext/>
      <w:keepLines/>
      <w:spacing w:before="120"/>
      <w:outlineLvl w:val="2"/>
    </w:pPr>
    <w:rPr>
      <w:rFonts w:eastAsia="Times New Roman"/>
      <w:bCs/>
      <w:szCs w:val="28"/>
      <w:u w:val="single"/>
    </w:rPr>
  </w:style>
  <w:style w:type="paragraph" w:customStyle="1" w:styleId="410">
    <w:name w:val="כותרת 41"/>
    <w:basedOn w:val="Normal"/>
    <w:next w:val="Normal"/>
    <w:link w:val="4"/>
    <w:uiPriority w:val="1"/>
    <w:qFormat/>
    <w:rsid w:val="002516DF"/>
    <w:pPr>
      <w:keepNext/>
      <w:keepLines/>
      <w:spacing w:before="120"/>
      <w:outlineLvl w:val="3"/>
    </w:pPr>
    <w:rPr>
      <w:rFonts w:eastAsia="Times New Roman"/>
      <w:bCs/>
      <w:szCs w:val="26"/>
    </w:rPr>
  </w:style>
  <w:style w:type="paragraph" w:customStyle="1" w:styleId="510">
    <w:name w:val="כותרת 51"/>
    <w:basedOn w:val="Normal"/>
    <w:next w:val="Normal"/>
    <w:link w:val="5"/>
    <w:uiPriority w:val="1"/>
    <w:qFormat/>
    <w:rsid w:val="002516DF"/>
    <w:pPr>
      <w:keepNext/>
      <w:keepLines/>
      <w:outlineLvl w:val="4"/>
    </w:pPr>
    <w:rPr>
      <w:rFonts w:eastAsia="Times New Roman"/>
      <w:bCs/>
      <w:spacing w:val="40"/>
    </w:rPr>
  </w:style>
  <w:style w:type="paragraph" w:customStyle="1" w:styleId="610">
    <w:name w:val="כותרת 61"/>
    <w:basedOn w:val="Normal"/>
    <w:next w:val="Normal"/>
    <w:link w:val="6"/>
    <w:uiPriority w:val="1"/>
    <w:qFormat/>
    <w:rsid w:val="002516DF"/>
    <w:pPr>
      <w:keepNext/>
      <w:keepLines/>
      <w:outlineLvl w:val="5"/>
    </w:pPr>
    <w:rPr>
      <w:rFonts w:eastAsia="Times New Roman"/>
      <w:spacing w:val="40"/>
    </w:rPr>
  </w:style>
  <w:style w:type="paragraph" w:customStyle="1" w:styleId="7117">
    <w:name w:val="כותרת 71"/>
    <w:basedOn w:val="Normal"/>
    <w:next w:val="Normal"/>
    <w:link w:val="7"/>
    <w:uiPriority w:val="1"/>
    <w:qFormat/>
    <w:rsid w:val="002516DF"/>
    <w:pPr>
      <w:keepNext/>
      <w:keepLines/>
      <w:outlineLvl w:val="6"/>
    </w:pPr>
    <w:rPr>
      <w:rFonts w:eastAsia="Times New Roman"/>
      <w:bCs/>
      <w:spacing w:val="40"/>
    </w:rPr>
  </w:style>
  <w:style w:type="paragraph" w:customStyle="1" w:styleId="810">
    <w:name w:val="כותרת 81"/>
    <w:basedOn w:val="Normal"/>
    <w:next w:val="Normal"/>
    <w:link w:val="8"/>
    <w:uiPriority w:val="1"/>
    <w:qFormat/>
    <w:rsid w:val="002516DF"/>
    <w:pPr>
      <w:keepNext/>
      <w:keepLines/>
      <w:outlineLvl w:val="7"/>
    </w:pPr>
    <w:rPr>
      <w:rFonts w:eastAsia="Times New Roman"/>
      <w:spacing w:val="40"/>
    </w:rPr>
  </w:style>
  <w:style w:type="numbering" w:customStyle="1" w:styleId="16">
    <w:name w:val="ללא רשימה1"/>
    <w:uiPriority w:val="99"/>
    <w:semiHidden/>
    <w:unhideWhenUsed/>
    <w:rsid w:val="002516DF"/>
  </w:style>
  <w:style w:type="character" w:customStyle="1" w:styleId="17">
    <w:name w:val="כותרת 1 תו"/>
    <w:link w:val="110"/>
    <w:uiPriority w:val="1"/>
    <w:rsid w:val="002516DF"/>
    <w:rPr>
      <w:rFonts w:eastAsia="Times New Roman"/>
      <w:bCs/>
      <w:szCs w:val="36"/>
      <w:u w:val="single"/>
    </w:rPr>
  </w:style>
  <w:style w:type="character" w:customStyle="1" w:styleId="27">
    <w:name w:val="כותרת 2 תו"/>
    <w:link w:val="210"/>
    <w:uiPriority w:val="1"/>
    <w:rsid w:val="002516DF"/>
    <w:rPr>
      <w:rFonts w:eastAsia="Times New Roman"/>
      <w:bCs/>
      <w:szCs w:val="32"/>
    </w:rPr>
  </w:style>
  <w:style w:type="character" w:customStyle="1" w:styleId="30">
    <w:name w:val="כותרת 3 תו"/>
    <w:link w:val="31"/>
    <w:uiPriority w:val="1"/>
    <w:rsid w:val="002516DF"/>
    <w:rPr>
      <w:rFonts w:eastAsia="Times New Roman"/>
      <w:bCs/>
      <w:szCs w:val="28"/>
      <w:u w:val="single"/>
    </w:rPr>
  </w:style>
  <w:style w:type="character" w:customStyle="1" w:styleId="4">
    <w:name w:val="כותרת 4 תו"/>
    <w:link w:val="410"/>
    <w:uiPriority w:val="1"/>
    <w:rsid w:val="002516DF"/>
    <w:rPr>
      <w:rFonts w:eastAsia="Times New Roman"/>
      <w:bCs/>
      <w:szCs w:val="26"/>
    </w:rPr>
  </w:style>
  <w:style w:type="character" w:customStyle="1" w:styleId="5">
    <w:name w:val="כותרת 5 תו"/>
    <w:link w:val="510"/>
    <w:uiPriority w:val="1"/>
    <w:rsid w:val="002516DF"/>
    <w:rPr>
      <w:rFonts w:eastAsia="Times New Roman"/>
      <w:bCs/>
      <w:spacing w:val="40"/>
    </w:rPr>
  </w:style>
  <w:style w:type="character" w:customStyle="1" w:styleId="6">
    <w:name w:val="כותרת 6 תו"/>
    <w:link w:val="610"/>
    <w:uiPriority w:val="1"/>
    <w:rsid w:val="002516DF"/>
    <w:rPr>
      <w:rFonts w:eastAsia="Times New Roman"/>
      <w:spacing w:val="40"/>
    </w:rPr>
  </w:style>
  <w:style w:type="character" w:customStyle="1" w:styleId="7">
    <w:name w:val="כותרת 7 תו"/>
    <w:link w:val="7117"/>
    <w:uiPriority w:val="1"/>
    <w:rsid w:val="002516DF"/>
    <w:rPr>
      <w:rFonts w:eastAsia="Times New Roman"/>
      <w:bCs/>
      <w:spacing w:val="40"/>
    </w:rPr>
  </w:style>
  <w:style w:type="character" w:customStyle="1" w:styleId="8">
    <w:name w:val="כותרת 8 תו"/>
    <w:link w:val="810"/>
    <w:uiPriority w:val="1"/>
    <w:rsid w:val="002516DF"/>
    <w:rPr>
      <w:rFonts w:eastAsia="Times New Roman"/>
      <w:spacing w:val="40"/>
    </w:rPr>
  </w:style>
  <w:style w:type="paragraph" w:customStyle="1" w:styleId="18">
    <w:name w:val="כותרת עליונה1"/>
    <w:basedOn w:val="Normal"/>
    <w:link w:val="a6"/>
    <w:uiPriority w:val="99"/>
    <w:unhideWhenUsed/>
    <w:rsid w:val="002516DF"/>
    <w:pPr>
      <w:tabs>
        <w:tab w:val="center" w:pos="4153"/>
        <w:tab w:val="right" w:pos="8306"/>
      </w:tabs>
      <w:spacing w:line="240" w:lineRule="auto"/>
    </w:pPr>
    <w:rPr>
      <w:rFonts w:eastAsia="Calibri"/>
    </w:rPr>
  </w:style>
  <w:style w:type="character" w:customStyle="1" w:styleId="a6">
    <w:name w:val="כותרת עליונה תו"/>
    <w:basedOn w:val="DefaultParagraphFont"/>
    <w:link w:val="18"/>
    <w:uiPriority w:val="99"/>
    <w:rsid w:val="002516DF"/>
    <w:rPr>
      <w:rFonts w:eastAsia="Calibri"/>
    </w:rPr>
  </w:style>
  <w:style w:type="paragraph" w:customStyle="1" w:styleId="19">
    <w:name w:val="כותרת תחתונה1"/>
    <w:basedOn w:val="Normal"/>
    <w:link w:val="a7"/>
    <w:uiPriority w:val="99"/>
    <w:unhideWhenUsed/>
    <w:rsid w:val="002516DF"/>
    <w:pPr>
      <w:tabs>
        <w:tab w:val="center" w:pos="4153"/>
        <w:tab w:val="right" w:pos="8306"/>
      </w:tabs>
      <w:spacing w:line="240" w:lineRule="auto"/>
    </w:pPr>
    <w:rPr>
      <w:rFonts w:eastAsia="Calibri"/>
    </w:rPr>
  </w:style>
  <w:style w:type="character" w:customStyle="1" w:styleId="a7">
    <w:name w:val="כותרת תחתונה תו"/>
    <w:basedOn w:val="DefaultParagraphFont"/>
    <w:link w:val="19"/>
    <w:uiPriority w:val="99"/>
    <w:rsid w:val="002516DF"/>
    <w:rPr>
      <w:rFonts w:eastAsia="Calibri"/>
    </w:rPr>
  </w:style>
  <w:style w:type="paragraph" w:customStyle="1" w:styleId="111">
    <w:name w:val="תאריך1"/>
    <w:basedOn w:val="Normal"/>
    <w:next w:val="Normal"/>
    <w:link w:val="a8"/>
    <w:uiPriority w:val="99"/>
    <w:unhideWhenUsed/>
    <w:rsid w:val="002516DF"/>
    <w:pPr>
      <w:spacing w:before="120" w:line="240" w:lineRule="auto"/>
    </w:pPr>
    <w:rPr>
      <w:rFonts w:eastAsia="Calibri"/>
    </w:rPr>
  </w:style>
  <w:style w:type="character" w:customStyle="1" w:styleId="a8">
    <w:name w:val="תאריך תו"/>
    <w:basedOn w:val="DefaultParagraphFont"/>
    <w:link w:val="111"/>
    <w:uiPriority w:val="99"/>
    <w:rsid w:val="002516DF"/>
    <w:rPr>
      <w:rFonts w:eastAsia="Calibri"/>
    </w:rPr>
  </w:style>
  <w:style w:type="character" w:customStyle="1" w:styleId="a9">
    <w:name w:val="טקסט הערת שוליים תו"/>
    <w:aliases w:val=" Char תו,Char תו,FOOTNOTES תו,Footnote Text - Sharp Char Char תו,Footnote Text - Sharp Char תו,Footnote Text - Sharp תו,Footnote Text Char Char Char Char Char תו,Footnote Text תו,Footnote reference תו,Sharp - Footnote Text תו,fn תו"/>
    <w:uiPriority w:val="99"/>
    <w:rsid w:val="002516DF"/>
    <w:rPr>
      <w:szCs w:val="20"/>
    </w:rPr>
  </w:style>
  <w:style w:type="character" w:customStyle="1" w:styleId="112">
    <w:name w:val="הפניה להערת שוליים1"/>
    <w:semiHidden/>
    <w:unhideWhenUsed/>
    <w:rsid w:val="002516DF"/>
    <w:rPr>
      <w:vertAlign w:val="superscript"/>
    </w:rPr>
  </w:style>
  <w:style w:type="paragraph" w:customStyle="1" w:styleId="113">
    <w:name w:val="פיסקת רשימה1"/>
    <w:basedOn w:val="Normal"/>
    <w:uiPriority w:val="34"/>
    <w:qFormat/>
    <w:rsid w:val="002516DF"/>
    <w:pPr>
      <w:ind w:left="720"/>
      <w:contextualSpacing/>
    </w:pPr>
    <w:rPr>
      <w:rFonts w:eastAsia="Calibri"/>
    </w:rPr>
  </w:style>
  <w:style w:type="paragraph" w:customStyle="1" w:styleId="PATIAH">
    <w:name w:val="PATIAH"/>
    <w:basedOn w:val="Normal"/>
    <w:rsid w:val="002516DF"/>
    <w:pPr>
      <w:spacing w:after="120" w:line="260" w:lineRule="exact"/>
    </w:pPr>
    <w:rPr>
      <w:rFonts w:eastAsia="Times New Roman"/>
      <w:lang w:eastAsia="he-IL"/>
    </w:rPr>
  </w:style>
  <w:style w:type="paragraph" w:customStyle="1" w:styleId="a10">
    <w:name w:val="סגנון רגיל +"/>
    <w:basedOn w:val="Normal"/>
    <w:rsid w:val="002516DF"/>
    <w:pPr>
      <w:overflowPunct w:val="0"/>
      <w:autoSpaceDE w:val="0"/>
      <w:autoSpaceDN w:val="0"/>
      <w:adjustRightInd w:val="0"/>
      <w:spacing w:line="240" w:lineRule="auto"/>
      <w:jc w:val="left"/>
      <w:textAlignment w:val="baseline"/>
    </w:pPr>
    <w:rPr>
      <w:rFonts w:ascii="Arial" w:eastAsia="Times New Roman" w:hAnsi="Arial" w:cs="Arial"/>
      <w:sz w:val="22"/>
      <w:szCs w:val="22"/>
      <w:lang w:eastAsia="he-IL"/>
    </w:rPr>
  </w:style>
  <w:style w:type="paragraph" w:customStyle="1" w:styleId="114">
    <w:name w:val="טקסט בלונים1"/>
    <w:basedOn w:val="Normal"/>
    <w:link w:val="a11"/>
    <w:uiPriority w:val="99"/>
    <w:semiHidden/>
    <w:unhideWhenUsed/>
    <w:rsid w:val="002516DF"/>
    <w:pPr>
      <w:spacing w:line="240" w:lineRule="auto"/>
    </w:pPr>
    <w:rPr>
      <w:rFonts w:ascii="Tahoma" w:eastAsia="Calibri" w:hAnsi="Tahoma" w:cs="Tahoma"/>
      <w:sz w:val="18"/>
      <w:szCs w:val="18"/>
    </w:rPr>
  </w:style>
  <w:style w:type="character" w:customStyle="1" w:styleId="a11">
    <w:name w:val="טקסט בלונים תו"/>
    <w:link w:val="114"/>
    <w:uiPriority w:val="99"/>
    <w:semiHidden/>
    <w:rsid w:val="002516DF"/>
    <w:rPr>
      <w:rFonts w:ascii="Tahoma" w:eastAsia="Calibri" w:hAnsi="Tahoma" w:cs="Tahoma"/>
      <w:sz w:val="18"/>
      <w:szCs w:val="18"/>
    </w:rPr>
  </w:style>
  <w:style w:type="paragraph" w:customStyle="1" w:styleId="115">
    <w:name w:val="גוף טקסט1"/>
    <w:basedOn w:val="Normal"/>
    <w:link w:val="116"/>
    <w:uiPriority w:val="99"/>
    <w:rsid w:val="002516DF"/>
    <w:pPr>
      <w:spacing w:before="180" w:after="120" w:line="230" w:lineRule="exact"/>
    </w:pPr>
    <w:rPr>
      <w:rFonts w:eastAsia="Times New Roman" w:cs="FrankRuehl"/>
      <w:sz w:val="22"/>
      <w:szCs w:val="22"/>
    </w:rPr>
  </w:style>
  <w:style w:type="character" w:customStyle="1" w:styleId="a12">
    <w:name w:val="גוף טקסט תו"/>
    <w:basedOn w:val="DefaultParagraphFont"/>
    <w:uiPriority w:val="99"/>
    <w:semiHidden/>
    <w:rsid w:val="002516DF"/>
  </w:style>
  <w:style w:type="character" w:customStyle="1" w:styleId="116">
    <w:name w:val="גוף טקסט תו1"/>
    <w:link w:val="115"/>
    <w:uiPriority w:val="99"/>
    <w:rsid w:val="002516DF"/>
    <w:rPr>
      <w:rFonts w:eastAsia="Times New Roman" w:cs="FrankRuehl"/>
      <w:sz w:val="22"/>
      <w:szCs w:val="22"/>
    </w:rPr>
  </w:style>
  <w:style w:type="character" w:customStyle="1" w:styleId="117">
    <w:name w:val="כותרת תחתונה תו1"/>
    <w:uiPriority w:val="99"/>
    <w:rsid w:val="002516DF"/>
    <w:rPr>
      <w:rFonts w:cs="David"/>
      <w:sz w:val="24"/>
      <w:szCs w:val="24"/>
    </w:rPr>
  </w:style>
  <w:style w:type="character" w:customStyle="1" w:styleId="118">
    <w:name w:val="טקסט הערת שוליים תו1"/>
    <w:aliases w:val="Sharp - Footnote Text1 Char תו"/>
    <w:locked/>
    <w:rsid w:val="002516DF"/>
    <w:rPr>
      <w:rFonts w:cs="David"/>
      <w:sz w:val="20"/>
      <w:szCs w:val="20"/>
      <w:lang w:bidi="he-IL"/>
    </w:rPr>
  </w:style>
  <w:style w:type="paragraph" w:customStyle="1" w:styleId="takzir">
    <w:name w:val="takzir"/>
    <w:basedOn w:val="Normal"/>
    <w:rsid w:val="002516DF"/>
    <w:pPr>
      <w:spacing w:after="120" w:line="240" w:lineRule="exact"/>
    </w:pPr>
    <w:rPr>
      <w:rFonts w:eastAsia="Times New Roman"/>
      <w:b/>
      <w:bCs/>
      <w:noProof/>
      <w:sz w:val="22"/>
      <w:szCs w:val="22"/>
      <w:lang w:eastAsia="he-IL"/>
    </w:rPr>
  </w:style>
  <w:style w:type="character" w:customStyle="1" w:styleId="9">
    <w:name w:val="כותרת 9 תו"/>
    <w:locked/>
    <w:rsid w:val="002516DF"/>
    <w:rPr>
      <w:rFonts w:ascii="Cambria" w:hAnsi="Cambria" w:cs="Times New Roman"/>
    </w:rPr>
  </w:style>
  <w:style w:type="paragraph" w:customStyle="1" w:styleId="BulletList2">
    <w:name w:val="Bullet List 2"/>
    <w:basedOn w:val="Normal"/>
    <w:link w:val="BulletList20"/>
    <w:rsid w:val="002516DF"/>
    <w:pPr>
      <w:numPr>
        <w:numId w:val="5"/>
      </w:numPr>
      <w:snapToGrid w:val="0"/>
      <w:spacing w:before="120" w:line="320" w:lineRule="exact"/>
    </w:pPr>
    <w:rPr>
      <w:rFonts w:eastAsia="Times New Roman"/>
      <w:sz w:val="22"/>
      <w:szCs w:val="28"/>
      <w:lang w:eastAsia="he-IL"/>
    </w:rPr>
  </w:style>
  <w:style w:type="paragraph" w:customStyle="1" w:styleId="Hn1">
    <w:name w:val="Hn1"/>
    <w:basedOn w:val="Normal"/>
    <w:next w:val="Normal"/>
    <w:rsid w:val="002516DF"/>
    <w:pPr>
      <w:keepNext/>
      <w:numPr>
        <w:numId w:val="6"/>
      </w:numPr>
      <w:snapToGrid w:val="0"/>
      <w:spacing w:before="240" w:after="120" w:line="320" w:lineRule="exact"/>
      <w:outlineLvl w:val="0"/>
    </w:pPr>
    <w:rPr>
      <w:rFonts w:eastAsia="Times New Roman"/>
      <w:b/>
      <w:bCs/>
      <w:kern w:val="32"/>
      <w:sz w:val="28"/>
      <w:szCs w:val="32"/>
      <w:lang w:val="pl-PL" w:eastAsia="he-IL"/>
    </w:rPr>
  </w:style>
  <w:style w:type="paragraph" w:customStyle="1" w:styleId="Hn2">
    <w:name w:val="Hn2"/>
    <w:basedOn w:val="Hn1"/>
    <w:next w:val="Normal"/>
    <w:rsid w:val="002516DF"/>
    <w:pPr>
      <w:numPr>
        <w:ilvl w:val="1"/>
      </w:numPr>
    </w:pPr>
    <w:rPr>
      <w:sz w:val="24"/>
      <w:szCs w:val="28"/>
    </w:rPr>
  </w:style>
  <w:style w:type="paragraph" w:customStyle="1" w:styleId="Hn5">
    <w:name w:val="Hn5"/>
    <w:basedOn w:val="Normal"/>
    <w:next w:val="Normal"/>
    <w:rsid w:val="002516DF"/>
    <w:pPr>
      <w:numPr>
        <w:ilvl w:val="4"/>
        <w:numId w:val="6"/>
      </w:numPr>
      <w:snapToGrid w:val="0"/>
      <w:spacing w:before="240" w:after="120" w:line="320" w:lineRule="exact"/>
      <w:outlineLvl w:val="4"/>
    </w:pPr>
    <w:rPr>
      <w:rFonts w:eastAsia="Times New Roman"/>
      <w:b/>
      <w:bCs/>
      <w:sz w:val="22"/>
      <w:szCs w:val="28"/>
      <w:lang w:eastAsia="he-IL"/>
    </w:rPr>
  </w:style>
  <w:style w:type="paragraph" w:customStyle="1" w:styleId="Hn3">
    <w:name w:val="Hn3"/>
    <w:basedOn w:val="Normal"/>
    <w:next w:val="Normal"/>
    <w:link w:val="Hn30"/>
    <w:rsid w:val="002516DF"/>
    <w:pPr>
      <w:numPr>
        <w:ilvl w:val="2"/>
        <w:numId w:val="6"/>
      </w:numPr>
      <w:snapToGrid w:val="0"/>
      <w:spacing w:before="240" w:after="120" w:line="320" w:lineRule="atLeast"/>
      <w:outlineLvl w:val="2"/>
    </w:pPr>
    <w:rPr>
      <w:rFonts w:eastAsia="Times New Roman"/>
      <w:b/>
      <w:bCs/>
      <w:sz w:val="24"/>
    </w:rPr>
  </w:style>
  <w:style w:type="paragraph" w:customStyle="1" w:styleId="Hn4">
    <w:name w:val="Hn4"/>
    <w:basedOn w:val="Normal"/>
    <w:next w:val="Normal"/>
    <w:rsid w:val="002516DF"/>
    <w:pPr>
      <w:numPr>
        <w:ilvl w:val="3"/>
        <w:numId w:val="6"/>
      </w:numPr>
      <w:snapToGrid w:val="0"/>
      <w:spacing w:before="240" w:after="120" w:line="320" w:lineRule="exact"/>
      <w:outlineLvl w:val="3"/>
    </w:pPr>
    <w:rPr>
      <w:rFonts w:eastAsia="Times New Roman"/>
      <w:b/>
      <w:bCs/>
      <w:sz w:val="22"/>
      <w:szCs w:val="28"/>
      <w:lang w:eastAsia="he-IL"/>
    </w:rPr>
  </w:style>
  <w:style w:type="character" w:customStyle="1" w:styleId="Hn30">
    <w:name w:val="Hn3 תו"/>
    <w:link w:val="Hn3"/>
    <w:rsid w:val="002516DF"/>
    <w:rPr>
      <w:rFonts w:eastAsia="Times New Roman"/>
      <w:b/>
      <w:bCs/>
      <w:sz w:val="24"/>
    </w:rPr>
  </w:style>
  <w:style w:type="character" w:customStyle="1" w:styleId="BulletList20">
    <w:name w:val="Bullet List 2 תו"/>
    <w:link w:val="BulletList2"/>
    <w:rsid w:val="002516DF"/>
    <w:rPr>
      <w:rFonts w:eastAsia="Times New Roman"/>
      <w:sz w:val="22"/>
      <w:szCs w:val="28"/>
      <w:lang w:eastAsia="he-IL"/>
    </w:rPr>
  </w:style>
  <w:style w:type="table" w:customStyle="1" w:styleId="5-11">
    <w:name w:val="טבלת רשת 5 כהה - הדגשה 11"/>
    <w:basedOn w:val="TableNormal"/>
    <w:uiPriority w:val="50"/>
    <w:rsid w:val="002516DF"/>
    <w:pPr>
      <w:spacing w:after="0" w:line="240" w:lineRule="auto"/>
      <w:jc w:val="left"/>
    </w:pPr>
    <w:rPr>
      <w:rFonts w:eastAsia="Calibri"/>
      <w:szCs w:val="20"/>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3-11">
    <w:name w:val="טבלת רשימה 3 - הדגשה 11"/>
    <w:basedOn w:val="TableNormal"/>
    <w:uiPriority w:val="48"/>
    <w:rsid w:val="002516DF"/>
    <w:pPr>
      <w:spacing w:after="0" w:line="240" w:lineRule="auto"/>
      <w:jc w:val="left"/>
    </w:pPr>
    <w:rPr>
      <w:rFonts w:eastAsia="Calibri"/>
      <w:szCs w:val="20"/>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b/>
        <w:bCs/>
        <w:color w:val="FFFFFF"/>
      </w:rPr>
      <w:tblPr/>
      <w:tcPr>
        <w:shd w:val="clear" w:color="auto" w:fill="4F81BD"/>
      </w:tcPr>
    </w:tblStylePr>
    <w:tblStylePr w:type="lastRow">
      <w:rPr>
        <w:b/>
        <w:bCs/>
      </w:rPr>
      <w:tblPr/>
      <w:tcPr>
        <w:tcBorders>
          <w:top w:val="double" w:sz="4" w:space="0" w:color="4F81B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F81BD"/>
          <w:right w:val="single" w:sz="4" w:space="0" w:color="4F81BD"/>
        </w:tcBorders>
      </w:tcPr>
    </w:tblStylePr>
    <w:tblStylePr w:type="band1Horz">
      <w:tblPr/>
      <w:tcPr>
        <w:tcBorders>
          <w:top w:val="single" w:sz="4" w:space="0" w:color="4F81BD"/>
          <w:bottom w:val="single" w:sz="4" w:space="0" w:color="4F81B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left w:val="nil"/>
        </w:tcBorders>
      </w:tcPr>
    </w:tblStylePr>
    <w:tblStylePr w:type="swCell">
      <w:tblPr/>
      <w:tcPr>
        <w:tcBorders>
          <w:top w:val="double" w:sz="4" w:space="0" w:color="4F81BD"/>
          <w:right w:val="nil"/>
        </w:tcBorders>
      </w:tcPr>
    </w:tblStylePr>
  </w:style>
  <w:style w:type="table" w:customStyle="1" w:styleId="310">
    <w:name w:val="טבלת רשימה 31"/>
    <w:basedOn w:val="TableNormal"/>
    <w:uiPriority w:val="48"/>
    <w:rsid w:val="002516DF"/>
    <w:pPr>
      <w:spacing w:after="0" w:line="240" w:lineRule="auto"/>
      <w:jc w:val="left"/>
    </w:pPr>
    <w:rPr>
      <w:rFonts w:eastAsia="Calibri"/>
      <w:szCs w:val="20"/>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119">
    <w:name w:val="רשת טבלה בהירה1"/>
    <w:basedOn w:val="TableNormal"/>
    <w:uiPriority w:val="40"/>
    <w:rsid w:val="002516DF"/>
    <w:pPr>
      <w:spacing w:after="0" w:line="240" w:lineRule="auto"/>
      <w:jc w:val="left"/>
    </w:pPr>
    <w:rPr>
      <w:rFonts w:eastAsia="Calibri"/>
      <w:szCs w:val="20"/>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120">
    <w:name w:val="הפניה להערה1"/>
    <w:uiPriority w:val="99"/>
    <w:semiHidden/>
    <w:unhideWhenUsed/>
    <w:rsid w:val="002516DF"/>
    <w:rPr>
      <w:sz w:val="16"/>
      <w:szCs w:val="16"/>
    </w:rPr>
  </w:style>
  <w:style w:type="paragraph" w:customStyle="1" w:styleId="122">
    <w:name w:val="טקסט הערה1"/>
    <w:basedOn w:val="Normal"/>
    <w:link w:val="a13"/>
    <w:uiPriority w:val="99"/>
    <w:unhideWhenUsed/>
    <w:rsid w:val="002516DF"/>
    <w:pPr>
      <w:spacing w:line="240" w:lineRule="auto"/>
    </w:pPr>
    <w:rPr>
      <w:rFonts w:eastAsia="Calibri"/>
      <w:szCs w:val="20"/>
    </w:rPr>
  </w:style>
  <w:style w:type="character" w:customStyle="1" w:styleId="a13">
    <w:name w:val="טקסט הערה תו"/>
    <w:link w:val="122"/>
    <w:uiPriority w:val="99"/>
    <w:rsid w:val="002516DF"/>
    <w:rPr>
      <w:rFonts w:eastAsia="Calibri"/>
      <w:szCs w:val="20"/>
    </w:rPr>
  </w:style>
  <w:style w:type="paragraph" w:customStyle="1" w:styleId="123">
    <w:name w:val="נושא הערה1"/>
    <w:basedOn w:val="122"/>
    <w:next w:val="122"/>
    <w:link w:val="a14"/>
    <w:uiPriority w:val="99"/>
    <w:semiHidden/>
    <w:unhideWhenUsed/>
    <w:rsid w:val="002516DF"/>
    <w:rPr>
      <w:b/>
      <w:bCs/>
    </w:rPr>
  </w:style>
  <w:style w:type="character" w:customStyle="1" w:styleId="a14">
    <w:name w:val="נושא הערה תו"/>
    <w:link w:val="123"/>
    <w:uiPriority w:val="99"/>
    <w:semiHidden/>
    <w:rsid w:val="002516DF"/>
    <w:rPr>
      <w:rFonts w:eastAsia="Calibri"/>
      <w:b/>
      <w:bCs/>
      <w:szCs w:val="20"/>
    </w:rPr>
  </w:style>
  <w:style w:type="character" w:customStyle="1" w:styleId="211">
    <w:name w:val="כותרת 2 תו1"/>
    <w:basedOn w:val="DefaultParagraphFont"/>
    <w:uiPriority w:val="1"/>
    <w:rsid w:val="002516DF"/>
    <w:rPr>
      <w:rFonts w:asciiTheme="majorHAnsi" w:eastAsiaTheme="majorEastAsia" w:hAnsiTheme="majorHAnsi" w:cstheme="majorBidi"/>
      <w:color w:val="365F91" w:themeColor="accent1" w:themeShade="BF"/>
      <w:sz w:val="26"/>
      <w:szCs w:val="26"/>
    </w:rPr>
  </w:style>
  <w:style w:type="character" w:customStyle="1" w:styleId="311">
    <w:name w:val="כותרת 3 תו1"/>
    <w:basedOn w:val="DefaultParagraphFont"/>
    <w:uiPriority w:val="1"/>
    <w:rsid w:val="002516DF"/>
    <w:rPr>
      <w:rFonts w:asciiTheme="majorHAnsi" w:eastAsiaTheme="majorEastAsia" w:hAnsiTheme="majorHAnsi" w:cstheme="majorBidi"/>
      <w:color w:val="243F60" w:themeColor="accent1" w:themeShade="7F"/>
      <w:sz w:val="24"/>
      <w:szCs w:val="24"/>
    </w:rPr>
  </w:style>
  <w:style w:type="character" w:customStyle="1" w:styleId="124">
    <w:name w:val="תאריך תו1"/>
    <w:basedOn w:val="DefaultParagraphFont"/>
    <w:uiPriority w:val="99"/>
    <w:semiHidden/>
    <w:rsid w:val="002516DF"/>
    <w:rPr>
      <w:szCs w:val="24"/>
    </w:rPr>
  </w:style>
  <w:style w:type="character" w:customStyle="1" w:styleId="170">
    <w:name w:val="תו תו17"/>
    <w:semiHidden/>
    <w:locked/>
    <w:rsid w:val="002516DF"/>
    <w:rPr>
      <w:b/>
      <w:spacing w:val="40"/>
      <w:sz w:val="24"/>
      <w:lang w:val="en-US" w:eastAsia="he-IL" w:bidi="he-IL"/>
    </w:rPr>
  </w:style>
  <w:style w:type="paragraph" w:customStyle="1" w:styleId="P000">
    <w:name w:val="P00"/>
    <w:link w:val="P001"/>
    <w:rsid w:val="00387987"/>
    <w:pPr>
      <w:widowControl w:val="0"/>
      <w:tabs>
        <w:tab w:val="left" w:pos="624"/>
        <w:tab w:val="left" w:pos="1021"/>
        <w:tab w:val="left" w:pos="1474"/>
        <w:tab w:val="left" w:pos="1928"/>
        <w:tab w:val="left" w:pos="2381"/>
        <w:tab w:val="left" w:pos="2835"/>
        <w:tab w:val="right" w:leader="dot" w:pos="6259"/>
      </w:tabs>
      <w:suppressAutoHyphens/>
      <w:autoSpaceDE w:val="0"/>
      <w:autoSpaceDN w:val="0"/>
      <w:bidi/>
      <w:spacing w:before="60" w:after="0" w:line="240" w:lineRule="auto"/>
      <w:ind w:left="2835"/>
    </w:pPr>
    <w:rPr>
      <w:rFonts w:eastAsia="Times New Roman" w:cs="FrankRuehl"/>
      <w:noProof/>
      <w:szCs w:val="26"/>
      <w:lang w:eastAsia="he-IL"/>
    </w:rPr>
  </w:style>
  <w:style w:type="character" w:customStyle="1" w:styleId="big-number">
    <w:name w:val="big-number"/>
    <w:basedOn w:val="DefaultParagraphFont"/>
    <w:rsid w:val="00387987"/>
  </w:style>
  <w:style w:type="paragraph" w:customStyle="1" w:styleId="header-2">
    <w:name w:val="header-2"/>
    <w:basedOn w:val="Normal"/>
    <w:rsid w:val="00387987"/>
    <w:pPr>
      <w:bidi w:val="0"/>
      <w:spacing w:before="100" w:beforeAutospacing="1" w:after="100" w:afterAutospacing="1" w:line="240" w:lineRule="auto"/>
      <w:jc w:val="left"/>
    </w:pPr>
    <w:rPr>
      <w:rFonts w:eastAsia="Times New Roman" w:cs="Times New Roman"/>
      <w:sz w:val="24"/>
    </w:rPr>
  </w:style>
  <w:style w:type="paragraph" w:customStyle="1" w:styleId="medium2-header">
    <w:name w:val="medium2-header"/>
    <w:basedOn w:val="Normal"/>
    <w:rsid w:val="00387987"/>
    <w:pPr>
      <w:bidi w:val="0"/>
      <w:spacing w:before="100" w:beforeAutospacing="1" w:after="100" w:afterAutospacing="1" w:line="240" w:lineRule="auto"/>
      <w:jc w:val="left"/>
    </w:pPr>
    <w:rPr>
      <w:rFonts w:eastAsia="Times New Roman" w:cs="Times New Roman"/>
      <w:sz w:val="24"/>
    </w:rPr>
  </w:style>
  <w:style w:type="paragraph" w:customStyle="1" w:styleId="p22">
    <w:name w:val="p22"/>
    <w:basedOn w:val="Normal"/>
    <w:rsid w:val="00387987"/>
    <w:pPr>
      <w:bidi w:val="0"/>
      <w:spacing w:before="100" w:beforeAutospacing="1" w:after="100" w:afterAutospacing="1" w:line="240" w:lineRule="auto"/>
      <w:jc w:val="left"/>
    </w:pPr>
    <w:rPr>
      <w:rFonts w:eastAsia="Times New Roman" w:cs="Times New Roman"/>
      <w:sz w:val="24"/>
    </w:rPr>
  </w:style>
  <w:style w:type="paragraph" w:customStyle="1" w:styleId="p11">
    <w:name w:val="p11"/>
    <w:basedOn w:val="Normal"/>
    <w:rsid w:val="00387987"/>
    <w:pPr>
      <w:bidi w:val="0"/>
      <w:spacing w:before="100" w:beforeAutospacing="1" w:after="100" w:afterAutospacing="1" w:line="240" w:lineRule="auto"/>
      <w:jc w:val="left"/>
    </w:pPr>
    <w:rPr>
      <w:rFonts w:eastAsia="Times New Roman" w:cs="Times New Roman"/>
      <w:sz w:val="24"/>
    </w:rPr>
  </w:style>
  <w:style w:type="character" w:customStyle="1" w:styleId="highlight">
    <w:name w:val="highlight"/>
    <w:basedOn w:val="DefaultParagraphFont"/>
    <w:rsid w:val="00387987"/>
  </w:style>
  <w:style w:type="table" w:customStyle="1" w:styleId="4-41">
    <w:name w:val="טבלת רשת 4 - הדגשה 41"/>
    <w:basedOn w:val="TableNormal"/>
    <w:uiPriority w:val="49"/>
    <w:rsid w:val="00387987"/>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1-11">
    <w:name w:val="טבלת רשת 1 בהירה - הדגשה 11"/>
    <w:basedOn w:val="TableNormal"/>
    <w:uiPriority w:val="46"/>
    <w:rsid w:val="00387987"/>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1-31">
    <w:name w:val="טבלת רשת 1 בהירה - הדגשה 31"/>
    <w:basedOn w:val="TableNormal"/>
    <w:uiPriority w:val="46"/>
    <w:rsid w:val="00387987"/>
    <w:pPr>
      <w:spacing w:after="0" w:line="240" w:lineRule="auto"/>
    </w:p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4-11">
    <w:name w:val="טבלת רשת 4 - הדגשה 11"/>
    <w:basedOn w:val="TableNormal"/>
    <w:uiPriority w:val="49"/>
    <w:rsid w:val="00387987"/>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1110">
    <w:name w:val="טבלת רשת 1 בהירה1"/>
    <w:basedOn w:val="TableNormal"/>
    <w:uiPriority w:val="46"/>
    <w:rsid w:val="00387987"/>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511">
    <w:name w:val="טבלה רגילה 51"/>
    <w:basedOn w:val="TableNormal"/>
    <w:uiPriority w:val="45"/>
    <w:rsid w:val="00387987"/>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5-51">
    <w:name w:val="טבלת רשת 5 כהה - הדגשה 51"/>
    <w:basedOn w:val="TableNormal"/>
    <w:uiPriority w:val="50"/>
    <w:rsid w:val="0038798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paragraph" w:customStyle="1" w:styleId="7118">
    <w:name w:val="71ג כוכבית טקסט רץ"/>
    <w:basedOn w:val="Normal"/>
    <w:qFormat/>
    <w:rsid w:val="00A6769C"/>
    <w:pPr>
      <w:spacing w:after="180" w:line="260" w:lineRule="exact"/>
      <w:jc w:val="center"/>
    </w:pPr>
    <w:rPr>
      <w:rFonts w:ascii="Segoe UI Symbol" w:hAnsi="Segoe UI Symbol" w:cs="Segoe UI Symbol"/>
      <w:color w:val="0D0D0D" w:themeColor="text1" w:themeTint="F2"/>
      <w:sz w:val="18"/>
      <w:szCs w:val="18"/>
    </w:rPr>
  </w:style>
  <w:style w:type="paragraph" w:customStyle="1" w:styleId="7119">
    <w:name w:val="71ג כוכבית בתוך קוביה"/>
    <w:basedOn w:val="7113"/>
    <w:qFormat/>
    <w:rsid w:val="001F0DE8"/>
    <w:pPr>
      <w:jc w:val="center"/>
    </w:pPr>
    <w:rPr>
      <w:rFonts w:ascii="Segoe UI Symbol" w:hAnsi="Segoe UI Symbol" w:cs="Segoe UI Symbol"/>
    </w:rPr>
  </w:style>
  <w:style w:type="paragraph" w:customStyle="1" w:styleId="7120">
    <w:name w:val="71ג הזחה אותיות"/>
    <w:basedOn w:val="ListParagraph"/>
    <w:qFormat/>
    <w:rsid w:val="0086219D"/>
    <w:pPr>
      <w:numPr>
        <w:numId w:val="7"/>
      </w:numPr>
      <w:spacing w:after="180" w:line="260" w:lineRule="exact"/>
      <w:ind w:left="794" w:hanging="397"/>
    </w:pPr>
    <w:rPr>
      <w:rFonts w:ascii="Tahoma" w:hAnsi="Tahoma" w:cs="Tahoma"/>
      <w:color w:val="0D0D0D" w:themeColor="text1" w:themeTint="F2"/>
      <w:sz w:val="18"/>
      <w:szCs w:val="18"/>
    </w:rPr>
  </w:style>
  <w:style w:type="paragraph" w:customStyle="1" w:styleId="7121">
    <w:name w:val="71ג מספור בתוך קוביה"/>
    <w:basedOn w:val="ListParagraph"/>
    <w:qFormat/>
    <w:rsid w:val="001F0BBB"/>
    <w:pPr>
      <w:numPr>
        <w:numId w:val="8"/>
      </w:numPr>
      <w:pBdr>
        <w:top w:val="single" w:sz="18" w:space="4" w:color="EDF1FA"/>
        <w:left w:val="single" w:sz="18" w:space="11" w:color="EDF1FA"/>
        <w:bottom w:val="single" w:sz="18" w:space="6" w:color="EDF1FA"/>
        <w:right w:val="single" w:sz="18" w:space="11" w:color="EDF1FA"/>
      </w:pBdr>
      <w:shd w:val="solid" w:color="EDF1FA" w:fill="CEEAF5"/>
      <w:spacing w:after="180" w:line="260" w:lineRule="exact"/>
      <w:ind w:left="397" w:right="227" w:hanging="397"/>
      <w:contextualSpacing w:val="0"/>
    </w:pPr>
    <w:rPr>
      <w:rFonts w:ascii="Tahoma" w:hAnsi="Tahoma" w:cs="Tahoma"/>
      <w:color w:val="0D0D0D" w:themeColor="text1" w:themeTint="F2"/>
      <w:sz w:val="18"/>
      <w:szCs w:val="18"/>
    </w:rPr>
  </w:style>
  <w:style w:type="paragraph" w:customStyle="1" w:styleId="p33">
    <w:name w:val="p33"/>
    <w:basedOn w:val="Normal"/>
    <w:rsid w:val="00114E4E"/>
    <w:pPr>
      <w:bidi w:val="0"/>
      <w:spacing w:before="100" w:beforeAutospacing="1" w:after="100" w:afterAutospacing="1" w:line="240" w:lineRule="auto"/>
      <w:jc w:val="left"/>
    </w:pPr>
    <w:rPr>
      <w:rFonts w:eastAsia="Times New Roman" w:cs="Times New Roman"/>
      <w:sz w:val="24"/>
    </w:rPr>
  </w:style>
  <w:style w:type="paragraph" w:customStyle="1" w:styleId="a15">
    <w:name w:val="נבנצלים"/>
    <w:basedOn w:val="Normal"/>
    <w:next w:val="Normal"/>
    <w:rsid w:val="00114E4E"/>
    <w:pPr>
      <w:widowControl w:val="0"/>
      <w:ind w:left="-567"/>
    </w:pPr>
    <w:rPr>
      <w:rFonts w:eastAsia="Times New Roman"/>
      <w:sz w:val="24"/>
      <w:szCs w:val="20"/>
      <w:lang w:eastAsia="he-IL"/>
    </w:rPr>
  </w:style>
  <w:style w:type="paragraph" w:styleId="BodyText">
    <w:name w:val="Body Text"/>
    <w:basedOn w:val="Normal"/>
    <w:link w:val="28"/>
    <w:uiPriority w:val="99"/>
    <w:unhideWhenUsed/>
    <w:rsid w:val="00114E4E"/>
    <w:pPr>
      <w:spacing w:after="120"/>
    </w:pPr>
  </w:style>
  <w:style w:type="character" w:customStyle="1" w:styleId="28">
    <w:name w:val="גוף טקסט תו2"/>
    <w:basedOn w:val="DefaultParagraphFont"/>
    <w:link w:val="BodyText"/>
    <w:uiPriority w:val="99"/>
    <w:rsid w:val="00114E4E"/>
  </w:style>
  <w:style w:type="character" w:customStyle="1" w:styleId="Bodytext5">
    <w:name w:val="Body text (5)_"/>
    <w:basedOn w:val="DefaultParagraphFont"/>
    <w:link w:val="Bodytext50"/>
    <w:rsid w:val="00114E4E"/>
    <w:rPr>
      <w:rFonts w:ascii="David" w:eastAsia="David" w:hAnsi="David"/>
      <w:sz w:val="21"/>
      <w:szCs w:val="21"/>
      <w:shd w:val="clear" w:color="auto" w:fill="FFFFFF"/>
    </w:rPr>
  </w:style>
  <w:style w:type="paragraph" w:customStyle="1" w:styleId="Bodytext50">
    <w:name w:val="Body text (5)"/>
    <w:basedOn w:val="Normal"/>
    <w:link w:val="Bodytext5"/>
    <w:rsid w:val="00114E4E"/>
    <w:pPr>
      <w:widowControl w:val="0"/>
      <w:shd w:val="clear" w:color="auto" w:fill="FFFFFF"/>
      <w:spacing w:before="480" w:line="234" w:lineRule="exact"/>
      <w:ind w:hanging="5440"/>
      <w:jc w:val="left"/>
    </w:pPr>
    <w:rPr>
      <w:rFonts w:ascii="David" w:eastAsia="David" w:hAnsi="David"/>
      <w:sz w:val="21"/>
      <w:szCs w:val="21"/>
    </w:rPr>
  </w:style>
  <w:style w:type="paragraph" w:styleId="Subtitle">
    <w:name w:val="Subtitle"/>
    <w:basedOn w:val="Normal"/>
    <w:next w:val="Normal"/>
    <w:link w:val="a16"/>
    <w:qFormat/>
    <w:rsid w:val="00114E4E"/>
    <w:pPr>
      <w:spacing w:after="60" w:line="240" w:lineRule="auto"/>
      <w:jc w:val="center"/>
      <w:outlineLvl w:val="1"/>
    </w:pPr>
    <w:rPr>
      <w:rFonts w:ascii="Cambria" w:eastAsia="Times New Roman" w:hAnsi="Cambria" w:cs="Times New Roman"/>
      <w:sz w:val="24"/>
      <w:lang w:val="x-none" w:eastAsia="x-none"/>
    </w:rPr>
  </w:style>
  <w:style w:type="character" w:customStyle="1" w:styleId="a16">
    <w:name w:val="כותרת משנה תו"/>
    <w:basedOn w:val="DefaultParagraphFont"/>
    <w:link w:val="Subtitle"/>
    <w:rsid w:val="00114E4E"/>
    <w:rPr>
      <w:rFonts w:ascii="Cambria" w:eastAsia="Times New Roman" w:hAnsi="Cambria" w:cs="Times New Roman"/>
      <w:sz w:val="24"/>
      <w:lang w:val="x-none" w:eastAsia="x-none"/>
    </w:rPr>
  </w:style>
  <w:style w:type="paragraph" w:styleId="HTMLTopofForm">
    <w:name w:val="HTML Top of Form"/>
    <w:basedOn w:val="Normal"/>
    <w:next w:val="Normal"/>
    <w:link w:val="z-"/>
    <w:hidden/>
    <w:uiPriority w:val="99"/>
    <w:semiHidden/>
    <w:unhideWhenUsed/>
    <w:rsid w:val="00114E4E"/>
    <w:pPr>
      <w:pBdr>
        <w:bottom w:val="single" w:sz="6" w:space="1" w:color="auto"/>
      </w:pBdr>
      <w:bidi w:val="0"/>
      <w:spacing w:line="240" w:lineRule="auto"/>
      <w:jc w:val="center"/>
    </w:pPr>
    <w:rPr>
      <w:rFonts w:ascii="Arial" w:eastAsia="Times New Roman" w:hAnsi="Arial" w:cs="Arial"/>
      <w:vanish/>
      <w:sz w:val="16"/>
      <w:szCs w:val="16"/>
    </w:rPr>
  </w:style>
  <w:style w:type="character" w:customStyle="1" w:styleId="z-">
    <w:name w:val="z-ראש טופס תו"/>
    <w:basedOn w:val="DefaultParagraphFont"/>
    <w:link w:val="HTMLTopofForm"/>
    <w:uiPriority w:val="99"/>
    <w:semiHidden/>
    <w:rsid w:val="00114E4E"/>
    <w:rPr>
      <w:rFonts w:ascii="Arial" w:eastAsia="Times New Roman" w:hAnsi="Arial" w:cs="Arial"/>
      <w:vanish/>
      <w:sz w:val="16"/>
      <w:szCs w:val="16"/>
    </w:rPr>
  </w:style>
  <w:style w:type="character" w:customStyle="1" w:styleId="92">
    <w:name w:val="כותרת 9 תו2"/>
    <w:basedOn w:val="DefaultParagraphFont"/>
    <w:link w:val="Heading9"/>
    <w:uiPriority w:val="9"/>
    <w:semiHidden/>
    <w:rsid w:val="00BA23AE"/>
    <w:rPr>
      <w:rFonts w:asciiTheme="majorHAnsi" w:eastAsiaTheme="majorEastAsia" w:hAnsiTheme="majorHAnsi" w:cstheme="majorBidi"/>
      <w:i/>
      <w:iCs/>
      <w:color w:val="272727" w:themeColor="text1" w:themeTint="D8"/>
      <w:sz w:val="21"/>
      <w:szCs w:val="21"/>
    </w:rPr>
  </w:style>
  <w:style w:type="character" w:customStyle="1" w:styleId="P001">
    <w:name w:val="P00 תו"/>
    <w:link w:val="P000"/>
    <w:rsid w:val="00BA23AE"/>
    <w:rPr>
      <w:rFonts w:eastAsia="Times New Roman" w:cs="FrankRuehl"/>
      <w:noProof/>
      <w:szCs w:val="26"/>
      <w:lang w:eastAsia="he-IL"/>
    </w:rPr>
  </w:style>
  <w:style w:type="paragraph" w:customStyle="1" w:styleId="HNormal">
    <w:name w:val="HNormal"/>
    <w:rsid w:val="00BA23AE"/>
    <w:pPr>
      <w:bidi/>
      <w:spacing w:before="60" w:after="120" w:line="240" w:lineRule="auto"/>
    </w:pPr>
    <w:rPr>
      <w:rFonts w:eastAsia="Times New Roman"/>
      <w:noProof/>
      <w:lang w:eastAsia="he-IL"/>
    </w:rPr>
  </w:style>
  <w:style w:type="paragraph" w:customStyle="1" w:styleId="font2">
    <w:name w:val="font_2"/>
    <w:basedOn w:val="Normal"/>
    <w:rsid w:val="00BA23AE"/>
    <w:pPr>
      <w:bidi w:val="0"/>
      <w:spacing w:before="100" w:beforeAutospacing="1" w:after="100" w:afterAutospacing="1" w:line="240" w:lineRule="auto"/>
      <w:jc w:val="left"/>
    </w:pPr>
    <w:rPr>
      <w:rFonts w:eastAsia="Times New Roman" w:cs="Times New Roman"/>
      <w:sz w:val="24"/>
    </w:rPr>
  </w:style>
  <w:style w:type="table" w:customStyle="1" w:styleId="4-61">
    <w:name w:val="טבלת רשת 4 - הדגשה 61"/>
    <w:basedOn w:val="TableNormal"/>
    <w:uiPriority w:val="49"/>
    <w:rsid w:val="00BA23AE"/>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312">
    <w:name w:val="טבלת רשת 31"/>
    <w:basedOn w:val="TableNormal"/>
    <w:uiPriority w:val="48"/>
    <w:rsid w:val="00BA23A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customStyle="1" w:styleId="P220">
    <w:name w:val="P22"/>
    <w:basedOn w:val="P000"/>
    <w:rsid w:val="00BA23AE"/>
    <w:pPr>
      <w:tabs>
        <w:tab w:val="clear" w:pos="624"/>
        <w:tab w:val="clear" w:pos="1021"/>
      </w:tabs>
      <w:ind w:right="1021"/>
    </w:pPr>
  </w:style>
  <w:style w:type="paragraph" w:customStyle="1" w:styleId="P330">
    <w:name w:val="P33"/>
    <w:basedOn w:val="P000"/>
    <w:rsid w:val="00BA23AE"/>
    <w:pPr>
      <w:tabs>
        <w:tab w:val="clear" w:pos="624"/>
        <w:tab w:val="clear" w:pos="1021"/>
        <w:tab w:val="clear" w:pos="1474"/>
      </w:tabs>
      <w:ind w:right="1474"/>
    </w:pPr>
  </w:style>
  <w:style w:type="table" w:customStyle="1" w:styleId="6-31">
    <w:name w:val="טבלת רשת 6 צבעונית - הדגשה 31"/>
    <w:basedOn w:val="TableNormal"/>
    <w:uiPriority w:val="51"/>
    <w:rsid w:val="00BA23AE"/>
    <w:pPr>
      <w:spacing w:after="0"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character" w:customStyle="1" w:styleId="f27p">
    <w:name w:val="f27p"/>
    <w:basedOn w:val="DefaultParagraphFont"/>
    <w:rsid w:val="00BA23AE"/>
  </w:style>
  <w:style w:type="paragraph" w:styleId="NoSpacing">
    <w:name w:val="No Spacing"/>
    <w:link w:val="a17"/>
    <w:uiPriority w:val="1"/>
    <w:qFormat/>
    <w:rsid w:val="00BA23AE"/>
    <w:pPr>
      <w:bidi/>
      <w:spacing w:after="0" w:line="240" w:lineRule="auto"/>
      <w:jc w:val="left"/>
    </w:pPr>
    <w:rPr>
      <w:rFonts w:asciiTheme="minorHAnsi" w:eastAsiaTheme="minorEastAsia" w:hAnsiTheme="minorHAnsi" w:cstheme="minorBidi"/>
      <w:sz w:val="22"/>
      <w:szCs w:val="22"/>
    </w:rPr>
  </w:style>
  <w:style w:type="character" w:customStyle="1" w:styleId="a17">
    <w:name w:val="ללא מרווח תו"/>
    <w:basedOn w:val="DefaultParagraphFont"/>
    <w:link w:val="NoSpacing"/>
    <w:uiPriority w:val="1"/>
    <w:rsid w:val="00BA23AE"/>
    <w:rPr>
      <w:rFonts w:asciiTheme="minorHAnsi" w:eastAsiaTheme="minorEastAsia" w:hAnsiTheme="minorHAnsi" w:cstheme="minorBidi"/>
      <w:sz w:val="22"/>
      <w:szCs w:val="22"/>
    </w:rPr>
  </w:style>
  <w:style w:type="paragraph" w:customStyle="1" w:styleId="CharChar">
    <w:name w:val="גופן ברירת המחדל של קטע פסקה תו Char תו Char תו"/>
    <w:basedOn w:val="Normal"/>
    <w:rsid w:val="00BA23AE"/>
    <w:pPr>
      <w:keepLines/>
      <w:tabs>
        <w:tab w:val="left" w:pos="397"/>
        <w:tab w:val="left" w:pos="794"/>
        <w:tab w:val="left" w:pos="1191"/>
        <w:tab w:val="left" w:pos="1588"/>
        <w:tab w:val="left" w:pos="1985"/>
        <w:tab w:val="left" w:pos="2381"/>
        <w:tab w:val="left" w:pos="2778"/>
        <w:tab w:val="left" w:pos="3175"/>
        <w:tab w:val="left" w:pos="3572"/>
      </w:tabs>
      <w:spacing w:line="240" w:lineRule="auto"/>
    </w:pPr>
    <w:rPr>
      <w:rFonts w:ascii="Arial" w:eastAsia="Times New Roman" w:hAnsi="Arial"/>
      <w:noProof/>
      <w:sz w:val="24"/>
      <w:szCs w:val="28"/>
      <w:lang w:eastAsia="he-IL"/>
    </w:rPr>
  </w:style>
  <w:style w:type="character" w:customStyle="1" w:styleId="91">
    <w:name w:val="כותרת 9 תו1"/>
    <w:basedOn w:val="DefaultParagraphFont"/>
    <w:uiPriority w:val="9"/>
    <w:rsid w:val="00BA23AE"/>
    <w:rPr>
      <w:rFonts w:asciiTheme="majorHAnsi" w:eastAsiaTheme="majorEastAsia" w:hAnsiTheme="majorHAnsi" w:cstheme="majorBidi"/>
      <w:i/>
      <w:iCs/>
      <w:color w:val="632423" w:themeColor="accent2" w:themeShade="80"/>
      <w:sz w:val="22"/>
      <w:szCs w:val="22"/>
    </w:rPr>
  </w:style>
  <w:style w:type="table" w:customStyle="1" w:styleId="411">
    <w:name w:val="טבלת רשת 41"/>
    <w:basedOn w:val="TableNormal"/>
    <w:uiPriority w:val="49"/>
    <w:rsid w:val="00BA23A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212">
    <w:name w:val="טבלת רשת 21"/>
    <w:basedOn w:val="TableNormal"/>
    <w:uiPriority w:val="47"/>
    <w:rsid w:val="00BA23AE"/>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bodyruller">
    <w:name w:val="bodyruller"/>
    <w:basedOn w:val="Normal"/>
    <w:rsid w:val="00BA23AE"/>
    <w:pPr>
      <w:bidi w:val="0"/>
      <w:spacing w:before="100" w:beforeAutospacing="1" w:after="100" w:afterAutospacing="1" w:line="240" w:lineRule="auto"/>
      <w:jc w:val="left"/>
    </w:pPr>
    <w:rPr>
      <w:rFonts w:eastAsia="Times New Roman" w:cs="Times New Roman"/>
      <w:sz w:val="24"/>
    </w:rPr>
  </w:style>
  <w:style w:type="paragraph" w:customStyle="1" w:styleId="ruller40">
    <w:name w:val="ruller40"/>
    <w:basedOn w:val="Normal"/>
    <w:rsid w:val="00BA23AE"/>
    <w:pPr>
      <w:bidi w:val="0"/>
      <w:spacing w:before="100" w:beforeAutospacing="1" w:after="100" w:afterAutospacing="1" w:line="240" w:lineRule="auto"/>
      <w:jc w:val="left"/>
    </w:pPr>
    <w:rPr>
      <w:rFonts w:eastAsia="Times New Roman" w:cs="Times New Roman"/>
      <w:sz w:val="24"/>
    </w:rPr>
  </w:style>
  <w:style w:type="paragraph" w:customStyle="1" w:styleId="a18">
    <w:name w:val="טבלה הערות מתחת"/>
    <w:basedOn w:val="710"/>
    <w:qFormat/>
    <w:rsid w:val="00771BEC"/>
    <w:pPr>
      <w:spacing w:before="120"/>
    </w:pPr>
  </w:style>
  <w:style w:type="paragraph" w:customStyle="1" w:styleId="7122">
    <w:name w:val="71ג אותיות רשימה א"/>
    <w:aliases w:val="ב"/>
    <w:basedOn w:val="ListParagraph"/>
    <w:qFormat/>
    <w:rsid w:val="00A858E9"/>
    <w:pPr>
      <w:widowControl w:val="0"/>
      <w:numPr>
        <w:numId w:val="9"/>
      </w:numPr>
      <w:spacing w:after="180" w:line="260" w:lineRule="exact"/>
    </w:pPr>
    <w:rPr>
      <w:rFonts w:ascii="Tahoma" w:hAnsi="Tahoma" w:cs="Tahoma"/>
      <w:color w:val="0D0D0D" w:themeColor="text1" w:themeTint="F2"/>
      <w:sz w:val="18"/>
      <w:szCs w:val="18"/>
    </w:rPr>
  </w:style>
  <w:style w:type="paragraph" w:customStyle="1" w:styleId="71BULLETS">
    <w:name w:val="71גבולטים BULLETS"/>
    <w:basedOn w:val="ListParagraph"/>
    <w:qFormat/>
    <w:rsid w:val="00A858E9"/>
    <w:pPr>
      <w:numPr>
        <w:numId w:val="10"/>
      </w:numPr>
      <w:pBdr>
        <w:top w:val="dashed" w:sz="18" w:space="4" w:color="EDF1FA"/>
        <w:left w:val="dashed" w:sz="18" w:space="11" w:color="EDF1FA"/>
        <w:bottom w:val="dashed" w:sz="18" w:space="6" w:color="EDF1FA"/>
        <w:right w:val="dashed" w:sz="18" w:space="11" w:color="EDF1FA"/>
      </w:pBdr>
      <w:shd w:val="solid" w:color="EDF1FA" w:fill="auto"/>
      <w:tabs>
        <w:tab w:val="left" w:pos="70"/>
        <w:tab w:val="left" w:pos="990"/>
        <w:tab w:val="left" w:pos="1510"/>
      </w:tabs>
      <w:spacing w:after="180" w:line="260" w:lineRule="exact"/>
      <w:ind w:left="681" w:right="227" w:hanging="397"/>
    </w:pPr>
    <w:rPr>
      <w:rFonts w:ascii="Tahoma" w:hAnsi="Tahoma" w:cs="Tahoma"/>
      <w:color w:val="0D0D0D" w:themeColor="text1" w:themeTint="F2"/>
      <w:sz w:val="18"/>
      <w:szCs w:val="18"/>
    </w:rPr>
  </w:style>
  <w:style w:type="paragraph" w:customStyle="1" w:styleId="a19">
    <w:name w:val="אורח"/>
    <w:basedOn w:val="Normal"/>
    <w:next w:val="Normal"/>
    <w:rsid w:val="00CF1EB5"/>
    <w:pPr>
      <w:spacing w:line="240" w:lineRule="exact"/>
    </w:pPr>
    <w:rPr>
      <w:rFonts w:ascii="David" w:eastAsia="Times New Roman" w:hAnsi="David"/>
      <w:sz w:val="24"/>
      <w:u w:val="single"/>
    </w:rPr>
  </w:style>
  <w:style w:type="paragraph" w:customStyle="1" w:styleId="KeepWithNext">
    <w:name w:val="KeepWithNext"/>
    <w:basedOn w:val="Normal"/>
    <w:next w:val="Normal"/>
    <w:qFormat/>
    <w:rsid w:val="00CF1EB5"/>
    <w:pPr>
      <w:keepNext/>
      <w:spacing w:line="240" w:lineRule="exact"/>
    </w:pPr>
    <w:rPr>
      <w:rFonts w:eastAsia="Times New Roman"/>
      <w:sz w:val="24"/>
    </w:rPr>
  </w:style>
  <w:style w:type="paragraph" w:customStyle="1" w:styleId="a20">
    <w:name w:val="קריאות"/>
    <w:basedOn w:val="Normal"/>
    <w:next w:val="Normal"/>
    <w:rsid w:val="00CF1EB5"/>
    <w:pPr>
      <w:spacing w:line="240" w:lineRule="exact"/>
    </w:pPr>
    <w:rPr>
      <w:rFonts w:ascii="David" w:eastAsia="Times New Roman" w:hAnsi="David"/>
      <w:sz w:val="24"/>
      <w:u w:val="single"/>
      <w:lang w:eastAsia="he-IL"/>
    </w:rPr>
  </w:style>
  <w:style w:type="paragraph" w:customStyle="1" w:styleId="-0">
    <w:name w:val="דובר-המשך"/>
    <w:basedOn w:val="Normal"/>
    <w:next w:val="Normal"/>
    <w:rsid w:val="00CF1EB5"/>
    <w:pPr>
      <w:spacing w:line="240" w:lineRule="exact"/>
    </w:pPr>
    <w:rPr>
      <w:rFonts w:ascii="David" w:eastAsia="Times New Roman" w:hAnsi="David"/>
      <w:sz w:val="24"/>
      <w:u w:val="single"/>
      <w:lang w:eastAsia="he-IL"/>
    </w:rPr>
  </w:style>
  <w:style w:type="paragraph" w:customStyle="1" w:styleId="a21">
    <w:name w:val="יור"/>
    <w:basedOn w:val="Normal"/>
    <w:next w:val="Normal"/>
    <w:rsid w:val="00CF1EB5"/>
    <w:pPr>
      <w:spacing w:line="240" w:lineRule="exact"/>
    </w:pPr>
    <w:rPr>
      <w:rFonts w:ascii="David" w:eastAsia="Times New Roman" w:hAnsi="David"/>
      <w:sz w:val="24"/>
      <w:u w:val="single"/>
      <w:lang w:eastAsia="he-IL"/>
    </w:rPr>
  </w:style>
  <w:style w:type="character" w:customStyle="1" w:styleId="Char3">
    <w:name w:val="ציטוט בג&quot;צ Char"/>
    <w:link w:val="a22"/>
    <w:locked/>
    <w:rsid w:val="00CF1EB5"/>
    <w:rPr>
      <w:bCs/>
      <w:noProof/>
      <w:sz w:val="24"/>
      <w:lang w:eastAsia="he-IL"/>
    </w:rPr>
  </w:style>
  <w:style w:type="paragraph" w:customStyle="1" w:styleId="a22">
    <w:name w:val="ציטוט בג&quot;צ"/>
    <w:basedOn w:val="Normal"/>
    <w:link w:val="Char3"/>
    <w:qFormat/>
    <w:rsid w:val="00CF1EB5"/>
    <w:pPr>
      <w:spacing w:line="240" w:lineRule="auto"/>
      <w:ind w:left="1440" w:right="1440"/>
    </w:pPr>
    <w:rPr>
      <w:bCs/>
      <w:noProof/>
      <w:sz w:val="24"/>
      <w:lang w:eastAsia="he-IL"/>
    </w:rPr>
  </w:style>
  <w:style w:type="character" w:customStyle="1" w:styleId="il">
    <w:name w:val="il"/>
    <w:basedOn w:val="DefaultParagraphFont"/>
    <w:rsid w:val="00CF1EB5"/>
  </w:style>
  <w:style w:type="paragraph" w:customStyle="1" w:styleId="71895">
    <w:name w:val="71ג כותרת 8_9.5"/>
    <w:basedOn w:val="Heading8"/>
    <w:qFormat/>
    <w:rsid w:val="00E24570"/>
    <w:pPr>
      <w:spacing w:after="120"/>
    </w:pPr>
    <w:rPr>
      <w:rFonts w:ascii="Tahoma" w:hAnsi="Tahoma" w:cs="Tahoma"/>
      <w:color w:val="00305F"/>
      <w:spacing w:val="20"/>
      <w:sz w:val="19"/>
      <w:szCs w:val="19"/>
    </w:rPr>
  </w:style>
  <w:style w:type="paragraph" w:customStyle="1" w:styleId="71612">
    <w:name w:val="71ג כותרת 6_12"/>
    <w:basedOn w:val="71512"/>
    <w:qFormat/>
    <w:rsid w:val="00B17902"/>
    <w:rPr>
      <w:b w:val="0"/>
      <w:bCs w:val="0"/>
    </w:rPr>
  </w:style>
  <w:style w:type="paragraph" w:styleId="TOC6">
    <w:name w:val="toc 6"/>
    <w:basedOn w:val="Normal"/>
    <w:next w:val="Normal"/>
    <w:autoRedefine/>
    <w:uiPriority w:val="39"/>
    <w:unhideWhenUsed/>
    <w:rsid w:val="00F410B5"/>
    <w:pPr>
      <w:spacing w:after="100"/>
      <w:ind w:left="1000"/>
    </w:pPr>
  </w:style>
  <w:style w:type="table" w:customStyle="1" w:styleId="5-31">
    <w:name w:val="טבלת רשת 5 כהה - הדגשה 31"/>
    <w:basedOn w:val="TableNormal"/>
    <w:uiPriority w:val="50"/>
    <w:rsid w:val="00E73D0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customStyle="1" w:styleId="2-11">
    <w:name w:val="טבלת רשת 2 - הדגשה 11"/>
    <w:basedOn w:val="TableNormal"/>
    <w:uiPriority w:val="47"/>
    <w:rsid w:val="00E73D0E"/>
    <w:pPr>
      <w:spacing w:after="0" w:line="240" w:lineRule="auto"/>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4-110">
    <w:name w:val="טבלת רשימה 4 - הדגשה 11"/>
    <w:basedOn w:val="TableNormal"/>
    <w:uiPriority w:val="49"/>
    <w:rsid w:val="00E73D0E"/>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6-11">
    <w:name w:val="טבלת רשת 6 צבעונית - הדגשה 11"/>
    <w:basedOn w:val="TableNormal"/>
    <w:uiPriority w:val="51"/>
    <w:rsid w:val="00E73D0E"/>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125">
    <w:name w:val="כותרת טקסט1"/>
    <w:basedOn w:val="DefaultParagraphFont"/>
    <w:rsid w:val="00D81F77"/>
  </w:style>
  <w:style w:type="paragraph" w:styleId="TOC8">
    <w:name w:val="toc 8"/>
    <w:basedOn w:val="Normal"/>
    <w:next w:val="Normal"/>
    <w:autoRedefine/>
    <w:uiPriority w:val="39"/>
    <w:unhideWhenUsed/>
    <w:rsid w:val="00D81F77"/>
    <w:pPr>
      <w:spacing w:after="100"/>
      <w:ind w:left="1400"/>
    </w:pPr>
  </w:style>
  <w:style w:type="character" w:customStyle="1" w:styleId="Heading20">
    <w:name w:val="Heading #2_"/>
    <w:basedOn w:val="DefaultParagraphFont"/>
    <w:link w:val="Heading21"/>
    <w:rsid w:val="00D81F77"/>
    <w:rPr>
      <w:rFonts w:ascii="David" w:eastAsia="David" w:hAnsi="David"/>
      <w:b/>
      <w:bCs/>
      <w:shd w:val="clear" w:color="auto" w:fill="FFFFFF"/>
    </w:rPr>
  </w:style>
  <w:style w:type="paragraph" w:customStyle="1" w:styleId="Heading21">
    <w:name w:val="Heading #2"/>
    <w:basedOn w:val="Normal"/>
    <w:link w:val="Heading20"/>
    <w:rsid w:val="00D81F77"/>
    <w:pPr>
      <w:widowControl w:val="0"/>
      <w:shd w:val="clear" w:color="auto" w:fill="FFFFFF"/>
      <w:spacing w:line="706" w:lineRule="exact"/>
      <w:jc w:val="left"/>
      <w:outlineLvl w:val="1"/>
    </w:pPr>
    <w:rPr>
      <w:rFonts w:ascii="David" w:eastAsia="David" w:hAnsi="David"/>
      <w:b/>
      <w:bCs/>
    </w:rPr>
  </w:style>
  <w:style w:type="paragraph" w:styleId="TOC9">
    <w:name w:val="toc 9"/>
    <w:basedOn w:val="Normal"/>
    <w:next w:val="Normal"/>
    <w:autoRedefine/>
    <w:uiPriority w:val="39"/>
    <w:unhideWhenUsed/>
    <w:rsid w:val="005F7321"/>
    <w:pPr>
      <w:ind w:left="1600"/>
      <w:jc w:val="left"/>
    </w:pPr>
    <w:rPr>
      <w:rFonts w:asciiTheme="minorHAnsi" w:hAnsiTheme="minorHAnsi" w:cstheme="minorHAnsi"/>
      <w:sz w:val="18"/>
      <w:szCs w:val="18"/>
    </w:rPr>
  </w:style>
  <w:style w:type="paragraph" w:customStyle="1" w:styleId="listparagraph0">
    <w:name w:val="listparagraph"/>
    <w:basedOn w:val="Normal"/>
    <w:rsid w:val="005F7321"/>
    <w:pPr>
      <w:bidi w:val="0"/>
      <w:spacing w:before="100" w:beforeAutospacing="1" w:after="100" w:afterAutospacing="1" w:line="240" w:lineRule="auto"/>
      <w:jc w:val="left"/>
    </w:pPr>
    <w:rPr>
      <w:rFonts w:eastAsia="Times New Roman" w:cs="Times New Roman"/>
      <w:sz w:val="24"/>
    </w:rPr>
  </w:style>
  <w:style w:type="character" w:customStyle="1" w:styleId="Heading30">
    <w:name w:val="Heading #3"/>
    <w:basedOn w:val="DefaultParagraphFont"/>
    <w:rsid w:val="005F7321"/>
    <w:rPr>
      <w:rFonts w:ascii="David" w:eastAsia="David" w:hAnsi="David" w:cs="David"/>
      <w:b/>
      <w:bCs/>
      <w:i w:val="0"/>
      <w:iCs w:val="0"/>
      <w:smallCaps w:val="0"/>
      <w:strike w:val="0"/>
      <w:color w:val="000000"/>
      <w:spacing w:val="0"/>
      <w:w w:val="100"/>
      <w:position w:val="0"/>
      <w:sz w:val="22"/>
      <w:szCs w:val="22"/>
      <w:u w:val="single"/>
      <w:lang w:val="he-IL" w:eastAsia="he-IL" w:bidi="he-IL"/>
    </w:rPr>
  </w:style>
  <w:style w:type="paragraph" w:customStyle="1" w:styleId="a23">
    <w:name w:val="כותרת סעיף"/>
    <w:basedOn w:val="Normal"/>
    <w:rsid w:val="005F7321"/>
    <w:pPr>
      <w:numPr>
        <w:numId w:val="11"/>
      </w:numPr>
      <w:spacing w:before="240" w:line="360" w:lineRule="auto"/>
    </w:pPr>
    <w:rPr>
      <w:rFonts w:ascii="Arial" w:eastAsia="Times New Roman" w:hAnsi="Arial" w:cs="Arial"/>
      <w:b/>
      <w:bCs/>
      <w:color w:val="1B3461"/>
      <w:sz w:val="22"/>
      <w:szCs w:val="22"/>
    </w:rPr>
  </w:style>
  <w:style w:type="paragraph" w:customStyle="1" w:styleId="71BULLETS0">
    <w:name w:val="71ג בולטים BULLETS ריק"/>
    <w:basedOn w:val="ListParagraph"/>
    <w:qFormat/>
    <w:rsid w:val="00497FC7"/>
    <w:pPr>
      <w:widowControl w:val="0"/>
      <w:numPr>
        <w:numId w:val="12"/>
      </w:numPr>
      <w:spacing w:after="180" w:line="260" w:lineRule="exact"/>
      <w:ind w:left="397" w:hanging="397"/>
      <w:contextualSpacing w:val="0"/>
    </w:pPr>
    <w:rPr>
      <w:rFonts w:ascii="Tahoma" w:eastAsia="Times New Roman" w:hAnsi="Tahoma" w:cs="Tahoma"/>
      <w:color w:val="0D0D0D" w:themeColor="text1" w:themeTint="F2"/>
      <w:sz w:val="18"/>
      <w:szCs w:val="18"/>
      <w:lang w:eastAsia="he-IL"/>
    </w:rPr>
  </w:style>
  <w:style w:type="paragraph" w:customStyle="1" w:styleId="71BULLETS07">
    <w:name w:val="71ג בולטים BULLETS ריק הזחה 0.7"/>
    <w:basedOn w:val="71BULLETS0"/>
    <w:qFormat/>
    <w:rsid w:val="00AA4F04"/>
    <w:pPr>
      <w:ind w:left="794"/>
    </w:pPr>
  </w:style>
  <w:style w:type="character" w:customStyle="1" w:styleId="EndnoteTextChar1">
    <w:name w:val="Endnote Text Char1"/>
    <w:basedOn w:val="DefaultParagraphFont"/>
    <w:uiPriority w:val="99"/>
    <w:semiHidden/>
    <w:rsid w:val="00DF2BC6"/>
    <w:rPr>
      <w:szCs w:val="20"/>
    </w:rPr>
  </w:style>
  <w:style w:type="character" w:customStyle="1" w:styleId="UnresolvedMention1">
    <w:name w:val="Unresolved Mention1"/>
    <w:basedOn w:val="DefaultParagraphFont"/>
    <w:uiPriority w:val="99"/>
    <w:semiHidden/>
    <w:unhideWhenUsed/>
    <w:rsid w:val="00B24213"/>
    <w:rPr>
      <w:color w:val="605E5C"/>
      <w:shd w:val="clear" w:color="auto" w:fill="E1DFDD"/>
    </w:rPr>
  </w:style>
  <w:style w:type="character" w:customStyle="1" w:styleId="ms-rtefontsize-2">
    <w:name w:val="ms-rtefontsize-2"/>
    <w:basedOn w:val="DefaultParagraphFont"/>
    <w:rsid w:val="001850C6"/>
  </w:style>
  <w:style w:type="character" w:customStyle="1" w:styleId="txt">
    <w:name w:val="txt"/>
    <w:basedOn w:val="DefaultParagraphFont"/>
    <w:rsid w:val="008C0B8B"/>
  </w:style>
  <w:style w:type="character" w:customStyle="1" w:styleId="Bodytext4">
    <w:name w:val="Body text (4)_"/>
    <w:basedOn w:val="DefaultParagraphFont"/>
    <w:link w:val="Bodytext40"/>
    <w:rsid w:val="008C0B8B"/>
    <w:rPr>
      <w:rFonts w:ascii="David" w:eastAsia="David" w:hAnsi="David"/>
      <w:b/>
      <w:bCs/>
      <w:sz w:val="22"/>
      <w:szCs w:val="22"/>
      <w:shd w:val="clear" w:color="auto" w:fill="FFFFFF"/>
    </w:rPr>
  </w:style>
  <w:style w:type="paragraph" w:customStyle="1" w:styleId="Bodytext40">
    <w:name w:val="Body text (4)"/>
    <w:basedOn w:val="Normal"/>
    <w:link w:val="Bodytext4"/>
    <w:rsid w:val="008C0B8B"/>
    <w:pPr>
      <w:widowControl w:val="0"/>
      <w:shd w:val="clear" w:color="auto" w:fill="FFFFFF"/>
      <w:adjustRightInd w:val="0"/>
      <w:spacing w:before="480" w:after="60" w:line="0" w:lineRule="atLeast"/>
      <w:ind w:hanging="360"/>
      <w:jc w:val="center"/>
      <w:textAlignment w:val="baseline"/>
    </w:pPr>
    <w:rPr>
      <w:rFonts w:ascii="David" w:eastAsia="David" w:hAnsi="David"/>
      <w:b/>
      <w:bCs/>
      <w:sz w:val="22"/>
      <w:szCs w:val="22"/>
    </w:rPr>
  </w:style>
  <w:style w:type="character" w:customStyle="1" w:styleId="Bodytext6NotItalic">
    <w:name w:val="Body text (6) + Not Italic"/>
    <w:basedOn w:val="DefaultParagraphFont"/>
    <w:rsid w:val="008C0B8B"/>
    <w:rPr>
      <w:rFonts w:ascii="David" w:eastAsia="David" w:hAnsi="David" w:cs="David"/>
      <w:b w:val="0"/>
      <w:bCs w:val="0"/>
      <w:i/>
      <w:iCs/>
      <w:smallCaps w:val="0"/>
      <w:strike w:val="0"/>
      <w:color w:val="000000"/>
      <w:spacing w:val="0"/>
      <w:w w:val="100"/>
      <w:position w:val="0"/>
      <w:sz w:val="22"/>
      <w:szCs w:val="22"/>
      <w:u w:val="none"/>
      <w:lang w:val="he-IL" w:eastAsia="he-IL" w:bidi="he-IL"/>
    </w:rPr>
  </w:style>
  <w:style w:type="numbering" w:customStyle="1" w:styleId="1111">
    <w:name w:val="ללא רשימה11"/>
    <w:next w:val="NoList"/>
    <w:uiPriority w:val="99"/>
    <w:semiHidden/>
    <w:unhideWhenUsed/>
    <w:rsid w:val="00205724"/>
  </w:style>
  <w:style w:type="paragraph" w:customStyle="1" w:styleId="big-header">
    <w:name w:val="big-header"/>
    <w:basedOn w:val="Normal"/>
    <w:rsid w:val="00205724"/>
    <w:pPr>
      <w:keepNext/>
      <w:keepLines/>
      <w:widowControl w:val="0"/>
      <w:tabs>
        <w:tab w:val="left" w:pos="624"/>
        <w:tab w:val="left" w:pos="1021"/>
        <w:tab w:val="left" w:pos="1474"/>
        <w:tab w:val="left" w:pos="1928"/>
        <w:tab w:val="left" w:pos="2381"/>
        <w:tab w:val="left" w:pos="2835"/>
      </w:tabs>
      <w:suppressAutoHyphens/>
      <w:autoSpaceDE w:val="0"/>
      <w:autoSpaceDN w:val="0"/>
      <w:spacing w:before="440" w:after="120" w:line="240" w:lineRule="auto"/>
      <w:ind w:left="2835"/>
      <w:jc w:val="center"/>
    </w:pPr>
    <w:rPr>
      <w:rFonts w:eastAsia="Times New Roman" w:cs="FrankRuehl"/>
      <w:noProof/>
      <w:szCs w:val="32"/>
      <w:lang w:eastAsia="he-IL"/>
    </w:rPr>
  </w:style>
  <w:style w:type="paragraph" w:customStyle="1" w:styleId="KOT5">
    <w:name w:val="KOT5"/>
    <w:basedOn w:val="Normal"/>
    <w:rsid w:val="00205724"/>
    <w:pPr>
      <w:keepNext/>
      <w:spacing w:after="120" w:line="260" w:lineRule="exact"/>
      <w:jc w:val="left"/>
    </w:pPr>
    <w:rPr>
      <w:rFonts w:eastAsia="Times New Roman"/>
      <w:b/>
      <w:bCs/>
      <w:sz w:val="22"/>
      <w:szCs w:val="22"/>
    </w:rPr>
  </w:style>
  <w:style w:type="character" w:customStyle="1" w:styleId="UnresolvedMention11">
    <w:name w:val="Unresolved Mention11"/>
    <w:basedOn w:val="DefaultParagraphFont"/>
    <w:uiPriority w:val="99"/>
    <w:semiHidden/>
    <w:unhideWhenUsed/>
    <w:rsid w:val="00205724"/>
    <w:rPr>
      <w:color w:val="605E5C"/>
      <w:shd w:val="clear" w:color="auto" w:fill="E1DFDD"/>
    </w:rPr>
  </w:style>
  <w:style w:type="character" w:customStyle="1" w:styleId="Bodytext7Exact">
    <w:name w:val="Body text (7) Exact"/>
    <w:basedOn w:val="Bodytext7"/>
    <w:rsid w:val="003B6D05"/>
    <w:rPr>
      <w:rFonts w:ascii="Tahoma" w:eastAsia="Tahoma" w:hAnsi="Tahoma" w:cs="Tahoma"/>
      <w:b/>
      <w:bCs/>
      <w:i w:val="0"/>
      <w:iCs w:val="0"/>
      <w:smallCaps w:val="0"/>
      <w:strike w:val="0"/>
      <w:color w:val="FFFFFF"/>
      <w:sz w:val="22"/>
      <w:szCs w:val="22"/>
      <w:u w:val="none"/>
      <w:shd w:val="clear" w:color="auto" w:fill="FFFFFF"/>
    </w:rPr>
  </w:style>
  <w:style w:type="character" w:customStyle="1" w:styleId="Bodytext7NotBoldExact">
    <w:name w:val="Body text (7) + Not Bold Exact"/>
    <w:basedOn w:val="Bodytext7"/>
    <w:rsid w:val="003B6D05"/>
    <w:rPr>
      <w:rFonts w:ascii="Tahoma" w:eastAsia="Tahoma" w:hAnsi="Tahoma" w:cs="Tahoma"/>
      <w:b/>
      <w:bCs/>
      <w:i w:val="0"/>
      <w:iCs w:val="0"/>
      <w:smallCaps w:val="0"/>
      <w:strike w:val="0"/>
      <w:color w:val="FFFFFF"/>
      <w:sz w:val="22"/>
      <w:szCs w:val="22"/>
      <w:u w:val="none"/>
      <w:shd w:val="clear" w:color="auto" w:fill="FFFFFF"/>
    </w:rPr>
  </w:style>
  <w:style w:type="character" w:customStyle="1" w:styleId="Bodytext713pt">
    <w:name w:val="Body text (7) + 13 pt"/>
    <w:aliases w:val="Not Bold Exact"/>
    <w:basedOn w:val="Bodytext7"/>
    <w:rsid w:val="003B6D05"/>
    <w:rPr>
      <w:rFonts w:ascii="Tahoma" w:eastAsia="Tahoma" w:hAnsi="Tahoma" w:cs="Tahoma"/>
      <w:b/>
      <w:bCs/>
      <w:i w:val="0"/>
      <w:iCs w:val="0"/>
      <w:smallCaps w:val="0"/>
      <w:strike w:val="0"/>
      <w:color w:val="FFFFFF"/>
      <w:sz w:val="26"/>
      <w:szCs w:val="26"/>
      <w:u w:val="none"/>
      <w:shd w:val="clear" w:color="auto" w:fill="FFFFFF"/>
    </w:rPr>
  </w:style>
  <w:style w:type="paragraph" w:customStyle="1" w:styleId="a24">
    <w:name w:val="טקסט רץ"/>
    <w:basedOn w:val="100"/>
    <w:link w:val="Char4"/>
    <w:qFormat/>
    <w:rsid w:val="00D17911"/>
    <w:pPr>
      <w:spacing w:after="180" w:line="260" w:lineRule="exact"/>
    </w:pPr>
    <w:rPr>
      <w:color w:val="0D0D0D"/>
      <w:szCs w:val="18"/>
    </w:rPr>
  </w:style>
  <w:style w:type="paragraph" w:customStyle="1" w:styleId="213">
    <w:name w:val="הערות שוליים 21"/>
    <w:basedOn w:val="FootnoteText"/>
    <w:link w:val="21Char"/>
    <w:qFormat/>
    <w:rsid w:val="001D2243"/>
    <w:pPr>
      <w:spacing w:after="60" w:line="220" w:lineRule="exact"/>
      <w:ind w:left="397" w:hanging="397"/>
    </w:pPr>
    <w:rPr>
      <w:rFonts w:ascii="Tahoma" w:hAnsi="Tahoma" w:cs="Tahoma"/>
      <w:color w:val="0D0D0D" w:themeColor="text1" w:themeTint="F2"/>
      <w:sz w:val="14"/>
      <w:szCs w:val="14"/>
    </w:rPr>
  </w:style>
  <w:style w:type="character" w:customStyle="1" w:styleId="10Char">
    <w:name w:val="טקסט רץ 10 Char"/>
    <w:basedOn w:val="DefaultParagraphFont"/>
    <w:link w:val="100"/>
    <w:rsid w:val="00D17911"/>
    <w:rPr>
      <w:rFonts w:ascii="Tahoma" w:hAnsi="Tahoma" w:cs="Tahoma"/>
      <w:szCs w:val="20"/>
    </w:rPr>
  </w:style>
  <w:style w:type="character" w:customStyle="1" w:styleId="Char4">
    <w:name w:val="טקסט רץ Char"/>
    <w:basedOn w:val="10Char"/>
    <w:link w:val="a24"/>
    <w:rsid w:val="00D17911"/>
    <w:rPr>
      <w:rFonts w:ascii="Tahoma" w:hAnsi="Tahoma" w:cs="Tahoma"/>
      <w:color w:val="0D0D0D"/>
      <w:szCs w:val="18"/>
    </w:rPr>
  </w:style>
  <w:style w:type="paragraph" w:customStyle="1" w:styleId="7190">
    <w:name w:val="71ג טקסט רץ 9"/>
    <w:basedOn w:val="a24"/>
    <w:link w:val="719Char"/>
    <w:qFormat/>
    <w:rsid w:val="000018EF"/>
    <w:rPr>
      <w:color w:val="0D0D0D" w:themeColor="text1" w:themeTint="F2"/>
      <w:sz w:val="18"/>
    </w:rPr>
  </w:style>
  <w:style w:type="character" w:customStyle="1" w:styleId="21Char">
    <w:name w:val="הערות שוליים 21 Char"/>
    <w:basedOn w:val="3"/>
    <w:link w:val="213"/>
    <w:rsid w:val="001D2243"/>
    <w:rPr>
      <w:rFonts w:ascii="Tahoma" w:hAnsi="Tahoma" w:cs="Tahoma"/>
      <w:color w:val="0D0D0D" w:themeColor="text1" w:themeTint="F2"/>
      <w:sz w:val="14"/>
      <w:szCs w:val="14"/>
    </w:rPr>
  </w:style>
  <w:style w:type="paragraph" w:customStyle="1" w:styleId="22021">
    <w:name w:val="כותרת 2 תקציר 2021"/>
    <w:basedOn w:val="121"/>
    <w:link w:val="22021Char"/>
    <w:qFormat/>
    <w:rsid w:val="00E64141"/>
    <w:pPr>
      <w:spacing w:before="360" w:after="240" w:line="440" w:lineRule="exact"/>
      <w:jc w:val="left"/>
      <w:outlineLvl w:val="1"/>
    </w:pPr>
    <w:rPr>
      <w:b/>
      <w:bCs/>
      <w:color w:val="00305F"/>
      <w:sz w:val="34"/>
      <w:szCs w:val="34"/>
    </w:rPr>
  </w:style>
  <w:style w:type="character" w:customStyle="1" w:styleId="719Char">
    <w:name w:val="71ג טקסט רץ 9 Char"/>
    <w:basedOn w:val="Char4"/>
    <w:link w:val="7190"/>
    <w:rsid w:val="000018EF"/>
    <w:rPr>
      <w:rFonts w:ascii="Tahoma" w:hAnsi="Tahoma" w:cs="Tahoma"/>
      <w:color w:val="0D0D0D" w:themeColor="text1" w:themeTint="F2"/>
      <w:sz w:val="18"/>
      <w:szCs w:val="18"/>
    </w:rPr>
  </w:style>
  <w:style w:type="paragraph" w:customStyle="1" w:styleId="a25">
    <w:name w:val="אייקון טורקיז רקע"/>
    <w:basedOn w:val="121"/>
    <w:link w:val="Char5"/>
    <w:qFormat/>
    <w:rsid w:val="00C51CB1"/>
    <w:pPr>
      <w:spacing w:before="360" w:after="240" w:line="440" w:lineRule="exact"/>
      <w:jc w:val="left"/>
      <w:outlineLvl w:val="1"/>
    </w:pPr>
    <w:rPr>
      <w:b/>
      <w:bCs/>
      <w:noProof/>
      <w:color w:val="00305F"/>
      <w:sz w:val="22"/>
      <w:szCs w:val="22"/>
      <w:lang w:val="he-IL"/>
    </w:rPr>
  </w:style>
  <w:style w:type="character" w:customStyle="1" w:styleId="tab-nameChar">
    <w:name w:val="tab-name Char"/>
    <w:basedOn w:val="DefaultParagraphFont"/>
    <w:link w:val="tab-name"/>
    <w:rsid w:val="00E64141"/>
    <w:rPr>
      <w:rFonts w:ascii="Tahoma" w:hAnsi="Tahoma" w:eastAsiaTheme="minorEastAsia" w:cs="Tahoma"/>
      <w:color w:val="365F91" w:themeColor="accent1" w:themeShade="BF"/>
      <w:sz w:val="18"/>
      <w:szCs w:val="18"/>
    </w:rPr>
  </w:style>
  <w:style w:type="character" w:customStyle="1" w:styleId="121Char">
    <w:name w:val="כותרת 1_21 Char"/>
    <w:basedOn w:val="tab-nameChar"/>
    <w:link w:val="121"/>
    <w:rsid w:val="00E64141"/>
    <w:rPr>
      <w:rFonts w:ascii="Tahoma" w:hAnsi="Tahoma" w:eastAsiaTheme="minorEastAsia" w:cs="Tahoma"/>
      <w:color w:val="2A2AA6"/>
      <w:sz w:val="42"/>
      <w:szCs w:val="42"/>
    </w:rPr>
  </w:style>
  <w:style w:type="character" w:customStyle="1" w:styleId="22021Char">
    <w:name w:val="כותרת 2 תקציר 2021 Char"/>
    <w:basedOn w:val="121Char"/>
    <w:link w:val="22021"/>
    <w:rsid w:val="00E64141"/>
    <w:rPr>
      <w:rFonts w:ascii="Tahoma" w:hAnsi="Tahoma" w:eastAsiaTheme="minorEastAsia" w:cs="Tahoma"/>
      <w:b/>
      <w:bCs/>
      <w:color w:val="00305F"/>
      <w:sz w:val="34"/>
      <w:szCs w:val="34"/>
    </w:rPr>
  </w:style>
  <w:style w:type="paragraph" w:customStyle="1" w:styleId="12021">
    <w:name w:val="כותרת 1   2021"/>
    <w:basedOn w:val="121"/>
    <w:link w:val="12021Char"/>
    <w:qFormat/>
    <w:rsid w:val="007D1D95"/>
    <w:pPr>
      <w:spacing w:before="360" w:after="180" w:line="260" w:lineRule="exact"/>
    </w:pPr>
    <w:rPr>
      <w:b/>
      <w:bCs/>
      <w:color w:val="00305F"/>
      <w:sz w:val="34"/>
      <w:szCs w:val="34"/>
    </w:rPr>
  </w:style>
  <w:style w:type="character" w:customStyle="1" w:styleId="Char5">
    <w:name w:val="אייקון טורקיז רקע Char"/>
    <w:basedOn w:val="121Char"/>
    <w:link w:val="a25"/>
    <w:rsid w:val="00C51CB1"/>
    <w:rPr>
      <w:rFonts w:ascii="Tahoma" w:hAnsi="Tahoma" w:eastAsiaTheme="minorEastAsia" w:cs="Tahoma"/>
      <w:b/>
      <w:bCs/>
      <w:noProof/>
      <w:color w:val="00305F"/>
      <w:sz w:val="22"/>
      <w:szCs w:val="22"/>
      <w:lang w:val="he-IL"/>
    </w:rPr>
  </w:style>
  <w:style w:type="paragraph" w:customStyle="1" w:styleId="2021">
    <w:name w:val="מספרים גדולים בטבלת תקציר 2021"/>
    <w:basedOn w:val="121"/>
    <w:link w:val="2021Char"/>
    <w:qFormat/>
    <w:rsid w:val="00C27BF6"/>
    <w:pPr>
      <w:spacing w:before="120" w:line="240" w:lineRule="auto"/>
      <w:jc w:val="left"/>
    </w:pPr>
    <w:rPr>
      <w:b/>
      <w:bCs/>
      <w:color w:val="0D0D0D" w:themeColor="text1" w:themeTint="F2"/>
      <w:sz w:val="36"/>
      <w:szCs w:val="36"/>
    </w:rPr>
  </w:style>
  <w:style w:type="character" w:customStyle="1" w:styleId="12021Char">
    <w:name w:val="כותרת 1   2021 Char"/>
    <w:basedOn w:val="121Char"/>
    <w:link w:val="12021"/>
    <w:rsid w:val="007D1D95"/>
    <w:rPr>
      <w:rFonts w:ascii="Tahoma" w:hAnsi="Tahoma" w:eastAsiaTheme="minorEastAsia" w:cs="Tahoma"/>
      <w:b/>
      <w:bCs/>
      <w:color w:val="00305F"/>
      <w:sz w:val="34"/>
      <w:szCs w:val="34"/>
    </w:rPr>
  </w:style>
  <w:style w:type="paragraph" w:customStyle="1" w:styleId="20210">
    <w:name w:val="ערכים בלוח התקציר 2021"/>
    <w:basedOn w:val="121"/>
    <w:link w:val="2021Char0"/>
    <w:qFormat/>
    <w:rsid w:val="00C27BF6"/>
    <w:pPr>
      <w:spacing w:before="0" w:after="180" w:line="240" w:lineRule="auto"/>
      <w:jc w:val="left"/>
    </w:pPr>
    <w:rPr>
      <w:color w:val="0D0D0D" w:themeColor="text1" w:themeTint="F2"/>
      <w:w w:val="90"/>
      <w:sz w:val="18"/>
      <w:szCs w:val="18"/>
    </w:rPr>
  </w:style>
  <w:style w:type="character" w:customStyle="1" w:styleId="2021Char">
    <w:name w:val="מספרים גדולים בטבלת תקציר 2021 Char"/>
    <w:basedOn w:val="121Char"/>
    <w:link w:val="2021"/>
    <w:rsid w:val="00C27BF6"/>
    <w:rPr>
      <w:rFonts w:ascii="Tahoma" w:hAnsi="Tahoma" w:eastAsiaTheme="minorEastAsia" w:cs="Tahoma"/>
      <w:b/>
      <w:bCs/>
      <w:color w:val="0D0D0D" w:themeColor="text1" w:themeTint="F2"/>
      <w:sz w:val="36"/>
      <w:szCs w:val="36"/>
    </w:rPr>
  </w:style>
  <w:style w:type="paragraph" w:customStyle="1" w:styleId="20211">
    <w:name w:val="כיתוב בתוך טבלת תקציר 2021"/>
    <w:basedOn w:val="20210"/>
    <w:link w:val="2021Char1"/>
    <w:qFormat/>
    <w:rsid w:val="00EA5AC0"/>
  </w:style>
  <w:style w:type="character" w:customStyle="1" w:styleId="2021Char0">
    <w:name w:val="ערכים בלוח התקציר 2021 Char"/>
    <w:basedOn w:val="121Char"/>
    <w:link w:val="20210"/>
    <w:rsid w:val="00C27BF6"/>
    <w:rPr>
      <w:rFonts w:ascii="Tahoma" w:hAnsi="Tahoma" w:eastAsiaTheme="minorEastAsia" w:cs="Tahoma"/>
      <w:color w:val="0D0D0D" w:themeColor="text1" w:themeTint="F2"/>
      <w:w w:val="90"/>
      <w:sz w:val="18"/>
      <w:szCs w:val="18"/>
    </w:rPr>
  </w:style>
  <w:style w:type="character" w:customStyle="1" w:styleId="2021Char1">
    <w:name w:val="כיתוב בתוך טבלת תקציר 2021 Char"/>
    <w:basedOn w:val="2021Char0"/>
    <w:link w:val="20211"/>
    <w:rsid w:val="00EA5AC0"/>
    <w:rPr>
      <w:rFonts w:ascii="Tahoma" w:hAnsi="Tahoma" w:eastAsiaTheme="minorEastAsia" w:cs="Tahoma"/>
      <w:color w:val="0D0D0D" w:themeColor="text1" w:themeTint="F2"/>
      <w:w w:val="90"/>
      <w:sz w:val="18"/>
      <w:szCs w:val="18"/>
    </w:rPr>
  </w:style>
  <w:style w:type="paragraph" w:customStyle="1" w:styleId="Style2">
    <w:name w:val="Style2"/>
    <w:basedOn w:val="22021"/>
    <w:link w:val="Style2Char"/>
    <w:qFormat/>
    <w:rsid w:val="00D66C52"/>
    <w:rPr>
      <w:szCs w:val="32"/>
    </w:rPr>
  </w:style>
  <w:style w:type="paragraph" w:customStyle="1" w:styleId="214">
    <w:name w:val="סיכום תקציר 21"/>
    <w:basedOn w:val="Style2"/>
    <w:link w:val="21Char0"/>
    <w:qFormat/>
    <w:rsid w:val="00EC6229"/>
    <w:pPr>
      <w:spacing w:before="0" w:after="180" w:line="240" w:lineRule="atLeast"/>
    </w:pPr>
  </w:style>
  <w:style w:type="paragraph" w:customStyle="1" w:styleId="215">
    <w:name w:val="עיקרי המלצות הביקורת 21"/>
    <w:basedOn w:val="Style2"/>
    <w:link w:val="21Char1"/>
    <w:qFormat/>
    <w:rsid w:val="00935F94"/>
    <w:pPr>
      <w:spacing w:before="0" w:after="180" w:line="240" w:lineRule="atLeast"/>
    </w:pPr>
    <w:rPr>
      <w:color w:val="002E5F"/>
    </w:rPr>
  </w:style>
  <w:style w:type="character" w:customStyle="1" w:styleId="Style2Char">
    <w:name w:val="Style2 Char"/>
    <w:basedOn w:val="22021Char"/>
    <w:link w:val="Style2"/>
    <w:rsid w:val="00EC6229"/>
    <w:rPr>
      <w:rFonts w:ascii="Tahoma" w:hAnsi="Tahoma" w:eastAsiaTheme="minorEastAsia" w:cs="Tahoma"/>
      <w:b/>
      <w:bCs/>
      <w:color w:val="00305F"/>
      <w:sz w:val="34"/>
      <w:szCs w:val="32"/>
    </w:rPr>
  </w:style>
  <w:style w:type="character" w:customStyle="1" w:styleId="21Char0">
    <w:name w:val="סיכום תקציר 21 Char"/>
    <w:basedOn w:val="Style2Char"/>
    <w:link w:val="214"/>
    <w:rsid w:val="00EC6229"/>
    <w:rPr>
      <w:rFonts w:ascii="Tahoma" w:hAnsi="Tahoma" w:eastAsiaTheme="minorEastAsia" w:cs="Tahoma"/>
      <w:b/>
      <w:bCs/>
      <w:color w:val="00305F"/>
      <w:sz w:val="34"/>
      <w:szCs w:val="32"/>
    </w:rPr>
  </w:style>
  <w:style w:type="paragraph" w:customStyle="1" w:styleId="216">
    <w:name w:val="פעולות הביקורת 21"/>
    <w:basedOn w:val="Style2"/>
    <w:link w:val="21Char2"/>
    <w:qFormat/>
    <w:rsid w:val="008C09EB"/>
    <w:pPr>
      <w:spacing w:before="0" w:after="180" w:line="240" w:lineRule="atLeast"/>
    </w:pPr>
    <w:rPr>
      <w:b w:val="0"/>
      <w:sz w:val="32"/>
    </w:rPr>
  </w:style>
  <w:style w:type="character" w:customStyle="1" w:styleId="21Char1">
    <w:name w:val="עיקרי המלצות הביקורת 21 Char"/>
    <w:basedOn w:val="Style2Char"/>
    <w:link w:val="215"/>
    <w:rsid w:val="00935F94"/>
    <w:rPr>
      <w:rFonts w:ascii="Tahoma" w:hAnsi="Tahoma" w:eastAsiaTheme="minorEastAsia" w:cs="Tahoma"/>
      <w:b/>
      <w:bCs/>
      <w:color w:val="002E5F"/>
      <w:sz w:val="34"/>
      <w:szCs w:val="32"/>
    </w:rPr>
  </w:style>
  <w:style w:type="character" w:customStyle="1" w:styleId="21Char2">
    <w:name w:val="פעולות הביקורת 21 Char"/>
    <w:basedOn w:val="Style2Char"/>
    <w:link w:val="216"/>
    <w:rsid w:val="008C09EB"/>
    <w:rPr>
      <w:rFonts w:ascii="Tahoma" w:hAnsi="Tahoma" w:eastAsiaTheme="minorEastAsia" w:cs="Tahoma"/>
      <w:b w:val="0"/>
      <w:bCs/>
      <w:color w:val="00305F"/>
      <w:sz w:val="32"/>
      <w:szCs w:val="32"/>
    </w:rPr>
  </w:style>
  <w:style w:type="paragraph" w:customStyle="1" w:styleId="Style3">
    <w:name w:val="Style3"/>
    <w:basedOn w:val="7190"/>
    <w:link w:val="Style3Char"/>
    <w:qFormat/>
    <w:rsid w:val="003E672B"/>
    <w:pPr>
      <w:numPr>
        <w:numId w:val="13"/>
      </w:numPr>
      <w:ind w:left="357" w:hanging="357"/>
    </w:pPr>
  </w:style>
  <w:style w:type="paragraph" w:customStyle="1" w:styleId="217">
    <w:name w:val="פעולות הביקורת21"/>
    <w:basedOn w:val="7190"/>
    <w:link w:val="21Char3"/>
    <w:qFormat/>
    <w:rsid w:val="00EE6D5C"/>
    <w:pPr>
      <w:ind w:left="-1"/>
    </w:pPr>
    <w:rPr>
      <w:color w:val="auto"/>
    </w:rPr>
  </w:style>
  <w:style w:type="character" w:customStyle="1" w:styleId="Style3Char">
    <w:name w:val="Style3 Char"/>
    <w:basedOn w:val="719Char"/>
    <w:link w:val="Style3"/>
    <w:rsid w:val="003E672B"/>
    <w:rPr>
      <w:rFonts w:ascii="Tahoma" w:hAnsi="Tahoma" w:cs="Tahoma"/>
      <w:color w:val="0D0D0D" w:themeColor="text1" w:themeTint="F2"/>
      <w:sz w:val="18"/>
      <w:szCs w:val="18"/>
    </w:rPr>
  </w:style>
  <w:style w:type="paragraph" w:customStyle="1" w:styleId="20212">
    <w:name w:val="טקסט רץ 2021"/>
    <w:basedOn w:val="Style2"/>
    <w:rsid w:val="009F4F93"/>
    <w:pPr>
      <w:spacing w:before="0" w:after="180" w:line="240" w:lineRule="atLeast"/>
    </w:pPr>
  </w:style>
  <w:style w:type="paragraph" w:customStyle="1" w:styleId="a26">
    <w:name w:val="לוחות/תרשימים/תמונות/אינפוגרפיקה/מפות"/>
    <w:basedOn w:val="Normal"/>
    <w:qFormat/>
    <w:rsid w:val="00A93F51"/>
    <w:pPr>
      <w:keepNext/>
      <w:spacing w:after="200"/>
      <w:jc w:val="center"/>
    </w:pPr>
    <w:rPr>
      <w:rFonts w:ascii="Tahoma" w:hAnsi="Tahoma" w:eastAsiaTheme="minorEastAsia" w:cs="Tahoma"/>
      <w:color w:val="365F91" w:themeColor="accent1" w:themeShade="BF"/>
      <w:szCs w:val="20"/>
    </w:rPr>
  </w:style>
  <w:style w:type="paragraph" w:customStyle="1" w:styleId="7123">
    <w:name w:val="71ג כותרת סיכום"/>
    <w:basedOn w:val="100"/>
    <w:qFormat/>
    <w:rsid w:val="00131349"/>
    <w:pPr>
      <w:spacing w:after="180" w:line="260" w:lineRule="exact"/>
    </w:pPr>
    <w:rPr>
      <w:b/>
      <w:bCs/>
      <w:color w:val="00305F"/>
      <w:sz w:val="32"/>
      <w:szCs w:val="32"/>
    </w:rPr>
  </w:style>
  <w:style w:type="paragraph" w:customStyle="1" w:styleId="7124">
    <w:name w:val="71ג תמונת המצב העולה מן הביקורת"/>
    <w:basedOn w:val="216"/>
    <w:link w:val="71Char1"/>
    <w:qFormat/>
    <w:rsid w:val="00E4219A"/>
  </w:style>
  <w:style w:type="paragraph" w:customStyle="1" w:styleId="Style4">
    <w:name w:val="Style4"/>
    <w:basedOn w:val="216"/>
    <w:link w:val="Style4Char"/>
    <w:qFormat/>
    <w:rsid w:val="00AA2B4F"/>
  </w:style>
  <w:style w:type="character" w:customStyle="1" w:styleId="71Char1">
    <w:name w:val="71ג תמונת המצב העולה מן הביקורת Char"/>
    <w:basedOn w:val="21Char2"/>
    <w:link w:val="7124"/>
    <w:rsid w:val="00E4219A"/>
    <w:rPr>
      <w:rFonts w:ascii="Tahoma" w:hAnsi="Tahoma" w:eastAsiaTheme="minorEastAsia" w:cs="Tahoma"/>
      <w:b w:val="0"/>
      <w:bCs/>
      <w:color w:val="00305F"/>
      <w:sz w:val="32"/>
      <w:szCs w:val="32"/>
    </w:rPr>
  </w:style>
  <w:style w:type="character" w:customStyle="1" w:styleId="Style4Char">
    <w:name w:val="Style4 Char"/>
    <w:basedOn w:val="21Char2"/>
    <w:link w:val="Style4"/>
    <w:rsid w:val="00AA2B4F"/>
    <w:rPr>
      <w:rFonts w:ascii="Tahoma" w:hAnsi="Tahoma" w:eastAsiaTheme="minorEastAsia" w:cs="Tahoma"/>
      <w:b w:val="0"/>
      <w:bCs/>
      <w:color w:val="00305F"/>
      <w:sz w:val="32"/>
      <w:szCs w:val="32"/>
    </w:rPr>
  </w:style>
  <w:style w:type="paragraph" w:customStyle="1" w:styleId="7125">
    <w:name w:val="71ג כותרת 2"/>
    <w:basedOn w:val="Normal"/>
    <w:link w:val="712Char"/>
    <w:qFormat/>
    <w:rsid w:val="00E2527D"/>
    <w:pPr>
      <w:spacing w:before="360" w:after="240" w:line="440" w:lineRule="exact"/>
      <w:jc w:val="left"/>
      <w:outlineLvl w:val="1"/>
    </w:pPr>
    <w:rPr>
      <w:rFonts w:ascii="Tahoma" w:hAnsi="Tahoma" w:cs="Tahoma"/>
      <w:b/>
      <w:bCs/>
      <w:color w:val="00305F"/>
      <w:sz w:val="40"/>
      <w:szCs w:val="34"/>
    </w:rPr>
  </w:style>
  <w:style w:type="character" w:customStyle="1" w:styleId="712Char">
    <w:name w:val="71ג כותרת 2 Char"/>
    <w:basedOn w:val="DefaultParagraphFont"/>
    <w:link w:val="7125"/>
    <w:rsid w:val="00E2527D"/>
    <w:rPr>
      <w:rFonts w:ascii="Tahoma" w:hAnsi="Tahoma" w:cs="Tahoma"/>
      <w:b/>
      <w:bCs/>
      <w:color w:val="00305F"/>
      <w:sz w:val="40"/>
      <w:szCs w:val="34"/>
    </w:rPr>
  </w:style>
  <w:style w:type="paragraph" w:customStyle="1" w:styleId="Style5">
    <w:name w:val="Style5"/>
    <w:basedOn w:val="710"/>
    <w:link w:val="Style5Char"/>
    <w:qFormat/>
    <w:rsid w:val="00565F1B"/>
  </w:style>
  <w:style w:type="character" w:customStyle="1" w:styleId="71Char2">
    <w:name w:val="71ג הערות שוליים Char"/>
    <w:basedOn w:val="3"/>
    <w:link w:val="710"/>
    <w:rsid w:val="00565F1B"/>
    <w:rPr>
      <w:rFonts w:ascii="Tahoma" w:hAnsi="Tahoma" w:cs="Tahoma"/>
      <w:color w:val="0D0D0D" w:themeColor="text1" w:themeTint="F2"/>
      <w:sz w:val="14"/>
      <w:szCs w:val="14"/>
    </w:rPr>
  </w:style>
  <w:style w:type="character" w:customStyle="1" w:styleId="Style5Char">
    <w:name w:val="Style5 Char"/>
    <w:basedOn w:val="71Char2"/>
    <w:link w:val="Style5"/>
    <w:rsid w:val="00565F1B"/>
    <w:rPr>
      <w:rFonts w:ascii="Tahoma" w:hAnsi="Tahoma" w:cs="Tahoma"/>
      <w:color w:val="0D0D0D" w:themeColor="text1" w:themeTint="F2"/>
      <w:sz w:val="14"/>
      <w:szCs w:val="14"/>
    </w:rPr>
  </w:style>
  <w:style w:type="paragraph" w:customStyle="1" w:styleId="7100">
    <w:name w:val="71ג מקרא לתרשים תמונה לוח רווח אחרי 0"/>
    <w:basedOn w:val="715"/>
    <w:link w:val="710Char"/>
    <w:qFormat/>
    <w:rsid w:val="00050995"/>
    <w:pPr>
      <w:spacing w:after="0" w:line="260" w:lineRule="exact"/>
    </w:pPr>
  </w:style>
  <w:style w:type="character" w:customStyle="1" w:styleId="71Char3">
    <w:name w:val="71ג מקרא+הערות לתרשים/לוח/תמונה Char"/>
    <w:basedOn w:val="71Char2"/>
    <w:link w:val="715"/>
    <w:rsid w:val="00050995"/>
    <w:rPr>
      <w:rFonts w:ascii="Tahoma" w:hAnsi="Tahoma" w:cs="Tahoma"/>
      <w:color w:val="0D0D0D" w:themeColor="text1" w:themeTint="F2"/>
      <w:sz w:val="16"/>
      <w:szCs w:val="16"/>
    </w:rPr>
  </w:style>
  <w:style w:type="character" w:customStyle="1" w:styleId="710Char">
    <w:name w:val="71ג מקרא לתרשים תמונה לוח רווח אחרי 0 Char"/>
    <w:basedOn w:val="71Char3"/>
    <w:link w:val="7100"/>
    <w:rsid w:val="00050995"/>
    <w:rPr>
      <w:rFonts w:ascii="Tahoma" w:hAnsi="Tahoma" w:cs="Tahoma"/>
      <w:color w:val="0D0D0D" w:themeColor="text1" w:themeTint="F2"/>
      <w:sz w:val="16"/>
      <w:szCs w:val="16"/>
    </w:rPr>
  </w:style>
  <w:style w:type="paragraph" w:customStyle="1" w:styleId="7195">
    <w:name w:val="71ג בולד 9.5 בתוך שורה"/>
    <w:basedOn w:val="217"/>
    <w:link w:val="7195Char"/>
    <w:qFormat/>
    <w:rsid w:val="00C74181"/>
    <w:pPr>
      <w:ind w:left="397"/>
    </w:pPr>
    <w:rPr>
      <w:bCs/>
      <w:noProof/>
      <w:color w:val="0D0D0D" w:themeColor="text1" w:themeTint="F2"/>
      <w:szCs w:val="19"/>
      <w:lang w:val="he-IL"/>
    </w:rPr>
  </w:style>
  <w:style w:type="paragraph" w:customStyle="1" w:styleId="7126">
    <w:name w:val="71ג כותרת באותיות לבנות באדום בתקציר"/>
    <w:basedOn w:val="Normal"/>
    <w:link w:val="71Char4"/>
    <w:qFormat/>
    <w:rsid w:val="00A47335"/>
    <w:pPr>
      <w:spacing w:before="120" w:line="240" w:lineRule="atLeast"/>
      <w:ind w:left="170" w:right="113"/>
      <w:jc w:val="left"/>
    </w:pPr>
    <w:rPr>
      <w:rFonts w:ascii="Tahoma" w:hAnsi="Tahoma" w:cs="Tahoma"/>
      <w:b/>
      <w:color w:val="FFFFFF" w:themeColor="background1"/>
      <w:sz w:val="22"/>
      <w:szCs w:val="22"/>
    </w:rPr>
  </w:style>
  <w:style w:type="character" w:customStyle="1" w:styleId="21Char3">
    <w:name w:val="פעולות הביקורת21 Char"/>
    <w:basedOn w:val="719Char"/>
    <w:link w:val="217"/>
    <w:rsid w:val="00C74181"/>
    <w:rPr>
      <w:rFonts w:ascii="Tahoma" w:hAnsi="Tahoma" w:cs="Tahoma"/>
      <w:color w:val="0D0D0D" w:themeColor="text1" w:themeTint="F2"/>
      <w:sz w:val="18"/>
      <w:szCs w:val="18"/>
    </w:rPr>
  </w:style>
  <w:style w:type="character" w:customStyle="1" w:styleId="7195Char">
    <w:name w:val="71ג בולד 9.5 בתוך שורה Char"/>
    <w:basedOn w:val="21Char3"/>
    <w:link w:val="7195"/>
    <w:rsid w:val="00C74181"/>
    <w:rPr>
      <w:rFonts w:ascii="Tahoma" w:hAnsi="Tahoma" w:cs="Tahoma"/>
      <w:bCs/>
      <w:noProof/>
      <w:color w:val="0D0D0D" w:themeColor="text1" w:themeTint="F2"/>
      <w:sz w:val="18"/>
      <w:szCs w:val="19"/>
      <w:lang w:val="he-IL"/>
    </w:rPr>
  </w:style>
  <w:style w:type="character" w:customStyle="1" w:styleId="71Char4">
    <w:name w:val="71ג כותרת באותיות לבנות באדום בתקציר Char"/>
    <w:basedOn w:val="DefaultParagraphFont"/>
    <w:link w:val="7126"/>
    <w:rsid w:val="00A47335"/>
    <w:rPr>
      <w:rFonts w:ascii="Tahoma" w:hAnsi="Tahoma" w:cs="Tahoma"/>
      <w:b/>
      <w:color w:val="FFFFFF" w:themeColor="background1"/>
      <w:sz w:val="22"/>
      <w:szCs w:val="22"/>
    </w:rPr>
  </w:style>
  <w:style w:type="paragraph" w:customStyle="1" w:styleId="33">
    <w:name w:val="שורת רווח לפני כותרת 3 בטקסט רץ"/>
    <w:basedOn w:val="7190"/>
    <w:link w:val="3Char"/>
    <w:qFormat/>
    <w:rsid w:val="0044419E"/>
    <w:pPr>
      <w:outlineLvl w:val="2"/>
    </w:pPr>
  </w:style>
  <w:style w:type="paragraph" w:customStyle="1" w:styleId="7130">
    <w:name w:val="71ג שורת רווח לפני כותרת 3 בטקסט רץ"/>
    <w:basedOn w:val="33"/>
    <w:qFormat/>
    <w:rsid w:val="0044419E"/>
  </w:style>
  <w:style w:type="character" w:customStyle="1" w:styleId="3Char">
    <w:name w:val="שורת רווח לפני כותרת 3 בטקסט רץ Char"/>
    <w:basedOn w:val="719Char"/>
    <w:link w:val="33"/>
    <w:rsid w:val="0044419E"/>
    <w:rPr>
      <w:rFonts w:ascii="Tahoma" w:hAnsi="Tahoma" w:cs="Tahoma"/>
      <w:color w:val="0D0D0D" w:themeColor="text1" w:themeTint="F2"/>
      <w:sz w:val="18"/>
      <w:szCs w:val="18"/>
    </w:rPr>
  </w:style>
  <w:style w:type="paragraph" w:customStyle="1" w:styleId="71110">
    <w:name w:val="71ג מרווח של 1 בטקס רץ"/>
    <w:basedOn w:val="7190"/>
    <w:link w:val="711Char"/>
    <w:qFormat/>
    <w:rsid w:val="00D51AD6"/>
    <w:rPr>
      <w:spacing w:val="20"/>
    </w:rPr>
  </w:style>
  <w:style w:type="character" w:customStyle="1" w:styleId="711Char">
    <w:name w:val="71ג מרווח של 1 בטקס רץ Char"/>
    <w:basedOn w:val="719Char"/>
    <w:link w:val="71110"/>
    <w:rsid w:val="00D51AD6"/>
    <w:rPr>
      <w:rFonts w:ascii="Tahoma" w:hAnsi="Tahoma" w:cs="Tahoma"/>
      <w:color w:val="0D0D0D" w:themeColor="text1" w:themeTint="F2"/>
      <w:spacing w:val="20"/>
      <w:sz w:val="18"/>
      <w:szCs w:val="18"/>
    </w:rPr>
  </w:style>
  <w:style w:type="paragraph" w:customStyle="1" w:styleId="71155">
    <w:name w:val="71ג כותרת גודל 15.5"/>
    <w:basedOn w:val="71316"/>
    <w:link w:val="71155Char"/>
    <w:qFormat/>
    <w:rsid w:val="005D6E99"/>
    <w:rPr>
      <w:sz w:val="31"/>
      <w:szCs w:val="31"/>
    </w:rPr>
  </w:style>
  <w:style w:type="character" w:customStyle="1" w:styleId="71155Char">
    <w:name w:val="71ג כותרת גודל 15.5 Char"/>
    <w:basedOn w:val="71316Char"/>
    <w:link w:val="71155"/>
    <w:rsid w:val="005D6E99"/>
    <w:rPr>
      <w:rFonts w:ascii="Tahoma" w:eastAsia="Times New Roman" w:hAnsi="Tahoma" w:cs="Tahoma"/>
      <w:b/>
      <w:bCs/>
      <w:color w:val="00305F"/>
      <w:sz w:val="31"/>
      <w:szCs w:val="31"/>
      <w:u w:val="single"/>
    </w:rPr>
  </w:style>
  <w:style w:type="paragraph" w:customStyle="1" w:styleId="KOT1N">
    <w:name w:val="KOT1N"/>
    <w:qFormat/>
    <w:rsid w:val="00B73774"/>
    <w:pPr>
      <w:spacing w:after="120" w:line="440" w:lineRule="exact"/>
      <w:jc w:val="center"/>
    </w:pPr>
    <w:rPr>
      <w:rFonts w:ascii="Arial Bold" w:hAnsi="Arial Bold" w:eastAsiaTheme="majorEastAsia" w:cs="Tahoma"/>
      <w:b/>
      <w:bCs/>
      <w:color w:val="00305F"/>
      <w:sz w:val="34"/>
      <w:szCs w:val="3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image" Target="media/image1.jpeg" /><Relationship Id="rId11" Type="http://schemas.openxmlformats.org/officeDocument/2006/relationships/image" Target="media/image2.jpeg" /><Relationship Id="rId12" Type="http://schemas.openxmlformats.org/officeDocument/2006/relationships/hyperlink" Target="http://www.mevaker.gov.il" TargetMode="External" /><Relationship Id="rId13" Type="http://schemas.openxmlformats.org/officeDocument/2006/relationships/footer" Target="footer1.xml" /><Relationship Id="rId14" Type="http://schemas.openxmlformats.org/officeDocument/2006/relationships/footer" Target="footer2.xml" /><Relationship Id="rId15" Type="http://schemas.openxmlformats.org/officeDocument/2006/relationships/header" Target="header1.xml" /><Relationship Id="rId16" Type="http://schemas.openxmlformats.org/officeDocument/2006/relationships/footer" Target="footer3.xml" /><Relationship Id="rId17" Type="http://schemas.openxmlformats.org/officeDocument/2006/relationships/header" Target="header2.xml" /><Relationship Id="rId18" Type="http://schemas.openxmlformats.org/officeDocument/2006/relationships/header" Target="header3.xml" /><Relationship Id="rId19" Type="http://schemas.openxmlformats.org/officeDocument/2006/relationships/footer" Target="footer4.xml" /><Relationship Id="rId2" Type="http://schemas.openxmlformats.org/officeDocument/2006/relationships/endnotes" Target="endnotes.xml" /><Relationship Id="rId20" Type="http://schemas.openxmlformats.org/officeDocument/2006/relationships/header" Target="header4.xml" /><Relationship Id="rId21" Type="http://schemas.openxmlformats.org/officeDocument/2006/relationships/image" Target="media/image4.jpeg" /><Relationship Id="rId22" Type="http://schemas.openxmlformats.org/officeDocument/2006/relationships/header" Target="header5.xml" /><Relationship Id="rId23" Type="http://schemas.openxmlformats.org/officeDocument/2006/relationships/header" Target="header6.xml" /><Relationship Id="rId24" Type="http://schemas.openxmlformats.org/officeDocument/2006/relationships/footer" Target="footer5.xml" /><Relationship Id="rId25" Type="http://schemas.openxmlformats.org/officeDocument/2006/relationships/footer" Target="footer6.xml" /><Relationship Id="rId26" Type="http://schemas.openxmlformats.org/officeDocument/2006/relationships/header" Target="header7.xml" /><Relationship Id="rId27" Type="http://schemas.openxmlformats.org/officeDocument/2006/relationships/footer" Target="footer7.xml" /><Relationship Id="rId28" Type="http://schemas.openxmlformats.org/officeDocument/2006/relationships/header" Target="header8.xml" /><Relationship Id="rId29" Type="http://schemas.openxmlformats.org/officeDocument/2006/relationships/theme" Target="theme/theme1.xml" /><Relationship Id="rId3" Type="http://schemas.openxmlformats.org/officeDocument/2006/relationships/settings" Target="settings.xml" /><Relationship Id="rId30" Type="http://schemas.openxmlformats.org/officeDocument/2006/relationships/numbering" Target="numbering.xml" /><Relationship Id="rId31" Type="http://schemas.openxmlformats.org/officeDocument/2006/relationships/styles" Target="style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header2.xml.rels><?xml version="1.0" encoding="utf-8" standalone="yes"?><Relationships xmlns="http://schemas.openxmlformats.org/package/2006/relationships"><Relationship Id="rId1" Type="http://schemas.openxmlformats.org/officeDocument/2006/relationships/image" Target="media/image3.jpeg" /></Relationships>
</file>

<file path=word/_rels/header3.xml.rels><?xml version="1.0" encoding="utf-8" standalone="yes"?><Relationships xmlns="http://schemas.openxmlformats.org/package/2006/relationships"><Relationship Id="rId1" Type="http://schemas.openxmlformats.org/officeDocument/2006/relationships/image" Target="media/image2.jpeg" /></Relationships>
</file>

<file path=word/_rels/header4.xml.rels><?xml version="1.0" encoding="utf-8" standalone="yes"?><Relationships xmlns="http://schemas.openxmlformats.org/package/2006/relationships"><Relationship Id="rId1" Type="http://schemas.openxmlformats.org/officeDocument/2006/relationships/image" Target="media/image2.jpeg" /></Relationships>
</file>

<file path=word/_rels/header5.xml.rels><?xml version="1.0" encoding="utf-8" standalone="yes"?><Relationships xmlns="http://schemas.openxmlformats.org/package/2006/relationships"><Relationship Id="rId1" Type="http://schemas.openxmlformats.org/officeDocument/2006/relationships/image" Target="media/image3.jpeg" /></Relationships>
</file>

<file path=word/_rels/header6.xml.rels><?xml version="1.0" encoding="utf-8" standalone="yes"?><Relationships xmlns="http://schemas.openxmlformats.org/package/2006/relationships"><Relationship Id="rId1" Type="http://schemas.openxmlformats.org/officeDocument/2006/relationships/image" Target="media/image2.jpeg" /></Relationships>
</file>

<file path=word/_rels/header7.xml.rels><?xml version="1.0" encoding="utf-8" standalone="yes"?><Relationships xmlns="http://schemas.openxmlformats.org/package/2006/relationships"><Relationship Id="rId1" Type="http://schemas.openxmlformats.org/officeDocument/2006/relationships/image" Target="media/image5.jpeg" /><Relationship Id="rId2" Type="http://schemas.openxmlformats.org/officeDocument/2006/relationships/image" Target="media/image6.jpeg" /></Relationships>
</file>

<file path=word/_rels/header8.xml.rels><?xml version="1.0" encoding="utf-8" standalone="yes"?><Relationships xmlns="http://schemas.openxmlformats.org/package/2006/relationships"><Relationship Id="rId1" Type="http://schemas.openxmlformats.org/officeDocument/2006/relationships/image" Target="media/image2.jpeg" /></Relationships>
</file>

<file path=word/_rels/numbering.xml.rels><?xml version="1.0" encoding="utf-8" standalone="yes"?><Relationships xmlns="http://schemas.openxmlformats.org/package/2006/relationships"><Relationship Id="rId1" Type="http://schemas.openxmlformats.org/officeDocument/2006/relationships/image" Target="media/image7.jpeg" /></Relationships>
</file>

<file path=word/_rels/settings.xml.rels><?xml version="1.0" encoding="utf-8" standalone="yes"?><Relationships xmlns="http://schemas.openxmlformats.org/package/2006/relationships"><Relationship Id="rId1" Type="http://schemas.openxmlformats.org/officeDocument/2006/relationships/attachedTemplate" Target="file:///H:\Word%20Templates\&#1514;&#1489;&#1504;&#1497;&#1493;&#1514;%20&#1502;&#1489;&#1511;&#1512;%20&#1492;&#1502;&#1491;&#1497;&#1504;&#1492;\&#1514;&#1489;&#1504;&#1497;&#1514;%20&#1500;&#1499;&#1514;&#1497;&#1489;&#1514;%20&#1502;&#1496;&#1500;&#1514;%20&#1489;&#1497;&#1511;&#1493;&#1512;&#1514;%20&#1502;&#1506;&#1493;&#1491;&#1499;&#1504;&#1514;.dotm" TargetMode="External" /></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noFill/>
        <a:ln w="19050">
          <a:solidFill>
            <a:schemeClr val="bg1">
              <a:lumMod val="65000"/>
            </a:schemeClr>
          </a:solidFill>
          <a:prstDash val="lgDash"/>
        </a:ln>
      </a:spPr>
      <a:bodyPr rot="0" spcFirstLastPara="0" vertOverflow="overflow" horzOverflow="overflow" vert="horz" wrap="square" lIns="91440" tIns="45720" rIns="91440" bIns="45720" numCol="1" spcCol="0" rtlCol="0" fromWordArt="0" anchor="t" anchorCtr="0" forceAA="0" compatLnSpc="1">
        <a:prstTxWarp prst="textNoShape">
          <a:avLst/>
        </a:prstTxWarp>
        <a:noAutofit/>
      </a:bodyPr>
      <a:lstStyle/>
    </a:txDef>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מסמך" ma:contentTypeID="0x01010064D459DCDBE1C04FBE70D8D923394CD3" ma:contentTypeVersion="2" ma:contentTypeDescription="צור מסמך חדש." ma:contentTypeScope="" ma:versionID="9a436d2ca61e67980963c1fccdfa83dc">
  <xsd:schema xmlns:xsd="http://www.w3.org/2001/XMLSchema" xmlns:xs="http://www.w3.org/2001/XMLSchema" xmlns:p="http://schemas.microsoft.com/office/2006/metadata/properties" xmlns:ns1="http://schemas.microsoft.com/sharepoint/v3" xmlns:ns2="2427becb-8270-4354-8f06-4353a268df37" targetNamespace="http://schemas.microsoft.com/office/2006/metadata/properties" ma:root="true" ma:fieldsID="574495a27bf9a3eaefafacddbc7c960c" ns1:_="" ns2:_="">
    <xsd:import namespace="http://schemas.microsoft.com/sharepoint/v3"/>
    <xsd:import namespace="2427becb-8270-4354-8f06-4353a268df3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hidden="true"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27becb-8270-4354-8f06-4353a268df37" elementFormDefault="qualified">
    <xsd:import namespace="http://schemas.microsoft.com/office/2006/documentManagement/types"/>
    <xsd:import namespace="http://schemas.microsoft.com/office/infopath/2007/PartnerControls"/>
    <xsd:element name="SharedWithUsers" ma:index="10"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895BBB9-B1AA-475A-A68B-1D9F662236BF}"/>
</file>

<file path=customXml/itemProps2.xml><?xml version="1.0" encoding="utf-8"?>
<ds:datastoreItem xmlns:ds="http://schemas.openxmlformats.org/officeDocument/2006/customXml" ds:itemID="{CF9CFEA8-9C19-4567-AE07-A888A48557E2}">
  <ds:schemaRefs>
    <ds:schemaRef ds:uri="http://schemas.openxmlformats.org/officeDocument/2006/bibliography"/>
  </ds:schemaRefs>
</ds:datastoreItem>
</file>

<file path=customXml/itemProps3.xml><?xml version="1.0" encoding="utf-8"?>
<ds:datastoreItem xmlns:ds="http://schemas.openxmlformats.org/officeDocument/2006/customXml" ds:itemID="{E331791E-FA10-478E-8374-4B6261675515}">
  <ds:schemaRefs>
    <ds:schemaRef ds:uri="http://schemas.microsoft.com/sharepoint/v3/contenttype/forms"/>
  </ds:schemaRefs>
</ds:datastoreItem>
</file>

<file path=customXml/itemProps4.xml><?xml version="1.0" encoding="utf-8"?>
<ds:datastoreItem xmlns:ds="http://schemas.openxmlformats.org/officeDocument/2006/customXml" ds:itemID="{9D6F315B-2258-4D55-BE4F-1CDD553AE24B}">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H:\Word Templates\תבניות מבקר המדינה\תבנית לכתיבת מטלת ביקורת מעודכנת.dotm</Template>
  <TotalTime>5</TotalTime>
  <Pages>14</Pages>
  <Words>4498</Words>
  <Characters>22490</Characters>
  <Application>Microsoft Office Word</Application>
  <DocSecurity>0</DocSecurity>
  <Lines>187</Lines>
  <Paragraphs>53</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26935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newscorpio44</dc:creator>
  <cp:lastModifiedBy>סטודיו אי.אר.</cp:lastModifiedBy>
  <cp:revision>3</cp:revision>
  <cp:lastPrinted>2022-10-20T11:35:00Z</cp:lastPrinted>
  <dcterms:created xsi:type="dcterms:W3CDTF">2024-09-08T10:06:00Z</dcterms:created>
  <dcterms:modified xsi:type="dcterms:W3CDTF">2024-09-15T11:06:00Z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0x01010064D459DCDBE1C04FBE70D8D923394CD3</vt:lpwstr>
  </property>
</Properties>
</file>