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FD17F44">
                            <w:pPr>
                              <w:pStyle w:val="-1"/>
                              <w:rPr>
                                <w:rtl/>
                              </w:rPr>
                            </w:pPr>
                            <w:r>
                              <w:rPr>
                                <w:rFonts w:hint="cs"/>
                                <w:rtl/>
                              </w:rPr>
                              <w:t>מערכת הביטחון</w:t>
                            </w:r>
                          </w:p>
                          <w:p w:rsidR="00C30482" w:rsidRPr="000F5023" w:rsidP="00340A53" w14:textId="21DE72F1">
                            <w:pPr>
                              <w:pStyle w:val="a32"/>
                              <w:bidi/>
                              <w:spacing w:before="120"/>
                              <w:rPr>
                                <w:rtl/>
                              </w:rPr>
                            </w:pPr>
                            <w:r w:rsidRPr="00DB7953">
                              <w:rPr>
                                <w:rtl/>
                              </w:rPr>
                              <w:t>אבטחת התעופה הבין-לאומית האזרחית מישראל ואליה</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FD17F44">
                      <w:pPr>
                        <w:pStyle w:val="-1"/>
                        <w:rPr>
                          <w:rtl/>
                        </w:rPr>
                      </w:pPr>
                      <w:r>
                        <w:rPr>
                          <w:rFonts w:hint="cs"/>
                          <w:rtl/>
                        </w:rPr>
                        <w:t>מערכת הביטחון</w:t>
                      </w:r>
                    </w:p>
                    <w:p w:rsidR="00C30482" w:rsidRPr="000F5023" w:rsidP="00340A53" w14:paraId="5BE5E625" w14:textId="21DE72F1">
                      <w:pPr>
                        <w:pStyle w:val="a32"/>
                        <w:bidi/>
                        <w:spacing w:before="120"/>
                        <w:rPr>
                          <w:rtl/>
                        </w:rPr>
                      </w:pPr>
                      <w:r w:rsidRPr="00DB7953">
                        <w:rPr>
                          <w:rtl/>
                        </w:rPr>
                        <w:t>אבטחת התעופה הבין-לאומית האזרחית מישראל ואליה</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74EFC680">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744" behindDoc="0" locked="0" layoutInCell="1" allowOverlap="1">
                <wp:simplePos x="0" y="0"/>
                <wp:positionH relativeFrom="column">
                  <wp:posOffset>-1600601</wp:posOffset>
                </wp:positionH>
                <wp:positionV relativeFrom="paragraph">
                  <wp:posOffset>6710346</wp:posOffset>
                </wp:positionV>
                <wp:extent cx="7411453" cy="1543050"/>
                <wp:effectExtent l="0" t="0" r="5715" b="6350"/>
                <wp:wrapNone/>
                <wp:docPr id="166423784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41145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83.6pt;height:121.5pt;margin-top:528.35pt;margin-left:-126.05pt;flip:y;mso-height-percent:0;mso-height-relative:margin;mso-width-percent:0;mso-width-relative:margin;mso-wrap-distance-bottom:0;mso-wrap-distance-left:9pt;mso-wrap-distance-right:9pt;mso-wrap-distance-top:0;mso-wrap-style:square;position:absolute;visibility:visible;v-text-anchor:middle;z-index:251680768" fillcolor="white" stroked="f" strokeweight="1.25pt"/>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1AA7EE3D">
      <w:pPr>
        <w:pStyle w:val="7329"/>
        <w:spacing w:after="720"/>
        <w:rPr>
          <w:rtl/>
        </w:rPr>
      </w:pPr>
      <w:r w:rsidRPr="00DB7953">
        <w:rPr>
          <w:noProof/>
          <w:rtl/>
        </w:rPr>
        <w:t>אבטחת התעופה הבין-לאומית האזרחית מישראל ואליה</w:t>
      </w:r>
      <w:r w:rsidR="00D73746">
        <w:rPr>
          <w:rFonts w:hint="cs"/>
          <w:noProof/>
          <w:rtl/>
        </w:rPr>
        <w:t xml:space="preserve"> </w:t>
      </w:r>
    </w:p>
    <w:p w:rsidR="00420374" w:rsidRPr="00C62692" w:rsidP="00420374" w14:paraId="3FADD5EE" w14:textId="77777777">
      <w:pPr>
        <w:pStyle w:val="73"/>
        <w:rPr>
          <w:rtl/>
        </w:rPr>
      </w:pPr>
      <w:r w:rsidRPr="00C62692">
        <w:rPr>
          <w:rtl/>
        </w:rPr>
        <w:t>פעולות הביקורת</w:t>
      </w:r>
    </w:p>
    <w:p w:rsidR="00F711CF" w:rsidRPr="00777218" w:rsidP="00F711CF" w14:paraId="3FBB9754" w14:textId="0ECD9BD3">
      <w:pPr>
        <w:pStyle w:val="7317"/>
        <w:framePr w:hSpace="180" w:wrap="around" w:vAnchor="text" w:hAnchor="text" w:xAlign="center" w:y="1"/>
        <w:suppressOverlap/>
        <w:rPr>
          <w:noProof/>
          <w:rtl/>
        </w:rPr>
      </w:pPr>
      <w:r w:rsidRPr="001F3363">
        <w:rPr>
          <w:noProof/>
        </w:rPr>
        <w:drawing>
          <wp:anchor distT="0" distB="0" distL="71755" distR="71755" simplePos="0" relativeHeight="251674624"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218">
        <w:rPr>
          <w:noProof/>
          <w:rtl/>
        </w:rPr>
        <w:t>בחודשים</w:t>
      </w:r>
      <w:r w:rsidRPr="00777218">
        <w:rPr>
          <w:rFonts w:hint="cs"/>
          <w:noProof/>
          <w:rtl/>
        </w:rPr>
        <w:t xml:space="preserve"> אפריל</w:t>
      </w:r>
      <w:r w:rsidRPr="00777218">
        <w:rPr>
          <w:noProof/>
          <w:rtl/>
        </w:rPr>
        <w:t xml:space="preserve"> 202</w:t>
      </w:r>
      <w:r w:rsidRPr="00777218">
        <w:rPr>
          <w:rFonts w:hint="cs"/>
          <w:noProof/>
          <w:rtl/>
        </w:rPr>
        <w:t>2</w:t>
      </w:r>
      <w:r w:rsidRPr="00777218">
        <w:rPr>
          <w:noProof/>
          <w:rtl/>
        </w:rPr>
        <w:t xml:space="preserve"> </w:t>
      </w:r>
      <w:r w:rsidRPr="00777218">
        <w:rPr>
          <w:rFonts w:hint="cs"/>
          <w:noProof/>
          <w:rtl/>
        </w:rPr>
        <w:t xml:space="preserve">עד </w:t>
      </w:r>
      <w:r w:rsidRPr="00777218">
        <w:rPr>
          <w:noProof/>
          <w:rtl/>
        </w:rPr>
        <w:t xml:space="preserve">יוני 2023 ביצע משרד מבקר המדינה ביקורת </w:t>
      </w:r>
      <w:r w:rsidRPr="00777218">
        <w:rPr>
          <w:rFonts w:hint="cs"/>
          <w:noProof/>
          <w:rtl/>
        </w:rPr>
        <w:t xml:space="preserve">מערכתית </w:t>
      </w:r>
      <w:r w:rsidRPr="00777218">
        <w:rPr>
          <w:noProof/>
          <w:rtl/>
        </w:rPr>
        <w:t>בנושא</w:t>
      </w:r>
      <w:r w:rsidRPr="00777218">
        <w:rPr>
          <w:rFonts w:hint="cs"/>
          <w:noProof/>
          <w:rtl/>
        </w:rPr>
        <w:t>ים הנוגעים ל</w:t>
      </w:r>
      <w:r w:rsidRPr="00777218">
        <w:rPr>
          <w:noProof/>
          <w:rtl/>
        </w:rPr>
        <w:t xml:space="preserve">אבטחת התעופה הבין-לאומית האזרחית מישראל ואליה. בביקורת נבחנו </w:t>
      </w:r>
      <w:r w:rsidRPr="00777218">
        <w:rPr>
          <w:rFonts w:hint="cs"/>
          <w:noProof/>
          <w:rtl/>
        </w:rPr>
        <w:t>היבטים</w:t>
      </w:r>
      <w:r w:rsidRPr="00777218">
        <w:rPr>
          <w:noProof/>
          <w:rtl/>
        </w:rPr>
        <w:t xml:space="preserve"> באבטחת התעופה הבין-לאומית היוצאת מנתב"ג; באבטחת התעופה הישראלית בחו"ל; ובאבטחת מטוסים</w:t>
      </w:r>
      <w:r w:rsidRPr="00777218">
        <w:rPr>
          <w:rFonts w:hint="cs"/>
          <w:noProof/>
          <w:rtl/>
        </w:rPr>
        <w:t xml:space="preserve"> אזרחיים</w:t>
      </w:r>
      <w:r w:rsidRPr="00777218">
        <w:rPr>
          <w:noProof/>
          <w:rtl/>
        </w:rPr>
        <w:t xml:space="preserve"> זרים ופרטיים הנכנסים למרחב האווירי של </w:t>
      </w:r>
      <w:r w:rsidRPr="00777218">
        <w:rPr>
          <w:rFonts w:hint="cs"/>
          <w:noProof/>
          <w:rtl/>
        </w:rPr>
        <w:t>מדינת ישראל</w:t>
      </w:r>
      <w:r w:rsidRPr="00777218">
        <w:rPr>
          <w:noProof/>
          <w:rtl/>
        </w:rPr>
        <w:t>.</w:t>
      </w:r>
      <w:r w:rsidRPr="00777218">
        <w:rPr>
          <w:rFonts w:hint="cs"/>
          <w:noProof/>
          <w:rtl/>
        </w:rPr>
        <w:t xml:space="preserve"> הביקורת בוצעה </w:t>
      </w:r>
      <w:r w:rsidRPr="00777218">
        <w:rPr>
          <w:noProof/>
          <w:rtl/>
        </w:rPr>
        <w:t>ב</w:t>
      </w:r>
      <w:r w:rsidRPr="00777218">
        <w:rPr>
          <w:rFonts w:hint="cs"/>
          <w:noProof/>
          <w:rtl/>
        </w:rPr>
        <w:t>שירות הביטחון הכללי (</w:t>
      </w:r>
      <w:r w:rsidRPr="00777218">
        <w:rPr>
          <w:noProof/>
          <w:rtl/>
        </w:rPr>
        <w:t>שב"כ</w:t>
      </w:r>
      <w:r w:rsidRPr="00777218">
        <w:rPr>
          <w:rFonts w:hint="cs"/>
          <w:noProof/>
          <w:rtl/>
        </w:rPr>
        <w:t>)</w:t>
      </w:r>
      <w:r w:rsidRPr="00777218">
        <w:rPr>
          <w:noProof/>
          <w:rtl/>
        </w:rPr>
        <w:t xml:space="preserve">, </w:t>
      </w:r>
      <w:r w:rsidRPr="00777218">
        <w:rPr>
          <w:rFonts w:hint="cs"/>
          <w:noProof/>
          <w:rtl/>
        </w:rPr>
        <w:t>באגף הביטחון של חברת אל-על (בטא"ע) ובכלל זה בתחנת בטא"ע בחו"ל</w:t>
      </w:r>
      <w:r w:rsidRPr="00777218">
        <w:rPr>
          <w:noProof/>
          <w:rtl/>
        </w:rPr>
        <w:t>,</w:t>
      </w:r>
      <w:r w:rsidRPr="00777218">
        <w:rPr>
          <w:rFonts w:hint="cs"/>
          <w:noProof/>
          <w:rtl/>
        </w:rPr>
        <w:t xml:space="preserve"> </w:t>
      </w:r>
      <w:r w:rsidRPr="00777218">
        <w:rPr>
          <w:noProof/>
          <w:rtl/>
        </w:rPr>
        <w:t>במשרד התחבורה</w:t>
      </w:r>
      <w:r w:rsidRPr="00777218">
        <w:rPr>
          <w:rFonts w:hint="cs"/>
          <w:noProof/>
          <w:rtl/>
        </w:rPr>
        <w:t xml:space="preserve"> והבטיחות בדרכים (משרד התחבורה)</w:t>
      </w:r>
      <w:r w:rsidRPr="00777218">
        <w:rPr>
          <w:noProof/>
          <w:rtl/>
        </w:rPr>
        <w:t>, ב</w:t>
      </w:r>
      <w:r w:rsidRPr="00777218">
        <w:rPr>
          <w:rFonts w:hint="cs"/>
          <w:noProof/>
          <w:rtl/>
        </w:rPr>
        <w:t>רשות שדות התעופה (</w:t>
      </w:r>
      <w:r w:rsidRPr="00777218">
        <w:rPr>
          <w:noProof/>
          <w:rtl/>
        </w:rPr>
        <w:t>רש"ת</w:t>
      </w:r>
      <w:r w:rsidRPr="00777218">
        <w:rPr>
          <w:rFonts w:hint="cs"/>
          <w:noProof/>
          <w:rtl/>
        </w:rPr>
        <w:t>)</w:t>
      </w:r>
      <w:r w:rsidRPr="00777218">
        <w:rPr>
          <w:noProof/>
          <w:rtl/>
        </w:rPr>
        <w:t xml:space="preserve"> ו</w:t>
      </w:r>
      <w:r w:rsidRPr="00777218">
        <w:rPr>
          <w:rFonts w:hint="cs"/>
          <w:noProof/>
          <w:rtl/>
        </w:rPr>
        <w:t>במטה לביטחון לאומי (</w:t>
      </w:r>
      <w:r w:rsidRPr="00777218">
        <w:rPr>
          <w:noProof/>
          <w:rtl/>
        </w:rPr>
        <w:t>מל"ל</w:t>
      </w:r>
      <w:r w:rsidRPr="00777218">
        <w:rPr>
          <w:rFonts w:hint="cs"/>
          <w:noProof/>
          <w:rtl/>
        </w:rPr>
        <w:t>)</w:t>
      </w:r>
      <w:r w:rsidRPr="00777218">
        <w:rPr>
          <w:noProof/>
          <w:rtl/>
        </w:rPr>
        <w:t xml:space="preserve">. בירורי השלמה </w:t>
      </w:r>
      <w:r w:rsidRPr="00777218">
        <w:rPr>
          <w:rFonts w:hint="cs"/>
          <w:noProof/>
          <w:rtl/>
        </w:rPr>
        <w:t>בוצעו</w:t>
      </w:r>
      <w:r w:rsidRPr="00777218">
        <w:rPr>
          <w:noProof/>
          <w:rtl/>
        </w:rPr>
        <w:t xml:space="preserve"> </w:t>
      </w:r>
      <w:r w:rsidRPr="00777218">
        <w:rPr>
          <w:rFonts w:hint="cs"/>
          <w:noProof/>
          <w:rtl/>
        </w:rPr>
        <w:t xml:space="preserve">במשטרת ישראל, במשרד האוצר, </w:t>
      </w:r>
      <w:r w:rsidRPr="00777218">
        <w:rPr>
          <w:noProof/>
          <w:rtl/>
        </w:rPr>
        <w:t>במוסד</w:t>
      </w:r>
      <w:r w:rsidRPr="00777218">
        <w:rPr>
          <w:rFonts w:hint="cs"/>
          <w:noProof/>
          <w:rtl/>
        </w:rPr>
        <w:t xml:space="preserve"> למודיעין ולתפקידים מיוחדים</w:t>
      </w:r>
      <w:r w:rsidRPr="00777218">
        <w:rPr>
          <w:noProof/>
          <w:rtl/>
        </w:rPr>
        <w:t>; ב</w:t>
      </w:r>
      <w:r w:rsidRPr="00777218">
        <w:rPr>
          <w:rFonts w:hint="cs"/>
          <w:noProof/>
          <w:rtl/>
        </w:rPr>
        <w:t>רשות התעופה האזרחית</w:t>
      </w:r>
      <w:r w:rsidRPr="00777218">
        <w:rPr>
          <w:noProof/>
          <w:rtl/>
        </w:rPr>
        <w:t xml:space="preserve">, במינהל למחקר ולפיתוח אמצעי לחימה ותשתית טכנולוגית במשרד הביטחון; </w:t>
      </w:r>
      <w:r w:rsidRPr="00777218">
        <w:rPr>
          <w:rFonts w:hint="cs"/>
          <w:noProof/>
          <w:rtl/>
        </w:rPr>
        <w:t>בחיל האוויר והחלל;</w:t>
      </w:r>
      <w:r w:rsidRPr="00777218">
        <w:rPr>
          <w:noProof/>
          <w:rtl/>
        </w:rPr>
        <w:t xml:space="preserve"> </w:t>
      </w:r>
      <w:r w:rsidRPr="00777218">
        <w:rPr>
          <w:rFonts w:hint="cs"/>
          <w:noProof/>
          <w:rtl/>
        </w:rPr>
        <w:t>ו</w:t>
      </w:r>
      <w:r w:rsidRPr="00777218">
        <w:rPr>
          <w:noProof/>
          <w:rtl/>
        </w:rPr>
        <w:t xml:space="preserve">במערך הסייבר הלאומי. </w:t>
      </w:r>
    </w:p>
    <w:p w:rsidR="00EB672B" w:rsidP="00F711CF" w14:paraId="21608E70" w14:textId="1AA95301">
      <w:pPr>
        <w:pStyle w:val="7317"/>
        <w:spacing w:after="720"/>
        <w:rPr>
          <w:rtl/>
        </w:rPr>
      </w:pPr>
      <w:r w:rsidRPr="00777218">
        <w:rPr>
          <w:rFonts w:hint="cs"/>
          <w:noProof/>
          <w:rtl/>
        </w:rPr>
        <w:t>ועדת המשנה של הוועדה לענייני ביקורת המדינה של הכנסת החליטה שלא להניח פרק זה במלואו על שולחן הכנסת אלא לפרסם רק את עיקרי פעולות הביקורת וקטע מעיקרי הסיכום שלו, לשם שמירה על ביטחון המדינה, בהתאם לסעיף 17(א) לחוק מבקר המדינה התשי"ח-1958 [נוסח משולב]</w:t>
      </w:r>
      <w:r>
        <w:rPr>
          <w:rFonts w:hint="cs"/>
          <w:rtl/>
        </w:rPr>
        <w:t>.</w:t>
      </w:r>
      <w:r w:rsidRPr="001F3363">
        <w:rPr>
          <w:rFonts w:hint="cs"/>
          <w:rtl/>
        </w:rPr>
        <w:t xml:space="preserve"> </w:t>
      </w:r>
    </w:p>
    <w:p w:rsidR="004E71DD" w:rsidP="004E71DD" w14:paraId="7C33D7DD" w14:textId="7A449BE3">
      <w:pPr>
        <w:pStyle w:val="73"/>
        <w:rPr>
          <w:rtl/>
        </w:rPr>
      </w:pPr>
      <w:r w:rsidRPr="00EF3061">
        <w:rPr>
          <w:rFonts w:hint="cs"/>
          <w:rtl/>
        </w:rPr>
        <w:t>סיכום</w:t>
      </w:r>
    </w:p>
    <w:p w:rsidR="004E71DD" w:rsidP="004E71DD" w14:paraId="766597D5" w14:textId="5F2480F8">
      <w:pPr>
        <w:widowControl w:val="0"/>
        <w:tabs>
          <w:tab w:val="left" w:pos="9604"/>
        </w:tabs>
        <w:spacing w:before="240" w:line="276" w:lineRule="auto"/>
        <w:ind w:left="-1"/>
        <w:rPr>
          <w:rFonts w:ascii="Tahoma" w:hAnsi="Tahoma" w:cs="Tahoma"/>
          <w:sz w:val="18"/>
          <w:szCs w:val="18"/>
          <w:rtl/>
        </w:rPr>
      </w:pPr>
      <w:r w:rsidRPr="00777218">
        <w:rPr>
          <w:rFonts w:ascii="Tahoma" w:hAnsi="Tahoma" w:cs="Tahoma" w:hint="cs"/>
          <w:sz w:val="18"/>
          <w:szCs w:val="18"/>
          <w:rtl/>
        </w:rPr>
        <w:t xml:space="preserve">משרד מבקר המדינה ממליץ </w:t>
      </w:r>
      <w:r w:rsidRPr="00777218">
        <w:rPr>
          <w:rFonts w:ascii="Tahoma" w:hAnsi="Tahoma" w:cs="Tahoma" w:hint="cs"/>
          <w:sz w:val="18"/>
          <w:szCs w:val="18"/>
          <w:rtl/>
        </w:rPr>
        <w:t>למל"ל</w:t>
      </w:r>
      <w:r w:rsidRPr="00777218">
        <w:rPr>
          <w:rFonts w:ascii="Tahoma" w:hAnsi="Tahoma" w:cs="Tahoma" w:hint="cs"/>
          <w:sz w:val="18"/>
          <w:szCs w:val="18"/>
          <w:rtl/>
        </w:rPr>
        <w:t xml:space="preserve"> לקיים עבודת מטה, בשיתוף עם משרד התחבורה, משרד האוצר, </w:t>
      </w:r>
      <w:r w:rsidRPr="00777218">
        <w:rPr>
          <w:rFonts w:ascii="Tahoma" w:hAnsi="Tahoma" w:cs="Tahoma" w:hint="cs"/>
          <w:sz w:val="18"/>
          <w:szCs w:val="18"/>
          <w:rtl/>
        </w:rPr>
        <w:t>רש"ת</w:t>
      </w:r>
      <w:r w:rsidRPr="00777218">
        <w:rPr>
          <w:rFonts w:ascii="Tahoma" w:hAnsi="Tahoma" w:cs="Tahoma" w:hint="cs"/>
          <w:sz w:val="18"/>
          <w:szCs w:val="18"/>
          <w:rtl/>
        </w:rPr>
        <w:t>, שב"כ והמשטרה, שבה ייבחן נושא אבטחת התעופה האזרחית הבין-לאומית בישראל על כלל היבטיה - התעופה היוצאת מישראל, התעופה הישראלית בחו"ל והתעופה הזרה הנכנסת</w:t>
      </w:r>
      <w:r w:rsidRPr="00777218">
        <w:rPr>
          <w:rFonts w:ascii="Tahoma" w:hAnsi="Tahoma" w:cs="Tahoma"/>
          <w:sz w:val="18"/>
          <w:szCs w:val="18"/>
          <w:rtl/>
        </w:rPr>
        <w:t>, ו</w:t>
      </w:r>
      <w:r w:rsidRPr="00777218">
        <w:rPr>
          <w:rFonts w:ascii="Tahoma" w:hAnsi="Tahoma" w:cs="Tahoma" w:hint="eastAsia"/>
          <w:sz w:val="18"/>
          <w:szCs w:val="18"/>
          <w:rtl/>
        </w:rPr>
        <w:t>כן</w:t>
      </w:r>
      <w:r w:rsidRPr="00777218">
        <w:rPr>
          <w:rFonts w:ascii="Tahoma" w:hAnsi="Tahoma" w:cs="Tahoma"/>
          <w:sz w:val="18"/>
          <w:szCs w:val="18"/>
          <w:rtl/>
        </w:rPr>
        <w:t xml:space="preserve"> </w:t>
      </w:r>
      <w:r w:rsidRPr="00777218">
        <w:rPr>
          <w:rFonts w:ascii="Tahoma" w:hAnsi="Tahoma" w:cs="Tahoma" w:hint="eastAsia"/>
          <w:sz w:val="18"/>
          <w:szCs w:val="18"/>
          <w:rtl/>
        </w:rPr>
        <w:t>תיבחן</w:t>
      </w:r>
      <w:r w:rsidRPr="00777218">
        <w:rPr>
          <w:rFonts w:ascii="Tahoma" w:hAnsi="Tahoma" w:cs="Tahoma" w:hint="cs"/>
          <w:sz w:val="18"/>
          <w:szCs w:val="18"/>
          <w:rtl/>
        </w:rPr>
        <w:t xml:space="preserve"> </w:t>
      </w:r>
      <w:r w:rsidRPr="00777218">
        <w:rPr>
          <w:rFonts w:ascii="Tahoma" w:hAnsi="Tahoma" w:cs="Tahoma"/>
          <w:sz w:val="18"/>
          <w:szCs w:val="18"/>
          <w:rtl/>
        </w:rPr>
        <w:t xml:space="preserve">הרלוונטיות של החלטות הממשלה והקבינט המדיני-ביטחוני העוסקות בנושא, שחלקן התקבלו עוד בשנות </w:t>
      </w:r>
      <w:r w:rsidRPr="00777218">
        <w:rPr>
          <w:rFonts w:ascii="Tahoma" w:hAnsi="Tahoma" w:cs="Tahoma" w:hint="eastAsia"/>
          <w:sz w:val="18"/>
          <w:szCs w:val="18"/>
          <w:rtl/>
        </w:rPr>
        <w:t>השבעים</w:t>
      </w:r>
      <w:r w:rsidRPr="00777218">
        <w:rPr>
          <w:rFonts w:ascii="Tahoma" w:hAnsi="Tahoma" w:cs="Tahoma"/>
          <w:sz w:val="18"/>
          <w:szCs w:val="18"/>
          <w:rtl/>
        </w:rPr>
        <w:t xml:space="preserve"> </w:t>
      </w:r>
      <w:r w:rsidRPr="00777218">
        <w:rPr>
          <w:rFonts w:ascii="Tahoma" w:hAnsi="Tahoma" w:cs="Tahoma" w:hint="eastAsia"/>
          <w:sz w:val="18"/>
          <w:szCs w:val="18"/>
          <w:rtl/>
        </w:rPr>
        <w:t>של</w:t>
      </w:r>
      <w:r w:rsidRPr="00777218">
        <w:rPr>
          <w:rFonts w:ascii="Tahoma" w:hAnsi="Tahoma" w:cs="Tahoma"/>
          <w:sz w:val="18"/>
          <w:szCs w:val="18"/>
          <w:rtl/>
        </w:rPr>
        <w:t xml:space="preserve"> </w:t>
      </w:r>
      <w:r w:rsidRPr="00777218">
        <w:rPr>
          <w:rFonts w:ascii="Tahoma" w:hAnsi="Tahoma" w:cs="Tahoma" w:hint="eastAsia"/>
          <w:sz w:val="18"/>
          <w:szCs w:val="18"/>
          <w:rtl/>
        </w:rPr>
        <w:t>המאה</w:t>
      </w:r>
      <w:r w:rsidRPr="00777218">
        <w:rPr>
          <w:rFonts w:ascii="Tahoma" w:hAnsi="Tahoma" w:cs="Tahoma"/>
          <w:sz w:val="18"/>
          <w:szCs w:val="18"/>
          <w:rtl/>
        </w:rPr>
        <w:t xml:space="preserve"> </w:t>
      </w:r>
      <w:r w:rsidRPr="00777218">
        <w:rPr>
          <w:rFonts w:ascii="Tahoma" w:hAnsi="Tahoma" w:cs="Tahoma" w:hint="eastAsia"/>
          <w:sz w:val="18"/>
          <w:szCs w:val="18"/>
          <w:rtl/>
        </w:rPr>
        <w:t>העשרים</w:t>
      </w:r>
      <w:r w:rsidRPr="00777218">
        <w:rPr>
          <w:rFonts w:ascii="Tahoma" w:hAnsi="Tahoma" w:cs="Tahoma" w:hint="cs"/>
          <w:sz w:val="18"/>
          <w:szCs w:val="18"/>
          <w:rtl/>
        </w:rPr>
        <w:t xml:space="preserve">. </w:t>
      </w:r>
      <w:r w:rsidRPr="00777218">
        <w:rPr>
          <w:rFonts w:ascii="Tahoma" w:hAnsi="Tahoma" w:cs="Tahoma" w:hint="eastAsia"/>
          <w:sz w:val="18"/>
          <w:szCs w:val="18"/>
          <w:rtl/>
        </w:rPr>
        <w:t>עוד</w:t>
      </w:r>
      <w:r w:rsidRPr="00777218">
        <w:rPr>
          <w:rFonts w:ascii="Tahoma" w:hAnsi="Tahoma" w:cs="Tahoma"/>
          <w:sz w:val="18"/>
          <w:szCs w:val="18"/>
          <w:rtl/>
        </w:rPr>
        <w:t xml:space="preserve"> </w:t>
      </w:r>
      <w:r w:rsidRPr="00777218">
        <w:rPr>
          <w:rFonts w:ascii="Tahoma" w:hAnsi="Tahoma" w:cs="Tahoma" w:hint="eastAsia"/>
          <w:sz w:val="18"/>
          <w:szCs w:val="18"/>
          <w:rtl/>
        </w:rPr>
        <w:t>הוא</w:t>
      </w:r>
      <w:r w:rsidRPr="00777218">
        <w:rPr>
          <w:rFonts w:ascii="Tahoma" w:hAnsi="Tahoma" w:cs="Tahoma"/>
          <w:sz w:val="18"/>
          <w:szCs w:val="18"/>
          <w:rtl/>
        </w:rPr>
        <w:t xml:space="preserve"> ממליץ כי </w:t>
      </w:r>
      <w:r w:rsidRPr="00777218">
        <w:rPr>
          <w:rFonts w:ascii="Tahoma" w:hAnsi="Tahoma" w:cs="Tahoma" w:hint="eastAsia"/>
          <w:sz w:val="18"/>
          <w:szCs w:val="18"/>
          <w:rtl/>
        </w:rPr>
        <w:t>בסיכום</w:t>
      </w:r>
      <w:r w:rsidRPr="00777218">
        <w:rPr>
          <w:rFonts w:ascii="Tahoma" w:hAnsi="Tahoma" w:cs="Tahoma"/>
          <w:sz w:val="18"/>
          <w:szCs w:val="18"/>
          <w:rtl/>
        </w:rPr>
        <w:t xml:space="preserve"> </w:t>
      </w:r>
      <w:r w:rsidRPr="00777218">
        <w:rPr>
          <w:rFonts w:ascii="Tahoma" w:hAnsi="Tahoma" w:cs="Tahoma" w:hint="eastAsia"/>
          <w:sz w:val="18"/>
          <w:szCs w:val="18"/>
          <w:rtl/>
        </w:rPr>
        <w:t>העבודה</w:t>
      </w:r>
      <w:r w:rsidRPr="00777218">
        <w:rPr>
          <w:rFonts w:ascii="Tahoma" w:hAnsi="Tahoma" w:cs="Tahoma" w:hint="cs"/>
          <w:sz w:val="18"/>
          <w:szCs w:val="18"/>
          <w:rtl/>
        </w:rPr>
        <w:t xml:space="preserve"> ימליץ </w:t>
      </w:r>
      <w:r w:rsidRPr="00777218">
        <w:rPr>
          <w:rFonts w:ascii="Tahoma" w:hAnsi="Tahoma" w:cs="Tahoma" w:hint="cs"/>
          <w:sz w:val="18"/>
          <w:szCs w:val="18"/>
          <w:rtl/>
        </w:rPr>
        <w:t>ה</w:t>
      </w:r>
      <w:r w:rsidRPr="00777218">
        <w:rPr>
          <w:rFonts w:ascii="Tahoma" w:hAnsi="Tahoma" w:cs="Tahoma" w:hint="eastAsia"/>
          <w:sz w:val="18"/>
          <w:szCs w:val="18"/>
          <w:rtl/>
        </w:rPr>
        <w:t>מל</w:t>
      </w:r>
      <w:r w:rsidRPr="00777218">
        <w:rPr>
          <w:rFonts w:ascii="Tahoma" w:hAnsi="Tahoma" w:cs="Tahoma"/>
          <w:sz w:val="18"/>
          <w:szCs w:val="18"/>
          <w:rtl/>
        </w:rPr>
        <w:t>"ל</w:t>
      </w:r>
      <w:r w:rsidRPr="00777218">
        <w:rPr>
          <w:rFonts w:ascii="Tahoma" w:hAnsi="Tahoma" w:cs="Tahoma" w:hint="cs"/>
          <w:sz w:val="18"/>
          <w:szCs w:val="18"/>
          <w:rtl/>
        </w:rPr>
        <w:t xml:space="preserve"> לראש הממשלה  ולקבינט המדיני-ביטחוני כיצד יש להסדיר את האחריות </w:t>
      </w:r>
      <w:r w:rsidRPr="00777218">
        <w:rPr>
          <w:rFonts w:ascii="Tahoma" w:hAnsi="Tahoma" w:cs="Tahoma" w:hint="eastAsia"/>
          <w:sz w:val="18"/>
          <w:szCs w:val="18"/>
          <w:rtl/>
        </w:rPr>
        <w:t>לנושא</w:t>
      </w:r>
      <w:r w:rsidRPr="00777218">
        <w:rPr>
          <w:rFonts w:ascii="Tahoma" w:hAnsi="Tahoma" w:cs="Tahoma" w:hint="cs"/>
          <w:sz w:val="18"/>
          <w:szCs w:val="18"/>
          <w:rtl/>
        </w:rPr>
        <w:t xml:space="preserve"> ולהקצות את המשאבים </w:t>
      </w:r>
      <w:r w:rsidRPr="00777218">
        <w:rPr>
          <w:rFonts w:ascii="Tahoma" w:hAnsi="Tahoma" w:cs="Tahoma" w:hint="eastAsia"/>
          <w:sz w:val="18"/>
          <w:szCs w:val="18"/>
          <w:rtl/>
        </w:rPr>
        <w:t>לכך</w:t>
      </w:r>
      <w:r w:rsidRPr="00777218">
        <w:rPr>
          <w:rFonts w:ascii="Tahoma" w:hAnsi="Tahoma" w:cs="Tahoma" w:hint="cs"/>
          <w:sz w:val="18"/>
          <w:szCs w:val="18"/>
          <w:rtl/>
        </w:rPr>
        <w:t xml:space="preserve"> באופן שיבטיח ראייה </w:t>
      </w:r>
      <w:r w:rsidRPr="00777218">
        <w:rPr>
          <w:rFonts w:ascii="Tahoma" w:hAnsi="Tahoma" w:cs="Tahoma" w:hint="cs"/>
          <w:sz w:val="18"/>
          <w:szCs w:val="18"/>
          <w:rtl/>
        </w:rPr>
        <w:t>מתכללת</w:t>
      </w:r>
      <w:r w:rsidRPr="00777218">
        <w:rPr>
          <w:rFonts w:ascii="Tahoma" w:hAnsi="Tahoma" w:cs="Tahoma" w:hint="cs"/>
          <w:sz w:val="18"/>
          <w:szCs w:val="18"/>
          <w:rtl/>
        </w:rPr>
        <w:t xml:space="preserve">. משרד מבקר המדינה ממליץ לראש הממשלה, לשרת התחבורה ולשר האוצר להידרש לנושא ולגבש מדיניות כוללת </w:t>
      </w:r>
      <w:r w:rsidRPr="00777218">
        <w:rPr>
          <w:rFonts w:ascii="Tahoma" w:hAnsi="Tahoma" w:cs="Tahoma" w:hint="eastAsia"/>
          <w:sz w:val="18"/>
          <w:szCs w:val="18"/>
          <w:rtl/>
        </w:rPr>
        <w:t>בתחום</w:t>
      </w:r>
      <w:r w:rsidRPr="00777218">
        <w:rPr>
          <w:rFonts w:ascii="Tahoma" w:hAnsi="Tahoma" w:cs="Tahoma" w:hint="cs"/>
          <w:sz w:val="18"/>
          <w:szCs w:val="18"/>
          <w:rtl/>
        </w:rPr>
        <w:t xml:space="preserve"> אבטחת התעופה</w:t>
      </w:r>
      <w:r w:rsidRPr="006615C6">
        <w:rPr>
          <w:rFonts w:ascii="Tahoma" w:hAnsi="Tahoma" w:cs="Tahoma" w:hint="cs"/>
          <w:sz w:val="18"/>
          <w:szCs w:val="18"/>
          <w:rtl/>
        </w:rPr>
        <w:t xml:space="preserve">. </w:t>
      </w:r>
    </w:p>
    <w:p w:rsidR="00F711CF" w14:paraId="3D558F60" w14:textId="376B6457">
      <w:pPr>
        <w:bidi w:val="0"/>
        <w:spacing w:after="200" w:line="276" w:lineRule="auto"/>
        <w:rPr>
          <w:rFonts w:ascii="Tahoma" w:hAnsi="Tahoma" w:cs="Tahoma"/>
          <w:color w:val="0D0D0D" w:themeColor="text1" w:themeTint="F2"/>
          <w:sz w:val="18"/>
          <w:szCs w:val="18"/>
          <w:rtl/>
        </w:rPr>
      </w:pPr>
      <w:r>
        <w:rPr>
          <w:rtl/>
        </w:rPr>
        <w:br w:type="page"/>
      </w:r>
    </w:p>
    <w:p w:rsidR="00D57BE9" w:rsidP="004A6E79" w14:paraId="2DF530B4" w14:textId="6B069427">
      <w:pPr>
        <w:pStyle w:val="7392"/>
        <w:rPr>
          <w:rtl/>
        </w:rPr>
      </w:pPr>
      <w:r>
        <w:rPr>
          <w:noProof/>
          <w:rtl/>
          <w:lang w:val="he-IL"/>
        </w:rPr>
        <mc:AlternateContent>
          <mc:Choice Requires="wps">
            <w:drawing>
              <wp:anchor distT="0" distB="0" distL="114300" distR="114300" simplePos="0" relativeHeight="251677696" behindDoc="0" locked="0" layoutInCell="1" allowOverlap="1">
                <wp:simplePos x="0" y="0"/>
                <wp:positionH relativeFrom="column">
                  <wp:posOffset>4335780</wp:posOffset>
                </wp:positionH>
                <wp:positionV relativeFrom="paragraph">
                  <wp:posOffset>6803390</wp:posOffset>
                </wp:positionV>
                <wp:extent cx="982980" cy="1036320"/>
                <wp:effectExtent l="0" t="0" r="7620" b="17780"/>
                <wp:wrapNone/>
                <wp:docPr id="84598781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82980" cy="10363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4" style="width:77.4pt;height:81.6pt;margin-top:535.7pt;margin-left:341.4pt;mso-width-percent:0;mso-width-relative:margin;mso-wrap-distance-bottom:0;mso-wrap-distance-left:9pt;mso-wrap-distance-right:9pt;mso-wrap-distance-top:0;mso-wrap-style:square;position:absolute;visibility:visible;v-text-anchor:middle;z-index:251678720" fillcolor="white" strokecolor="white" strokeweight="1.25pt"/>
            </w:pict>
          </mc:Fallback>
        </mc:AlternateContent>
      </w:r>
      <w:r>
        <w:rPr>
          <w:noProof/>
          <w:rtl/>
          <w:lang w:val="he-IL"/>
        </w:rPr>
        <mc:AlternateContent>
          <mc:Choice Requires="wps">
            <w:drawing>
              <wp:anchor distT="0" distB="0" distL="114300" distR="114300" simplePos="0" relativeHeight="251675648" behindDoc="0" locked="0" layoutInCell="1" allowOverlap="1">
                <wp:simplePos x="0" y="0"/>
                <wp:positionH relativeFrom="column">
                  <wp:posOffset>-1440180</wp:posOffset>
                </wp:positionH>
                <wp:positionV relativeFrom="paragraph">
                  <wp:posOffset>-709930</wp:posOffset>
                </wp:positionV>
                <wp:extent cx="6316980" cy="1036320"/>
                <wp:effectExtent l="0" t="0" r="7620" b="17780"/>
                <wp:wrapNone/>
                <wp:docPr id="119326002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16980" cy="10363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97.4pt;height:81.6pt;margin-top:-55.9pt;margin-left:-113.4pt;mso-wrap-distance-bottom:0;mso-wrap-distance-left:9pt;mso-wrap-distance-right:9pt;mso-wrap-distance-top:0;mso-wrap-style:square;position:absolute;visibility:visible;v-text-anchor:middle;z-index:251676672" fillcolor="white" strokecolor="white" strokeweight="1.25pt"/>
            </w:pict>
          </mc:Fallback>
        </mc:AlternateContent>
      </w:r>
    </w:p>
    <w:sectPr w:rsidSect="001D4EE1">
      <w:headerReference w:type="default" r:id="rId20"/>
      <w:pgSz w:w="11906" w:h="16838" w:code="9"/>
      <w:pgMar w:top="3062" w:right="2268" w:bottom="2552" w:left="2268" w:header="1134" w:footer="1361" w:gutter="0"/>
      <w:pgNumType w:start="2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737B4" w14:paraId="4EB7063E" w14:textId="77777777">
      <w:pPr>
        <w:spacing w:line="240" w:lineRule="auto"/>
      </w:pPr>
      <w:r>
        <w:separator/>
      </w:r>
    </w:p>
    <w:p w:rsidR="00F737B4" w14:paraId="5E776755" w14:textId="77777777"/>
    <w:p w:rsidR="00F737B4" w14:paraId="25C40B3C" w14:textId="77777777"/>
    <w:p w:rsidR="00F737B4" w14:paraId="6CEFD117" w14:textId="77777777"/>
  </w:endnote>
  <w:endnote w:type="continuationSeparator" w:id="1">
    <w:p w:rsidR="00F737B4" w14:paraId="61DCCDF2" w14:textId="77777777">
      <w:pPr>
        <w:spacing w:line="240" w:lineRule="auto"/>
      </w:pPr>
      <w:r>
        <w:continuationSeparator/>
      </w:r>
    </w:p>
    <w:p w:rsidR="00F737B4" w14:paraId="6ED595C7" w14:textId="77777777"/>
    <w:p w:rsidR="00F737B4" w14:paraId="12DFDD78" w14:textId="77777777"/>
    <w:p w:rsidR="00F737B4" w14:paraId="314006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31B" w14:paraId="62AAED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737B4" w:rsidP="00E7235E" w14:paraId="41569FB5" w14:textId="77777777">
      <w:pPr>
        <w:spacing w:line="240" w:lineRule="auto"/>
      </w:pPr>
      <w:r>
        <w:separator/>
      </w:r>
    </w:p>
  </w:footnote>
  <w:footnote w:type="continuationSeparator" w:id="1">
    <w:p w:rsidR="00F737B4" w:rsidP="00C23CC9" w14:paraId="4A6954DB" w14:textId="77777777">
      <w:pPr>
        <w:spacing w:line="240" w:lineRule="auto"/>
      </w:pPr>
      <w:r>
        <w:continuationSeparator/>
      </w:r>
    </w:p>
    <w:p w:rsidR="00F737B4" w14:paraId="45E922A9" w14:textId="77777777"/>
    <w:p w:rsidR="00F737B4" w14:paraId="1BE383B7" w14:textId="77777777"/>
    <w:p w:rsidR="00F737B4" w14:paraId="0240C0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19AB5DDA">
                          <w:pPr>
                            <w:pStyle w:val="Heading1"/>
                            <w:spacing w:line="269" w:lineRule="auto"/>
                            <w:jc w:val="left"/>
                            <w:rPr>
                              <w:rFonts w:ascii="Tahoma" w:hAnsi="Tahoma" w:eastAsiaTheme="minorHAnsi" w:cs="Tahoma"/>
                              <w:bCs w:val="0"/>
                              <w:color w:val="0D0D0D" w:themeColor="text1" w:themeTint="F2"/>
                              <w:sz w:val="16"/>
                              <w:szCs w:val="16"/>
                              <w:u w:val="none"/>
                            </w:rPr>
                          </w:pPr>
                          <w:r w:rsidRPr="00DB7953">
                            <w:rPr>
                              <w:rFonts w:ascii="Tahoma" w:hAnsi="Tahoma" w:eastAsiaTheme="minorHAnsi" w:cs="Tahoma"/>
                              <w:bCs w:val="0"/>
                              <w:color w:val="0D0D0D" w:themeColor="text1" w:themeTint="F2"/>
                              <w:sz w:val="16"/>
                              <w:szCs w:val="16"/>
                              <w:u w:val="none"/>
                              <w:rtl/>
                            </w:rPr>
                            <w:t>אבטחת התעופה הבין-לאומית האזרחית מישראל ואליה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19AB5DDA">
                    <w:pPr>
                      <w:pStyle w:val="Heading1"/>
                      <w:spacing w:line="269" w:lineRule="auto"/>
                      <w:jc w:val="left"/>
                      <w:rPr>
                        <w:rFonts w:ascii="Tahoma" w:hAnsi="Tahoma" w:eastAsiaTheme="minorHAnsi" w:cs="Tahoma"/>
                        <w:bCs w:val="0"/>
                        <w:color w:val="0D0D0D" w:themeColor="text1" w:themeTint="F2"/>
                        <w:sz w:val="16"/>
                        <w:szCs w:val="16"/>
                        <w:u w:val="none"/>
                      </w:rPr>
                    </w:pPr>
                    <w:r w:rsidRPr="00DB7953">
                      <w:rPr>
                        <w:rFonts w:ascii="Tahoma" w:hAnsi="Tahoma" w:eastAsiaTheme="minorHAnsi" w:cs="Tahoma"/>
                        <w:bCs w:val="0"/>
                        <w:color w:val="0D0D0D" w:themeColor="text1" w:themeTint="F2"/>
                        <w:sz w:val="16"/>
                        <w:szCs w:val="16"/>
                        <w:u w:val="none"/>
                        <w:rtl/>
                      </w:rPr>
                      <w:t>אבטחת התעופה הבין-לאומית האזרחית מישראל ואליה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6EC8B35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A7100" w14:textId="140C1C9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340A5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0C1C9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340A5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P="001526AC" w14:paraId="708CEE93" w14:textId="0E91600B">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6DC9D38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4EE1"/>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53"/>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4D2"/>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18"/>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31B"/>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226"/>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953"/>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1CF"/>
    <w:rsid w:val="00F719B2"/>
    <w:rsid w:val="00F71BEA"/>
    <w:rsid w:val="00F737B4"/>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123"/>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header" Target="head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015EF-AE13-4521-AA14-A97451249329}"/>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9</TotalTime>
  <Pages>4</Pages>
  <Words>282</Words>
  <Characters>1415</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6</cp:revision>
  <cp:lastPrinted>2023-07-16T07:57:00Z</cp:lastPrinted>
  <dcterms:created xsi:type="dcterms:W3CDTF">2024-05-02T08:33:00Z</dcterms:created>
  <dcterms:modified xsi:type="dcterms:W3CDTF">2024-05-15T22:14:00Z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