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69177C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251460</wp:posOffset>
                </wp:positionH>
                <wp:positionV relativeFrom="paragraph">
                  <wp:posOffset>337185</wp:posOffset>
                </wp:positionV>
                <wp:extent cx="4215765" cy="4273550"/>
                <wp:effectExtent l="0" t="0" r="63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1576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DBE0EAB">
                            <w:pPr>
                              <w:pStyle w:val="-1"/>
                              <w:rPr>
                                <w:rtl/>
                              </w:rPr>
                            </w:pPr>
                            <w:r>
                              <w:rPr>
                                <w:rFonts w:hint="cs"/>
                                <w:rtl/>
                              </w:rPr>
                              <w:t>מערכת הביטחון</w:t>
                            </w:r>
                          </w:p>
                          <w:p w:rsidR="00C30482" w:rsidRPr="000F5023" w:rsidP="002D35EA" w14:textId="47E9C309">
                            <w:pPr>
                              <w:pStyle w:val="a32"/>
                              <w:bidi/>
                              <w:spacing w:before="120"/>
                              <w:rPr>
                                <w:rtl/>
                              </w:rPr>
                            </w:pPr>
                            <w:r w:rsidRPr="00385AA9">
                              <w:rPr>
                                <w:rtl/>
                              </w:rPr>
                              <w:t>מניעת מעילות והונאות בתעשייה האווירית לישראל בע"מ</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31.95pt;height:336.5pt;margin-top:26.55pt;margin-left:19.8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6FAE333">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E7EA4">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DBE0EAB">
                      <w:pPr>
                        <w:pStyle w:val="-1"/>
                        <w:rPr>
                          <w:rtl/>
                        </w:rPr>
                      </w:pPr>
                      <w:r>
                        <w:rPr>
                          <w:rFonts w:hint="cs"/>
                          <w:rtl/>
                        </w:rPr>
                        <w:t>מערכת הביטחון</w:t>
                      </w:r>
                    </w:p>
                    <w:p w:rsidR="00C30482" w:rsidRPr="000F5023" w:rsidP="002D35EA" w14:paraId="5BE5E625" w14:textId="47E9C309">
                      <w:pPr>
                        <w:pStyle w:val="a32"/>
                        <w:bidi/>
                        <w:spacing w:before="120"/>
                        <w:rPr>
                          <w:rtl/>
                        </w:rPr>
                      </w:pPr>
                      <w:r w:rsidRPr="00385AA9">
                        <w:rPr>
                          <w:rtl/>
                        </w:rPr>
                        <w:t>מניעת מעילות והונאות בתעשייה האווירית לישראל בע"מ</w:t>
                      </w:r>
                      <w:r w:rsidR="00D73746">
                        <w:rPr>
                          <w:rFonts w:hint="cs"/>
                          <w:rtl/>
                        </w:rPr>
                        <w:t xml:space="preserve"> </w:t>
                      </w:r>
                    </w:p>
                  </w:txbxContent>
                </v:textbox>
                <w10:wrap type="square"/>
              </v:shape>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46618A9E">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1248" behindDoc="0" locked="0" layoutInCell="1" allowOverlap="1">
                <wp:simplePos x="0" y="0"/>
                <wp:positionH relativeFrom="column">
                  <wp:posOffset>-1535430</wp:posOffset>
                </wp:positionH>
                <wp:positionV relativeFrom="paragraph">
                  <wp:posOffset>6805930</wp:posOffset>
                </wp:positionV>
                <wp:extent cx="7601578" cy="1543050"/>
                <wp:effectExtent l="0" t="0" r="0" b="0"/>
                <wp:wrapNone/>
                <wp:docPr id="91411649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535.9pt;margin-left:-120.9pt;flip:y;mso-height-percent:0;mso-height-relative:margin;mso-width-percent:0;mso-width-relative:margin;mso-wrap-distance-bottom:0;mso-wrap-distance-left:9pt;mso-wrap-distance-right:9pt;mso-wrap-distance-top:0;mso-wrap-style:square;position:absolute;visibility:visible;v-text-anchor:middle;z-index:251702272" fillcolor="white" stroked="f" strokeweight="1.25pt"/>
            </w:pict>
          </mc:Fallback>
        </mc:AlternateContent>
      </w: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22AC5DD7">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213293</wp:posOffset>
                </wp:positionV>
                <wp:extent cx="194310" cy="5678972"/>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7897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7.15pt;margin-top:16.8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83840" behindDoc="0" locked="0" layoutInCell="1" allowOverlap="1">
            <wp:simplePos x="0" y="0"/>
            <wp:positionH relativeFrom="column">
              <wp:posOffset>3308751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385AA9" w:rsidR="00385AA9">
        <w:rPr>
          <w:noProof/>
          <w:rtl/>
        </w:rPr>
        <w:t>מניעת מעילות והונאות בתעשייה האווירית לישראל בע"מ</w:t>
      </w:r>
      <w:r w:rsidR="00D73746">
        <w:rPr>
          <w:rFonts w:hint="cs"/>
          <w:noProof/>
          <w:rtl/>
        </w:rPr>
        <w:t xml:space="preserve"> </w:t>
      </w:r>
    </w:p>
    <w:p w:rsidR="00A0642E" w:rsidRPr="00CD14AF" w:rsidP="00A0642E" w14:paraId="45274D16" w14:textId="77777777">
      <w:pPr>
        <w:pStyle w:val="7392"/>
        <w:spacing w:before="840"/>
        <w:rPr>
          <w:rtl/>
        </w:rPr>
      </w:pPr>
      <w:r w:rsidRPr="00CD14AF">
        <w:rPr>
          <w:rFonts w:hint="cs"/>
          <w:rtl/>
        </w:rPr>
        <w:t>התעשייה האווירית לישראל בע"מ (</w:t>
      </w:r>
      <w:r w:rsidRPr="00CD14AF">
        <w:rPr>
          <w:rFonts w:hint="cs"/>
          <w:rtl/>
        </w:rPr>
        <w:t>התע"א</w:t>
      </w:r>
      <w:r w:rsidRPr="00CD14AF">
        <w:rPr>
          <w:rFonts w:hint="cs"/>
          <w:rtl/>
        </w:rPr>
        <w:t xml:space="preserve"> או החברה) היא חברה ממשלתית כהגדרתה בחוק החברות הממשלתיות, התשל"ה-1975. </w:t>
      </w:r>
      <w:r w:rsidRPr="00CD14AF">
        <w:rPr>
          <w:rtl/>
        </w:rPr>
        <w:t>התע"א</w:t>
      </w:r>
      <w:r w:rsidRPr="00CD14AF">
        <w:rPr>
          <w:rtl/>
        </w:rPr>
        <w:t xml:space="preserve">, שהיא אחת התעשיות הביטחוניות הגדולות בישראל, פועלת באמצעות ארבע חטיבות עסקיות: חטיבת מערכות טילים וחלל, חטיבת כלי טיס צבאיים, חטיבת תעופה וחטיבת אלקטרוניקה צבאית, שפעילותה מתבצעת באמצעות </w:t>
      </w:r>
      <w:r w:rsidRPr="00CD14AF">
        <w:rPr>
          <w:rFonts w:hint="cs"/>
          <w:rtl/>
        </w:rPr>
        <w:t>אלתא</w:t>
      </w:r>
      <w:r w:rsidRPr="00CD14AF">
        <w:rPr>
          <w:rFonts w:hint="cs"/>
          <w:rtl/>
        </w:rPr>
        <w:t xml:space="preserve"> מערכות בע"מ (</w:t>
      </w:r>
      <w:r w:rsidRPr="00CD14AF">
        <w:rPr>
          <w:rFonts w:hint="cs"/>
          <w:rtl/>
        </w:rPr>
        <w:t>אלתא</w:t>
      </w:r>
      <w:r w:rsidRPr="00CD14AF">
        <w:rPr>
          <w:rFonts w:hint="cs"/>
          <w:rtl/>
        </w:rPr>
        <w:t xml:space="preserve">), חברה בת ממשלתית בבעלות מלאה של </w:t>
      </w:r>
      <w:r w:rsidRPr="00CD14AF">
        <w:rPr>
          <w:rFonts w:hint="cs"/>
          <w:rtl/>
        </w:rPr>
        <w:t>התע"א</w:t>
      </w:r>
      <w:r w:rsidRPr="00CD14AF">
        <w:rPr>
          <w:rFonts w:hint="cs"/>
          <w:rtl/>
        </w:rPr>
        <w:t xml:space="preserve">. </w:t>
      </w:r>
      <w:r w:rsidRPr="00CD14AF">
        <w:rPr>
          <w:rtl/>
        </w:rPr>
        <w:t xml:space="preserve">בסוף שנת 2022 היו </w:t>
      </w:r>
      <w:r w:rsidRPr="00CD14AF">
        <w:rPr>
          <w:rtl/>
        </w:rPr>
        <w:t>לתע"א</w:t>
      </w:r>
      <w:r w:rsidRPr="00CD14AF">
        <w:rPr>
          <w:rtl/>
        </w:rPr>
        <w:t xml:space="preserve"> כ-13,800 עובדים, כ-5,100 ספקים ו-46 תאגידים מוחזקים</w:t>
      </w:r>
      <w:r w:rsidRPr="00CD14AF">
        <w:rPr>
          <w:rFonts w:hint="cs"/>
          <w:rtl/>
        </w:rPr>
        <w:t>, מהם 26 בחו"ל</w:t>
      </w:r>
      <w:r w:rsidRPr="00CD14AF">
        <w:rPr>
          <w:rtl/>
        </w:rPr>
        <w:t>; ומחזור ההכנסות השנתי שלה היה בסך של כ-4.9</w:t>
      </w:r>
      <w:r w:rsidRPr="00CD14AF">
        <w:rPr>
          <w:rFonts w:hint="cs"/>
          <w:rtl/>
        </w:rPr>
        <w:t>7</w:t>
      </w:r>
      <w:r w:rsidRPr="00CD14AF">
        <w:rPr>
          <w:rtl/>
        </w:rPr>
        <w:t xml:space="preserve"> מיליארד דולר.</w:t>
      </w:r>
    </w:p>
    <w:p w:rsidR="00A0642E" w:rsidRPr="00CD14AF" w:rsidP="00A0642E" w14:paraId="0FC52727" w14:textId="77777777">
      <w:pPr>
        <w:pStyle w:val="7392"/>
        <w:rPr>
          <w:rtl/>
        </w:rPr>
      </w:pPr>
      <w:r w:rsidRPr="00CD14AF">
        <w:rPr>
          <w:rFonts w:hint="cs"/>
          <w:rtl/>
        </w:rPr>
        <w:t xml:space="preserve">מעילה והונאה עלולות להסב לארגון נזקים כבדים, כגון הפסד כספי, פגיעה במוניטין, עיצומים רגולטוריים ואובדן לקוחות. </w:t>
      </w:r>
      <w:r w:rsidRPr="00CD14AF">
        <w:rPr>
          <w:rFonts w:hint="eastAsia"/>
          <w:rtl/>
        </w:rPr>
        <w:t>על</w:t>
      </w:r>
      <w:r w:rsidRPr="00CD14AF">
        <w:rPr>
          <w:rtl/>
        </w:rPr>
        <w:t xml:space="preserve"> </w:t>
      </w:r>
      <w:r w:rsidRPr="00CD14AF">
        <w:rPr>
          <w:rFonts w:hint="eastAsia"/>
          <w:rtl/>
        </w:rPr>
        <w:t>פי</w:t>
      </w:r>
      <w:r w:rsidRPr="00CD14AF">
        <w:rPr>
          <w:rFonts w:hint="cs"/>
          <w:rtl/>
        </w:rPr>
        <w:t xml:space="preserve"> </w:t>
      </w:r>
      <w:r w:rsidRPr="00CD14AF">
        <w:rPr>
          <w:rtl/>
        </w:rPr>
        <w:t>מחקר</w:t>
      </w:r>
      <w:r w:rsidRPr="00CD14AF">
        <w:rPr>
          <w:rFonts w:hint="cs"/>
          <w:rtl/>
        </w:rPr>
        <w:t xml:space="preserve"> </w:t>
      </w:r>
      <w:r w:rsidRPr="00CD14AF">
        <w:rPr>
          <w:rFonts w:hint="eastAsia"/>
          <w:rtl/>
        </w:rPr>
        <w:t>של</w:t>
      </w:r>
      <w:r w:rsidRPr="00CD14AF">
        <w:rPr>
          <w:rFonts w:hint="cs"/>
          <w:rtl/>
        </w:rPr>
        <w:t xml:space="preserve"> </w:t>
      </w:r>
      <w:r w:rsidRPr="00CD14AF">
        <w:rPr>
          <w:rFonts w:hint="cs"/>
        </w:rPr>
        <w:t>ACF</w:t>
      </w:r>
      <w:r w:rsidRPr="00CD14AF">
        <w:t>E</w:t>
      </w:r>
      <w:r>
        <w:rPr>
          <w:vertAlign w:val="superscript"/>
          <w:rtl/>
        </w:rPr>
        <w:footnoteReference w:id="2"/>
      </w:r>
      <w:r w:rsidRPr="00CD14AF">
        <w:rPr>
          <w:rtl/>
        </w:rPr>
        <w:t>, ארגונים מאבדים כ-5% מההכנסה השנתית עקב מעילות ואי-סדרים</w:t>
      </w:r>
      <w:r w:rsidRPr="00CD14AF">
        <w:rPr>
          <w:rFonts w:hint="cs"/>
          <w:rtl/>
        </w:rPr>
        <w:t>.</w:t>
      </w:r>
      <w:r w:rsidRPr="00CD14AF">
        <w:rPr>
          <w:rtl/>
        </w:rPr>
        <w:t xml:space="preserve"> </w:t>
      </w:r>
      <w:r w:rsidRPr="00CD14AF">
        <w:rPr>
          <w:rFonts w:hint="cs"/>
          <w:rtl/>
        </w:rPr>
        <w:t xml:space="preserve">כל ארגון חשוף למעילות ולהונאות ולא ניתן למנוע לחלוטין את הסיכון להתרחשותן. עם זאת, הארגון יכול לצמצם את הסיכון לכך באמצעות מגוון פעולות, ובהן יצירת תרבות ארגונית נאותה והעלאת מודעות לנושא בקרב העובדים והמנהלים בכל הדרגים; </w:t>
      </w:r>
      <w:r w:rsidRPr="00CD14AF">
        <w:rPr>
          <w:rFonts w:hint="eastAsia"/>
          <w:rtl/>
        </w:rPr>
        <w:t>פיתוח</w:t>
      </w:r>
      <w:r w:rsidRPr="00CD14AF">
        <w:rPr>
          <w:rFonts w:hint="cs"/>
          <w:rtl/>
        </w:rPr>
        <w:t xml:space="preserve"> תוכנית מוסדרת לגילוי מעילות והונאות, לטיפול בהן ולמניעתן; והטמעת בקרות ומערכות ייעודיות בארגון לשם התמודדות עם סיכונים אלה. </w:t>
      </w:r>
    </w:p>
    <w:p w:rsidR="007F4A20" w:rsidRPr="00F16A67" w:rsidP="00A0642E" w14:paraId="0B41EED6" w14:textId="197BB4B3">
      <w:pPr>
        <w:pStyle w:val="7392"/>
        <w:rPr>
          <w:rtl/>
        </w:rPr>
      </w:pPr>
      <w:r w:rsidRPr="00CD14AF">
        <w:rPr>
          <w:rFonts w:hint="cs"/>
          <w:rtl/>
        </w:rPr>
        <w:t>בינואר 2020 פרסמה רשות החברות הממשלתיות חוזר בעניין ניהול סיכונים תאגידי בחברות הממשלתיות וחברות בת ממשלתיות (חוזר ניהול סיכונים 2020), הקובע כי ניהול הסיכונים של כל חברה יתייחס לפחות לכמה סוגי סיכונים שצוינו בחוזר, ובהם סיכוני מעילות והונאות</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4"/>
        <w:gridCol w:w="277"/>
        <w:gridCol w:w="1870"/>
        <w:gridCol w:w="277"/>
        <w:gridCol w:w="1376"/>
        <w:gridCol w:w="277"/>
        <w:gridCol w:w="1744"/>
      </w:tblGrid>
      <w:tr w14:paraId="58B4726B" w14:textId="77777777" w:rsidTr="00356553">
        <w:tblPrEx>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37"/>
        </w:trPr>
        <w:tc>
          <w:tcPr>
            <w:tcW w:w="1010" w:type="pct"/>
            <w:tcBorders>
              <w:bottom w:val="single" w:sz="12" w:space="0" w:color="000000" w:themeColor="text1"/>
            </w:tcBorders>
            <w:vAlign w:val="bottom"/>
          </w:tcPr>
          <w:p w:rsidR="00A0642E" w:rsidRPr="00A0642E" w:rsidP="00A0642E" w14:paraId="23EB689E" w14:textId="11905003">
            <w:pPr>
              <w:spacing w:after="60" w:line="240" w:lineRule="auto"/>
              <w:jc w:val="left"/>
              <w:rPr>
                <w:b/>
                <w:bCs/>
                <w:spacing w:val="-28"/>
                <w:rtl/>
              </w:rPr>
            </w:pPr>
            <w:r w:rsidRPr="00A0642E">
              <w:rPr>
                <w:rFonts w:ascii="Tahoma" w:hAnsi="Tahoma" w:eastAsiaTheme="minorEastAsia" w:cs="Tahoma"/>
                <w:b/>
                <w:bCs/>
                <w:color w:val="0D0D0D" w:themeColor="text1" w:themeTint="F2"/>
                <w:spacing w:val="-10"/>
                <w:sz w:val="36"/>
                <w:szCs w:val="36"/>
                <w:rtl/>
              </w:rPr>
              <w:t>4.9</w:t>
            </w:r>
            <w:r w:rsidRPr="00A0642E">
              <w:rPr>
                <w:rFonts w:ascii="Tahoma" w:hAnsi="Tahoma" w:eastAsiaTheme="minorEastAsia" w:cs="Tahoma" w:hint="cs"/>
                <w:b/>
                <w:bCs/>
                <w:color w:val="0D0D0D" w:themeColor="text1" w:themeTint="F2"/>
                <w:spacing w:val="-10"/>
                <w:sz w:val="36"/>
                <w:szCs w:val="36"/>
                <w:rtl/>
              </w:rPr>
              <w:t>7</w:t>
            </w:r>
            <w:r w:rsidRPr="00A0642E">
              <w:rPr>
                <w:rFonts w:ascii="Tahoma" w:hAnsi="Tahoma" w:eastAsiaTheme="minorEastAsia" w:cs="Tahoma"/>
                <w:b/>
                <w:bCs/>
                <w:color w:val="0D0D0D" w:themeColor="text1" w:themeTint="F2"/>
                <w:spacing w:val="-10"/>
                <w:sz w:val="36"/>
                <w:szCs w:val="36"/>
                <w:rtl/>
              </w:rPr>
              <w:t xml:space="preserve"> </w:t>
            </w:r>
            <w:r w:rsidRPr="00A0642E">
              <w:rPr>
                <w:rFonts w:ascii="Tahoma" w:hAnsi="Tahoma" w:eastAsiaTheme="minorEastAsia" w:cs="Tahoma" w:hint="eastAsia"/>
                <w:b/>
                <w:bCs/>
                <w:color w:val="0D0D0D" w:themeColor="text1" w:themeTint="F2"/>
                <w:spacing w:val="-10"/>
                <w:sz w:val="26"/>
                <w:szCs w:val="26"/>
                <w:rtl/>
              </w:rPr>
              <w:t>מיליארד</w:t>
            </w:r>
            <w:r w:rsidRPr="00A0642E">
              <w:rPr>
                <w:rFonts w:ascii="Tahoma" w:hAnsi="Tahoma" w:eastAsiaTheme="minorEastAsia" w:cs="Tahoma"/>
                <w:b/>
                <w:bCs/>
                <w:color w:val="0D0D0D" w:themeColor="text1" w:themeTint="F2"/>
                <w:spacing w:val="-10"/>
                <w:sz w:val="26"/>
                <w:szCs w:val="26"/>
                <w:rtl/>
              </w:rPr>
              <w:t xml:space="preserve"> </w:t>
            </w:r>
            <w:r w:rsidRPr="00A0642E">
              <w:rPr>
                <w:rFonts w:ascii="Tahoma" w:hAnsi="Tahoma" w:eastAsiaTheme="minorEastAsia" w:cs="Tahoma" w:hint="eastAsia"/>
                <w:b/>
                <w:bCs/>
                <w:color w:val="0D0D0D" w:themeColor="text1" w:themeTint="F2"/>
                <w:spacing w:val="-10"/>
                <w:sz w:val="26"/>
                <w:szCs w:val="26"/>
                <w:rtl/>
              </w:rPr>
              <w:t>דולר</w:t>
            </w:r>
          </w:p>
        </w:tc>
        <w:tc>
          <w:tcPr>
            <w:tcW w:w="190" w:type="pct"/>
          </w:tcPr>
          <w:p w:rsidR="00A0642E" w:rsidRPr="00A0642E" w:rsidP="00A0642E" w14:paraId="19192EA5" w14:textId="77777777">
            <w:pPr>
              <w:spacing w:before="120" w:after="60" w:line="240" w:lineRule="auto"/>
              <w:jc w:val="left"/>
              <w:rPr>
                <w:b/>
                <w:bCs/>
                <w:rtl/>
              </w:rPr>
            </w:pPr>
          </w:p>
        </w:tc>
        <w:tc>
          <w:tcPr>
            <w:tcW w:w="1282" w:type="pct"/>
            <w:tcBorders>
              <w:bottom w:val="single" w:sz="12" w:space="0" w:color="000000" w:themeColor="text1"/>
            </w:tcBorders>
            <w:vAlign w:val="bottom"/>
          </w:tcPr>
          <w:p w:rsidR="00A0642E" w:rsidRPr="00A0642E" w:rsidP="00A0642E" w14:paraId="761F4116" w14:textId="69A116B0">
            <w:pPr>
              <w:pStyle w:val="2021"/>
              <w:spacing w:before="0" w:after="60"/>
              <w:rPr>
                <w:spacing w:val="-10"/>
                <w:rtl/>
              </w:rPr>
            </w:pPr>
            <w:r w:rsidRPr="00A0642E">
              <w:rPr>
                <w:rFonts w:hint="cs"/>
                <w:spacing w:val="-10"/>
                <w:rtl/>
              </w:rPr>
              <w:t>83</w:t>
            </w:r>
          </w:p>
        </w:tc>
        <w:tc>
          <w:tcPr>
            <w:tcW w:w="190" w:type="pct"/>
          </w:tcPr>
          <w:p w:rsidR="00A0642E" w:rsidRPr="00A0642E" w:rsidP="00A0642E" w14:paraId="2810DE55" w14:textId="77777777">
            <w:pPr>
              <w:spacing w:before="120" w:after="60" w:line="240" w:lineRule="auto"/>
              <w:jc w:val="left"/>
              <w:rPr>
                <w:b/>
                <w:bCs/>
                <w:rtl/>
              </w:rPr>
            </w:pPr>
          </w:p>
        </w:tc>
        <w:tc>
          <w:tcPr>
            <w:tcW w:w="943" w:type="pct"/>
            <w:tcBorders>
              <w:bottom w:val="single" w:sz="12" w:space="0" w:color="000000" w:themeColor="text1"/>
            </w:tcBorders>
            <w:vAlign w:val="bottom"/>
          </w:tcPr>
          <w:p w:rsidR="00A0642E" w:rsidRPr="00A0642E" w:rsidP="00A0642E" w14:paraId="2A2E27BD" w14:textId="15643341">
            <w:pPr>
              <w:pStyle w:val="2021"/>
              <w:spacing w:before="0" w:after="60"/>
              <w:rPr>
                <w:spacing w:val="-20"/>
                <w:sz w:val="24"/>
                <w:rtl/>
              </w:rPr>
            </w:pPr>
            <w:r w:rsidRPr="00A0642E">
              <w:rPr>
                <w:rFonts w:hint="cs"/>
                <w:spacing w:val="-10"/>
                <w:rtl/>
              </w:rPr>
              <w:t>26%</w:t>
            </w:r>
          </w:p>
        </w:tc>
        <w:tc>
          <w:tcPr>
            <w:tcW w:w="190" w:type="pct"/>
          </w:tcPr>
          <w:p w:rsidR="00A0642E" w:rsidRPr="00A0642E" w:rsidP="00A0642E" w14:paraId="47B754BA" w14:textId="77777777">
            <w:pPr>
              <w:pStyle w:val="2021"/>
              <w:spacing w:before="0" w:after="60"/>
              <w:rPr>
                <w:spacing w:val="-10"/>
                <w:rtl/>
              </w:rPr>
            </w:pPr>
          </w:p>
        </w:tc>
        <w:tc>
          <w:tcPr>
            <w:tcW w:w="1195" w:type="pct"/>
            <w:tcBorders>
              <w:bottom w:val="single" w:sz="12" w:space="0" w:color="000000" w:themeColor="text1"/>
            </w:tcBorders>
            <w:vAlign w:val="bottom"/>
          </w:tcPr>
          <w:p w:rsidR="00A0642E" w:rsidRPr="00A0642E" w:rsidP="00A0642E" w14:paraId="5F3A3FF5" w14:textId="1D38AF06">
            <w:pPr>
              <w:pStyle w:val="2021"/>
              <w:spacing w:before="0" w:after="60"/>
              <w:rPr>
                <w:spacing w:val="-10"/>
                <w:rtl/>
              </w:rPr>
            </w:pPr>
            <w:r w:rsidRPr="00A0642E">
              <w:rPr>
                <w:rFonts w:hint="cs"/>
                <w:spacing w:val="-10"/>
                <w:rtl/>
              </w:rPr>
              <w:t>130</w:t>
            </w:r>
          </w:p>
        </w:tc>
      </w:tr>
      <w:tr w14:paraId="6DFAF81C" w14:textId="77777777" w:rsidTr="00356553">
        <w:tblPrEx>
          <w:tblW w:w="4949" w:type="pct"/>
          <w:tblLook w:val="04A0"/>
        </w:tblPrEx>
        <w:trPr>
          <w:trHeight w:val="737"/>
        </w:trPr>
        <w:tc>
          <w:tcPr>
            <w:tcW w:w="1010" w:type="pct"/>
            <w:tcBorders>
              <w:top w:val="single" w:sz="12" w:space="0" w:color="000000" w:themeColor="text1"/>
            </w:tcBorders>
          </w:tcPr>
          <w:p w:rsidR="00A0642E" w:rsidRPr="00CD14AF" w:rsidP="00A0642E" w14:paraId="5CC9047E" w14:textId="3CE165F2">
            <w:pPr>
              <w:pStyle w:val="732021"/>
              <w:spacing w:before="0" w:line="240" w:lineRule="auto"/>
              <w:rPr>
                <w:rtl/>
              </w:rPr>
            </w:pPr>
            <w:r w:rsidRPr="00CD14AF">
              <w:rPr>
                <w:rFonts w:hint="eastAsia"/>
                <w:rtl/>
              </w:rPr>
              <w:t>מחזור</w:t>
            </w:r>
            <w:r w:rsidRPr="00CD14AF">
              <w:rPr>
                <w:rtl/>
              </w:rPr>
              <w:t xml:space="preserve"> </w:t>
            </w:r>
            <w:r w:rsidRPr="00CD14AF">
              <w:rPr>
                <w:rFonts w:hint="eastAsia"/>
                <w:rtl/>
              </w:rPr>
              <w:t>ההכנסות</w:t>
            </w:r>
            <w:r w:rsidRPr="00CD14AF">
              <w:rPr>
                <w:rtl/>
              </w:rPr>
              <w:t xml:space="preserve"> </w:t>
            </w:r>
            <w:r w:rsidRPr="00CD14AF">
              <w:rPr>
                <w:rFonts w:hint="eastAsia"/>
                <w:rtl/>
              </w:rPr>
              <w:t>השנתי</w:t>
            </w:r>
            <w:r w:rsidRPr="00CD14AF">
              <w:rPr>
                <w:rtl/>
              </w:rPr>
              <w:t xml:space="preserve"> </w:t>
            </w:r>
            <w:r w:rsidRPr="00CD14AF">
              <w:rPr>
                <w:rFonts w:hint="eastAsia"/>
                <w:rtl/>
              </w:rPr>
              <w:t>של</w:t>
            </w:r>
            <w:r w:rsidRPr="00CD14AF">
              <w:rPr>
                <w:rtl/>
              </w:rPr>
              <w:t xml:space="preserve"> </w:t>
            </w:r>
            <w:r w:rsidRPr="00CD14AF">
              <w:rPr>
                <w:rFonts w:hint="eastAsia"/>
                <w:rtl/>
              </w:rPr>
              <w:t>תע</w:t>
            </w:r>
            <w:r w:rsidRPr="00CD14AF">
              <w:rPr>
                <w:rtl/>
              </w:rPr>
              <w:t xml:space="preserve">"א </w:t>
            </w:r>
            <w:r w:rsidRPr="00CD14AF">
              <w:rPr>
                <w:rFonts w:hint="eastAsia"/>
                <w:rtl/>
              </w:rPr>
              <w:t>בשנת</w:t>
            </w:r>
            <w:r w:rsidRPr="00CD14AF">
              <w:rPr>
                <w:rtl/>
              </w:rPr>
              <w:t xml:space="preserve"> </w:t>
            </w:r>
            <w:r w:rsidRPr="00CD14AF">
              <w:rPr>
                <w:rFonts w:hint="cs"/>
                <w:rtl/>
              </w:rPr>
              <w:t>2022</w:t>
            </w:r>
            <w:bookmarkStart w:id="1" w:name="_Hlk144123235"/>
          </w:p>
          <w:p w:rsidR="00A0642E" w:rsidRPr="00E52143" w:rsidP="00A0642E" w14:paraId="1D96599A" w14:textId="26BE3F20">
            <w:pPr>
              <w:pStyle w:val="732021"/>
              <w:spacing w:before="0" w:line="240" w:lineRule="auto"/>
              <w:rPr>
                <w:rtl/>
              </w:rPr>
            </w:pPr>
            <w:r w:rsidRPr="00CD14AF">
              <w:rPr>
                <w:rFonts w:hint="cs"/>
                <w:rtl/>
              </w:rPr>
              <w:t xml:space="preserve">  </w:t>
            </w:r>
            <w:bookmarkEnd w:id="1"/>
          </w:p>
        </w:tc>
        <w:tc>
          <w:tcPr>
            <w:tcW w:w="190" w:type="pct"/>
          </w:tcPr>
          <w:p w:rsidR="00A0642E" w:rsidRPr="00E52143" w:rsidP="00A0642E" w14:paraId="2BF81D8C" w14:textId="77777777">
            <w:pPr>
              <w:pStyle w:val="732021"/>
              <w:spacing w:before="0" w:line="240" w:lineRule="auto"/>
              <w:rPr>
                <w:rtl/>
              </w:rPr>
            </w:pPr>
          </w:p>
        </w:tc>
        <w:tc>
          <w:tcPr>
            <w:tcW w:w="1282" w:type="pct"/>
            <w:tcBorders>
              <w:top w:val="single" w:sz="12" w:space="0" w:color="000000" w:themeColor="text1"/>
            </w:tcBorders>
          </w:tcPr>
          <w:p w:rsidR="00A0642E" w:rsidRPr="00CD14AF" w:rsidP="00A0642E" w14:paraId="6C617782" w14:textId="77777777">
            <w:pPr>
              <w:pStyle w:val="732021"/>
              <w:spacing w:before="0" w:line="240" w:lineRule="auto"/>
              <w:rPr>
                <w:rtl/>
              </w:rPr>
            </w:pPr>
            <w:r w:rsidRPr="00CD14AF">
              <w:rPr>
                <w:rFonts w:hint="cs"/>
                <w:rtl/>
              </w:rPr>
              <w:t xml:space="preserve">המקום </w:t>
            </w:r>
            <w:r w:rsidRPr="00CD14AF">
              <w:rPr>
                <w:rFonts w:hint="eastAsia"/>
                <w:rtl/>
              </w:rPr>
              <w:t>ש</w:t>
            </w:r>
            <w:r w:rsidRPr="00CD14AF">
              <w:rPr>
                <w:rFonts w:hint="cs"/>
                <w:rtl/>
              </w:rPr>
              <w:t xml:space="preserve">בו דורג סיכון מעילות והונאות בסקר הסיכונים התאגידי האחרון של </w:t>
            </w:r>
            <w:r w:rsidRPr="00CD14AF">
              <w:rPr>
                <w:rFonts w:hint="cs"/>
                <w:rtl/>
              </w:rPr>
              <w:t>התע"א</w:t>
            </w:r>
            <w:r w:rsidRPr="00CD14AF">
              <w:rPr>
                <w:rFonts w:hint="cs"/>
                <w:rtl/>
              </w:rPr>
              <w:t xml:space="preserve"> משנת 2020 מתוך 85 סיכונים שדורגו*</w:t>
            </w:r>
          </w:p>
          <w:p w:rsidR="00A0642E" w:rsidRPr="00E52143" w:rsidP="00A0642E" w14:paraId="68924AF7" w14:textId="6B8870EF">
            <w:pPr>
              <w:pStyle w:val="732021"/>
              <w:spacing w:before="0" w:line="240" w:lineRule="auto"/>
              <w:rPr>
                <w:rtl/>
              </w:rPr>
            </w:pPr>
          </w:p>
        </w:tc>
        <w:tc>
          <w:tcPr>
            <w:tcW w:w="190" w:type="pct"/>
          </w:tcPr>
          <w:p w:rsidR="00A0642E" w:rsidRPr="00E52143" w:rsidP="00A0642E" w14:paraId="4F52CE08" w14:textId="77777777">
            <w:pPr>
              <w:pStyle w:val="732021"/>
              <w:spacing w:before="0" w:line="240" w:lineRule="auto"/>
              <w:rPr>
                <w:rtl/>
              </w:rPr>
            </w:pPr>
          </w:p>
        </w:tc>
        <w:tc>
          <w:tcPr>
            <w:tcW w:w="943" w:type="pct"/>
            <w:tcBorders>
              <w:top w:val="single" w:sz="12" w:space="0" w:color="000000" w:themeColor="text1"/>
            </w:tcBorders>
          </w:tcPr>
          <w:p w:rsidR="00A0642E" w:rsidRPr="00E52143" w:rsidP="00A0642E" w14:paraId="203F9568" w14:textId="1CEF7E55">
            <w:pPr>
              <w:pStyle w:val="732021"/>
              <w:spacing w:before="0" w:line="240" w:lineRule="auto"/>
              <w:rPr>
                <w:rtl/>
              </w:rPr>
            </w:pPr>
            <w:r w:rsidRPr="00CD14AF">
              <w:rPr>
                <w:rFonts w:hint="cs"/>
                <w:rtl/>
              </w:rPr>
              <w:t>מהעובדים בתחום הרכש אינם עומדים בהנחיות הנהלת החברה לביצוע רוטציה בין התפקידים מדי חמש שנים</w:t>
            </w:r>
          </w:p>
        </w:tc>
        <w:tc>
          <w:tcPr>
            <w:tcW w:w="190" w:type="pct"/>
          </w:tcPr>
          <w:p w:rsidR="00A0642E" w:rsidRPr="00E52143" w:rsidP="00A0642E" w14:paraId="42538096" w14:textId="77777777">
            <w:pPr>
              <w:pStyle w:val="732021"/>
              <w:spacing w:before="0" w:line="240" w:lineRule="auto"/>
              <w:rPr>
                <w:rtl/>
              </w:rPr>
            </w:pPr>
          </w:p>
        </w:tc>
        <w:tc>
          <w:tcPr>
            <w:tcW w:w="1195" w:type="pct"/>
            <w:tcBorders>
              <w:top w:val="single" w:sz="12" w:space="0" w:color="000000" w:themeColor="text1"/>
            </w:tcBorders>
          </w:tcPr>
          <w:p w:rsidR="00A0642E" w:rsidRPr="00E52143" w:rsidP="00A0642E" w14:paraId="1878D11D" w14:textId="47B6E850">
            <w:pPr>
              <w:pStyle w:val="732021"/>
              <w:spacing w:before="0" w:line="240" w:lineRule="auto"/>
              <w:rPr>
                <w:rtl/>
              </w:rPr>
            </w:pPr>
            <w:r w:rsidRPr="00CD14AF">
              <w:rPr>
                <w:rFonts w:hint="cs"/>
                <w:rtl/>
              </w:rPr>
              <w:t xml:space="preserve">מספר ההמלצות של הביקורת הפנימית שהתקבלו </w:t>
            </w:r>
            <w:r w:rsidRPr="00CD14AF">
              <w:rPr>
                <w:rFonts w:hint="eastAsia"/>
                <w:rtl/>
              </w:rPr>
              <w:t>על</w:t>
            </w:r>
            <w:r w:rsidRPr="00CD14AF">
              <w:rPr>
                <w:rtl/>
              </w:rPr>
              <w:t xml:space="preserve"> </w:t>
            </w:r>
            <w:r w:rsidRPr="00CD14AF">
              <w:rPr>
                <w:rFonts w:hint="eastAsia"/>
                <w:rtl/>
              </w:rPr>
              <w:t>ידי</w:t>
            </w:r>
            <w:r w:rsidRPr="00CD14AF">
              <w:rPr>
                <w:rFonts w:hint="cs"/>
                <w:rtl/>
              </w:rPr>
              <w:t xml:space="preserve"> הנהלת החברה ויישומן </w:t>
            </w:r>
            <w:r w:rsidRPr="00CD14AF">
              <w:rPr>
                <w:rFonts w:hint="eastAsia"/>
                <w:rtl/>
              </w:rPr>
              <w:t>היה</w:t>
            </w:r>
            <w:r w:rsidRPr="00CD14AF">
              <w:rPr>
                <w:rFonts w:hint="cs"/>
                <w:rtl/>
              </w:rPr>
              <w:t xml:space="preserve"> בפיגור של יותר משנה, מהן 81 המלצות שיישומן</w:t>
            </w:r>
            <w:r w:rsidRPr="00CD14AF">
              <w:rPr>
                <w:rtl/>
              </w:rPr>
              <w:t xml:space="preserve"> </w:t>
            </w:r>
            <w:r w:rsidRPr="00CD14AF">
              <w:rPr>
                <w:rFonts w:hint="cs"/>
                <w:rtl/>
              </w:rPr>
              <w:t>היה בפיגור</w:t>
            </w:r>
            <w:r w:rsidRPr="00CD14AF">
              <w:rPr>
                <w:rtl/>
              </w:rPr>
              <w:t xml:space="preserve"> </w:t>
            </w:r>
            <w:r w:rsidRPr="00CD14AF">
              <w:rPr>
                <w:rFonts w:hint="cs"/>
                <w:rtl/>
              </w:rPr>
              <w:t>של יותר</w:t>
            </w:r>
            <w:r w:rsidRPr="00CD14AF">
              <w:rPr>
                <w:rtl/>
              </w:rPr>
              <w:t xml:space="preserve"> </w:t>
            </w:r>
            <w:r w:rsidRPr="00CD14AF">
              <w:rPr>
                <w:rFonts w:hint="cs"/>
                <w:rtl/>
              </w:rPr>
              <w:t>מ</w:t>
            </w:r>
            <w:r w:rsidRPr="00CD14AF">
              <w:rPr>
                <w:rtl/>
              </w:rPr>
              <w:t>שנתיים</w:t>
            </w:r>
            <w:r w:rsidRPr="00CD14AF">
              <w:rPr>
                <w:rFonts w:hint="cs"/>
                <w:rtl/>
              </w:rPr>
              <w:t xml:space="preserve"> (</w:t>
            </w:r>
            <w:r w:rsidRPr="00CD14AF">
              <w:rPr>
                <w:rFonts w:hint="eastAsia"/>
                <w:rtl/>
              </w:rPr>
              <w:t>נכון</w:t>
            </w:r>
            <w:r w:rsidRPr="00CD14AF">
              <w:rPr>
                <w:rtl/>
              </w:rPr>
              <w:t xml:space="preserve"> </w:t>
            </w:r>
            <w:r w:rsidRPr="00CD14AF">
              <w:rPr>
                <w:rFonts w:hint="eastAsia"/>
                <w:rtl/>
              </w:rPr>
              <w:t>לדצמבר</w:t>
            </w:r>
            <w:r w:rsidRPr="00CD14AF">
              <w:rPr>
                <w:rFonts w:hint="cs"/>
                <w:rtl/>
              </w:rPr>
              <w:t xml:space="preserve"> 2022), ובהן המלצות בנושאים הנוגעים למעילות והונאות</w:t>
            </w:r>
          </w:p>
        </w:tc>
      </w:tr>
      <w:tr w14:paraId="1BD5A20C" w14:textId="77777777" w:rsidTr="00356553">
        <w:tblPrEx>
          <w:tblW w:w="4949" w:type="pct"/>
          <w:tblLook w:val="04A0"/>
        </w:tblPrEx>
        <w:trPr>
          <w:trHeight w:val="737"/>
        </w:trPr>
        <w:tc>
          <w:tcPr>
            <w:tcW w:w="1010" w:type="pct"/>
            <w:tcBorders>
              <w:bottom w:val="single" w:sz="12" w:space="0" w:color="000000" w:themeColor="text1"/>
            </w:tcBorders>
            <w:vAlign w:val="bottom"/>
          </w:tcPr>
          <w:p w:rsidR="00A0642E" w:rsidRPr="00A0642E" w:rsidP="00A0642E" w14:paraId="500D3B50" w14:textId="000591B5">
            <w:pPr>
              <w:spacing w:after="60" w:line="240" w:lineRule="auto"/>
              <w:jc w:val="left"/>
              <w:rPr>
                <w:rFonts w:ascii="Tahoma" w:hAnsi="Tahoma" w:eastAsiaTheme="minorEastAsia" w:cs="Tahoma"/>
                <w:b/>
                <w:bCs/>
                <w:color w:val="0D0D0D" w:themeColor="text1" w:themeTint="F2"/>
                <w:spacing w:val="-10"/>
                <w:sz w:val="36"/>
                <w:szCs w:val="36"/>
                <w:rtl/>
              </w:rPr>
            </w:pPr>
            <w:r w:rsidRPr="00A0642E">
              <w:rPr>
                <w:rFonts w:ascii="Tahoma" w:hAnsi="Tahoma" w:eastAsiaTheme="minorEastAsia" w:cs="Tahoma" w:hint="cs"/>
                <w:b/>
                <w:bCs/>
                <w:color w:val="0D0D0D" w:themeColor="text1" w:themeTint="F2"/>
                <w:spacing w:val="-10"/>
                <w:sz w:val="26"/>
                <w:szCs w:val="26"/>
                <w:rtl/>
              </w:rPr>
              <w:t>כ-</w:t>
            </w:r>
            <w:r w:rsidRPr="00A0642E">
              <w:rPr>
                <w:rFonts w:ascii="Tahoma" w:hAnsi="Tahoma" w:eastAsiaTheme="minorEastAsia" w:cs="Tahoma" w:hint="cs"/>
                <w:b/>
                <w:bCs/>
                <w:color w:val="0D0D0D" w:themeColor="text1" w:themeTint="F2"/>
                <w:spacing w:val="-10"/>
                <w:sz w:val="36"/>
                <w:szCs w:val="36"/>
                <w:rtl/>
              </w:rPr>
              <w:t xml:space="preserve">34% </w:t>
            </w:r>
            <w:r w:rsidRPr="00A0642E">
              <w:rPr>
                <w:rFonts w:ascii="Tahoma" w:hAnsi="Tahoma" w:eastAsiaTheme="minorEastAsia" w:cs="Tahoma"/>
                <w:b/>
                <w:bCs/>
                <w:color w:val="0D0D0D" w:themeColor="text1" w:themeTint="F2"/>
                <w:spacing w:val="-10"/>
                <w:sz w:val="36"/>
                <w:szCs w:val="36"/>
                <w:rtl/>
              </w:rPr>
              <w:br/>
            </w:r>
            <w:r w:rsidRPr="00A0642E">
              <w:rPr>
                <w:rFonts w:ascii="Tahoma" w:hAnsi="Tahoma" w:eastAsiaTheme="minorEastAsia" w:cs="Tahoma" w:hint="cs"/>
                <w:b/>
                <w:bCs/>
                <w:color w:val="0D0D0D" w:themeColor="text1" w:themeTint="F2"/>
                <w:spacing w:val="-10"/>
                <w:sz w:val="26"/>
                <w:szCs w:val="26"/>
                <w:rtl/>
              </w:rPr>
              <w:t>(814)</w:t>
            </w:r>
          </w:p>
        </w:tc>
        <w:tc>
          <w:tcPr>
            <w:tcW w:w="190" w:type="pct"/>
          </w:tcPr>
          <w:p w:rsidR="00A0642E" w:rsidRPr="00A0642E" w:rsidP="00A0642E"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282" w:type="pct"/>
            <w:tcBorders>
              <w:bottom w:val="single" w:sz="12" w:space="0" w:color="000000" w:themeColor="text1"/>
            </w:tcBorders>
            <w:vAlign w:val="center"/>
          </w:tcPr>
          <w:p w:rsidR="00A0642E" w:rsidRPr="00356553" w:rsidP="00356553" w14:paraId="48896DF7" w14:textId="4F0C9F74">
            <w:pPr>
              <w:pStyle w:val="2021"/>
              <w:spacing w:before="0" w:after="60"/>
              <w:rPr>
                <w:spacing w:val="-10"/>
                <w:sz w:val="26"/>
                <w:szCs w:val="26"/>
                <w:rtl/>
              </w:rPr>
            </w:pPr>
            <w:r w:rsidRPr="006421AC">
              <w:rPr>
                <w:rFonts w:hint="cs"/>
                <w:spacing w:val="-10"/>
                <w:sz w:val="24"/>
                <w:szCs w:val="24"/>
                <w:rtl/>
              </w:rPr>
              <w:t>כ-</w:t>
            </w:r>
            <w:r w:rsidRPr="00300487" w:rsidR="00356553">
              <w:rPr>
                <w:rFonts w:hint="cs"/>
                <w:spacing w:val="-22"/>
                <w:sz w:val="29"/>
                <w:szCs w:val="29"/>
                <w:rtl/>
              </w:rPr>
              <w:t>23%</w:t>
            </w:r>
            <w:r w:rsidRPr="00300487">
              <w:rPr>
                <w:rFonts w:hint="cs"/>
                <w:spacing w:val="-22"/>
                <w:sz w:val="29"/>
                <w:szCs w:val="29"/>
                <w:rtl/>
              </w:rPr>
              <w:t>-</w:t>
            </w:r>
            <w:r w:rsidRPr="00300487">
              <w:rPr>
                <w:rFonts w:hint="cs"/>
                <w:spacing w:val="-24"/>
                <w:sz w:val="29"/>
                <w:szCs w:val="29"/>
                <w:rtl/>
              </w:rPr>
              <w:t>33%</w:t>
            </w:r>
            <w:r w:rsidR="00356553">
              <w:rPr>
                <w:spacing w:val="-10"/>
                <w:sz w:val="31"/>
                <w:szCs w:val="31"/>
                <w:rtl/>
              </w:rPr>
              <w:br/>
            </w:r>
            <w:r w:rsidRPr="00356553">
              <w:rPr>
                <w:rFonts w:hint="cs"/>
                <w:spacing w:val="-10"/>
                <w:sz w:val="26"/>
                <w:szCs w:val="26"/>
                <w:rtl/>
              </w:rPr>
              <w:t>(557 - 787)</w:t>
            </w:r>
          </w:p>
        </w:tc>
        <w:tc>
          <w:tcPr>
            <w:tcW w:w="190" w:type="pct"/>
          </w:tcPr>
          <w:p w:rsidR="00A0642E" w:rsidRPr="00A0642E" w:rsidP="00A0642E" w14:paraId="5B4C8A80" w14:textId="77777777">
            <w:pPr>
              <w:spacing w:after="60" w:line="240" w:lineRule="auto"/>
              <w:jc w:val="left"/>
              <w:rPr>
                <w:rFonts w:ascii="Tahoma" w:hAnsi="Tahoma" w:eastAsiaTheme="minorEastAsia" w:cs="Tahoma"/>
                <w:b/>
                <w:bCs/>
                <w:color w:val="0D0D0D" w:themeColor="text1" w:themeTint="F2"/>
                <w:spacing w:val="-10"/>
                <w:sz w:val="26"/>
                <w:szCs w:val="26"/>
                <w:rtl/>
              </w:rPr>
            </w:pPr>
          </w:p>
        </w:tc>
        <w:tc>
          <w:tcPr>
            <w:tcW w:w="943" w:type="pct"/>
            <w:tcBorders>
              <w:bottom w:val="single" w:sz="12" w:space="0" w:color="000000" w:themeColor="text1"/>
            </w:tcBorders>
            <w:vAlign w:val="bottom"/>
          </w:tcPr>
          <w:p w:rsidR="00A0642E" w:rsidRPr="00A0642E" w:rsidP="00A0642E" w14:paraId="226A2E50" w14:textId="3281738F">
            <w:pPr>
              <w:spacing w:after="60" w:line="192" w:lineRule="auto"/>
              <w:jc w:val="left"/>
              <w:rPr>
                <w:rFonts w:ascii="Tahoma" w:hAnsi="Tahoma" w:eastAsiaTheme="minorEastAsia" w:cs="Tahoma"/>
                <w:b/>
                <w:bCs/>
                <w:color w:val="0D0D0D" w:themeColor="text1" w:themeTint="F2"/>
                <w:spacing w:val="-10"/>
                <w:sz w:val="26"/>
                <w:szCs w:val="26"/>
                <w:rtl/>
              </w:rPr>
            </w:pPr>
            <w:r w:rsidRPr="00A0642E">
              <w:rPr>
                <w:rFonts w:ascii="Tahoma" w:hAnsi="Tahoma" w:eastAsiaTheme="minorEastAsia" w:cs="Tahoma" w:hint="cs"/>
                <w:b/>
                <w:bCs/>
                <w:color w:val="0D0D0D" w:themeColor="text1" w:themeTint="F2"/>
                <w:spacing w:val="-10"/>
                <w:sz w:val="26"/>
                <w:szCs w:val="26"/>
                <w:rtl/>
              </w:rPr>
              <w:t>כ-</w:t>
            </w:r>
            <w:r w:rsidRPr="00A0642E">
              <w:rPr>
                <w:rFonts w:ascii="Tahoma" w:hAnsi="Tahoma" w:eastAsiaTheme="minorEastAsia" w:cs="Tahoma" w:hint="cs"/>
                <w:b/>
                <w:bCs/>
                <w:color w:val="0D0D0D" w:themeColor="text1" w:themeTint="F2"/>
                <w:spacing w:val="-10"/>
                <w:sz w:val="36"/>
                <w:szCs w:val="36"/>
                <w:rtl/>
              </w:rPr>
              <w:t>55%</w:t>
            </w:r>
            <w:r w:rsidRPr="00A0642E">
              <w:rPr>
                <w:rFonts w:ascii="Tahoma" w:hAnsi="Tahoma" w:eastAsiaTheme="minorEastAsia" w:cs="Tahoma" w:hint="cs"/>
                <w:b/>
                <w:bCs/>
                <w:color w:val="0D0D0D" w:themeColor="text1" w:themeTint="F2"/>
                <w:spacing w:val="-10"/>
                <w:sz w:val="26"/>
                <w:szCs w:val="26"/>
                <w:rtl/>
              </w:rPr>
              <w:t xml:space="preserve"> </w:t>
            </w:r>
            <w:r w:rsidRPr="00A0642E">
              <w:rPr>
                <w:rFonts w:ascii="Tahoma" w:hAnsi="Tahoma" w:eastAsiaTheme="minorEastAsia" w:cs="Tahoma"/>
                <w:b/>
                <w:bCs/>
                <w:color w:val="0D0D0D" w:themeColor="text1" w:themeTint="F2"/>
                <w:spacing w:val="-10"/>
                <w:sz w:val="26"/>
                <w:szCs w:val="26"/>
                <w:rtl/>
              </w:rPr>
              <w:br/>
            </w:r>
            <w:r w:rsidRPr="00A0642E">
              <w:rPr>
                <w:rFonts w:ascii="Tahoma" w:hAnsi="Tahoma" w:eastAsiaTheme="minorEastAsia" w:cs="Tahoma" w:hint="cs"/>
                <w:b/>
                <w:bCs/>
                <w:color w:val="0D0D0D" w:themeColor="text1" w:themeTint="F2"/>
                <w:spacing w:val="-10"/>
                <w:sz w:val="26"/>
                <w:szCs w:val="26"/>
                <w:rtl/>
              </w:rPr>
              <w:t>(1,305)</w:t>
            </w:r>
          </w:p>
        </w:tc>
        <w:tc>
          <w:tcPr>
            <w:tcW w:w="190" w:type="pct"/>
          </w:tcPr>
          <w:p w:rsidR="00A0642E" w:rsidRPr="00A0642E" w:rsidP="00A0642E"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95" w:type="pct"/>
            <w:tcBorders>
              <w:bottom w:val="single" w:sz="12" w:space="0" w:color="000000" w:themeColor="text1"/>
            </w:tcBorders>
            <w:vAlign w:val="bottom"/>
          </w:tcPr>
          <w:p w:rsidR="00A0642E" w:rsidRPr="00A0642E" w:rsidP="00A0642E" w14:paraId="5AEEF263" w14:textId="0F40E045">
            <w:pPr>
              <w:spacing w:after="60" w:line="240" w:lineRule="auto"/>
              <w:jc w:val="left"/>
              <w:rPr>
                <w:rFonts w:ascii="Tahoma" w:hAnsi="Tahoma" w:eastAsiaTheme="minorEastAsia" w:cs="Tahoma"/>
                <w:b/>
                <w:bCs/>
                <w:color w:val="0D0D0D" w:themeColor="text1" w:themeTint="F2"/>
                <w:spacing w:val="-10"/>
                <w:sz w:val="36"/>
                <w:szCs w:val="36"/>
                <w:rtl/>
              </w:rPr>
            </w:pPr>
            <w:r w:rsidRPr="00A0642E">
              <w:rPr>
                <w:rFonts w:ascii="Tahoma" w:hAnsi="Tahoma" w:eastAsiaTheme="minorEastAsia" w:cs="Tahoma" w:hint="cs"/>
                <w:b/>
                <w:bCs/>
                <w:color w:val="0D0D0D" w:themeColor="text1" w:themeTint="F2"/>
                <w:spacing w:val="-10"/>
                <w:sz w:val="26"/>
                <w:szCs w:val="26"/>
                <w:rtl/>
              </w:rPr>
              <w:t>כ-</w:t>
            </w:r>
            <w:r w:rsidRPr="00A0642E">
              <w:rPr>
                <w:rFonts w:ascii="Tahoma" w:hAnsi="Tahoma" w:eastAsiaTheme="minorEastAsia" w:cs="Tahoma" w:hint="cs"/>
                <w:b/>
                <w:bCs/>
                <w:color w:val="0D0D0D" w:themeColor="text1" w:themeTint="F2"/>
                <w:spacing w:val="-10"/>
                <w:sz w:val="36"/>
                <w:szCs w:val="36"/>
                <w:rtl/>
              </w:rPr>
              <w:t xml:space="preserve">11% </w:t>
            </w:r>
            <w:r w:rsidRPr="00A0642E">
              <w:rPr>
                <w:rFonts w:ascii="Tahoma" w:hAnsi="Tahoma" w:eastAsiaTheme="minorEastAsia" w:cs="Tahoma"/>
                <w:b/>
                <w:bCs/>
                <w:color w:val="0D0D0D" w:themeColor="text1" w:themeTint="F2"/>
                <w:spacing w:val="-10"/>
                <w:sz w:val="36"/>
                <w:szCs w:val="36"/>
                <w:rtl/>
              </w:rPr>
              <w:br/>
            </w:r>
            <w:r w:rsidRPr="00A0642E">
              <w:rPr>
                <w:rFonts w:ascii="Tahoma" w:hAnsi="Tahoma" w:eastAsiaTheme="minorEastAsia" w:cs="Tahoma" w:hint="cs"/>
                <w:b/>
                <w:bCs/>
                <w:color w:val="0D0D0D" w:themeColor="text1" w:themeTint="F2"/>
                <w:spacing w:val="-10"/>
                <w:sz w:val="26"/>
                <w:szCs w:val="26"/>
                <w:rtl/>
              </w:rPr>
              <w:t>(264)</w:t>
            </w:r>
          </w:p>
        </w:tc>
      </w:tr>
      <w:tr w14:paraId="54154FA5" w14:textId="77777777" w:rsidTr="00356553">
        <w:tblPrEx>
          <w:tblW w:w="4949" w:type="pct"/>
          <w:tblLook w:val="04A0"/>
        </w:tblPrEx>
        <w:trPr>
          <w:trHeight w:val="737"/>
        </w:trPr>
        <w:tc>
          <w:tcPr>
            <w:tcW w:w="1010" w:type="pct"/>
            <w:tcBorders>
              <w:top w:val="single" w:sz="12" w:space="0" w:color="000000" w:themeColor="text1"/>
            </w:tcBorders>
          </w:tcPr>
          <w:p w:rsidR="00A0642E" w:rsidRPr="004562F8" w:rsidP="00A0642E" w14:paraId="6DB67748" w14:textId="6ED4A446">
            <w:pPr>
              <w:pStyle w:val="732021"/>
              <w:spacing w:before="0" w:after="0" w:line="240" w:lineRule="auto"/>
              <w:rPr>
                <w:rtl/>
              </w:rPr>
            </w:pPr>
            <w:r w:rsidRPr="00CD14AF">
              <w:rPr>
                <w:rFonts w:hint="cs"/>
                <w:rtl/>
              </w:rPr>
              <w:t xml:space="preserve">מהמשיבים (עובדי </w:t>
            </w:r>
            <w:r w:rsidRPr="00CD14AF">
              <w:rPr>
                <w:rFonts w:hint="cs"/>
                <w:rtl/>
              </w:rPr>
              <w:t>התע"א</w:t>
            </w:r>
            <w:r w:rsidRPr="00CD14AF">
              <w:rPr>
                <w:rFonts w:hint="cs"/>
                <w:rtl/>
              </w:rPr>
              <w:t>) על שאלון משרד מבקר המדינה** מסרו כי לא ידעו למי לפנות אם ירצו להגיש תלונה על פגיעה בטוהר המידות</w:t>
            </w:r>
          </w:p>
        </w:tc>
        <w:tc>
          <w:tcPr>
            <w:tcW w:w="190" w:type="pct"/>
          </w:tcPr>
          <w:p w:rsidR="00A0642E" w:rsidRPr="008D750B" w:rsidP="00A0642E" w14:paraId="0C0AE598" w14:textId="77777777">
            <w:pPr>
              <w:pStyle w:val="732021"/>
              <w:spacing w:before="0" w:after="0" w:line="240" w:lineRule="auto"/>
              <w:rPr>
                <w:rtl/>
              </w:rPr>
            </w:pPr>
          </w:p>
        </w:tc>
        <w:tc>
          <w:tcPr>
            <w:tcW w:w="1282" w:type="pct"/>
            <w:tcBorders>
              <w:top w:val="single" w:sz="12" w:space="0" w:color="000000" w:themeColor="text1"/>
            </w:tcBorders>
          </w:tcPr>
          <w:p w:rsidR="00A0642E" w:rsidRPr="004562F8" w:rsidP="00A0642E" w14:paraId="1916A301" w14:textId="4C97CD5C">
            <w:pPr>
              <w:pStyle w:val="732021"/>
              <w:spacing w:before="0" w:after="0" w:line="240" w:lineRule="auto"/>
              <w:rPr>
                <w:rtl/>
              </w:rPr>
            </w:pPr>
            <w:r w:rsidRPr="00CD14AF">
              <w:rPr>
                <w:rFonts w:hint="cs"/>
                <w:rtl/>
              </w:rPr>
              <w:t xml:space="preserve">מהמשיבים (עובדי </w:t>
            </w:r>
            <w:r w:rsidRPr="00CD14AF">
              <w:rPr>
                <w:rFonts w:hint="cs"/>
                <w:rtl/>
              </w:rPr>
              <w:t>התע"א</w:t>
            </w:r>
            <w:r w:rsidRPr="00CD14AF">
              <w:rPr>
                <w:rFonts w:hint="cs"/>
                <w:rtl/>
              </w:rPr>
              <w:t>) על שאלון משרד מבקר המדינה סברו כי ניתן לבצע בחברה מעילות והונאות מסוגים שונים, ובהם: הוצאת ציוד בעל ערך, הונאות מצד ספקים ודיווחי נוכחות כוזבים</w:t>
            </w:r>
          </w:p>
        </w:tc>
        <w:tc>
          <w:tcPr>
            <w:tcW w:w="190" w:type="pct"/>
          </w:tcPr>
          <w:p w:rsidR="00A0642E" w:rsidP="00A0642E" w14:paraId="14782C57" w14:textId="77777777">
            <w:pPr>
              <w:pStyle w:val="732021"/>
              <w:spacing w:before="0" w:after="0" w:line="240" w:lineRule="auto"/>
              <w:rPr>
                <w:rtl/>
              </w:rPr>
            </w:pPr>
          </w:p>
        </w:tc>
        <w:tc>
          <w:tcPr>
            <w:tcW w:w="943" w:type="pct"/>
            <w:tcBorders>
              <w:top w:val="single" w:sz="12" w:space="0" w:color="000000" w:themeColor="text1"/>
            </w:tcBorders>
          </w:tcPr>
          <w:p w:rsidR="00A0642E" w:rsidRPr="0062456C" w:rsidP="00A0642E" w14:paraId="6149CA50" w14:textId="0E4BA15D">
            <w:pPr>
              <w:pStyle w:val="732021"/>
              <w:spacing w:before="0" w:after="0" w:line="240" w:lineRule="auto"/>
              <w:rPr>
                <w:rtl/>
              </w:rPr>
            </w:pPr>
            <w:r w:rsidRPr="00CD14AF">
              <w:rPr>
                <w:rFonts w:hint="cs"/>
                <w:rtl/>
              </w:rPr>
              <w:t xml:space="preserve">מהמשיבים (עובדי </w:t>
            </w:r>
            <w:r w:rsidRPr="00CD14AF">
              <w:rPr>
                <w:rFonts w:hint="cs"/>
                <w:rtl/>
              </w:rPr>
              <w:t>התע"א</w:t>
            </w:r>
            <w:r w:rsidRPr="00CD14AF">
              <w:rPr>
                <w:rFonts w:hint="cs"/>
                <w:rtl/>
              </w:rPr>
              <w:t xml:space="preserve">) על שאלון משרד מבקר המדינה ציינו כי אינם </w:t>
            </w:r>
            <w:r w:rsidRPr="00CD14AF">
              <w:rPr>
                <w:rFonts w:hint="eastAsia"/>
                <w:rtl/>
              </w:rPr>
              <w:t>ערים</w:t>
            </w:r>
            <w:r w:rsidRPr="00CD14AF">
              <w:rPr>
                <w:rFonts w:hint="cs"/>
                <w:rtl/>
              </w:rPr>
              <w:t xml:space="preserve"> לקיומו של "קו חם" להגשת תלונות באופן גלוי או אנונימי</w:t>
            </w:r>
          </w:p>
        </w:tc>
        <w:tc>
          <w:tcPr>
            <w:tcW w:w="190" w:type="pct"/>
          </w:tcPr>
          <w:p w:rsidR="00A0642E" w:rsidRPr="00C92141" w:rsidP="00A0642E" w14:paraId="66E34E8E" w14:textId="77777777">
            <w:pPr>
              <w:pStyle w:val="732021"/>
              <w:spacing w:before="0" w:after="0" w:line="240" w:lineRule="auto"/>
              <w:rPr>
                <w:rtl/>
              </w:rPr>
            </w:pPr>
          </w:p>
        </w:tc>
        <w:tc>
          <w:tcPr>
            <w:tcW w:w="1195" w:type="pct"/>
            <w:tcBorders>
              <w:top w:val="single" w:sz="12" w:space="0" w:color="000000" w:themeColor="text1"/>
            </w:tcBorders>
          </w:tcPr>
          <w:p w:rsidR="00A0642E" w:rsidRPr="00C92141" w:rsidP="00A0642E" w14:paraId="39498237" w14:textId="2E10D6D9">
            <w:pPr>
              <w:pStyle w:val="732021"/>
              <w:spacing w:before="0" w:line="240" w:lineRule="auto"/>
              <w:rPr>
                <w:rtl/>
              </w:rPr>
            </w:pPr>
            <w:r w:rsidRPr="00CD14AF">
              <w:rPr>
                <w:rFonts w:hint="cs"/>
                <w:rtl/>
              </w:rPr>
              <w:t xml:space="preserve">10% מהמשיבים (עובדי </w:t>
            </w:r>
            <w:r w:rsidRPr="00CD14AF">
              <w:rPr>
                <w:rFonts w:hint="cs"/>
                <w:rtl/>
              </w:rPr>
              <w:t>התע"א</w:t>
            </w:r>
            <w:r w:rsidRPr="00CD14AF">
              <w:rPr>
                <w:rFonts w:hint="cs"/>
                <w:rtl/>
              </w:rPr>
              <w:t xml:space="preserve">) על שאלון משרד מבקר המדינה ענו שאינם יודעים אם היו מדווחים על מעילה או הונאה שמתרחשת בחברה אילו היה ברשותם מידע בנוגע להתרחשותן, וכ-1% </w:t>
            </w:r>
            <w:r w:rsidRPr="00CD14AF">
              <w:rPr>
                <w:rFonts w:hint="eastAsia"/>
                <w:rtl/>
              </w:rPr>
              <w:t>מהמשיבים</w:t>
            </w:r>
            <w:r w:rsidRPr="00CD14AF">
              <w:rPr>
                <w:rFonts w:hint="cs"/>
                <w:rtl/>
              </w:rPr>
              <w:t xml:space="preserve"> אמרו שלא ידווחו על העניין</w:t>
            </w:r>
          </w:p>
        </w:tc>
      </w:tr>
    </w:tbl>
    <w:p w:rsidR="00A0642E" w:rsidRPr="002D35EA" w:rsidP="002D35EA" w14:paraId="7D1BDA4B" w14:textId="77777777">
      <w:pPr>
        <w:pStyle w:val="738"/>
        <w:spacing w:after="0"/>
        <w:ind w:left="282" w:hanging="282"/>
        <w:rPr>
          <w:rtl/>
        </w:rPr>
      </w:pPr>
      <w:r w:rsidRPr="002D35EA">
        <w:rPr>
          <w:rFonts w:hint="cs"/>
          <w:rtl/>
        </w:rPr>
        <w:t xml:space="preserve">* </w:t>
      </w:r>
      <w:r w:rsidRPr="002D35EA">
        <w:rPr>
          <w:rtl/>
        </w:rPr>
        <w:tab/>
        <w:t>בסולם שבו "1" משקף את הסיכון הגבוה ביותר, ו-"85" את הנמוך ביותר</w:t>
      </w:r>
      <w:r w:rsidRPr="002D35EA">
        <w:rPr>
          <w:rFonts w:hint="cs"/>
          <w:rtl/>
        </w:rPr>
        <w:t xml:space="preserve">. לדברי </w:t>
      </w:r>
      <w:r w:rsidRPr="002D35EA">
        <w:rPr>
          <w:rtl/>
        </w:rPr>
        <w:t>התע"א</w:t>
      </w:r>
      <w:r w:rsidRPr="002D35EA">
        <w:rPr>
          <w:rFonts w:hint="cs"/>
          <w:rtl/>
        </w:rPr>
        <w:t xml:space="preserve">, </w:t>
      </w:r>
      <w:r w:rsidRPr="002D35EA">
        <w:rPr>
          <w:rtl/>
        </w:rPr>
        <w:t>סקר הסיכונים התאגידי קובע את הסיכונים שהתממשותם</w:t>
      </w:r>
      <w:r w:rsidRPr="002D35EA">
        <w:rPr>
          <w:rFonts w:hint="cs"/>
          <w:rtl/>
        </w:rPr>
        <w:t xml:space="preserve"> </w:t>
      </w:r>
      <w:r w:rsidRPr="002D35EA">
        <w:rPr>
          <w:rtl/>
        </w:rPr>
        <w:t>עלולה לסכן את התאגיד; וכי על פי ניסיון החברה, אירועי מעילות אינם מגיעים לכדי היקפים כספיים משמעותיים ואינם נופלים בגדר סיכון מפתח תאגידי.</w:t>
      </w:r>
    </w:p>
    <w:p w:rsidR="00A0642E" w:rsidRPr="002D35EA" w:rsidP="002D35EA" w14:paraId="30925F31" w14:textId="48E070F8">
      <w:pPr>
        <w:pStyle w:val="738"/>
        <w:spacing w:before="0"/>
        <w:ind w:left="282" w:hanging="282"/>
        <w:rPr>
          <w:rtl/>
        </w:rPr>
      </w:pPr>
      <w:r w:rsidRPr="002D35EA">
        <w:rPr>
          <w:rFonts w:hint="cs"/>
          <w:rtl/>
        </w:rPr>
        <w:t xml:space="preserve">** </w:t>
      </w:r>
      <w:r w:rsidRPr="002D35EA">
        <w:rPr>
          <w:rtl/>
        </w:rPr>
        <w:tab/>
      </w:r>
      <w:r w:rsidRPr="002D35EA">
        <w:rPr>
          <w:rFonts w:hint="eastAsia"/>
          <w:rtl/>
        </w:rPr>
        <w:t>במהלך</w:t>
      </w:r>
      <w:r w:rsidRPr="002D35EA">
        <w:rPr>
          <w:rtl/>
        </w:rPr>
        <w:t xml:space="preserve"> הביקורת (במאי 2023) הפיץ משרד מבקר המדינה בקרב עובדי החברה </w:t>
      </w:r>
      <w:r w:rsidRPr="002D35EA">
        <w:rPr>
          <w:rFonts w:hint="cs"/>
          <w:rtl/>
        </w:rPr>
        <w:t xml:space="preserve">שאלון </w:t>
      </w:r>
      <w:r w:rsidRPr="002D35EA">
        <w:rPr>
          <w:rtl/>
        </w:rPr>
        <w:t xml:space="preserve">בנוגע </w:t>
      </w:r>
      <w:r w:rsidRPr="002D35EA">
        <w:rPr>
          <w:rFonts w:hint="eastAsia"/>
          <w:rtl/>
        </w:rPr>
        <w:t>לסיכוני</w:t>
      </w:r>
      <w:r w:rsidRPr="002D35EA">
        <w:rPr>
          <w:rtl/>
        </w:rPr>
        <w:t xml:space="preserve"> </w:t>
      </w:r>
      <w:r w:rsidRPr="002D35EA">
        <w:rPr>
          <w:rFonts w:hint="eastAsia"/>
          <w:rtl/>
        </w:rPr>
        <w:t>מעילות</w:t>
      </w:r>
      <w:r w:rsidRPr="002D35EA">
        <w:rPr>
          <w:rtl/>
        </w:rPr>
        <w:t xml:space="preserve"> </w:t>
      </w:r>
      <w:r w:rsidRPr="002D35EA">
        <w:rPr>
          <w:rFonts w:hint="eastAsia"/>
          <w:rtl/>
        </w:rPr>
        <w:t>והונאות</w:t>
      </w:r>
      <w:r w:rsidRPr="002D35EA">
        <w:rPr>
          <w:rtl/>
        </w:rPr>
        <w:t xml:space="preserve"> </w:t>
      </w:r>
      <w:r w:rsidRPr="002D35EA">
        <w:rPr>
          <w:rFonts w:hint="eastAsia"/>
          <w:rtl/>
        </w:rPr>
        <w:t>בחברה</w:t>
      </w:r>
      <w:r w:rsidRPr="002D35EA">
        <w:rPr>
          <w:rFonts w:hint="cs"/>
          <w:rtl/>
        </w:rPr>
        <w:t>.</w:t>
      </w:r>
    </w:p>
    <w:p w:rsidR="00420374" w:rsidRPr="00C62692" w:rsidP="00420374" w14:paraId="3FADD5EE" w14:textId="77777777">
      <w:pPr>
        <w:pStyle w:val="73"/>
        <w:rPr>
          <w:rtl/>
        </w:rPr>
      </w:pPr>
      <w:r w:rsidRPr="00C62692">
        <w:rPr>
          <w:rtl/>
        </w:rPr>
        <w:t>פעולות הביקורת</w:t>
      </w:r>
    </w:p>
    <w:p w:rsidR="00A0642E" w:rsidRPr="00CD14AF" w:rsidP="00A0642E" w14:paraId="483D59B9" w14:textId="77777777">
      <w:pPr>
        <w:pStyle w:val="7317"/>
        <w:framePr w:hSpace="180" w:wrap="around" w:vAnchor="text" w:hAnchor="text" w:xAlign="center" w:y="1"/>
        <w:suppressOverlap/>
        <w:rPr>
          <w:noProof/>
          <w:rtl/>
        </w:rPr>
      </w:pPr>
      <w:r w:rsidRPr="001F3363">
        <w:rPr>
          <w:noProof/>
        </w:rPr>
        <w:drawing>
          <wp:anchor distT="0" distB="0" distL="71755" distR="71755" simplePos="0" relativeHeight="251682816"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4AF">
        <w:rPr>
          <w:rFonts w:hint="cs"/>
          <w:noProof/>
          <w:rtl/>
        </w:rPr>
        <w:t xml:space="preserve">בחודשים ינואר עד יולי 2023 בדק משרד מבקר המדינה את פעילות התע"א, רשות החברות הממשלתיות והממונה על הביטחון במערכת הביטחון (מלמ"ב) בנוגע למעילות והונאות בתע"א, בהתייחס לשנים 2019 - 2022 (בסוגיות מסוימות הביקורת התייחסה לתקופה המסתיימת ב-30.6.23). בביקורת נבדקו מערך ניהול הסיכונים בחברה, ובעיקר ניהול סיכוני מעילות והונאות: סביבת הבקרה לניהול הסיכונים, הערכת הסיכונים ואופן הפיקוח </w:t>
      </w:r>
      <w:r w:rsidRPr="00CD14AF">
        <w:rPr>
          <w:rFonts w:hint="eastAsia"/>
          <w:noProof/>
          <w:rtl/>
        </w:rPr>
        <w:t>עליהם</w:t>
      </w:r>
      <w:r w:rsidRPr="00CD14AF">
        <w:rPr>
          <w:rFonts w:hint="cs"/>
          <w:noProof/>
          <w:rtl/>
        </w:rPr>
        <w:t xml:space="preserve"> והטיפול בהם; הטיפול של מלמ"ב במקרי מעילות והונאות; והפיקוח והמעקב של רשות החברות הממשלתיות בנושא. הביקורת </w:t>
      </w:r>
      <w:r w:rsidRPr="00CD14AF">
        <w:rPr>
          <w:rFonts w:hint="eastAsia"/>
          <w:noProof/>
          <w:rtl/>
        </w:rPr>
        <w:t>בוצעה</w:t>
      </w:r>
      <w:r w:rsidRPr="00CD14AF">
        <w:rPr>
          <w:rFonts w:hint="cs"/>
          <w:noProof/>
          <w:rtl/>
        </w:rPr>
        <w:t xml:space="preserve"> בתע"א, באלתא, ברשות החברות הממשלתיות ובמלמ"ב.</w:t>
      </w:r>
    </w:p>
    <w:p w:rsidR="00A0642E" w:rsidRPr="00CD14AF" w:rsidP="00A0642E" w14:paraId="74A7F408" w14:textId="77777777">
      <w:pPr>
        <w:pStyle w:val="7317"/>
        <w:framePr w:hSpace="180" w:wrap="around" w:vAnchor="text" w:hAnchor="text" w:xAlign="center" w:y="1"/>
        <w:suppressOverlap/>
        <w:rPr>
          <w:noProof/>
          <w:rtl/>
        </w:rPr>
      </w:pPr>
      <w:r w:rsidRPr="00CD14AF">
        <w:rPr>
          <w:rFonts w:hint="cs"/>
          <w:noProof/>
          <w:rtl/>
        </w:rPr>
        <w:t xml:space="preserve">במהלך הביקורת (במאי 2023) הפיץ משרד מבקר המדינה באמצעות התע"א שאלון בקרב 14,126 מעובדי החברה, ובו הם התבקשו להתייחס לנושאים הנוגעים לסיכוני מעילות והונאות בחברה. על השאלון השיבו באופן מלא 2,411 (כ-17%) מהעובדים. </w:t>
      </w:r>
    </w:p>
    <w:p w:rsidR="00EB672B" w:rsidP="00A0642E" w14:paraId="21608E70" w14:textId="09B6B9F1">
      <w:pPr>
        <w:pStyle w:val="7317"/>
        <w:rPr>
          <w:rtl/>
        </w:rPr>
      </w:pPr>
      <w:r w:rsidRPr="00CD14AF">
        <w:rPr>
          <w:rFonts w:hint="cs"/>
          <w:noProof/>
          <w:rtl/>
        </w:rPr>
        <w:t>ועדת המשנה של הוועדה לענייני ביקורת המדינה של הכנסת החליטה שלא להניח על שולחן הכנסת ולא לפרסם נתונים אחדים מפרק זה לשם שמירה על ביטחון המדינה, בהתאם לסעיף 17 לחוק מבקר המדינה, התשי"ח-1958 [נוסח משולב]</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0642E" w:rsidRPr="00CD14AF" w:rsidP="00A0642E" w14:paraId="536E339D" w14:textId="77777777">
      <w:pPr>
        <w:pStyle w:val="7317"/>
        <w:rPr>
          <w:rtl/>
        </w:rPr>
      </w:pPr>
      <w:r w:rsidRPr="00A0642E">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Pr>
          <w:rStyle w:val="7371"/>
          <w:rFonts w:hint="cs"/>
          <w:rtl/>
        </w:rPr>
        <w:t xml:space="preserve">ניהול סיכוני מעילות והונאות </w:t>
      </w:r>
      <w:r w:rsidRPr="00A0642E">
        <w:rPr>
          <w:rStyle w:val="7371"/>
          <w:rFonts w:hint="cs"/>
          <w:rtl/>
        </w:rPr>
        <w:t>בתע"א</w:t>
      </w:r>
      <w:r w:rsidRPr="00A0642E">
        <w:rPr>
          <w:rStyle w:val="7371"/>
          <w:rFonts w:hint="cs"/>
          <w:rtl/>
        </w:rPr>
        <w:t xml:space="preserve"> -</w:t>
      </w:r>
      <w:r w:rsidRPr="00CD14AF">
        <w:rPr>
          <w:rFonts w:hint="cs"/>
          <w:rtl/>
        </w:rPr>
        <w:t xml:space="preserve"> הגם </w:t>
      </w:r>
      <w:r w:rsidRPr="00CD14AF">
        <w:rPr>
          <w:rFonts w:hint="cs"/>
          <w:rtl/>
        </w:rPr>
        <w:t>שהתע"א</w:t>
      </w:r>
      <w:r w:rsidRPr="00CD14AF">
        <w:rPr>
          <w:rFonts w:hint="cs"/>
          <w:rtl/>
        </w:rPr>
        <w:t xml:space="preserve"> גיבשה מסמך "מדיניות מניעת סיכוני מעילות והונאות", הנושא </w:t>
      </w:r>
      <w:r w:rsidRPr="00CD14AF">
        <w:rPr>
          <w:rtl/>
        </w:rPr>
        <w:t xml:space="preserve">אינו מעוגן בנוהל נפרד. הטיפול בנושאים הנוגעים לסיכונים אלה נחלק בין גורמים שונים בחברה </w:t>
      </w:r>
      <w:r w:rsidRPr="00CD14AF">
        <w:rPr>
          <w:rFonts w:hint="cs"/>
          <w:rtl/>
        </w:rPr>
        <w:t>ו</w:t>
      </w:r>
      <w:r w:rsidRPr="00CD14AF">
        <w:rPr>
          <w:rtl/>
        </w:rPr>
        <w:t xml:space="preserve">מוגדר בנהלים רבים. נמצא כי חלוקת </w:t>
      </w:r>
      <w:r w:rsidRPr="00CD14AF">
        <w:rPr>
          <w:rFonts w:hint="cs"/>
          <w:rtl/>
        </w:rPr>
        <w:t xml:space="preserve">תחומי </w:t>
      </w:r>
      <w:r w:rsidRPr="00CD14AF">
        <w:rPr>
          <w:rtl/>
        </w:rPr>
        <w:t xml:space="preserve">הסמכות והאחריות המוגדרת בנוהלי </w:t>
      </w:r>
      <w:r w:rsidRPr="00CD14AF">
        <w:rPr>
          <w:rtl/>
        </w:rPr>
        <w:t>התע"א</w:t>
      </w:r>
      <w:r w:rsidRPr="00CD14AF">
        <w:rPr>
          <w:rtl/>
        </w:rPr>
        <w:t xml:space="preserve"> לטיפול בסיכוני מעילות והונאות ובאירועים שאירעו אינה ברורה</w:t>
      </w:r>
      <w:r w:rsidRPr="00CD14AF">
        <w:rPr>
          <w:rFonts w:hint="cs"/>
          <w:rtl/>
        </w:rPr>
        <w:t>,</w:t>
      </w:r>
      <w:r w:rsidRPr="00CD14AF">
        <w:rPr>
          <w:rtl/>
        </w:rPr>
        <w:t xml:space="preserve"> ויש חפיפה בין גורמים שונים; וכן לא ברורים אופני הדיווח הפנימיים הנדרשים כשמתרחשים אירועים אלה, לרבות הדיווח למנהל הסיכונים הראשי.</w:t>
      </w:r>
    </w:p>
    <w:p w:rsidR="00EB672B" w:rsidRPr="00AF3B73" w:rsidP="00A0642E" w14:paraId="0B694ADB" w14:textId="448FF59C">
      <w:pPr>
        <w:pStyle w:val="7317"/>
        <w:rPr>
          <w:rtl/>
        </w:rPr>
      </w:pPr>
      <w:r w:rsidRPr="00CD14AF">
        <w:rPr>
          <w:rtl/>
        </w:rPr>
        <w:t>ל</w:t>
      </w:r>
      <w:r w:rsidRPr="00CD14AF">
        <w:rPr>
          <w:rFonts w:hint="cs"/>
          <w:rtl/>
        </w:rPr>
        <w:t xml:space="preserve">שום </w:t>
      </w:r>
      <w:r w:rsidRPr="00CD14AF">
        <w:rPr>
          <w:rtl/>
        </w:rPr>
        <w:t xml:space="preserve">גורם </w:t>
      </w:r>
      <w:r w:rsidRPr="00CD14AF">
        <w:rPr>
          <w:rtl/>
        </w:rPr>
        <w:t>בתע"א</w:t>
      </w:r>
      <w:r w:rsidRPr="00CD14AF">
        <w:rPr>
          <w:rtl/>
        </w:rPr>
        <w:t xml:space="preserve">, לרבות מערך ניהול הסיכונים, לא היה בסיס נתונים מרכזי כולל של אירועי מעילות והונאות שהתגלו בחברה בשנים 2019 </w:t>
      </w:r>
      <w:r w:rsidRPr="00CD14AF">
        <w:rPr>
          <w:rFonts w:hint="cs"/>
          <w:rtl/>
        </w:rPr>
        <w:t>-</w:t>
      </w:r>
      <w:r w:rsidRPr="00CD14AF">
        <w:rPr>
          <w:rtl/>
        </w:rPr>
        <w:t xml:space="preserve"> 2022, ויש בכך כדי לפגוע בניהול סיכוני המעילות ו</w:t>
      </w:r>
      <w:r w:rsidRPr="00CD14AF">
        <w:rPr>
          <w:rFonts w:hint="cs"/>
          <w:rtl/>
        </w:rPr>
        <w:t>ה</w:t>
      </w:r>
      <w:r w:rsidRPr="00CD14AF">
        <w:rPr>
          <w:rtl/>
        </w:rPr>
        <w:t>הונאות ובטיפול בהם</w:t>
      </w:r>
      <w:r w:rsidRPr="00AF3B73">
        <w:rPr>
          <w:rtl/>
        </w:rPr>
        <w:t>.</w:t>
      </w:r>
    </w:p>
    <w:p w:rsidR="00EB672B" w:rsidRPr="00AF3B73" w:rsidP="00EB672B" w14:paraId="61697365" w14:textId="7E85AB0F">
      <w:pPr>
        <w:pStyle w:val="7317"/>
      </w:pPr>
      <w:r w:rsidRPr="00CD14AF">
        <w:rPr>
          <w:rFonts w:hint="cs"/>
          <w:rtl/>
        </w:rPr>
        <w:t xml:space="preserve">מינואר 2019 ועד יוני 2023 אירעו </w:t>
      </w:r>
      <w:r w:rsidRPr="00CD14AF">
        <w:rPr>
          <w:rFonts w:hint="cs"/>
          <w:rtl/>
        </w:rPr>
        <w:t>בתע"א</w:t>
      </w:r>
      <w:r w:rsidRPr="00CD14AF">
        <w:rPr>
          <w:rFonts w:hint="cs"/>
          <w:rtl/>
        </w:rPr>
        <w:t xml:space="preserve"> אירועי מעילות והונאות, ובהם </w:t>
      </w:r>
      <w:r w:rsidRPr="00CD14AF">
        <w:rPr>
          <w:rtl/>
        </w:rPr>
        <w:t>מקרים של דיווח שעות כוזב,</w:t>
      </w:r>
      <w:r w:rsidRPr="00CD14AF">
        <w:rPr>
          <w:rFonts w:hint="cs"/>
          <w:rtl/>
        </w:rPr>
        <w:t xml:space="preserve"> </w:t>
      </w:r>
      <w:r w:rsidRPr="00CD14AF">
        <w:rPr>
          <w:rtl/>
        </w:rPr>
        <w:t>מקרים של ניצול הרשאות לביצוע שינויים במערכות מידע, גניבה או שימוש פרטי ברכוש החברה וזיוף החזרי הוצאות</w:t>
      </w:r>
      <w:r w:rsidRPr="00CD14AF">
        <w:rPr>
          <w:rFonts w:hint="cs"/>
          <w:rtl/>
        </w:rPr>
        <w:t>. עם זאת,</w:t>
      </w:r>
      <w:r w:rsidRPr="00CD14AF">
        <w:rPr>
          <w:rtl/>
        </w:rPr>
        <w:t xml:space="preserve"> </w:t>
      </w:r>
      <w:r w:rsidRPr="00CD14AF">
        <w:rPr>
          <w:rFonts w:hint="cs"/>
          <w:rtl/>
        </w:rPr>
        <w:t>ה</w:t>
      </w:r>
      <w:r w:rsidRPr="00CD14AF">
        <w:rPr>
          <w:rtl/>
        </w:rPr>
        <w:t>סיכוני</w:t>
      </w:r>
      <w:r w:rsidRPr="00CD14AF">
        <w:rPr>
          <w:rFonts w:hint="cs"/>
          <w:rtl/>
        </w:rPr>
        <w:t>ם הנוגעים לאירועים אלה</w:t>
      </w:r>
      <w:r w:rsidRPr="00CD14AF">
        <w:rPr>
          <w:rtl/>
        </w:rPr>
        <w:t xml:space="preserve"> לא דורגו </w:t>
      </w:r>
      <w:r w:rsidRPr="00CD14AF">
        <w:rPr>
          <w:rFonts w:hint="cs"/>
          <w:rtl/>
        </w:rPr>
        <w:t xml:space="preserve">בחברה </w:t>
      </w:r>
      <w:r w:rsidRPr="00CD14AF">
        <w:rPr>
          <w:rtl/>
        </w:rPr>
        <w:t xml:space="preserve">בין עשרים הסיכונים הגבוהים ביותר בסקר סיכוני מעילות והונאות משנת 2021, </w:t>
      </w:r>
      <w:r w:rsidRPr="00CD14AF">
        <w:rPr>
          <w:rFonts w:hint="eastAsia"/>
          <w:rtl/>
        </w:rPr>
        <w:t>וה</w:t>
      </w:r>
      <w:r w:rsidRPr="00CD14AF">
        <w:rPr>
          <w:rFonts w:hint="cs"/>
          <w:rtl/>
        </w:rPr>
        <w:t>דבר</w:t>
      </w:r>
      <w:r w:rsidRPr="00CD14AF">
        <w:rPr>
          <w:rtl/>
        </w:rPr>
        <w:t xml:space="preserve"> עלול להעיד על איכות</w:t>
      </w:r>
      <w:r w:rsidRPr="00CD14AF">
        <w:rPr>
          <w:rFonts w:hint="cs"/>
          <w:rtl/>
        </w:rPr>
        <w:t xml:space="preserve"> הערכת </w:t>
      </w:r>
      <w:r w:rsidRPr="00CD14AF">
        <w:rPr>
          <w:rtl/>
        </w:rPr>
        <w:t>הסבירות להתממשות הסיכונים</w:t>
      </w:r>
      <w:r w:rsidRPr="00AF3B73">
        <w:rPr>
          <w:rFonts w:hint="cs"/>
          <w:rtl/>
        </w:rPr>
        <w:t xml:space="preserve">. </w:t>
      </w:r>
    </w:p>
    <w:p w:rsidR="00A0642E" w:rsidRPr="00CD14AF" w:rsidP="00A0642E" w14:paraId="5A5DB1C1" w14:textId="77777777">
      <w:pPr>
        <w:pStyle w:val="7317"/>
      </w:pPr>
      <w:r w:rsidRPr="00A0642E">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Pr>
          <w:rStyle w:val="7371"/>
          <w:rFonts w:hint="cs"/>
          <w:rtl/>
        </w:rPr>
        <w:t xml:space="preserve">מינוי מנהל סיכונים ראשי </w:t>
      </w:r>
      <w:r w:rsidRPr="00A0642E">
        <w:rPr>
          <w:rStyle w:val="7371"/>
          <w:rFonts w:hint="eastAsia"/>
          <w:rtl/>
        </w:rPr>
        <w:t>ואחריותו</w:t>
      </w:r>
      <w:r w:rsidRPr="00A0642E">
        <w:rPr>
          <w:rStyle w:val="7371"/>
          <w:rtl/>
        </w:rPr>
        <w:t xml:space="preserve"> </w:t>
      </w:r>
      <w:r w:rsidRPr="00A0642E">
        <w:rPr>
          <w:rStyle w:val="7371"/>
          <w:rFonts w:hint="eastAsia"/>
          <w:rtl/>
        </w:rPr>
        <w:t>לניהול</w:t>
      </w:r>
      <w:r w:rsidRPr="00A0642E">
        <w:rPr>
          <w:rStyle w:val="7371"/>
          <w:rtl/>
        </w:rPr>
        <w:t xml:space="preserve"> </w:t>
      </w:r>
      <w:r w:rsidRPr="00A0642E">
        <w:rPr>
          <w:rStyle w:val="7371"/>
          <w:rFonts w:hint="eastAsia"/>
          <w:rtl/>
        </w:rPr>
        <w:t>סיכוני</w:t>
      </w:r>
      <w:r w:rsidRPr="00A0642E">
        <w:rPr>
          <w:rStyle w:val="7371"/>
          <w:rtl/>
        </w:rPr>
        <w:t xml:space="preserve"> </w:t>
      </w:r>
      <w:r w:rsidRPr="00A0642E">
        <w:rPr>
          <w:rStyle w:val="7371"/>
          <w:rFonts w:hint="eastAsia"/>
          <w:rtl/>
        </w:rPr>
        <w:t>הונאות</w:t>
      </w:r>
      <w:r w:rsidRPr="00A0642E">
        <w:rPr>
          <w:rStyle w:val="7371"/>
          <w:rtl/>
        </w:rPr>
        <w:t xml:space="preserve"> </w:t>
      </w:r>
      <w:r w:rsidRPr="00A0642E">
        <w:rPr>
          <w:rStyle w:val="7371"/>
          <w:rFonts w:hint="eastAsia"/>
          <w:rtl/>
        </w:rPr>
        <w:t>ומעילות</w:t>
      </w:r>
      <w:r w:rsidRPr="00A0642E">
        <w:rPr>
          <w:rStyle w:val="7371"/>
          <w:rFonts w:hint="cs"/>
          <w:rtl/>
        </w:rPr>
        <w:t xml:space="preserve"> -</w:t>
      </w:r>
      <w:r w:rsidRPr="00CD14AF">
        <w:rPr>
          <w:rFonts w:hint="cs"/>
          <w:rtl/>
        </w:rPr>
        <w:t xml:space="preserve"> </w:t>
      </w:r>
      <w:r w:rsidRPr="00CD14AF">
        <w:rPr>
          <w:rFonts w:hint="eastAsia"/>
          <w:rtl/>
        </w:rPr>
        <w:t>ב</w:t>
      </w:r>
      <w:r w:rsidRPr="00CD14AF">
        <w:rPr>
          <w:rtl/>
        </w:rPr>
        <w:t xml:space="preserve">חוזר ניהול סיכונים 2020 של רשות החברות הממשלתיות </w:t>
      </w:r>
      <w:r w:rsidRPr="00CD14AF">
        <w:rPr>
          <w:rFonts w:hint="eastAsia"/>
          <w:rtl/>
        </w:rPr>
        <w:t>נ</w:t>
      </w:r>
      <w:r w:rsidRPr="00CD14AF">
        <w:rPr>
          <w:rtl/>
        </w:rPr>
        <w:t>קבע כי בחברה ממשלתית בסיווג 9 ומעלה</w:t>
      </w:r>
      <w:r w:rsidRPr="00CD14AF">
        <w:rPr>
          <w:rFonts w:hint="cs"/>
          <w:rtl/>
        </w:rPr>
        <w:t xml:space="preserve"> (הסיווג של תע"א)</w:t>
      </w:r>
      <w:r w:rsidRPr="00CD14AF">
        <w:rPr>
          <w:rtl/>
        </w:rPr>
        <w:t xml:space="preserve"> מנהל הסיכונים הראשי לא יעסוק בתפקידים אחרים. שלא בהתאם לחוזר זה</w:t>
      </w:r>
      <w:r w:rsidRPr="00CD14AF">
        <w:rPr>
          <w:rFonts w:hint="cs"/>
          <w:rtl/>
        </w:rPr>
        <w:t>, ו</w:t>
      </w:r>
      <w:r w:rsidRPr="00CD14AF">
        <w:rPr>
          <w:rtl/>
        </w:rPr>
        <w:t>על אף ריבוי משימותיו של מנהל הסיכונים הראשי כפי שהוגדרו בחוזר ניהול הסיכונים, אשר דורש</w:t>
      </w:r>
      <w:r w:rsidRPr="00CD14AF">
        <w:rPr>
          <w:rFonts w:hint="cs"/>
          <w:rtl/>
        </w:rPr>
        <w:t>ות</w:t>
      </w:r>
      <w:r w:rsidRPr="00CD14AF">
        <w:rPr>
          <w:rtl/>
        </w:rPr>
        <w:t xml:space="preserve"> קשב ותשומות רבות, מינה דירקטוריון החברה ביולי 2021 את סמנכ"ל הכספים של החברה - תפקיד מורכב כשלעצמו, הנושא באחריות </w:t>
      </w:r>
      <w:r w:rsidRPr="00CD14AF">
        <w:rPr>
          <w:rFonts w:hint="cs"/>
          <w:rtl/>
        </w:rPr>
        <w:t>ל</w:t>
      </w:r>
      <w:r w:rsidRPr="00CD14AF">
        <w:rPr>
          <w:rtl/>
        </w:rPr>
        <w:t>כל היבטיה הכספיים של החברה - למנהל הסיכונים הראשי בחברה.</w:t>
      </w:r>
      <w:r w:rsidRPr="00CD14AF">
        <w:rPr>
          <w:rFonts w:hint="cs"/>
          <w:rtl/>
        </w:rPr>
        <w:t xml:space="preserve"> </w:t>
      </w:r>
      <w:r w:rsidRPr="00CD14AF">
        <w:rPr>
          <w:rtl/>
        </w:rPr>
        <w:t xml:space="preserve">מינוי זה עלול לפגוע באי-תלותו של מנהל הסיכונים הראשי ולהעמידו במצב של ניגוד עניינים בין תפקידיו השונים. </w:t>
      </w:r>
    </w:p>
    <w:p w:rsidR="00EB672B" w:rsidRPr="00AF3B73" w:rsidP="00EB672B" w14:paraId="42C157E6" w14:textId="3BE4F876">
      <w:pPr>
        <w:pStyle w:val="7317"/>
      </w:pPr>
      <w:r w:rsidRPr="00CD14AF">
        <w:rPr>
          <w:rtl/>
        </w:rPr>
        <w:t xml:space="preserve">משנת 2010 ועד למועד סיום הביקורת </w:t>
      </w:r>
      <w:r w:rsidRPr="00CD14AF">
        <w:rPr>
          <w:rFonts w:hint="cs"/>
          <w:rtl/>
        </w:rPr>
        <w:t>(</w:t>
      </w:r>
      <w:r w:rsidRPr="00CD14AF">
        <w:rPr>
          <w:rtl/>
        </w:rPr>
        <w:t>יולי 2023</w:t>
      </w:r>
      <w:r w:rsidRPr="00CD14AF">
        <w:rPr>
          <w:rFonts w:hint="cs"/>
          <w:rtl/>
        </w:rPr>
        <w:t>)</w:t>
      </w:r>
      <w:r w:rsidRPr="00CD14AF">
        <w:rPr>
          <w:rtl/>
        </w:rPr>
        <w:t xml:space="preserve"> </w:t>
      </w:r>
      <w:r w:rsidRPr="00CD14AF">
        <w:rPr>
          <w:rFonts w:hint="eastAsia"/>
          <w:rtl/>
        </w:rPr>
        <w:t>הו</w:t>
      </w:r>
      <w:r w:rsidRPr="00CD14AF">
        <w:rPr>
          <w:rtl/>
        </w:rPr>
        <w:t xml:space="preserve">עברה האחריות לטיפול בנושא ניהול סיכוני מעילות הונאות </w:t>
      </w:r>
      <w:r w:rsidRPr="00CD14AF">
        <w:rPr>
          <w:rtl/>
        </w:rPr>
        <w:t>בתע"א</w:t>
      </w:r>
      <w:r w:rsidRPr="00CD14AF">
        <w:rPr>
          <w:rtl/>
        </w:rPr>
        <w:t xml:space="preserve"> בין גורמים שונים, ומשנת 2021 היא בידי סמנכ"ל הכספים המשמש </w:t>
      </w:r>
      <w:r w:rsidRPr="00CD14AF">
        <w:rPr>
          <w:rFonts w:hint="cs"/>
          <w:rtl/>
        </w:rPr>
        <w:t xml:space="preserve">כאמור </w:t>
      </w:r>
      <w:r w:rsidRPr="00CD14AF">
        <w:rPr>
          <w:rtl/>
        </w:rPr>
        <w:t>גם מנהל הסיכונים הראשי</w:t>
      </w:r>
      <w:r w:rsidRPr="00CD14AF">
        <w:rPr>
          <w:rFonts w:hint="cs"/>
          <w:rtl/>
        </w:rPr>
        <w:t xml:space="preserve"> </w:t>
      </w:r>
      <w:r w:rsidRPr="00CD14AF">
        <w:rPr>
          <w:rFonts w:hint="eastAsia"/>
          <w:rtl/>
        </w:rPr>
        <w:t>בחברה</w:t>
      </w:r>
      <w:r w:rsidRPr="00AF3B73">
        <w:rPr>
          <w:rFonts w:hint="cs"/>
          <w:rtl/>
        </w:rPr>
        <w:t xml:space="preserve">. </w:t>
      </w:r>
    </w:p>
    <w:p w:rsidR="00EB672B" w:rsidRPr="00AF3B73" w:rsidP="00EB672B" w14:paraId="0E55F83C" w14:textId="555DBAA6">
      <w:pPr>
        <w:pStyle w:val="7317"/>
      </w:pPr>
      <w:r w:rsidRPr="00A0642E">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sidR="00A0642E">
        <w:rPr>
          <w:rStyle w:val="7371"/>
          <w:rFonts w:hint="cs"/>
          <w:rtl/>
        </w:rPr>
        <w:t>התכנסות ועדת ניהול סיכונים של הדירקטוריון -</w:t>
      </w:r>
      <w:r w:rsidRPr="00CD14AF" w:rsidR="00A0642E">
        <w:rPr>
          <w:rFonts w:hint="cs"/>
          <w:rtl/>
        </w:rPr>
        <w:t xml:space="preserve"> </w:t>
      </w:r>
      <w:r w:rsidRPr="00CD14AF" w:rsidR="00A0642E">
        <w:rPr>
          <w:rtl/>
        </w:rPr>
        <w:t>בשנים 2018 - 2022 (</w:t>
      </w:r>
      <w:r w:rsidRPr="00CD14AF" w:rsidR="00A0642E">
        <w:rPr>
          <w:rFonts w:hint="cs"/>
          <w:rtl/>
        </w:rPr>
        <w:t>חוץ מאשר</w:t>
      </w:r>
      <w:r w:rsidRPr="00CD14AF" w:rsidR="00A0642E">
        <w:rPr>
          <w:rtl/>
        </w:rPr>
        <w:t xml:space="preserve"> בשנת 2020) לא התכנסה ועדת ניהול הסיכונים של הדירקטוריון אחת לרבעון, כפי שנקבע במסמך המדיניות של </w:t>
      </w:r>
      <w:r w:rsidRPr="00CD14AF" w:rsidR="00A0642E">
        <w:rPr>
          <w:rtl/>
        </w:rPr>
        <w:t>התע"א</w:t>
      </w:r>
      <w:r w:rsidRPr="00CD14AF" w:rsidR="00A0642E">
        <w:rPr>
          <w:rtl/>
        </w:rPr>
        <w:t xml:space="preserve"> בנושא ניהול סיכונים תאגידי ובנוהל החברה בנושא ניהול סיכונים תאגידי; ואף היו בשנים אלו פרקי זמן של כחצי שנה ושנה </w:t>
      </w:r>
      <w:r w:rsidRPr="00CD14AF" w:rsidR="00A0642E">
        <w:rPr>
          <w:rFonts w:hint="cs"/>
          <w:rtl/>
        </w:rPr>
        <w:t>ש</w:t>
      </w:r>
      <w:r w:rsidRPr="00CD14AF" w:rsidR="00A0642E">
        <w:rPr>
          <w:rtl/>
        </w:rPr>
        <w:t>בהם לא התכנסה</w:t>
      </w:r>
      <w:r w:rsidRPr="00CD14AF" w:rsidR="00A0642E">
        <w:rPr>
          <w:rFonts w:hint="cs"/>
          <w:rtl/>
        </w:rPr>
        <w:t xml:space="preserve"> הוועדה, כמו בתקופה שבין יולי 2018 </w:t>
      </w:r>
      <w:r w:rsidRPr="00CD14AF" w:rsidR="00A0642E">
        <w:rPr>
          <w:rFonts w:hint="eastAsia"/>
          <w:rtl/>
        </w:rPr>
        <w:t>ל</w:t>
      </w:r>
      <w:r w:rsidRPr="00CD14AF" w:rsidR="00A0642E">
        <w:rPr>
          <w:rFonts w:hint="cs"/>
          <w:rtl/>
        </w:rPr>
        <w:t>יולי 2019</w:t>
      </w:r>
      <w:r w:rsidRPr="00AF3B73">
        <w:rPr>
          <w:rFonts w:hint="cs"/>
          <w:rtl/>
        </w:rPr>
        <w:t xml:space="preserve">. </w:t>
      </w:r>
    </w:p>
    <w:p w:rsidR="00EB672B" w:rsidRPr="00AF3B73" w:rsidP="00EB672B" w14:paraId="1320DBEF" w14:textId="4BF99D21">
      <w:pPr>
        <w:pStyle w:val="7317"/>
        <w:rPr>
          <w:rtl/>
        </w:rPr>
      </w:pPr>
      <w:r w:rsidRPr="00A0642E">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sidR="00A0642E">
        <w:rPr>
          <w:rStyle w:val="7371"/>
          <w:rFonts w:hint="cs"/>
          <w:rtl/>
        </w:rPr>
        <w:t>רוטציה בתפקידים רגישים -</w:t>
      </w:r>
      <w:r w:rsidRPr="00CD14AF" w:rsidR="00A0642E">
        <w:rPr>
          <w:rFonts w:hint="cs"/>
          <w:rtl/>
        </w:rPr>
        <w:t xml:space="preserve"> </w:t>
      </w:r>
      <w:r w:rsidRPr="00CD14AF" w:rsidR="00A0642E">
        <w:rPr>
          <w:rtl/>
        </w:rPr>
        <w:t xml:space="preserve">אחת הבקרות </w:t>
      </w:r>
      <w:r w:rsidRPr="00CD14AF" w:rsidR="00A0642E">
        <w:rPr>
          <w:rFonts w:hint="cs"/>
          <w:rtl/>
        </w:rPr>
        <w:t>העיקריות</w:t>
      </w:r>
      <w:r w:rsidRPr="00CD14AF" w:rsidR="00A0642E">
        <w:rPr>
          <w:rtl/>
        </w:rPr>
        <w:t xml:space="preserve"> אשר עשויה להביא לצמצום מעילות היא רוטציה של עובדים בתפקידי מפתח, שיש להם גישה לכספי החברה ולנכסיה, כגון קניינים ואנשי </w:t>
      </w:r>
      <w:r w:rsidRPr="00CD14AF" w:rsidR="00A0642E">
        <w:rPr>
          <w:rtl/>
        </w:rPr>
        <w:t>חשבות</w:t>
      </w:r>
      <w:r w:rsidRPr="00CD14AF" w:rsidR="00A0642E">
        <w:rPr>
          <w:rtl/>
        </w:rPr>
        <w:t xml:space="preserve"> וכספים. תחלופה של עובדים בתפקידים אלו עשויה להקשות על עובד המעוניין לבצע מעילה בנכסי הארגון. עם זאת,</w:t>
      </w:r>
      <w:r w:rsidRPr="00CD14AF" w:rsidR="00A0642E">
        <w:rPr>
          <w:rFonts w:hint="cs"/>
          <w:rtl/>
        </w:rPr>
        <w:t xml:space="preserve"> </w:t>
      </w:r>
      <w:r w:rsidRPr="00CD14AF" w:rsidR="00A0642E">
        <w:rPr>
          <w:rtl/>
        </w:rPr>
        <w:t>התע"א</w:t>
      </w:r>
      <w:r w:rsidRPr="00CD14AF" w:rsidR="00A0642E">
        <w:rPr>
          <w:rtl/>
        </w:rPr>
        <w:t xml:space="preserve"> לא מיפתה תפקידים רגישים לצורך ביצוע רוטציה</w:t>
      </w:r>
      <w:r w:rsidRPr="00CD14AF" w:rsidR="00A0642E">
        <w:rPr>
          <w:rFonts w:hint="cs"/>
          <w:rtl/>
        </w:rPr>
        <w:t xml:space="preserve"> בין העובדים הממלאים אותם</w:t>
      </w:r>
      <w:r w:rsidRPr="00CD14AF" w:rsidR="00A0642E">
        <w:rPr>
          <w:rtl/>
        </w:rPr>
        <w:t>. בפועל, בתחום הרכש לא מתקיים הליך רוטציה סדור ומנוהל</w:t>
      </w:r>
      <w:r w:rsidRPr="00CD14AF" w:rsidR="00A0642E">
        <w:rPr>
          <w:rFonts w:hint="cs"/>
          <w:rtl/>
        </w:rPr>
        <w:t>,</w:t>
      </w:r>
      <w:r w:rsidRPr="00CD14AF" w:rsidR="00A0642E">
        <w:rPr>
          <w:rtl/>
        </w:rPr>
        <w:t xml:space="preserve"> וכ-26% מהעובדים ב</w:t>
      </w:r>
      <w:r w:rsidRPr="00CD14AF" w:rsidR="00A0642E">
        <w:rPr>
          <w:rFonts w:hint="cs"/>
          <w:rtl/>
        </w:rPr>
        <w:t>תחום</w:t>
      </w:r>
      <w:r w:rsidRPr="00CD14AF" w:rsidR="00A0642E">
        <w:rPr>
          <w:rtl/>
        </w:rPr>
        <w:t xml:space="preserve"> </w:t>
      </w:r>
      <w:r w:rsidRPr="00CD14AF" w:rsidR="00A0642E">
        <w:rPr>
          <w:rFonts w:hint="cs"/>
          <w:rtl/>
        </w:rPr>
        <w:t xml:space="preserve">הרכש </w:t>
      </w:r>
      <w:r w:rsidRPr="00CD14AF" w:rsidR="00A0642E">
        <w:rPr>
          <w:rtl/>
        </w:rPr>
        <w:t xml:space="preserve">אינם עומדים בלוגיקת הרוטציה שנקבעה בהתאם להנחיית הנהלת החברה משנת 2011 ולעדכונה משנת 2017. כמו כן בתחום הכספים לא מבוצעת רוטציה, ויש עובדים שמשמשים שנים ארוכות בתפקידם, בהם 45 עובדים (כ-8% מכלל </w:t>
      </w:r>
      <w:r w:rsidRPr="00CD14AF" w:rsidR="00A0642E">
        <w:rPr>
          <w:rFonts w:hint="cs"/>
          <w:rtl/>
        </w:rPr>
        <w:t>ה</w:t>
      </w:r>
      <w:r w:rsidRPr="00CD14AF" w:rsidR="00A0642E">
        <w:rPr>
          <w:rtl/>
        </w:rPr>
        <w:t>עובדי</w:t>
      </w:r>
      <w:r w:rsidRPr="00CD14AF" w:rsidR="00A0642E">
        <w:rPr>
          <w:rFonts w:hint="cs"/>
          <w:rtl/>
        </w:rPr>
        <w:t>ם</w:t>
      </w:r>
      <w:r w:rsidRPr="00CD14AF" w:rsidR="00A0642E">
        <w:rPr>
          <w:rtl/>
        </w:rPr>
        <w:t xml:space="preserve"> </w:t>
      </w:r>
      <w:r w:rsidRPr="00CD14AF" w:rsidR="00A0642E">
        <w:rPr>
          <w:rFonts w:hint="cs"/>
          <w:rtl/>
        </w:rPr>
        <w:t>בתחום</w:t>
      </w:r>
      <w:r w:rsidRPr="00CD14AF" w:rsidR="00A0642E">
        <w:rPr>
          <w:rtl/>
        </w:rPr>
        <w:t xml:space="preserve"> הכספים) המשמשים בתפקידם </w:t>
      </w:r>
      <w:r w:rsidRPr="00CD14AF" w:rsidR="00A0642E">
        <w:rPr>
          <w:rFonts w:hint="cs"/>
          <w:rtl/>
        </w:rPr>
        <w:t>יותר מ</w:t>
      </w:r>
      <w:r w:rsidRPr="00CD14AF" w:rsidR="00A0642E">
        <w:rPr>
          <w:rtl/>
        </w:rPr>
        <w:t>-15 שנים</w:t>
      </w:r>
      <w:r w:rsidRPr="00AF3B73">
        <w:rPr>
          <w:rFonts w:hint="cs"/>
          <w:rtl/>
        </w:rPr>
        <w:t>.</w:t>
      </w:r>
    </w:p>
    <w:p w:rsidR="00EB672B" w:rsidP="00EB672B" w14:paraId="6EA213E6" w14:textId="76449107">
      <w:pPr>
        <w:pStyle w:val="7317"/>
        <w:rPr>
          <w:rtl/>
        </w:rPr>
      </w:pPr>
      <w:r w:rsidRPr="00A0642E">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sidR="00A0642E">
        <w:rPr>
          <w:rStyle w:val="7371"/>
          <w:rFonts w:hint="cs"/>
          <w:rtl/>
        </w:rPr>
        <w:t xml:space="preserve">"קו חם" להגשת תלונות אנונימיות וכתובת לפניות עובדים בנושא טוהר מידות </w:t>
      </w:r>
      <w:r w:rsidRPr="00A0642E" w:rsidR="00A0642E">
        <w:rPr>
          <w:rStyle w:val="7371"/>
          <w:rtl/>
        </w:rPr>
        <w:t>-</w:t>
      </w:r>
      <w:r w:rsidRPr="00CD14AF" w:rsidR="00A0642E">
        <w:rPr>
          <w:rtl/>
        </w:rPr>
        <w:t xml:space="preserve"> אחת הדרכים הנפוצות לגילוי אי-סדרים ועבירות בחברה היא באמצעות קבלת מידע מגורמים שונים כגון עובדים, לקוחות וספקים. אחד המנגנונים לקבלת מידע מסוג זה הוא מערך דיווח</w:t>
      </w:r>
      <w:r w:rsidRPr="00CD14AF" w:rsidR="00A0642E">
        <w:rPr>
          <w:rFonts w:hint="cs"/>
          <w:rtl/>
        </w:rPr>
        <w:t xml:space="preserve"> "קו חם"</w:t>
      </w:r>
      <w:r w:rsidRPr="00CD14AF" w:rsidR="00A0642E">
        <w:rPr>
          <w:rtl/>
        </w:rPr>
        <w:t>, המאפשר להעביר מידע ותלונות הן מתוך הארגון והן מחוץ לו באופן פשוט וקל ואף בעילום שם למי שחפץ בכך</w:t>
      </w:r>
      <w:r w:rsidRPr="00CD14AF" w:rsidR="00A0642E">
        <w:rPr>
          <w:rFonts w:hint="cs"/>
          <w:rtl/>
        </w:rPr>
        <w:t xml:space="preserve">. עם זאת, בשאלון של משרד מבקר המדינה עלה כי 55% מהמשיבים אינם </w:t>
      </w:r>
      <w:r w:rsidRPr="00CD14AF" w:rsidR="00A0642E">
        <w:rPr>
          <w:rFonts w:hint="eastAsia"/>
          <w:rtl/>
        </w:rPr>
        <w:t>ערים</w:t>
      </w:r>
      <w:r w:rsidRPr="00CD14AF" w:rsidR="00A0642E">
        <w:rPr>
          <w:rFonts w:hint="cs"/>
          <w:rtl/>
        </w:rPr>
        <w:t xml:space="preserve"> לקיומו של ה"קו החם"; כי בחטיבות </w:t>
      </w:r>
      <w:r w:rsidRPr="00CD14AF" w:rsidR="00A0642E">
        <w:rPr>
          <w:rFonts w:hint="cs"/>
          <w:rtl/>
        </w:rPr>
        <w:t>אלתא</w:t>
      </w:r>
      <w:r w:rsidRPr="00CD14AF" w:rsidR="00A0642E">
        <w:rPr>
          <w:rFonts w:hint="cs"/>
          <w:rtl/>
        </w:rPr>
        <w:t xml:space="preserve"> ומערכות טילים וחלל המשיבים מכירים את ה"קו החם" פחות מאשר עובדי יתר החטיבות (37% </w:t>
      </w:r>
      <w:r w:rsidR="00343486">
        <w:rPr>
          <w:rtl/>
        </w:rPr>
        <w:br/>
      </w:r>
      <w:r w:rsidRPr="00CD14AF" w:rsidR="00A0642E">
        <w:rPr>
          <w:rFonts w:hint="cs"/>
          <w:rtl/>
        </w:rPr>
        <w:t>ו-42% בהתאמה</w:t>
      </w:r>
      <w:r w:rsidRPr="00CD14AF" w:rsidR="00A0642E">
        <w:rPr>
          <w:rtl/>
        </w:rPr>
        <w:t>,</w:t>
      </w:r>
      <w:r w:rsidRPr="00CD14AF" w:rsidR="00A0642E">
        <w:rPr>
          <w:rFonts w:hint="cs"/>
          <w:rtl/>
        </w:rPr>
        <w:t xml:space="preserve"> לעומת 52%); כי סקטור המהנדסים מכיר את "הקו החם" </w:t>
      </w:r>
      <w:r w:rsidRPr="00CD14AF" w:rsidR="00A0642E">
        <w:rPr>
          <w:rFonts w:hint="eastAsia"/>
          <w:rtl/>
        </w:rPr>
        <w:t>פחות</w:t>
      </w:r>
      <w:r w:rsidRPr="00CD14AF" w:rsidR="00A0642E">
        <w:rPr>
          <w:rtl/>
        </w:rPr>
        <w:t xml:space="preserve"> </w:t>
      </w:r>
      <w:r w:rsidRPr="00CD14AF" w:rsidR="00A0642E">
        <w:rPr>
          <w:rFonts w:hint="eastAsia"/>
          <w:rtl/>
        </w:rPr>
        <w:t>מאשר</w:t>
      </w:r>
      <w:r w:rsidRPr="00CD14AF" w:rsidR="00A0642E">
        <w:rPr>
          <w:rFonts w:hint="cs"/>
          <w:rtl/>
        </w:rPr>
        <w:t xml:space="preserve"> </w:t>
      </w:r>
      <w:r w:rsidRPr="00CD14AF" w:rsidR="00A0642E">
        <w:rPr>
          <w:rFonts w:hint="eastAsia"/>
          <w:rtl/>
        </w:rPr>
        <w:t>ה</w:t>
      </w:r>
      <w:r w:rsidRPr="00CD14AF" w:rsidR="00A0642E">
        <w:rPr>
          <w:rFonts w:hint="cs"/>
          <w:rtl/>
        </w:rPr>
        <w:t xml:space="preserve">סקטורים האחרים (38% לעומת כ-51% בממוצע); וכך גם עובדים </w:t>
      </w:r>
      <w:r w:rsidRPr="00CD14AF" w:rsidR="00A0642E">
        <w:rPr>
          <w:rFonts w:hint="eastAsia"/>
          <w:rtl/>
        </w:rPr>
        <w:t>המועסקים</w:t>
      </w:r>
      <w:r w:rsidRPr="00CD14AF" w:rsidR="00A0642E">
        <w:rPr>
          <w:rFonts w:hint="cs"/>
          <w:rtl/>
        </w:rPr>
        <w:t xml:space="preserve"> בחברה</w:t>
      </w:r>
      <w:r w:rsidR="00FA5033">
        <w:rPr>
          <w:rtl/>
        </w:rPr>
        <w:br/>
      </w:r>
      <w:r w:rsidRPr="00CD14AF" w:rsidR="00A0642E">
        <w:rPr>
          <w:rFonts w:hint="cs"/>
          <w:rtl/>
        </w:rPr>
        <w:t>6 - 20 שנים (38.5% בממוצע לעומת 50%)</w:t>
      </w:r>
      <w:r w:rsidRPr="00AF3B73">
        <w:rPr>
          <w:rFonts w:hint="cs"/>
          <w:rtl/>
        </w:rPr>
        <w:t xml:space="preserve">. </w:t>
      </w:r>
    </w:p>
    <w:p w:rsidR="00A0642E" w:rsidRPr="00AF3B73" w:rsidP="00A0642E" w14:paraId="15B557FF" w14:textId="2F622CBE">
      <w:pPr>
        <w:pStyle w:val="7317"/>
        <w:rPr>
          <w:rtl/>
        </w:rPr>
      </w:pPr>
      <w:r w:rsidRPr="00A0642E">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935131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5131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Pr>
          <w:rStyle w:val="7371"/>
          <w:rFonts w:hint="cs"/>
          <w:rtl/>
        </w:rPr>
        <w:t xml:space="preserve">מניעת ניגוד עניינים - </w:t>
      </w:r>
      <w:r w:rsidRPr="00CD14AF">
        <w:rPr>
          <w:rFonts w:hint="eastAsia"/>
          <w:rtl/>
        </w:rPr>
        <w:t>ב</w:t>
      </w:r>
      <w:r w:rsidRPr="00CD14AF">
        <w:rPr>
          <w:rtl/>
        </w:rPr>
        <w:t>נוהל מניעת ניגוד עניינים</w:t>
      </w:r>
      <w:r w:rsidRPr="00CD14AF">
        <w:rPr>
          <w:rFonts w:hint="cs"/>
          <w:rtl/>
        </w:rPr>
        <w:t xml:space="preserve"> בחברה</w:t>
      </w:r>
      <w:r w:rsidRPr="00CD14AF">
        <w:rPr>
          <w:rtl/>
        </w:rPr>
        <w:t xml:space="preserve"> </w:t>
      </w:r>
      <w:r w:rsidRPr="00CD14AF">
        <w:rPr>
          <w:rFonts w:hint="eastAsia"/>
          <w:rtl/>
        </w:rPr>
        <w:t>נקבע</w:t>
      </w:r>
      <w:r w:rsidRPr="00CD14AF">
        <w:rPr>
          <w:rtl/>
        </w:rPr>
        <w:t xml:space="preserve"> כי אחת לשנתיים חייבים עובדי החברה בתפקידים מסוימים לחתום על טופס הצהרה למניעת ניגוד עניינים. רשימת התפקידים כוללת, בין היתר, עובדים מדרג מסוים ומעלה (דרג ראש </w:t>
      </w:r>
      <w:r w:rsidRPr="00CD14AF">
        <w:rPr>
          <w:rtl/>
        </w:rPr>
        <w:t>מינהל</w:t>
      </w:r>
      <w:r w:rsidRPr="00CD14AF">
        <w:rPr>
          <w:rtl/>
        </w:rPr>
        <w:t xml:space="preserve">), ממונים על </w:t>
      </w:r>
      <w:r w:rsidRPr="00CD14AF">
        <w:rPr>
          <w:rtl/>
        </w:rPr>
        <w:t>הנהלת חשבונות, חברים בוועדות רכש ומכרזים, עובדים שונים הבאים במגע עסקי עם קבלני בנ</w:t>
      </w:r>
      <w:r w:rsidRPr="00CD14AF">
        <w:rPr>
          <w:rFonts w:hint="cs"/>
          <w:rtl/>
        </w:rPr>
        <w:t>י</w:t>
      </w:r>
      <w:r w:rsidRPr="00CD14AF">
        <w:rPr>
          <w:rtl/>
        </w:rPr>
        <w:t xml:space="preserve">ין, הקובעים מפרט לספקים או </w:t>
      </w:r>
      <w:r w:rsidRPr="00CD14AF">
        <w:rPr>
          <w:rFonts w:hint="cs"/>
          <w:rtl/>
        </w:rPr>
        <w:t>ה</w:t>
      </w:r>
      <w:r w:rsidRPr="00CD14AF">
        <w:rPr>
          <w:rtl/>
        </w:rPr>
        <w:t>חברים בצוות משא ומתן עם ספקים.</w:t>
      </w:r>
      <w:r w:rsidRPr="00CD14AF">
        <w:rPr>
          <w:rFonts w:hint="cs"/>
          <w:rtl/>
        </w:rPr>
        <w:t xml:space="preserve"> נמצא כי </w:t>
      </w:r>
      <w:r w:rsidRPr="00CD14AF">
        <w:rPr>
          <w:rFonts w:hint="cs"/>
          <w:rtl/>
        </w:rPr>
        <w:t>התע"א</w:t>
      </w:r>
      <w:r w:rsidRPr="00CD14AF">
        <w:rPr>
          <w:rFonts w:hint="cs"/>
          <w:rtl/>
        </w:rPr>
        <w:t xml:space="preserve"> </w:t>
      </w:r>
      <w:r w:rsidRPr="00CD14AF">
        <w:rPr>
          <w:rFonts w:hint="eastAsia"/>
          <w:rtl/>
        </w:rPr>
        <w:t>ערה</w:t>
      </w:r>
      <w:r w:rsidRPr="00CD14AF">
        <w:rPr>
          <w:rFonts w:hint="cs"/>
          <w:rtl/>
        </w:rPr>
        <w:t xml:space="preserve"> לכך שנוהל ניגוד עניינים משנת 2018 אינו משקף את תהליך העבודה בפועל; </w:t>
      </w:r>
      <w:r w:rsidRPr="00CD14AF">
        <w:rPr>
          <w:rFonts w:hint="eastAsia"/>
          <w:rtl/>
        </w:rPr>
        <w:t>ו</w:t>
      </w:r>
      <w:r w:rsidRPr="00CD14AF">
        <w:rPr>
          <w:rFonts w:hint="cs"/>
          <w:rtl/>
        </w:rPr>
        <w:t xml:space="preserve">כי התהליך שמבצעת החברה למניעת ניגוד העניינים בקרב עובדיה באמצעות מערכת ייעודית אשר הופעלה לראשונה באוגוסט 2021 אינו יעיל ואפקטיבי ולכן מחייב שינוי מהותי. יצוין כי </w:t>
      </w:r>
      <w:r w:rsidRPr="00CD14AF">
        <w:rPr>
          <w:rFonts w:hint="cs"/>
          <w:rtl/>
        </w:rPr>
        <w:t>התע"א</w:t>
      </w:r>
      <w:r w:rsidRPr="00CD14AF">
        <w:rPr>
          <w:rFonts w:hint="cs"/>
          <w:rtl/>
        </w:rPr>
        <w:t xml:space="preserve"> מגבשת שינוי בתהליך, ונכון ליולי 2023 הוא לא הסתיים</w:t>
      </w:r>
      <w:r w:rsidRPr="00AF3B73">
        <w:rPr>
          <w:rFonts w:hint="cs"/>
          <w:rtl/>
        </w:rPr>
        <w:t>.</w:t>
      </w:r>
    </w:p>
    <w:p w:rsidR="00A0642E" w:rsidRPr="00AF3B73" w:rsidP="00A0642E" w14:paraId="72116349" w14:textId="1AA86F1C">
      <w:pPr>
        <w:pStyle w:val="7317"/>
        <w:rPr>
          <w:rtl/>
        </w:rPr>
      </w:pPr>
      <w:r w:rsidRPr="00A0642E">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8419501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9501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Pr>
          <w:rStyle w:val="7371"/>
          <w:rFonts w:hint="cs"/>
          <w:rtl/>
        </w:rPr>
        <w:t>פיקוח ובקרה על תאגידים מוחזקים -</w:t>
      </w:r>
      <w:r w:rsidRPr="00CD14AF">
        <w:rPr>
          <w:rFonts w:hint="cs"/>
          <w:rtl/>
        </w:rPr>
        <w:t xml:space="preserve"> בסוף שנת 2022 היו לחברה 46 תאגידים מוחזקים, מהם 26 בחו"ל. </w:t>
      </w:r>
      <w:r w:rsidRPr="00CD14AF">
        <w:rPr>
          <w:rtl/>
        </w:rPr>
        <w:t xml:space="preserve">17 מהתאגידים (37%) הם בבעלות מלאה שלה, 19 תאגידים (41%) </w:t>
      </w:r>
      <w:r w:rsidRPr="00CD14AF">
        <w:rPr>
          <w:rFonts w:hint="cs"/>
          <w:rtl/>
        </w:rPr>
        <w:t>אינם בבעלות</w:t>
      </w:r>
      <w:r w:rsidRPr="00CD14AF">
        <w:rPr>
          <w:rFonts w:hint="eastAsia"/>
          <w:rtl/>
        </w:rPr>
        <w:t>ה</w:t>
      </w:r>
      <w:r w:rsidRPr="00CD14AF">
        <w:rPr>
          <w:rFonts w:hint="cs"/>
          <w:rtl/>
        </w:rPr>
        <w:t xml:space="preserve"> </w:t>
      </w:r>
      <w:r w:rsidRPr="00CD14AF">
        <w:rPr>
          <w:rFonts w:hint="eastAsia"/>
          <w:rtl/>
        </w:rPr>
        <w:t>ה</w:t>
      </w:r>
      <w:r w:rsidRPr="00CD14AF">
        <w:rPr>
          <w:rFonts w:hint="cs"/>
          <w:rtl/>
        </w:rPr>
        <w:t xml:space="preserve">מלאה אך מאוחדים בדוחות הכספיים של </w:t>
      </w:r>
      <w:r w:rsidRPr="00CD14AF">
        <w:rPr>
          <w:rFonts w:hint="cs"/>
          <w:rtl/>
        </w:rPr>
        <w:t>התע"א</w:t>
      </w:r>
      <w:r w:rsidRPr="00CD14AF">
        <w:rPr>
          <w:rtl/>
        </w:rPr>
        <w:t xml:space="preserve">, ו-10 תאגידים (22%) </w:t>
      </w:r>
      <w:r w:rsidRPr="00CD14AF">
        <w:rPr>
          <w:rFonts w:hint="cs"/>
          <w:rtl/>
        </w:rPr>
        <w:t xml:space="preserve">מוחזקים על ידי </w:t>
      </w:r>
      <w:r w:rsidRPr="00CD14AF">
        <w:rPr>
          <w:rFonts w:hint="cs"/>
          <w:rtl/>
        </w:rPr>
        <w:t>התע"א</w:t>
      </w:r>
      <w:r w:rsidRPr="00CD14AF">
        <w:rPr>
          <w:rFonts w:hint="cs"/>
          <w:rtl/>
        </w:rPr>
        <w:t xml:space="preserve"> בשיעור נמוך מ-50%</w:t>
      </w:r>
      <w:r w:rsidRPr="00CD14AF">
        <w:rPr>
          <w:rtl/>
        </w:rPr>
        <w:t>.</w:t>
      </w:r>
      <w:r w:rsidRPr="00CD14AF">
        <w:rPr>
          <w:rFonts w:hint="cs"/>
          <w:rtl/>
        </w:rPr>
        <w:t xml:space="preserve"> בהתאם לדוח הכספי של </w:t>
      </w:r>
      <w:r w:rsidRPr="00CD14AF">
        <w:rPr>
          <w:rFonts w:hint="cs"/>
          <w:rtl/>
        </w:rPr>
        <w:t>התע"א</w:t>
      </w:r>
      <w:r w:rsidRPr="00CD14AF">
        <w:rPr>
          <w:rFonts w:hint="cs"/>
          <w:rtl/>
        </w:rPr>
        <w:t xml:space="preserve"> </w:t>
      </w:r>
      <w:r w:rsidR="00343486">
        <w:rPr>
          <w:rtl/>
        </w:rPr>
        <w:br/>
      </w:r>
      <w:r w:rsidRPr="00CD14AF">
        <w:rPr>
          <w:rFonts w:hint="cs"/>
          <w:rtl/>
        </w:rPr>
        <w:t xml:space="preserve">ל-31.12.22, החברה המוחזקת המהותית של </w:t>
      </w:r>
      <w:r w:rsidRPr="00CD14AF">
        <w:rPr>
          <w:rFonts w:hint="cs"/>
          <w:rtl/>
        </w:rPr>
        <w:t>התע"א</w:t>
      </w:r>
      <w:r w:rsidRPr="00CD14AF">
        <w:rPr>
          <w:rFonts w:hint="cs"/>
          <w:rtl/>
        </w:rPr>
        <w:t xml:space="preserve"> היא </w:t>
      </w:r>
      <w:r w:rsidRPr="00CD14AF">
        <w:rPr>
          <w:rFonts w:hint="cs"/>
          <w:rtl/>
        </w:rPr>
        <w:t>אלתא</w:t>
      </w:r>
      <w:r w:rsidRPr="00CD14AF">
        <w:rPr>
          <w:rFonts w:hint="cs"/>
          <w:rtl/>
        </w:rPr>
        <w:t>.</w:t>
      </w:r>
      <w:r w:rsidRPr="00CD14AF">
        <w:rPr>
          <w:rtl/>
        </w:rPr>
        <w:t xml:space="preserve"> </w:t>
      </w:r>
      <w:r w:rsidRPr="00CD14AF">
        <w:rPr>
          <w:rFonts w:hint="cs"/>
          <w:rtl/>
        </w:rPr>
        <w:t xml:space="preserve">נמצא כי </w:t>
      </w:r>
      <w:r w:rsidRPr="00CD14AF">
        <w:rPr>
          <w:rtl/>
        </w:rPr>
        <w:t>רק ב</w:t>
      </w:r>
      <w:r w:rsidRPr="00CD14AF">
        <w:rPr>
          <w:rFonts w:hint="cs"/>
          <w:rtl/>
        </w:rPr>
        <w:t>שנת</w:t>
      </w:r>
      <w:r w:rsidRPr="00CD14AF">
        <w:rPr>
          <w:rtl/>
        </w:rPr>
        <w:t xml:space="preserve"> 2021 החלה החברה לפעול להגדרת מנגנוני הבקרה שלה על </w:t>
      </w:r>
      <w:r w:rsidRPr="00CD14AF">
        <w:rPr>
          <w:rFonts w:hint="cs"/>
          <w:rtl/>
        </w:rPr>
        <w:t xml:space="preserve">ניהול </w:t>
      </w:r>
      <w:r w:rsidRPr="00CD14AF">
        <w:rPr>
          <w:rtl/>
        </w:rPr>
        <w:t>ה</w:t>
      </w:r>
      <w:r w:rsidRPr="00CD14AF">
        <w:rPr>
          <w:rFonts w:hint="cs"/>
          <w:rtl/>
        </w:rPr>
        <w:t>סיכונים ב</w:t>
      </w:r>
      <w:r w:rsidRPr="00CD14AF">
        <w:rPr>
          <w:rtl/>
        </w:rPr>
        <w:t xml:space="preserve">תאגידים המוחזקים; ובשנת 2022 היא החלה לקדם תהליך </w:t>
      </w:r>
      <w:r w:rsidRPr="00CD14AF">
        <w:rPr>
          <w:rFonts w:hint="cs"/>
          <w:rtl/>
        </w:rPr>
        <w:t>ל</w:t>
      </w:r>
      <w:r w:rsidRPr="00CD14AF">
        <w:rPr>
          <w:rtl/>
        </w:rPr>
        <w:t xml:space="preserve">ניהול </w:t>
      </w:r>
      <w:r w:rsidRPr="00CD14AF">
        <w:rPr>
          <w:rFonts w:hint="cs"/>
          <w:rtl/>
        </w:rPr>
        <w:t>ה</w:t>
      </w:r>
      <w:r w:rsidRPr="00CD14AF">
        <w:rPr>
          <w:rtl/>
        </w:rPr>
        <w:t xml:space="preserve">סיכונים </w:t>
      </w:r>
      <w:r w:rsidRPr="00CD14AF">
        <w:rPr>
          <w:rFonts w:hint="cs"/>
          <w:rtl/>
        </w:rPr>
        <w:t>ב</w:t>
      </w:r>
      <w:r w:rsidRPr="00CD14AF">
        <w:rPr>
          <w:rtl/>
        </w:rPr>
        <w:t xml:space="preserve">תאגידים המוחזקים על ידה, וכן תהליך </w:t>
      </w:r>
      <w:r w:rsidRPr="00CD14AF">
        <w:t>SOX</w:t>
      </w:r>
      <w:r w:rsidRPr="00CD14AF">
        <w:rPr>
          <w:rFonts w:hint="cs"/>
          <w:rtl/>
        </w:rPr>
        <w:t xml:space="preserve"> </w:t>
      </w:r>
      <w:r w:rsidRPr="00CD14AF">
        <w:rPr>
          <w:rtl/>
        </w:rPr>
        <w:t>בארבעה מהם, מתוכם הסתיי</w:t>
      </w:r>
      <w:r w:rsidRPr="00CD14AF">
        <w:rPr>
          <w:rFonts w:hint="eastAsia"/>
          <w:rtl/>
        </w:rPr>
        <w:t>מו</w:t>
      </w:r>
      <w:r w:rsidRPr="00CD14AF">
        <w:rPr>
          <w:rtl/>
        </w:rPr>
        <w:t xml:space="preserve"> תיעוד התהליכים וכתיבת הבקרות בשני תאגידים מוחזקים. במועד סיום הביקורת </w:t>
      </w:r>
      <w:r w:rsidRPr="00CD14AF">
        <w:rPr>
          <w:rFonts w:hint="cs"/>
          <w:rtl/>
        </w:rPr>
        <w:t xml:space="preserve">(יולי 2023) </w:t>
      </w:r>
      <w:r w:rsidRPr="00CD14AF">
        <w:rPr>
          <w:rtl/>
        </w:rPr>
        <w:t xml:space="preserve">נמצא כי קיימים פערים בבקרה של </w:t>
      </w:r>
      <w:r w:rsidRPr="00CD14AF">
        <w:rPr>
          <w:rtl/>
        </w:rPr>
        <w:t>התע"א</w:t>
      </w:r>
      <w:r w:rsidRPr="00CD14AF">
        <w:rPr>
          <w:rtl/>
        </w:rPr>
        <w:t xml:space="preserve"> על חלק מהתאגידים המוחזקים על ידה, ובהם אי-אימוץ מנגנון ניהול סיכונים ודיווחים לא מספקים. כל זאת, אף שכבר בסקר סיכוני מעילות והונאות משנת 2015 זיהתה </w:t>
      </w:r>
      <w:r w:rsidRPr="00CD14AF">
        <w:rPr>
          <w:rtl/>
        </w:rPr>
        <w:t>התע"א</w:t>
      </w:r>
      <w:r w:rsidRPr="00CD14AF">
        <w:rPr>
          <w:rtl/>
        </w:rPr>
        <w:t xml:space="preserve"> פערים בפיקוח ובבקרה על התאגידים המוחזקים על ידה, לרבות בהקשר </w:t>
      </w:r>
      <w:r w:rsidRPr="00CD14AF">
        <w:rPr>
          <w:rFonts w:hint="cs"/>
          <w:rtl/>
        </w:rPr>
        <w:t>ש</w:t>
      </w:r>
      <w:r w:rsidRPr="00CD14AF">
        <w:rPr>
          <w:rtl/>
        </w:rPr>
        <w:t>ל</w:t>
      </w:r>
      <w:r w:rsidRPr="00CD14AF">
        <w:rPr>
          <w:rFonts w:hint="cs"/>
          <w:rtl/>
        </w:rPr>
        <w:t xml:space="preserve"> </w:t>
      </w:r>
      <w:r w:rsidRPr="00CD14AF">
        <w:rPr>
          <w:rtl/>
        </w:rPr>
        <w:t>סיכוני מעילות והונאות; פערים שעלו גם בסקרי הסיכונים משנים 2017 ו-2021 ובדוחות הביקורת הפנימית בחברה; והומלץ על נקיטת פעולות</w:t>
      </w:r>
      <w:r w:rsidRPr="00CD14AF">
        <w:rPr>
          <w:rFonts w:hint="cs"/>
          <w:rtl/>
        </w:rPr>
        <w:t xml:space="preserve"> לצמצום הפערים האמורים</w:t>
      </w:r>
      <w:r w:rsidRPr="00CD14AF">
        <w:rPr>
          <w:rtl/>
        </w:rPr>
        <w:t xml:space="preserve">, לרבות הטמעת </w:t>
      </w:r>
      <w:r w:rsidRPr="00CD14AF">
        <w:t>SOX</w:t>
      </w:r>
      <w:r w:rsidRPr="00CD14AF">
        <w:rPr>
          <w:rtl/>
        </w:rPr>
        <w:t xml:space="preserve"> בחברות הבנות</w:t>
      </w:r>
      <w:r w:rsidRPr="00AF3B73">
        <w:rPr>
          <w:rFonts w:hint="cs"/>
          <w:rtl/>
        </w:rPr>
        <w:t>.</w:t>
      </w:r>
    </w:p>
    <w:p w:rsidR="00A0642E" w:rsidRPr="00AF3B73" w:rsidP="00A0642E" w14:paraId="74197337" w14:textId="7839FB33">
      <w:pPr>
        <w:pStyle w:val="7317"/>
        <w:rPr>
          <w:rtl/>
        </w:rPr>
      </w:pPr>
      <w:r w:rsidRPr="00A0642E">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649020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9020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Pr>
          <w:rStyle w:val="7371"/>
          <w:rFonts w:hint="cs"/>
          <w:rtl/>
        </w:rPr>
        <w:t>יישום המלצות הביקורת הפנימית -</w:t>
      </w:r>
      <w:r w:rsidRPr="00CD14AF">
        <w:rPr>
          <w:rFonts w:hint="cs"/>
          <w:rtl/>
        </w:rPr>
        <w:t xml:space="preserve"> </w:t>
      </w:r>
      <w:r w:rsidRPr="00CD14AF">
        <w:rPr>
          <w:rtl/>
        </w:rPr>
        <w:t xml:space="preserve">בסוף שנת 2022 היו 130 המלצות של הביקורת הפנימית </w:t>
      </w:r>
      <w:r w:rsidRPr="00CD14AF">
        <w:rPr>
          <w:rtl/>
        </w:rPr>
        <w:t>בתע"א</w:t>
      </w:r>
      <w:r w:rsidRPr="00CD14AF">
        <w:rPr>
          <w:rtl/>
        </w:rPr>
        <w:t xml:space="preserve"> </w:t>
      </w:r>
      <w:r w:rsidRPr="00CD14AF">
        <w:rPr>
          <w:rFonts w:hint="cs"/>
          <w:rtl/>
        </w:rPr>
        <w:t xml:space="preserve">שהתקבלו </w:t>
      </w:r>
      <w:r w:rsidRPr="00CD14AF">
        <w:rPr>
          <w:rFonts w:hint="eastAsia"/>
          <w:rtl/>
        </w:rPr>
        <w:t>על</w:t>
      </w:r>
      <w:r w:rsidRPr="00CD14AF">
        <w:rPr>
          <w:rtl/>
        </w:rPr>
        <w:t xml:space="preserve"> </w:t>
      </w:r>
      <w:r w:rsidRPr="00CD14AF">
        <w:rPr>
          <w:rFonts w:hint="eastAsia"/>
          <w:rtl/>
        </w:rPr>
        <w:t>ידי</w:t>
      </w:r>
      <w:r w:rsidRPr="00CD14AF">
        <w:rPr>
          <w:rFonts w:hint="cs"/>
          <w:rtl/>
        </w:rPr>
        <w:t xml:space="preserve"> הנהלת החברה ו</w:t>
      </w:r>
      <w:r w:rsidRPr="00CD14AF">
        <w:rPr>
          <w:rtl/>
        </w:rPr>
        <w:t xml:space="preserve">שיישומן </w:t>
      </w:r>
      <w:r w:rsidRPr="00CD14AF">
        <w:rPr>
          <w:rFonts w:hint="eastAsia"/>
          <w:rtl/>
        </w:rPr>
        <w:t>היה</w:t>
      </w:r>
      <w:r w:rsidRPr="00CD14AF">
        <w:rPr>
          <w:rFonts w:hint="cs"/>
          <w:rtl/>
        </w:rPr>
        <w:t xml:space="preserve"> </w:t>
      </w:r>
      <w:r w:rsidRPr="00CD14AF">
        <w:rPr>
          <w:rtl/>
        </w:rPr>
        <w:t xml:space="preserve">בפיגור של </w:t>
      </w:r>
      <w:r w:rsidRPr="00CD14AF">
        <w:rPr>
          <w:rFonts w:hint="cs"/>
          <w:rtl/>
        </w:rPr>
        <w:t>יותר מש</w:t>
      </w:r>
      <w:r w:rsidRPr="00CD14AF">
        <w:rPr>
          <w:rtl/>
        </w:rPr>
        <w:t xml:space="preserve">נה, מהן 81 המלצות שיישומן </w:t>
      </w:r>
      <w:r w:rsidRPr="00CD14AF">
        <w:rPr>
          <w:rFonts w:hint="eastAsia"/>
          <w:rtl/>
        </w:rPr>
        <w:t>היה</w:t>
      </w:r>
      <w:r w:rsidRPr="00CD14AF">
        <w:rPr>
          <w:rFonts w:hint="cs"/>
          <w:rtl/>
        </w:rPr>
        <w:t xml:space="preserve"> </w:t>
      </w:r>
      <w:r w:rsidRPr="00CD14AF">
        <w:rPr>
          <w:rtl/>
        </w:rPr>
        <w:t xml:space="preserve">בפיגור של </w:t>
      </w:r>
      <w:r w:rsidRPr="00CD14AF">
        <w:rPr>
          <w:rFonts w:hint="cs"/>
          <w:rtl/>
        </w:rPr>
        <w:t>יותר</w:t>
      </w:r>
      <w:r w:rsidRPr="00CD14AF">
        <w:rPr>
          <w:rtl/>
        </w:rPr>
        <w:t xml:space="preserve"> </w:t>
      </w:r>
      <w:r w:rsidRPr="00CD14AF">
        <w:rPr>
          <w:rFonts w:hint="cs"/>
          <w:rtl/>
        </w:rPr>
        <w:t>מ</w:t>
      </w:r>
      <w:r w:rsidRPr="00CD14AF">
        <w:rPr>
          <w:rtl/>
        </w:rPr>
        <w:t>שנתיים.</w:t>
      </w:r>
      <w:r w:rsidRPr="00D907A0">
        <w:rPr>
          <w:rtl/>
        </w:rPr>
        <w:t xml:space="preserve"> </w:t>
      </w:r>
      <w:r w:rsidRPr="00CD14AF">
        <w:rPr>
          <w:rtl/>
        </w:rPr>
        <w:t>בין ההמלצות ש</w:t>
      </w:r>
      <w:r w:rsidRPr="00CD14AF">
        <w:rPr>
          <w:rFonts w:hint="cs"/>
          <w:rtl/>
        </w:rPr>
        <w:t>היה ב</w:t>
      </w:r>
      <w:r w:rsidRPr="00CD14AF">
        <w:rPr>
          <w:rtl/>
        </w:rPr>
        <w:t xml:space="preserve">יישומן פיגור </w:t>
      </w:r>
      <w:r w:rsidRPr="00CD14AF">
        <w:rPr>
          <w:rFonts w:hint="cs"/>
          <w:rtl/>
        </w:rPr>
        <w:t>של יותר מ</w:t>
      </w:r>
      <w:r w:rsidRPr="00CD14AF">
        <w:rPr>
          <w:rtl/>
        </w:rPr>
        <w:t>שנה נכלל</w:t>
      </w:r>
      <w:r w:rsidRPr="00CD14AF">
        <w:rPr>
          <w:rFonts w:hint="cs"/>
          <w:rtl/>
        </w:rPr>
        <w:t>ות</w:t>
      </w:r>
      <w:r w:rsidRPr="00CD14AF">
        <w:rPr>
          <w:rtl/>
        </w:rPr>
        <w:t xml:space="preserve"> גם </w:t>
      </w:r>
      <w:r w:rsidRPr="00CD14AF">
        <w:rPr>
          <w:rFonts w:hint="cs"/>
          <w:rtl/>
        </w:rPr>
        <w:t>המלצות ב</w:t>
      </w:r>
      <w:r w:rsidRPr="00CD14AF">
        <w:rPr>
          <w:rtl/>
        </w:rPr>
        <w:t xml:space="preserve">נושאים הרלוונטיים לסיכונים תאגידיים של </w:t>
      </w:r>
      <w:r w:rsidRPr="00CD14AF">
        <w:rPr>
          <w:rtl/>
        </w:rPr>
        <w:t>התע"א</w:t>
      </w:r>
      <w:r w:rsidRPr="00CD14AF">
        <w:rPr>
          <w:rtl/>
        </w:rPr>
        <w:t>, בהם עמידה ברגולציה, מודיעין עסקי, ניהול הקניין הרוחני ויישום תוכנית הציות; וכן נושאים הנוגעים לבקרות למניעת מעילות והונאות דוגמת ניהול הרשאות וניהול מסדי נתונים</w:t>
      </w:r>
      <w:r w:rsidRPr="00AF3B73">
        <w:rPr>
          <w:rFonts w:hint="cs"/>
          <w:rtl/>
        </w:rPr>
        <w:t>.</w:t>
      </w:r>
    </w:p>
    <w:p w:rsidR="00A0642E" w:rsidRPr="00AF3B73" w:rsidP="00A0642E" w14:paraId="6EA3DF57" w14:textId="42434047">
      <w:pPr>
        <w:pStyle w:val="7317"/>
        <w:rPr>
          <w:rtl/>
        </w:rPr>
      </w:pPr>
      <w:r w:rsidRPr="00A0642E">
        <w:rPr>
          <w:rStyle w:val="7371"/>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6482714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2714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Pr>
          <w:rStyle w:val="7371"/>
          <w:rFonts w:hint="cs"/>
          <w:rtl/>
        </w:rPr>
        <w:t xml:space="preserve">נוהל </w:t>
      </w:r>
      <w:r w:rsidRPr="00A0642E">
        <w:rPr>
          <w:rStyle w:val="7371"/>
          <w:rFonts w:hint="cs"/>
          <w:rtl/>
        </w:rPr>
        <w:t>מלמ"ב</w:t>
      </w:r>
      <w:r w:rsidRPr="00A0642E">
        <w:rPr>
          <w:rStyle w:val="7371"/>
          <w:rFonts w:hint="cs"/>
          <w:rtl/>
        </w:rPr>
        <w:t xml:space="preserve"> בעניין חקירות פליליות -</w:t>
      </w:r>
      <w:r w:rsidRPr="00CD14AF">
        <w:rPr>
          <w:rFonts w:hint="cs"/>
          <w:rtl/>
        </w:rPr>
        <w:t xml:space="preserve"> </w:t>
      </w:r>
      <w:r w:rsidRPr="00CD14AF">
        <w:rPr>
          <w:rFonts w:hint="cs"/>
          <w:rtl/>
        </w:rPr>
        <w:t>התע"א</w:t>
      </w:r>
      <w:r w:rsidRPr="00CD14AF">
        <w:rPr>
          <w:rFonts w:hint="cs"/>
          <w:rtl/>
        </w:rPr>
        <w:t xml:space="preserve"> </w:t>
      </w:r>
      <w:r w:rsidRPr="00CD14AF">
        <w:rPr>
          <w:rFonts w:hint="cs"/>
          <w:rtl/>
        </w:rPr>
        <w:t>ואלתא</w:t>
      </w:r>
      <w:r w:rsidRPr="00CD14AF">
        <w:rPr>
          <w:rFonts w:hint="cs"/>
          <w:rtl/>
        </w:rPr>
        <w:t xml:space="preserve"> הן גופים המונחים על ידי </w:t>
      </w:r>
      <w:r w:rsidRPr="00CD14AF">
        <w:rPr>
          <w:rFonts w:hint="cs"/>
          <w:rtl/>
        </w:rPr>
        <w:t>מלמ"ב</w:t>
      </w:r>
      <w:r w:rsidRPr="00CD14AF">
        <w:rPr>
          <w:rFonts w:hint="cs"/>
          <w:rtl/>
        </w:rPr>
        <w:t xml:space="preserve">, שבין תפקידיו </w:t>
      </w:r>
      <w:r w:rsidRPr="00CD14AF">
        <w:rPr>
          <w:rtl/>
        </w:rPr>
        <w:t>לבצע התאמת מהימנות של עובדי מערכת הביטחון והמועסקים על ידה לתפקידיהם, לרבות בגופים המונחים, ולבצע חקירות פליליות בגופי מערכת הביטחון</w:t>
      </w:r>
      <w:r w:rsidRPr="00CD14AF">
        <w:rPr>
          <w:rFonts w:hint="cs"/>
          <w:rtl/>
        </w:rPr>
        <w:t xml:space="preserve">. </w:t>
      </w:r>
      <w:r w:rsidRPr="00CD14AF">
        <w:rPr>
          <w:rFonts w:hint="cs"/>
          <w:rtl/>
        </w:rPr>
        <w:t>התע"א</w:t>
      </w:r>
      <w:r w:rsidRPr="00CD14AF">
        <w:rPr>
          <w:rFonts w:hint="cs"/>
          <w:rtl/>
        </w:rPr>
        <w:t xml:space="preserve"> נדרשת לפעול בהתאם להוראות </w:t>
      </w:r>
      <w:r w:rsidRPr="00CD14AF">
        <w:rPr>
          <w:rFonts w:hint="cs"/>
          <w:rtl/>
        </w:rPr>
        <w:t>מלמ"ב</w:t>
      </w:r>
      <w:r w:rsidRPr="00CD14AF">
        <w:rPr>
          <w:rFonts w:hint="cs"/>
          <w:rtl/>
        </w:rPr>
        <w:t xml:space="preserve"> בנושאים שונים, לרבות בכל הנוגע לטיפול באירועים פליליים הקורים בה. </w:t>
      </w:r>
      <w:r w:rsidRPr="00CD14AF">
        <w:rPr>
          <w:rtl/>
        </w:rPr>
        <w:t>מ</w:t>
      </w:r>
      <w:r w:rsidRPr="00CD14AF">
        <w:rPr>
          <w:rFonts w:hint="cs"/>
          <w:rtl/>
        </w:rPr>
        <w:t xml:space="preserve">שנת </w:t>
      </w:r>
      <w:r w:rsidRPr="00CD14AF">
        <w:rPr>
          <w:rtl/>
        </w:rPr>
        <w:t xml:space="preserve">2007 לא עודכן נוהל </w:t>
      </w:r>
      <w:r w:rsidRPr="00CD14AF">
        <w:rPr>
          <w:rtl/>
        </w:rPr>
        <w:t>מלמ"ב</w:t>
      </w:r>
      <w:r w:rsidRPr="00CD14AF">
        <w:rPr>
          <w:rtl/>
        </w:rPr>
        <w:t xml:space="preserve"> בעניין חקירות פליליות בגופי מערכת הביטחון, </w:t>
      </w:r>
      <w:r w:rsidRPr="00CD14AF">
        <w:rPr>
          <w:rFonts w:hint="cs"/>
          <w:rtl/>
        </w:rPr>
        <w:t xml:space="preserve">והפרקטיקה שלפיה פועל </w:t>
      </w:r>
      <w:r w:rsidRPr="00CD14AF">
        <w:rPr>
          <w:rtl/>
        </w:rPr>
        <w:t>מלמ"ב</w:t>
      </w:r>
      <w:r w:rsidRPr="00CD14AF">
        <w:rPr>
          <w:rtl/>
        </w:rPr>
        <w:t xml:space="preserve"> שונה מ</w:t>
      </w:r>
      <w:r w:rsidRPr="00CD14AF">
        <w:rPr>
          <w:rFonts w:hint="cs"/>
          <w:rtl/>
        </w:rPr>
        <w:t xml:space="preserve">זו </w:t>
      </w:r>
      <w:r w:rsidRPr="00CD14AF">
        <w:rPr>
          <w:rtl/>
        </w:rPr>
        <w:t>שנקבע</w:t>
      </w:r>
      <w:r w:rsidRPr="00CD14AF">
        <w:rPr>
          <w:rFonts w:hint="cs"/>
          <w:rtl/>
        </w:rPr>
        <w:t>ה</w:t>
      </w:r>
      <w:r w:rsidRPr="00CD14AF">
        <w:rPr>
          <w:rtl/>
        </w:rPr>
        <w:t xml:space="preserve"> בנוהל; פרקטיקה שקיבלה ביטוי בטיוטת נוהל שטרם אושרה. כל עוד לא מאושר נוהל עדכני בנושא, לא מעוגן בין היתר אופן קבלת החלטה </w:t>
      </w:r>
      <w:r w:rsidRPr="00CD14AF">
        <w:rPr>
          <w:rtl/>
        </w:rPr>
        <w:t>במלמ"ב</w:t>
      </w:r>
      <w:r w:rsidRPr="00CD14AF">
        <w:rPr>
          <w:rtl/>
        </w:rPr>
        <w:t xml:space="preserve"> שלא לקיים חקירה בעניין שהובא </w:t>
      </w:r>
      <w:r w:rsidRPr="00CD14AF">
        <w:rPr>
          <w:rFonts w:hint="eastAsia"/>
          <w:rtl/>
        </w:rPr>
        <w:t>ל</w:t>
      </w:r>
      <w:r w:rsidRPr="00CD14AF">
        <w:rPr>
          <w:rtl/>
        </w:rPr>
        <w:t>פניו</w:t>
      </w:r>
      <w:r w:rsidRPr="00AF3B73">
        <w:rPr>
          <w:rFonts w:hint="cs"/>
          <w:rtl/>
        </w:rPr>
        <w:t>.</w:t>
      </w:r>
    </w:p>
    <w:p w:rsidR="00A0642E" w:rsidRPr="00AF3B73" w:rsidP="00A0642E" w14:paraId="5AF52F91" w14:textId="7922EC0F">
      <w:pPr>
        <w:pStyle w:val="7317"/>
        <w:rPr>
          <w:rtl/>
        </w:rPr>
      </w:pPr>
      <w:r w:rsidRPr="00A0642E">
        <w:rPr>
          <w:rStyle w:val="7371"/>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9834252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4252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0642E">
        <w:rPr>
          <w:rStyle w:val="7371"/>
          <w:rFonts w:hint="cs"/>
          <w:rtl/>
        </w:rPr>
        <w:t>הפיקוח והמעקב של רשות החברות הממשלתיות</w:t>
      </w:r>
      <w:r w:rsidRPr="00CD14AF">
        <w:rPr>
          <w:rFonts w:hint="cs"/>
          <w:rtl/>
        </w:rPr>
        <w:t xml:space="preserve"> </w:t>
      </w:r>
      <w:r w:rsidRPr="00CD14AF">
        <w:rPr>
          <w:rtl/>
        </w:rPr>
        <w:t>-</w:t>
      </w:r>
      <w:r w:rsidRPr="00CD14AF">
        <w:rPr>
          <w:rFonts w:hint="cs"/>
          <w:rtl/>
        </w:rPr>
        <w:t xml:space="preserve"> </w:t>
      </w:r>
      <w:r w:rsidRPr="00CD14AF">
        <w:rPr>
          <w:rtl/>
        </w:rPr>
        <w:t xml:space="preserve">עד </w:t>
      </w:r>
      <w:r w:rsidRPr="00CD14AF">
        <w:rPr>
          <w:rFonts w:hint="cs"/>
          <w:rtl/>
        </w:rPr>
        <w:t>ל</w:t>
      </w:r>
      <w:r w:rsidRPr="00CD14AF">
        <w:rPr>
          <w:rtl/>
        </w:rPr>
        <w:t>מועד סיום הביקורת (יולי 2023) רשות החברות הממשלתיות ביצעה מיכון חלקי של המערכת שתכננה להקים ב</w:t>
      </w:r>
      <w:r w:rsidRPr="00CD14AF">
        <w:rPr>
          <w:rFonts w:hint="cs"/>
          <w:rtl/>
        </w:rPr>
        <w:t xml:space="preserve">שנת </w:t>
      </w:r>
      <w:r w:rsidRPr="00CD14AF">
        <w:rPr>
          <w:rtl/>
        </w:rPr>
        <w:t>2022</w:t>
      </w:r>
      <w:r w:rsidRPr="00CD14AF">
        <w:rPr>
          <w:rFonts w:hint="cs"/>
          <w:rtl/>
        </w:rPr>
        <w:t xml:space="preserve"> כדי לתמוך בתהליכי עבודתה</w:t>
      </w:r>
      <w:r w:rsidRPr="00CD14AF">
        <w:rPr>
          <w:rtl/>
        </w:rPr>
        <w:t xml:space="preserve">; וטרם בוצע מיכון של קבלת דיווחים מהחברות הממשלתיות ושל בקרה עליהם, לרבות בנושא ניהול סיכונים, דוגמת סקרי סיכונים ואירועי </w:t>
      </w:r>
      <w:r w:rsidRPr="00CD14AF">
        <w:rPr>
          <w:rtl/>
        </w:rPr>
        <w:t>כשל.</w:t>
      </w:r>
      <w:r w:rsidRPr="00CD14AF">
        <w:rPr>
          <w:rFonts w:hint="cs"/>
          <w:rtl/>
        </w:rPr>
        <w:t xml:space="preserve"> </w:t>
      </w:r>
      <w:r w:rsidRPr="00CD14AF">
        <w:rPr>
          <w:rtl/>
        </w:rPr>
        <w:t xml:space="preserve">רשות החברות הממשלתיות לא בחנה בעקבות המלצות דוח מבקר המדינה בנושא "מניעת מעילות במשרדי ממשלה ובחברות ממשלתיות" משנת </w:t>
      </w:r>
      <w:r w:rsidRPr="00CD14AF">
        <w:rPr>
          <w:rFonts w:hint="cs"/>
          <w:rtl/>
        </w:rPr>
        <w:t xml:space="preserve">2022 </w:t>
      </w:r>
      <w:r w:rsidRPr="00CD14AF">
        <w:rPr>
          <w:rtl/>
        </w:rPr>
        <w:t xml:space="preserve">את אופן יישום הנחיותיה בחוזר ניהול סיכונים 2020, והן לא עודכנו. </w:t>
      </w:r>
      <w:r w:rsidRPr="00CD14AF">
        <w:rPr>
          <w:rFonts w:hint="cs"/>
          <w:rtl/>
        </w:rPr>
        <w:t>כמו כן,</w:t>
      </w:r>
      <w:r w:rsidRPr="00CD14AF">
        <w:rPr>
          <w:rtl/>
        </w:rPr>
        <w:t xml:space="preserve"> הרשות לא ביצעה מעקב אחר יישום הבקרות לעניין זה </w:t>
      </w:r>
      <w:r w:rsidRPr="00CD14AF">
        <w:rPr>
          <w:rFonts w:hint="cs"/>
          <w:rtl/>
        </w:rPr>
        <w:t>בחברות הממשלתיות</w:t>
      </w:r>
      <w:r w:rsidRPr="00CD14AF">
        <w:rPr>
          <w:rtl/>
        </w:rPr>
        <w:t>; ו</w:t>
      </w:r>
      <w:r w:rsidRPr="00CD14AF">
        <w:rPr>
          <w:rFonts w:hint="cs"/>
          <w:rtl/>
        </w:rPr>
        <w:t>היא</w:t>
      </w:r>
      <w:r w:rsidRPr="00CD14AF">
        <w:rPr>
          <w:rtl/>
        </w:rPr>
        <w:t xml:space="preserve"> אינה </w:t>
      </w:r>
      <w:r w:rsidRPr="00CD14AF">
        <w:rPr>
          <w:rFonts w:hint="eastAsia"/>
          <w:rtl/>
        </w:rPr>
        <w:t>שולחת</w:t>
      </w:r>
      <w:r w:rsidRPr="00CD14AF">
        <w:rPr>
          <w:rtl/>
        </w:rPr>
        <w:t xml:space="preserve"> לגופים שבאחריותה הודעות עדכון על מקרי מעילות שהתגלו ולא פרסמה המלצות לצמצום החשיפה ל</w:t>
      </w:r>
      <w:r w:rsidRPr="00CD14AF">
        <w:rPr>
          <w:rFonts w:hint="cs"/>
          <w:rtl/>
        </w:rPr>
        <w:t xml:space="preserve">סיכוני </w:t>
      </w:r>
      <w:r w:rsidRPr="00CD14AF">
        <w:rPr>
          <w:rtl/>
        </w:rPr>
        <w:t>מעילות</w:t>
      </w:r>
      <w:r w:rsidRPr="00AF3B73">
        <w:rPr>
          <w:rFonts w:hint="cs"/>
          <w:rtl/>
        </w:rPr>
        <w:t>.</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2C22343F">
      <w:pPr>
        <w:pStyle w:val="7317"/>
        <w:rPr>
          <w:rtl/>
        </w:rPr>
      </w:pPr>
      <w:r w:rsidRPr="00A0642E">
        <w:rPr>
          <w:rStyle w:val="7371"/>
          <w:rFonts w:hint="cs"/>
          <w:rtl/>
        </w:rPr>
        <w:t>פעילות היועצת המשפטית להקמת פורום לשיתוף מידע בעניין אירועי טוהר המידות</w:t>
      </w:r>
      <w:r w:rsidRPr="00CD14AF">
        <w:rPr>
          <w:rFonts w:hint="cs"/>
          <w:rtl/>
        </w:rPr>
        <w:t xml:space="preserve"> - תצוין </w:t>
      </w:r>
      <w:r w:rsidRPr="00CD14AF">
        <w:rPr>
          <w:rtl/>
        </w:rPr>
        <w:t xml:space="preserve">לחיוב </w:t>
      </w:r>
      <w:r w:rsidRPr="00CD14AF">
        <w:rPr>
          <w:rFonts w:hint="cs"/>
          <w:rtl/>
        </w:rPr>
        <w:t>הקמת</w:t>
      </w:r>
      <w:r w:rsidRPr="00CD14AF">
        <w:rPr>
          <w:rtl/>
        </w:rPr>
        <w:t xml:space="preserve"> פורום רגולטורים בחברה על ידי היועצת המשפטית, בו משתתפים, נוסף </w:t>
      </w:r>
      <w:r w:rsidRPr="00CD14AF">
        <w:rPr>
          <w:rFonts w:hint="eastAsia"/>
          <w:rtl/>
        </w:rPr>
        <w:t>ע</w:t>
      </w:r>
      <w:r w:rsidRPr="00CD14AF">
        <w:rPr>
          <w:rtl/>
        </w:rPr>
        <w:t>ליה, המבקר הפנימי, מנהל הסיכונים הראשי, סמנכ"ל ההון האנושי וממונה הביטחון, שתכליתו לעסוק בנושאים של טוהר המידות ומטרתו לטייב זרימת מידע ולבצע עדכונים בקרב הגורמים השונים בחברה הרלוונטיים לנושאים אלו</w:t>
      </w:r>
      <w:r w:rsidRPr="00CA4EB1">
        <w:rPr>
          <w:rFonts w:hint="cs"/>
          <w:rtl/>
        </w:rPr>
        <w:t>.</w:t>
      </w:r>
    </w:p>
    <w:p w:rsidR="00EB672B" w:rsidRPr="00CA4EB1" w:rsidP="00EB672B" w14:paraId="3D4B0578" w14:textId="432A8391">
      <w:pPr>
        <w:pStyle w:val="7317"/>
        <w:rPr>
          <w:rtl/>
        </w:rPr>
      </w:pPr>
      <w:r w:rsidRPr="00A0642E">
        <w:rPr>
          <w:rStyle w:val="7371"/>
          <w:rFonts w:hint="cs"/>
          <w:rtl/>
        </w:rPr>
        <w:t>פעילות המבקר הפנימי להגברת הבקרה על ניהול הסיכונים בחברה -</w:t>
      </w:r>
      <w:r w:rsidRPr="00CD14AF">
        <w:rPr>
          <w:rFonts w:hint="cs"/>
          <w:rtl/>
        </w:rPr>
        <w:t xml:space="preserve"> יצוין </w:t>
      </w:r>
      <w:r w:rsidRPr="00CD14AF">
        <w:rPr>
          <w:rtl/>
        </w:rPr>
        <w:t>לחיוב אופן גיבוש תוכנית העבודה מבוססת הסיכונים של המבקר הפנימי</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15095B1F">
      <w:pPr>
        <w:pStyle w:val="7317"/>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FF4CB7" w:rsidR="00A43E9E">
        <w:rPr>
          <w:rtl/>
        </w:rPr>
        <w:t xml:space="preserve">נוכח המרכזיות של תפקיד מנהל הסיכונים הראשי בחברה, </w:t>
      </w:r>
      <w:r w:rsidRPr="00FF4CB7" w:rsidR="00A43E9E">
        <w:rPr>
          <w:rFonts w:hint="cs"/>
          <w:rtl/>
        </w:rPr>
        <w:t xml:space="preserve">אשר </w:t>
      </w:r>
      <w:r w:rsidRPr="00FF4CB7" w:rsidR="00A43E9E">
        <w:rPr>
          <w:rtl/>
        </w:rPr>
        <w:t xml:space="preserve">מנחה </w:t>
      </w:r>
      <w:r w:rsidRPr="00FF4CB7" w:rsidR="00A43E9E">
        <w:rPr>
          <w:rFonts w:hint="cs"/>
          <w:rtl/>
        </w:rPr>
        <w:t xml:space="preserve">את </w:t>
      </w:r>
      <w:r w:rsidRPr="00FF4CB7" w:rsidR="00A43E9E">
        <w:rPr>
          <w:rtl/>
        </w:rPr>
        <w:t>בעלי הסיכון השונים</w:t>
      </w:r>
      <w:r w:rsidRPr="00FF4CB7" w:rsidR="00A43E9E">
        <w:rPr>
          <w:rFonts w:hint="cs"/>
          <w:rtl/>
        </w:rPr>
        <w:t xml:space="preserve"> ומפקח עליהם;</w:t>
      </w:r>
      <w:r w:rsidRPr="00FF4CB7" w:rsidR="00A43E9E">
        <w:rPr>
          <w:rtl/>
        </w:rPr>
        <w:t xml:space="preserve"> </w:t>
      </w:r>
      <w:r w:rsidRPr="00FF4CB7" w:rsidR="00A43E9E">
        <w:rPr>
          <w:rFonts w:hint="cs"/>
          <w:rtl/>
        </w:rPr>
        <w:t xml:space="preserve">ונוכח </w:t>
      </w:r>
      <w:r w:rsidRPr="00FF4CB7" w:rsidR="00A43E9E">
        <w:rPr>
          <w:rtl/>
        </w:rPr>
        <w:t xml:space="preserve">החשיבות שיש לאי-תלותו בתהליכים המרכזיים </w:t>
      </w:r>
      <w:r w:rsidRPr="00FF4CB7" w:rsidR="00A43E9E">
        <w:rPr>
          <w:rFonts w:hint="cs"/>
          <w:rtl/>
        </w:rPr>
        <w:t xml:space="preserve">המתבצעים </w:t>
      </w:r>
      <w:r w:rsidRPr="00FF4CB7" w:rsidR="00A43E9E">
        <w:rPr>
          <w:rtl/>
        </w:rPr>
        <w:t>בחברה - מומלץ כי דירקטוריון החברה ימנה מנהל סיכונים ראשי שיע</w:t>
      </w:r>
      <w:r w:rsidRPr="00FF4CB7" w:rsidR="00A43E9E">
        <w:rPr>
          <w:rFonts w:hint="cs"/>
          <w:rtl/>
        </w:rPr>
        <w:t>מוד ב</w:t>
      </w:r>
      <w:r w:rsidRPr="00FF4CB7" w:rsidR="00A43E9E">
        <w:rPr>
          <w:rtl/>
        </w:rPr>
        <w:t>דרישות חוזר רשות החברות הממשלתיות</w:t>
      </w:r>
      <w:r w:rsidRPr="007C7D40">
        <w:rPr>
          <w:rFonts w:hint="cs"/>
          <w:rtl/>
        </w:rPr>
        <w:t xml:space="preserve">. </w:t>
      </w:r>
    </w:p>
    <w:p w:rsidR="00EB672B" w:rsidRPr="007C7D40" w:rsidP="00EB672B" w14:paraId="723E2ABD" w14:textId="6D28644A">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F4CB7" w:rsidR="00A43E9E">
        <w:rPr>
          <w:rtl/>
        </w:rPr>
        <w:t xml:space="preserve">מומלץ כי </w:t>
      </w:r>
      <w:r w:rsidRPr="00FF4CB7" w:rsidR="00A43E9E">
        <w:rPr>
          <w:rtl/>
        </w:rPr>
        <w:t>התע"א</w:t>
      </w:r>
      <w:r w:rsidRPr="00FF4CB7" w:rsidR="00A43E9E">
        <w:rPr>
          <w:rtl/>
        </w:rPr>
        <w:t xml:space="preserve"> תבחן את נהליה השונים, ובהם - הנוהל בעניין הקוד האתי, הנוהל בעניין הטיפול בתלונות ופניות הציבור, נוהלי ארגון ההון האנושי ונוהל ניהול סיכונים - ותבצע בהם את ההתאמות הנדרשות, לרבות בתחומי הגדרת האחריות והסמכות של כל אחד מבעלי התפקידים בחברה בכל הנוגע לטיפול, </w:t>
      </w:r>
      <w:r w:rsidRPr="00FF4CB7" w:rsidR="00A43E9E">
        <w:rPr>
          <w:rFonts w:hint="cs"/>
          <w:rtl/>
        </w:rPr>
        <w:t>ל</w:t>
      </w:r>
      <w:r w:rsidRPr="00FF4CB7" w:rsidR="00A43E9E">
        <w:rPr>
          <w:rtl/>
        </w:rPr>
        <w:t>דיווח ו</w:t>
      </w:r>
      <w:r w:rsidRPr="00FF4CB7" w:rsidR="00A43E9E">
        <w:rPr>
          <w:rFonts w:hint="cs"/>
          <w:rtl/>
        </w:rPr>
        <w:t>ל</w:t>
      </w:r>
      <w:r w:rsidRPr="00FF4CB7" w:rsidR="00A43E9E">
        <w:rPr>
          <w:rtl/>
        </w:rPr>
        <w:t xml:space="preserve">שיתוף מידע לגבי אירועי מעילה והונאה, לרבות למנהל הסיכונים הראשי. עוד מומלץ כי מנהל הסיכונים הראשי ירכז את כלל אירועי המעילות וההונאות בחברה. </w:t>
      </w:r>
      <w:r w:rsidRPr="00FF4CB7" w:rsidR="00A43E9E">
        <w:rPr>
          <w:rFonts w:hint="cs"/>
          <w:rtl/>
        </w:rPr>
        <w:t xml:space="preserve">כמו כן, </w:t>
      </w:r>
      <w:r w:rsidRPr="00FF4CB7" w:rsidR="00A43E9E">
        <w:rPr>
          <w:rtl/>
        </w:rPr>
        <w:t>נוכח החשיבות הערכית והארגונית של נושא טוהר המידות, מומלץ כי הנהלת החברה תבחן את הקריטריונים שהגדירה לדירוג חומרת סיכוני המעילות וההונאות, לרבות ביצוע מעילות בסכומים שאינם מהותיים לארגון, וכן את הבקרות הנדרשות בתהליכים אלה</w:t>
      </w:r>
      <w:r w:rsidRPr="007C7D40">
        <w:rPr>
          <w:rtl/>
        </w:rPr>
        <w:t xml:space="preserve">. </w:t>
      </w:r>
    </w:p>
    <w:p w:rsidR="00EB672B" w:rsidRPr="007C7D40" w:rsidP="00EB672B" w14:paraId="55FA89EC" w14:textId="13B4E002">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F4CB7" w:rsidR="00A43E9E">
        <w:rPr>
          <w:rFonts w:hint="cs"/>
          <w:rtl/>
        </w:rPr>
        <w:t xml:space="preserve">מומלץ כי </w:t>
      </w:r>
      <w:r w:rsidRPr="00FF4CB7" w:rsidR="00A43E9E">
        <w:rPr>
          <w:rFonts w:hint="cs"/>
          <w:rtl/>
        </w:rPr>
        <w:t>התע"א</w:t>
      </w:r>
      <w:r w:rsidRPr="00FF4CB7" w:rsidR="00A43E9E">
        <w:rPr>
          <w:rFonts w:hint="cs"/>
          <w:rtl/>
        </w:rPr>
        <w:t xml:space="preserve"> תגביר את האמצעים לצמצום סיכוני מעילות והונאות, ובכלל זה: </w:t>
      </w:r>
      <w:r w:rsidRPr="00FF4CB7" w:rsidR="00A43E9E">
        <w:rPr>
          <w:rtl/>
        </w:rPr>
        <w:t xml:space="preserve">מומלץ כי הנהלת החברה תציג לאישור הדירקטוריון מיפוי של תפקידים רגישים, לרבות תפקידים </w:t>
      </w:r>
      <w:r w:rsidRPr="00FF4CB7" w:rsidR="00A43E9E">
        <w:rPr>
          <w:rFonts w:hint="cs"/>
          <w:rtl/>
        </w:rPr>
        <w:t>ש</w:t>
      </w:r>
      <w:r w:rsidRPr="00FF4CB7" w:rsidR="00A43E9E">
        <w:rPr>
          <w:rtl/>
        </w:rPr>
        <w:t>בהם יש גישה לשימוש בכספי החברה ובנכסיה, לרבות בתפקידי רכש וכספים;</w:t>
      </w:r>
      <w:r w:rsidRPr="00FF4CB7" w:rsidR="00A43E9E">
        <w:rPr>
          <w:rFonts w:hint="cs"/>
          <w:rtl/>
        </w:rPr>
        <w:t xml:space="preserve"> </w:t>
      </w:r>
      <w:r w:rsidRPr="00FF4CB7" w:rsidR="00A43E9E">
        <w:rPr>
          <w:rtl/>
        </w:rPr>
        <w:t>ו</w:t>
      </w:r>
      <w:r w:rsidRPr="00FF4CB7" w:rsidR="00A43E9E">
        <w:rPr>
          <w:rFonts w:hint="eastAsia"/>
          <w:rtl/>
        </w:rPr>
        <w:t>כי</w:t>
      </w:r>
      <w:r w:rsidRPr="00FF4CB7" w:rsidR="00A43E9E">
        <w:rPr>
          <w:rtl/>
        </w:rPr>
        <w:t xml:space="preserve"> היא תקבע מדיניות ל</w:t>
      </w:r>
      <w:r w:rsidRPr="00FF4CB7" w:rsidR="00A43E9E">
        <w:rPr>
          <w:rFonts w:hint="eastAsia"/>
          <w:rtl/>
        </w:rPr>
        <w:t>גבי</w:t>
      </w:r>
      <w:r w:rsidRPr="00FF4CB7" w:rsidR="00A43E9E">
        <w:rPr>
          <w:rtl/>
        </w:rPr>
        <w:t xml:space="preserve"> רוטציה בתפקידים אלה ותפעל ליישומה.</w:t>
      </w:r>
      <w:r w:rsidRPr="00FF4CB7" w:rsidR="00A43E9E">
        <w:rPr>
          <w:rFonts w:hint="cs"/>
          <w:rtl/>
        </w:rPr>
        <w:t xml:space="preserve"> </w:t>
      </w:r>
      <w:r w:rsidRPr="00FF4CB7" w:rsidR="00A43E9E">
        <w:rPr>
          <w:rtl/>
        </w:rPr>
        <w:t xml:space="preserve">כמו כן מומלץ כי החברה תפעל להעלאת המודעות של כל עובדיה </w:t>
      </w:r>
      <w:r w:rsidRPr="00FF4CB7" w:rsidR="00A43E9E">
        <w:rPr>
          <w:rFonts w:hint="eastAsia"/>
          <w:rtl/>
        </w:rPr>
        <w:t>לדיווח</w:t>
      </w:r>
      <w:r w:rsidRPr="00FF4CB7" w:rsidR="00A43E9E">
        <w:rPr>
          <w:rtl/>
        </w:rPr>
        <w:t xml:space="preserve"> באמצעות ה"קו החם", לרבות במקרים של פגיעה בטוהר המידות בחברה. זאת, נוכח החשיבות שמייחסת החברה לניהול תלונות </w:t>
      </w:r>
      <w:r w:rsidRPr="00FF4CB7" w:rsidR="00A43E9E">
        <w:rPr>
          <w:rtl/>
        </w:rPr>
        <w:t>ופניות של העובדים והציבור לשיפור ניהול עסקיה, לשיפור הבקרות שהיא מפעילה ולטיפוח מוניטין החברה ותדמיתה, ונוכח חשיבותו של ה"קו החם" לגילוי אי-סדרים, להגברת האמון שבין העובדים לחברה וליצירת הרתעה בקרב העובדים מביצוע פעולות אסורות.</w:t>
      </w:r>
      <w:r w:rsidRPr="00FF4CB7" w:rsidR="00A43E9E">
        <w:rPr>
          <w:rFonts w:hint="cs"/>
          <w:rtl/>
        </w:rPr>
        <w:t xml:space="preserve"> נוסף על כך, </w:t>
      </w:r>
      <w:r w:rsidRPr="00FF4CB7" w:rsidR="00A43E9E">
        <w:rPr>
          <w:rtl/>
        </w:rPr>
        <w:t xml:space="preserve">על </w:t>
      </w:r>
      <w:r w:rsidRPr="00FF4CB7" w:rsidR="00A43E9E">
        <w:rPr>
          <w:rtl/>
        </w:rPr>
        <w:t>התע"א</w:t>
      </w:r>
      <w:r w:rsidRPr="00FF4CB7" w:rsidR="00A43E9E">
        <w:rPr>
          <w:rtl/>
        </w:rPr>
        <w:t xml:space="preserve"> ל</w:t>
      </w:r>
      <w:r w:rsidRPr="00FF4CB7" w:rsidR="00A43E9E">
        <w:rPr>
          <w:rFonts w:hint="cs"/>
          <w:rtl/>
        </w:rPr>
        <w:t xml:space="preserve">הוסיף לפעול לטיפול בפערים בנושא </w:t>
      </w:r>
      <w:r w:rsidRPr="00FF4CB7" w:rsidR="00A43E9E">
        <w:rPr>
          <w:rtl/>
        </w:rPr>
        <w:t xml:space="preserve">במניעת ניגוד עניינים של כלל עובדי החברה הרלוונטיים, תוך מתן </w:t>
      </w:r>
      <w:r w:rsidRPr="00FF4CB7" w:rsidR="00A43E9E">
        <w:rPr>
          <w:rFonts w:hint="eastAsia"/>
          <w:rtl/>
        </w:rPr>
        <w:t>העדפה</w:t>
      </w:r>
      <w:r w:rsidRPr="00FF4CB7" w:rsidR="00A43E9E">
        <w:rPr>
          <w:rtl/>
        </w:rPr>
        <w:t xml:space="preserve"> להשלמת הפערים </w:t>
      </w:r>
      <w:r w:rsidRPr="00FF4CB7" w:rsidR="00A43E9E">
        <w:rPr>
          <w:rFonts w:hint="eastAsia"/>
          <w:rtl/>
        </w:rPr>
        <w:t>בקרב</w:t>
      </w:r>
      <w:r w:rsidRPr="00FF4CB7" w:rsidR="00A43E9E">
        <w:rPr>
          <w:rFonts w:hint="cs"/>
          <w:rtl/>
        </w:rPr>
        <w:t xml:space="preserve"> </w:t>
      </w:r>
      <w:r w:rsidRPr="00FF4CB7" w:rsidR="00A43E9E">
        <w:rPr>
          <w:rtl/>
        </w:rPr>
        <w:t xml:space="preserve">עובדים בדרגי ההנהלה השונים ובקרב קבוצות ייחודיות כגון עובדים בתחום הרכש. כמו כן מומלץ כי </w:t>
      </w:r>
      <w:r w:rsidRPr="00FF4CB7" w:rsidR="00A43E9E">
        <w:rPr>
          <w:rtl/>
        </w:rPr>
        <w:t>התע"א</w:t>
      </w:r>
      <w:r w:rsidRPr="00FF4CB7" w:rsidR="00A43E9E">
        <w:rPr>
          <w:rtl/>
        </w:rPr>
        <w:t xml:space="preserve"> תשלים את השינוי בתהליך מניעת ניגוד העניינים של עובדי החברה, תעדכן את נהליה בעניין ותטמיע את השינוי במערכות המידע</w:t>
      </w:r>
      <w:r w:rsidRPr="007C7D40">
        <w:rPr>
          <w:rFonts w:hint="cs"/>
          <w:rtl/>
        </w:rPr>
        <w:t>.</w:t>
      </w:r>
    </w:p>
    <w:p w:rsidR="00EB672B" w:rsidRPr="007C7D40" w:rsidP="00EB672B" w14:paraId="078A06EB" w14:textId="6A28E610">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F4CB7" w:rsidR="00A43E9E">
        <w:rPr>
          <w:rtl/>
        </w:rPr>
        <w:t xml:space="preserve">מומלץ כי </w:t>
      </w:r>
      <w:r w:rsidRPr="00FF4CB7" w:rsidR="00A43E9E">
        <w:rPr>
          <w:rtl/>
        </w:rPr>
        <w:t>התע"א</w:t>
      </w:r>
      <w:r w:rsidRPr="00FF4CB7" w:rsidR="00A43E9E">
        <w:rPr>
          <w:rtl/>
        </w:rPr>
        <w:t xml:space="preserve"> תמשיך לפעול להגברת הפיקוח והבקרה של החטיבות והדירקטורים מטעמה על התאגידים המוחזקים; ליישום מנגנון ניהול הסיכונים בתאגידים מוחזקים, כפי שקבעה, לרבות סיכוני מעילות והונאות; ולהרחבת </w:t>
      </w:r>
      <w:r w:rsidRPr="00FF4CB7" w:rsidR="00A43E9E">
        <w:rPr>
          <w:rFonts w:hint="cs"/>
          <w:rtl/>
        </w:rPr>
        <w:t>היקף יישום ה-</w:t>
      </w:r>
      <w:r w:rsidRPr="00FF4CB7" w:rsidR="00A43E9E">
        <w:t>SOX</w:t>
      </w:r>
      <w:r w:rsidRPr="00FF4CB7" w:rsidR="00A43E9E">
        <w:rPr>
          <w:rtl/>
        </w:rPr>
        <w:t xml:space="preserve"> בתאגידים מוחזקים נוספים.</w:t>
      </w:r>
      <w:r w:rsidRPr="00FF4CB7" w:rsidR="00A43E9E">
        <w:rPr>
          <w:rFonts w:hint="cs"/>
          <w:rtl/>
        </w:rPr>
        <w:t xml:space="preserve"> כמו כן, </w:t>
      </w:r>
      <w:r w:rsidRPr="00FF4CB7" w:rsidR="00A43E9E">
        <w:rPr>
          <w:rtl/>
        </w:rPr>
        <w:t xml:space="preserve">נוכח מרכזיות תפקיד הדירקטור בחברות המוחזקות, לרבות בנושא ניהול הסיכונים, מומלץ כי </w:t>
      </w:r>
      <w:r w:rsidRPr="00FF4CB7" w:rsidR="00A43E9E">
        <w:rPr>
          <w:rtl/>
        </w:rPr>
        <w:t>התע"א</w:t>
      </w:r>
      <w:r w:rsidRPr="00FF4CB7" w:rsidR="00A43E9E">
        <w:rPr>
          <w:rtl/>
        </w:rPr>
        <w:t xml:space="preserve"> תקפיד על הכשרת הדירקטורים שמטעמה בעיתוי הקרוב למינוים ועל ביצוע הכשרות רלוונטיות וייעודיות בנושא</w:t>
      </w:r>
      <w:r w:rsidRPr="00FF4CB7" w:rsidR="00A43E9E">
        <w:rPr>
          <w:rFonts w:hint="cs"/>
          <w:rtl/>
        </w:rPr>
        <w:t>, לרבות בתחום של מניעת הונאות ומעילות</w:t>
      </w:r>
      <w:r w:rsidRPr="00FF4CB7" w:rsidR="00A43E9E">
        <w:rPr>
          <w:rtl/>
        </w:rPr>
        <w:t xml:space="preserve">. עוד מומלץ כי </w:t>
      </w:r>
      <w:r w:rsidRPr="00FF4CB7" w:rsidR="00A43E9E">
        <w:rPr>
          <w:rtl/>
        </w:rPr>
        <w:t>התע"א</w:t>
      </w:r>
      <w:r w:rsidRPr="00FF4CB7" w:rsidR="00A43E9E">
        <w:rPr>
          <w:rtl/>
        </w:rPr>
        <w:t xml:space="preserve"> תבחן את יכולתם של הדירקטורים לבצע כהלכה תפקיד זה במספר תאגידים מוחזקים במקביל, </w:t>
      </w:r>
      <w:r w:rsidRPr="00FF4CB7" w:rsidR="00A43E9E">
        <w:rPr>
          <w:rFonts w:hint="cs"/>
          <w:rtl/>
        </w:rPr>
        <w:t xml:space="preserve">בדגש על חברות בנות, </w:t>
      </w:r>
      <w:r w:rsidRPr="00FF4CB7" w:rsidR="00A43E9E">
        <w:rPr>
          <w:rtl/>
        </w:rPr>
        <w:t>וזאת נוסף על תפקידם בחברה</w:t>
      </w:r>
      <w:r w:rsidRPr="007C7D40">
        <w:rPr>
          <w:rFonts w:hint="cs"/>
          <w:rtl/>
        </w:rPr>
        <w:t>.</w:t>
      </w:r>
    </w:p>
    <w:p w:rsidR="00EB672B" w:rsidRPr="007C7D40" w:rsidP="00EB672B" w14:paraId="5538133A" w14:textId="2B9B6368">
      <w:pPr>
        <w:pStyle w:val="7317"/>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FF4CB7" w:rsidR="00A43E9E">
        <w:rPr>
          <w:rtl/>
        </w:rPr>
        <w:t xml:space="preserve">מומלץ כי </w:t>
      </w:r>
      <w:r w:rsidRPr="00FF4CB7" w:rsidR="00A43E9E">
        <w:rPr>
          <w:rtl/>
        </w:rPr>
        <w:t>מלמ"ב</w:t>
      </w:r>
      <w:r w:rsidRPr="00FF4CB7" w:rsidR="00A43E9E">
        <w:rPr>
          <w:rtl/>
        </w:rPr>
        <w:t xml:space="preserve"> יאשר בהקדם נוהל עדכני בעניין חקירות פליליות בגופי מערכת הביטחון </w:t>
      </w:r>
      <w:r w:rsidRPr="00FF4CB7" w:rsidR="00A43E9E">
        <w:rPr>
          <w:rFonts w:hint="eastAsia"/>
          <w:rtl/>
        </w:rPr>
        <w:t>ויביאו</w:t>
      </w:r>
      <w:r w:rsidRPr="00FF4CB7" w:rsidR="00A43E9E">
        <w:rPr>
          <w:rtl/>
        </w:rPr>
        <w:t xml:space="preserve"> לידיעת הגופים המונחים, לרבות </w:t>
      </w:r>
      <w:r w:rsidRPr="00FF4CB7" w:rsidR="00A43E9E">
        <w:rPr>
          <w:rtl/>
        </w:rPr>
        <w:t>התע"א</w:t>
      </w:r>
      <w:r w:rsidRPr="00FF4CB7" w:rsidR="00A43E9E">
        <w:rPr>
          <w:rtl/>
        </w:rPr>
        <w:t xml:space="preserve">. כמו כן, נוכח הנחיצות </w:t>
      </w:r>
      <w:r w:rsidRPr="00FF4CB7" w:rsidR="00A43E9E">
        <w:rPr>
          <w:rFonts w:hint="cs"/>
          <w:rtl/>
        </w:rPr>
        <w:t>ש</w:t>
      </w:r>
      <w:r w:rsidRPr="00FF4CB7" w:rsidR="00A43E9E">
        <w:rPr>
          <w:rtl/>
        </w:rPr>
        <w:t>בנקיטת צעדים על ידי הגוף המונחה הנוגע</w:t>
      </w:r>
      <w:r w:rsidRPr="00FF4CB7" w:rsidR="00A43E9E">
        <w:rPr>
          <w:rFonts w:hint="cs"/>
          <w:rtl/>
        </w:rPr>
        <w:t xml:space="preserve"> לעניין</w:t>
      </w:r>
      <w:r w:rsidRPr="00FF4CB7" w:rsidR="00A43E9E">
        <w:rPr>
          <w:rtl/>
        </w:rPr>
        <w:t xml:space="preserve">, לרבות תחקור פנימי של האירוע ועיגון בקרות שימנעו הישנות </w:t>
      </w:r>
      <w:r w:rsidRPr="00FF4CB7" w:rsidR="00A43E9E">
        <w:rPr>
          <w:rFonts w:hint="cs"/>
          <w:rtl/>
        </w:rPr>
        <w:t xml:space="preserve">של </w:t>
      </w:r>
      <w:r w:rsidRPr="00FF4CB7" w:rsidR="00A43E9E">
        <w:rPr>
          <w:rtl/>
        </w:rPr>
        <w:t xml:space="preserve">מקרים דומים, מומלץ כי הנוהל המתגבש יתייחס גם לצורך </w:t>
      </w:r>
      <w:r w:rsidRPr="00FF4CB7" w:rsidR="00A43E9E">
        <w:rPr>
          <w:rFonts w:hint="cs"/>
          <w:rtl/>
        </w:rPr>
        <w:t xml:space="preserve">לעדכן </w:t>
      </w:r>
      <w:r w:rsidRPr="00FF4CB7" w:rsidR="00A43E9E">
        <w:rPr>
          <w:rFonts w:hint="eastAsia"/>
          <w:rtl/>
        </w:rPr>
        <w:t>במועד</w:t>
      </w:r>
      <w:r w:rsidRPr="00FF4CB7" w:rsidR="00A43E9E">
        <w:rPr>
          <w:rtl/>
        </w:rPr>
        <w:t xml:space="preserve"> </w:t>
      </w:r>
      <w:r w:rsidRPr="00FF4CB7" w:rsidR="00A43E9E">
        <w:rPr>
          <w:rFonts w:hint="eastAsia"/>
          <w:rtl/>
        </w:rPr>
        <w:t>המוקדם</w:t>
      </w:r>
      <w:r w:rsidRPr="00FF4CB7" w:rsidR="00A43E9E">
        <w:rPr>
          <w:rtl/>
        </w:rPr>
        <w:t xml:space="preserve"> </w:t>
      </w:r>
      <w:r w:rsidRPr="00FF4CB7" w:rsidR="00A43E9E">
        <w:rPr>
          <w:rFonts w:hint="eastAsia"/>
          <w:rtl/>
        </w:rPr>
        <w:t>ביותר</w:t>
      </w:r>
      <w:r w:rsidRPr="00FF4CB7" w:rsidR="00A43E9E">
        <w:rPr>
          <w:rFonts w:hint="cs"/>
          <w:rtl/>
        </w:rPr>
        <w:t xml:space="preserve"> האפשרי </w:t>
      </w:r>
      <w:r w:rsidRPr="00FF4CB7" w:rsidR="00A43E9E">
        <w:rPr>
          <w:rtl/>
        </w:rPr>
        <w:t>גורמים בגוף המונחה</w:t>
      </w:r>
      <w:r w:rsidRPr="007C7D40">
        <w:rPr>
          <w:rFonts w:hint="cs"/>
          <w:rtl/>
        </w:rPr>
        <w:t>.</w:t>
      </w:r>
    </w:p>
    <w:p w:rsidR="00EB672B" w:rsidP="00EB672B" w14:paraId="63467834" w14:textId="6336316C">
      <w:pPr>
        <w:pStyle w:val="7317"/>
        <w:rPr>
          <w:rtl/>
        </w:rPr>
      </w:pPr>
      <w:r w:rsidRPr="0063556C">
        <w:rPr>
          <w:rStyle w:val="7372"/>
          <w:rFonts w:hint="cs"/>
          <w:noProof/>
          <w:rtl/>
        </w:rPr>
        <w:drawing>
          <wp:anchor distT="0" distB="1440180" distL="107950" distR="114300" simplePos="0" relativeHeight="25168998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F4CB7" w:rsidR="00A43E9E">
        <w:rPr>
          <w:rtl/>
        </w:rPr>
        <w:t>מומלץ כי רשות החברות הממשלתיות תשלים את מיכון תהליכי העבודה ו</w:t>
      </w:r>
      <w:r w:rsidRPr="00FF4CB7" w:rsidR="00A43E9E">
        <w:rPr>
          <w:rFonts w:hint="cs"/>
          <w:rtl/>
        </w:rPr>
        <w:t xml:space="preserve">את </w:t>
      </w:r>
      <w:r w:rsidRPr="00FF4CB7" w:rsidR="00A43E9E">
        <w:rPr>
          <w:rtl/>
        </w:rPr>
        <w:t xml:space="preserve">הממשק </w:t>
      </w:r>
      <w:r w:rsidRPr="00FF4CB7" w:rsidR="00A43E9E">
        <w:rPr>
          <w:rFonts w:hint="eastAsia"/>
          <w:rtl/>
        </w:rPr>
        <w:t>עם</w:t>
      </w:r>
      <w:r w:rsidRPr="00FF4CB7" w:rsidR="00A43E9E">
        <w:rPr>
          <w:rtl/>
        </w:rPr>
        <w:t xml:space="preserve"> החברות הממשלתיות, לרבות את ההליכים הקשורים לקבלת דיווח מהחברות על סקרי סיכונים ועל אירועי כשל ואירועי כשל מהותיים. </w:t>
      </w:r>
      <w:r w:rsidRPr="00FF4CB7" w:rsidR="00A43E9E">
        <w:rPr>
          <w:rFonts w:hint="cs"/>
          <w:rtl/>
        </w:rPr>
        <w:t xml:space="preserve">עוד </w:t>
      </w:r>
      <w:r w:rsidRPr="00FF4CB7" w:rsidR="00A43E9E">
        <w:rPr>
          <w:rtl/>
        </w:rPr>
        <w:t xml:space="preserve">מומלץ כי הרשות תשקול להרחיב את חובת הדיווח, </w:t>
      </w:r>
      <w:r w:rsidRPr="00FF4CB7" w:rsidR="00A43E9E">
        <w:rPr>
          <w:rFonts w:hint="cs"/>
          <w:rtl/>
        </w:rPr>
        <w:t xml:space="preserve">באופן שיפורטו גם פרטיהם של </w:t>
      </w:r>
      <w:r w:rsidRPr="00FF4CB7" w:rsidR="00A43E9E">
        <w:rPr>
          <w:rtl/>
        </w:rPr>
        <w:t>אירועי כשל בדרגת חומרה בינונית או נמוכה</w:t>
      </w:r>
      <w:r w:rsidRPr="00FF4CB7" w:rsidR="00A43E9E">
        <w:rPr>
          <w:rFonts w:hint="cs"/>
          <w:rtl/>
        </w:rPr>
        <w:t>. כמו כן מומלץ כי הרשות ת</w:t>
      </w:r>
      <w:r w:rsidRPr="00FF4CB7" w:rsidR="00A43E9E">
        <w:rPr>
          <w:rtl/>
        </w:rPr>
        <w:t xml:space="preserve">שקול לחייב את החברות הממשלתיות לדווח לה באופן </w:t>
      </w:r>
      <w:r w:rsidRPr="00FF4CB7" w:rsidR="00A43E9E">
        <w:rPr>
          <w:rtl/>
        </w:rPr>
        <w:t>מיידי</w:t>
      </w:r>
      <w:r w:rsidRPr="00FF4CB7" w:rsidR="00A43E9E">
        <w:rPr>
          <w:rtl/>
        </w:rPr>
        <w:t xml:space="preserve"> על אירועי כשל מהותיים, לרבות על אירועים </w:t>
      </w:r>
      <w:r w:rsidRPr="00FF4CB7" w:rsidR="00A43E9E">
        <w:rPr>
          <w:rFonts w:hint="cs"/>
          <w:rtl/>
        </w:rPr>
        <w:t>ש</w:t>
      </w:r>
      <w:r w:rsidRPr="00FF4CB7" w:rsidR="00A43E9E">
        <w:rPr>
          <w:rtl/>
        </w:rPr>
        <w:t>בהם מעורבים נושאי משרה בחברה הממשלתית.</w:t>
      </w:r>
      <w:r w:rsidRPr="00FF4CB7" w:rsidR="00A43E9E">
        <w:rPr>
          <w:rFonts w:hint="cs"/>
          <w:rtl/>
        </w:rPr>
        <w:t xml:space="preserve"> עוד מומלץ </w:t>
      </w:r>
      <w:r w:rsidRPr="00FF4CB7" w:rsidR="00A43E9E">
        <w:rPr>
          <w:rtl/>
        </w:rPr>
        <w:t xml:space="preserve">כי רשות החברות תקבל </w:t>
      </w:r>
      <w:r w:rsidRPr="00FF4CB7" w:rsidR="00A43E9E">
        <w:rPr>
          <w:rtl/>
        </w:rPr>
        <w:t>מה</w:t>
      </w:r>
      <w:r w:rsidRPr="00FF4CB7" w:rsidR="00A43E9E">
        <w:rPr>
          <w:rFonts w:hint="cs"/>
          <w:rtl/>
        </w:rPr>
        <w:t>תע"א</w:t>
      </w:r>
      <w:r w:rsidRPr="00FF4CB7" w:rsidR="00A43E9E">
        <w:rPr>
          <w:rtl/>
        </w:rPr>
        <w:t xml:space="preserve"> דיווח מפורט גם אם אירועים אלה אינם מהותיים מבחינת רשות ניירות ערך ואינם מחייבים בדיווח אליה</w:t>
      </w:r>
      <w:r w:rsidRPr="008E57FE">
        <w:rPr>
          <w:rFonts w:hint="cs"/>
          <w:rtl/>
        </w:rPr>
        <w:t>.</w:t>
      </w:r>
    </w:p>
    <w:p w:rsidR="00A43E9E" w14:paraId="0DF9E487" w14:textId="77777777">
      <w:pPr>
        <w:bidi w:val="0"/>
        <w:spacing w:after="200" w:line="276" w:lineRule="auto"/>
        <w:rPr>
          <w:rStyle w:val="7372"/>
          <w:rtl/>
        </w:rPr>
      </w:pPr>
      <w:r>
        <w:rPr>
          <w:rStyle w:val="7372"/>
          <w:rtl/>
        </w:rPr>
        <w:br w:type="page"/>
      </w:r>
    </w:p>
    <w:p w:rsidR="005D0F8C" w:rsidP="00EB672B" w14:paraId="6DC28C4F" w14:textId="2490B42E">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67310</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2A19B4A2">
                            <w:pPr>
                              <w:pStyle w:val="7332"/>
                              <w:rPr>
                                <w:rtl/>
                              </w:rPr>
                            </w:pPr>
                            <w:r w:rsidRPr="009F6B20">
                              <w:rPr>
                                <w:rtl/>
                              </w:rPr>
                              <w:t xml:space="preserve">מנגנון הסמכות והאחריות בנושא ניהול סיכונים - </w:t>
                            </w:r>
                            <w:r w:rsidR="005E5348">
                              <w:rPr>
                                <w:rtl/>
                              </w:rPr>
                              <w:br/>
                            </w:r>
                            <w:r w:rsidRPr="009F6B20">
                              <w:rPr>
                                <w:rtl/>
                              </w:rPr>
                              <w:t xml:space="preserve">קווי ההגנה </w:t>
                            </w:r>
                            <w:r w:rsidRPr="009F6B20">
                              <w:rPr>
                                <w:rtl/>
                              </w:rPr>
                              <w:t>בתע"א</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3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2A19B4A2">
                      <w:pPr>
                        <w:pStyle w:val="7332"/>
                        <w:rPr>
                          <w:rtl/>
                        </w:rPr>
                      </w:pPr>
                      <w:r w:rsidRPr="009F6B20">
                        <w:rPr>
                          <w:rtl/>
                        </w:rPr>
                        <w:t xml:space="preserve">מנגנון הסמכות והאחריות בנושא ניהול סיכונים - </w:t>
                      </w:r>
                      <w:r w:rsidR="005E5348">
                        <w:rPr>
                          <w:rtl/>
                        </w:rPr>
                        <w:br/>
                      </w:r>
                      <w:r w:rsidRPr="009F6B20">
                        <w:rPr>
                          <w:rtl/>
                        </w:rPr>
                        <w:t xml:space="preserve">קווי ההגנה </w:t>
                      </w:r>
                      <w:r w:rsidRPr="009F6B20">
                        <w:rPr>
                          <w:rtl/>
                        </w:rPr>
                        <w:t>בתע"א</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78898" cy="3520440"/>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l="3746" t="4896" r="4400" b="4805"/>
                    <a:stretch>
                      <a:fillRect/>
                    </a:stretch>
                  </pic:blipFill>
                  <pic:spPr bwMode="auto">
                    <a:xfrm>
                      <a:off x="0" y="0"/>
                      <a:ext cx="4683334" cy="352377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62505" w:rsidP="00D57BE9" w14:paraId="0DA8F7B9" w14:textId="29AFF227">
      <w:pPr>
        <w:pStyle w:val="738"/>
        <w:rPr>
          <w:rtl/>
        </w:rPr>
      </w:pPr>
      <w:r w:rsidRPr="00D907A0">
        <w:rPr>
          <w:rFonts w:hint="cs"/>
          <w:rtl/>
        </w:rPr>
        <w:t xml:space="preserve">על פי מסמך מדיניות </w:t>
      </w:r>
      <w:r w:rsidRPr="00D907A0">
        <w:rPr>
          <w:rFonts w:hint="cs"/>
          <w:rtl/>
        </w:rPr>
        <w:t>התע"א</w:t>
      </w:r>
      <w:r w:rsidRPr="00D907A0">
        <w:rPr>
          <w:rFonts w:hint="cs"/>
          <w:rtl/>
        </w:rPr>
        <w:t xml:space="preserve"> לשנת 2023,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0B31AA" w:rsidRPr="009F6B20" w:rsidP="009F6B20" w14:paraId="1001632A" w14:textId="242028BB">
      <w:pPr>
        <w:rPr>
          <w:rtl/>
        </w:rPr>
      </w:pPr>
      <w:r>
        <w:rPr>
          <w:noProof/>
          <w:rtl/>
          <w:lang w:val="he-IL"/>
        </w:rPr>
        <w:drawing>
          <wp:inline distT="0" distB="0" distL="0" distR="0">
            <wp:extent cx="4737436" cy="4343400"/>
            <wp:effectExtent l="0" t="0" r="0" b="0"/>
            <wp:docPr id="1822676166" name="תמונה 1" descr="תמונה שמכילה טקסט, צילום מסך, גופן, מספ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76166" name="תמונה 1" descr="תמונה שמכילה טקסט, צילום מסך, גופן, מספר&#10;&#10;התיאור נוצר באופן אוטומטי"/>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8401" cy="4344285"/>
                    </a:xfrm>
                    <a:prstGeom prst="rect">
                      <a:avLst/>
                    </a:prstGeom>
                  </pic:spPr>
                </pic:pic>
              </a:graphicData>
            </a:graphic>
          </wp:inline>
        </w:drawing>
      </w:r>
      <w:r w:rsidRPr="00DC1D24" w:rsidR="00662020">
        <w:rPr>
          <w:noProof/>
          <w:rtl/>
        </w:rPr>
        <mc:AlternateContent>
          <mc:Choice Requires="wpg">
            <w:drawing>
              <wp:anchor distT="0" distB="0" distL="114300" distR="114300" simplePos="0" relativeHeight="251680768"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1D405486">
                              <w:pPr>
                                <w:pStyle w:val="7332"/>
                              </w:pPr>
                              <w:r w:rsidRPr="009F6B20">
                                <w:rPr>
                                  <w:rtl/>
                                </w:rPr>
                                <w:t xml:space="preserve">התפלגות הערכותיהם של עובדי </w:t>
                              </w:r>
                              <w:r w:rsidRPr="009F6B20">
                                <w:rPr>
                                  <w:rtl/>
                                </w:rPr>
                                <w:t>התע"א</w:t>
                              </w:r>
                              <w:r w:rsidRPr="009F6B20">
                                <w:rPr>
                                  <w:rtl/>
                                </w:rPr>
                                <w:t xml:space="preserve"> לגבי סבירות התרחשותם של אירועי מעילה והונאה, לפי סוגיהם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6" alt="&quot;&quot;" style="width:377pt;height:60.4pt;margin-top:0.05pt;margin-left:-8.4pt;mso-height-relative:margin;mso-position-horizontal-relative:margin;mso-width-relative:margin;position:absolute;z-index:251681792"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7" type="#_x0000_t75" style="width:47879;height:6148;mso-wrap-style:square;position:absolute;top:1815;visibility:visible">
                  <v:imagedata r:id="rId28" o:title=""/>
                </v:shape>
                <v:shape id="_x0000_s1038" type="#_x0000_t202" style="width:44284;height:3476;left:2028;mso-wrap-style:square;position:absolute;top:2665;visibility:visible;v-text-anchor:middle" fillcolor="#f05260" stroked="f">
                  <v:textbox>
                    <w:txbxContent>
                      <w:p w:rsidR="000B31AA" w:rsidRPr="00524400" w:rsidP="00524400" w14:paraId="64B50804" w14:textId="1D405486">
                        <w:pPr>
                          <w:pStyle w:val="7332"/>
                        </w:pPr>
                        <w:r w:rsidRPr="009F6B20">
                          <w:rPr>
                            <w:rtl/>
                          </w:rPr>
                          <w:t xml:space="preserve">התפלגות הערכותיהם של עובדי </w:t>
                        </w:r>
                        <w:r w:rsidRPr="009F6B20">
                          <w:rPr>
                            <w:rtl/>
                          </w:rPr>
                          <w:t>התע"א</w:t>
                        </w:r>
                        <w:r w:rsidRPr="009F6B20">
                          <w:rPr>
                            <w:rtl/>
                          </w:rPr>
                          <w:t xml:space="preserve"> לגבי סבירות התרחשותם של אירועי מעילה והונאה, לפי סוגיהם</w:t>
                        </w:r>
                      </w:p>
                    </w:txbxContent>
                  </v:textbox>
                </v:shape>
                <w10:wrap type="square"/>
              </v:group>
            </w:pict>
          </mc:Fallback>
        </mc:AlternateContent>
      </w:r>
    </w:p>
    <w:p w:rsidR="009F6B20" w:rsidP="009F6B20" w14:paraId="0F9867C2" w14:textId="7A58E8EF">
      <w:pPr>
        <w:pStyle w:val="738"/>
        <w:rPr>
          <w:rtl/>
        </w:rPr>
      </w:pPr>
      <w:r w:rsidRPr="00D907A0">
        <w:rPr>
          <w:rFonts w:hint="cs"/>
          <w:rtl/>
        </w:rPr>
        <w:t xml:space="preserve">על פי תשובות עובדי </w:t>
      </w:r>
      <w:r w:rsidRPr="00D907A0">
        <w:rPr>
          <w:rFonts w:hint="cs"/>
          <w:rtl/>
        </w:rPr>
        <w:t>התע"א</w:t>
      </w:r>
      <w:r w:rsidRPr="00D907A0">
        <w:rPr>
          <w:rFonts w:hint="cs"/>
          <w:rtl/>
        </w:rPr>
        <w:t xml:space="preserve"> על שאלון משרד מבקר המדינה</w:t>
      </w:r>
      <w:r w:rsidRPr="00D57BE9">
        <w:rPr>
          <w:rFonts w:hint="cs"/>
          <w:rtl/>
        </w:rPr>
        <w:t>.</w:t>
      </w:r>
    </w:p>
    <w:p w:rsidR="009F6B20" w14:paraId="3FED1222"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9F6B20" w:rsidRPr="00FF4CB7" w:rsidP="009F6B20" w14:paraId="08187283" w14:textId="77777777">
      <w:pPr>
        <w:widowControl w:val="0"/>
        <w:tabs>
          <w:tab w:val="left" w:pos="9604"/>
        </w:tabs>
        <w:spacing w:before="240" w:line="276" w:lineRule="auto"/>
        <w:ind w:left="-1"/>
        <w:rPr>
          <w:rFonts w:ascii="Tahoma" w:hAnsi="Tahoma" w:cs="Tahoma"/>
          <w:sz w:val="18"/>
          <w:szCs w:val="18"/>
          <w:rtl/>
        </w:rPr>
      </w:pPr>
      <w:r w:rsidRPr="00FF4CB7">
        <w:rPr>
          <w:rFonts w:ascii="Tahoma" w:hAnsi="Tahoma" w:cs="Tahoma" w:hint="cs"/>
          <w:sz w:val="18"/>
          <w:szCs w:val="18"/>
          <w:rtl/>
        </w:rPr>
        <w:t>התע"א</w:t>
      </w:r>
      <w:r w:rsidRPr="00FF4CB7">
        <w:rPr>
          <w:rFonts w:ascii="Tahoma" w:hAnsi="Tahoma" w:cs="Tahoma" w:hint="cs"/>
          <w:sz w:val="18"/>
          <w:szCs w:val="18"/>
          <w:rtl/>
        </w:rPr>
        <w:t>, אחת התעשיות הביטחוניות הגדולות בישראל, היא חברה ממשלתית בבעלות מלאה של המדינה. לנוכח ההיקף הגדול של פעילותה הכספית (מחזור הכנסות בשנת 2022 בהיקף של כ-4.97 מיליארד דולר), מורכבות פעילותה ומספרם הרב של עובדיה (כ-13,800) וספקיה (כ-5,100) היא חשופה לסיכוני מעילות והונאות, שאותם נדרש</w:t>
      </w:r>
      <w:r w:rsidRPr="00FF4CB7">
        <w:rPr>
          <w:rFonts w:ascii="Tahoma" w:hAnsi="Tahoma" w:cs="Tahoma"/>
          <w:sz w:val="18"/>
          <w:szCs w:val="18"/>
          <w:rtl/>
        </w:rPr>
        <w:t xml:space="preserve"> </w:t>
      </w:r>
      <w:r w:rsidRPr="00FF4CB7">
        <w:rPr>
          <w:rFonts w:ascii="Tahoma" w:hAnsi="Tahoma" w:cs="Tahoma" w:hint="cs"/>
          <w:sz w:val="18"/>
          <w:szCs w:val="18"/>
          <w:rtl/>
        </w:rPr>
        <w:t>לנהל ו</w:t>
      </w:r>
      <w:r w:rsidRPr="00FF4CB7">
        <w:rPr>
          <w:rFonts w:ascii="Tahoma" w:hAnsi="Tahoma" w:cs="Tahoma"/>
          <w:sz w:val="18"/>
          <w:szCs w:val="18"/>
          <w:rtl/>
        </w:rPr>
        <w:t>לצמצם</w:t>
      </w:r>
      <w:r w:rsidRPr="00FF4CB7">
        <w:rPr>
          <w:rFonts w:ascii="Tahoma" w:hAnsi="Tahoma" w:cs="Tahoma" w:hint="cs"/>
          <w:sz w:val="18"/>
          <w:szCs w:val="18"/>
          <w:rtl/>
        </w:rPr>
        <w:t>. בביקורת נמצאו ליקויים בניהול תחום זה, ובהם במינוי מנהל הסיכונים הראשי ובאופן מימוש אחריותו,</w:t>
      </w:r>
      <w:r w:rsidRPr="00FF4CB7">
        <w:rPr>
          <w:rFonts w:ascii="Tahoma" w:hAnsi="Tahoma" w:cs="Tahoma"/>
          <w:sz w:val="18"/>
          <w:szCs w:val="18"/>
          <w:rtl/>
        </w:rPr>
        <w:t xml:space="preserve"> </w:t>
      </w:r>
      <w:r w:rsidRPr="00FF4CB7">
        <w:rPr>
          <w:rFonts w:ascii="Tahoma" w:hAnsi="Tahoma" w:cs="Tahoma" w:hint="cs"/>
          <w:sz w:val="18"/>
          <w:szCs w:val="18"/>
          <w:rtl/>
        </w:rPr>
        <w:t>ו</w:t>
      </w:r>
      <w:r w:rsidRPr="00FF4CB7">
        <w:rPr>
          <w:rFonts w:ascii="Tahoma" w:hAnsi="Tahoma" w:cs="Tahoma"/>
          <w:sz w:val="18"/>
          <w:szCs w:val="18"/>
          <w:rtl/>
        </w:rPr>
        <w:t xml:space="preserve">נמצאו פערים בבקרות </w:t>
      </w:r>
      <w:r w:rsidRPr="00FF4CB7">
        <w:rPr>
          <w:rFonts w:ascii="Tahoma" w:hAnsi="Tahoma" w:cs="Tahoma" w:hint="cs"/>
          <w:sz w:val="18"/>
          <w:szCs w:val="18"/>
          <w:rtl/>
        </w:rPr>
        <w:t>ובאמצעים</w:t>
      </w:r>
      <w:r w:rsidRPr="00FF4CB7">
        <w:rPr>
          <w:rFonts w:ascii="Tahoma" w:hAnsi="Tahoma" w:cs="Tahoma"/>
          <w:sz w:val="18"/>
          <w:szCs w:val="18"/>
          <w:rtl/>
        </w:rPr>
        <w:t xml:space="preserve"> שנועדו לתרום לצמצום אירועי מעילות והונאות בחברה, </w:t>
      </w:r>
      <w:r w:rsidRPr="00FF4CB7">
        <w:rPr>
          <w:rFonts w:ascii="Tahoma" w:hAnsi="Tahoma" w:cs="Tahoma" w:hint="cs"/>
          <w:sz w:val="18"/>
          <w:szCs w:val="18"/>
          <w:rtl/>
        </w:rPr>
        <w:t xml:space="preserve">לרבות </w:t>
      </w:r>
      <w:r w:rsidRPr="00FF4CB7">
        <w:rPr>
          <w:rFonts w:ascii="Tahoma" w:hAnsi="Tahoma" w:cs="Tahoma" w:hint="eastAsia"/>
          <w:sz w:val="18"/>
          <w:szCs w:val="18"/>
          <w:rtl/>
        </w:rPr>
        <w:t>ב</w:t>
      </w:r>
      <w:r w:rsidRPr="00FF4CB7">
        <w:rPr>
          <w:rFonts w:ascii="Tahoma" w:hAnsi="Tahoma" w:cs="Tahoma"/>
          <w:sz w:val="18"/>
          <w:szCs w:val="18"/>
          <w:rtl/>
        </w:rPr>
        <w:t>מיפוי תפקידים רגישים ו</w:t>
      </w:r>
      <w:r w:rsidRPr="00FF4CB7">
        <w:rPr>
          <w:rFonts w:ascii="Tahoma" w:hAnsi="Tahoma" w:cs="Tahoma" w:hint="eastAsia"/>
          <w:sz w:val="18"/>
          <w:szCs w:val="18"/>
          <w:rtl/>
        </w:rPr>
        <w:t>ב</w:t>
      </w:r>
      <w:r w:rsidRPr="00FF4CB7">
        <w:rPr>
          <w:rFonts w:ascii="Tahoma" w:hAnsi="Tahoma" w:cs="Tahoma"/>
          <w:sz w:val="18"/>
          <w:szCs w:val="18"/>
          <w:rtl/>
        </w:rPr>
        <w:t xml:space="preserve">גיבוש מדיניות רוטציה, </w:t>
      </w:r>
      <w:r w:rsidRPr="00FF4CB7">
        <w:rPr>
          <w:rFonts w:ascii="Tahoma" w:hAnsi="Tahoma" w:cs="Tahoma" w:hint="eastAsia"/>
          <w:sz w:val="18"/>
          <w:szCs w:val="18"/>
          <w:rtl/>
        </w:rPr>
        <w:t>ב</w:t>
      </w:r>
      <w:r w:rsidRPr="00FF4CB7">
        <w:rPr>
          <w:rFonts w:ascii="Tahoma" w:hAnsi="Tahoma" w:cs="Tahoma"/>
          <w:sz w:val="18"/>
          <w:szCs w:val="18"/>
          <w:rtl/>
        </w:rPr>
        <w:t>פיקוח על ניגודי העניינים של עובדיה ו</w:t>
      </w:r>
      <w:r w:rsidRPr="00FF4CB7">
        <w:rPr>
          <w:rFonts w:ascii="Tahoma" w:hAnsi="Tahoma" w:cs="Tahoma" w:hint="eastAsia"/>
          <w:sz w:val="18"/>
          <w:szCs w:val="18"/>
          <w:rtl/>
        </w:rPr>
        <w:t>ב</w:t>
      </w:r>
      <w:r w:rsidRPr="00FF4CB7">
        <w:rPr>
          <w:rFonts w:ascii="Tahoma" w:hAnsi="Tahoma" w:cs="Tahoma"/>
          <w:sz w:val="18"/>
          <w:szCs w:val="18"/>
          <w:rtl/>
        </w:rPr>
        <w:t>פיקוח והבקרה על תאגידים מוחזקים.</w:t>
      </w:r>
      <w:r w:rsidRPr="00FF4CB7">
        <w:rPr>
          <w:rFonts w:ascii="Tahoma" w:hAnsi="Tahoma" w:cs="Tahoma" w:hint="cs"/>
          <w:sz w:val="18"/>
          <w:szCs w:val="18"/>
          <w:rtl/>
        </w:rPr>
        <w:t xml:space="preserve"> </w:t>
      </w:r>
      <w:r w:rsidRPr="00FF4CB7">
        <w:rPr>
          <w:rFonts w:ascii="Tahoma" w:hAnsi="Tahoma" w:cs="Tahoma" w:hint="eastAsia"/>
          <w:sz w:val="18"/>
          <w:szCs w:val="18"/>
          <w:rtl/>
        </w:rPr>
        <w:t>כמו</w:t>
      </w:r>
      <w:r w:rsidRPr="00FF4CB7">
        <w:rPr>
          <w:rFonts w:ascii="Tahoma" w:hAnsi="Tahoma" w:cs="Tahoma" w:hint="cs"/>
          <w:sz w:val="18"/>
          <w:szCs w:val="18"/>
          <w:rtl/>
        </w:rPr>
        <w:t xml:space="preserve"> כן נמצאה אי-בהירות בחלוקת הסמכות והאחריות בכל הנוגע </w:t>
      </w:r>
      <w:r w:rsidRPr="00FF4CB7">
        <w:rPr>
          <w:rFonts w:ascii="Tahoma" w:hAnsi="Tahoma" w:cs="Tahoma" w:hint="eastAsia"/>
          <w:sz w:val="18"/>
          <w:szCs w:val="18"/>
          <w:rtl/>
        </w:rPr>
        <w:t>ל</w:t>
      </w:r>
      <w:r w:rsidRPr="00FF4CB7">
        <w:rPr>
          <w:rFonts w:ascii="Tahoma" w:hAnsi="Tahoma" w:cs="Tahoma" w:hint="cs"/>
          <w:sz w:val="18"/>
          <w:szCs w:val="18"/>
          <w:rtl/>
        </w:rPr>
        <w:t>טיפול באירועי מעילות והונאות ו</w:t>
      </w:r>
      <w:r w:rsidRPr="00FF4CB7">
        <w:rPr>
          <w:rFonts w:ascii="Tahoma" w:hAnsi="Tahoma" w:cs="Tahoma" w:hint="eastAsia"/>
          <w:sz w:val="18"/>
          <w:szCs w:val="18"/>
          <w:rtl/>
        </w:rPr>
        <w:t>ל</w:t>
      </w:r>
      <w:r w:rsidRPr="00FF4CB7">
        <w:rPr>
          <w:rFonts w:ascii="Tahoma" w:hAnsi="Tahoma" w:cs="Tahoma" w:hint="cs"/>
          <w:sz w:val="18"/>
          <w:szCs w:val="18"/>
          <w:rtl/>
        </w:rPr>
        <w:t>מניעת הישנותם.</w:t>
      </w:r>
      <w:r w:rsidRPr="00FF4CB7">
        <w:rPr>
          <w:rFonts w:ascii="Tahoma" w:hAnsi="Tahoma" w:cs="Tahoma"/>
          <w:sz w:val="18"/>
          <w:szCs w:val="18"/>
          <w:rtl/>
        </w:rPr>
        <w:t xml:space="preserve"> </w:t>
      </w:r>
    </w:p>
    <w:p w:rsidR="00AD1000" w:rsidP="009F6B20" w14:paraId="7A555FDA" w14:textId="2CEDC79C">
      <w:pPr>
        <w:widowControl w:val="0"/>
        <w:tabs>
          <w:tab w:val="left" w:pos="9604"/>
        </w:tabs>
        <w:spacing w:before="240" w:line="276" w:lineRule="auto"/>
        <w:ind w:left="-1"/>
        <w:rPr>
          <w:rFonts w:ascii="Tahoma" w:hAnsi="Tahoma" w:cs="Tahoma"/>
          <w:sz w:val="18"/>
          <w:szCs w:val="18"/>
          <w:rtl/>
        </w:rPr>
      </w:pPr>
      <w:r w:rsidRPr="00FF4CB7">
        <w:rPr>
          <w:rFonts w:ascii="Tahoma" w:hAnsi="Tahoma" w:cs="Tahoma"/>
          <w:sz w:val="18"/>
          <w:szCs w:val="18"/>
          <w:rtl/>
        </w:rPr>
        <w:t xml:space="preserve">אירועי מעילות והונאות עלולים להסב לכל חברה נזקים כספיים </w:t>
      </w:r>
      <w:r w:rsidRPr="00FF4CB7">
        <w:rPr>
          <w:rFonts w:ascii="Tahoma" w:hAnsi="Tahoma" w:cs="Tahoma" w:hint="cs"/>
          <w:sz w:val="18"/>
          <w:szCs w:val="18"/>
          <w:rtl/>
        </w:rPr>
        <w:t>וכן</w:t>
      </w:r>
      <w:r w:rsidRPr="00FF4CB7">
        <w:rPr>
          <w:rFonts w:ascii="Tahoma" w:hAnsi="Tahoma" w:cs="Tahoma"/>
          <w:sz w:val="18"/>
          <w:szCs w:val="18"/>
          <w:rtl/>
        </w:rPr>
        <w:t xml:space="preserve"> לפגוע בתדמיתה ובתרבות</w:t>
      </w:r>
      <w:r w:rsidRPr="00FF4CB7">
        <w:rPr>
          <w:rFonts w:ascii="Tahoma" w:hAnsi="Tahoma" w:cs="Tahoma" w:hint="eastAsia"/>
          <w:sz w:val="18"/>
          <w:szCs w:val="18"/>
          <w:rtl/>
        </w:rPr>
        <w:t>ה</w:t>
      </w:r>
      <w:r w:rsidRPr="00FF4CB7">
        <w:rPr>
          <w:rFonts w:ascii="Tahoma" w:hAnsi="Tahoma" w:cs="Tahoma"/>
          <w:sz w:val="18"/>
          <w:szCs w:val="18"/>
          <w:rtl/>
        </w:rPr>
        <w:t xml:space="preserve"> הארגונית. הדבר מקבל משנה תוקף </w:t>
      </w:r>
      <w:r w:rsidRPr="00FF4CB7">
        <w:rPr>
          <w:rFonts w:ascii="Tahoma" w:hAnsi="Tahoma" w:cs="Tahoma"/>
          <w:sz w:val="18"/>
          <w:szCs w:val="18"/>
          <w:rtl/>
        </w:rPr>
        <w:t>בתע"א</w:t>
      </w:r>
      <w:r w:rsidRPr="00FF4CB7">
        <w:rPr>
          <w:rFonts w:ascii="Tahoma" w:hAnsi="Tahoma" w:cs="Tahoma"/>
          <w:sz w:val="18"/>
          <w:szCs w:val="18"/>
          <w:rtl/>
        </w:rPr>
        <w:t>, כחברה ממשלתית</w:t>
      </w:r>
      <w:r w:rsidRPr="00FF4CB7">
        <w:rPr>
          <w:rFonts w:ascii="Tahoma" w:hAnsi="Tahoma" w:cs="Tahoma" w:hint="cs"/>
          <w:sz w:val="18"/>
          <w:szCs w:val="18"/>
          <w:rtl/>
        </w:rPr>
        <w:t xml:space="preserve"> </w:t>
      </w:r>
      <w:r w:rsidRPr="00FF4CB7">
        <w:rPr>
          <w:rFonts w:ascii="Tahoma" w:hAnsi="Tahoma" w:cs="Tahoma"/>
          <w:sz w:val="18"/>
          <w:szCs w:val="18"/>
          <w:rtl/>
        </w:rPr>
        <w:t xml:space="preserve">ביטחונית העוסקת בליבת הפעילות הביטחונית של מדינת ישראל, </w:t>
      </w:r>
      <w:r w:rsidRPr="00FF4CB7">
        <w:rPr>
          <w:rFonts w:ascii="Tahoma" w:hAnsi="Tahoma" w:cs="Tahoma" w:hint="cs"/>
          <w:sz w:val="18"/>
          <w:szCs w:val="18"/>
          <w:rtl/>
        </w:rPr>
        <w:t>אשר</w:t>
      </w:r>
      <w:r w:rsidRPr="00FF4CB7">
        <w:rPr>
          <w:rFonts w:ascii="Tahoma" w:hAnsi="Tahoma" w:cs="Tahoma"/>
          <w:sz w:val="18"/>
          <w:szCs w:val="18"/>
          <w:rtl/>
        </w:rPr>
        <w:t xml:space="preserve"> רמת </w:t>
      </w:r>
      <w:r w:rsidRPr="00FF4CB7">
        <w:rPr>
          <w:rFonts w:ascii="Tahoma" w:hAnsi="Tahoma" w:cs="Tahoma" w:hint="cs"/>
          <w:sz w:val="18"/>
          <w:szCs w:val="18"/>
          <w:rtl/>
        </w:rPr>
        <w:t>ה</w:t>
      </w:r>
      <w:r w:rsidRPr="00FF4CB7">
        <w:rPr>
          <w:rFonts w:ascii="Tahoma" w:hAnsi="Tahoma" w:cs="Tahoma"/>
          <w:sz w:val="18"/>
          <w:szCs w:val="18"/>
          <w:rtl/>
        </w:rPr>
        <w:t xml:space="preserve">מהימנות </w:t>
      </w:r>
      <w:r w:rsidRPr="00FF4CB7">
        <w:rPr>
          <w:rFonts w:ascii="Tahoma" w:hAnsi="Tahoma" w:cs="Tahoma" w:hint="cs"/>
          <w:sz w:val="18"/>
          <w:szCs w:val="18"/>
          <w:rtl/>
        </w:rPr>
        <w:t xml:space="preserve">של </w:t>
      </w:r>
      <w:r w:rsidRPr="00FF4CB7">
        <w:rPr>
          <w:rFonts w:ascii="Tahoma" w:hAnsi="Tahoma" w:cs="Tahoma"/>
          <w:sz w:val="18"/>
          <w:szCs w:val="18"/>
          <w:rtl/>
        </w:rPr>
        <w:t>עובדיה וספקיה היא קריטית גם בהיבטים ביטחוניים</w:t>
      </w:r>
      <w:r w:rsidRPr="00FF4CB7">
        <w:rPr>
          <w:rFonts w:ascii="Tahoma" w:hAnsi="Tahoma" w:cs="Tahoma" w:hint="cs"/>
          <w:sz w:val="18"/>
          <w:szCs w:val="18"/>
          <w:rtl/>
        </w:rPr>
        <w:t>,</w:t>
      </w:r>
      <w:r w:rsidRPr="00FF4CB7">
        <w:rPr>
          <w:rFonts w:ascii="Tahoma" w:hAnsi="Tahoma" w:cs="Tahoma"/>
          <w:sz w:val="18"/>
          <w:szCs w:val="18"/>
          <w:rtl/>
        </w:rPr>
        <w:t xml:space="preserve"> </w:t>
      </w:r>
      <w:r w:rsidRPr="00FF4CB7">
        <w:rPr>
          <w:rFonts w:ascii="Tahoma" w:hAnsi="Tahoma" w:cs="Tahoma" w:hint="cs"/>
          <w:sz w:val="18"/>
          <w:szCs w:val="18"/>
          <w:rtl/>
        </w:rPr>
        <w:t>וכן</w:t>
      </w:r>
      <w:r w:rsidRPr="00FF4CB7">
        <w:rPr>
          <w:rFonts w:ascii="Tahoma" w:hAnsi="Tahoma" w:cs="Tahoma"/>
          <w:sz w:val="18"/>
          <w:szCs w:val="18"/>
          <w:rtl/>
        </w:rPr>
        <w:t xml:space="preserve"> נוכח מספרם הרב (46) של התאגידים המוחזקים על ידה, פיזורם הגיאוגרפי הנרחב ושליטתה המוגבלת בחלק מהם. על מנת להבטיח את הטיפול המיטבי </w:t>
      </w:r>
      <w:r w:rsidRPr="00FF4CB7">
        <w:rPr>
          <w:rFonts w:ascii="Tahoma" w:hAnsi="Tahoma" w:cs="Tahoma" w:hint="eastAsia"/>
          <w:sz w:val="18"/>
          <w:szCs w:val="18"/>
          <w:rtl/>
        </w:rPr>
        <w:t>ב</w:t>
      </w:r>
      <w:r w:rsidRPr="00FF4CB7">
        <w:rPr>
          <w:rFonts w:ascii="Tahoma" w:hAnsi="Tahoma" w:cs="Tahoma"/>
          <w:sz w:val="18"/>
          <w:szCs w:val="18"/>
          <w:rtl/>
        </w:rPr>
        <w:t xml:space="preserve">מניעת אירועי מעילות והונאות, על </w:t>
      </w:r>
      <w:r w:rsidRPr="00FF4CB7">
        <w:rPr>
          <w:rFonts w:ascii="Tahoma" w:hAnsi="Tahoma" w:cs="Tahoma"/>
          <w:sz w:val="18"/>
          <w:szCs w:val="18"/>
          <w:rtl/>
        </w:rPr>
        <w:t>התע"א</w:t>
      </w:r>
      <w:r w:rsidRPr="00FF4CB7">
        <w:rPr>
          <w:rFonts w:ascii="Tahoma" w:hAnsi="Tahoma" w:cs="Tahoma"/>
          <w:sz w:val="18"/>
          <w:szCs w:val="18"/>
          <w:rtl/>
        </w:rPr>
        <w:t xml:space="preserve"> לפעול ל</w:t>
      </w:r>
      <w:r w:rsidRPr="00FF4CB7">
        <w:rPr>
          <w:rFonts w:ascii="Tahoma" w:hAnsi="Tahoma" w:cs="Tahoma" w:hint="cs"/>
          <w:sz w:val="18"/>
          <w:szCs w:val="18"/>
          <w:rtl/>
        </w:rPr>
        <w:t>שיפור</w:t>
      </w:r>
      <w:r w:rsidRPr="00FF4CB7">
        <w:rPr>
          <w:rFonts w:ascii="Tahoma" w:hAnsi="Tahoma" w:cs="Tahoma"/>
          <w:sz w:val="18"/>
          <w:szCs w:val="18"/>
          <w:rtl/>
        </w:rPr>
        <w:t xml:space="preserve"> הבקרות הנדרשות</w:t>
      </w:r>
      <w:r w:rsidRPr="00FF4CB7">
        <w:rPr>
          <w:rFonts w:ascii="Tahoma" w:hAnsi="Tahoma" w:cs="Tahoma" w:hint="cs"/>
          <w:sz w:val="18"/>
          <w:szCs w:val="18"/>
          <w:rtl/>
        </w:rPr>
        <w:t xml:space="preserve">, לרבות </w:t>
      </w:r>
      <w:r w:rsidRPr="00FF4CB7">
        <w:rPr>
          <w:rFonts w:ascii="Tahoma" w:hAnsi="Tahoma" w:cs="Tahoma" w:hint="eastAsia"/>
          <w:sz w:val="18"/>
          <w:szCs w:val="18"/>
          <w:rtl/>
        </w:rPr>
        <w:t>הבקרות</w:t>
      </w:r>
      <w:r w:rsidRPr="00FF4CB7">
        <w:rPr>
          <w:rFonts w:ascii="Tahoma" w:hAnsi="Tahoma" w:cs="Tahoma" w:hint="cs"/>
          <w:sz w:val="18"/>
          <w:szCs w:val="18"/>
          <w:rtl/>
        </w:rPr>
        <w:t xml:space="preserve"> על פעילותן של חברות בארץ ובחו"ל שבשליטתה,</w:t>
      </w:r>
      <w:r w:rsidRPr="00FF4CB7">
        <w:rPr>
          <w:rFonts w:ascii="Tahoma" w:hAnsi="Tahoma" w:cs="Tahoma"/>
          <w:sz w:val="18"/>
          <w:szCs w:val="18"/>
          <w:rtl/>
        </w:rPr>
        <w:t xml:space="preserve"> </w:t>
      </w:r>
      <w:r w:rsidRPr="00FF4CB7">
        <w:rPr>
          <w:rFonts w:ascii="Tahoma" w:hAnsi="Tahoma" w:cs="Tahoma" w:hint="cs"/>
          <w:sz w:val="18"/>
          <w:szCs w:val="18"/>
          <w:rtl/>
        </w:rPr>
        <w:t>בשים</w:t>
      </w:r>
      <w:r w:rsidRPr="00FF4CB7">
        <w:rPr>
          <w:rFonts w:ascii="Tahoma" w:hAnsi="Tahoma" w:cs="Tahoma"/>
          <w:sz w:val="18"/>
          <w:szCs w:val="18"/>
          <w:rtl/>
        </w:rPr>
        <w:t xml:space="preserve"> לב לממצאי דוח זה ולהמלצותיו</w:t>
      </w:r>
      <w:r>
        <w:rPr>
          <w:rFonts w:ascii="Tahoma" w:hAnsi="Tahoma" w:cs="Tahoma" w:hint="cs"/>
          <w:sz w:val="18"/>
          <w:szCs w:val="18"/>
          <w:rtl/>
        </w:rPr>
        <w:t>.</w:t>
      </w:r>
    </w:p>
    <w:p w:rsidR="00D57BE9" w:rsidP="004A6E79" w14:paraId="3D558F60" w14:textId="5FEFD126">
      <w:pPr>
        <w:pStyle w:val="7392"/>
        <w:rPr>
          <w:rtl/>
        </w:rPr>
      </w:pPr>
    </w:p>
    <w:sectPr w:rsidSect="004576B5">
      <w:headerReference w:type="default" r:id="rId29"/>
      <w:pgSz w:w="11906" w:h="16838" w:code="9"/>
      <w:pgMar w:top="3062" w:right="2268" w:bottom="2552" w:left="2268" w:header="1134" w:footer="1361" w:gutter="0"/>
      <w:pgNumType w:start="6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4141A" w14:paraId="34005A99" w14:textId="77777777">
      <w:pPr>
        <w:spacing w:line="240" w:lineRule="auto"/>
      </w:pPr>
      <w:r>
        <w:separator/>
      </w:r>
    </w:p>
    <w:p w:rsidR="00F4141A" w14:paraId="0CA06F76" w14:textId="77777777"/>
    <w:p w:rsidR="00F4141A" w14:paraId="01E0A71C" w14:textId="77777777"/>
    <w:p w:rsidR="00F4141A" w14:paraId="22779B37" w14:textId="77777777"/>
  </w:endnote>
  <w:endnote w:type="continuationSeparator" w:id="1">
    <w:p w:rsidR="00F4141A" w14:paraId="122216CD" w14:textId="77777777">
      <w:pPr>
        <w:spacing w:line="240" w:lineRule="auto"/>
      </w:pPr>
      <w:r>
        <w:continuationSeparator/>
      </w:r>
    </w:p>
    <w:p w:rsidR="00F4141A" w14:paraId="40D163BB" w14:textId="77777777"/>
    <w:p w:rsidR="00F4141A" w14:paraId="3BEBCBAF" w14:textId="77777777"/>
    <w:p w:rsidR="00F4141A" w14:paraId="5FF1CE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141A" w:rsidP="00E7235E" w14:paraId="5C194B2F" w14:textId="77777777">
      <w:pPr>
        <w:spacing w:line="240" w:lineRule="auto"/>
      </w:pPr>
      <w:r>
        <w:separator/>
      </w:r>
    </w:p>
  </w:footnote>
  <w:footnote w:type="continuationSeparator" w:id="1">
    <w:p w:rsidR="00F4141A" w:rsidP="00C23CC9" w14:paraId="5A033112" w14:textId="77777777">
      <w:pPr>
        <w:spacing w:line="240" w:lineRule="auto"/>
      </w:pPr>
      <w:r>
        <w:continuationSeparator/>
      </w:r>
    </w:p>
    <w:p w:rsidR="00F4141A" w14:paraId="477E6345" w14:textId="77777777"/>
    <w:p w:rsidR="00F4141A" w14:paraId="56B31ED7" w14:textId="77777777"/>
    <w:p w:rsidR="00F4141A" w14:paraId="30B2F09A" w14:textId="77777777"/>
  </w:footnote>
  <w:footnote w:id="2">
    <w:p w:rsidR="00A0642E" w:rsidRPr="00A0642E" w:rsidP="00A0642E" w14:paraId="39CFECFA" w14:textId="77777777">
      <w:pPr>
        <w:pStyle w:val="733"/>
      </w:pPr>
      <w:r w:rsidRPr="00A0642E">
        <w:rPr>
          <w:rStyle w:val="FootnoteReference2"/>
          <w:vertAlign w:val="baseline"/>
        </w:rPr>
        <w:footnoteRef/>
      </w:r>
      <w:r w:rsidRPr="00A0642E">
        <w:rPr>
          <w:rtl/>
        </w:rPr>
        <w:t xml:space="preserve"> </w:t>
      </w:r>
      <w:r w:rsidRPr="00A0642E">
        <w:rPr>
          <w:rtl/>
        </w:rPr>
        <w:tab/>
      </w:r>
      <w:r w:rsidRPr="00A0642E">
        <w:rPr>
          <w:rFonts w:hint="cs"/>
          <w:rtl/>
        </w:rPr>
        <w:t>א</w:t>
      </w:r>
      <w:r w:rsidRPr="00A0642E">
        <w:rPr>
          <w:rtl/>
        </w:rPr>
        <w:t xml:space="preserve">יגוד חוקרי ההונאות והמעילות הבין-לאומי </w:t>
      </w:r>
      <w:r w:rsidRPr="00A0642E">
        <w:rPr>
          <w:rFonts w:hint="cs"/>
          <w:rtl/>
        </w:rPr>
        <w:t>-</w:t>
      </w:r>
      <w:r w:rsidRPr="00A0642E">
        <w:t xml:space="preserve">ACFE </w:t>
      </w:r>
      <w:r w:rsidRPr="00A0642E">
        <w:rPr>
          <w:rFonts w:hint="cs"/>
          <w:rtl/>
        </w:rPr>
        <w:t xml:space="preserve"> - </w:t>
      </w:r>
      <w:r w:rsidRPr="00A0642E">
        <w:t xml:space="preserve"> .Association of Certified Fraud Examiners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60C681CD">
                          <w:pPr>
                            <w:pStyle w:val="Heading1"/>
                            <w:spacing w:line="269" w:lineRule="auto"/>
                            <w:jc w:val="left"/>
                            <w:rPr>
                              <w:rFonts w:ascii="Tahoma" w:hAnsi="Tahoma" w:eastAsiaTheme="minorHAnsi" w:cs="Tahoma"/>
                              <w:bCs w:val="0"/>
                              <w:color w:val="0D0D0D" w:themeColor="text1" w:themeTint="F2"/>
                              <w:sz w:val="16"/>
                              <w:szCs w:val="16"/>
                              <w:u w:val="none"/>
                            </w:rPr>
                          </w:pPr>
                          <w:r w:rsidRPr="00385AA9">
                            <w:rPr>
                              <w:rFonts w:ascii="Tahoma" w:hAnsi="Tahoma" w:eastAsiaTheme="minorHAnsi" w:cs="Tahoma"/>
                              <w:bCs w:val="0"/>
                              <w:color w:val="0D0D0D" w:themeColor="text1" w:themeTint="F2"/>
                              <w:sz w:val="16"/>
                              <w:szCs w:val="16"/>
                              <w:u w:val="none"/>
                              <w:rtl/>
                            </w:rPr>
                            <w:t>מניעת מעילות והונאות בתעשייה האווירית לישראל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60C681CD">
                    <w:pPr>
                      <w:pStyle w:val="Heading1"/>
                      <w:spacing w:line="269" w:lineRule="auto"/>
                      <w:jc w:val="left"/>
                      <w:rPr>
                        <w:rFonts w:ascii="Tahoma" w:hAnsi="Tahoma" w:eastAsiaTheme="minorHAnsi" w:cs="Tahoma"/>
                        <w:bCs w:val="0"/>
                        <w:color w:val="0D0D0D" w:themeColor="text1" w:themeTint="F2"/>
                        <w:sz w:val="16"/>
                        <w:szCs w:val="16"/>
                        <w:u w:val="none"/>
                      </w:rPr>
                    </w:pPr>
                    <w:r w:rsidRPr="00385AA9">
                      <w:rPr>
                        <w:rFonts w:ascii="Tahoma" w:hAnsi="Tahoma" w:eastAsiaTheme="minorHAnsi" w:cs="Tahoma"/>
                        <w:bCs w:val="0"/>
                        <w:color w:val="0D0D0D" w:themeColor="text1" w:themeTint="F2"/>
                        <w:sz w:val="16"/>
                        <w:szCs w:val="16"/>
                        <w:u w:val="none"/>
                        <w:rtl/>
                      </w:rPr>
                      <w:t>מניעת מעילות והונאות בתעשייה האווירית לישראל בע"מ</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385AA9" w14:textId="54E37BD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2D35EA">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385AA9" w:rsidR="00385AA9">
                            <w:rPr>
                              <w:rFonts w:ascii="Tahoma" w:hAnsi="Tahoma" w:cs="Tahoma"/>
                              <w:b/>
                              <w:bCs/>
                              <w:rtl/>
                            </w:rPr>
                            <w:t>מניעת מעילות והונאות בתעשייה האווירית לישראל בע"מ</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385AA9" w14:paraId="3B4CCAD6" w14:textId="54E37BD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2D35EA">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385AA9" w:rsidR="00385AA9">
                      <w:rPr>
                        <w:rFonts w:ascii="Tahoma" w:hAnsi="Tahoma" w:cs="Tahoma"/>
                        <w:b/>
                        <w:bCs/>
                        <w:rtl/>
                      </w:rPr>
                      <w:t>מניעת מעילות והונאות בתעשייה האווירית לישראל בע"מ</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081AC9BB">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5EA"/>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487"/>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486"/>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553"/>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AA9"/>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6B5"/>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5E9"/>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348"/>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0FE1"/>
    <w:rsid w:val="00601269"/>
    <w:rsid w:val="00601459"/>
    <w:rsid w:val="006016CA"/>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1AC"/>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30D"/>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6B20"/>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42E"/>
    <w:rsid w:val="00A068D9"/>
    <w:rsid w:val="00A06EB9"/>
    <w:rsid w:val="00A1016F"/>
    <w:rsid w:val="00A105AE"/>
    <w:rsid w:val="00A10848"/>
    <w:rsid w:val="00A10996"/>
    <w:rsid w:val="00A10B74"/>
    <w:rsid w:val="00A10C18"/>
    <w:rsid w:val="00A10EC9"/>
    <w:rsid w:val="00A112D6"/>
    <w:rsid w:val="00A11864"/>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3E9E"/>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4A54"/>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855"/>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4AF"/>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07A0"/>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24E"/>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5FD"/>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41A"/>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33"/>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4CB7"/>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1_0,Footnote Reference_2,Footnote Reference_3,Footnote Reference_4,Footnote Reference_4_0,fr,מ"/>
    <w:basedOn w:val="DefaultParagraphFont"/>
    <w:uiPriority w:val="99"/>
    <w:unhideWhenUsed/>
    <w:rsid w:val="00A06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jpeg" /><Relationship Id="rId27" Type="http://schemas.openxmlformats.org/officeDocument/2006/relationships/image" Target="media/image13.jpeg" /><Relationship Id="rId28" Type="http://schemas.openxmlformats.org/officeDocument/2006/relationships/image" Target="media/image14.pn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EDF4C3-5251-4C47-A501-BA86D47F6A5B}"/>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65</TotalTime>
  <Pages>12</Pages>
  <Words>2726</Words>
  <Characters>13633</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13</cp:revision>
  <cp:lastPrinted>2023-07-16T07:57:00Z</cp:lastPrinted>
  <dcterms:created xsi:type="dcterms:W3CDTF">2024-05-02T10:07:00Z</dcterms:created>
  <dcterms:modified xsi:type="dcterms:W3CDTF">2024-05-15T21:20:00Z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