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96877F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3063620</wp:posOffset>
                </wp:positionH>
                <wp:positionV relativeFrom="paragraph">
                  <wp:posOffset>261645</wp:posOffset>
                </wp:positionV>
                <wp:extent cx="0" cy="4665600"/>
                <wp:effectExtent l="25400" t="0" r="25400" b="3365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6656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25pt,20.6pt" to="241.25pt,387.95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595D1A91">
                            <w:pPr>
                              <w:pStyle w:val="a33"/>
                              <w:bidi/>
                              <w:rPr>
                                <w:rtl/>
                              </w:rPr>
                            </w:pPr>
                            <w:r>
                              <w:rPr>
                                <w:rFonts w:hint="cs"/>
                                <w:rtl/>
                              </w:rPr>
                              <w:t xml:space="preserve">דוח </w:t>
                            </w:r>
                            <w:r w:rsidRPr="0052031E">
                              <w:rPr>
                                <w:rtl/>
                              </w:rPr>
                              <w:t>מבקר המדינה</w:t>
                            </w:r>
                            <w:r w:rsidR="00732E73">
                              <w:rPr>
                                <w:rFonts w:hint="cs"/>
                                <w:rtl/>
                              </w:rPr>
                              <w:t xml:space="preserve"> |</w:t>
                            </w:r>
                            <w:r>
                              <w:rPr>
                                <w:rFonts w:hint="cs"/>
                                <w:rtl/>
                              </w:rPr>
                              <w:t xml:space="preserve"> </w:t>
                            </w:r>
                            <w:r w:rsidR="00CA1FD6">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7CE3A6AF">
                            <w:pPr>
                              <w:pStyle w:val="-1"/>
                              <w:rPr>
                                <w:rtl/>
                              </w:rPr>
                            </w:pPr>
                            <w:r>
                              <w:rPr>
                                <w:rFonts w:hint="cs"/>
                                <w:rtl/>
                              </w:rPr>
                              <w:t>מקבץ דוחות בנושא הקורונה</w:t>
                            </w:r>
                          </w:p>
                          <w:p w:rsidR="00F73EE0" w:rsidRPr="000F5023" w:rsidP="0072357A" w14:textId="032ECF44">
                            <w:pPr>
                              <w:pStyle w:val="a32"/>
                              <w:bidi/>
                              <w:spacing w:before="120"/>
                              <w:rPr>
                                <w:rtl/>
                              </w:rPr>
                            </w:pPr>
                            <w:r w:rsidRPr="008A7100">
                              <w:rPr>
                                <w:rtl/>
                              </w:rPr>
                              <w:t>הפעלת מערך בדיקות האנטיגן המוסדיות והכר</w:t>
                            </w:r>
                            <w:r w:rsidR="009B2D88">
                              <w:rPr>
                                <w:rFonts w:hint="cs"/>
                                <w:rtl/>
                              </w:rPr>
                              <w:t>ה בהן</w:t>
                            </w:r>
                            <w:r w:rsidRPr="008A7100">
                              <w:rPr>
                                <w:rtl/>
                              </w:rPr>
                              <w:t xml:space="preserve"> כבדיקות מאבחנות לנגיף הקורונה </w:t>
                            </w:r>
                            <w:r w:rsidR="00147605">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595D1A91">
                      <w:pPr>
                        <w:pStyle w:val="a33"/>
                        <w:bidi/>
                        <w:rPr>
                          <w:rtl/>
                        </w:rPr>
                      </w:pPr>
                      <w:r>
                        <w:rPr>
                          <w:rFonts w:hint="cs"/>
                          <w:rtl/>
                        </w:rPr>
                        <w:t xml:space="preserve">דוח </w:t>
                      </w:r>
                      <w:r w:rsidRPr="0052031E">
                        <w:rPr>
                          <w:rtl/>
                        </w:rPr>
                        <w:t>מבקר המדינה</w:t>
                      </w:r>
                      <w:r w:rsidR="00732E73">
                        <w:rPr>
                          <w:rFonts w:hint="cs"/>
                          <w:rtl/>
                        </w:rPr>
                        <w:t xml:space="preserve"> |</w:t>
                      </w:r>
                      <w:r>
                        <w:rPr>
                          <w:rFonts w:hint="cs"/>
                          <w:rtl/>
                        </w:rPr>
                        <w:t xml:space="preserve"> </w:t>
                      </w:r>
                      <w:r w:rsidR="00CA1FD6">
                        <w:rPr>
                          <w:rFonts w:hint="cs"/>
                          <w:rtl/>
                        </w:rPr>
                        <w:t>אייר</w:t>
                      </w:r>
                      <w:r w:rsidRPr="00AF3B73" w:rsidR="00AF3B73">
                        <w:rPr>
                          <w:rtl/>
                        </w:rPr>
                        <w:t xml:space="preserve"> </w:t>
                      </w:r>
                      <w:r w:rsidRPr="00AF3B73" w:rsidR="00AF3B73">
                        <w:rPr>
                          <w:rtl/>
                        </w:rPr>
                        <w:t>התשפ"ד</w:t>
                      </w:r>
                      <w:r w:rsidR="00AF3B73">
                        <w:rPr>
                          <w:rFonts w:hint="cs"/>
                          <w:rtl/>
                        </w:rPr>
                        <w:t xml:space="preserve"> </w:t>
                      </w:r>
                      <w:r w:rsidRPr="0052031E">
                        <w:rPr>
                          <w:rtl/>
                        </w:rPr>
                        <w:t>|</w:t>
                      </w:r>
                      <w:r>
                        <w:rPr>
                          <w:rFonts w:hint="cs"/>
                          <w:rtl/>
                        </w:rPr>
                        <w:t xml:space="preserve"> </w:t>
                      </w:r>
                      <w:r w:rsidR="00AE7EA4">
                        <w:rPr>
                          <w:rFonts w:hint="cs"/>
                          <w:rtl/>
                        </w:rPr>
                        <w:t>מאי</w:t>
                      </w:r>
                      <w:r>
                        <w:rPr>
                          <w:rFonts w:hint="cs"/>
                          <w:rtl/>
                        </w:rPr>
                        <w:t xml:space="preserve">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7CE3A6AF">
                      <w:pPr>
                        <w:pStyle w:val="-1"/>
                        <w:rPr>
                          <w:rtl/>
                        </w:rPr>
                      </w:pPr>
                      <w:r>
                        <w:rPr>
                          <w:rFonts w:hint="cs"/>
                          <w:rtl/>
                        </w:rPr>
                        <w:t>מקבץ דוחות בנושא הקורונה</w:t>
                      </w:r>
                    </w:p>
                    <w:p w:rsidR="00F73EE0" w:rsidRPr="000F5023" w:rsidP="0072357A" w14:paraId="5464BE8D" w14:textId="032ECF44">
                      <w:pPr>
                        <w:pStyle w:val="a32"/>
                        <w:bidi/>
                        <w:spacing w:before="120"/>
                        <w:rPr>
                          <w:rtl/>
                        </w:rPr>
                      </w:pPr>
                      <w:r w:rsidRPr="008A7100">
                        <w:rPr>
                          <w:rtl/>
                        </w:rPr>
                        <w:t>הפעלת מערך בדיקות האנטיגן המוסדיות והכר</w:t>
                      </w:r>
                      <w:r w:rsidR="009B2D88">
                        <w:rPr>
                          <w:rFonts w:hint="cs"/>
                          <w:rtl/>
                        </w:rPr>
                        <w:t>ה בהן</w:t>
                      </w:r>
                      <w:r w:rsidRPr="008A7100">
                        <w:rPr>
                          <w:rtl/>
                        </w:rPr>
                        <w:t xml:space="preserve"> כבדיקות מאבחנות לנגיף הקורונה </w:t>
                      </w:r>
                      <w:r w:rsidR="00147605">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80B9B5E">
      <w:pPr>
        <w:spacing w:line="240" w:lineRule="atLeast"/>
        <w:jc w:val="left"/>
        <w:rPr>
          <w:rFonts w:ascii="Tahoma" w:hAnsi="Tahoma" w:cs="Tahoma"/>
          <w:sz w:val="22"/>
          <w:szCs w:val="22"/>
          <w:rtl/>
        </w:rPr>
      </w:pPr>
      <w:r>
        <w:rPr>
          <w:rFonts w:ascii="Tahoma" w:hAnsi="Tahoma" w:cs="Tahoma"/>
          <w:noProof/>
          <w:sz w:val="18"/>
          <w:szCs w:val="18"/>
          <w:rtl/>
          <w:lang w:val="he-IL"/>
        </w:rPr>
        <mc:AlternateContent>
          <mc:Choice Requires="wps">
            <w:drawing>
              <wp:anchor distT="0" distB="0" distL="114300" distR="114300" simplePos="0" relativeHeight="251700224" behindDoc="0" locked="0" layoutInCell="1" allowOverlap="1">
                <wp:simplePos x="0" y="0"/>
                <wp:positionH relativeFrom="column">
                  <wp:posOffset>4697161</wp:posOffset>
                </wp:positionH>
                <wp:positionV relativeFrom="paragraph">
                  <wp:posOffset>7668026</wp:posOffset>
                </wp:positionV>
                <wp:extent cx="553453" cy="417095"/>
                <wp:effectExtent l="0" t="0" r="18415" b="15240"/>
                <wp:wrapNone/>
                <wp:docPr id="27079882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553453" cy="41709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2" style="width:43.6pt;height:32.85pt;margin-top:603.8pt;margin-left:369.85pt;mso-wrap-distance-bottom:0;mso-wrap-distance-left:9pt;mso-wrap-distance-right:9pt;mso-wrap-distance-top:0;mso-wrap-style:square;position:absolute;visibility:visible;v-text-anchor:middle;z-index:251701248" fillcolor="white" strokecolor="white"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375190C0">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-654117</wp:posOffset>
                </wp:positionH>
                <wp:positionV relativeFrom="paragraph">
                  <wp:posOffset>12766</wp:posOffset>
                </wp:positionV>
                <wp:extent cx="194310" cy="6192252"/>
                <wp:effectExtent l="0" t="0" r="0" b="5715"/>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6192252"/>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87.6pt;margin-top:1pt;margin-left:-51.5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FE3A0B">
        <w:rPr>
          <w:noProof/>
          <w:rtl/>
        </w:rPr>
        <w:drawing>
          <wp:anchor distT="0" distB="0" distL="114300" distR="114300" simplePos="0" relativeHeight="251681792" behindDoc="0" locked="0" layoutInCell="1" allowOverlap="1">
            <wp:simplePos x="0" y="0"/>
            <wp:positionH relativeFrom="column">
              <wp:posOffset>3308751</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A7100" w:rsidR="008A7100">
        <w:rPr>
          <w:noProof/>
          <w:rtl/>
        </w:rPr>
        <w:t>הפעלת מערך בדיקות האנטיגן המוסדיות והכר</w:t>
      </w:r>
      <w:r w:rsidR="009B2D88">
        <w:rPr>
          <w:rFonts w:hint="cs"/>
          <w:noProof/>
          <w:rtl/>
        </w:rPr>
        <w:t>ה בה</w:t>
      </w:r>
      <w:r w:rsidRPr="008A7100" w:rsidR="008A7100">
        <w:rPr>
          <w:noProof/>
          <w:rtl/>
        </w:rPr>
        <w:t xml:space="preserve">ן כבדיקות מאבחנות לנגיף הקורונה </w:t>
      </w:r>
    </w:p>
    <w:p w:rsidR="002656E1" w:rsidRPr="00442734" w:rsidP="002656E1" w14:paraId="126F347A" w14:textId="77777777">
      <w:pPr>
        <w:pStyle w:val="7392"/>
        <w:spacing w:before="840"/>
        <w:rPr>
          <w:rtl/>
        </w:rPr>
      </w:pPr>
      <w:bookmarkStart w:id="1" w:name="_Hlk153271930"/>
      <w:r w:rsidRPr="00442734">
        <w:rPr>
          <w:rtl/>
        </w:rPr>
        <w:t>הקמת מערך הבדיקות לאבחון ההידבקות בנגיף הקורונה והפעלתו היו מרכיב מרכזי בהתמודדות עם נגיף הקורונה ברחבי העולם ו</w:t>
      </w:r>
      <w:r w:rsidRPr="00442734">
        <w:rPr>
          <w:rFonts w:hint="cs"/>
          <w:rtl/>
        </w:rPr>
        <w:t>גם</w:t>
      </w:r>
      <w:r w:rsidRPr="00442734">
        <w:rPr>
          <w:rtl/>
        </w:rPr>
        <w:t xml:space="preserve"> בישראל, אם לטובת </w:t>
      </w:r>
      <w:bookmarkStart w:id="2" w:name="tempMark"/>
      <w:bookmarkEnd w:id="2"/>
      <w:r w:rsidRPr="00442734">
        <w:rPr>
          <w:rtl/>
        </w:rPr>
        <w:t>הטיפול בחולים ואם לטובת מניע</w:t>
      </w:r>
      <w:r w:rsidRPr="00442734">
        <w:rPr>
          <w:rFonts w:hint="cs"/>
          <w:rtl/>
        </w:rPr>
        <w:t>ת</w:t>
      </w:r>
      <w:r w:rsidRPr="00442734">
        <w:rPr>
          <w:rtl/>
        </w:rPr>
        <w:t xml:space="preserve"> </w:t>
      </w:r>
      <w:r w:rsidRPr="00442734">
        <w:rPr>
          <w:rFonts w:hint="cs"/>
          <w:rtl/>
        </w:rPr>
        <w:t>ה</w:t>
      </w:r>
      <w:r w:rsidRPr="00442734">
        <w:rPr>
          <w:rtl/>
        </w:rPr>
        <w:t>פגיעה בכלכלה</w:t>
      </w:r>
      <w:bookmarkEnd w:id="1"/>
      <w:r w:rsidRPr="00442734">
        <w:rPr>
          <w:rtl/>
        </w:rPr>
        <w:t xml:space="preserve">. </w:t>
      </w:r>
      <w:r w:rsidRPr="00442734">
        <w:rPr>
          <w:rFonts w:hint="cs"/>
          <w:rtl/>
        </w:rPr>
        <w:t>ה</w:t>
      </w:r>
      <w:r w:rsidRPr="00442734">
        <w:rPr>
          <w:rtl/>
        </w:rPr>
        <w:t xml:space="preserve">בדיקה לאבחון קורונה כוללת לקיחת דגימה מהנבדק, ולאחריה בחינת הדגימה. לפרק הזמן שעובר עד לקבלת תוצאות הבדיקה יש השפעה על האפשרות לקטיעת שרשרת ההדבקה ולמיגור המגפה. בישראל, בראשית מגפת הקורונה, מסוף פברואר 2020, בדיקת </w:t>
      </w:r>
      <w:r w:rsidRPr="00442734">
        <w:t>PCR</w:t>
      </w:r>
      <w:r w:rsidRPr="00442734">
        <w:rPr>
          <w:rtl/>
        </w:rPr>
        <w:t xml:space="preserve"> </w:t>
      </w:r>
      <w:r w:rsidRPr="00442734">
        <w:t>(Polymerase Chain Reaction)</w:t>
      </w:r>
      <w:r w:rsidRPr="00442734">
        <w:rPr>
          <w:rtl/>
        </w:rPr>
        <w:t xml:space="preserve"> הייתה הבדיקה המרכזית לאבחון קורונה. הקיבולת המרבית היומית לביצוע בדיקות </w:t>
      </w:r>
      <w:r w:rsidRPr="00442734">
        <w:t>PCR</w:t>
      </w:r>
      <w:r w:rsidRPr="00442734">
        <w:rPr>
          <w:rtl/>
        </w:rPr>
        <w:t xml:space="preserve"> בישראל החל </w:t>
      </w:r>
      <w:r w:rsidRPr="00442734">
        <w:rPr>
          <w:rFonts w:hint="cs"/>
          <w:rtl/>
        </w:rPr>
        <w:t>ב</w:t>
      </w:r>
      <w:r w:rsidRPr="00442734">
        <w:rPr>
          <w:rtl/>
        </w:rPr>
        <w:t xml:space="preserve">רבעון השני של 2021 הייתה 200,000 בדיקות; הקיבולת היא בהתאם ליכולת המרבית של המעבדות הקיימות בארץ לביצוע הבדיקות, ובפרט </w:t>
      </w:r>
      <w:r w:rsidRPr="00442734">
        <w:rPr>
          <w:rFonts w:hint="cs"/>
          <w:rtl/>
        </w:rPr>
        <w:t>ל</w:t>
      </w:r>
      <w:r w:rsidRPr="00442734">
        <w:rPr>
          <w:rtl/>
        </w:rPr>
        <w:t>יכולתן לתת מענה לנבדק בטווח זמן של עד 48 שעות מלקיחת הדגימה.</w:t>
      </w:r>
    </w:p>
    <w:p w:rsidR="002656E1" w:rsidRPr="00442734" w:rsidP="002656E1" w14:paraId="4F3CDF7F" w14:textId="77777777">
      <w:pPr>
        <w:pStyle w:val="7392"/>
        <w:rPr>
          <w:rtl/>
        </w:rPr>
      </w:pPr>
      <w:r w:rsidRPr="00442734">
        <w:rPr>
          <w:rtl/>
        </w:rPr>
        <w:t xml:space="preserve">לאורך גלי הקורונה היה שימוש הולך וגובר בבדיקות </w:t>
      </w:r>
      <w:r w:rsidRPr="00442734">
        <w:t>PCR</w:t>
      </w:r>
      <w:r w:rsidRPr="00442734">
        <w:rPr>
          <w:rFonts w:hint="cs"/>
          <w:rtl/>
        </w:rPr>
        <w:t>,</w:t>
      </w:r>
      <w:r w:rsidRPr="00442734">
        <w:rPr>
          <w:rtl/>
        </w:rPr>
        <w:t xml:space="preserve"> ובספטמבר 2021, במהלך הגל הרביעי (גל הדלתא), היה מספר בדיקות ה-</w:t>
      </w:r>
      <w:r w:rsidRPr="00442734">
        <w:t>PCR</w:t>
      </w:r>
      <w:r w:rsidRPr="00442734">
        <w:rPr>
          <w:rtl/>
        </w:rPr>
        <w:t xml:space="preserve"> היומי הגבוה ביותר ועמד על כ-229,000 בדיקות. בהמשך, קצב התפשטות הגל החמישי בחודשים דצמבר 2021-ינואר 2022 (גל האומיקרון</w:t>
      </w:r>
      <w:r>
        <w:rPr>
          <w:vertAlign w:val="superscript"/>
          <w:rtl/>
        </w:rPr>
        <w:footnoteReference w:id="2"/>
      </w:r>
      <w:r w:rsidRPr="00442734">
        <w:rPr>
          <w:rtl/>
        </w:rPr>
        <w:t>) היה מהיר ביחס לגלי הקורונה הקודמים</w:t>
      </w:r>
      <w:r w:rsidRPr="00442734">
        <w:rPr>
          <w:rFonts w:hint="cs"/>
          <w:rtl/>
        </w:rPr>
        <w:t>:</w:t>
      </w:r>
      <w:r w:rsidRPr="00442734">
        <w:rPr>
          <w:rtl/>
        </w:rPr>
        <w:t xml:space="preserve"> מספר המאומתים היומי המרבי בגל האומיקרון היה 85,283 לעומת 11,343 בגל הדלתא. כדי לאפשר את קטיעת שרשרת ההדבקה ואת החזרה לשגרה נדרש היה שיופעל מערך לביצוע בדיקות קורונה שייתן מענה זמין לכל מי שנדרש להיבדק</w:t>
      </w:r>
      <w:r w:rsidRPr="00442734">
        <w:rPr>
          <w:rFonts w:hint="cs"/>
          <w:rtl/>
        </w:rPr>
        <w:t>,</w:t>
      </w:r>
      <w:r w:rsidRPr="00442734">
        <w:rPr>
          <w:rtl/>
        </w:rPr>
        <w:t xml:space="preserve"> </w:t>
      </w:r>
      <w:r w:rsidRPr="00442734">
        <w:rPr>
          <w:rFonts w:hint="cs"/>
          <w:rtl/>
        </w:rPr>
        <w:t>וש</w:t>
      </w:r>
      <w:r w:rsidRPr="00442734">
        <w:rPr>
          <w:rtl/>
        </w:rPr>
        <w:t>גודל</w:t>
      </w:r>
      <w:r w:rsidRPr="00442734">
        <w:rPr>
          <w:rFonts w:hint="cs"/>
          <w:rtl/>
        </w:rPr>
        <w:t>ו</w:t>
      </w:r>
      <w:r w:rsidRPr="00442734">
        <w:rPr>
          <w:rtl/>
        </w:rPr>
        <w:t xml:space="preserve"> </w:t>
      </w:r>
      <w:r w:rsidRPr="00442734">
        <w:rPr>
          <w:rFonts w:hint="cs"/>
          <w:rtl/>
        </w:rPr>
        <w:t>יהיה</w:t>
      </w:r>
      <w:r w:rsidRPr="00442734">
        <w:rPr>
          <w:rtl/>
        </w:rPr>
        <w:t xml:space="preserve"> תלוי במספר הנבדקים היומי הצפוי להתפתח במהלך המגפה.</w:t>
      </w:r>
    </w:p>
    <w:p w:rsidR="007F4A20" w:rsidRPr="00F16A67" w:rsidP="002656E1" w14:paraId="0B41EED6" w14:textId="6D56E74C">
      <w:pPr>
        <w:pStyle w:val="7392"/>
        <w:rPr>
          <w:rtl/>
        </w:rPr>
      </w:pPr>
      <w:r w:rsidRPr="00442734">
        <w:rPr>
          <w:rtl/>
        </w:rPr>
        <w:t>בהתאם לכך, החל ב-30.12.21 אישר משרד הבריאות את השימוש בבדיקות האנטיגן המוסדיות כבדיקות לאבחון קורונה, באמצעות ספקים שהפעיל המשרד</w:t>
      </w:r>
      <w:r>
        <w:rPr>
          <w:vertAlign w:val="superscript"/>
          <w:rtl/>
        </w:rPr>
        <w:footnoteReference w:id="3"/>
      </w:r>
      <w:r w:rsidRPr="00442734">
        <w:rPr>
          <w:rtl/>
        </w:rPr>
        <w:t xml:space="preserve">. לבדיקת האנטיגן יש יתרונות הן בשל התגובה המהירה שננקטת במקרה של זיהוי חיובי - תוצאות הבדיקה מתקבלות </w:t>
      </w:r>
      <w:r w:rsidRPr="00442734">
        <w:rPr>
          <w:rFonts w:hint="cs"/>
          <w:rtl/>
        </w:rPr>
        <w:t>ב</w:t>
      </w:r>
      <w:r w:rsidRPr="00442734">
        <w:rPr>
          <w:rtl/>
        </w:rPr>
        <w:t xml:space="preserve">תוך כרבע שעה וכך ניתן לצמצם את מגעי הנבדק שנכנס לבידוד </w:t>
      </w:r>
      <w:r w:rsidRPr="00442734">
        <w:rPr>
          <w:rtl/>
        </w:rPr>
        <w:t>מיידי</w:t>
      </w:r>
      <w:r w:rsidRPr="00442734">
        <w:rPr>
          <w:rtl/>
        </w:rPr>
        <w:t xml:space="preserve">; והן בשל היבטים כלכליים - אין צורך בשירותי מעבדה לשם פיענוח הבדיקות, </w:t>
      </w:r>
      <w:r w:rsidRPr="00442734">
        <w:rPr>
          <w:rFonts w:hint="cs"/>
          <w:rtl/>
        </w:rPr>
        <w:t>ו</w:t>
      </w:r>
      <w:r w:rsidRPr="00442734">
        <w:rPr>
          <w:rtl/>
        </w:rPr>
        <w:t xml:space="preserve">כך נחסך הצורך בשינוע; עלות בדיקת </w:t>
      </w:r>
      <w:r w:rsidRPr="00442734">
        <w:rPr>
          <w:rFonts w:hint="cs"/>
          <w:rtl/>
        </w:rPr>
        <w:t>ה</w:t>
      </w:r>
      <w:r w:rsidRPr="00442734">
        <w:rPr>
          <w:rtl/>
        </w:rPr>
        <w:t xml:space="preserve">אנטיגן זולה ביחס לבדיקת </w:t>
      </w:r>
      <w:r w:rsidRPr="00442734">
        <w:t>PCR</w:t>
      </w:r>
      <w:r w:rsidRPr="00442734">
        <w:rPr>
          <w:rtl/>
        </w:rPr>
        <w:t xml:space="preserve"> (כשליש ממחיר </w:t>
      </w:r>
      <w:r w:rsidRPr="00442734">
        <w:t>PCR</w:t>
      </w:r>
      <w:r w:rsidRPr="00442734">
        <w:rPr>
          <w:rtl/>
        </w:rPr>
        <w:t>). כמו כן, במרבית התקופה שבה מתרבה הווירוס בגוף, בדיקת האנטיגן אכן תזהה את המחלה.</w:t>
      </w:r>
      <w:r w:rsidRPr="00C84582">
        <w:rPr>
          <w:rtl/>
        </w:rPr>
        <w:t xml:space="preserve"> </w:t>
      </w:r>
      <w:r w:rsidRPr="00442734">
        <w:rPr>
          <w:rtl/>
        </w:rPr>
        <w:t xml:space="preserve">עם זאת, יצוין כי בדיקת </w:t>
      </w:r>
      <w:r w:rsidRPr="00442734">
        <w:t>PCR</w:t>
      </w:r>
      <w:r w:rsidRPr="00442734">
        <w:rPr>
          <w:rtl/>
        </w:rPr>
        <w:t xml:space="preserve"> היא בעלת רגישות אנליטית גבוהה יותר מזו של בדיקת האנטיגן, ו</w:t>
      </w:r>
      <w:r w:rsidRPr="00442734">
        <w:rPr>
          <w:rFonts w:hint="cs"/>
          <w:rtl/>
        </w:rPr>
        <w:t xml:space="preserve">היא </w:t>
      </w:r>
      <w:r w:rsidRPr="00442734">
        <w:rPr>
          <w:rtl/>
        </w:rPr>
        <w:t>מזהה את הנגיף גם כאשר העומס הנגיפי נמוך</w:t>
      </w:r>
      <w:r w:rsidRPr="00F16A67" w:rsidR="0036097F">
        <w:rPr>
          <w:rFonts w:hint="cs"/>
          <w:rtl/>
        </w:rPr>
        <w:t>.</w:t>
      </w:r>
      <w:r w:rsidRPr="00F16A67" w:rsidR="00B61DE7">
        <w:rPr>
          <w:rtl/>
        </w:rPr>
        <w:t xml:space="preserve"> </w:t>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9"/>
        <w:gridCol w:w="277"/>
        <w:gridCol w:w="1635"/>
        <w:gridCol w:w="277"/>
        <w:gridCol w:w="1632"/>
        <w:gridCol w:w="277"/>
        <w:gridCol w:w="1623"/>
      </w:tblGrid>
      <w:tr w14:paraId="58B4726B" w14:textId="77777777" w:rsidTr="002656E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19" w:type="pct"/>
            <w:tcBorders>
              <w:bottom w:val="single" w:sz="12" w:space="0" w:color="000000" w:themeColor="text1"/>
            </w:tcBorders>
            <w:vAlign w:val="bottom"/>
          </w:tcPr>
          <w:p w:rsidR="002656E1" w:rsidRPr="002656E1" w:rsidP="002656E1" w14:paraId="23EB689E" w14:textId="3AB17D21">
            <w:pPr>
              <w:spacing w:after="60" w:line="240" w:lineRule="auto"/>
              <w:jc w:val="left"/>
              <w:rPr>
                <w:rFonts w:ascii="Tahoma" w:hAnsi="Tahoma" w:cs="Tahoma"/>
                <w:b/>
                <w:bCs/>
                <w:spacing w:val="-28"/>
                <w:rtl/>
              </w:rPr>
            </w:pPr>
            <w:r w:rsidRPr="002656E1">
              <w:rPr>
                <w:rFonts w:ascii="Tahoma" w:hAnsi="Tahoma" w:eastAsiaTheme="minorEastAsia" w:cs="Tahoma"/>
                <w:b/>
                <w:bCs/>
                <w:color w:val="0D0D0D" w:themeColor="text1" w:themeTint="F2"/>
                <w:spacing w:val="-10"/>
                <w:sz w:val="36"/>
                <w:szCs w:val="36"/>
                <w:rtl/>
              </w:rPr>
              <w:t xml:space="preserve">200,000 </w:t>
            </w:r>
            <w:r w:rsidRPr="002656E1">
              <w:rPr>
                <w:rFonts w:ascii="Tahoma" w:hAnsi="Tahoma" w:eastAsiaTheme="minorEastAsia" w:cs="Tahoma"/>
                <w:b/>
                <w:bCs/>
                <w:color w:val="0D0D0D" w:themeColor="text1" w:themeTint="F2"/>
                <w:spacing w:val="-10"/>
                <w:sz w:val="26"/>
                <w:szCs w:val="26"/>
                <w:rtl/>
              </w:rPr>
              <w:t xml:space="preserve">בדיקות </w:t>
            </w:r>
            <w:r w:rsidRPr="002656E1">
              <w:rPr>
                <w:rFonts w:ascii="Tahoma" w:hAnsi="Tahoma" w:eastAsiaTheme="minorEastAsia" w:cs="Tahoma"/>
                <w:b/>
                <w:bCs/>
                <w:color w:val="0D0D0D" w:themeColor="text1" w:themeTint="F2"/>
                <w:spacing w:val="-10"/>
                <w:sz w:val="26"/>
                <w:szCs w:val="26"/>
              </w:rPr>
              <w:t>PCR</w:t>
            </w:r>
          </w:p>
        </w:tc>
        <w:tc>
          <w:tcPr>
            <w:tcW w:w="188" w:type="pct"/>
            <w:vAlign w:val="bottom"/>
          </w:tcPr>
          <w:p w:rsidR="002656E1" w:rsidRPr="002656E1" w:rsidP="002656E1" w14:paraId="19192EA5" w14:textId="77777777">
            <w:pPr>
              <w:spacing w:before="120" w:after="60" w:line="240" w:lineRule="auto"/>
              <w:jc w:val="left"/>
              <w:rPr>
                <w:rFonts w:ascii="Tahoma" w:hAnsi="Tahoma" w:cs="Tahoma"/>
                <w:b/>
                <w:bCs/>
                <w:rtl/>
              </w:rPr>
            </w:pPr>
          </w:p>
        </w:tc>
        <w:tc>
          <w:tcPr>
            <w:tcW w:w="1109" w:type="pct"/>
            <w:tcBorders>
              <w:bottom w:val="single" w:sz="12" w:space="0" w:color="000000" w:themeColor="text1"/>
            </w:tcBorders>
            <w:vAlign w:val="bottom"/>
          </w:tcPr>
          <w:p w:rsidR="002656E1" w:rsidRPr="002656E1" w:rsidP="002656E1" w14:paraId="761F4116" w14:textId="733EDF28">
            <w:pPr>
              <w:pStyle w:val="2021"/>
              <w:spacing w:before="0" w:after="60"/>
              <w:rPr>
                <w:spacing w:val="-10"/>
                <w:rtl/>
              </w:rPr>
            </w:pPr>
            <w:r w:rsidRPr="002656E1">
              <w:rPr>
                <w:spacing w:val="-10"/>
                <w:sz w:val="26"/>
                <w:szCs w:val="26"/>
                <w:rtl/>
              </w:rPr>
              <w:t>כ-</w:t>
            </w:r>
            <w:r w:rsidRPr="002656E1">
              <w:rPr>
                <w:spacing w:val="-10"/>
                <w:rtl/>
              </w:rPr>
              <w:t>173,000</w:t>
            </w:r>
            <w:r w:rsidRPr="002656E1">
              <w:rPr>
                <w:spacing w:val="-10"/>
                <w:rtl/>
              </w:rPr>
              <w:br/>
            </w:r>
            <w:r w:rsidRPr="002656E1">
              <w:rPr>
                <w:spacing w:val="-10"/>
                <w:sz w:val="26"/>
                <w:szCs w:val="26"/>
                <w:rtl/>
              </w:rPr>
              <w:t>בדיקות אנטיגן</w:t>
            </w:r>
          </w:p>
        </w:tc>
        <w:tc>
          <w:tcPr>
            <w:tcW w:w="188" w:type="pct"/>
            <w:vAlign w:val="bottom"/>
          </w:tcPr>
          <w:p w:rsidR="002656E1" w:rsidRPr="002656E1" w:rsidP="002656E1" w14:paraId="2810DE55" w14:textId="77777777">
            <w:pPr>
              <w:spacing w:before="120" w:after="60" w:line="240" w:lineRule="auto"/>
              <w:jc w:val="left"/>
              <w:rPr>
                <w:rFonts w:ascii="Tahoma" w:hAnsi="Tahoma" w:cs="Tahoma"/>
                <w:b/>
                <w:bCs/>
                <w:rtl/>
              </w:rPr>
            </w:pPr>
          </w:p>
        </w:tc>
        <w:tc>
          <w:tcPr>
            <w:tcW w:w="1107" w:type="pct"/>
            <w:tcBorders>
              <w:bottom w:val="single" w:sz="12" w:space="0" w:color="000000" w:themeColor="text1"/>
            </w:tcBorders>
            <w:vAlign w:val="bottom"/>
          </w:tcPr>
          <w:p w:rsidR="002656E1" w:rsidRPr="002656E1" w:rsidP="002656E1" w14:paraId="2A2E27BD" w14:textId="06A18AA4">
            <w:pPr>
              <w:pStyle w:val="2021"/>
              <w:spacing w:before="0" w:after="60"/>
              <w:rPr>
                <w:spacing w:val="-20"/>
                <w:sz w:val="24"/>
                <w:rtl/>
              </w:rPr>
            </w:pPr>
            <w:r w:rsidRPr="002656E1">
              <w:rPr>
                <w:spacing w:val="-10"/>
                <w:rtl/>
              </w:rPr>
              <w:t xml:space="preserve">245 </w:t>
            </w:r>
            <w:r w:rsidRPr="002656E1">
              <w:rPr>
                <w:spacing w:val="-10"/>
                <w:sz w:val="26"/>
                <w:szCs w:val="26"/>
                <w:rtl/>
              </w:rPr>
              <w:t>מיליון ש"ח</w:t>
            </w:r>
          </w:p>
        </w:tc>
        <w:tc>
          <w:tcPr>
            <w:tcW w:w="188" w:type="pct"/>
            <w:vAlign w:val="bottom"/>
          </w:tcPr>
          <w:p w:rsidR="002656E1" w:rsidRPr="002656E1" w:rsidP="002656E1" w14:paraId="47B754BA" w14:textId="77777777">
            <w:pPr>
              <w:pStyle w:val="2021"/>
              <w:spacing w:before="0" w:after="60"/>
              <w:rPr>
                <w:spacing w:val="-10"/>
                <w:rtl/>
              </w:rPr>
            </w:pPr>
          </w:p>
        </w:tc>
        <w:tc>
          <w:tcPr>
            <w:tcW w:w="1101" w:type="pct"/>
            <w:tcBorders>
              <w:bottom w:val="single" w:sz="12" w:space="0" w:color="000000" w:themeColor="text1"/>
            </w:tcBorders>
            <w:vAlign w:val="bottom"/>
          </w:tcPr>
          <w:p w:rsidR="002656E1" w:rsidRPr="002656E1" w:rsidP="002656E1" w14:paraId="5F3A3FF5" w14:textId="6C23438B">
            <w:pPr>
              <w:pStyle w:val="2021"/>
              <w:spacing w:before="0" w:after="60"/>
              <w:rPr>
                <w:spacing w:val="-10"/>
                <w:rtl/>
              </w:rPr>
            </w:pPr>
            <w:r w:rsidRPr="002656E1">
              <w:rPr>
                <w:spacing w:val="-10"/>
                <w:sz w:val="26"/>
                <w:szCs w:val="26"/>
                <w:rtl/>
              </w:rPr>
              <w:t>כ-</w:t>
            </w:r>
            <w:r w:rsidRPr="002656E1">
              <w:rPr>
                <w:spacing w:val="-10"/>
                <w:rtl/>
              </w:rPr>
              <w:t>78%</w:t>
            </w:r>
          </w:p>
        </w:tc>
      </w:tr>
      <w:tr w14:paraId="6DFAF81C" w14:textId="77777777" w:rsidTr="002656E1">
        <w:tblPrEx>
          <w:tblW w:w="5000" w:type="pct"/>
          <w:tblLook w:val="04A0"/>
        </w:tblPrEx>
        <w:tc>
          <w:tcPr>
            <w:tcW w:w="1119" w:type="pct"/>
            <w:tcBorders>
              <w:top w:val="single" w:sz="12" w:space="0" w:color="000000" w:themeColor="text1"/>
            </w:tcBorders>
          </w:tcPr>
          <w:p w:rsidR="002656E1" w:rsidRPr="00E52143" w:rsidP="00943F8F" w14:paraId="1D96599A" w14:textId="3522ECFD">
            <w:pPr>
              <w:pStyle w:val="732021"/>
              <w:spacing w:before="0" w:line="240" w:lineRule="auto"/>
              <w:rPr>
                <w:rtl/>
              </w:rPr>
            </w:pPr>
            <w:r w:rsidRPr="00442734">
              <w:rPr>
                <w:rtl/>
              </w:rPr>
              <w:t xml:space="preserve">הקיבולת היומית המרבית לבדיקות </w:t>
            </w:r>
            <w:r w:rsidRPr="00442734">
              <w:rPr>
                <w:rtl/>
              </w:rPr>
              <w:br/>
              <w:t>ה-</w:t>
            </w:r>
            <w:r w:rsidRPr="00442734">
              <w:t>PCR</w:t>
            </w:r>
            <w:r w:rsidRPr="00442734">
              <w:rPr>
                <w:rtl/>
              </w:rPr>
              <w:t xml:space="preserve"> בארץ החל </w:t>
            </w:r>
            <w:r w:rsidRPr="00442734">
              <w:rPr>
                <w:rFonts w:hint="cs"/>
                <w:rtl/>
              </w:rPr>
              <w:t>ב</w:t>
            </w:r>
            <w:r w:rsidRPr="00442734">
              <w:rPr>
                <w:rtl/>
              </w:rPr>
              <w:t>רבעון השני של</w:t>
            </w:r>
            <w:r w:rsidRPr="00442734">
              <w:rPr>
                <w:rFonts w:hint="cs"/>
                <w:rtl/>
              </w:rPr>
              <w:t xml:space="preserve"> שנת</w:t>
            </w:r>
            <w:r w:rsidRPr="00442734">
              <w:rPr>
                <w:rtl/>
              </w:rPr>
              <w:t xml:space="preserve"> 2021</w:t>
            </w:r>
          </w:p>
        </w:tc>
        <w:tc>
          <w:tcPr>
            <w:tcW w:w="188" w:type="pct"/>
          </w:tcPr>
          <w:p w:rsidR="002656E1" w:rsidRPr="00E52143" w:rsidP="00943F8F" w14:paraId="2BF81D8C" w14:textId="77777777">
            <w:pPr>
              <w:pStyle w:val="732021"/>
              <w:spacing w:before="0" w:line="240" w:lineRule="auto"/>
              <w:rPr>
                <w:rtl/>
              </w:rPr>
            </w:pPr>
          </w:p>
        </w:tc>
        <w:tc>
          <w:tcPr>
            <w:tcW w:w="1109" w:type="pct"/>
            <w:tcBorders>
              <w:top w:val="single" w:sz="12" w:space="0" w:color="000000" w:themeColor="text1"/>
            </w:tcBorders>
          </w:tcPr>
          <w:p w:rsidR="002656E1" w:rsidRPr="00E52143" w:rsidP="00943F8F" w14:paraId="68924AF7" w14:textId="176ADA7F">
            <w:pPr>
              <w:pStyle w:val="732021"/>
              <w:spacing w:before="0" w:line="240" w:lineRule="auto"/>
              <w:rPr>
                <w:rtl/>
              </w:rPr>
            </w:pPr>
            <w:r w:rsidRPr="00442734">
              <w:rPr>
                <w:rtl/>
              </w:rPr>
              <w:t xml:space="preserve">ממוצע בדיקות האנטיגן המוסדיות </w:t>
            </w:r>
            <w:r w:rsidRPr="00442734">
              <w:rPr>
                <w:rFonts w:hint="cs"/>
                <w:rtl/>
              </w:rPr>
              <w:t xml:space="preserve">היומי </w:t>
            </w:r>
            <w:r w:rsidRPr="00442734">
              <w:rPr>
                <w:rtl/>
              </w:rPr>
              <w:t>בינואר 2022</w:t>
            </w:r>
          </w:p>
        </w:tc>
        <w:tc>
          <w:tcPr>
            <w:tcW w:w="188" w:type="pct"/>
          </w:tcPr>
          <w:p w:rsidR="002656E1" w:rsidRPr="00E52143" w:rsidP="00943F8F" w14:paraId="4F52CE08" w14:textId="77777777">
            <w:pPr>
              <w:pStyle w:val="732021"/>
              <w:spacing w:before="0" w:line="240" w:lineRule="auto"/>
              <w:rPr>
                <w:rtl/>
              </w:rPr>
            </w:pPr>
          </w:p>
        </w:tc>
        <w:tc>
          <w:tcPr>
            <w:tcW w:w="1107" w:type="pct"/>
            <w:tcBorders>
              <w:top w:val="single" w:sz="12" w:space="0" w:color="000000" w:themeColor="text1"/>
            </w:tcBorders>
          </w:tcPr>
          <w:p w:rsidR="002656E1" w:rsidRPr="00E52143" w:rsidP="00943F8F" w14:paraId="203F9568" w14:textId="1AE20811">
            <w:pPr>
              <w:pStyle w:val="732021"/>
              <w:spacing w:before="0" w:line="240" w:lineRule="auto"/>
              <w:rPr>
                <w:rtl/>
              </w:rPr>
            </w:pPr>
            <w:r w:rsidRPr="00442734">
              <w:rPr>
                <w:rtl/>
              </w:rPr>
              <w:t>תשלום המדינה לספקים עבור ביצוע בדיקות האנטיגן המוסדיות בינואר-פברואר 2022 (כ-40 ש"ח לבדיקה)</w:t>
            </w:r>
          </w:p>
        </w:tc>
        <w:tc>
          <w:tcPr>
            <w:tcW w:w="188" w:type="pct"/>
          </w:tcPr>
          <w:p w:rsidR="002656E1" w:rsidRPr="00E52143" w:rsidP="00943F8F" w14:paraId="42538096" w14:textId="77777777">
            <w:pPr>
              <w:pStyle w:val="732021"/>
              <w:spacing w:before="0" w:line="240" w:lineRule="auto"/>
              <w:rPr>
                <w:rtl/>
              </w:rPr>
            </w:pPr>
          </w:p>
        </w:tc>
        <w:tc>
          <w:tcPr>
            <w:tcW w:w="1101" w:type="pct"/>
            <w:tcBorders>
              <w:top w:val="single" w:sz="12" w:space="0" w:color="000000" w:themeColor="text1"/>
            </w:tcBorders>
          </w:tcPr>
          <w:p w:rsidR="002656E1" w:rsidP="00943F8F" w14:paraId="166F22F8" w14:textId="77777777">
            <w:pPr>
              <w:pStyle w:val="732021"/>
              <w:spacing w:before="0" w:line="240" w:lineRule="auto"/>
            </w:pPr>
            <w:r w:rsidRPr="00442734">
              <w:rPr>
                <w:rtl/>
              </w:rPr>
              <w:t>מהשיח החברתי ברשתות החברתיות בנושא מערך בדיקות האנטיגן המוסדיות היה בסנטימנט שלילי (387 מתוך 497 התייחסויות שנותחו)</w:t>
            </w:r>
          </w:p>
          <w:p w:rsidR="002656E1" w:rsidRPr="00E52143" w:rsidP="00943F8F" w14:paraId="1878D11D" w14:textId="28B468F6">
            <w:pPr>
              <w:pStyle w:val="732021"/>
              <w:spacing w:before="0" w:line="240" w:lineRule="auto"/>
              <w:rPr>
                <w:rtl/>
              </w:rPr>
            </w:pPr>
          </w:p>
        </w:tc>
      </w:tr>
      <w:tr w14:paraId="1BD5A20C" w14:textId="77777777" w:rsidTr="002656E1">
        <w:tblPrEx>
          <w:tblW w:w="5000" w:type="pct"/>
          <w:tblLook w:val="04A0"/>
        </w:tblPrEx>
        <w:tc>
          <w:tcPr>
            <w:tcW w:w="1119" w:type="pct"/>
            <w:tcBorders>
              <w:bottom w:val="single" w:sz="12" w:space="0" w:color="000000" w:themeColor="text1"/>
            </w:tcBorders>
            <w:vAlign w:val="bottom"/>
          </w:tcPr>
          <w:p w:rsidR="002656E1" w:rsidRPr="002656E1" w:rsidP="002656E1" w14:paraId="500D3B50" w14:textId="4C5F3B36">
            <w:pPr>
              <w:spacing w:line="240" w:lineRule="auto"/>
              <w:jc w:val="left"/>
              <w:rPr>
                <w:rFonts w:ascii="Tahoma" w:hAnsi="Tahoma" w:eastAsiaTheme="minorEastAsia" w:cs="Tahoma"/>
                <w:b/>
                <w:bCs/>
                <w:color w:val="0D0D0D" w:themeColor="text1" w:themeTint="F2"/>
                <w:spacing w:val="-10"/>
                <w:sz w:val="36"/>
                <w:szCs w:val="36"/>
                <w:rtl/>
              </w:rPr>
            </w:pPr>
            <w:r w:rsidRPr="002656E1">
              <w:rPr>
                <w:rFonts w:ascii="Tahoma" w:hAnsi="Tahoma" w:eastAsiaTheme="minorEastAsia" w:cs="Tahoma"/>
                <w:b/>
                <w:bCs/>
                <w:color w:val="0D0D0D" w:themeColor="text1" w:themeTint="F2"/>
                <w:spacing w:val="-10"/>
                <w:sz w:val="36"/>
                <w:szCs w:val="36"/>
                <w:rtl/>
              </w:rPr>
              <w:t>יותר משעה</w:t>
            </w:r>
          </w:p>
        </w:tc>
        <w:tc>
          <w:tcPr>
            <w:tcW w:w="188" w:type="pct"/>
            <w:vAlign w:val="bottom"/>
          </w:tcPr>
          <w:p w:rsidR="002656E1" w:rsidRPr="002656E1" w:rsidP="002656E1"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109" w:type="pct"/>
            <w:tcBorders>
              <w:bottom w:val="single" w:sz="12" w:space="0" w:color="000000" w:themeColor="text1"/>
            </w:tcBorders>
            <w:vAlign w:val="bottom"/>
          </w:tcPr>
          <w:p w:rsidR="002656E1" w:rsidRPr="002656E1" w:rsidP="002656E1" w14:paraId="48896DF7" w14:textId="5613CE59">
            <w:pPr>
              <w:pStyle w:val="2021"/>
              <w:spacing w:before="0" w:after="60"/>
              <w:rPr>
                <w:spacing w:val="-10"/>
                <w:rtl/>
              </w:rPr>
            </w:pPr>
            <w:r w:rsidRPr="002656E1">
              <w:rPr>
                <w:spacing w:val="-10"/>
                <w:sz w:val="26"/>
                <w:szCs w:val="26"/>
                <w:rtl/>
              </w:rPr>
              <w:t>כ-</w:t>
            </w:r>
            <w:r w:rsidRPr="002656E1">
              <w:rPr>
                <w:spacing w:val="-10"/>
                <w:rtl/>
              </w:rPr>
              <w:t>70%</w:t>
            </w:r>
          </w:p>
        </w:tc>
        <w:tc>
          <w:tcPr>
            <w:tcW w:w="188" w:type="pct"/>
            <w:vAlign w:val="bottom"/>
          </w:tcPr>
          <w:p w:rsidR="002656E1" w:rsidRPr="002656E1" w:rsidP="002656E1" w14:paraId="5B4C8A80" w14:textId="77777777">
            <w:pPr>
              <w:spacing w:after="120" w:line="240" w:lineRule="auto"/>
              <w:jc w:val="left"/>
              <w:rPr>
                <w:rFonts w:ascii="Tahoma" w:hAnsi="Tahoma" w:cs="Tahoma"/>
                <w:b/>
                <w:bCs/>
                <w:rtl/>
              </w:rPr>
            </w:pPr>
          </w:p>
        </w:tc>
        <w:tc>
          <w:tcPr>
            <w:tcW w:w="1107" w:type="pct"/>
            <w:tcBorders>
              <w:bottom w:val="single" w:sz="12" w:space="0" w:color="000000" w:themeColor="text1"/>
            </w:tcBorders>
            <w:vAlign w:val="bottom"/>
          </w:tcPr>
          <w:p w:rsidR="002656E1" w:rsidRPr="002656E1" w:rsidP="002656E1" w14:paraId="226A2E50" w14:textId="41A965FF">
            <w:pPr>
              <w:spacing w:after="60" w:line="192" w:lineRule="auto"/>
              <w:jc w:val="left"/>
              <w:rPr>
                <w:rFonts w:ascii="Tahoma" w:hAnsi="Tahoma" w:eastAsiaTheme="minorEastAsia" w:cs="Tahoma"/>
                <w:b/>
                <w:bCs/>
                <w:color w:val="0D0D0D" w:themeColor="text1" w:themeTint="F2"/>
                <w:spacing w:val="-10"/>
                <w:sz w:val="36"/>
                <w:szCs w:val="36"/>
                <w:rtl/>
              </w:rPr>
            </w:pPr>
            <w:r w:rsidRPr="002656E1">
              <w:rPr>
                <w:rFonts w:ascii="Tahoma" w:hAnsi="Tahoma" w:eastAsiaTheme="minorEastAsia" w:cs="Tahoma"/>
                <w:b/>
                <w:bCs/>
                <w:color w:val="0D0D0D" w:themeColor="text1" w:themeTint="F2"/>
                <w:spacing w:val="-10"/>
                <w:sz w:val="26"/>
                <w:szCs w:val="26"/>
                <w:rtl/>
              </w:rPr>
              <w:t>בכ-</w:t>
            </w:r>
            <w:r w:rsidRPr="002656E1">
              <w:rPr>
                <w:rFonts w:ascii="Tahoma" w:hAnsi="Tahoma" w:eastAsiaTheme="minorEastAsia" w:cs="Tahoma"/>
                <w:b/>
                <w:bCs/>
                <w:color w:val="0D0D0D" w:themeColor="text1" w:themeTint="F2"/>
                <w:spacing w:val="-10"/>
                <w:sz w:val="36"/>
                <w:szCs w:val="36"/>
                <w:rtl/>
              </w:rPr>
              <w:t>40%</w:t>
            </w:r>
          </w:p>
        </w:tc>
        <w:tc>
          <w:tcPr>
            <w:tcW w:w="188" w:type="pct"/>
            <w:vAlign w:val="bottom"/>
          </w:tcPr>
          <w:p w:rsidR="002656E1" w:rsidRPr="002656E1" w:rsidP="002656E1"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01" w:type="pct"/>
            <w:tcBorders>
              <w:bottom w:val="single" w:sz="12" w:space="0" w:color="000000" w:themeColor="text1"/>
            </w:tcBorders>
            <w:vAlign w:val="bottom"/>
          </w:tcPr>
          <w:p w:rsidR="002656E1" w:rsidRPr="002656E1" w:rsidP="002656E1" w14:paraId="5AEEF263" w14:textId="081C0853">
            <w:pPr>
              <w:spacing w:after="60" w:line="240" w:lineRule="auto"/>
              <w:jc w:val="left"/>
              <w:rPr>
                <w:rFonts w:ascii="Tahoma" w:hAnsi="Tahoma" w:eastAsiaTheme="minorEastAsia" w:cs="Tahoma"/>
                <w:b/>
                <w:bCs/>
                <w:color w:val="0D0D0D" w:themeColor="text1" w:themeTint="F2"/>
                <w:spacing w:val="-10"/>
                <w:sz w:val="36"/>
                <w:szCs w:val="36"/>
                <w:rtl/>
              </w:rPr>
            </w:pPr>
            <w:r w:rsidRPr="002656E1">
              <w:rPr>
                <w:rFonts w:ascii="Tahoma" w:hAnsi="Tahoma" w:eastAsiaTheme="minorEastAsia" w:cs="Tahoma"/>
                <w:b/>
                <w:bCs/>
                <w:color w:val="0D0D0D" w:themeColor="text1" w:themeTint="F2"/>
                <w:spacing w:val="-10"/>
                <w:sz w:val="26"/>
                <w:szCs w:val="26"/>
                <w:rtl/>
              </w:rPr>
              <w:t>כ-</w:t>
            </w:r>
            <w:r w:rsidRPr="002656E1">
              <w:rPr>
                <w:rFonts w:ascii="Tahoma" w:hAnsi="Tahoma" w:eastAsiaTheme="minorEastAsia" w:cs="Tahoma"/>
                <w:b/>
                <w:bCs/>
                <w:color w:val="0D0D0D" w:themeColor="text1" w:themeTint="F2"/>
                <w:spacing w:val="-10"/>
                <w:sz w:val="36"/>
                <w:szCs w:val="36"/>
                <w:rtl/>
              </w:rPr>
              <w:t xml:space="preserve">2% </w:t>
            </w:r>
            <w:r w:rsidRPr="002656E1">
              <w:rPr>
                <w:rFonts w:ascii="Tahoma" w:hAnsi="Tahoma" w:eastAsiaTheme="minorEastAsia" w:cs="Tahoma"/>
                <w:b/>
                <w:bCs/>
                <w:color w:val="0D0D0D" w:themeColor="text1" w:themeTint="F2"/>
                <w:spacing w:val="-10"/>
                <w:sz w:val="26"/>
                <w:szCs w:val="26"/>
                <w:rtl/>
              </w:rPr>
              <w:t>בלבד</w:t>
            </w:r>
          </w:p>
        </w:tc>
      </w:tr>
      <w:tr w14:paraId="54154FA5" w14:textId="77777777" w:rsidTr="002656E1">
        <w:tblPrEx>
          <w:tblW w:w="5000" w:type="pct"/>
          <w:tblLook w:val="04A0"/>
        </w:tblPrEx>
        <w:tc>
          <w:tcPr>
            <w:tcW w:w="1119" w:type="pct"/>
            <w:tcBorders>
              <w:top w:val="single" w:sz="12" w:space="0" w:color="000000" w:themeColor="text1"/>
            </w:tcBorders>
          </w:tcPr>
          <w:p w:rsidR="002656E1" w:rsidRPr="004562F8" w:rsidP="00943F8F" w14:paraId="6DB67748" w14:textId="7B2D56B5">
            <w:pPr>
              <w:pStyle w:val="732021"/>
              <w:spacing w:before="0" w:after="0" w:line="240" w:lineRule="auto"/>
              <w:rPr>
                <w:rtl/>
              </w:rPr>
            </w:pPr>
            <w:r w:rsidRPr="00442734">
              <w:rPr>
                <w:rFonts w:hint="cs"/>
                <w:rtl/>
              </w:rPr>
              <w:t xml:space="preserve">זמן ההמתנה לבדיקת אנטיגן מוסדית לפי </w:t>
            </w:r>
            <w:r w:rsidRPr="00442734">
              <w:rPr>
                <w:rtl/>
              </w:rPr>
              <w:t>חמישית מההורים שהשיבו על סקר שערך משרד מבקר המדינה</w:t>
            </w:r>
          </w:p>
        </w:tc>
        <w:tc>
          <w:tcPr>
            <w:tcW w:w="188" w:type="pct"/>
          </w:tcPr>
          <w:p w:rsidR="002656E1" w:rsidRPr="008D750B" w:rsidP="00943F8F" w14:paraId="0C0AE598" w14:textId="77777777">
            <w:pPr>
              <w:pStyle w:val="732021"/>
              <w:spacing w:before="0" w:after="0" w:line="240" w:lineRule="auto"/>
              <w:rPr>
                <w:rtl/>
              </w:rPr>
            </w:pPr>
          </w:p>
        </w:tc>
        <w:tc>
          <w:tcPr>
            <w:tcW w:w="1109" w:type="pct"/>
            <w:tcBorders>
              <w:top w:val="single" w:sz="12" w:space="0" w:color="000000" w:themeColor="text1"/>
            </w:tcBorders>
          </w:tcPr>
          <w:p w:rsidR="002656E1" w:rsidRPr="004562F8" w:rsidP="00943F8F" w14:paraId="1916A301" w14:textId="45028282">
            <w:pPr>
              <w:pStyle w:val="732021"/>
              <w:spacing w:before="0" w:after="0" w:line="240" w:lineRule="auto"/>
              <w:rPr>
                <w:rtl/>
              </w:rPr>
            </w:pPr>
            <w:r w:rsidRPr="00442734">
              <w:rPr>
                <w:rtl/>
              </w:rPr>
              <w:t xml:space="preserve">שיעור תחנות הדיגום (67 מתוך 96 התחנות שנבדקו) שבהן לא הייתה הפרדה </w:t>
            </w:r>
            <w:r w:rsidRPr="00442734">
              <w:rPr>
                <w:rFonts w:hint="cs"/>
                <w:rtl/>
              </w:rPr>
              <w:t>ב</w:t>
            </w:r>
            <w:r w:rsidRPr="00442734">
              <w:rPr>
                <w:rtl/>
              </w:rPr>
              <w:t xml:space="preserve">תורים </w:t>
            </w:r>
            <w:r w:rsidRPr="00442734">
              <w:rPr>
                <w:rFonts w:hint="cs"/>
                <w:rtl/>
              </w:rPr>
              <w:t>של</w:t>
            </w:r>
            <w:r w:rsidRPr="00442734">
              <w:rPr>
                <w:rtl/>
              </w:rPr>
              <w:t xml:space="preserve"> הנבדקים - בין הנחשפים לבין המאומתים בעלי תסמינים ועוד, ולא הוצב שילוט מתאים</w:t>
            </w:r>
          </w:p>
        </w:tc>
        <w:tc>
          <w:tcPr>
            <w:tcW w:w="188" w:type="pct"/>
          </w:tcPr>
          <w:p w:rsidR="002656E1" w:rsidP="00943F8F" w14:paraId="14782C57" w14:textId="77777777">
            <w:pPr>
              <w:pStyle w:val="732021"/>
              <w:spacing w:before="0" w:after="0" w:line="240" w:lineRule="auto"/>
              <w:rPr>
                <w:rtl/>
              </w:rPr>
            </w:pPr>
          </w:p>
        </w:tc>
        <w:tc>
          <w:tcPr>
            <w:tcW w:w="1107" w:type="pct"/>
            <w:tcBorders>
              <w:top w:val="single" w:sz="12" w:space="0" w:color="000000" w:themeColor="text1"/>
            </w:tcBorders>
          </w:tcPr>
          <w:p w:rsidR="002656E1" w:rsidRPr="0062456C" w:rsidP="00943F8F" w14:paraId="6149CA50" w14:textId="4A91E302">
            <w:pPr>
              <w:pStyle w:val="732021"/>
              <w:spacing w:before="0" w:after="0" w:line="240" w:lineRule="auto"/>
              <w:rPr>
                <w:rtl/>
              </w:rPr>
            </w:pPr>
            <w:r w:rsidRPr="00442734">
              <w:rPr>
                <w:rtl/>
              </w:rPr>
              <w:t xml:space="preserve">מהיישובים באזורי הפריפריה, שבהם מתגוררים יותר </w:t>
            </w:r>
            <w:r w:rsidRPr="00442734">
              <w:rPr>
                <w:rtl/>
              </w:rPr>
              <w:br/>
              <w:t>מ-10,000 תושבים, לא הייתה תחנת דיגום</w:t>
            </w:r>
            <w:r w:rsidRPr="00C84582">
              <w:rPr>
                <w:rtl/>
              </w:rPr>
              <w:t xml:space="preserve"> </w:t>
            </w:r>
            <w:r w:rsidRPr="00442734">
              <w:rPr>
                <w:rtl/>
              </w:rPr>
              <w:t>בשלושת המועדים שנבדקו בינואר 2022 עד להפעלת המכרז החדש (3</w:t>
            </w:r>
            <w:r w:rsidRPr="00442734">
              <w:rPr>
                <w:rFonts w:hint="cs"/>
                <w:rtl/>
              </w:rPr>
              <w:t xml:space="preserve">7 </w:t>
            </w:r>
            <w:r w:rsidRPr="00442734">
              <w:rPr>
                <w:rtl/>
              </w:rPr>
              <w:t>-</w:t>
            </w:r>
            <w:r w:rsidRPr="00442734">
              <w:rPr>
                <w:rFonts w:hint="cs"/>
                <w:rtl/>
              </w:rPr>
              <w:t xml:space="preserve"> </w:t>
            </w:r>
            <w:r w:rsidRPr="00442734">
              <w:rPr>
                <w:rtl/>
              </w:rPr>
              <w:t>3</w:t>
            </w:r>
            <w:r w:rsidRPr="00442734">
              <w:rPr>
                <w:rFonts w:hint="cs"/>
                <w:rtl/>
              </w:rPr>
              <w:t>8</w:t>
            </w:r>
            <w:r w:rsidRPr="00442734">
              <w:rPr>
                <w:rtl/>
              </w:rPr>
              <w:t xml:space="preserve"> יישובים)</w:t>
            </w:r>
          </w:p>
        </w:tc>
        <w:tc>
          <w:tcPr>
            <w:tcW w:w="188" w:type="pct"/>
          </w:tcPr>
          <w:p w:rsidR="002656E1" w:rsidRPr="00C92141" w:rsidP="00943F8F" w14:paraId="66E34E8E" w14:textId="77777777">
            <w:pPr>
              <w:pStyle w:val="732021"/>
              <w:spacing w:before="0" w:after="0" w:line="240" w:lineRule="auto"/>
              <w:rPr>
                <w:rtl/>
              </w:rPr>
            </w:pPr>
          </w:p>
        </w:tc>
        <w:tc>
          <w:tcPr>
            <w:tcW w:w="1101" w:type="pct"/>
            <w:tcBorders>
              <w:top w:val="single" w:sz="12" w:space="0" w:color="000000" w:themeColor="text1"/>
            </w:tcBorders>
          </w:tcPr>
          <w:p w:rsidR="002656E1" w:rsidRPr="00C92141" w:rsidP="00943F8F" w14:paraId="39498237" w14:textId="0386D4A2">
            <w:pPr>
              <w:pStyle w:val="732021"/>
              <w:spacing w:before="0" w:after="0" w:line="240" w:lineRule="auto"/>
              <w:rPr>
                <w:rtl/>
              </w:rPr>
            </w:pPr>
            <w:r w:rsidRPr="00442734">
              <w:rPr>
                <w:rtl/>
              </w:rPr>
              <w:t xml:space="preserve">שיעור תחנות הדיגום השבועי הממוצע </w:t>
            </w:r>
            <w:r w:rsidRPr="00442734">
              <w:rPr>
                <w:rFonts w:hint="cs"/>
                <w:rtl/>
              </w:rPr>
              <w:t>ש</w:t>
            </w:r>
            <w:r w:rsidRPr="00442734">
              <w:rPr>
                <w:rtl/>
              </w:rPr>
              <w:t>בהן ביצע משרד הבריאות בקרה מסוף ינואר עד סוף פברואר (61 מתוך 730 תחנות שפעלו בממוצע באותה התקופה)</w:t>
            </w:r>
          </w:p>
        </w:tc>
      </w:tr>
    </w:tbl>
    <w:p w:rsidR="00420374" w:rsidP="00420374" w14:paraId="509D5AB6" w14:textId="77777777">
      <w:pPr>
        <w:pStyle w:val="7317"/>
        <w:spacing w:after="0"/>
        <w:rPr>
          <w:sz w:val="10"/>
          <w:szCs w:val="10"/>
          <w:rtl/>
        </w:rPr>
      </w:pPr>
    </w:p>
    <w:p w:rsidR="00943F8F" w:rsidP="00420374" w14:paraId="24946740" w14:textId="77777777">
      <w:pPr>
        <w:pStyle w:val="7317"/>
        <w:spacing w:after="0"/>
        <w:rPr>
          <w:sz w:val="10"/>
          <w:szCs w:val="10"/>
          <w:rtl/>
        </w:rPr>
      </w:pPr>
    </w:p>
    <w:p w:rsidR="00943F8F" w:rsidP="00420374" w14:paraId="64AD7CA5" w14:textId="77777777">
      <w:pPr>
        <w:pStyle w:val="7317"/>
        <w:spacing w:after="0"/>
        <w:rPr>
          <w:sz w:val="10"/>
          <w:szCs w:val="10"/>
          <w:rtl/>
        </w:rPr>
      </w:pPr>
    </w:p>
    <w:p w:rsidR="00943F8F" w:rsidP="00420374" w14:paraId="30B049F8" w14:textId="77777777">
      <w:pPr>
        <w:pStyle w:val="7317"/>
        <w:spacing w:after="0"/>
        <w:rPr>
          <w:sz w:val="10"/>
          <w:szCs w:val="10"/>
          <w:rtl/>
        </w:rPr>
      </w:pPr>
    </w:p>
    <w:p w:rsidR="00943F8F" w:rsidP="00420374" w14:paraId="3B7BBFC7"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2656E1" w:rsidRPr="002656E1" w:rsidP="002656E1" w14:paraId="56C52244" w14:textId="77777777">
      <w:pPr>
        <w:pStyle w:val="7317"/>
        <w:rPr>
          <w:rtl/>
        </w:rPr>
      </w:pPr>
      <w:r w:rsidRPr="002656E1">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6E1">
        <w:rPr>
          <w:rtl/>
        </w:rPr>
        <w:t xml:space="preserve">בחודשים פברואר עד אוקטובר 2022 ביצע משרד מבקר המדינה ביקורת בנושא הפעלת מערך בדיקות האנטיגן המוסדיות. בביקורת נבדקו היערכותה של מערכת הבריאות להפעלת המערך וזמינות תחנות הדיגום והשירות הניתן </w:t>
      </w:r>
      <w:r w:rsidRPr="002656E1">
        <w:rPr>
          <w:rFonts w:hint="cs"/>
          <w:rtl/>
        </w:rPr>
        <w:t xml:space="preserve">בהן </w:t>
      </w:r>
      <w:r w:rsidRPr="002656E1">
        <w:rPr>
          <w:rtl/>
        </w:rPr>
        <w:t xml:space="preserve">לתושבים. הביקורת נעשתה במשרד הבריאות. בדיקות השלמה נעשו במשרד האוצר. </w:t>
      </w:r>
    </w:p>
    <w:p w:rsidR="002656E1" w:rsidRPr="002656E1" w:rsidP="002656E1" w14:paraId="63C07C38" w14:textId="77777777">
      <w:pPr>
        <w:pStyle w:val="7317"/>
        <w:rPr>
          <w:rtl/>
        </w:rPr>
      </w:pPr>
      <w:r w:rsidRPr="002656E1">
        <w:rPr>
          <w:rtl/>
        </w:rPr>
        <w:t xml:space="preserve">הביקורת בוצעה באמצעות כלי ביקורת מקובלים ובהתבסס על מידע ומסמכים שנאספו מכל המקורות הרלוונטיים לנושא המבוקר. נוסף על כך, הואיל ומדובר בנושא הנוגע באופן אישי לרבים בציבור, נוספו </w:t>
      </w:r>
      <w:r w:rsidRPr="002656E1">
        <w:rPr>
          <w:rFonts w:hint="cs"/>
          <w:rtl/>
        </w:rPr>
        <w:t xml:space="preserve">לביקורת </w:t>
      </w:r>
      <w:r w:rsidRPr="002656E1">
        <w:rPr>
          <w:rtl/>
        </w:rPr>
        <w:t>שני כלים שהצביעו על נקודות המבט של הציבור בתקופת הקורונה:</w:t>
      </w:r>
    </w:p>
    <w:p w:rsidR="002656E1" w:rsidRPr="002656E1" w:rsidP="002656E1" w14:paraId="6A6A514C" w14:textId="77777777">
      <w:pPr>
        <w:pStyle w:val="735"/>
        <w:numPr>
          <w:ilvl w:val="0"/>
          <w:numId w:val="1429"/>
        </w:numPr>
      </w:pPr>
      <w:r w:rsidRPr="002656E1">
        <w:rPr>
          <w:rtl/>
        </w:rPr>
        <w:t>סקר הורים - ביולי 2022 ביצע משרד מבקר המדינה סקר לבחינה של עמדות הורים שילדיהם לומדים בכיתות א' עד י"ב במסגרות החינוך הרגילות. במסגרת הסקר הופנו להורים לתלמידי כיתות א</w:t>
      </w:r>
      <w:r w:rsidRPr="002656E1">
        <w:rPr>
          <w:rFonts w:hint="cs"/>
          <w:rtl/>
        </w:rPr>
        <w:t xml:space="preserve">' עד </w:t>
      </w:r>
      <w:r w:rsidRPr="002656E1">
        <w:rPr>
          <w:rtl/>
        </w:rPr>
        <w:t>ו</w:t>
      </w:r>
      <w:r w:rsidRPr="002656E1">
        <w:rPr>
          <w:rFonts w:hint="cs"/>
          <w:rtl/>
        </w:rPr>
        <w:t>'</w:t>
      </w:r>
      <w:r w:rsidRPr="002656E1">
        <w:rPr>
          <w:rtl/>
        </w:rPr>
        <w:t xml:space="preserve"> כמה שאלות המתייחסות לתחנות הדיגום; לשאלות אלו השיבו 382 הורים</w:t>
      </w:r>
      <w:r w:rsidRPr="002656E1">
        <w:rPr>
          <w:rFonts w:hint="cs"/>
          <w:rtl/>
        </w:rPr>
        <w:t>,</w:t>
      </w:r>
      <w:r w:rsidRPr="002656E1">
        <w:rPr>
          <w:rtl/>
        </w:rPr>
        <w:t xml:space="preserve"> והם מהווים דגימה מייצגת.</w:t>
      </w:r>
    </w:p>
    <w:p w:rsidR="00EB672B" w:rsidRPr="002656E1" w:rsidP="002656E1" w14:paraId="21608E70" w14:textId="0BBDD277">
      <w:pPr>
        <w:pStyle w:val="735"/>
        <w:numPr>
          <w:ilvl w:val="0"/>
          <w:numId w:val="1429"/>
        </w:numPr>
        <w:rPr>
          <w:rtl/>
        </w:rPr>
      </w:pPr>
      <w:r w:rsidRPr="002656E1">
        <w:rPr>
          <w:rtl/>
        </w:rPr>
        <w:t>ניתוח שיח חברתי ברשתות החברתיות - ביולי-אוגוסט 2022 ביצע משרד מבקר המדינה בחינה וניתוח של השיח ברשתות החברתיות במטרה לבחון את חוויית השירות של הציבור בכל הנוגע למערך ההפעלה של בדיקות האנטיגן המוסדיות וזמינותו. הבחינה מתייחסת לתקופה שבין ינואר לפברואר 2022 (במהלך גל האומיקרון), ו</w:t>
      </w:r>
      <w:r w:rsidRPr="002656E1">
        <w:rPr>
          <w:rFonts w:hint="cs"/>
          <w:rtl/>
        </w:rPr>
        <w:t xml:space="preserve">היא </w:t>
      </w:r>
      <w:r w:rsidRPr="002656E1">
        <w:rPr>
          <w:rtl/>
        </w:rPr>
        <w:t>כוללת ניתוח איכותני וכמותני של השיח הרלוונטי שנוטר בנושא. במסגרת ניתוח זה נקראו 6,179 פוסטים, מהם אותרו 497 פוסטים ותגובות הנוגעים ישירות לנושאים הרלוונטיים לבדיקה</w:t>
      </w:r>
      <w:r w:rsidRPr="002656E1">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17F90E1D">
      <w:pPr>
        <w:pStyle w:val="7317"/>
        <w:rPr>
          <w:rtl/>
        </w:rPr>
      </w:pPr>
      <w:r w:rsidRPr="00D1758D">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1758D" w:rsidR="002656E1">
        <w:rPr>
          <w:rStyle w:val="7371"/>
          <w:rtl/>
        </w:rPr>
        <w:t>היערכות מערכת הבריאות להפעלת מערך בדיקות האנטיגן המוסדיות (המפוקחות) -</w:t>
      </w:r>
      <w:r w:rsidRPr="00442734" w:rsidR="002656E1">
        <w:rPr>
          <w:rtl/>
        </w:rPr>
        <w:t xml:space="preserve"> החל בספטמבר 2021 החלו </w:t>
      </w:r>
      <w:r w:rsidRPr="00442734" w:rsidR="002656E1">
        <w:rPr>
          <w:rFonts w:hint="cs"/>
          <w:rtl/>
        </w:rPr>
        <w:t xml:space="preserve">להופיע </w:t>
      </w:r>
      <w:r w:rsidRPr="00442734" w:rsidR="002656E1">
        <w:rPr>
          <w:rtl/>
        </w:rPr>
        <w:t>סימנים המעידים על הצורך להוסיף את בדיקות האנטיגן המוסדיות למערך בדיקות הקורונה המאבחנות</w:t>
      </w:r>
      <w:r w:rsidRPr="00442734" w:rsidR="002656E1">
        <w:rPr>
          <w:rFonts w:hint="cs"/>
          <w:rtl/>
        </w:rPr>
        <w:t>,</w:t>
      </w:r>
      <w:r w:rsidRPr="00442734" w:rsidR="002656E1">
        <w:rPr>
          <w:rtl/>
        </w:rPr>
        <w:t xml:space="preserve"> ובכלל זה השימוש בבריטניה בבדיקת האנטיגן כבדיקה מאבחנת, עבודות מטה שנעשו במערכת הבריאות ובממשלה, דיוני הערכת מצב ותרגיל אומגה</w:t>
      </w:r>
      <w:r>
        <w:rPr>
          <w:vertAlign w:val="superscript"/>
          <w:rtl/>
        </w:rPr>
        <w:footnoteReference w:id="4"/>
      </w:r>
      <w:r w:rsidRPr="00442734" w:rsidR="002656E1">
        <w:rPr>
          <w:rtl/>
        </w:rPr>
        <w:t xml:space="preserve">. כל אלה הצביעו על הצורך בהרחבת מערך הבדיקות (מעבר לקיבולת של 200,000 בדיקות ביום), ועל האפשרות לשימוש בבדיקת אנטיגן כבדיקה מאבחנת - כחלופה או כתוספת לבדיקת </w:t>
      </w:r>
      <w:r w:rsidRPr="00442734" w:rsidR="002656E1">
        <w:t>PCR</w:t>
      </w:r>
      <w:r w:rsidRPr="00442734" w:rsidR="002656E1">
        <w:rPr>
          <w:rtl/>
        </w:rPr>
        <w:t xml:space="preserve">, במקרה שתידרש הרחבה </w:t>
      </w:r>
      <w:r w:rsidRPr="00442734" w:rsidR="002656E1">
        <w:rPr>
          <w:rtl/>
        </w:rPr>
        <w:t>מהירה של מערך הבדיקות. בהתאם נדרש ממקבלי ההחלטות לבצע הערכת מצב ולהכין מנגנוני תגובה או תוכניות מגירה לתרחישים שונים למקרים כאלה. אף על פי כן, עד ינואר 2022 לא נערך משרד הבריאות מראש להרחבת מספר הבדיקות היומי לאבחון קורונה באמצעות תוספת של בדיקות אנטיגן מוסדיות על בדיקות ה-</w:t>
      </w:r>
      <w:r w:rsidRPr="00442734" w:rsidR="002656E1">
        <w:t>PCR</w:t>
      </w:r>
      <w:r w:rsidRPr="00442734" w:rsidR="002656E1">
        <w:rPr>
          <w:rtl/>
        </w:rPr>
        <w:t xml:space="preserve">, ולא הכין תוכנית פעולה מתאימה (תוכנית מגירה) שאותה הוא יכול היה להוציא לפועל, באופן </w:t>
      </w:r>
      <w:r w:rsidRPr="00442734" w:rsidR="002656E1">
        <w:rPr>
          <w:rtl/>
        </w:rPr>
        <w:t>מי</w:t>
      </w:r>
      <w:r w:rsidRPr="00442734" w:rsidR="002656E1">
        <w:rPr>
          <w:rFonts w:hint="cs"/>
          <w:rtl/>
        </w:rPr>
        <w:t>י</w:t>
      </w:r>
      <w:r w:rsidRPr="00442734" w:rsidR="002656E1">
        <w:rPr>
          <w:rtl/>
        </w:rPr>
        <w:t>די</w:t>
      </w:r>
      <w:r w:rsidRPr="00442734" w:rsidR="002656E1">
        <w:rPr>
          <w:rtl/>
        </w:rPr>
        <w:t>, בעת הצורך. היעדר תוכנית פעולה מתאימה הביאה להתקשרות מאוחרת עם ספקים, לפריסה לא מיטבית של תחנות הדיגום ולהמתנה ממושכת בתורים</w:t>
      </w:r>
      <w:r w:rsidRPr="00AF3B73">
        <w:rPr>
          <w:rtl/>
        </w:rPr>
        <w:t>.</w:t>
      </w:r>
    </w:p>
    <w:p w:rsidR="00EB672B" w:rsidRPr="00AF3B73" w:rsidP="00EB672B" w14:paraId="61697365" w14:textId="370C6956">
      <w:pPr>
        <w:pStyle w:val="7317"/>
      </w:pPr>
      <w:r w:rsidRPr="00D1758D">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1758D" w:rsidR="002656E1">
        <w:rPr>
          <w:rStyle w:val="7371"/>
          <w:rtl/>
        </w:rPr>
        <w:t>פעולות משרד הבריאות להרחבת מערך בדיקות האנטיגן המוסדיות -</w:t>
      </w:r>
      <w:r w:rsidRPr="00442734" w:rsidR="002656E1">
        <w:rPr>
          <w:rtl/>
        </w:rPr>
        <w:t xml:space="preserve"> באוגוסט 2021, במהלך התפשטות זן הדלתא, פרסם משרד הבריאות שני מכרזים לצורך ביצוע דיגום של בדיקות האנטיגן המוסדיות, המאפשרות קבלת תו ירוק זמני (מכרזי התו הירוק). מתוקף מכרזי התו הירוק פעלו הספקים גם בתחילת התפשטות זן האומיקרון. ב-29.12.21 עדכן משרד הבריאות את מתווה </w:t>
      </w:r>
      <w:r w:rsidRPr="00442734" w:rsidR="002656E1">
        <w:rPr>
          <w:rtl/>
        </w:rPr>
        <w:t>הבידודים</w:t>
      </w:r>
      <w:r w:rsidRPr="00442734" w:rsidR="002656E1">
        <w:rPr>
          <w:rtl/>
        </w:rPr>
        <w:t xml:space="preserve"> והבדיקות; במהלך ינואר 2022 הוא פרסם מכרז חדש עם תנאים מעודכנים בהתאם לביצוע הבדיקות שהחליף את מכרזי התו הירוק </w:t>
      </w:r>
      <w:r w:rsidRPr="00442734" w:rsidR="002656E1">
        <w:rPr>
          <w:rtl/>
        </w:rPr>
        <w:t>ואיפשר</w:t>
      </w:r>
      <w:r w:rsidRPr="00442734" w:rsidR="002656E1">
        <w:rPr>
          <w:rtl/>
        </w:rPr>
        <w:t xml:space="preserve"> כניסה של ספקים נוספים למערך (המכרז החדש). הספקים שזכו במכרז החדש החלו להפעיל תחנות דיגום ב-25.1.22. הפעלת המכרז החדש החלה כחודש לאחר עדכון המתווה - זמן מהותי </w:t>
      </w:r>
      <w:r w:rsidRPr="00442734" w:rsidR="002656E1">
        <w:rPr>
          <w:rtl/>
        </w:rPr>
        <w:t>בע</w:t>
      </w:r>
      <w:r w:rsidRPr="00442734" w:rsidR="002656E1">
        <w:rPr>
          <w:rFonts w:hint="cs"/>
          <w:rtl/>
        </w:rPr>
        <w:t>י</w:t>
      </w:r>
      <w:r w:rsidRPr="00442734" w:rsidR="002656E1">
        <w:rPr>
          <w:rtl/>
        </w:rPr>
        <w:t>תות</w:t>
      </w:r>
      <w:r w:rsidRPr="00442734" w:rsidR="002656E1">
        <w:rPr>
          <w:rtl/>
        </w:rPr>
        <w:t xml:space="preserve"> חירום. כך, בתקופה של ינואר-פברואר 2022 עלה מספר בדיקות האנטיגן המוסדיות עד לשיא של 281,057 בדיקות ב-16.1.22</w:t>
      </w:r>
      <w:r w:rsidRPr="00442734" w:rsidR="002656E1">
        <w:rPr>
          <w:rFonts w:hint="cs"/>
          <w:rtl/>
        </w:rPr>
        <w:t>;</w:t>
      </w:r>
      <w:r w:rsidRPr="00442734" w:rsidR="002656E1">
        <w:rPr>
          <w:rtl/>
        </w:rPr>
        <w:t xml:space="preserve"> ב-23.1.22, </w:t>
      </w:r>
      <w:r w:rsidRPr="00442734" w:rsidR="002656E1">
        <w:rPr>
          <w:rFonts w:hint="cs"/>
          <w:rtl/>
        </w:rPr>
        <w:t>יום ש</w:t>
      </w:r>
      <w:r w:rsidRPr="00442734" w:rsidR="002656E1">
        <w:rPr>
          <w:rtl/>
        </w:rPr>
        <w:t>בו היה המספר הגבוה ביותר של המאומתים (85,283), היה מספר הבדיקות 278,549. לעומת זאת, באותו היום (23.1.22) מספר תחנות הדיגום עמד על 519 תחנות, והוא הגיע לשיאו רק לאחר ארבעה שבועות ב-20.2.22 - 834 תחנות דיגום, בשעה שגל התחלואה כבר היה לקראת סוף מגמת הדעיכה. מכאן שהמענה של פריסת תחנות נרחבת לביצוע הבדיקות הגיע בשלב מאוחר מהנדרש</w:t>
      </w:r>
      <w:r w:rsidRPr="00AF3B73">
        <w:rPr>
          <w:rFonts w:hint="cs"/>
          <w:rtl/>
        </w:rPr>
        <w:t xml:space="preserve">. </w:t>
      </w:r>
    </w:p>
    <w:p w:rsidR="00EB672B" w:rsidRPr="00AF3B73" w:rsidP="00EB672B" w14:paraId="257CE09B" w14:textId="3BFC47FC">
      <w:pPr>
        <w:pStyle w:val="7317"/>
        <w:rPr>
          <w:rtl/>
        </w:rPr>
      </w:pPr>
      <w:r w:rsidRPr="00D1758D">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1758D" w:rsidR="002656E1">
        <w:rPr>
          <w:rStyle w:val="7371"/>
          <w:rtl/>
        </w:rPr>
        <w:t>זמני המתנה בתורים לביצוע בדיקות אנטיגן מוסדיות -</w:t>
      </w:r>
      <w:r w:rsidRPr="00442734" w:rsidR="002656E1">
        <w:rPr>
          <w:rtl/>
        </w:rPr>
        <w:t xml:space="preserve"> סוגיית התנאים בתורים לבדיקות האנטיגן המוסדי הייתה הנושא העיקרי אשר הגולשים דיברו עליו (כ-70% מהגולשים) בניתוח השיח החברתי. מתוך 330 התייחסויות שעלו במסגרת השיח החברתי בנוגע לתנאים בתורים, כ-57% מהגולשים התייחסו לזמני ההמתנה בתורים</w:t>
      </w:r>
      <w:r w:rsidRPr="00442734" w:rsidR="002656E1">
        <w:rPr>
          <w:rFonts w:hint="cs"/>
          <w:rtl/>
        </w:rPr>
        <w:t>,</w:t>
      </w:r>
      <w:r w:rsidRPr="00442734" w:rsidR="002656E1">
        <w:rPr>
          <w:rtl/>
        </w:rPr>
        <w:t xml:space="preserve"> וכ-90% מ</w:t>
      </w:r>
      <w:r w:rsidRPr="00442734" w:rsidR="002656E1">
        <w:rPr>
          <w:rFonts w:hint="cs"/>
          <w:rtl/>
        </w:rPr>
        <w:t>ה</w:t>
      </w:r>
      <w:r w:rsidRPr="00442734" w:rsidR="002656E1">
        <w:rPr>
          <w:rtl/>
        </w:rPr>
        <w:t>ם העידו על המתנה בתורים ארוכים מאוד; מסקר ההורים עלה כי 68% מהמשיבים ציינו שהמתינו בתור יותר מ-15 דקות, הזמן שהוגדר למתן השירות במסגרת המכרז החדש. קרוב לחמישית מכלל המשיבים ציינו שהמתינו יותר משעה. המתנה ממושכת לבדיקת האנטיגן המוסדית מעלה את הסיכון להדבקה בעת ההמתנה בעמדות הדיגום, ובכך עלולה להחמיר את התפשטות המחלה. זאת ועוד, אנשים שאינם חשים בטוב או הורים לילדים קטנים נאלצים להמתין ממושכות לביצוע הבדיקה</w:t>
      </w:r>
      <w:r w:rsidRPr="00442734" w:rsidR="002656E1">
        <w:rPr>
          <w:rFonts w:hint="cs"/>
          <w:rtl/>
        </w:rPr>
        <w:t>,</w:t>
      </w:r>
      <w:r w:rsidRPr="00442734" w:rsidR="002656E1">
        <w:rPr>
          <w:rtl/>
        </w:rPr>
        <w:t xml:space="preserve"> והדבר מקשה עליהם ועל האנשים שלצידם. ההמתנה בתחנות הדיגום לבדיקות האנטיגן המוסדיות במהלך גל האומיקרון הייתה אפוא, על פי תפיסת הציבור, ממושכת יתר על המידה</w:t>
      </w:r>
      <w:r w:rsidRPr="00AF3B73">
        <w:rPr>
          <w:rFonts w:hint="cs"/>
          <w:rtl/>
        </w:rPr>
        <w:t>.</w:t>
      </w:r>
    </w:p>
    <w:p w:rsidR="00EB672B" w:rsidRPr="00AF3B73" w:rsidP="00EB672B" w14:paraId="42C157E6" w14:textId="3EB31AE8">
      <w:pPr>
        <w:pStyle w:val="7317"/>
      </w:pPr>
      <w:r w:rsidRPr="00D1758D">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1758D" w:rsidR="002656E1">
        <w:rPr>
          <w:rStyle w:val="7371"/>
          <w:rtl/>
        </w:rPr>
        <w:t xml:space="preserve">דיווח באתר משרד הבריאות ובמרשתת על עומסים בתחנות הדיגום - </w:t>
      </w:r>
      <w:r w:rsidRPr="00442734" w:rsidR="002656E1">
        <w:rPr>
          <w:rtl/>
        </w:rPr>
        <w:t>בכ-38% מהבקרות (ב-27 מתוך 71) שביצע משרד הבריאות בזמן אמת בנושא לא הייתה התאמה בין דיווחי הספקים באתר האינטרנט של המשרד על העומסים בתחנות הדיגום ובין העומסים כפי שעלו בממצאי הבקרה. עוד עלה בביקורת כי משרד הבריאות לא שמר את הנתונים בדבר העומסים בתחנות הדיגום שהזינו הספקים באופן שוטף לאתר האינטרנט שלו, ולא ניתח אותם באופן שוטף. הפער בין דיווחי הספקים באתר האינטרנט של המשרד ובין המצב בתחנות בפועל כפי שעלו בממצאי הבקרה שערך המשרד, אי</w:t>
      </w:r>
      <w:r w:rsidRPr="00442734" w:rsidR="002656E1">
        <w:rPr>
          <w:rFonts w:hint="cs"/>
          <w:rtl/>
        </w:rPr>
        <w:t>-</w:t>
      </w:r>
      <w:r w:rsidRPr="00442734" w:rsidR="002656E1">
        <w:rPr>
          <w:rtl/>
        </w:rPr>
        <w:t xml:space="preserve">שיקוף כלל נתוני </w:t>
      </w:r>
      <w:r w:rsidRPr="00442734" w:rsidR="002656E1">
        <w:rPr>
          <w:rtl/>
        </w:rPr>
        <w:t>העומסים לציבור בזמן אמת ואי</w:t>
      </w:r>
      <w:r w:rsidRPr="00442734" w:rsidR="002656E1">
        <w:rPr>
          <w:rFonts w:hint="cs"/>
          <w:rtl/>
        </w:rPr>
        <w:t>-</w:t>
      </w:r>
      <w:r w:rsidRPr="00442734" w:rsidR="002656E1">
        <w:rPr>
          <w:rtl/>
        </w:rPr>
        <w:t xml:space="preserve">ניתוח נתוני העומס שעליהם דיווחו הספקים עלולים היו לפגוע ביכולת הציבור לכלכל את החלטותיו בנוגע לבחירת תחנת הדיגום </w:t>
      </w:r>
      <w:r w:rsidRPr="00442734" w:rsidR="002656E1">
        <w:rPr>
          <w:rFonts w:hint="cs"/>
          <w:rtl/>
        </w:rPr>
        <w:t>ש</w:t>
      </w:r>
      <w:r w:rsidRPr="00442734" w:rsidR="002656E1">
        <w:rPr>
          <w:rtl/>
        </w:rPr>
        <w:t>אליה יגיע ומועד הבדיקה</w:t>
      </w:r>
      <w:r w:rsidRPr="00AF3B73">
        <w:rPr>
          <w:rFonts w:hint="cs"/>
          <w:rtl/>
        </w:rPr>
        <w:t xml:space="preserve">. </w:t>
      </w:r>
    </w:p>
    <w:p w:rsidR="00EB672B" w:rsidRPr="00AF3B73" w:rsidP="00EB672B" w14:paraId="0E55F83C" w14:textId="6119E5B6">
      <w:pPr>
        <w:pStyle w:val="7317"/>
      </w:pPr>
      <w:r w:rsidRPr="00D1758D">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1758D" w:rsidR="002656E1">
        <w:rPr>
          <w:rStyle w:val="7371"/>
          <w:rtl/>
        </w:rPr>
        <w:t>התנאים הפיזיים בתחנות הדיגום -</w:t>
      </w:r>
      <w:r w:rsidRPr="00442734" w:rsidR="002656E1">
        <w:rPr>
          <w:rtl/>
        </w:rPr>
        <w:t xml:space="preserve"> התנאים הפיזיים בתחנות הדיגום לא היו מיטביים, ובכלל זה בעניין הפרדת התורים</w:t>
      </w:r>
      <w:r w:rsidRPr="00C84582" w:rsidR="002656E1">
        <w:rPr>
          <w:rtl/>
        </w:rPr>
        <w:t xml:space="preserve"> </w:t>
      </w:r>
      <w:r w:rsidRPr="00442734" w:rsidR="002656E1">
        <w:rPr>
          <w:rtl/>
        </w:rPr>
        <w:t>בין בעלי תסמינים לכאלה שרק נחשפו למאומת ואינם בעלי תסמינים, שמירת המרחק ואף ההגנה על תחנות הדיגום מפגעי מזג האוויר: לפי נתוני משרד הבריאות בנוגע לינואר-אפריל 2022, ברוב (70%) תחנות הדיגום שבהן הוא ביצע בקרה על נושא זה, לא הייתה הפרדה של התורים בין הנבדקים ולא הוצב שילוט מתאים, זאת שלא בהתאם להנחיית משרד הבריאות לספקים. בסקר ההורים השיבו כ-57% מההורים כי נשמר מרווח גדול דיו בין הנבדקים במידה מועטה ומטה, כ-</w:t>
      </w:r>
      <w:r w:rsidRPr="00442734" w:rsidR="002656E1">
        <w:t>66%</w:t>
      </w:r>
      <w:r w:rsidRPr="00442734" w:rsidR="002656E1">
        <w:rPr>
          <w:rtl/>
        </w:rPr>
        <w:t xml:space="preserve"> מההורים השיבו כי בוצעה הפרדת תורים בין הנבדקים במידה מועטה ומטה, וכ-53% מההורים השיבו כי ההגנה על תחנות הדיגום מפני פגעי מזג האוויר (גשם או שמש) הייתה מועטה או כלל לא התקיימה</w:t>
      </w:r>
      <w:r w:rsidRPr="00AF3B73">
        <w:rPr>
          <w:rFonts w:hint="cs"/>
          <w:rtl/>
        </w:rPr>
        <w:t xml:space="preserve">. </w:t>
      </w:r>
    </w:p>
    <w:p w:rsidR="00EB672B" w:rsidRPr="00AF3B73" w:rsidP="00EB672B" w14:paraId="1320DBEF" w14:textId="5EC1873A">
      <w:pPr>
        <w:pStyle w:val="7317"/>
        <w:rPr>
          <w:rtl/>
        </w:rPr>
      </w:pPr>
      <w:r w:rsidRPr="00D1758D">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1758D" w:rsidR="002656E1">
        <w:rPr>
          <w:rStyle w:val="7371"/>
          <w:rtl/>
        </w:rPr>
        <w:t>פריסת תחנות הדיגום -</w:t>
      </w:r>
      <w:r w:rsidRPr="00442734" w:rsidR="002656E1">
        <w:rPr>
          <w:rtl/>
        </w:rPr>
        <w:t xml:space="preserve"> עלה כי משרד הבריאות פעל לפרסום מכרז חדש (ב-16.1.22) אשר הביא לשיפור בפריסת תחנות הדיגום, אולם עד שהוא יצא לפועל ב-25.1.22, המשרד לא השתמש בכלים שעמדו לרשותו במסגרת מכרזי התו הירוק ולא ביצע פעולות יזומות ושיטתיות לשיפור פריסת תחנות הדיגום לאנטיגן בפריפריה. זאת, אף על פי שבסיס המידע הכולל נתונים על אודות פריסת תחנות הדיגום, מספר הנבדקים היומי, מספר התושבים בכל יישוב וכן נתונים חלקיים בנוגע לעומסים בתחנות - נמצא בידיו. כך למשל, עלה כי ב-2.1.22, בסמוך למועד שבו עדכנה הממשלה לראשונה את מדיניות הבדיקות בעקבות התפשטות גל האומיקרון, היו 168 יישובים באזורי הפריפריה, שבהם מתגוררים כ-220,000 תושבים </w:t>
      </w:r>
      <w:r w:rsidRPr="00442734" w:rsidR="002656E1">
        <w:rPr>
          <w:rFonts w:hint="cs"/>
          <w:rtl/>
        </w:rPr>
        <w:t>ב</w:t>
      </w:r>
      <w:r w:rsidRPr="00442734" w:rsidR="002656E1">
        <w:rPr>
          <w:rtl/>
        </w:rPr>
        <w:t xml:space="preserve">סך הכול, הממוקמים במרחק העולה על 15 ק"מ מתחנות הדיגום. נכון ל-13.1.22 חל שיפור בנגישות התושבים לתחנות הדיגום, אך עם זאת, עדיין היו 101 יישובים באזורי הפריפריה, שבהם מתגוררים </w:t>
      </w:r>
      <w:r w:rsidRPr="00442734" w:rsidR="002656E1">
        <w:rPr>
          <w:rFonts w:hint="cs"/>
          <w:rtl/>
        </w:rPr>
        <w:t>ב</w:t>
      </w:r>
      <w:r w:rsidRPr="00442734" w:rsidR="002656E1">
        <w:rPr>
          <w:rtl/>
        </w:rPr>
        <w:t>סך הכול כ-150,000 תושבים, הממוקמים במרחק העולה על 15 ק"מ מתחנות הדיגום; נוסף</w:t>
      </w:r>
      <w:r w:rsidRPr="00442734" w:rsidR="002656E1">
        <w:rPr>
          <w:rFonts w:hint="cs"/>
          <w:rtl/>
        </w:rPr>
        <w:t xml:space="preserve"> על כך</w:t>
      </w:r>
      <w:r w:rsidRPr="00442734" w:rsidR="002656E1">
        <w:rPr>
          <w:rtl/>
        </w:rPr>
        <w:t>, ב-16.1.22, שיא הבדיקות בגל האומיקרון, ברהט ובקריית אתא לא היו תחנות דיגום כלל, ואילו ביבנה ובנס ציונה, יישובים עם מספר תושבים קטן יותר באזור המרכז, פעלו ארבע תחנות בתאריך זה; עוד עלה כי</w:t>
      </w:r>
      <w:r w:rsidRPr="00C84582" w:rsidR="002656E1">
        <w:rPr>
          <w:rtl/>
        </w:rPr>
        <w:t xml:space="preserve"> </w:t>
      </w:r>
      <w:r w:rsidRPr="00442734" w:rsidR="002656E1">
        <w:rPr>
          <w:rtl/>
        </w:rPr>
        <w:t>בשלושה מועדים שנבדקו, עד הפעלת המכרז החדש, בכ-40% מהיישובים (3</w:t>
      </w:r>
      <w:r w:rsidRPr="00442734" w:rsidR="002656E1">
        <w:rPr>
          <w:rFonts w:hint="cs"/>
          <w:rtl/>
        </w:rPr>
        <w:t xml:space="preserve">7 </w:t>
      </w:r>
      <w:r w:rsidRPr="00442734" w:rsidR="002656E1">
        <w:rPr>
          <w:rtl/>
        </w:rPr>
        <w:t>-</w:t>
      </w:r>
      <w:r w:rsidRPr="00442734" w:rsidR="002656E1">
        <w:rPr>
          <w:rFonts w:hint="cs"/>
          <w:rtl/>
        </w:rPr>
        <w:t xml:space="preserve"> </w:t>
      </w:r>
      <w:r w:rsidRPr="00442734" w:rsidR="002656E1">
        <w:rPr>
          <w:rtl/>
        </w:rPr>
        <w:t>3</w:t>
      </w:r>
      <w:r w:rsidRPr="00442734" w:rsidR="002656E1">
        <w:rPr>
          <w:rFonts w:hint="cs"/>
          <w:rtl/>
        </w:rPr>
        <w:t>8</w:t>
      </w:r>
      <w:r w:rsidRPr="00442734" w:rsidR="002656E1">
        <w:rPr>
          <w:rtl/>
        </w:rPr>
        <w:t xml:space="preserve"> יישובים) באזורי הפריפריה, שבהם מתגוררים יותר מ-10,000 תושבים, לא הייתה תחנת דיגום. היעדר תחנות הדיגום ביישובים אלו פגע בנגישות הבדיקות לתושבים, שנדרשו לזמן נסיעה ארוך לתחנות דיגום ביישובים אחרים, ועלול היה להוביל להגברת העומס בהן, ואף לכך שתושבים יוותרו על ביצוע בדיקות</w:t>
      </w:r>
      <w:r w:rsidRPr="00AF3B73">
        <w:rPr>
          <w:rFonts w:hint="cs"/>
          <w:rtl/>
        </w:rPr>
        <w:t>.</w:t>
      </w:r>
    </w:p>
    <w:p w:rsidR="00EB672B" w:rsidP="00EB672B" w14:paraId="6EA213E6" w14:textId="46E2877D">
      <w:pPr>
        <w:pStyle w:val="7317"/>
        <w:rPr>
          <w:rtl/>
        </w:rPr>
      </w:pPr>
      <w:r w:rsidRPr="00D1758D">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1758D" w:rsidR="002656E1">
        <w:rPr>
          <w:rStyle w:val="7371"/>
          <w:rtl/>
        </w:rPr>
        <w:t>פיקוח ובקרה על מערך בדיקות האנטיגן המוסדיות -</w:t>
      </w:r>
      <w:r w:rsidRPr="00442734" w:rsidR="002656E1">
        <w:rPr>
          <w:rtl/>
        </w:rPr>
        <w:t xml:space="preserve"> במהלך רוב חודש ינואר 2022, </w:t>
      </w:r>
      <w:r w:rsidRPr="00442734" w:rsidR="002656E1">
        <w:rPr>
          <w:rFonts w:hint="cs"/>
          <w:rtl/>
        </w:rPr>
        <w:t>ש</w:t>
      </w:r>
      <w:r w:rsidRPr="00442734" w:rsidR="002656E1">
        <w:rPr>
          <w:rtl/>
        </w:rPr>
        <w:t xml:space="preserve">בו מספר בדיקות האנטיגן המוסדיות היה הגבוה ביותר, לא ביצע משרד הבריאות בקרות יזומות על תחנות הדיגום, ובכך הוא למעשה לא הבטיח בזמן אמת את איכות השירות שניתן לנבדקים. עוד עולה כי מסוף ינואר ועד סוף פברואר 2022 ביצע משרד הבריאות בקרות מתועדות על 61 תחנות דיגום מתוך כ-730 תחנות שהיו פעילות בממוצע באותה התקופה. מדובר בשיעור של כ-2% בלבד בממוצע מסך התחנות בכל שבוע, שיעור הנמוך ממה שהגדיר ראש </w:t>
      </w:r>
      <w:r w:rsidRPr="00442734" w:rsidR="002656E1">
        <w:rPr>
          <w:rtl/>
        </w:rPr>
        <w:t>המשל"ט</w:t>
      </w:r>
      <w:r w:rsidRPr="00442734" w:rsidR="002656E1">
        <w:rPr>
          <w:rtl/>
        </w:rPr>
        <w:t xml:space="preserve"> (מרכז השליטה לניהול המאבק הלאומי בנגיף הקורונה) דאז במכתבו לוועדת המכרזים (10%). נוסף על כך, המעקב אחר תיקון הליקויים שנמצאו בבקרות שערך משרד הבריאות בחודשים ינואר-פברואר 2022 לא בוצע באופן שיטתי, </w:t>
      </w:r>
      <w:r w:rsidRPr="00442734" w:rsidR="002656E1">
        <w:rPr>
          <w:rtl/>
        </w:rPr>
        <w:t>והמשרד לא וידא באופן סדור כי תיקון הליקויים שעלו בבקרות מיושם באופן רוחבי בכלל תחנות הדיגום. הדבר עלול לגרום לכך שליקויים שהיו לא תוקנו ו</w:t>
      </w:r>
      <w:r w:rsidRPr="00442734" w:rsidR="002656E1">
        <w:rPr>
          <w:rFonts w:hint="cs"/>
          <w:rtl/>
        </w:rPr>
        <w:t>ש</w:t>
      </w:r>
      <w:r w:rsidRPr="00442734" w:rsidR="002656E1">
        <w:rPr>
          <w:rtl/>
        </w:rPr>
        <w:t>השירות לתושבים לא השתפר</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2D0676F7">
      <w:pPr>
        <w:pStyle w:val="7317"/>
        <w:rPr>
          <w:rtl/>
        </w:rPr>
      </w:pPr>
      <w:r w:rsidRPr="002656E1">
        <w:rPr>
          <w:b/>
          <w:bCs/>
          <w:rtl/>
        </w:rPr>
        <w:t>לוח הזמנים לפרסום המכרז החדש -</w:t>
      </w:r>
      <w:r w:rsidRPr="00442734">
        <w:rPr>
          <w:rtl/>
        </w:rPr>
        <w:t xml:space="preserve"> משרד מבקר המדינה מציין לחיוב את לוח הזמנים הקצר שעמד על כשבועיים שבו פעל משרד הבריאות לפרסום המכרז החדש לטובת הרחבתו של מערך בדיקות האנטיגן המוסדיות</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1EC4023D">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258F0" w:rsidR="00D1758D">
        <w:rPr>
          <w:rtl/>
        </w:rPr>
        <w:t>מומלץ כי בהתמודדות עם תנאים של אי</w:t>
      </w:r>
      <w:r w:rsidRPr="005258F0" w:rsidR="00D1758D">
        <w:rPr>
          <w:rFonts w:hint="cs"/>
          <w:rtl/>
        </w:rPr>
        <w:t>-</w:t>
      </w:r>
      <w:r w:rsidRPr="005258F0" w:rsidR="00D1758D">
        <w:rPr>
          <w:rtl/>
        </w:rPr>
        <w:t>ודאות, משרד הבריאות יבחן את הדרך היעילה ביותר לניתוח כלל החלופות העומדות לפניו, לבחינתן ו</w:t>
      </w:r>
      <w:r w:rsidRPr="005258F0" w:rsidR="00D1758D">
        <w:rPr>
          <w:rFonts w:hint="cs"/>
          <w:rtl/>
        </w:rPr>
        <w:t>ל</w:t>
      </w:r>
      <w:r w:rsidRPr="005258F0" w:rsidR="00D1758D">
        <w:rPr>
          <w:rtl/>
        </w:rPr>
        <w:t xml:space="preserve">קביעת האמצעים להוצאת החלופה המיטבית לפועל בעת הצורך, כל זאת באמצעות גיבוש תוכניות מגירה לתרחישים הסבירים ביותר או באמצעות שימוש במנגנון התקשרות מהיר בשעת חירום שאפשר שיכלול התקשרות עם ספקים בשגרה לטובת הפעלה </w:t>
      </w:r>
      <w:r w:rsidRPr="005258F0" w:rsidR="00D1758D">
        <w:rPr>
          <w:rtl/>
        </w:rPr>
        <w:t>בעיתות</w:t>
      </w:r>
      <w:r w:rsidRPr="005258F0" w:rsidR="00D1758D">
        <w:rPr>
          <w:rtl/>
        </w:rPr>
        <w:t xml:space="preserve"> חירום. עוד מומלץ כי משרד הבריאות יכין מראש תוכנית שתאפשר למערכת הבריאות מעבר מהיר מ</w:t>
      </w:r>
      <w:r w:rsidRPr="005258F0" w:rsidR="00D1758D">
        <w:rPr>
          <w:rFonts w:hint="cs"/>
          <w:rtl/>
        </w:rPr>
        <w:t xml:space="preserve">עת </w:t>
      </w:r>
      <w:r w:rsidRPr="005258F0" w:rsidR="00D1758D">
        <w:rPr>
          <w:rtl/>
        </w:rPr>
        <w:t>שגרה ל</w:t>
      </w:r>
      <w:r w:rsidRPr="005258F0" w:rsidR="00D1758D">
        <w:rPr>
          <w:rFonts w:hint="cs"/>
          <w:rtl/>
        </w:rPr>
        <w:t xml:space="preserve">עת </w:t>
      </w:r>
      <w:r w:rsidRPr="005258F0" w:rsidR="00D1758D">
        <w:rPr>
          <w:rtl/>
        </w:rPr>
        <w:t>חירום עם התפתחות פנדמיה. בתוך כך מומלץ להכין תרחישים אפשריים להתפתחות גלי התחלואה ומתן מענה מתאים לכל תרחיש שכזה, מבחינת הפעלת הכוחות המעורבים, קביעת תהליכי עבודה, תרגול של תרחישים אלו וכיוצא בזה</w:t>
      </w:r>
      <w:r w:rsidRPr="007C7D40">
        <w:rPr>
          <w:rFonts w:hint="cs"/>
          <w:rtl/>
        </w:rPr>
        <w:t xml:space="preserve">. </w:t>
      </w:r>
    </w:p>
    <w:p w:rsidR="00EB672B" w:rsidRPr="007C7D40" w:rsidP="00EB672B" w14:paraId="723E2ABD" w14:textId="5DFECAFE">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258F0" w:rsidR="00D1758D">
        <w:rPr>
          <w:rtl/>
        </w:rPr>
        <w:t xml:space="preserve">מומלץ למשרד הבריאות לפעול באופן מתמיד להבטיח שקיפות של מידע ונתונים ההכרחיים לידיעת הציבור ולוודא כי רמת אמינותם גבוהה ומדויקת. יש בכך הכרח במיוחד בעת אירועים חריגים, דוגמת אירוע התמודדות עם מגפה </w:t>
      </w:r>
      <w:r w:rsidRPr="005258F0" w:rsidR="00D1758D">
        <w:rPr>
          <w:rtl/>
        </w:rPr>
        <w:t>פנדמית</w:t>
      </w:r>
      <w:r w:rsidRPr="005258F0" w:rsidR="00D1758D">
        <w:rPr>
          <w:rFonts w:hint="cs"/>
          <w:rtl/>
        </w:rPr>
        <w:t>,</w:t>
      </w:r>
      <w:r w:rsidRPr="005258F0" w:rsidR="00D1758D">
        <w:rPr>
          <w:rtl/>
        </w:rPr>
        <w:t xml:space="preserve"> שאז כלי חיוני מהמעלה הראשונה להצלחה בהתמודדות שכזו הוא אמון של הציבור במערכת המנהלת את האירוע. עוד מומלץ כי משרד הבריאות ישמור את הנתונים השוטפים </w:t>
      </w:r>
      <w:r w:rsidRPr="005258F0" w:rsidR="00D1758D">
        <w:rPr>
          <w:rFonts w:hint="cs"/>
          <w:rtl/>
        </w:rPr>
        <w:t>ש</w:t>
      </w:r>
      <w:r w:rsidRPr="005258F0" w:rsidR="00D1758D">
        <w:rPr>
          <w:rtl/>
        </w:rPr>
        <w:t>אותם הוא מקבל מהספקים כדי שיוכל לנתח את הנתונים, להסיק מהם מסקנות ומתוך כך לשפר את תוצאות הפעילות של הספקים. מומלץ גם כי המשרד ישקול להקים מערכת ממוחשבת לניהול תורים אשר בכוחה לייעל את ניהול התורים ולשקף לציבור את העומס הקיים</w:t>
      </w:r>
      <w:r w:rsidRPr="007C7D40">
        <w:rPr>
          <w:rtl/>
        </w:rPr>
        <w:t xml:space="preserve">. </w:t>
      </w:r>
    </w:p>
    <w:p w:rsidR="00EB672B" w:rsidRPr="007C7D40" w:rsidP="00EB672B" w14:paraId="55FA89EC" w14:textId="5EC2F7BD">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258F0" w:rsidR="00D1758D">
        <w:rPr>
          <w:rtl/>
        </w:rPr>
        <w:t>מומלץ שבמסגרת מכרזים שבהם משרד הבריאות מפעיל ספקים לביצוע שירותים, הוא יבחן באופן שוטף את עמידתם בתנאים שהוא עצמו הגדיר, כדי לוודא שהשירות מספק וכדי למצות את תכליתו, ובכלל זה יבצע מ</w:t>
      </w:r>
      <w:r w:rsidRPr="005258F0" w:rsidR="00D1758D">
        <w:rPr>
          <w:rFonts w:hint="cs"/>
          <w:rtl/>
        </w:rPr>
        <w:t>פעם</w:t>
      </w:r>
      <w:r w:rsidRPr="005258F0" w:rsidR="00D1758D">
        <w:rPr>
          <w:rtl/>
        </w:rPr>
        <w:t xml:space="preserve"> ל</w:t>
      </w:r>
      <w:r w:rsidRPr="005258F0" w:rsidR="00D1758D">
        <w:rPr>
          <w:rFonts w:hint="cs"/>
          <w:rtl/>
        </w:rPr>
        <w:t>פעם</w:t>
      </w:r>
      <w:r w:rsidRPr="005258F0" w:rsidR="00D1758D">
        <w:rPr>
          <w:rtl/>
        </w:rPr>
        <w:t xml:space="preserve"> סקרי דעת קהל לגבי איכות השירות שהספקים נותנים. קיום מנגנוני מעקב ובקרה חשובים בעיקר </w:t>
      </w:r>
      <w:r w:rsidRPr="005258F0" w:rsidR="00D1758D">
        <w:rPr>
          <w:rtl/>
        </w:rPr>
        <w:t>בע</w:t>
      </w:r>
      <w:r w:rsidRPr="005258F0" w:rsidR="00D1758D">
        <w:rPr>
          <w:rFonts w:hint="cs"/>
          <w:rtl/>
        </w:rPr>
        <w:t>י</w:t>
      </w:r>
      <w:r w:rsidRPr="005258F0" w:rsidR="00D1758D">
        <w:rPr>
          <w:rtl/>
        </w:rPr>
        <w:t>תות</w:t>
      </w:r>
      <w:r w:rsidRPr="005258F0" w:rsidR="00D1758D">
        <w:rPr>
          <w:rtl/>
        </w:rPr>
        <w:t xml:space="preserve"> חירום של משבר רפואי, כאשר אמון הציבור הוא נדבך קריטי להתמודדות עם משבר כזה</w:t>
      </w:r>
      <w:r w:rsidRPr="007C7D40">
        <w:rPr>
          <w:rFonts w:hint="cs"/>
          <w:rtl/>
        </w:rPr>
        <w:t>.</w:t>
      </w:r>
    </w:p>
    <w:p w:rsidR="00EB672B" w:rsidRPr="007C7D40" w:rsidP="00EB672B" w14:paraId="078A06EB" w14:textId="559E8F46">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258F0" w:rsidR="00D1758D">
        <w:rPr>
          <w:rtl/>
        </w:rPr>
        <w:t>מומלץ כי משרד הבריאות יקבע שיטה לתיעוד תוצאות בקרות שהוא עורך על פעילות ספקים שהוא מפעיל ולשמירת הנתונים המתקבלים מהם. הדבר נדרש הן כדי לוודא שהספקים פועלים על פי הסכמים שנחתמו ע</w:t>
      </w:r>
      <w:r w:rsidRPr="005258F0" w:rsidR="00D1758D">
        <w:rPr>
          <w:rFonts w:hint="cs"/>
          <w:rtl/>
        </w:rPr>
        <w:t>י</w:t>
      </w:r>
      <w:r w:rsidRPr="005258F0" w:rsidR="00D1758D">
        <w:rPr>
          <w:rtl/>
        </w:rPr>
        <w:t xml:space="preserve">מם וכדי לייצר רצף מתמשך של בקרה ופיקוח והן כדי שיוכל לנתח את הנתונים, להסיק מהם מסקנות ומתוך כך לשפר את </w:t>
      </w:r>
      <w:r w:rsidRPr="005258F0" w:rsidR="00D1758D">
        <w:rPr>
          <w:rtl/>
        </w:rPr>
        <w:t>תוצאות הפעילות של הספקים. אשר לפעילות המתבצעת בתחנות הדיגום - נתוני דיווח אמינים על הפעילות בתחנות וניתוח שלהם יכול</w:t>
      </w:r>
      <w:r w:rsidRPr="005258F0" w:rsidR="00D1758D">
        <w:rPr>
          <w:rFonts w:hint="cs"/>
          <w:rtl/>
        </w:rPr>
        <w:t>ים</w:t>
      </w:r>
      <w:r w:rsidRPr="005258F0" w:rsidR="00D1758D">
        <w:rPr>
          <w:rtl/>
        </w:rPr>
        <w:t xml:space="preserve"> לסייע למשרד למפות את רמת העומס בתחנות הדיגום, לשקף את המידע לציבור בזמן אמת ולהפנותו לתחנות עמוסות פחות, לשקף מידע זה גם לספקים כדי שיוכלו לווסת את כוח האדם בתחנות בהתאם לעומס ואף להוסיף עמדות בדיקה בתחנות עמוסות</w:t>
      </w:r>
      <w:r w:rsidRPr="007C7D40">
        <w:rPr>
          <w:rFonts w:hint="cs"/>
          <w:rtl/>
        </w:rPr>
        <w:t>.</w:t>
      </w:r>
    </w:p>
    <w:p w:rsidR="00EB672B" w:rsidRPr="007C7D40" w:rsidP="00EB672B" w14:paraId="5538133A" w14:textId="25D8636B">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5258F0" w:rsidR="00D1758D">
        <w:rPr>
          <w:rtl/>
        </w:rPr>
        <w:t xml:space="preserve">מומלץ כי משרד הבריאות יבצע מעקב מסודר אחר תיקון הליקויים העולים בבקרות, ויבטיח את תיקון הליקויים הללו בזמן קצוב. כך יהיה באפשרותו למפות את הנתונים העומדים לרשותו, לנתח אותם </w:t>
      </w:r>
      <w:r w:rsidRPr="005258F0" w:rsidR="00D1758D">
        <w:rPr>
          <w:rFonts w:hint="cs"/>
          <w:rtl/>
        </w:rPr>
        <w:t>כדי</w:t>
      </w:r>
      <w:r w:rsidRPr="005258F0" w:rsidR="00D1758D">
        <w:rPr>
          <w:rtl/>
        </w:rPr>
        <w:t xml:space="preserve"> להסיק מסקנות ולהפיק לקחים לטובת שיפור השירות לתושבים</w:t>
      </w:r>
      <w:r w:rsidRPr="007C7D40">
        <w:rPr>
          <w:rFonts w:hint="cs"/>
          <w:rtl/>
        </w:rPr>
        <w:t>.</w:t>
      </w:r>
    </w:p>
    <w:p w:rsidR="00D1758D" w:rsidP="00EB672B" w14:paraId="63467834" w14:textId="0AEA19E2">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258F0">
        <w:rPr>
          <w:rtl/>
        </w:rPr>
        <w:t>מומלץ כי משרד הבריאות יבחן מ</w:t>
      </w:r>
      <w:r w:rsidRPr="005258F0">
        <w:rPr>
          <w:rFonts w:hint="cs"/>
          <w:rtl/>
        </w:rPr>
        <w:t>פעם</w:t>
      </w:r>
      <w:r w:rsidRPr="005258F0">
        <w:rPr>
          <w:rtl/>
        </w:rPr>
        <w:t xml:space="preserve"> ל</w:t>
      </w:r>
      <w:r w:rsidRPr="005258F0">
        <w:rPr>
          <w:rFonts w:hint="cs"/>
          <w:rtl/>
        </w:rPr>
        <w:t>פעם</w:t>
      </w:r>
      <w:r w:rsidRPr="005258F0">
        <w:rPr>
          <w:rtl/>
        </w:rPr>
        <w:t xml:space="preserve"> את ארגז הכלים העומד לרשותו וינתח בזמן אמת את המידע הקיים בידו </w:t>
      </w:r>
      <w:r w:rsidRPr="005258F0">
        <w:rPr>
          <w:rFonts w:hint="cs"/>
          <w:rtl/>
        </w:rPr>
        <w:t>כדי</w:t>
      </w:r>
      <w:r w:rsidRPr="005258F0">
        <w:rPr>
          <w:rtl/>
        </w:rPr>
        <w:t xml:space="preserve"> להפעיל ביעילות המרבית מערכים תפעוליים הנמצאים תחת אחריותו תוך מתן דגש על שיווניות השירות ובפרט בפריפריה</w:t>
      </w:r>
      <w:r w:rsidRPr="008E57FE">
        <w:rPr>
          <w:rFonts w:hint="cs"/>
          <w:rtl/>
        </w:rPr>
        <w:t>.</w:t>
      </w:r>
    </w:p>
    <w:p w:rsidR="00D1758D" w14:paraId="51EFA96C"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097C0573">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67374</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22C7C75E">
                            <w:pPr>
                              <w:pStyle w:val="7332"/>
                              <w:rPr>
                                <w:rtl/>
                              </w:rPr>
                            </w:pPr>
                            <w:r w:rsidRPr="00D1758D">
                              <w:rPr>
                                <w:rtl/>
                              </w:rPr>
                              <w:t>מספר מאומתים יומי, מספר בדיקות אנטיגן מוסדיות יומיות ומספר תחנות דיגום יומי,  ינואר-פברואר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3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22C7C75E">
                      <w:pPr>
                        <w:pStyle w:val="7332"/>
                        <w:rPr>
                          <w:rtl/>
                        </w:rPr>
                      </w:pPr>
                      <w:r w:rsidRPr="00D1758D">
                        <w:rPr>
                          <w:rtl/>
                        </w:rPr>
                        <w:t>מספר מאומתים יומי, מספר בדיקות אנטיגן מוסדיות יומיות ומספר תחנות דיגום יומי,  ינואר-פברואר 2022</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1758D" w14:paraId="65CD3CF9" w14:textId="09F08590">
      <w:pPr>
        <w:rPr>
          <w:rtl/>
        </w:rPr>
      </w:pPr>
    </w:p>
    <w:p w:rsidR="00D57BE9" w:rsidRPr="00D57BE9" w:rsidP="00D57BE9" w14:paraId="29744092" w14:textId="06EF01F3">
      <w:pPr>
        <w:rPr>
          <w:rtl/>
        </w:rPr>
      </w:pPr>
      <w:r>
        <w:rPr>
          <w:noProof/>
          <w:rtl/>
          <w:lang w:val="he-IL"/>
        </w:rPr>
        <w:drawing>
          <wp:inline distT="0" distB="0" distL="0" distR="0">
            <wp:extent cx="4632583" cy="2935301"/>
            <wp:effectExtent l="0" t="0" r="3175"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43122" cy="2941979"/>
                    </a:xfrm>
                    <a:prstGeom prst="rect">
                      <a:avLst/>
                    </a:prstGeom>
                  </pic:spPr>
                </pic:pic>
              </a:graphicData>
            </a:graphic>
          </wp:inline>
        </w:drawing>
      </w:r>
    </w:p>
    <w:p w:rsidR="00D1758D" w:rsidRPr="00C84582" w:rsidP="00D1758D" w14:paraId="4235089A" w14:textId="77777777">
      <w:pPr>
        <w:pStyle w:val="738"/>
        <w:spacing w:after="0"/>
        <w:rPr>
          <w:rtl/>
        </w:rPr>
      </w:pPr>
      <w:r w:rsidRPr="00C84582">
        <w:rPr>
          <w:rtl/>
        </w:rPr>
        <w:t>על פי נתוני משרד הבריאות באתר האינטרנט של משרד הבריאות 'נגיף הקורונה בישראל - תמונת מצב כללית', ונתוני משרד הבריאות בנוגע לתחנות הדיגום (מאוגוסט 2022), בעיבוד משרד מבקר המדינה.</w:t>
      </w:r>
    </w:p>
    <w:p w:rsidR="00D1758D" w:rsidRPr="00C84582" w:rsidP="00D1758D" w14:paraId="0797C54E" w14:textId="05834EAA">
      <w:pPr>
        <w:pStyle w:val="738"/>
        <w:spacing w:before="0"/>
        <w:rPr>
          <w:rtl/>
        </w:rPr>
      </w:pPr>
      <w:r w:rsidRPr="00C84582">
        <w:rPr>
          <w:rtl/>
        </w:rPr>
        <w:t>(*) תחילת הפעלת תחנות הדיגום במסגרת המכרז החדש.</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C5468A" w:rsidP="004E71DD" w14:paraId="766597D5" w14:textId="501A8F38">
      <w:pPr>
        <w:widowControl w:val="0"/>
        <w:tabs>
          <w:tab w:val="left" w:pos="9604"/>
        </w:tabs>
        <w:spacing w:before="240" w:line="276" w:lineRule="auto"/>
        <w:ind w:left="-1"/>
        <w:rPr>
          <w:rFonts w:ascii="Tahoma" w:hAnsi="Tahoma" w:cs="Tahoma"/>
          <w:sz w:val="18"/>
          <w:szCs w:val="18"/>
          <w:rtl/>
        </w:rPr>
      </w:pPr>
      <w:bookmarkStart w:id="3" w:name="_Hlk153271857"/>
      <w:r w:rsidRPr="005258F0">
        <w:rPr>
          <w:rFonts w:ascii="Tahoma" w:hAnsi="Tahoma" w:cs="Tahoma"/>
          <w:sz w:val="18"/>
          <w:szCs w:val="18"/>
          <w:rtl/>
        </w:rPr>
        <w:t>נגיף הקורונה התפרץ בישראל במרץ 2020. הקמתו של מערך הבדיקות לאבחון ההידבקות בנגיף הקורונה והפעלתו היו מרכיב מרכזי בהתמודדות עם נגיף זה ברחבי העולם וגם בישראל.</w:t>
      </w:r>
      <w:r w:rsidRPr="005258F0">
        <w:rPr>
          <w:rFonts w:ascii="Tahoma" w:hAnsi="Tahoma" w:cs="Tahoma" w:hint="cs"/>
          <w:sz w:val="18"/>
          <w:szCs w:val="18"/>
          <w:rtl/>
        </w:rPr>
        <w:t xml:space="preserve"> </w:t>
      </w:r>
      <w:bookmarkEnd w:id="3"/>
      <w:r w:rsidRPr="005258F0">
        <w:rPr>
          <w:rFonts w:ascii="Tahoma" w:hAnsi="Tahoma" w:cs="Tahoma"/>
          <w:sz w:val="18"/>
          <w:szCs w:val="18"/>
          <w:rtl/>
        </w:rPr>
        <w:t xml:space="preserve">היכולת לפרוס תחנות אנטיגן במהירות בהתאם כדי לספק לציבור שירות יעיל, שוויוני ואיכותי קיבלה משנה חשיבות כשהיה מדובר במתן שירות שנגע לכלל האוכלוסייה והשפיע על חיי היום יום ובכך </w:t>
      </w:r>
      <w:r w:rsidRPr="005258F0">
        <w:rPr>
          <w:rFonts w:ascii="Tahoma" w:hAnsi="Tahoma" w:cs="Tahoma"/>
          <w:sz w:val="18"/>
          <w:szCs w:val="18"/>
          <w:rtl/>
        </w:rPr>
        <w:t>שאיפשר</w:t>
      </w:r>
      <w:r w:rsidRPr="005258F0">
        <w:rPr>
          <w:rFonts w:ascii="Tahoma" w:hAnsi="Tahoma" w:cs="Tahoma"/>
          <w:sz w:val="18"/>
          <w:szCs w:val="18"/>
          <w:rtl/>
        </w:rPr>
        <w:t xml:space="preserve"> חזרה לשגרת חיים לצד הקורונה. בביקורת עלה כי למרות הגידול בקצב התפשטות המגפה מגל לגל, משרד הבריאות לא נערך עד לינואר 2022 להרחבת מספר הבדיקות היומי לאבחון קורונה באמצעות תוספת של בדיקות אנטיגן מוסדיות על בדיקות ה-</w:t>
      </w:r>
      <w:r w:rsidRPr="005258F0">
        <w:rPr>
          <w:rFonts w:ascii="Tahoma" w:hAnsi="Tahoma" w:cs="Tahoma"/>
          <w:sz w:val="18"/>
          <w:szCs w:val="18"/>
        </w:rPr>
        <w:t>PCR</w:t>
      </w:r>
      <w:r w:rsidRPr="005258F0">
        <w:rPr>
          <w:rFonts w:ascii="Tahoma" w:hAnsi="Tahoma" w:cs="Tahoma"/>
          <w:sz w:val="18"/>
          <w:szCs w:val="18"/>
          <w:rtl/>
        </w:rPr>
        <w:t xml:space="preserve">, מה שהוביל לפריסה לא מיטבית של תחנות הדיגום ולהמתנה בתורים. יצירת תשתית אשר תאפשר למשרד הבריאות מתן מענה מהיר ואיכותי </w:t>
      </w:r>
      <w:r w:rsidRPr="005258F0">
        <w:rPr>
          <w:rFonts w:ascii="Tahoma" w:hAnsi="Tahoma" w:cs="Tahoma"/>
          <w:sz w:val="18"/>
          <w:szCs w:val="18"/>
          <w:rtl/>
        </w:rPr>
        <w:t>בע</w:t>
      </w:r>
      <w:r w:rsidRPr="005258F0">
        <w:rPr>
          <w:rFonts w:ascii="Tahoma" w:hAnsi="Tahoma" w:cs="Tahoma" w:hint="cs"/>
          <w:sz w:val="18"/>
          <w:szCs w:val="18"/>
          <w:rtl/>
        </w:rPr>
        <w:t>י</w:t>
      </w:r>
      <w:r w:rsidRPr="005258F0">
        <w:rPr>
          <w:rFonts w:ascii="Tahoma" w:hAnsi="Tahoma" w:cs="Tahoma"/>
          <w:sz w:val="18"/>
          <w:szCs w:val="18"/>
          <w:rtl/>
        </w:rPr>
        <w:t>תות</w:t>
      </w:r>
      <w:r w:rsidRPr="005258F0">
        <w:rPr>
          <w:rFonts w:ascii="Tahoma" w:hAnsi="Tahoma" w:cs="Tahoma"/>
          <w:sz w:val="18"/>
          <w:szCs w:val="18"/>
          <w:rtl/>
        </w:rPr>
        <w:t xml:space="preserve"> חירום הכרחית לטובת התמודדות מערכת הבריאות עם מצבי חירום עתידיים ותתרום לשמירה על בריאות הציבור</w:t>
      </w:r>
      <w:r w:rsidRPr="006615C6" w:rsidR="004E71DD">
        <w:rPr>
          <w:rFonts w:ascii="Tahoma" w:hAnsi="Tahoma" w:cs="Tahoma" w:hint="cs"/>
          <w:sz w:val="18"/>
          <w:szCs w:val="18"/>
          <w:rtl/>
        </w:rPr>
        <w:t xml:space="preserve">. </w:t>
      </w:r>
    </w:p>
    <w:p w:rsidR="00C5468A" w14:paraId="25F54484" w14:textId="77777777">
      <w:pPr>
        <w:bidi w:val="0"/>
        <w:spacing w:after="200" w:line="276" w:lineRule="auto"/>
        <w:rPr>
          <w:rFonts w:ascii="Tahoma" w:hAnsi="Tahoma" w:cs="Tahoma"/>
          <w:sz w:val="18"/>
          <w:szCs w:val="18"/>
          <w:rtl/>
        </w:rPr>
      </w:pPr>
      <w:r>
        <w:rPr>
          <w:rFonts w:ascii="Tahoma" w:hAnsi="Tahoma" w:cs="Tahoma"/>
          <w:sz w:val="18"/>
          <w:szCs w:val="18"/>
          <w:rtl/>
        </w:rPr>
        <w:br w:type="page"/>
      </w:r>
    </w:p>
    <w:p w:rsidR="004E71DD" w:rsidP="004E71DD" w14:paraId="6214B96E" w14:textId="55A0D2C7">
      <w:pPr>
        <w:widowControl w:val="0"/>
        <w:tabs>
          <w:tab w:val="left" w:pos="9604"/>
        </w:tabs>
        <w:spacing w:before="240" w:line="276" w:lineRule="auto"/>
        <w:ind w:left="-1"/>
        <w:rPr>
          <w:rFonts w:ascii="Tahoma" w:hAnsi="Tahoma" w:cs="Tahoma"/>
          <w:sz w:val="18"/>
          <w:szCs w:val="18"/>
          <w:rtl/>
        </w:rPr>
      </w:pPr>
      <w:r>
        <w:rPr>
          <w:rFonts w:ascii="Tahoma" w:hAnsi="Tahoma" w:cs="Tahoma"/>
          <w:noProof/>
          <w:sz w:val="18"/>
          <w:szCs w:val="18"/>
          <w:rtl/>
          <w:lang w:val="he-IL"/>
        </w:rPr>
        <mc:AlternateContent>
          <mc:Choice Requires="wps">
            <w:drawing>
              <wp:anchor distT="0" distB="0" distL="114300" distR="114300" simplePos="0" relativeHeight="251696128" behindDoc="0" locked="0" layoutInCell="1" allowOverlap="1">
                <wp:simplePos x="0" y="0"/>
                <wp:positionH relativeFrom="column">
                  <wp:posOffset>-1389780</wp:posOffset>
                </wp:positionH>
                <wp:positionV relativeFrom="paragraph">
                  <wp:posOffset>-720370</wp:posOffset>
                </wp:positionV>
                <wp:extent cx="6228000" cy="1080000"/>
                <wp:effectExtent l="0" t="0" r="8255" b="12700"/>
                <wp:wrapNone/>
                <wp:docPr id="1783055887"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228000" cy="1080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6" style="width:490.4pt;height:85.05pt;margin-top:-56.7pt;margin-left:-109.45pt;mso-wrap-distance-bottom:0;mso-wrap-distance-left:9pt;mso-wrap-distance-right:9pt;mso-wrap-distance-top:0;mso-wrap-style:square;position:absolute;visibility:visible;v-text-anchor:middle;z-index:251697152" fillcolor="white" strokecolor="white" strokeweight="1.25pt"/>
            </w:pict>
          </mc:Fallback>
        </mc:AlternateContent>
      </w:r>
    </w:p>
    <w:p w:rsidR="00D57BE9" w:rsidP="004A6E79" w14:paraId="3D558F60" w14:textId="15C30259">
      <w:pPr>
        <w:pStyle w:val="7392"/>
        <w:rPr>
          <w:rtl/>
        </w:rPr>
      </w:pPr>
      <w:r>
        <w:rPr>
          <w:noProof/>
          <w:rtl/>
          <w:lang w:val="he-IL"/>
        </w:rPr>
        <mc:AlternateContent>
          <mc:Choice Requires="wps">
            <w:drawing>
              <wp:anchor distT="0" distB="0" distL="114300" distR="114300" simplePos="0" relativeHeight="251698176" behindDoc="0" locked="0" layoutInCell="1" allowOverlap="1">
                <wp:simplePos x="0" y="0"/>
                <wp:positionH relativeFrom="column">
                  <wp:posOffset>-885380</wp:posOffset>
                </wp:positionH>
                <wp:positionV relativeFrom="paragraph">
                  <wp:posOffset>6517275</wp:posOffset>
                </wp:positionV>
                <wp:extent cx="6228000" cy="1080000"/>
                <wp:effectExtent l="0" t="0" r="8255" b="12700"/>
                <wp:wrapNone/>
                <wp:docPr id="1990406612"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228000" cy="1080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7" style="width:490.4pt;height:85.05pt;margin-top:513.15pt;margin-left:-69.7pt;mso-wrap-distance-bottom:0;mso-wrap-distance-left:9pt;mso-wrap-distance-right:9pt;mso-wrap-distance-top:0;mso-wrap-style:square;position:absolute;visibility:visible;v-text-anchor:middle;z-index:251699200" fillcolor="white" strokecolor="white" strokeweight="1.25pt"/>
            </w:pict>
          </mc:Fallback>
        </mc:AlternateContent>
      </w:r>
    </w:p>
    <w:sectPr w:rsidSect="00C5468A">
      <w:headerReference w:type="default" r:id="rId28"/>
      <w:pgSz w:w="11906" w:h="16838" w:code="9"/>
      <w:pgMar w:top="3062" w:right="2268" w:bottom="2552" w:left="2268" w:header="1134" w:footer="1361" w:gutter="0"/>
      <w:pgNumType w:start="15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31861" w14:paraId="276F4024" w14:textId="77777777">
      <w:pPr>
        <w:spacing w:line="240" w:lineRule="auto"/>
      </w:pPr>
      <w:r>
        <w:separator/>
      </w:r>
    </w:p>
    <w:p w:rsidR="00C31861" w14:paraId="71FC5AF3" w14:textId="77777777"/>
    <w:p w:rsidR="00C31861" w14:paraId="793A0D1E" w14:textId="77777777"/>
    <w:p w:rsidR="00C31861" w14:paraId="43162704" w14:textId="77777777"/>
  </w:endnote>
  <w:endnote w:type="continuationSeparator" w:id="1">
    <w:p w:rsidR="00C31861" w14:paraId="10645C17" w14:textId="77777777">
      <w:pPr>
        <w:spacing w:line="240" w:lineRule="auto"/>
      </w:pPr>
      <w:r>
        <w:continuationSeparator/>
      </w:r>
    </w:p>
    <w:p w:rsidR="00C31861" w14:paraId="752D9FC4" w14:textId="77777777"/>
    <w:p w:rsidR="00C31861" w14:paraId="725711FE" w14:textId="77777777"/>
    <w:p w:rsidR="00C31861" w14:paraId="115A3D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36C7C4D3">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2E73" w14:paraId="3E7BA8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1861" w:rsidP="00E7235E" w14:paraId="6798A670" w14:textId="77777777">
      <w:pPr>
        <w:spacing w:line="240" w:lineRule="auto"/>
      </w:pPr>
      <w:r>
        <w:separator/>
      </w:r>
    </w:p>
  </w:footnote>
  <w:footnote w:type="continuationSeparator" w:id="1">
    <w:p w:rsidR="00C31861" w:rsidP="00C23CC9" w14:paraId="3F255388" w14:textId="77777777">
      <w:pPr>
        <w:spacing w:line="240" w:lineRule="auto"/>
      </w:pPr>
      <w:r>
        <w:continuationSeparator/>
      </w:r>
    </w:p>
    <w:p w:rsidR="00C31861" w14:paraId="1602701C" w14:textId="77777777"/>
    <w:p w:rsidR="00C31861" w14:paraId="7693A4A1" w14:textId="77777777"/>
    <w:p w:rsidR="00C31861" w14:paraId="191FB91D" w14:textId="77777777"/>
  </w:footnote>
  <w:footnote w:id="2">
    <w:p w:rsidR="002656E1" w:rsidRPr="002656E1" w:rsidP="002656E1" w14:paraId="39F4387C" w14:textId="77777777">
      <w:pPr>
        <w:pStyle w:val="712"/>
        <w:rPr>
          <w:rtl/>
        </w:rPr>
      </w:pPr>
      <w:r w:rsidRPr="002656E1">
        <w:rPr>
          <w:rStyle w:val="FootnoteReference2"/>
          <w:vertAlign w:val="baseline"/>
        </w:rPr>
        <w:footnoteRef/>
      </w:r>
      <w:r w:rsidRPr="002656E1">
        <w:rPr>
          <w:rtl/>
        </w:rPr>
        <w:t xml:space="preserve"> </w:t>
      </w:r>
      <w:r w:rsidRPr="002656E1">
        <w:rPr>
          <w:rtl/>
        </w:rPr>
        <w:tab/>
        <w:t xml:space="preserve">אוֹמִיקְרוֹן הוא וריאנט של </w:t>
      </w:r>
      <w:r w:rsidRPr="002656E1">
        <w:t>SARS-CoV-2</w:t>
      </w:r>
      <w:r w:rsidRPr="002656E1">
        <w:rPr>
          <w:rtl/>
        </w:rPr>
        <w:t>, נגיף הקורונה, הגורם למחלת הקורונה. ארגון הבריאות העולמי הגדיר אותו כ"וריאנט מדאיג" בנובמבר 2021, וקרא לו על שם האות היוונית אומיקרון.</w:t>
      </w:r>
    </w:p>
  </w:footnote>
  <w:footnote w:id="3">
    <w:p w:rsidR="002656E1" w:rsidRPr="002656E1" w:rsidP="002656E1" w14:paraId="6927B9D9" w14:textId="3407BC8B">
      <w:pPr>
        <w:pStyle w:val="712"/>
        <w:rPr>
          <w:rtl/>
        </w:rPr>
      </w:pPr>
      <w:r w:rsidRPr="002656E1">
        <w:rPr>
          <w:rStyle w:val="FootnoteReference2"/>
          <w:vertAlign w:val="baseline"/>
        </w:rPr>
        <w:footnoteRef/>
      </w:r>
      <w:r w:rsidRPr="002656E1">
        <w:rPr>
          <w:rtl/>
        </w:rPr>
        <w:t xml:space="preserve"> </w:t>
      </w:r>
      <w:r w:rsidRPr="002656E1">
        <w:rPr>
          <w:rtl/>
        </w:rPr>
        <w:tab/>
        <w:t>תחילה, מאוגוסט 2021, שימשו בדיקות האנטיגן המוסדיות (מפוקחות) לקבלת תו ירוק זמני. התו הירוק הזמני ניתן ל-24 שעות לטובת כניסה למקומות ציבוריים, עם הצגת תוצאת בדיקת אנטיגן מפוקחת שלילית.</w:t>
      </w:r>
    </w:p>
  </w:footnote>
  <w:footnote w:id="4">
    <w:p w:rsidR="002656E1" w:rsidRPr="002656E1" w:rsidP="002656E1" w14:paraId="489F2755" w14:textId="77777777">
      <w:pPr>
        <w:pStyle w:val="733"/>
      </w:pPr>
      <w:r w:rsidRPr="002656E1">
        <w:rPr>
          <w:rStyle w:val="FootnoteReference2"/>
          <w:vertAlign w:val="baseline"/>
        </w:rPr>
        <w:footnoteRef/>
      </w:r>
      <w:r w:rsidRPr="002656E1">
        <w:rPr>
          <w:rtl/>
        </w:rPr>
        <w:t xml:space="preserve"> </w:t>
      </w:r>
      <w:r w:rsidRPr="002656E1">
        <w:rPr>
          <w:rtl/>
        </w:rPr>
        <w:tab/>
        <w:t>תרגיל לאומי שבוצע בישראל בנובמבר 2021 לבחינת ההיערכות הארצית ולשיפור המוכנות הלאומית להתפרצות זן קטלני חדש של נגיף הקורונה משלב הגילוי עד שלב מניעת התפשטותו והכלתה.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3783C62E">
                          <w:pPr>
                            <w:pStyle w:val="Heading1"/>
                            <w:spacing w:line="269" w:lineRule="auto"/>
                            <w:jc w:val="left"/>
                            <w:rPr>
                              <w:rFonts w:ascii="Tahoma" w:hAnsi="Tahoma" w:eastAsiaTheme="minorHAnsi" w:cs="Tahoma"/>
                              <w:bCs w:val="0"/>
                              <w:color w:val="0D0D0D" w:themeColor="text1" w:themeTint="F2"/>
                              <w:sz w:val="16"/>
                              <w:szCs w:val="16"/>
                              <w:u w:val="none"/>
                            </w:rPr>
                          </w:pPr>
                          <w:r w:rsidRPr="008A7100">
                            <w:rPr>
                              <w:rFonts w:ascii="Tahoma" w:hAnsi="Tahoma" w:eastAsiaTheme="minorHAnsi" w:cs="Tahoma"/>
                              <w:bCs w:val="0"/>
                              <w:color w:val="0D0D0D" w:themeColor="text1" w:themeTint="F2"/>
                              <w:sz w:val="16"/>
                              <w:szCs w:val="16"/>
                              <w:u w:val="none"/>
                              <w:rtl/>
                            </w:rPr>
                            <w:t>הפעלת מערך בדיקות האנטיגן המוסדיות והכר</w:t>
                          </w:r>
                          <w:r w:rsidR="009B2D88">
                            <w:rPr>
                              <w:rFonts w:ascii="Tahoma" w:hAnsi="Tahoma" w:eastAsiaTheme="minorHAnsi" w:cs="Tahoma" w:hint="cs"/>
                              <w:bCs w:val="0"/>
                              <w:color w:val="0D0D0D" w:themeColor="text1" w:themeTint="F2"/>
                              <w:sz w:val="16"/>
                              <w:szCs w:val="16"/>
                              <w:u w:val="none"/>
                              <w:rtl/>
                            </w:rPr>
                            <w:t>ה בה</w:t>
                          </w:r>
                          <w:r w:rsidRPr="008A7100">
                            <w:rPr>
                              <w:rFonts w:ascii="Tahoma" w:hAnsi="Tahoma" w:eastAsiaTheme="minorHAnsi" w:cs="Tahoma"/>
                              <w:bCs w:val="0"/>
                              <w:color w:val="0D0D0D" w:themeColor="text1" w:themeTint="F2"/>
                              <w:sz w:val="16"/>
                              <w:szCs w:val="16"/>
                              <w:u w:val="none"/>
                              <w:rtl/>
                            </w:rPr>
                            <w:t>ן כבדיקות מאבחנות לנגיף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3783C62E">
                    <w:pPr>
                      <w:pStyle w:val="Heading1"/>
                      <w:spacing w:line="269" w:lineRule="auto"/>
                      <w:jc w:val="left"/>
                      <w:rPr>
                        <w:rFonts w:ascii="Tahoma" w:hAnsi="Tahoma" w:eastAsiaTheme="minorHAnsi" w:cs="Tahoma"/>
                        <w:bCs w:val="0"/>
                        <w:color w:val="0D0D0D" w:themeColor="text1" w:themeTint="F2"/>
                        <w:sz w:val="16"/>
                        <w:szCs w:val="16"/>
                        <w:u w:val="none"/>
                      </w:rPr>
                    </w:pPr>
                    <w:r w:rsidRPr="008A7100">
                      <w:rPr>
                        <w:rFonts w:ascii="Tahoma" w:hAnsi="Tahoma" w:eastAsiaTheme="minorHAnsi" w:cs="Tahoma"/>
                        <w:bCs w:val="0"/>
                        <w:color w:val="0D0D0D" w:themeColor="text1" w:themeTint="F2"/>
                        <w:sz w:val="16"/>
                        <w:szCs w:val="16"/>
                        <w:u w:val="none"/>
                        <w:rtl/>
                      </w:rPr>
                      <w:t>הפעלת מערך בדיקות האנטיגן המוסדיות והכר</w:t>
                    </w:r>
                    <w:r w:rsidR="009B2D88">
                      <w:rPr>
                        <w:rFonts w:ascii="Tahoma" w:hAnsi="Tahoma" w:eastAsiaTheme="minorHAnsi" w:cs="Tahoma" w:hint="cs"/>
                        <w:bCs w:val="0"/>
                        <w:color w:val="0D0D0D" w:themeColor="text1" w:themeTint="F2"/>
                        <w:sz w:val="16"/>
                        <w:szCs w:val="16"/>
                        <w:u w:val="none"/>
                        <w:rtl/>
                      </w:rPr>
                      <w:t>ה בה</w:t>
                    </w:r>
                    <w:r w:rsidRPr="008A7100">
                      <w:rPr>
                        <w:rFonts w:ascii="Tahoma" w:hAnsi="Tahoma" w:eastAsiaTheme="minorHAnsi" w:cs="Tahoma"/>
                        <w:bCs w:val="0"/>
                        <w:color w:val="0D0D0D" w:themeColor="text1" w:themeTint="F2"/>
                        <w:sz w:val="16"/>
                        <w:szCs w:val="16"/>
                        <w:u w:val="none"/>
                        <w:rtl/>
                      </w:rPr>
                      <w:t>ן כבדיקות מאבחנות לנגיף הקורונה</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697F4BAC">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1792" behindDoc="0" locked="0" layoutInCell="1" allowOverlap="1">
              <wp:simplePos x="0" y="0"/>
              <wp:positionH relativeFrom="column">
                <wp:posOffset>-718820</wp:posOffset>
              </wp:positionH>
              <wp:positionV relativeFrom="paragraph">
                <wp:posOffset>-727710</wp:posOffset>
              </wp:positionV>
              <wp:extent cx="304800" cy="8245475"/>
              <wp:effectExtent l="0" t="0" r="12700" b="952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245475"/>
                      </a:xfrm>
                      <a:prstGeom prst="rect">
                        <a:avLst/>
                      </a:prstGeom>
                      <a:solidFill>
                        <a:srgbClr val="00305F"/>
                      </a:solidFill>
                      <a:ln>
                        <a:solidFill>
                          <a:srgbClr val="00305F"/>
                        </a:solidFill>
                      </a:ln>
                    </wps:spPr>
                    <wps:txbx>
                      <w:txbxContent>
                        <w:p w:rsidR="00E56721" w:rsidRPr="009B7D1B" w:rsidP="008A7100" w14:textId="6586B5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CA1FD6">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8A7100" w:rsidR="008A7100">
                            <w:rPr>
                              <w:rFonts w:ascii="Tahoma" w:hAnsi="Tahoma" w:cs="Tahoma"/>
                              <w:b/>
                              <w:bCs/>
                              <w:rtl/>
                            </w:rPr>
                            <w:t>הפעלת מערך בדיקות האנטיגן המוסדיות והכר</w:t>
                          </w:r>
                          <w:r w:rsidR="009B2D88">
                            <w:rPr>
                              <w:rFonts w:ascii="Tahoma" w:hAnsi="Tahoma" w:cs="Tahoma" w:hint="cs"/>
                              <w:b/>
                              <w:bCs/>
                              <w:rtl/>
                            </w:rPr>
                            <w:t>ה בה</w:t>
                          </w:r>
                          <w:r w:rsidRPr="008A7100" w:rsidR="008A7100">
                            <w:rPr>
                              <w:rFonts w:ascii="Tahoma" w:hAnsi="Tahoma" w:cs="Tahoma"/>
                              <w:b/>
                              <w:bCs/>
                              <w:rtl/>
                            </w:rPr>
                            <w:t>ן כבדיקות מאבחנות לנגיף הקורונה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alt="&quot;&quot;" style="width:24pt;height:649.25pt;margin-top:-57.3pt;margin-left:-56.6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8A7100" w14:paraId="3B4CCAD6" w14:textId="6586B5D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CA1FD6">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8A7100" w:rsidR="008A7100">
                      <w:rPr>
                        <w:rFonts w:ascii="Tahoma" w:hAnsi="Tahoma" w:cs="Tahoma"/>
                        <w:b/>
                        <w:bCs/>
                        <w:rtl/>
                      </w:rPr>
                      <w:t>הפעלת מערך בדיקות האנטיגן המוסדיות והכר</w:t>
                    </w:r>
                    <w:r w:rsidR="009B2D88">
                      <w:rPr>
                        <w:rFonts w:ascii="Tahoma" w:hAnsi="Tahoma" w:cs="Tahoma" w:hint="cs"/>
                        <w:b/>
                        <w:bCs/>
                        <w:rtl/>
                      </w:rPr>
                      <w:t>ה בה</w:t>
                    </w:r>
                    <w:r w:rsidRPr="008A7100" w:rsidR="008A7100">
                      <w:rPr>
                        <w:rFonts w:ascii="Tahoma" w:hAnsi="Tahoma" w:cs="Tahoma"/>
                        <w:b/>
                        <w:bCs/>
                        <w:rtl/>
                      </w:rPr>
                      <w:t>ן כבדיקות מאבחנות לנגיף הקורונה</w:t>
                    </w:r>
                  </w:p>
                </w:txbxContent>
              </v:textbox>
              <w10:wrap type="square"/>
            </v:shape>
          </w:pict>
        </mc:Fallback>
      </mc:AlternateContent>
    </w: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9"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53CE1FF3">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CA1FD6">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53CE1FF3">
                    <w:pPr>
                      <w:jc w:val="right"/>
                      <w:rPr>
                        <w:color w:val="0D0D0D" w:themeColor="text1" w:themeTint="F2"/>
                        <w:sz w:val="16"/>
                        <w:szCs w:val="16"/>
                      </w:rPr>
                    </w:pPr>
                    <w:r w:rsidRPr="00AE7EA4">
                      <w:rPr>
                        <w:rFonts w:ascii="Tahoma" w:hAnsi="Tahoma" w:cs="Tahoma"/>
                        <w:color w:val="0D0D0D"/>
                        <w:sz w:val="16"/>
                        <w:szCs w:val="16"/>
                        <w:rtl/>
                      </w:rPr>
                      <w:t xml:space="preserve">דוח מבקר המדינה | </w:t>
                    </w:r>
                    <w:r w:rsidR="00CA1FD6">
                      <w:rPr>
                        <w:rFonts w:ascii="Tahoma" w:hAnsi="Tahoma" w:cs="Tahoma" w:hint="cs"/>
                        <w:color w:val="0D0D0D"/>
                        <w:sz w:val="16"/>
                        <w:szCs w:val="16"/>
                        <w:rtl/>
                      </w:rPr>
                      <w:t>אייר</w:t>
                    </w:r>
                    <w:r w:rsidRPr="00AE7EA4">
                      <w:rPr>
                        <w:rFonts w:ascii="Tahoma" w:hAnsi="Tahoma" w:cs="Tahoma"/>
                        <w:color w:val="0D0D0D"/>
                        <w:sz w:val="16"/>
                        <w:szCs w:val="16"/>
                        <w:rtl/>
                      </w:rPr>
                      <w:t xml:space="preserve">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B9A3543"/>
    <w:multiLevelType w:val="hybridMultilevel"/>
    <w:tmpl w:val="FE7A2282"/>
    <w:lvl w:ilvl="0">
      <w:start w:val="1"/>
      <w:numFmt w:val="decimal"/>
      <w:lvlText w:val="%1."/>
      <w:lvlJc w:val="left"/>
      <w:pPr>
        <w:ind w:left="794" w:hanging="397"/>
      </w:pPr>
      <w:rPr>
        <w:rFonts w:ascii="David" w:hAnsi="David"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5">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8"/>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5"/>
  </w:num>
  <w:num w:numId="14" w16cid:durableId="1208831065">
    <w:abstractNumId w:val="19"/>
  </w:num>
  <w:num w:numId="15" w16cid:durableId="1425805868">
    <w:abstractNumId w:val="26"/>
  </w:num>
  <w:num w:numId="16" w16cid:durableId="1455250565">
    <w:abstractNumId w:val="12"/>
  </w:num>
  <w:num w:numId="17" w16cid:durableId="1398552641">
    <w:abstractNumId w:val="27"/>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48828444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9"/>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0936"/>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153"/>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56E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2F"/>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734"/>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3B38"/>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8F0"/>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2E73"/>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5902"/>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3F8F"/>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2D88"/>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5F28"/>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861"/>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8A"/>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582"/>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1FD6"/>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58D"/>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D01"/>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4B9"/>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CA6"/>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מ"/>
    <w:basedOn w:val="DefaultParagraphFont"/>
    <w:uiPriority w:val="99"/>
    <w:unhideWhenUsed/>
    <w:rsid w:val="00265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26F9D893-E1DE-459C-8012-5F063B714F0C}"/>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TotalTime>
  <Pages>12</Pages>
  <Words>2434</Words>
  <Characters>12170</Characters>
  <Application>Microsoft Office Word</Application>
  <DocSecurity>0</DocSecurity>
  <Lines>101</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4</cp:revision>
  <cp:lastPrinted>2024-05-15T21:45:00Z</cp:lastPrinted>
  <dcterms:created xsi:type="dcterms:W3CDTF">2024-05-15T21:45:00Z</dcterms:created>
  <dcterms:modified xsi:type="dcterms:W3CDTF">2024-05-16T07:43:00Z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