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ackground w:color="ffffff">
    <v:background id="_x0000_s1025" filled="t"/>
  </w:background>
  <w:body>
    <w:p w:rsidR="008B2E28" w:rsidP="00C37E54" w14:paraId="77BCECBB" w14:textId="08F6BB8E">
      <w:pPr>
        <w:rPr>
          <w:rtl/>
        </w:rPr>
      </w:pPr>
      <w:r>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3904"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D2BB18" w14:textId="6D20FE3E">
      <w:pPr>
        <w:rPr>
          <w:rtl/>
        </w:rPr>
      </w:pPr>
      <w:bookmarkStart w:id="0" w:name="_Hlk63775048"/>
      <w:bookmarkEnd w:id="0"/>
    </w:p>
    <w:p w:rsidR="008B2E28" w:rsidP="008D2388" w14:paraId="2060569F" w14:textId="161AD163">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2AE7CF81" w14:textId="44D0418D">
      <w:pPr>
        <w:spacing w:line="240" w:lineRule="atLeast"/>
        <w:jc w:val="center"/>
        <w:rPr>
          <w:rFonts w:ascii="Tahoma" w:hAnsi="Tahoma" w:cs="Tahoma"/>
          <w:sz w:val="22"/>
          <w:szCs w:val="22"/>
          <w:rtl/>
        </w:rPr>
      </w:pPr>
    </w:p>
    <w:p w:rsidR="008B2E28" w:rsidP="008D2388" w14:paraId="1A10551E" w14:textId="06DEF0F5">
      <w:pPr>
        <w:spacing w:line="240" w:lineRule="atLeast"/>
        <w:jc w:val="center"/>
        <w:rPr>
          <w:rFonts w:ascii="Tahoma" w:hAnsi="Tahoma" w:cs="Tahoma"/>
          <w:sz w:val="22"/>
          <w:szCs w:val="22"/>
          <w:rtl/>
        </w:rPr>
      </w:pPr>
    </w:p>
    <w:p w:rsidR="003C32FE" w:rsidRPr="00170230" w:rsidP="003C32FE" w14:paraId="7F9E1DC9" w14:textId="03663C06">
      <w:pPr>
        <w:spacing w:line="240" w:lineRule="atLeast"/>
        <w:jc w:val="center"/>
        <w:rPr>
          <w:rFonts w:ascii="Tahoma" w:hAnsi="Tahoma" w:cs="Tahoma"/>
          <w:szCs w:val="18"/>
          <w:rtl/>
        </w:rPr>
      </w:pPr>
    </w:p>
    <w:p w:rsidR="003C32FE" w:rsidP="003C32FE" w14:paraId="6FE9A991" w14:textId="1C46C96B">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77470</wp:posOffset>
                </wp:positionH>
                <wp:positionV relativeFrom="paragraph">
                  <wp:posOffset>1845945</wp:posOffset>
                </wp:positionV>
                <wp:extent cx="2862580"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8625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8480" from="6.1pt,145.35pt" to="231.5pt,145.35pt" strokecolor="white" strokeweight="1.5pt"/>
            </w:pict>
          </mc:Fallback>
        </mc:AlternateContent>
      </w:r>
      <w:r w:rsidRPr="0030415A" w:rsidR="001605B5">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-215900</wp:posOffset>
                </wp:positionH>
                <wp:positionV relativeFrom="paragraph">
                  <wp:posOffset>332105</wp:posOffset>
                </wp:positionV>
                <wp:extent cx="4678680" cy="4273550"/>
                <wp:effectExtent l="0" t="0" r="7620"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7868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70CF" w:rsidRPr="0052031E" w:rsidP="001370CF" w14:textId="523696FB">
                            <w:pPr>
                              <w:pStyle w:val="a26"/>
                              <w:bidi/>
                              <w:rPr>
                                <w:rtl/>
                              </w:rPr>
                            </w:pPr>
                            <w:r>
                              <w:rPr>
                                <w:rFonts w:hint="cs"/>
                                <w:rtl/>
                              </w:rPr>
                              <w:t xml:space="preserve">דוח מבקר המדינה | תמוז </w:t>
                            </w:r>
                            <w:r>
                              <w:rPr>
                                <w:rFonts w:hint="cs"/>
                                <w:rtl/>
                              </w:rPr>
                              <w:t>התשפ"ד</w:t>
                            </w:r>
                            <w:r>
                              <w:rPr>
                                <w:rFonts w:hint="cs"/>
                                <w:rtl/>
                              </w:rPr>
                              <w:t xml:space="preserve"> </w:t>
                            </w:r>
                            <w:r w:rsidRPr="0052031E">
                              <w:rPr>
                                <w:rtl/>
                              </w:rPr>
                              <w:t>|</w:t>
                            </w:r>
                            <w:r>
                              <w:rPr>
                                <w:rFonts w:hint="cs"/>
                                <w:rtl/>
                              </w:rPr>
                              <w:t xml:space="preserve"> יולי 2024</w:t>
                            </w:r>
                          </w:p>
                          <w:p w:rsidR="008A71D4" w:rsidRPr="0052031E" w:rsidP="008A71D4" w14:textId="0C20DA9A">
                            <w:pPr>
                              <w:pStyle w:val="a26"/>
                              <w:bidi/>
                              <w:rPr>
                                <w:rtl/>
                              </w:rPr>
                            </w:pPr>
                          </w:p>
                          <w:p w:rsidR="00F73EE0" w:rsidP="0052031E" w14:textId="77777777">
                            <w:pPr>
                              <w:ind w:left="2268"/>
                              <w:rPr>
                                <w:rtl/>
                              </w:rPr>
                            </w:pPr>
                          </w:p>
                          <w:p w:rsidR="005D0F8C" w:rsidRPr="000A3ED4" w:rsidP="000F5023" w14:textId="03A3AA5E">
                            <w:pPr>
                              <w:pStyle w:val="-1"/>
                              <w:rPr>
                                <w:rtl/>
                              </w:rPr>
                            </w:pPr>
                            <w:r w:rsidRPr="009014C8">
                              <w:rPr>
                                <w:rtl/>
                              </w:rPr>
                              <w:t xml:space="preserve">משרד </w:t>
                            </w:r>
                            <w:r w:rsidR="00964074">
                              <w:rPr>
                                <w:rFonts w:hint="cs"/>
                                <w:rtl/>
                              </w:rPr>
                              <w:t>הרווחה</w:t>
                            </w:r>
                            <w:r w:rsidR="008544F5">
                              <w:rPr>
                                <w:rFonts w:hint="cs"/>
                                <w:rtl/>
                              </w:rPr>
                              <w:t xml:space="preserve"> והביטחון החברתי</w:t>
                            </w:r>
                          </w:p>
                          <w:p w:rsidR="00F73EE0" w:rsidRPr="000F5023" w:rsidP="0072357A" w14:textId="75408F52">
                            <w:pPr>
                              <w:pStyle w:val="a25"/>
                              <w:bidi/>
                              <w:spacing w:before="120"/>
                              <w:rPr>
                                <w:rtl/>
                              </w:rPr>
                            </w:pPr>
                            <w:r>
                              <w:rPr>
                                <w:rFonts w:hint="cs"/>
                                <w:rtl/>
                              </w:rPr>
                              <w:t>רכישת שירותים חברתיים במיקור חוץ על ידי משרד הרווחה והביטחון החברתי</w:t>
                            </w:r>
                            <w:r w:rsidRPr="00582DA9" w:rsidR="00C24294">
                              <w:rPr>
                                <w:rtl/>
                              </w:rPr>
                              <w:t xml:space="preserve"> </w:t>
                            </w:r>
                            <w:r w:rsidR="00C24294">
                              <w:rPr>
                                <w:rFonts w:hint="cs"/>
                                <w:rtl/>
                              </w:rPr>
                              <w:t xml:space="preserve"> </w:t>
                            </w:r>
                          </w:p>
                          <w:p w:rsidR="00C30482" w:rsidRPr="000F5023" w:rsidP="000F5023" w14:textId="66C24F23">
                            <w:pPr>
                              <w:pStyle w:val="a2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alt="&quot;&quot;" style="width:368.4pt;height:336.5pt;margin-top:26.15pt;margin-left:-17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1BD45611" w14:textId="77777777">
                      <w:pPr>
                        <w:ind w:left="2268"/>
                        <w:rPr>
                          <w:rFonts w:ascii="Tahoma" w:hAnsi="Tahoma" w:cs="Tahoma"/>
                          <w:sz w:val="18"/>
                          <w:szCs w:val="18"/>
                          <w:rtl/>
                        </w:rPr>
                      </w:pPr>
                    </w:p>
                    <w:p w:rsidR="00F73EE0" w:rsidP="0052031E" w14:paraId="3BF6855F" w14:textId="77777777">
                      <w:pPr>
                        <w:ind w:left="2268"/>
                        <w:rPr>
                          <w:rFonts w:ascii="Tahoma" w:hAnsi="Tahoma" w:cs="Tahoma"/>
                          <w:sz w:val="18"/>
                          <w:szCs w:val="18"/>
                          <w:rtl/>
                        </w:rPr>
                      </w:pPr>
                    </w:p>
                    <w:p w:rsidR="001370CF" w:rsidRPr="0052031E" w:rsidP="001370CF" w14:paraId="636F0CD3" w14:textId="523696FB">
                      <w:pPr>
                        <w:pStyle w:val="a26"/>
                        <w:bidi/>
                        <w:rPr>
                          <w:rtl/>
                        </w:rPr>
                      </w:pPr>
                      <w:r>
                        <w:rPr>
                          <w:rFonts w:hint="cs"/>
                          <w:rtl/>
                        </w:rPr>
                        <w:t xml:space="preserve">דוח מבקר המדינה | תמוז </w:t>
                      </w:r>
                      <w:r>
                        <w:rPr>
                          <w:rFonts w:hint="cs"/>
                          <w:rtl/>
                        </w:rPr>
                        <w:t>התשפ"ד</w:t>
                      </w:r>
                      <w:r>
                        <w:rPr>
                          <w:rFonts w:hint="cs"/>
                          <w:rtl/>
                        </w:rPr>
                        <w:t xml:space="preserve"> </w:t>
                      </w:r>
                      <w:r w:rsidRPr="0052031E">
                        <w:rPr>
                          <w:rtl/>
                        </w:rPr>
                        <w:t>|</w:t>
                      </w:r>
                      <w:r>
                        <w:rPr>
                          <w:rFonts w:hint="cs"/>
                          <w:rtl/>
                        </w:rPr>
                        <w:t xml:space="preserve"> יולי 2024</w:t>
                      </w:r>
                    </w:p>
                    <w:p w:rsidR="008A71D4" w:rsidRPr="0052031E" w:rsidP="008A71D4" w14:paraId="7B675404" w14:textId="0C20DA9A">
                      <w:pPr>
                        <w:pStyle w:val="a26"/>
                        <w:bidi/>
                        <w:rPr>
                          <w:rtl/>
                        </w:rPr>
                      </w:pPr>
                    </w:p>
                    <w:p w:rsidR="00F73EE0" w:rsidP="0052031E" w14:paraId="460F1ABC" w14:textId="77777777">
                      <w:pPr>
                        <w:ind w:left="2268"/>
                        <w:rPr>
                          <w:rtl/>
                        </w:rPr>
                      </w:pPr>
                    </w:p>
                    <w:p w:rsidR="005D0F8C" w:rsidRPr="000A3ED4" w:rsidP="000F5023" w14:paraId="547BD7F9" w14:textId="03A3AA5E">
                      <w:pPr>
                        <w:pStyle w:val="-1"/>
                        <w:rPr>
                          <w:rtl/>
                        </w:rPr>
                      </w:pPr>
                      <w:r w:rsidRPr="009014C8">
                        <w:rPr>
                          <w:rtl/>
                        </w:rPr>
                        <w:t xml:space="preserve">משרד </w:t>
                      </w:r>
                      <w:r w:rsidR="00964074">
                        <w:rPr>
                          <w:rFonts w:hint="cs"/>
                          <w:rtl/>
                        </w:rPr>
                        <w:t>הרווחה</w:t>
                      </w:r>
                      <w:r w:rsidR="008544F5">
                        <w:rPr>
                          <w:rFonts w:hint="cs"/>
                          <w:rtl/>
                        </w:rPr>
                        <w:t xml:space="preserve"> והביטחון החברתי</w:t>
                      </w:r>
                    </w:p>
                    <w:p w:rsidR="00F73EE0" w:rsidRPr="000F5023" w:rsidP="0072357A" w14:paraId="2E194D77" w14:textId="75408F52">
                      <w:pPr>
                        <w:pStyle w:val="a25"/>
                        <w:bidi/>
                        <w:spacing w:before="120"/>
                        <w:rPr>
                          <w:rtl/>
                        </w:rPr>
                      </w:pPr>
                      <w:r>
                        <w:rPr>
                          <w:rFonts w:hint="cs"/>
                          <w:rtl/>
                        </w:rPr>
                        <w:t>רכישת שירותים חברתיים במיקור חוץ על ידי משרד הרווחה והביטחון החברתי</w:t>
                      </w:r>
                      <w:r w:rsidRPr="00582DA9" w:rsidR="00C24294">
                        <w:rPr>
                          <w:rtl/>
                        </w:rPr>
                        <w:t xml:space="preserve"> </w:t>
                      </w:r>
                      <w:r w:rsidR="00C24294">
                        <w:rPr>
                          <w:rFonts w:hint="cs"/>
                          <w:rtl/>
                        </w:rPr>
                        <w:t xml:space="preserve"> </w:t>
                      </w:r>
                    </w:p>
                    <w:p w:rsidR="00C30482" w:rsidRPr="000F5023" w:rsidP="000F5023" w14:paraId="1BBD9830" w14:textId="66C24F23">
                      <w:pPr>
                        <w:pStyle w:val="a25"/>
                        <w:bidi/>
                        <w:rPr>
                          <w:rtl/>
                        </w:rPr>
                      </w:pPr>
                    </w:p>
                  </w:txbxContent>
                </v:textbox>
                <w10:wrap type="square"/>
              </v:shape>
            </w:pict>
          </mc:Fallback>
        </mc:AlternateContent>
      </w:r>
      <w:r w:rsidR="001605B5">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3088336</wp:posOffset>
                </wp:positionH>
                <wp:positionV relativeFrom="paragraph">
                  <wp:posOffset>258445</wp:posOffset>
                </wp:positionV>
                <wp:extent cx="0" cy="3600450"/>
                <wp:effectExtent l="19050" t="0" r="38100" b="3810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6004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66432" from="243.2pt,20.35pt" to="243.2pt,303.85pt" strokecolor="white" strokeweight="4pt"/>
            </w:pict>
          </mc:Fallback>
        </mc:AlternateContent>
      </w:r>
      <w:r w:rsidR="001605B5">
        <w:rPr>
          <w:noProof/>
        </w:rPr>
        <w:drawing>
          <wp:anchor distT="0" distB="0" distL="114300" distR="114300" simplePos="0" relativeHeight="251696128" behindDoc="0" locked="0" layoutInCell="1" allowOverlap="1">
            <wp:simplePos x="0" y="0"/>
            <wp:positionH relativeFrom="column">
              <wp:posOffset>3293110</wp:posOffset>
            </wp:positionH>
            <wp:positionV relativeFrom="paragraph">
              <wp:posOffset>481634</wp:posOffset>
            </wp:positionV>
            <wp:extent cx="948055" cy="617855"/>
            <wp:effectExtent l="0" t="0" r="4445"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721B2220" w14:textId="77777777">
      <w:pPr>
        <w:spacing w:line="240" w:lineRule="atLeast"/>
        <w:jc w:val="center"/>
        <w:rPr>
          <w:rFonts w:ascii="Tahoma" w:hAnsi="Tahoma" w:cs="Tahoma"/>
          <w:sz w:val="22"/>
          <w:szCs w:val="22"/>
          <w:rtl/>
        </w:rPr>
      </w:pPr>
    </w:p>
    <w:p w:rsidR="00E35DF9" w:rsidRPr="00406E80" w:rsidP="008D2388" w14:paraId="15F9089C" w14:textId="77777777">
      <w:pPr>
        <w:spacing w:line="240" w:lineRule="atLeast"/>
        <w:jc w:val="center"/>
        <w:rPr>
          <w:rFonts w:ascii="Tahoma" w:hAnsi="Tahoma" w:cs="Tahoma"/>
          <w:color w:val="C6D9F1"/>
          <w:sz w:val="22"/>
          <w:szCs w:val="22"/>
          <w:rtl/>
        </w:rPr>
      </w:pPr>
    </w:p>
    <w:p w:rsidR="008C0B8B" w:rsidP="008D2388" w14:paraId="0DCBFA34" w14:textId="77777777">
      <w:pPr>
        <w:spacing w:line="240" w:lineRule="atLeast"/>
        <w:jc w:val="center"/>
        <w:rPr>
          <w:rFonts w:ascii="Tahoma" w:hAnsi="Tahoma" w:cs="Tahoma"/>
          <w:sz w:val="22"/>
          <w:szCs w:val="22"/>
          <w:rtl/>
        </w:rPr>
      </w:pPr>
    </w:p>
    <w:p w:rsidR="008C0B8B" w:rsidP="008D2388" w14:paraId="654A52D6" w14:textId="77777777">
      <w:pPr>
        <w:spacing w:line="240" w:lineRule="atLeast"/>
        <w:jc w:val="center"/>
        <w:rPr>
          <w:rFonts w:ascii="Tahoma" w:hAnsi="Tahoma" w:cs="Tahoma"/>
          <w:sz w:val="22"/>
          <w:szCs w:val="22"/>
          <w:rtl/>
        </w:rPr>
      </w:pPr>
    </w:p>
    <w:p w:rsidR="00E35DF9" w:rsidP="008D2388" w14:paraId="6F58D38D" w14:textId="77777777">
      <w:pPr>
        <w:spacing w:line="240" w:lineRule="atLeast"/>
        <w:jc w:val="center"/>
        <w:rPr>
          <w:rFonts w:ascii="Tahoma" w:hAnsi="Tahoma" w:cs="Tahoma"/>
          <w:sz w:val="22"/>
          <w:szCs w:val="22"/>
          <w:rtl/>
        </w:rPr>
      </w:pPr>
    </w:p>
    <w:p w:rsidR="00035688" w:rsidP="008D2388" w14:paraId="3DB8B312"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pgSz w:w="11906" w:h="16838" w:code="9"/>
          <w:pgMar w:top="3062" w:right="2268" w:bottom="2552" w:left="2268" w:header="1134" w:footer="1361" w:gutter="0"/>
          <w:cols w:space="720"/>
          <w:titlePg/>
          <w:bidi/>
          <w:rtlGutter/>
          <w:docGrid w:linePitch="272"/>
        </w:sectPr>
      </w:pPr>
    </w:p>
    <w:p w:rsidR="00BF5BF6" w:rsidP="000E64A1" w14:paraId="71BA9446" w14:textId="7777777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1DD7405C" w14:textId="77777777">
      <w:pPr>
        <w:jc w:val="left"/>
        <w:rPr>
          <w:rFonts w:ascii="Tahoma" w:hAnsi="Tahoma" w:cs="Tahoma"/>
          <w:sz w:val="22"/>
          <w:szCs w:val="22"/>
          <w:rtl/>
        </w:rPr>
        <w:sectPr w:rsidSect="00DA022A">
          <w:headerReference w:type="even" r:id="rId15"/>
          <w:pgSz w:w="11906" w:h="16838" w:code="9"/>
          <w:pgMar w:top="3062" w:right="2268" w:bottom="2552" w:left="2268" w:header="709" w:footer="709" w:gutter="0"/>
          <w:pgNumType w:start="2"/>
          <w:cols w:space="720"/>
          <w:bidi/>
          <w:rtlGutter/>
          <w:docGrid w:linePitch="272"/>
        </w:sectPr>
      </w:pPr>
    </w:p>
    <w:p w:rsidR="00B93C72" w:rsidP="00135693" w14:paraId="65CCD7DF" w14:textId="431DF04C">
      <w:pPr>
        <w:pStyle w:val="752"/>
        <w:rPr>
          <w:noProof/>
          <w:rtl/>
        </w:rPr>
      </w:pPr>
      <w:r w:rsidRPr="00802F2E">
        <w:rPr>
          <w:noProof/>
          <w:rtl/>
        </w:rPr>
        <w:drawing>
          <wp:anchor distT="0" distB="0" distL="114300" distR="114300" simplePos="0" relativeHeight="251678720" behindDoc="0" locked="0" layoutInCell="1" allowOverlap="1">
            <wp:simplePos x="0" y="0"/>
            <wp:positionH relativeFrom="column">
              <wp:posOffset>3332480</wp:posOffset>
            </wp:positionH>
            <wp:positionV relativeFrom="paragraph">
              <wp:posOffset>1304681</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135693">
        <w:rPr>
          <w:rFonts w:hint="cs"/>
          <w:noProof/>
          <w:rtl/>
        </w:rPr>
        <w:t>ר</w:t>
      </w:r>
      <w:r w:rsidRPr="00135693" w:rsidR="00135693">
        <w:rPr>
          <w:rFonts w:hint="cs"/>
          <w:noProof/>
          <w:rtl/>
        </w:rPr>
        <w:t>כישת שירותים חברתיים במיקור חוץ על ידי משרד הרווחה</w:t>
      </w:r>
      <w:r w:rsidR="00135693">
        <w:rPr>
          <w:rFonts w:hint="cs"/>
          <w:sz w:val="40"/>
          <w:szCs w:val="40"/>
          <w:rtl/>
        </w:rPr>
        <w:t xml:space="preserve"> </w:t>
      </w:r>
      <w:r w:rsidRPr="00135693" w:rsidR="00135693">
        <w:rPr>
          <w:rFonts w:hint="cs"/>
          <w:noProof/>
          <w:rtl/>
        </w:rPr>
        <w:t>והביטחון החברתי</w:t>
      </w:r>
    </w:p>
    <w:p w:rsidR="00135693" w:rsidP="007F4A1C" w14:paraId="69947BF9" w14:textId="77777777">
      <w:pPr>
        <w:pStyle w:val="759"/>
        <w:rPr>
          <w:rtl/>
        </w:rPr>
      </w:pPr>
    </w:p>
    <w:p w:rsidR="00135693" w:rsidRPr="00BB02BA" w:rsidP="00135693" w14:paraId="0F166AAD" w14:textId="77777777">
      <w:pPr>
        <w:pStyle w:val="759"/>
        <w:rPr>
          <w:rtl/>
        </w:rPr>
      </w:pPr>
      <w:r w:rsidRPr="00BB02BA">
        <w:rPr>
          <w:rtl/>
        </w:rPr>
        <w:t xml:space="preserve">שירות חברתי במיקור חוץ הוא שירות חינוכי או טיפולי שהממשלה רוכשת והוא ניתן על ידי מפעילים חיצוניים לממשלה - חברות פרטיות או עמותות. שירות כזה ממומן באופן מלא או חלקי על ידי הממשלה, והיא אחראית לאספקתו, </w:t>
      </w:r>
      <w:r w:rsidRPr="00BB02BA">
        <w:rPr>
          <w:rtl/>
        </w:rPr>
        <w:t>לאסדרתו</w:t>
      </w:r>
      <w:r w:rsidRPr="00BB02BA">
        <w:rPr>
          <w:rtl/>
        </w:rPr>
        <w:t xml:space="preserve"> ולפיקוח על ביצועו (רכש חברתי). שירותי הרווחה האישיים </w:t>
      </w:r>
      <w:r w:rsidRPr="00135693">
        <w:rPr>
          <w:rtl/>
        </w:rPr>
        <w:t>שמספק</w:t>
      </w:r>
      <w:r w:rsidRPr="00BB02BA">
        <w:rPr>
          <w:rtl/>
        </w:rPr>
        <w:t xml:space="preserve"> משרד הרווחה והביטחון החברתי (משרד הרווחה) הם חלק מהשירות החברתי שנרכש במיקור חוץ, והם נחלקים לשני סוגים עיקריים: שירותים בקהילה, שבהם מקבלי השירות אינם לנים במבנה שבו ניתן השירות (לדוגמה הפעלת מועדוניות לילדים בסיכון), ושירותים חוץ-</w:t>
      </w:r>
      <w:r w:rsidRPr="00135693">
        <w:rPr>
          <w:rtl/>
        </w:rPr>
        <w:t>ביתיים</w:t>
      </w:r>
      <w:r w:rsidRPr="00BB02BA">
        <w:rPr>
          <w:rtl/>
        </w:rPr>
        <w:t xml:space="preserve"> הניתנים במסגרות בהן חיים מקבלי השירות באורח קבוע או בפרק זמן מסוים מחוץ לביתם (לדוגמה מעון לאנשים עם מוגבלות). על מתן השירותים בקהילה אמונות הרשויות המקומיות, ועל השירותים החוץ-ביתיים אמון משרד הרווחה, הוא גם שבוחר במכרזי הרכש חברתי, את הספקים שייתנו את השירותים החברתיים במיקור חוץ.</w:t>
      </w:r>
    </w:p>
    <w:p w:rsidR="00135693" w:rsidRPr="00BB02BA" w:rsidP="00135693" w14:paraId="6A073521" w14:textId="77777777">
      <w:pPr>
        <w:pStyle w:val="759"/>
        <w:rPr>
          <w:rtl/>
        </w:rPr>
      </w:pPr>
      <w:r w:rsidRPr="00BB02BA">
        <w:rPr>
          <w:rtl/>
        </w:rPr>
        <w:t xml:space="preserve">דוח זה עוסק ברכישת שירותים חברתיים חוץ-ביתיים של משרד הרווחה </w:t>
      </w:r>
      <w:r w:rsidRPr="00BB02BA">
        <w:rPr>
          <w:rtl/>
        </w:rPr>
        <w:t>במינהל</w:t>
      </w:r>
      <w:r w:rsidRPr="00BB02BA">
        <w:rPr>
          <w:rtl/>
        </w:rPr>
        <w:t xml:space="preserve"> מוגבלויות, </w:t>
      </w:r>
      <w:r w:rsidRPr="00BB02BA">
        <w:rPr>
          <w:rtl/>
        </w:rPr>
        <w:t>מינהל</w:t>
      </w:r>
      <w:r w:rsidRPr="00BB02BA">
        <w:rPr>
          <w:rtl/>
        </w:rPr>
        <w:t xml:space="preserve"> שירותים חברתיים ואישיים (שח"א) </w:t>
      </w:r>
      <w:r w:rsidRPr="00BB02BA">
        <w:rPr>
          <w:rtl/>
        </w:rPr>
        <w:t>ומינהל</w:t>
      </w:r>
      <w:r w:rsidRPr="00BB02BA">
        <w:rPr>
          <w:rtl/>
        </w:rPr>
        <w:t xml:space="preserve"> שיקום, ליווי ומניעה (</w:t>
      </w:r>
      <w:r w:rsidRPr="00BB02BA">
        <w:rPr>
          <w:rtl/>
        </w:rPr>
        <w:t>של"ם</w:t>
      </w:r>
      <w:r w:rsidRPr="00BB02BA">
        <w:rPr>
          <w:rtl/>
        </w:rPr>
        <w:t xml:space="preserve">). מרכזיותו של רכש </w:t>
      </w:r>
      <w:r w:rsidRPr="00135693">
        <w:rPr>
          <w:rtl/>
        </w:rPr>
        <w:t>בתחום</w:t>
      </w:r>
      <w:r w:rsidRPr="00BB02BA">
        <w:rPr>
          <w:rtl/>
        </w:rPr>
        <w:t xml:space="preserve"> זה משתקפת בהיקפו הכספי - בשנת 2022 הוציא משרד הרווחה כ-3.5 מיליארד ש"ח על מיקור חוץ </w:t>
      </w:r>
      <w:r w:rsidRPr="00BB02BA">
        <w:rPr>
          <w:rtl/>
        </w:rPr>
        <w:t>במינהלים</w:t>
      </w:r>
      <w:r w:rsidRPr="00BB02BA">
        <w:rPr>
          <w:rtl/>
        </w:rPr>
        <w:t xml:space="preserve"> אלו, שהם כ-36%</w:t>
      </w:r>
      <w:r w:rsidRPr="00BB02BA">
        <w:t xml:space="preserve"> </w:t>
      </w:r>
      <w:r w:rsidRPr="00BB02BA">
        <w:rPr>
          <w:rtl/>
        </w:rPr>
        <w:t>מכלל התקציב של המשרד בשנה זו. משרד הרווחה מפעיל את השירותים החוץ-ביתיים באמצעות המציעים הזוכים במכרזים. בשנת 2022 סיפקו 254 מפעילים חיצוניים (מפעילים) שירותי רווחה חוץ ביתיים במיקור חוץ.</w:t>
      </w:r>
    </w:p>
    <w:p w:rsidR="007F4A1C" w:rsidP="00135693" w14:paraId="7BDDB83A" w14:textId="77777777">
      <w:pPr>
        <w:pStyle w:val="759"/>
        <w:rPr>
          <w:rtl/>
        </w:rPr>
      </w:pPr>
      <w:r w:rsidRPr="00BB02BA">
        <w:rPr>
          <w:rtl/>
        </w:rPr>
        <w:t xml:space="preserve">מיקור חוץ של שירותי רווחה טומן בחובו יתרונות כמו האפשרות לשפר את רמת השירות, זמינותו ונגישותו. מנגד, הוא יוצר אתגרים רבים, ובהם מגבלות ביכולות הפיקוח והאכיפה והיעדר מיומנות ומומחיות בניהול המכרזים. כמו כן, עולה החשש מ"שבי רגולטורי" - כלומר, תלות ניכרת של הגורם </w:t>
      </w:r>
      <w:r w:rsidRPr="00135693">
        <w:rPr>
          <w:rtl/>
        </w:rPr>
        <w:t>המאסדר</w:t>
      </w:r>
      <w:r w:rsidRPr="00BB02BA">
        <w:rPr>
          <w:rtl/>
        </w:rPr>
        <w:t xml:space="preserve"> במפעילי המסגרות, הבאה לידי ביטוי בין היתר בקבלת החלטות מוטות של המאסדר לטובת המפעילים, וכן בקושי בהכוונת פעילותם. העוצמה שבה האתגרים השונים במיקור החוץ של השירותים החברתיים יתממשו מושפעת במידה רבה מפעולותיו של משרד הרווחה כמאסדר של הרכש החברתי.</w:t>
      </w:r>
    </w:p>
    <w:p w:rsidR="00042893" w:rsidP="006F7D57" w14:paraId="3F36C8AD" w14:textId="2EE04B1B">
      <w:pPr>
        <w:pStyle w:val="7392"/>
        <w:rPr>
          <w:rtl/>
        </w:rPr>
      </w:pPr>
      <w:r w:rsidRPr="00F16A67">
        <w:rPr>
          <w:rtl/>
        </w:rPr>
        <w:t xml:space="preserve"> </w:t>
      </w:r>
    </w:p>
    <w:p w:rsidR="008930B4" w:rsidP="00C00585" w14:paraId="2B452C0D" w14:textId="77777777">
      <w:pPr>
        <w:pStyle w:val="7392"/>
        <w:rPr>
          <w:rtl/>
        </w:rPr>
        <w:sectPr w:rsidSect="006F7D57">
          <w:headerReference w:type="even" r:id="rId17"/>
          <w:footerReference w:type="even" r:id="rId18"/>
          <w:pgSz w:w="11906" w:h="16838" w:code="9"/>
          <w:pgMar w:top="3062" w:right="2268" w:bottom="2552" w:left="2268" w:header="1134" w:footer="1361" w:gutter="0"/>
          <w:pgNumType w:start="49"/>
          <w:cols w:space="708"/>
          <w:bidi/>
          <w:rtlGutter/>
          <w:docGrid w:linePitch="360"/>
        </w:sectPr>
      </w:pPr>
    </w:p>
    <w:p w:rsidR="005D0F8C" w:rsidP="007F4A20" w14:paraId="688B4C67" w14:textId="6E6FFD1F">
      <w:pPr>
        <w:pStyle w:val="7392"/>
        <w:spacing w:before="360"/>
        <w:rPr>
          <w:b/>
          <w:bCs/>
          <w:color w:val="00305F"/>
          <w:sz w:val="32"/>
          <w:szCs w:val="32"/>
          <w:rtl/>
        </w:rPr>
      </w:pPr>
      <w:r w:rsidRPr="001F3363">
        <w:rPr>
          <w:noProof/>
          <w:rtl/>
        </w:rPr>
        <w:drawing>
          <wp:anchor distT="0" distB="0" distL="114300" distR="114300" simplePos="0" relativeHeight="251673600" behindDoc="0" locked="0" layoutInCell="1" allowOverlap="1">
            <wp:simplePos x="0" y="0"/>
            <wp:positionH relativeFrom="column">
              <wp:posOffset>3298825</wp:posOffset>
            </wp:positionH>
            <wp:positionV relativeFrom="paragraph">
              <wp:posOffset>190500</wp:posOffset>
            </wp:positionV>
            <wp:extent cx="1405255" cy="431800"/>
            <wp:effectExtent l="0" t="0" r="4445" b="635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XSpec="right" w:tblpY="4216"/>
        <w:bidiVisual/>
        <w:tblW w:w="7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8"/>
        <w:gridCol w:w="240"/>
        <w:gridCol w:w="33"/>
        <w:gridCol w:w="1612"/>
        <w:gridCol w:w="51"/>
        <w:gridCol w:w="185"/>
        <w:gridCol w:w="89"/>
        <w:gridCol w:w="68"/>
        <w:gridCol w:w="1647"/>
        <w:gridCol w:w="134"/>
        <w:gridCol w:w="150"/>
        <w:gridCol w:w="89"/>
        <w:gridCol w:w="68"/>
        <w:gridCol w:w="1537"/>
      </w:tblGrid>
      <w:tr w14:paraId="7F3F42F8" w14:textId="77777777" w:rsidTr="009E3337">
        <w:tblPrEx>
          <w:tblW w:w="7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28" w:type="dxa"/>
            <w:tcBorders>
              <w:bottom w:val="single" w:sz="12" w:space="0" w:color="auto"/>
            </w:tcBorders>
            <w:vAlign w:val="bottom"/>
          </w:tcPr>
          <w:p w:rsidR="0091656F" w:rsidRPr="00AD0C7C" w:rsidP="0091656F" w14:paraId="38EB15A1" w14:textId="77777777">
            <w:pPr>
              <w:spacing w:line="240" w:lineRule="auto"/>
              <w:jc w:val="left"/>
              <w:rPr>
                <w:rFonts w:ascii="Tahoma" w:hAnsi="Tahoma" w:cs="Tahoma"/>
                <w:spacing w:val="-10"/>
                <w:sz w:val="36"/>
                <w:szCs w:val="36"/>
                <w:rtl/>
              </w:rPr>
            </w:pPr>
            <w:r w:rsidRPr="0049556D">
              <w:rPr>
                <w:rFonts w:ascii="Tahoma" w:hAnsi="Tahoma" w:cs="Tahoma"/>
                <w:b/>
                <w:bCs/>
                <w:sz w:val="34"/>
                <w:szCs w:val="34"/>
                <w:rtl/>
              </w:rPr>
              <w:t>3.5</w:t>
            </w:r>
            <w:r w:rsidRPr="00AD0C7C">
              <w:rPr>
                <w:rFonts w:ascii="Tahoma" w:hAnsi="Tahoma" w:cs="Tahoma"/>
                <w:spacing w:val="-10"/>
                <w:sz w:val="36"/>
                <w:szCs w:val="36"/>
                <w:rtl/>
              </w:rPr>
              <w:t xml:space="preserve"> </w:t>
            </w:r>
          </w:p>
          <w:p w:rsidR="0091656F" w:rsidRPr="00B56334" w:rsidP="0091656F" w14:paraId="09775EFE" w14:textId="2DA9A61E">
            <w:pPr>
              <w:spacing w:line="240" w:lineRule="auto"/>
              <w:jc w:val="left"/>
              <w:rPr>
                <w:rFonts w:ascii="Tahoma" w:hAnsi="Tahoma" w:cs="Tahoma"/>
                <w:b/>
                <w:bCs/>
                <w:sz w:val="34"/>
                <w:szCs w:val="34"/>
                <w:rtl/>
              </w:rPr>
            </w:pPr>
            <w:r w:rsidRPr="0049556D">
              <w:rPr>
                <w:rFonts w:ascii="Tahoma" w:hAnsi="Tahoma" w:cs="Tahoma"/>
                <w:b/>
                <w:bCs/>
                <w:sz w:val="24"/>
                <w:rtl/>
              </w:rPr>
              <w:t>מיליארד ש"ח</w:t>
            </w:r>
          </w:p>
        </w:tc>
        <w:tc>
          <w:tcPr>
            <w:tcW w:w="240" w:type="dxa"/>
          </w:tcPr>
          <w:p w:rsidR="0091656F" w:rsidRPr="00B56334" w:rsidP="0091656F" w14:paraId="4383DD9C" w14:textId="0647E2CE">
            <w:pPr>
              <w:spacing w:line="240" w:lineRule="auto"/>
              <w:jc w:val="left"/>
              <w:rPr>
                <w:rFonts w:ascii="Tahoma" w:hAnsi="Tahoma" w:cs="Tahoma"/>
                <w:b/>
                <w:bCs/>
                <w:sz w:val="34"/>
                <w:szCs w:val="34"/>
                <w:rtl/>
              </w:rPr>
            </w:pPr>
          </w:p>
        </w:tc>
        <w:tc>
          <w:tcPr>
            <w:tcW w:w="1696" w:type="dxa"/>
            <w:gridSpan w:val="3"/>
            <w:tcBorders>
              <w:bottom w:val="single" w:sz="12" w:space="0" w:color="auto"/>
            </w:tcBorders>
            <w:vAlign w:val="bottom"/>
          </w:tcPr>
          <w:p w:rsidR="0091656F" w:rsidRPr="00B56334" w:rsidP="0091656F" w14:paraId="34D99160" w14:textId="54CA33AC">
            <w:pPr>
              <w:spacing w:line="240" w:lineRule="auto"/>
              <w:jc w:val="left"/>
              <w:rPr>
                <w:rFonts w:ascii="Tahoma" w:hAnsi="Tahoma" w:cs="Tahoma"/>
                <w:b/>
                <w:bCs/>
                <w:sz w:val="34"/>
                <w:szCs w:val="34"/>
                <w:rtl/>
              </w:rPr>
            </w:pPr>
            <w:r w:rsidRPr="0049556D">
              <w:rPr>
                <w:rFonts w:ascii="Tahoma" w:hAnsi="Tahoma" w:cs="Tahoma"/>
                <w:b/>
                <w:bCs/>
                <w:sz w:val="24"/>
                <w:rtl/>
              </w:rPr>
              <w:t>פי</w:t>
            </w:r>
            <w:r w:rsidRPr="0049556D">
              <w:rPr>
                <w:rFonts w:ascii="Tahoma" w:hAnsi="Tahoma" w:cs="Tahoma"/>
                <w:b/>
                <w:bCs/>
                <w:sz w:val="34"/>
                <w:szCs w:val="34"/>
                <w:rtl/>
              </w:rPr>
              <w:t xml:space="preserve"> 2.5</w:t>
            </w:r>
          </w:p>
        </w:tc>
        <w:tc>
          <w:tcPr>
            <w:tcW w:w="342" w:type="dxa"/>
            <w:gridSpan w:val="3"/>
          </w:tcPr>
          <w:p w:rsidR="0091656F" w:rsidRPr="00B56334" w:rsidP="0091656F" w14:paraId="19AAD257" w14:textId="4BDEA691">
            <w:pPr>
              <w:spacing w:line="240" w:lineRule="auto"/>
              <w:jc w:val="left"/>
              <w:rPr>
                <w:rFonts w:ascii="Tahoma" w:hAnsi="Tahoma" w:cs="Tahoma"/>
                <w:b/>
                <w:bCs/>
                <w:sz w:val="34"/>
                <w:szCs w:val="34"/>
                <w:rtl/>
              </w:rPr>
            </w:pPr>
          </w:p>
        </w:tc>
        <w:tc>
          <w:tcPr>
            <w:tcW w:w="1781" w:type="dxa"/>
            <w:gridSpan w:val="2"/>
            <w:vAlign w:val="center"/>
          </w:tcPr>
          <w:p w:rsidR="0049556D" w:rsidRPr="0049556D" w:rsidP="0091656F" w14:paraId="6F305570" w14:textId="77777777">
            <w:pPr>
              <w:spacing w:line="240" w:lineRule="auto"/>
              <w:jc w:val="left"/>
              <w:rPr>
                <w:rFonts w:ascii="Tahoma" w:hAnsi="Tahoma" w:cs="Tahoma"/>
                <w:b/>
                <w:bCs/>
                <w:spacing w:val="-20"/>
                <w:sz w:val="24"/>
                <w:rtl/>
              </w:rPr>
            </w:pPr>
          </w:p>
          <w:p w:rsidR="0091656F" w:rsidRPr="0049556D" w:rsidP="0091656F" w14:paraId="49540B80" w14:textId="3B4660C9">
            <w:pPr>
              <w:spacing w:line="240" w:lineRule="auto"/>
              <w:jc w:val="left"/>
              <w:rPr>
                <w:rFonts w:ascii="Tahoma" w:hAnsi="Tahoma" w:cs="Tahoma"/>
                <w:b/>
                <w:bCs/>
                <w:spacing w:val="-20"/>
                <w:sz w:val="34"/>
                <w:szCs w:val="34"/>
                <w:rtl/>
              </w:rPr>
            </w:pPr>
            <w:r w:rsidRPr="0049556D">
              <w:rPr>
                <w:rFonts w:ascii="Tahoma" w:hAnsi="Tahoma" w:cs="Tahoma" w:hint="cs"/>
                <w:b/>
                <w:bCs/>
                <w:spacing w:val="-20"/>
                <w:sz w:val="24"/>
                <w:rtl/>
              </w:rPr>
              <w:t xml:space="preserve">למעלה </w:t>
            </w:r>
            <w:r w:rsidRPr="0049556D" w:rsidR="0049556D">
              <w:rPr>
                <w:rFonts w:ascii="Tahoma" w:hAnsi="Tahoma" w:cs="Tahoma" w:hint="cs"/>
                <w:b/>
                <w:bCs/>
                <w:spacing w:val="-20"/>
                <w:sz w:val="24"/>
                <w:rtl/>
              </w:rPr>
              <w:t xml:space="preserve">        </w:t>
            </w:r>
            <w:r w:rsidR="00DF40EB">
              <w:rPr>
                <w:rFonts w:ascii="Tahoma" w:hAnsi="Tahoma" w:cs="Tahoma" w:hint="cs"/>
                <w:b/>
                <w:bCs/>
                <w:spacing w:val="-20"/>
                <w:sz w:val="24"/>
                <w:rtl/>
              </w:rPr>
              <w:t xml:space="preserve">            </w:t>
            </w:r>
            <w:r w:rsidRPr="0049556D" w:rsidR="0049556D">
              <w:rPr>
                <w:rFonts w:ascii="Tahoma" w:hAnsi="Tahoma" w:cs="Tahoma" w:hint="cs"/>
                <w:b/>
                <w:bCs/>
                <w:spacing w:val="-20"/>
                <w:sz w:val="24"/>
                <w:rtl/>
              </w:rPr>
              <w:t xml:space="preserve"> </w:t>
            </w:r>
            <w:r w:rsidRPr="0049556D">
              <w:rPr>
                <w:rFonts w:ascii="Tahoma" w:hAnsi="Tahoma" w:cs="Tahoma" w:hint="cs"/>
                <w:b/>
                <w:bCs/>
                <w:spacing w:val="-20"/>
                <w:sz w:val="24"/>
                <w:rtl/>
              </w:rPr>
              <w:t>מ-</w:t>
            </w:r>
            <w:r w:rsidRPr="0049556D">
              <w:rPr>
                <w:rFonts w:ascii="Tahoma" w:hAnsi="Tahoma" w:cs="Tahoma" w:hint="cs"/>
                <w:b/>
                <w:bCs/>
                <w:spacing w:val="-20"/>
                <w:sz w:val="34"/>
                <w:szCs w:val="34"/>
                <w:rtl/>
              </w:rPr>
              <w:t>200%</w:t>
            </w:r>
          </w:p>
        </w:tc>
        <w:tc>
          <w:tcPr>
            <w:tcW w:w="307" w:type="dxa"/>
            <w:gridSpan w:val="3"/>
          </w:tcPr>
          <w:p w:rsidR="0091656F" w:rsidRPr="00B56334" w:rsidP="0091656F" w14:paraId="384A1AAC" w14:textId="77777777">
            <w:pPr>
              <w:spacing w:line="240" w:lineRule="auto"/>
              <w:jc w:val="left"/>
              <w:rPr>
                <w:rFonts w:ascii="Tahoma" w:hAnsi="Tahoma" w:cs="Tahoma"/>
                <w:b/>
                <w:bCs/>
                <w:sz w:val="34"/>
                <w:szCs w:val="34"/>
                <w:rtl/>
              </w:rPr>
            </w:pPr>
          </w:p>
        </w:tc>
        <w:tc>
          <w:tcPr>
            <w:tcW w:w="1537" w:type="dxa"/>
            <w:vAlign w:val="bottom"/>
          </w:tcPr>
          <w:p w:rsidR="0091656F" w:rsidRPr="00B56334" w:rsidP="0091656F" w14:paraId="0DEE04EA" w14:textId="3DACC0C6">
            <w:pPr>
              <w:spacing w:line="240" w:lineRule="auto"/>
              <w:jc w:val="left"/>
              <w:rPr>
                <w:rFonts w:ascii="Tahoma" w:hAnsi="Tahoma" w:cs="Tahoma"/>
                <w:b/>
                <w:bCs/>
                <w:sz w:val="34"/>
                <w:szCs w:val="34"/>
                <w:rtl/>
              </w:rPr>
            </w:pPr>
            <w:r w:rsidRPr="0049556D">
              <w:rPr>
                <w:rFonts w:ascii="Tahoma" w:hAnsi="Tahoma" w:cs="Tahoma"/>
                <w:b/>
                <w:bCs/>
                <w:sz w:val="24"/>
                <w:rtl/>
              </w:rPr>
              <w:t>כ-</w:t>
            </w:r>
            <w:r w:rsidRPr="0049556D">
              <w:rPr>
                <w:rFonts w:ascii="Tahoma" w:hAnsi="Tahoma" w:cs="Tahoma"/>
                <w:b/>
                <w:bCs/>
                <w:sz w:val="34"/>
                <w:szCs w:val="34"/>
                <w:rtl/>
              </w:rPr>
              <w:t xml:space="preserve">512 </w:t>
            </w:r>
            <w:r w:rsidR="0049556D">
              <w:rPr>
                <w:rFonts w:ascii="Tahoma" w:hAnsi="Tahoma" w:cs="Tahoma" w:hint="cs"/>
                <w:b/>
                <w:bCs/>
                <w:sz w:val="34"/>
                <w:szCs w:val="34"/>
                <w:rtl/>
              </w:rPr>
              <w:t xml:space="preserve"> </w:t>
            </w:r>
            <w:r w:rsidRPr="0049556D">
              <w:rPr>
                <w:rFonts w:ascii="Tahoma" w:hAnsi="Tahoma" w:cs="Tahoma"/>
                <w:b/>
                <w:bCs/>
                <w:sz w:val="24"/>
                <w:rtl/>
              </w:rPr>
              <w:t>מיליון ש"ח</w:t>
            </w:r>
          </w:p>
        </w:tc>
      </w:tr>
      <w:tr w14:paraId="3B2A75EF" w14:textId="77777777" w:rsidTr="009E3337">
        <w:tblPrEx>
          <w:tblW w:w="7531" w:type="dxa"/>
          <w:tblLook w:val="04A0"/>
        </w:tblPrEx>
        <w:tc>
          <w:tcPr>
            <w:tcW w:w="1628" w:type="dxa"/>
            <w:tcBorders>
              <w:top w:val="single" w:sz="12" w:space="0" w:color="auto"/>
            </w:tcBorders>
          </w:tcPr>
          <w:p w:rsidR="0091656F" w:rsidRPr="0091656F" w:rsidP="00AC3937" w14:paraId="38F92C9D" w14:textId="7BB5EE3F">
            <w:pPr>
              <w:pStyle w:val="752024"/>
              <w:spacing w:after="0"/>
              <w:rPr>
                <w:rtl/>
              </w:rPr>
            </w:pPr>
            <w:r w:rsidRPr="0091656F">
              <w:rPr>
                <w:rtl/>
              </w:rPr>
              <w:t xml:space="preserve">היקף ההוצאה השנתית בשנת 2022 של משרד הרווחה על רכישת שירותים חברתיים חוץ-ביתיים מ-254 מפעילים </w:t>
            </w:r>
            <w:r w:rsidRPr="0091656F">
              <w:rPr>
                <w:rtl/>
              </w:rPr>
              <w:t>במינהל</w:t>
            </w:r>
            <w:r w:rsidRPr="0091656F">
              <w:rPr>
                <w:rtl/>
              </w:rPr>
              <w:t xml:space="preserve"> מוגבלויות; </w:t>
            </w:r>
            <w:r w:rsidRPr="0091656F">
              <w:rPr>
                <w:rtl/>
              </w:rPr>
              <w:t>מינהל</w:t>
            </w:r>
            <w:r w:rsidRPr="0091656F">
              <w:rPr>
                <w:rtl/>
              </w:rPr>
              <w:t xml:space="preserve"> שירותים אישיים וחברתיים (שח"א); </w:t>
            </w:r>
            <w:r w:rsidRPr="0091656F">
              <w:rPr>
                <w:rtl/>
              </w:rPr>
              <w:t>ומינהל</w:t>
            </w:r>
            <w:r w:rsidRPr="0091656F">
              <w:rPr>
                <w:rtl/>
              </w:rPr>
              <w:t xml:space="preserve"> שיקום, ליווי ומניעה (</w:t>
            </w:r>
            <w:r w:rsidRPr="0091656F">
              <w:rPr>
                <w:rtl/>
              </w:rPr>
              <w:t>של"ם</w:t>
            </w:r>
            <w:r w:rsidRPr="0091656F">
              <w:rPr>
                <w:rtl/>
              </w:rPr>
              <w:t>)</w:t>
            </w:r>
          </w:p>
        </w:tc>
        <w:tc>
          <w:tcPr>
            <w:tcW w:w="240" w:type="dxa"/>
          </w:tcPr>
          <w:p w:rsidR="0091656F" w:rsidP="0091656F" w14:paraId="4A315B13" w14:textId="7B8CAAD7">
            <w:pPr>
              <w:pStyle w:val="752024"/>
              <w:spacing w:after="0"/>
              <w:rPr>
                <w:rtl/>
              </w:rPr>
            </w:pPr>
          </w:p>
        </w:tc>
        <w:tc>
          <w:tcPr>
            <w:tcW w:w="1696" w:type="dxa"/>
            <w:gridSpan w:val="3"/>
            <w:tcBorders>
              <w:top w:val="single" w:sz="12" w:space="0" w:color="auto"/>
            </w:tcBorders>
          </w:tcPr>
          <w:p w:rsidR="0091656F" w:rsidRPr="0091656F" w:rsidP="0091656F" w14:paraId="5CADEB5F" w14:textId="09A97B5E">
            <w:pPr>
              <w:pStyle w:val="752024"/>
              <w:rPr>
                <w:rtl/>
              </w:rPr>
            </w:pPr>
            <w:r w:rsidRPr="0091656F">
              <w:rPr>
                <w:rtl/>
              </w:rPr>
              <w:t>היחס בין שיעור הרווחיות הממוצע בשנת 2021 של חברות פרטיות המפעילות מסגרות חוץ-ביתיות עבור משרד הרווחה (9.7%) לבין שיעור הרווחיות שנקבע בתעריף של משרד הרווחה (3.8%)</w:t>
            </w:r>
          </w:p>
        </w:tc>
        <w:tc>
          <w:tcPr>
            <w:tcW w:w="274" w:type="dxa"/>
            <w:gridSpan w:val="2"/>
          </w:tcPr>
          <w:p w:rsidR="0091656F" w:rsidP="0091656F" w14:paraId="172B871D" w14:textId="36A5AC9A">
            <w:pPr>
              <w:pStyle w:val="752024"/>
              <w:spacing w:after="0"/>
              <w:rPr>
                <w:rtl/>
              </w:rPr>
            </w:pPr>
          </w:p>
        </w:tc>
        <w:tc>
          <w:tcPr>
            <w:tcW w:w="1849" w:type="dxa"/>
            <w:gridSpan w:val="3"/>
            <w:tcBorders>
              <w:top w:val="single" w:sz="12" w:space="0" w:color="auto"/>
            </w:tcBorders>
          </w:tcPr>
          <w:p w:rsidR="0091656F" w:rsidP="0091656F" w14:paraId="5D82A56A" w14:textId="2AD2D995">
            <w:pPr>
              <w:pStyle w:val="752024"/>
              <w:rPr>
                <w:sz w:val="19"/>
                <w:szCs w:val="19"/>
                <w:rtl/>
              </w:rPr>
            </w:pPr>
            <w:r w:rsidRPr="00BB02BA">
              <w:rPr>
                <w:sz w:val="19"/>
                <w:szCs w:val="19"/>
                <w:rtl/>
              </w:rPr>
              <w:t xml:space="preserve">שיעור העודפים המצטברים (בסך 393 מיליון ש"ח), אצל מפעילי </w:t>
            </w:r>
            <w:r w:rsidRPr="0091656F">
              <w:rPr>
                <w:rtl/>
              </w:rPr>
              <w:t>מסגרות</w:t>
            </w:r>
            <w:r w:rsidRPr="00BB02BA">
              <w:rPr>
                <w:sz w:val="19"/>
                <w:szCs w:val="19"/>
                <w:rtl/>
              </w:rPr>
              <w:t xml:space="preserve"> שהן עמותות, ביחס למחזור ההכנסות של 20% מהן, שמרבית</w:t>
            </w:r>
            <w:r>
              <w:rPr>
                <w:sz w:val="19"/>
                <w:szCs w:val="19"/>
                <w:rtl/>
              </w:rPr>
              <w:t xml:space="preserve"> </w:t>
            </w:r>
            <w:r w:rsidRPr="00BB02BA">
              <w:rPr>
                <w:sz w:val="19"/>
                <w:szCs w:val="19"/>
                <w:rtl/>
              </w:rPr>
              <w:t>הכנסותיהן מהפעלת שירותים חוץ-בייתים עבור משרד הרווחה</w:t>
            </w:r>
            <w:r>
              <w:rPr>
                <w:sz w:val="19"/>
                <w:szCs w:val="19"/>
                <w:rtl/>
              </w:rPr>
              <w:t xml:space="preserve"> </w:t>
            </w:r>
          </w:p>
          <w:p w:rsidR="0091656F" w:rsidRPr="00294AB8" w:rsidP="0091656F" w14:paraId="03ED2AA1" w14:textId="77777777">
            <w:pPr>
              <w:pStyle w:val="752024"/>
              <w:spacing w:after="0"/>
              <w:jc w:val="center"/>
              <w:rPr>
                <w:sz w:val="19"/>
                <w:szCs w:val="19"/>
                <w:rtl/>
              </w:rPr>
            </w:pPr>
          </w:p>
        </w:tc>
        <w:tc>
          <w:tcPr>
            <w:tcW w:w="239" w:type="dxa"/>
            <w:gridSpan w:val="2"/>
          </w:tcPr>
          <w:p w:rsidR="0091656F" w:rsidP="0091656F" w14:paraId="3C891690" w14:textId="50A159A9">
            <w:pPr>
              <w:pStyle w:val="752024"/>
              <w:spacing w:after="0"/>
              <w:jc w:val="center"/>
              <w:rPr>
                <w:rtl/>
              </w:rPr>
            </w:pPr>
          </w:p>
        </w:tc>
        <w:tc>
          <w:tcPr>
            <w:tcW w:w="1605" w:type="dxa"/>
            <w:gridSpan w:val="2"/>
            <w:tcBorders>
              <w:top w:val="single" w:sz="12" w:space="0" w:color="auto"/>
            </w:tcBorders>
          </w:tcPr>
          <w:p w:rsidR="0091656F" w:rsidRPr="0091656F" w:rsidP="0091656F" w14:paraId="7233755D" w14:textId="1AE060FE">
            <w:pPr>
              <w:pStyle w:val="752024"/>
              <w:rPr>
                <w:rtl/>
              </w:rPr>
            </w:pPr>
            <w:r w:rsidRPr="0091656F">
              <w:rPr>
                <w:rtl/>
              </w:rPr>
              <w:t xml:space="preserve">אומדן התקציב שמשרד הרווחה משלם למפעילים על משרות שאינן מאוישות </w:t>
            </w:r>
          </w:p>
        </w:tc>
      </w:tr>
      <w:tr w14:paraId="1A9C8890" w14:textId="77777777" w:rsidTr="009E3337">
        <w:tblPrEx>
          <w:tblW w:w="7531" w:type="dxa"/>
          <w:tblLook w:val="04A0"/>
        </w:tblPrEx>
        <w:tc>
          <w:tcPr>
            <w:tcW w:w="1628" w:type="dxa"/>
            <w:tcBorders>
              <w:bottom w:val="single" w:sz="12" w:space="0" w:color="auto"/>
            </w:tcBorders>
            <w:vAlign w:val="bottom"/>
          </w:tcPr>
          <w:p w:rsidR="001E0F6A" w:rsidRPr="00E066B5" w:rsidP="001E0F6A" w14:paraId="66FB231F" w14:textId="58C1F948">
            <w:pPr>
              <w:spacing w:line="240" w:lineRule="auto"/>
              <w:jc w:val="left"/>
              <w:rPr>
                <w:rFonts w:ascii="Tahoma" w:hAnsi="Tahoma" w:cs="Tahoma"/>
                <w:b/>
                <w:bCs/>
                <w:sz w:val="34"/>
                <w:szCs w:val="34"/>
                <w:rtl/>
              </w:rPr>
            </w:pPr>
            <w:r w:rsidRPr="00DF40EB">
              <w:rPr>
                <w:rFonts w:ascii="Tahoma" w:hAnsi="Tahoma" w:cs="Tahoma"/>
                <w:b/>
                <w:bCs/>
                <w:sz w:val="24"/>
                <w:rtl/>
              </w:rPr>
              <w:t>כ-</w:t>
            </w:r>
            <w:r w:rsidRPr="00DF40EB">
              <w:rPr>
                <w:rFonts w:ascii="Tahoma" w:hAnsi="Tahoma" w:cs="Tahoma"/>
                <w:b/>
                <w:bCs/>
                <w:sz w:val="34"/>
                <w:szCs w:val="34"/>
                <w:rtl/>
              </w:rPr>
              <w:t>60%</w:t>
            </w:r>
          </w:p>
        </w:tc>
        <w:tc>
          <w:tcPr>
            <w:tcW w:w="240" w:type="dxa"/>
          </w:tcPr>
          <w:p w:rsidR="001E0F6A" w:rsidRPr="008E52B9" w:rsidP="001E0F6A" w14:paraId="4B7F392C" w14:textId="2C256971">
            <w:pPr>
              <w:rPr>
                <w:spacing w:val="-20"/>
                <w:rtl/>
              </w:rPr>
            </w:pPr>
          </w:p>
        </w:tc>
        <w:tc>
          <w:tcPr>
            <w:tcW w:w="1696" w:type="dxa"/>
            <w:gridSpan w:val="3"/>
            <w:tcBorders>
              <w:bottom w:val="single" w:sz="12" w:space="0" w:color="auto"/>
            </w:tcBorders>
            <w:vAlign w:val="bottom"/>
          </w:tcPr>
          <w:p w:rsidR="001E0F6A" w:rsidRPr="00E066B5" w:rsidP="001E0F6A" w14:paraId="6AC12FD0" w14:textId="57849824">
            <w:pPr>
              <w:spacing w:line="240" w:lineRule="auto"/>
              <w:jc w:val="left"/>
              <w:rPr>
                <w:rFonts w:ascii="Tahoma" w:hAnsi="Tahoma" w:cs="Tahoma"/>
                <w:b/>
                <w:bCs/>
                <w:sz w:val="34"/>
                <w:szCs w:val="34"/>
                <w:rtl/>
              </w:rPr>
            </w:pPr>
            <w:r w:rsidRPr="00DF40EB">
              <w:rPr>
                <w:rFonts w:ascii="Tahoma" w:hAnsi="Tahoma" w:cs="Tahoma"/>
                <w:b/>
                <w:bCs/>
                <w:sz w:val="34"/>
                <w:szCs w:val="34"/>
                <w:rtl/>
              </w:rPr>
              <w:t>68%</w:t>
            </w:r>
          </w:p>
        </w:tc>
        <w:tc>
          <w:tcPr>
            <w:tcW w:w="274" w:type="dxa"/>
            <w:gridSpan w:val="2"/>
          </w:tcPr>
          <w:p w:rsidR="001E0F6A" w:rsidRPr="008E52B9" w:rsidP="001E0F6A" w14:paraId="10542ECF" w14:textId="331AA240">
            <w:pPr>
              <w:rPr>
                <w:spacing w:val="-20"/>
                <w:rtl/>
              </w:rPr>
            </w:pPr>
          </w:p>
        </w:tc>
        <w:tc>
          <w:tcPr>
            <w:tcW w:w="1849" w:type="dxa"/>
            <w:gridSpan w:val="3"/>
            <w:tcBorders>
              <w:bottom w:val="single" w:sz="12" w:space="0" w:color="auto"/>
            </w:tcBorders>
            <w:vAlign w:val="bottom"/>
          </w:tcPr>
          <w:p w:rsidR="001E0F6A" w:rsidRPr="00E066B5" w:rsidP="001E0F6A" w14:paraId="41F66E0E" w14:textId="1DE2FEE7">
            <w:pPr>
              <w:spacing w:line="240" w:lineRule="auto"/>
              <w:jc w:val="left"/>
              <w:rPr>
                <w:rFonts w:ascii="Tahoma" w:hAnsi="Tahoma" w:cs="Tahoma"/>
                <w:b/>
                <w:bCs/>
                <w:sz w:val="34"/>
                <w:szCs w:val="34"/>
                <w:rtl/>
              </w:rPr>
            </w:pPr>
            <w:r w:rsidRPr="00DF40EB">
              <w:rPr>
                <w:rFonts w:ascii="Tahoma" w:hAnsi="Tahoma" w:cs="Tahoma"/>
                <w:b/>
                <w:bCs/>
                <w:sz w:val="34"/>
                <w:szCs w:val="34"/>
                <w:rtl/>
              </w:rPr>
              <w:t>89%</w:t>
            </w:r>
          </w:p>
        </w:tc>
        <w:tc>
          <w:tcPr>
            <w:tcW w:w="239" w:type="dxa"/>
            <w:gridSpan w:val="2"/>
          </w:tcPr>
          <w:p w:rsidR="001E0F6A" w:rsidRPr="008E52B9" w:rsidP="001E0F6A" w14:paraId="25E8DA3E" w14:textId="7DE67CAE">
            <w:pPr>
              <w:jc w:val="center"/>
              <w:rPr>
                <w:spacing w:val="-20"/>
                <w:rtl/>
              </w:rPr>
            </w:pPr>
          </w:p>
        </w:tc>
        <w:tc>
          <w:tcPr>
            <w:tcW w:w="1605" w:type="dxa"/>
            <w:gridSpan w:val="2"/>
            <w:tcBorders>
              <w:bottom w:val="single" w:sz="12" w:space="0" w:color="auto"/>
            </w:tcBorders>
            <w:vAlign w:val="center"/>
          </w:tcPr>
          <w:p w:rsidR="001E0F6A" w:rsidRPr="00E066B5" w:rsidP="001E0F6A" w14:paraId="09945564" w14:textId="122B572F">
            <w:pPr>
              <w:spacing w:line="240" w:lineRule="auto"/>
              <w:jc w:val="left"/>
              <w:rPr>
                <w:rFonts w:ascii="Tahoma" w:hAnsi="Tahoma" w:cs="Tahoma"/>
                <w:b/>
                <w:bCs/>
                <w:sz w:val="34"/>
                <w:szCs w:val="34"/>
                <w:rtl/>
              </w:rPr>
            </w:pPr>
            <w:r w:rsidRPr="00DF40EB">
              <w:rPr>
                <w:rFonts w:ascii="Tahoma" w:hAnsi="Tahoma" w:cs="Tahoma"/>
                <w:b/>
                <w:bCs/>
                <w:sz w:val="24"/>
                <w:rtl/>
              </w:rPr>
              <w:t>רק</w:t>
            </w:r>
            <w:r w:rsidRPr="00DF40EB">
              <w:rPr>
                <w:rFonts w:ascii="Tahoma" w:hAnsi="Tahoma" w:cs="Tahoma" w:hint="cs"/>
                <w:b/>
                <w:bCs/>
                <w:sz w:val="34"/>
                <w:szCs w:val="34"/>
                <w:rtl/>
              </w:rPr>
              <w:t xml:space="preserve"> </w:t>
            </w:r>
            <w:r w:rsidRPr="00DF40EB">
              <w:rPr>
                <w:rFonts w:ascii="Tahoma" w:hAnsi="Tahoma" w:cs="Tahoma"/>
                <w:b/>
                <w:bCs/>
                <w:sz w:val="34"/>
                <w:szCs w:val="34"/>
                <w:rtl/>
              </w:rPr>
              <w:t xml:space="preserve">2 - 3 </w:t>
            </w:r>
            <w:r w:rsidRPr="00DF40EB">
              <w:rPr>
                <w:rFonts w:ascii="Tahoma" w:hAnsi="Tahoma" w:cs="Tahoma"/>
                <w:b/>
                <w:bCs/>
                <w:sz w:val="24"/>
                <w:rtl/>
              </w:rPr>
              <w:t>ביקורים במקום</w:t>
            </w:r>
            <w:r w:rsidR="00DF40EB">
              <w:rPr>
                <w:rFonts w:ascii="Tahoma" w:hAnsi="Tahoma" w:cs="Tahoma" w:hint="cs"/>
                <w:b/>
                <w:bCs/>
                <w:sz w:val="24"/>
                <w:rtl/>
              </w:rPr>
              <w:t xml:space="preserve">           </w:t>
            </w:r>
            <w:r w:rsidRPr="00DF40EB">
              <w:rPr>
                <w:rFonts w:ascii="Tahoma" w:hAnsi="Tahoma" w:cs="Tahoma"/>
                <w:b/>
                <w:bCs/>
                <w:sz w:val="34"/>
                <w:szCs w:val="34"/>
                <w:rtl/>
              </w:rPr>
              <w:t xml:space="preserve"> 13</w:t>
            </w:r>
            <w:r w:rsidRPr="00DF40EB">
              <w:rPr>
                <w:rFonts w:ascii="Tahoma" w:hAnsi="Tahoma" w:cs="Tahoma" w:hint="cs"/>
                <w:b/>
                <w:bCs/>
                <w:sz w:val="34"/>
                <w:szCs w:val="34"/>
                <w:rtl/>
              </w:rPr>
              <w:t xml:space="preserve"> </w:t>
            </w:r>
            <w:r w:rsidRPr="00DF40EB">
              <w:rPr>
                <w:rFonts w:ascii="Tahoma" w:hAnsi="Tahoma" w:cs="Tahoma"/>
                <w:b/>
                <w:bCs/>
                <w:sz w:val="34"/>
                <w:szCs w:val="34"/>
                <w:rtl/>
              </w:rPr>
              <w:t>- 18</w:t>
            </w:r>
          </w:p>
        </w:tc>
      </w:tr>
      <w:tr w14:paraId="0FE605DF" w14:textId="77777777" w:rsidTr="00AC3937">
        <w:tblPrEx>
          <w:tblW w:w="7531" w:type="dxa"/>
          <w:tblLook w:val="04A0"/>
        </w:tblPrEx>
        <w:tc>
          <w:tcPr>
            <w:tcW w:w="1628" w:type="dxa"/>
            <w:tcBorders>
              <w:top w:val="single" w:sz="12" w:space="0" w:color="auto"/>
            </w:tcBorders>
          </w:tcPr>
          <w:p w:rsidR="001E0F6A" w:rsidP="001E0F6A" w14:paraId="119824E2" w14:textId="015ED9AA">
            <w:pPr>
              <w:pStyle w:val="752024"/>
              <w:rPr>
                <w:sz w:val="19"/>
                <w:szCs w:val="19"/>
                <w:rtl/>
              </w:rPr>
            </w:pPr>
            <w:r w:rsidRPr="00BB02BA">
              <w:rPr>
                <w:sz w:val="19"/>
                <w:szCs w:val="19"/>
                <w:rtl/>
              </w:rPr>
              <w:t xml:space="preserve">שיעור המכרזים של </w:t>
            </w:r>
            <w:r w:rsidRPr="001E0F6A">
              <w:rPr>
                <w:rtl/>
              </w:rPr>
              <w:t>משרד</w:t>
            </w:r>
            <w:r w:rsidRPr="00BB02BA">
              <w:rPr>
                <w:sz w:val="19"/>
                <w:szCs w:val="19"/>
                <w:rtl/>
              </w:rPr>
              <w:t xml:space="preserve"> הרווחה לרכש שירותי רווחה בשנים 2013 - 2022</w:t>
            </w:r>
            <w:r>
              <w:rPr>
                <w:sz w:val="19"/>
                <w:szCs w:val="19"/>
                <w:rtl/>
              </w:rPr>
              <w:t xml:space="preserve"> </w:t>
            </w:r>
            <w:r w:rsidRPr="00BB02BA">
              <w:rPr>
                <w:sz w:val="19"/>
                <w:szCs w:val="19"/>
                <w:rtl/>
              </w:rPr>
              <w:t xml:space="preserve">בהם כל הצעה שעוברת את תנאי הסף זוכה במכרז, כלומר מכרזים בהם אין תחרות ממשית (74 </w:t>
            </w:r>
            <w:r w:rsidR="000D2B0A">
              <w:rPr>
                <w:rFonts w:hint="cs"/>
                <w:sz w:val="19"/>
                <w:szCs w:val="19"/>
                <w:rtl/>
              </w:rPr>
              <w:t xml:space="preserve">             </w:t>
            </w:r>
            <w:r w:rsidRPr="00BB02BA">
              <w:rPr>
                <w:sz w:val="19"/>
                <w:szCs w:val="19"/>
                <w:rtl/>
              </w:rPr>
              <w:t>מ-128 מכרזים)</w:t>
            </w:r>
          </w:p>
          <w:p w:rsidR="001E0F6A" w:rsidP="001E0F6A" w14:paraId="14CBAF79" w14:textId="77777777">
            <w:pPr>
              <w:spacing w:line="240" w:lineRule="auto"/>
              <w:jc w:val="left"/>
              <w:rPr>
                <w:rFonts w:ascii="Tahoma" w:hAnsi="Tahoma" w:cs="Tahoma"/>
                <w:sz w:val="19"/>
                <w:szCs w:val="19"/>
                <w:rtl/>
              </w:rPr>
            </w:pPr>
          </w:p>
          <w:p w:rsidR="001E0F6A" w:rsidRPr="00834C20" w:rsidP="001E0F6A" w14:paraId="022FCEBD" w14:textId="7F5C438B">
            <w:pPr>
              <w:pStyle w:val="752024"/>
              <w:rPr>
                <w:spacing w:val="-2"/>
                <w:rtl/>
              </w:rPr>
            </w:pPr>
          </w:p>
        </w:tc>
        <w:tc>
          <w:tcPr>
            <w:tcW w:w="273" w:type="dxa"/>
            <w:gridSpan w:val="2"/>
          </w:tcPr>
          <w:p w:rsidR="001E0F6A" w:rsidP="001E0F6A" w14:paraId="7F1AD4A4" w14:textId="77777777">
            <w:pPr>
              <w:pStyle w:val="752024"/>
              <w:spacing w:after="0"/>
              <w:rPr>
                <w:rtl/>
              </w:rPr>
            </w:pPr>
          </w:p>
        </w:tc>
        <w:tc>
          <w:tcPr>
            <w:tcW w:w="1612" w:type="dxa"/>
          </w:tcPr>
          <w:p w:rsidR="001E0F6A" w:rsidRPr="001E0F6A" w:rsidP="005E1A77" w14:paraId="435C8952" w14:textId="45EE7AB9">
            <w:pPr>
              <w:pStyle w:val="752024"/>
              <w:ind w:right="-170"/>
              <w:rPr>
                <w:rtl/>
              </w:rPr>
            </w:pPr>
            <w:r w:rsidRPr="001E0F6A">
              <w:rPr>
                <w:rtl/>
              </w:rPr>
              <w:t xml:space="preserve">שיעור ההצעות במכרזי משרד </w:t>
            </w:r>
            <w:r w:rsidR="00FD56AA">
              <w:rPr>
                <w:rFonts w:hint="cs"/>
                <w:rtl/>
              </w:rPr>
              <w:t xml:space="preserve"> </w:t>
            </w:r>
            <w:r w:rsidRPr="001E0F6A">
              <w:rPr>
                <w:rtl/>
              </w:rPr>
              <w:t>הרווח</w:t>
            </w:r>
            <w:r w:rsidR="00FD56AA">
              <w:rPr>
                <w:rFonts w:hint="cs"/>
                <w:rtl/>
              </w:rPr>
              <w:t>ה</w:t>
            </w:r>
            <w:r w:rsidRPr="001E0F6A">
              <w:rPr>
                <w:rtl/>
              </w:rPr>
              <w:t xml:space="preserve"> לרכש שירותי רווחה מתוך אלו שעברו את תנאי </w:t>
            </w:r>
            <w:r w:rsidR="00FD56AA">
              <w:rPr>
                <w:rFonts w:hint="cs"/>
                <w:rtl/>
              </w:rPr>
              <w:t xml:space="preserve"> </w:t>
            </w:r>
            <w:r w:rsidRPr="001E0F6A">
              <w:rPr>
                <w:rtl/>
              </w:rPr>
              <w:t>הסף שקיבלו ציון מרבי באמת המידה בנוגע להמלצות (273 מתוך 401 הצעות)</w:t>
            </w:r>
          </w:p>
        </w:tc>
        <w:tc>
          <w:tcPr>
            <w:tcW w:w="236" w:type="dxa"/>
            <w:gridSpan w:val="2"/>
          </w:tcPr>
          <w:p w:rsidR="001E0F6A" w:rsidP="001E0F6A" w14:paraId="500CF55E" w14:textId="77777777">
            <w:pPr>
              <w:pStyle w:val="752024"/>
              <w:spacing w:after="0"/>
              <w:rPr>
                <w:rtl/>
              </w:rPr>
            </w:pPr>
          </w:p>
        </w:tc>
        <w:tc>
          <w:tcPr>
            <w:tcW w:w="1804" w:type="dxa"/>
            <w:gridSpan w:val="3"/>
          </w:tcPr>
          <w:p w:rsidR="001E0F6A" w:rsidRPr="001E0F6A" w:rsidP="001E0F6A" w14:paraId="1C2DE42D" w14:textId="6E9CC22A">
            <w:pPr>
              <w:pStyle w:val="752024"/>
              <w:rPr>
                <w:rtl/>
              </w:rPr>
            </w:pPr>
            <w:r w:rsidRPr="001E0F6A">
              <w:rPr>
                <w:rtl/>
              </w:rPr>
              <w:t>מסך התשלומים עבור אספקת שירותי רווחה חוץ-ביתיים משלם משרד הרווחה למפעילים עם ותק של 17 שנה או יותר במתן שירותים למשרד הרווחה</w:t>
            </w:r>
            <w:r w:rsidR="00924425">
              <w:rPr>
                <w:rFonts w:hint="cs"/>
                <w:rtl/>
              </w:rPr>
              <w:t xml:space="preserve">     </w:t>
            </w:r>
            <w:r w:rsidRPr="001E0F6A">
              <w:rPr>
                <w:rtl/>
              </w:rPr>
              <w:t xml:space="preserve"> (כ-3.1 מיליארד ש"ח) </w:t>
            </w:r>
          </w:p>
        </w:tc>
        <w:tc>
          <w:tcPr>
            <w:tcW w:w="284" w:type="dxa"/>
            <w:gridSpan w:val="2"/>
          </w:tcPr>
          <w:p w:rsidR="001E0F6A" w:rsidP="001E0F6A" w14:paraId="279761B3" w14:textId="77777777">
            <w:pPr>
              <w:pStyle w:val="752024"/>
              <w:spacing w:after="0"/>
              <w:jc w:val="center"/>
              <w:rPr>
                <w:rtl/>
              </w:rPr>
            </w:pPr>
          </w:p>
        </w:tc>
        <w:tc>
          <w:tcPr>
            <w:tcW w:w="1694" w:type="dxa"/>
            <w:gridSpan w:val="3"/>
          </w:tcPr>
          <w:p w:rsidR="001E0F6A" w:rsidRPr="002C6C74" w:rsidP="001E0F6A" w14:paraId="758BD136" w14:textId="65F7B8D8">
            <w:pPr>
              <w:pStyle w:val="752024"/>
              <w:rPr>
                <w:rtl/>
              </w:rPr>
            </w:pPr>
            <w:r w:rsidRPr="00BB02BA">
              <w:rPr>
                <w:sz w:val="19"/>
                <w:szCs w:val="19"/>
                <w:rtl/>
              </w:rPr>
              <w:t>מספר הביקורים השנתי החציוני של מפקחים במסגרות חוץ-ביתיות בהשוואה להמלצות הצוות הממשלתי לטיוב אופן אספקת שירותים חברתיים הניתנים במיקור חוץ משנת 2016</w:t>
            </w:r>
          </w:p>
        </w:tc>
      </w:tr>
    </w:tbl>
    <w:p w:rsidR="00420374" w:rsidRPr="00C62692" w:rsidP="00420374" w14:paraId="7BCB45AA" w14:textId="386B45B0">
      <w:pPr>
        <w:pStyle w:val="75"/>
        <w:rPr>
          <w:rtl/>
        </w:rPr>
      </w:pPr>
      <w:r w:rsidRPr="00C62692">
        <w:rPr>
          <w:rtl/>
        </w:rPr>
        <w:t>פעולות הביקורת</w:t>
      </w:r>
    </w:p>
    <w:p w:rsidR="00EB672B" w:rsidP="00085596" w14:paraId="403C8BA3" w14:textId="7693F8CB">
      <w:pPr>
        <w:pStyle w:val="7315"/>
        <w:rPr>
          <w:rtl/>
        </w:rPr>
      </w:pPr>
      <w:r w:rsidRPr="001F3363">
        <w:rPr>
          <w:noProof/>
        </w:rPr>
        <w:drawing>
          <wp:anchor distT="0" distB="0" distL="71755" distR="71755" simplePos="0" relativeHeight="251677696"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02BA" w:rsidR="00EE171D">
        <w:rPr>
          <w:rtl/>
        </w:rPr>
        <w:t xml:space="preserve">בחודשים ינואר עד אוקטובר 2023 בדק משרד מבקר המדינה את פעולות משרד הרווחה לרכישת שירותי הרווחה במיקור חוץ. בביקורת נבדקו המאפיינים של מבנה שוק שירותי הרווחה החוץ-ביתיים; התעריפים לאספקת שירותי רווחה; הפיקוח על נותני השירותים; והתכנון של היצע שירותי הרווחה החוץ-ביתיים. הביקורת נערכה </w:t>
      </w:r>
      <w:r w:rsidRPr="00BB02BA" w:rsidR="00EE171D">
        <w:rPr>
          <w:rtl/>
        </w:rPr>
        <w:t>במינהל</w:t>
      </w:r>
      <w:r w:rsidRPr="00BB02BA" w:rsidR="00EE171D">
        <w:rPr>
          <w:rtl/>
        </w:rPr>
        <w:t xml:space="preserve"> מוגבלויות, </w:t>
      </w:r>
      <w:r w:rsidRPr="00BB02BA" w:rsidR="00EE171D">
        <w:rPr>
          <w:rtl/>
        </w:rPr>
        <w:t>מינהל</w:t>
      </w:r>
      <w:r w:rsidRPr="00BB02BA" w:rsidR="00EE171D">
        <w:rPr>
          <w:rtl/>
        </w:rPr>
        <w:t xml:space="preserve"> שח"א </w:t>
      </w:r>
      <w:r w:rsidRPr="00EE171D" w:rsidR="00EE171D">
        <w:rPr>
          <w:rtl/>
        </w:rPr>
        <w:t>ומינהל</w:t>
      </w:r>
      <w:r w:rsidRPr="00BB02BA" w:rsidR="00EE171D">
        <w:rPr>
          <w:rtl/>
        </w:rPr>
        <w:t xml:space="preserve"> </w:t>
      </w:r>
      <w:r w:rsidRPr="00BB02BA" w:rsidR="00EE171D">
        <w:rPr>
          <w:rtl/>
        </w:rPr>
        <w:t>של"ם</w:t>
      </w:r>
      <w:r w:rsidRPr="00BB02BA" w:rsidR="00EE171D">
        <w:rPr>
          <w:rtl/>
        </w:rPr>
        <w:t xml:space="preserve"> במשרד הרווחה. בדיקות השלמה נערכו ברשות התחרות, במשרד ראש </w:t>
      </w:r>
      <w:r w:rsidRPr="00085596" w:rsidR="00EE171D">
        <w:rPr>
          <w:rtl/>
        </w:rPr>
        <w:t>הממשלה</w:t>
      </w:r>
      <w:r w:rsidRPr="00BB02BA" w:rsidR="00EE171D">
        <w:rPr>
          <w:rtl/>
        </w:rPr>
        <w:t>, באגפי הכלכלן הראשי והתקציבים במשרד האוצר וברשות התאגידים שבמשרד המשפטים. יודגש כי הביקורת התמקדה בניהול הרכש החברתי במיקור חוץ על ידי משרד הרווחה והביטחון החברתי ולא בדקה את אופן ההתנהלות והפעילות של נותני השירותים</w:t>
      </w:r>
      <w:r>
        <w:rPr>
          <w:rFonts w:hint="cs"/>
          <w:rtl/>
        </w:rPr>
        <w:t>.</w:t>
      </w:r>
      <w:r w:rsidRPr="001F3363">
        <w:rPr>
          <w:rFonts w:hint="cs"/>
          <w:rtl/>
        </w:rPr>
        <w:t xml:space="preserve"> </w:t>
      </w:r>
    </w:p>
    <w:p w:rsidR="00785F19" w:rsidP="00EE171D" w14:paraId="58E0DDB4" w14:textId="190A30BD">
      <w:pPr>
        <w:pStyle w:val="7315"/>
        <w:rPr>
          <w:rtl/>
        </w:rPr>
      </w:pPr>
      <w:r w:rsidRPr="00EE171D">
        <w:rPr>
          <w:rtl/>
        </w:rPr>
        <w:t>לצורך</w:t>
      </w:r>
      <w:r w:rsidRPr="00BB02BA">
        <w:rPr>
          <w:rtl/>
        </w:rPr>
        <w:t xml:space="preserve"> ניתוח ההליך </w:t>
      </w:r>
      <w:r w:rsidRPr="00BB02BA">
        <w:rPr>
          <w:rtl/>
        </w:rPr>
        <w:t>המכרזי</w:t>
      </w:r>
      <w:r w:rsidRPr="00BB02BA">
        <w:rPr>
          <w:rtl/>
        </w:rPr>
        <w:t xml:space="preserve"> של רכש חברתי, ובהיעדר מאגר מידע של משרד הרווחה, אסף צוות הביקורת בנוגע לכל המכרזים של רכש חברתי בעשר השנים 2013 - 2022 את מסמכי המכרז ואת הפרוטוקולים של הוועדות שדנו בהצעות שהוגשו ובחרו את ההצעות הזוכות, ריכז נתונים מרכזיים מתוך מסמכי המכרזים וקודד אותם למשתנים כמותיים, כדי לנתח אותם בכלים סטטיסטיים מתקדמים כגון רגרסיות</w:t>
      </w:r>
      <w:r w:rsidRPr="006B42BA">
        <w:rPr>
          <w:rtl/>
        </w:rPr>
        <w:t>.</w:t>
      </w:r>
    </w:p>
    <w:p w:rsidR="00EB672B" w:rsidP="00C00585" w14:paraId="6DC5AFDF" w14:textId="77777777">
      <w:pPr>
        <w:pStyle w:val="75"/>
        <w:spacing w:before="600"/>
        <w:rPr>
          <w:rtl/>
        </w:rPr>
      </w:pPr>
      <w:r w:rsidRPr="00275281">
        <w:rPr>
          <w:rFonts w:hint="cs"/>
          <w:rtl/>
        </w:rPr>
        <w:t>תמונת המצב העולה מן הביקורת</w:t>
      </w:r>
    </w:p>
    <w:p w:rsidR="00EB672B" w:rsidRPr="00CF6518" w:rsidP="00EB672B" w14:paraId="53F8FF0A"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AD39FB" w:rsidP="007D0080" w14:paraId="48A50A22" w14:textId="52274896">
      <w:pPr>
        <w:pStyle w:val="7315"/>
        <w:rPr>
          <w:rtl/>
        </w:rPr>
      </w:pPr>
      <w:r w:rsidRPr="003F0A00">
        <w:rPr>
          <w:rStyle w:val="7371"/>
          <w:rFonts w:hint="cs"/>
          <w:noProof/>
          <w:rtl/>
        </w:rPr>
        <w:drawing>
          <wp:anchor distT="0" distB="0" distL="71755" distR="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B02BA" w:rsidR="007D0080">
        <w:rPr>
          <w:b/>
          <w:bCs/>
          <w:rtl/>
        </w:rPr>
        <w:t>יתירות (שולי רווח ועודפים) בקרב מפעילי המסגרות החוץ-ביתיות</w:t>
      </w:r>
      <w:r w:rsidRPr="00BB02BA" w:rsidR="007D0080">
        <w:rPr>
          <w:rtl/>
        </w:rPr>
        <w:t xml:space="preserve"> - בשנת 2022 משרד הרווחה רכש שירותים חברתיים חוץ-ביתיים בכ-3.5 מיליארד ש"ח, מ-254 מפעילים. "יתירות" בקרב המפעילים שהם חברות פרטיות נוצרת כאשר ההכנסות של המפעילים עולות על ההוצאות כך שהן מותירות להם שולי רווח; ובקרב עמותות כאשר נוצרת להם יתרת עודפים ביחס למחזור ההכנסות. מנתונים מצרפיים שהתקבלו מאגף הכלכלן הראשי במשרד האוצר עולה כי בקרב 84 החברות הפרטיות המספקות שירותים חברתיים למשרד הרווחה שיעור הרווחיות הממוצע בשנת 2021 גבוה פי כ-2.5 משיעור הרווחיות מתוך ההכנסות בתעריף שקבע משרד הרווחה (אומדן הפער הוא כ-106 מיליון ש"ח). כאשר הניתוח נעשה רק ביחס למפעילים שלפחות 70% ממחזור ההכנסות שלהם הוא מהפעלת שירותים </w:t>
      </w:r>
      <w:r w:rsidRPr="007D0080" w:rsidR="007D0080">
        <w:rPr>
          <w:rtl/>
        </w:rPr>
        <w:t>חוץ</w:t>
      </w:r>
      <w:r w:rsidRPr="00BB02BA" w:rsidR="007D0080">
        <w:rPr>
          <w:rtl/>
        </w:rPr>
        <w:t xml:space="preserve"> ביתיים עבור משרד הרווחה נמצא ששיעור הרווחיות שהתקבל גבוה פי 2.3 משיעור הרווחיות בתעריף (אומדן הפער במקרה זה הוא כ-88 מיליון ש"ח). מניתוח הנתונים מהדוחות הכספיים של כלל העמותות שלפחות מחצית מהכנסותיהן מקורן בהפעלת מסגרות חוץ-ביתיות עבור משרד הרווחה (67 עמותות) עלה גם כי בקרב 38% מהעמותות יתרת העודפים עולה על 100% ממחזור ההכנסות של העמותה ומסתכמת בכ-725 מיליון ש"ח, ובקרב 20% מהעמותות יתרת העודפים עולה על 200% ומסתכמת בכ-393 מיליון ש"ח</w:t>
      </w:r>
      <w:r w:rsidRPr="00AF3B73">
        <w:rPr>
          <w:rtl/>
        </w:rPr>
        <w:t>.</w:t>
      </w:r>
    </w:p>
    <w:p w:rsidR="00BC6DAD" w:rsidP="007D0080" w14:paraId="597E5E97" w14:textId="60358B42">
      <w:pPr>
        <w:pStyle w:val="7315"/>
        <w:rPr>
          <w:rtl/>
        </w:rPr>
      </w:pPr>
      <w:r w:rsidRPr="003F0A00">
        <w:rPr>
          <w:rStyle w:val="7371"/>
          <w:rFonts w:hint="cs"/>
          <w:noProof/>
          <w:rtl/>
        </w:rPr>
        <w:drawing>
          <wp:anchor distT="0" distB="0" distL="71755" distR="0" simplePos="0" relativeHeight="25168588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B02BA" w:rsidR="007D0080">
        <w:rPr>
          <w:b/>
          <w:bCs/>
          <w:rtl/>
        </w:rPr>
        <w:t xml:space="preserve">רמת הדינמיות של שוק שירותי הרווחה </w:t>
      </w:r>
      <w:r w:rsidRPr="00BB02BA" w:rsidR="007D0080">
        <w:rPr>
          <w:rtl/>
        </w:rPr>
        <w:t>- בביקורת עלה כי רמת הדינמיות בשוק השירותים החברתיים החוץ-ביתיים נמוכה, שכן למרות הסממנים לשיעור הרווחיות הגבוה שאמור למשוך לשוק שחקנים חדשים, הוא נשלט באופן כמעט מוחלט על ידי מפעילים שהוותק שלהם כנותני שירות עבור משרד הרווחה הוא מעל 17 שנה. מפעילים אלה הם 76% מכלל מפעילי המסגרות (192 מ-254 מפעילים), וכ-89% מסך התשלומים בשנת 2022 עבור אספקת שירותי רווחה חוץ ביתיים הועברו אליהם (כ-3.1 מיליארד ש"ח).</w:t>
      </w:r>
      <w:r w:rsidR="007D0080">
        <w:rPr>
          <w:rtl/>
        </w:rPr>
        <w:t xml:space="preserve"> </w:t>
      </w:r>
      <w:r w:rsidRPr="00BB02BA" w:rsidR="007D0080">
        <w:rPr>
          <w:rtl/>
        </w:rPr>
        <w:t>מצב של חוסר תחלופה של מפעילים במסגרות הקיימות וחוסר כניסה של מפעילים למסגרות חדשות שנפתחות, מעלה חשש לצבירת כ</w:t>
      </w:r>
      <w:r w:rsidR="007D0080">
        <w:rPr>
          <w:rFonts w:hint="cs"/>
          <w:rtl/>
        </w:rPr>
        <w:t>ו</w:t>
      </w:r>
      <w:r w:rsidRPr="00BB02BA" w:rsidR="007D0080">
        <w:rPr>
          <w:rtl/>
        </w:rPr>
        <w:t>ח רב בידי המפעילים, ולשימוש בשיטות טיפול לא עדכניות. הצוות הממשלתי משנת 2016 ציין כי התקשרויות ארוכות טווח מעלות את החשש ליצירת שבי רגולטורי מול מפעילי השירותים ולקיפאון באיכות השירות</w:t>
      </w:r>
      <w:r w:rsidRPr="00AF3B73">
        <w:rPr>
          <w:rtl/>
        </w:rPr>
        <w:t>.</w:t>
      </w:r>
    </w:p>
    <w:p w:rsidR="00913C83" w:rsidP="00913C83" w14:paraId="51F565D0" w14:textId="77777777">
      <w:pPr>
        <w:pStyle w:val="7315"/>
        <w:rPr>
          <w:b/>
          <w:bCs/>
          <w:rtl/>
        </w:rPr>
      </w:pPr>
      <w:r w:rsidRPr="007D0080">
        <w:rPr>
          <w:rFonts w:hint="cs"/>
          <w:b/>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D0080" w:rsidR="007D0080">
        <w:rPr>
          <w:b/>
          <w:bCs/>
          <w:rtl/>
        </w:rPr>
        <w:t xml:space="preserve">ניתוח ההליך </w:t>
      </w:r>
      <w:r w:rsidRPr="007D0080" w:rsidR="007D0080">
        <w:rPr>
          <w:b/>
          <w:bCs/>
          <w:rtl/>
        </w:rPr>
        <w:t>המכרזי</w:t>
      </w:r>
      <w:r w:rsidRPr="007D0080" w:rsidR="007D0080">
        <w:rPr>
          <w:b/>
          <w:bCs/>
          <w:rtl/>
        </w:rPr>
        <w:t xml:space="preserve"> של משרד הרווחה לרכישת שירותים חברתיים ממפעילים חיצוניים</w:t>
      </w:r>
    </w:p>
    <w:p w:rsidR="00913C83" w:rsidRPr="00BB02BA" w:rsidP="00913C83" w14:paraId="1DDEA9B9" w14:textId="77777777">
      <w:pPr>
        <w:pStyle w:val="754"/>
      </w:pPr>
      <w:r w:rsidRPr="00BB02BA">
        <w:rPr>
          <w:b/>
          <w:bCs/>
          <w:rtl/>
        </w:rPr>
        <w:t>מידת התחרות במכרזים</w:t>
      </w:r>
      <w:r w:rsidRPr="00BB02BA">
        <w:rPr>
          <w:rtl/>
        </w:rPr>
        <w:t xml:space="preserve"> - שוק מכרזי הרכש החברתי במיקור חוץ במשרד הרווחה הוא ייחודי, שכן תעריף השירות המסופק קבוע מראש וידוע לכל המציעים, והתחרות היא רק על איכות השירותים ולא על המחיר לאספקתם. בשיטת המכרזים הנהוגה באספקת שירותי רווחה התחרות בין </w:t>
      </w:r>
      <w:r w:rsidRPr="00913C83">
        <w:rPr>
          <w:rtl/>
        </w:rPr>
        <w:t>המפעילים</w:t>
      </w:r>
      <w:r w:rsidRPr="00BB02BA">
        <w:rPr>
          <w:rtl/>
        </w:rPr>
        <w:t xml:space="preserve"> היא בשלב המכרז. עלה כי התחרות בשוק שירותי הרווחה במיקור חוץ היא מוגבלת, שכן בכ-60% מהמכרזים בשנים 2013 - 2022 (ב-74 מתוך 128 מכרזים)</w:t>
      </w:r>
      <w:r w:rsidRPr="00BB02BA">
        <w:t xml:space="preserve"> </w:t>
      </w:r>
      <w:r w:rsidRPr="00BB02BA">
        <w:rPr>
          <w:rtl/>
        </w:rPr>
        <w:t xml:space="preserve">אין תחרות בין ההצעות שהוגשו למשרד הרווחה, וכל הצעה שעוברת את תנאי הסף זוכה במכרז. כך למעשה, במרבית המקרים המנגנון </w:t>
      </w:r>
      <w:r w:rsidRPr="00BB02BA">
        <w:rPr>
          <w:rtl/>
        </w:rPr>
        <w:t>המכרזי</w:t>
      </w:r>
      <w:r w:rsidRPr="00BB02BA">
        <w:rPr>
          <w:rtl/>
        </w:rPr>
        <w:t xml:space="preserve"> אינו מייצר בפועל מצב של תחרות ממשית.</w:t>
      </w:r>
    </w:p>
    <w:p w:rsidR="00913C83" w:rsidRPr="00BB02BA" w:rsidP="00913C83" w14:paraId="663F5AB4" w14:textId="77777777">
      <w:pPr>
        <w:pStyle w:val="754"/>
      </w:pPr>
      <w:r w:rsidRPr="00BB02BA">
        <w:rPr>
          <w:b/>
          <w:bCs/>
          <w:rtl/>
        </w:rPr>
        <w:t>השפעת הוותק של המפעיל על העמידה בתנאי הסף</w:t>
      </w:r>
      <w:r w:rsidRPr="00BB02BA">
        <w:rPr>
          <w:rtl/>
        </w:rPr>
        <w:t xml:space="preserve"> - עמידה בתנאי הסף הוא שלב מסנן שבו נבחן האם המציעים שהגישו הצעותיהם למכרז, עומדים בתנאי הסף שנקבעו במכרז. תנאי הסף נוגעים למשל, למבנה שבו תופעל המסגרת, לכוח האדם שיועסק בה, לאיתנות הפיננסית של המציע ועוד. מציעים שלא עמדו בכל תנאי הסף נפסלים ואינם יכולים להמשיך לשלב הבא. ההסתברות </w:t>
      </w:r>
      <w:r w:rsidRPr="00913C83">
        <w:rPr>
          <w:rtl/>
        </w:rPr>
        <w:t>שמציע</w:t>
      </w:r>
      <w:r w:rsidRPr="00BB02BA">
        <w:rPr>
          <w:rtl/>
        </w:rPr>
        <w:t xml:space="preserve"> ותיק (מציע שקיימת לו התקשרות עם משרד הרווחה משנת 2005 או לפניה) יעמוד בכל תנאי הסף במכרזים ויעבור לשלב הבא גבוהה בכ-10 נקודות האחוז לעומת מציע חדש (מציע שקיימת לו התקשרות עם משרד הרווחה לאחר שנת 2005, או שלא קיימת לו התקשרות עם משרד הרווחה כלל). הדבר מלמד שאחת מסיבות השורש לחוסר </w:t>
      </w:r>
      <w:r w:rsidRPr="00913C83">
        <w:rPr>
          <w:rtl/>
        </w:rPr>
        <w:t>הדינמיות</w:t>
      </w:r>
      <w:r w:rsidRPr="00BB02BA">
        <w:rPr>
          <w:rtl/>
        </w:rPr>
        <w:t xml:space="preserve"> בשוק השירותים </w:t>
      </w:r>
      <w:r w:rsidRPr="00913C83">
        <w:rPr>
          <w:rtl/>
        </w:rPr>
        <w:t>החברתיים</w:t>
      </w:r>
      <w:r w:rsidRPr="00BB02BA">
        <w:rPr>
          <w:rtl/>
        </w:rPr>
        <w:t xml:space="preserve"> ולצבירת הכוח של המפעילים הוותיקים היא תנאי הסף במכרזים, שמהווים חסם כניסה למציעים חדשים. הדבר בולט במיוחד לגבי הדרישות </w:t>
      </w:r>
      <w:r w:rsidRPr="00BB02BA">
        <w:rPr>
          <w:rtl/>
        </w:rPr>
        <w:t>המינהליות</w:t>
      </w:r>
      <w:r w:rsidRPr="00BB02BA">
        <w:rPr>
          <w:rtl/>
        </w:rPr>
        <w:t xml:space="preserve"> המשמשות כחסם טכני, אשר מתמודדים חדשים מתקשים לעמוד בהן.</w:t>
      </w:r>
    </w:p>
    <w:p w:rsidR="00913C83" w:rsidP="00085596" w14:paraId="153A2F2C" w14:textId="77777777">
      <w:pPr>
        <w:pStyle w:val="754"/>
      </w:pPr>
      <w:r w:rsidRPr="00BB02BA">
        <w:rPr>
          <w:b/>
          <w:bCs/>
          <w:rtl/>
        </w:rPr>
        <w:t>אמות מידה לבחינת ההצעות להפעלת מסגרות חוץ-ביתיות</w:t>
      </w:r>
      <w:r w:rsidRPr="00BB02BA">
        <w:rPr>
          <w:rtl/>
        </w:rPr>
        <w:t xml:space="preserve"> - אמות המידה הן המקור העיקרי להבחנה באיכות ההצעות להפעלת מסגרות חוץ ביתיות. עלה כי 68% מההצעות </w:t>
      </w:r>
      <w:r w:rsidRPr="00913C83">
        <w:rPr>
          <w:rtl/>
        </w:rPr>
        <w:t>שעברו</w:t>
      </w:r>
      <w:r w:rsidRPr="00BB02BA">
        <w:rPr>
          <w:rtl/>
        </w:rPr>
        <w:t xml:space="preserve"> את תנאי הסף קיבלו את הציון המרבי באמת המידה בנוגע להמלצות, ו-</w:t>
      </w:r>
      <w:r w:rsidRPr="00913C83">
        <w:rPr>
          <w:rtl/>
        </w:rPr>
        <w:t>77</w:t>
      </w:r>
      <w:r w:rsidRPr="00BB02BA">
        <w:rPr>
          <w:rtl/>
        </w:rPr>
        <w:t>% קיבלו את הציון המרבי באמת המידה בנוגע לנ</w:t>
      </w:r>
      <w:r>
        <w:rPr>
          <w:rFonts w:hint="cs"/>
          <w:rtl/>
        </w:rPr>
        <w:t>י</w:t>
      </w:r>
      <w:r w:rsidRPr="00BB02BA">
        <w:rPr>
          <w:rtl/>
        </w:rPr>
        <w:t xml:space="preserve">סיון המציע. משמעות הדבר היא כי בפועל אמות מידה אלה לא שימשו ככלי לדירוג ההצעות על פי איכותן. עוד עלה כי מפקחי משרד הרווחה אינם מקבלים מידע על תוכן ההצעות שזכו במכרזים ועל </w:t>
      </w:r>
      <w:r w:rsidRPr="00085596">
        <w:rPr>
          <w:rtl/>
        </w:rPr>
        <w:t>מאפייניהן</w:t>
      </w:r>
      <w:r w:rsidRPr="00BB02BA">
        <w:rPr>
          <w:rtl/>
        </w:rPr>
        <w:t xml:space="preserve">. גם לאגף פיקוח ובקרה במשרד הרווחה אין מידע על התוכניות הטיפוליות ועל הצוות שהציעו הזוכים במכרזים, ולפיכך האגף אינו מסוגל לוודא כי </w:t>
      </w:r>
      <w:r w:rsidRPr="00BB02BA">
        <w:rPr>
          <w:rtl/>
        </w:rPr>
        <w:t xml:space="preserve">השירות שניתן למושמים תואם בפועל את ההצעה שלה התחייבו המפעילים. משמעות הדבר היא כי אמות המידה שהן המקור העיקרי להבחנה באיכות ההצעות, לא משמשות כמסגרת ההתחייבות של המציעים הזוכים לאיכות השירות שהם יתנו בפועל וכי ההליך </w:t>
      </w:r>
      <w:r w:rsidRPr="00BB02BA">
        <w:rPr>
          <w:rtl/>
        </w:rPr>
        <w:t>המכרזי</w:t>
      </w:r>
      <w:r w:rsidRPr="00BB02BA">
        <w:rPr>
          <w:rtl/>
        </w:rPr>
        <w:t xml:space="preserve"> שנועד ביסודו ליצור תחרות על איכות השירותים, יוצר תחרות "על הנייר" בלבד. כללי משחק אלו מקנים יתרון למציעים ותיקים שמכירים את הפגמים בהליך </w:t>
      </w:r>
      <w:r w:rsidRPr="00BB02BA">
        <w:rPr>
          <w:rtl/>
        </w:rPr>
        <w:t>המכרזי</w:t>
      </w:r>
      <w:r w:rsidRPr="00BB02BA">
        <w:rPr>
          <w:rtl/>
        </w:rPr>
        <w:t xml:space="preserve"> ובמנגנוני הפיקוח ומודעים לכך שלא בהכרח יידרשו לממש את הצעותיהם במכרז. </w:t>
      </w:r>
    </w:p>
    <w:p w:rsidR="003F0A00" w:rsidP="00070525" w14:paraId="5B5D9A72" w14:textId="1BB59880">
      <w:pPr>
        <w:pStyle w:val="7315"/>
        <w:rPr>
          <w:rtl/>
        </w:rPr>
      </w:pPr>
      <w:r w:rsidRPr="003F0A00">
        <w:rPr>
          <w:rStyle w:val="7371"/>
          <w:rFonts w:hint="cs"/>
          <w:noProof/>
          <w:rtl/>
        </w:rPr>
        <w:drawing>
          <wp:anchor distT="0" distB="0" distL="114300" distR="11430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B02BA" w:rsidR="00070525">
        <w:rPr>
          <w:b/>
          <w:bCs/>
          <w:rtl/>
        </w:rPr>
        <w:t xml:space="preserve">מעורבות רשות התחרות </w:t>
      </w:r>
      <w:r w:rsidRPr="00BB02BA" w:rsidR="00070525">
        <w:rPr>
          <w:b/>
          <w:bCs/>
          <w:rtl/>
        </w:rPr>
        <w:t>באסדרת</w:t>
      </w:r>
      <w:r w:rsidRPr="00BB02BA" w:rsidR="00070525">
        <w:rPr>
          <w:b/>
          <w:bCs/>
          <w:rtl/>
        </w:rPr>
        <w:t xml:space="preserve"> שוק אספקת שירותי הרווחה החוץ-ביתיים לצורך הגברת התחרות - </w:t>
      </w:r>
      <w:r w:rsidRPr="00BB02BA" w:rsidR="00070525">
        <w:rPr>
          <w:rtl/>
        </w:rPr>
        <w:t xml:space="preserve">רשות התחרות פועלת מכוח חוק התחרות הכלכלית, התשמ"ח-1988 ומופקדת על שמירת התחרות החופשית במשק ועל קידומה. בביקורת עלה כי רשות התחרות לא בחנה לעומק את שוק אספקת שירותי הרווחה. הגם שבפברואר 2017 נוצר קשר בעניין בין משרד הרווחה לרשות התחרות לצורך ייעוץ בנוגע למכרזים </w:t>
      </w:r>
      <w:r w:rsidRPr="00070525" w:rsidR="00070525">
        <w:rPr>
          <w:rtl/>
        </w:rPr>
        <w:t>מסוימים</w:t>
      </w:r>
      <w:r w:rsidRPr="00BB02BA" w:rsidR="00070525">
        <w:rPr>
          <w:rtl/>
        </w:rPr>
        <w:t>, הוא לא הבשיל לכדי שיתוף פעולה כולל ובחינה מעמיקה של מידת התחרות בשוק</w:t>
      </w:r>
      <w:r w:rsidRPr="003F0C8F">
        <w:rPr>
          <w:rFonts w:hint="cs"/>
          <w:rtl/>
        </w:rPr>
        <w:t>.</w:t>
      </w:r>
    </w:p>
    <w:p w:rsidR="003C1B3C" w:rsidP="00070525" w14:paraId="4A8EAD3B" w14:textId="41D7EA0B">
      <w:pPr>
        <w:pStyle w:val="7315"/>
        <w:rPr>
          <w:rtl/>
        </w:rPr>
      </w:pPr>
      <w:r w:rsidRPr="003F0A00">
        <w:rPr>
          <w:rStyle w:val="7371"/>
          <w:rFonts w:hint="cs"/>
          <w:noProof/>
          <w:rtl/>
        </w:rPr>
        <w:drawing>
          <wp:anchor distT="0" distB="0" distL="114300" distR="11430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B02BA" w:rsidR="00070525">
        <w:rPr>
          <w:b/>
          <w:bCs/>
          <w:rtl/>
        </w:rPr>
        <w:t>קביעת התעריפים למסגרות חוץ-ביתיות</w:t>
      </w:r>
      <w:r w:rsidRPr="00BB02BA" w:rsidR="00070525">
        <w:rPr>
          <w:rtl/>
        </w:rPr>
        <w:t xml:space="preserve"> - על מנת להבטיח רמת שירות נאותה שתסופק למקבלי השירותים החברתיים, הגדיר משרד הרווחה תעריף לאספקת שירותי רווחה המשולם למפעילי המסגרות על מנת לשקף את העלויות המשוערות של התשומות שהם נדרשים לספק על פי ההסכמים עם משרד הרווחה, עבור כל מקבל שירות. בביקורת עלה כי מנגנון התעריף אחיד ואינו דיפרנציאלי ואינו מותאם למבנה ההוצאות בפועל של המפעיל, דבר הגורם לעיוותים רבים ומהווה תמריץ שלילי עבורם שלא לספק את כל השירותים שעליהם הם מתחייבים בהתקשרותם עם משרד הרווחה: כך לדוגמה, שכר האחים והרופאים בשיטת התעריף (11,000 ש"ח ו-17,000 ש"ח, בהתאמה) קטן במידה ניכרת מהשכר הממוצע שלהם (22,000 ש"ח ו-36,000 ש"ח, בהתאמה), </w:t>
      </w:r>
      <w:r w:rsidRPr="00070525" w:rsidR="00070525">
        <w:rPr>
          <w:rtl/>
        </w:rPr>
        <w:t>והוא</w:t>
      </w:r>
      <w:r w:rsidRPr="00BB02BA" w:rsidR="00070525">
        <w:rPr>
          <w:rtl/>
        </w:rPr>
        <w:t xml:space="preserve"> קטן ביותר מ-40% משכרם החציוני בשירות הציבורי (19,000 ש"ח ו-29,000 ש"ח, בהתאמה); רכיב שכר הדירה בתעריף מבוסס על העלות הממוצעת של שכר הדירה ולכן עשוי להיות נמוך מדי במחוזות במרכז הארץ וגבוה </w:t>
      </w:r>
      <w:r w:rsidRPr="00070525" w:rsidR="00070525">
        <w:rPr>
          <w:rtl/>
        </w:rPr>
        <w:t>מדי</w:t>
      </w:r>
      <w:r w:rsidRPr="00BB02BA" w:rsidR="00070525">
        <w:rPr>
          <w:rtl/>
        </w:rPr>
        <w:t xml:space="preserve"> במחוזות בפריפריה; משרד הרווחה לא שינה את שיעור הרווחיות שמחושב בתעריף והשיעור נותר קבוע במשך יותר מ-25 שנה (4%). בסביבת ריבית גבוהה, שיעור רווחיות של 4% אינו מעודד שחקנים חדשים להיכנס לשוק השירותים החברתיים מכיוון שהם אינם מודעים לכך שהרווחיות בפועל גבוהה הרבה יותר ומכיוון שנדרשת מהם השקעה חדשה בתשתיות מבנה בתחילת ההתקשרות</w:t>
      </w:r>
      <w:r w:rsidRPr="003F0C8F">
        <w:rPr>
          <w:rFonts w:hint="cs"/>
          <w:rtl/>
        </w:rPr>
        <w:t>.</w:t>
      </w:r>
    </w:p>
    <w:p w:rsidR="00F22CA7" w:rsidP="00070525" w14:paraId="08B4C862" w14:textId="0CF7B348">
      <w:pPr>
        <w:pStyle w:val="7315"/>
        <w:rPr>
          <w:rtl/>
        </w:rPr>
      </w:pPr>
      <w:r w:rsidRPr="003F0A00">
        <w:rPr>
          <w:rStyle w:val="7371"/>
          <w:rFonts w:hint="cs"/>
          <w:noProof/>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B02BA" w:rsidR="00070525">
        <w:rPr>
          <w:b/>
          <w:bCs/>
          <w:rtl/>
        </w:rPr>
        <w:t>הפעלת סנקציה כנגד מפעילי המסגרות באמצעות קיזוזים מהתעריף בגין מחסור בהקצאת כוח אדם</w:t>
      </w:r>
      <w:r w:rsidRPr="00BB02BA" w:rsidR="00070525">
        <w:rPr>
          <w:rtl/>
        </w:rPr>
        <w:t xml:space="preserve"> - נוהל אכיפה מאפשר למשרד הרווחה לקזז סכומים מתשלומים שהיו מגיעים למפעילי המסגרת על פי ההסכם עמם, לו לא עמדו במלוא התחייבויותיהם. ואולם אף שמשרד הרווחה ער למחסור בהיקף כוח האדם שמקצים מפעילי המסגרות (לדוגמה מחסור של 42% בעובדים סוציאליים), הוא אינו מפעיל את נוהל האכיפה בכל הנוגע לשימוש בקיזוזים. משמעות הדבר היא כי מתוך הסכום שנאמד בכ-512 מיליון ש"ח בשנה, משרד הרווחה משלם למפעילים על משרות שאינן מאוישות. דבר </w:t>
      </w:r>
      <w:r w:rsidRPr="00070525" w:rsidR="00070525">
        <w:rPr>
          <w:rtl/>
        </w:rPr>
        <w:t>המצביע</w:t>
      </w:r>
      <w:r w:rsidRPr="00BB02BA" w:rsidR="00070525">
        <w:rPr>
          <w:rtl/>
        </w:rPr>
        <w:t xml:space="preserve"> על חשש לפגיעה בקופה הציבורית. היעדר השימוש של משרד הרווחה בסנקציה של הקיזוזים והמשך התשלום של המשרד עבור שירותים שהוא אינו מקבל הם למעשה העלמת עין מצד משרד הרווחה כלפי מפעילים המפירים את החוזה שנחתם עימו, ומצביעים על תלותו במפעילים אלה. כך, מעבר לפגיעה בקופה הציבורית, מאפשר משרד הרווחה למפעילים לתת שירות באיכות נמוכה יותר למקבלי השירותים, ללא הפעלת סנקציה כלפיהם</w:t>
      </w:r>
      <w:r w:rsidRPr="003F0C8F">
        <w:rPr>
          <w:rFonts w:hint="cs"/>
          <w:rtl/>
        </w:rPr>
        <w:t>.</w:t>
      </w:r>
    </w:p>
    <w:p w:rsidR="00F22CA7" w:rsidP="00070525" w14:paraId="1CCD9E07" w14:textId="4A390DC2">
      <w:pPr>
        <w:pStyle w:val="7315"/>
        <w:rPr>
          <w:rtl/>
        </w:rPr>
      </w:pPr>
      <w:r w:rsidRPr="003F0A00">
        <w:rPr>
          <w:rStyle w:val="7371"/>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B02BA" w:rsidR="00070525">
        <w:rPr>
          <w:b/>
          <w:bCs/>
          <w:rtl/>
        </w:rPr>
        <w:t>פיקוח משרד הרווחה על המסגרות החוץ-ביתיות</w:t>
      </w:r>
      <w:r w:rsidRPr="00BB02BA" w:rsidR="00070525">
        <w:rPr>
          <w:rtl/>
        </w:rPr>
        <w:t xml:space="preserve"> - בתקן כוח אדם של משרד הרווחה נקבע שיהיו 485 משרות פיקוח על מסגרות חוץ-ביתיות, בפועל המשרד מעסיק 453 מפקחים, כלומר 32 משרות פיקוח אינן מאוישות. תמהיל עבודת הפיקוח שנקבע מורכב מ-50% בקרה ואכיפה ו-50% משימות ייעוץ. מרבית רכיבי הבקרה על השירותים החברתיים במיקור חוץ המפורטים בהחלטת הממשלה 1950 אינם מתקיימים או מתקיימים באופן חלקי בלבד במשרד הרווחה. כך לדוגמה, אין הלימה בין תוכן ההתקשרות לבין עבודת המפקחים ולא קיים מעקב אחר תיקון הליקויים; המפקחים אינם מקבלים מידע על ההצעות שזכו במכרזים ועל </w:t>
      </w:r>
      <w:r w:rsidRPr="00BB02BA" w:rsidR="00070525">
        <w:rPr>
          <w:rtl/>
        </w:rPr>
        <w:t>התכניות</w:t>
      </w:r>
      <w:r w:rsidRPr="00BB02BA" w:rsidR="00070525">
        <w:rPr>
          <w:rtl/>
        </w:rPr>
        <w:t xml:space="preserve"> הטיפוליות לגבי המסגרות שהם מפעילים והם אינם מוודאים כי השירות שניתן למושמים תואם בפועל את ההצעה שלה התחייבו המפעילים כדי לשפר את איכות השירות. בנוסף לכך, היקף הפיקוח המצומצם של המשרד על המסגרות החוץ ביתיות (חציון ביקורים שנתי של 2-3 ביקורים שנתיים לעומת המלצות הצוות הממשלתי לטיוב אופן אספקת שירותים חברתיים הניתנים במיקור חוץ משנת 2016 ל-13-18 ביקורים שנתיים) מקשה על המפקחים לזהות </w:t>
      </w:r>
      <w:r w:rsidRPr="00070525" w:rsidR="00070525">
        <w:rPr>
          <w:rtl/>
        </w:rPr>
        <w:t>ליקויים</w:t>
      </w:r>
      <w:r w:rsidRPr="00BB02BA" w:rsidR="00070525">
        <w:rPr>
          <w:rtl/>
        </w:rPr>
        <w:t xml:space="preserve"> ופערים לגבי השירות שניתן לשוהים במסגרות אלה, כמו תקינה חסרה של צוות טיפולי ותנאי מחיה ירודים. מעבר לכך, עלה כי בשנים 2020 - 2022,</w:t>
      </w:r>
      <w:r w:rsidR="00070525">
        <w:rPr>
          <w:rtl/>
        </w:rPr>
        <w:t xml:space="preserve"> </w:t>
      </w:r>
      <w:r w:rsidRPr="00BB02BA" w:rsidR="00070525">
        <w:rPr>
          <w:rtl/>
        </w:rPr>
        <w:t>עצר המשרד השמות של מושמים במסגרות בכ-40 מקרים של הפרות הסכמים על ידי מפעילי המסגרות, וכי זו הייתה הסנקציה העיקרית שננקטה, וכי לא הוטלו קנסות כספיים על מפעילי מסגרות.</w:t>
      </w:r>
      <w:r w:rsidR="00070525">
        <w:rPr>
          <w:rtl/>
        </w:rPr>
        <w:t xml:space="preserve"> </w:t>
      </w:r>
      <w:r w:rsidRPr="00BB02BA" w:rsidR="00070525">
        <w:rPr>
          <w:rtl/>
        </w:rPr>
        <w:t>כמו כן, בשונה מכמה מדינות בעולם, לדוגמה מהנעשה בבריטניה, שם ה-</w:t>
      </w:r>
      <w:r w:rsidRPr="00BB02BA" w:rsidR="00070525">
        <w:t>CQC</w:t>
      </w:r>
      <w:r w:rsidRPr="00BB02BA" w:rsidR="00070525">
        <w:rPr>
          <w:rtl/>
        </w:rPr>
        <w:t xml:space="preserve"> הוא גוף </w:t>
      </w:r>
      <w:r w:rsidRPr="00BB02BA" w:rsidR="00070525">
        <w:rPr>
          <w:rtl/>
        </w:rPr>
        <w:t>אסדרתי</w:t>
      </w:r>
      <w:r w:rsidRPr="00BB02BA" w:rsidR="00070525">
        <w:rPr>
          <w:rtl/>
        </w:rPr>
        <w:t xml:space="preserve"> עצמאי שעוסק בפיקוח ואכיפה בלבד, בישראל עבודת המפקחים המחוזיים עוסקת נוסף על פיקוח ואכיפה גם בייעוץ למפעילים</w:t>
      </w:r>
      <w:r w:rsidRPr="003F0C8F">
        <w:rPr>
          <w:rFonts w:hint="cs"/>
          <w:rtl/>
        </w:rPr>
        <w:t>.</w:t>
      </w:r>
    </w:p>
    <w:p w:rsidR="00F22CA7" w:rsidP="00070525" w14:paraId="380F9183" w14:textId="2642EC53">
      <w:pPr>
        <w:pStyle w:val="755"/>
        <w:rPr>
          <w:rtl/>
        </w:rPr>
      </w:pPr>
      <w:r w:rsidRPr="003F0A00">
        <w:rPr>
          <w:rStyle w:val="7371"/>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B02BA" w:rsidR="00070525">
        <w:rPr>
          <w:b/>
          <w:bCs/>
          <w:rtl/>
        </w:rPr>
        <w:t>הבקרה הכספית של משרד הרווחה על מפעילי המסגרות החוץ-ביתיות</w:t>
      </w:r>
      <w:r w:rsidRPr="00BB02BA" w:rsidR="00070525">
        <w:rPr>
          <w:rtl/>
        </w:rPr>
        <w:t xml:space="preserve"> -</w:t>
      </w:r>
      <w:r w:rsidR="00070525">
        <w:rPr>
          <w:rtl/>
        </w:rPr>
        <w:t xml:space="preserve"> </w:t>
      </w:r>
      <w:r w:rsidRPr="00BB02BA" w:rsidR="00070525">
        <w:rPr>
          <w:rtl/>
        </w:rPr>
        <w:t>בקרה כספית על מפעילי המסגרות החוץ-ביתיות נועדה לוודא שהמפעילים של מסגרות משתמשים בתקציבים שמעביר אליהם משרד הרווחה בהתאם לתנאי המכרז שהם התחייבו למלא ולצורך מתן טיפול מיטבי לדיירים; וכן להגביר את השקיפות ואת הפיקוח על מצבם הכספי של המפעילים. נמצא, כי משרד הרווחה אינו מבצע בקרה על ההתנהלות הכספית של המפעילים. כך, למעט בשלב הראשוני של ההתמודדות במכרז, המשרד אינו מבקש ממפעילי המסגרות המאוגדים כחברות פרטיות למסור לו דוחות כספיים ואינו מנתח את הדוחות הכספיים של המפעילים המאוגדים כעמותות, אף שאלו מפורסמים באתר משרד המשפטים. כך למעשה המשרד אינו בוחן באופן שוטף את האיתנות הפיננסית של המפעילים, כדי לאתר את סימני האזהרה לגבי אלו שיש סיכון להמשך קיומם ככל שישנם; או לזהות יתירות (שולי רווח ועודפים) משמעותית בקרב מפעילים; המשרד גם אינו מבצע ביקורת פיננסית מעמיקה, כדי לבחון אם המפעילים משתמשים בתקציבים שהוא העביר להם לצורכי המושמים, בהתאם לתנאי ההסכמים שחתם עימם</w:t>
      </w:r>
      <w:r w:rsidRPr="003F0C8F">
        <w:rPr>
          <w:rFonts w:hint="cs"/>
          <w:rtl/>
        </w:rPr>
        <w:t>.</w:t>
      </w:r>
    </w:p>
    <w:p w:rsidR="00487083" w:rsidP="00487083" w14:paraId="145965F7" w14:textId="77777777">
      <w:pPr>
        <w:pStyle w:val="714"/>
        <w:rPr>
          <w:rtl/>
        </w:rPr>
      </w:pPr>
      <w:r w:rsidRPr="00362C00">
        <w:rPr>
          <w:rFonts w:hint="cs"/>
          <w:noProof/>
          <w:sz w:val="19"/>
          <w:szCs w:val="19"/>
          <w:rtl/>
        </w:rPr>
        <w:drawing>
          <wp:anchor distT="0" distB="0" distL="114300" distR="114300" simplePos="0" relativeHeight="251692032" behindDoc="1" locked="0" layoutInCell="1" allowOverlap="1">
            <wp:simplePos x="0" y="0"/>
            <wp:positionH relativeFrom="column">
              <wp:posOffset>2410460</wp:posOffset>
            </wp:positionH>
            <wp:positionV relativeFrom="paragraph">
              <wp:posOffset>44450</wp:posOffset>
            </wp:positionV>
            <wp:extent cx="2355215" cy="180340"/>
            <wp:effectExtent l="0" t="0" r="6985" b="0"/>
            <wp:wrapNone/>
            <wp:docPr id="36"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ke.png"/>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487083" w:rsidRPr="00FC6C88" w:rsidP="003D17DC" w14:paraId="3CECD113" w14:textId="2DC0FDC4">
      <w:pPr>
        <w:pStyle w:val="755"/>
        <w:rPr>
          <w:rtl/>
        </w:rPr>
      </w:pPr>
      <w:bookmarkStart w:id="1" w:name="_Hlk155546745"/>
      <w:r w:rsidRPr="00BB02BA">
        <w:rPr>
          <w:b/>
          <w:bCs/>
          <w:rtl/>
        </w:rPr>
        <w:t xml:space="preserve">תנאי הסף הנוגעים למבנה </w:t>
      </w:r>
      <w:r w:rsidRPr="00BB02BA">
        <w:rPr>
          <w:rtl/>
        </w:rPr>
        <w:t xml:space="preserve">- רכיב מרכזי בהפעלת מסגרות חוץ-ביתיות הוא קיומו של מבנה המתאים למגורים של מקבלי השירות. תנאי הסף הנוגע למבנה היווה חסם משמעותי במיוחד למציעים חדשים שלא הפעילו מסגרות חוץ-ביתיות בעבר. עד לשנת 2016 נדרשו המציעים להוכיח בעלות על מבנה כבר בשלב הראשון כחלק מתנאי הסף. כדי להקל </w:t>
      </w:r>
      <w:r w:rsidRPr="003D17DC">
        <w:rPr>
          <w:rtl/>
        </w:rPr>
        <w:t>על</w:t>
      </w:r>
      <w:r w:rsidRPr="00BB02BA">
        <w:rPr>
          <w:rtl/>
        </w:rPr>
        <w:t xml:space="preserve"> המציעים בנושא זה וכדי להרחיב את התחרות, החליט משרד הרווחה שלא לדרוש הוכחת בעלות על מבנה לתקופה ארוכה משנה. בשל שינוי המדיניות של משרד הרווחה בשנת 2016 בנוגע להוכחת בעלות על מבנה במכרזים, חלה ירידה ניכרת בשיעור המציעים </w:t>
      </w:r>
      <w:r w:rsidRPr="00BB02BA">
        <w:rPr>
          <w:rtl/>
        </w:rPr>
        <w:t>שנפסלו בשל אי-עמידה בתנאי סף זה. משרד מבקר המדינה מציין לחיוב את ההחלטה של משרד הרווחה להקל בתנאי סף זה, שיש בה כדי לסייע לכניסת מתמודדים חדשים לשוק</w:t>
      </w:r>
      <w:r w:rsidR="00B3225B">
        <w:rPr>
          <w:rFonts w:hint="cs"/>
          <w:rtl/>
        </w:rPr>
        <w:t>.</w:t>
      </w:r>
    </w:p>
    <w:bookmarkEnd w:id="1"/>
    <w:p w:rsidR="00EB672B" w:rsidRPr="006F49D3" w:rsidP="006F49D3" w14:paraId="1FC3C430" w14:textId="77777777">
      <w:pPr>
        <w:pStyle w:val="751"/>
        <w:rPr>
          <w:rtl/>
        </w:rPr>
      </w:pPr>
      <w:r w:rsidRPr="006F49D3">
        <w:rPr>
          <w:rFonts w:hint="cs"/>
          <w:rtl/>
        </w:rPr>
        <w:t>עיקרי המלצות הביקורת</w:t>
      </w:r>
    </w:p>
    <w:p w:rsidR="00EB672B" w:rsidRPr="007C7D40" w:rsidP="00172E36" w14:paraId="344A34B6" w14:textId="4423AB32">
      <w:pPr>
        <w:pStyle w:val="755"/>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BB02BA" w:rsidR="00172E36">
        <w:rPr>
          <w:b/>
          <w:bCs/>
          <w:rtl/>
        </w:rPr>
        <w:t xml:space="preserve">ניתוח ההליך </w:t>
      </w:r>
      <w:r w:rsidRPr="00BB02BA" w:rsidR="00172E36">
        <w:rPr>
          <w:b/>
          <w:bCs/>
          <w:rtl/>
        </w:rPr>
        <w:t>המכרזי</w:t>
      </w:r>
      <w:r w:rsidRPr="00BB02BA" w:rsidR="00172E36">
        <w:rPr>
          <w:rtl/>
        </w:rPr>
        <w:t xml:space="preserve"> - כדי להגביר את התחרות על איכות השירותים החברתיים, מומלץ כי משרד הרווחה יפעל להגדלת מספר ההצעות באמצעות בחינת מתן "הגנת ינוקא" (מתן הגנה למציעים חדשים מפני כוחם של מפעילים דומיננטיים הפועלים שנים רבות בשוק) במכרזים או בכל דרך אחרת, כדי לשפר את רמת התחרות בשלב הראשון; ישקול להתאים את תנאי הסף שבהם נדרשים המציעים לעמוד במסגרת התמודדותם במכרזים כך שיתאפשר ביתר קלות גם למציעים חדשים לעמוד בתנאי הסף הנדרשים ולהרחיב את התחרות גם בשלב השני וכן ידרג באופן אפקטיבי את ההצעות על פי איכותן. עוד מומלץ כי משרד הרווחה יחזק את הממשקים בין שלב הבחירה של מפעילי המסגרות ובין שלב הפיקוח והבקרה עליהן, הן באמצעות דירוג אפקטיבי של ההצעות בהתבסס על הניסיון הנצבר עם המציע, והן באמצעות יידוע המפקחים על ההצעות שזכו במכרזים, כדי שהם יוכלו לפקח על יישום התחייבויות המפעילים</w:t>
      </w:r>
      <w:r w:rsidRPr="007C7D40">
        <w:rPr>
          <w:rFonts w:hint="cs"/>
          <w:rtl/>
        </w:rPr>
        <w:t xml:space="preserve">. </w:t>
      </w:r>
    </w:p>
    <w:p w:rsidR="00EB672B" w:rsidRPr="007C7D40" w:rsidP="00172E36" w14:paraId="1DD50AB4" w14:textId="76439A2F">
      <w:pPr>
        <w:pStyle w:val="755"/>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B02BA" w:rsidR="00172E36">
        <w:rPr>
          <w:b/>
          <w:bCs/>
          <w:rtl/>
        </w:rPr>
        <w:t>אמות מידה לבחינת ההצעות להפעלת מסגרות חוץ-ביתיות</w:t>
      </w:r>
      <w:r w:rsidRPr="00BB02BA" w:rsidR="00172E36">
        <w:rPr>
          <w:rtl/>
        </w:rPr>
        <w:t xml:space="preserve"> - כדי שאמות המידה ישמשו כמסגרת ההתחייבות של המציעים הזוכים לאיכות השירות שהם נותנים, ועל מנת שההליך </w:t>
      </w:r>
      <w:r w:rsidRPr="00BB02BA" w:rsidR="00172E36">
        <w:rPr>
          <w:rtl/>
        </w:rPr>
        <w:t>המכרזי</w:t>
      </w:r>
      <w:r w:rsidRPr="00BB02BA" w:rsidR="00172E36">
        <w:rPr>
          <w:rtl/>
        </w:rPr>
        <w:t xml:space="preserve"> ייצור תחרות על איכות השירותים; מומלץ כי משרד הרווחה יוודא כי המפקחים </w:t>
      </w:r>
      <w:r w:rsidRPr="00172E36" w:rsidR="00172E36">
        <w:rPr>
          <w:rtl/>
        </w:rPr>
        <w:t>מקבלים</w:t>
      </w:r>
      <w:r w:rsidRPr="00BB02BA" w:rsidR="00172E36">
        <w:rPr>
          <w:rtl/>
        </w:rPr>
        <w:t xml:space="preserve"> את המידע על תוכן ההצעות הזוכות במכרז ובודקים כי המפעילים עומדים בהם; וכן יקפיד כי לאגף פיקוח ובקרה יועבר המידע על התוכניות הטיפוליות ועל הצוות שהציעו הזוכים במכרז</w:t>
      </w:r>
      <w:r w:rsidRPr="007C7D40">
        <w:rPr>
          <w:rtl/>
        </w:rPr>
        <w:t xml:space="preserve">. </w:t>
      </w:r>
    </w:p>
    <w:p w:rsidR="00EB672B" w:rsidRPr="007C7D40" w:rsidP="00172E36" w14:paraId="1108540A" w14:textId="5CFEC2B4">
      <w:pPr>
        <w:pStyle w:val="755"/>
        <w:rPr>
          <w:rtl/>
        </w:rPr>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B02BA" w:rsidR="00172E36">
        <w:rPr>
          <w:b/>
          <w:bCs/>
          <w:rtl/>
        </w:rPr>
        <w:t>תעריפים לאספקת שירותי רווחה חוץ ביתיים</w:t>
      </w:r>
      <w:r w:rsidRPr="00BB02BA" w:rsidR="00172E36">
        <w:rPr>
          <w:rtl/>
        </w:rPr>
        <w:t xml:space="preserve"> -</w:t>
      </w:r>
      <w:r w:rsidR="00172E36">
        <w:rPr>
          <w:rtl/>
        </w:rPr>
        <w:t xml:space="preserve"> </w:t>
      </w:r>
      <w:r w:rsidRPr="00BB02BA" w:rsidR="00172E36">
        <w:rPr>
          <w:rtl/>
        </w:rPr>
        <w:t>לשם שיפור וטיוב של השירות בשוק שירותי הרווחה,</w:t>
      </w:r>
      <w:r w:rsidRPr="00BB02BA" w:rsidR="00172E36">
        <w:rPr>
          <w:b/>
          <w:bCs/>
          <w:rtl/>
        </w:rPr>
        <w:t xml:space="preserve"> </w:t>
      </w:r>
      <w:r w:rsidRPr="00BB02BA" w:rsidR="00172E36">
        <w:rPr>
          <w:rtl/>
        </w:rPr>
        <w:t xml:space="preserve">מומלץ כי משרד הרווחה יפעל לצמצום העיוותים במנגנון התעריף </w:t>
      </w:r>
      <w:r w:rsidRPr="00172E36" w:rsidR="00172E36">
        <w:rPr>
          <w:rtl/>
        </w:rPr>
        <w:t>הקיים</w:t>
      </w:r>
      <w:r w:rsidRPr="00BB02BA" w:rsidR="00172E36">
        <w:rPr>
          <w:rtl/>
        </w:rPr>
        <w:t xml:space="preserve"> ויעמוד על דרישתו שמפעילי השירותים ייתנו את מלוא השירותים הנדרשים;</w:t>
      </w:r>
      <w:r w:rsidR="00172E36">
        <w:rPr>
          <w:rtl/>
        </w:rPr>
        <w:t xml:space="preserve"> </w:t>
      </w:r>
      <w:r w:rsidRPr="00BB02BA" w:rsidR="00172E36">
        <w:rPr>
          <w:rtl/>
        </w:rPr>
        <w:t xml:space="preserve">ישלב בתעריף מנגנון </w:t>
      </w:r>
      <w:r w:rsidRPr="00BB02BA" w:rsidR="00172E36">
        <w:rPr>
          <w:rtl/>
        </w:rPr>
        <w:t>תמרוץ</w:t>
      </w:r>
      <w:r w:rsidRPr="00BB02BA" w:rsidR="00172E36">
        <w:rPr>
          <w:rtl/>
        </w:rPr>
        <w:t xml:space="preserve"> למפעילים לשימור הצוות הטיפולי ולמניעת שחיקה; יקזז את התעריף בגין כוח אדם חסר; ויתאים אחת לכמה שנים את שיעור הרווחיות לשינויים בסביבה הכלכלית, כמו שינויים בריבית בנק ישראל או ברווחיות של ענפי תעסוקה בעלי מאפיינים דומים</w:t>
      </w:r>
      <w:r w:rsidRPr="007C7D40">
        <w:rPr>
          <w:rFonts w:hint="cs"/>
          <w:rtl/>
        </w:rPr>
        <w:t>.</w:t>
      </w:r>
    </w:p>
    <w:p w:rsidR="003F0A00" w:rsidP="00172E36" w14:paraId="078CC367" w14:textId="10CADB05">
      <w:pPr>
        <w:pStyle w:val="755"/>
        <w:rPr>
          <w:rtl/>
        </w:rPr>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B02BA" w:rsidR="00172E36">
        <w:rPr>
          <w:b/>
          <w:bCs/>
          <w:rtl/>
        </w:rPr>
        <w:t>היקף הפיקוח על המסגרות החוץ-ביתיות</w:t>
      </w:r>
      <w:r w:rsidRPr="00BB02BA" w:rsidR="00172E36">
        <w:rPr>
          <w:rtl/>
        </w:rPr>
        <w:t xml:space="preserve"> -</w:t>
      </w:r>
      <w:r w:rsidR="00172E36">
        <w:rPr>
          <w:rtl/>
        </w:rPr>
        <w:t xml:space="preserve"> </w:t>
      </w:r>
      <w:r w:rsidRPr="00BB02BA" w:rsidR="00172E36">
        <w:rPr>
          <w:rtl/>
        </w:rPr>
        <w:t xml:space="preserve">כדי להבטיח את הפיקוח האפקטיבי של משרד הרווחה על מפעילי המסגרות החוץ-ביתיות; מומלץ כי משרד הרווחה יקבע תקן לתדירות הפיקוח במסגרות השונות בהתאם למאפייניהן ויגזור מכך את מספר המסגרות שבאחריותו של כל מפקח בהתאם לסדרי העדיפויות שייקבעו וכן מספר המפקחים הנדרש. עוד מומלץ כי משרד הרווחה יוודא כי המפקחים מכירים את ההתחייבויות של מפעילי המסגרות בהתאם להסכמים שחתמו עם המשרד ולהצעות שהציגו במסגרת ההליך </w:t>
      </w:r>
      <w:r w:rsidRPr="00BB02BA" w:rsidR="00172E36">
        <w:rPr>
          <w:rtl/>
        </w:rPr>
        <w:t>המכרזי</w:t>
      </w:r>
      <w:r w:rsidRPr="00BB02BA" w:rsidR="00172E36">
        <w:rPr>
          <w:b/>
          <w:bCs/>
          <w:rtl/>
        </w:rPr>
        <w:t xml:space="preserve"> </w:t>
      </w:r>
      <w:r w:rsidRPr="00BB02BA" w:rsidR="00172E36">
        <w:rPr>
          <w:rtl/>
        </w:rPr>
        <w:t xml:space="preserve">ויטיל סנקציות במקרים של הפרות חוזרות ונשנות שלהם. בנוסף, נוכח היקף הפיקוח המצומצם של המשרד על המסגרות החוץ-ביתיות ותמהיל המשימות שבאחריות המפקח, הכולל גם משימות ייעוץ נוסף על משימות הבקרה והאכיפה, מומלץ כי המשרד יבצע ניתוח עיסוקים לתפקיד המפקח ויבחן האם יש צורך לעדכן את אופי התפקיד בדומה </w:t>
      </w:r>
      <w:r w:rsidRPr="00BB02BA" w:rsidR="00172E36">
        <w:rPr>
          <w:rtl/>
        </w:rPr>
        <w:t>למודלים אחרים בעולם כמו למשל ב-</w:t>
      </w:r>
      <w:r w:rsidRPr="00BB02BA" w:rsidR="00172E36">
        <w:t>CQC</w:t>
      </w:r>
      <w:r w:rsidRPr="00BB02BA" w:rsidR="00172E36">
        <w:rPr>
          <w:rtl/>
        </w:rPr>
        <w:t xml:space="preserve"> (גוף הפיקוח בבריטניה) שעוסק בבקרה ואכיפה בלבד</w:t>
      </w:r>
      <w:r w:rsidRPr="007C7D40">
        <w:rPr>
          <w:rFonts w:hint="cs"/>
          <w:rtl/>
        </w:rPr>
        <w:t>.</w:t>
      </w:r>
    </w:p>
    <w:p w:rsidR="006A5AB7" w:rsidP="00172E36" w14:paraId="0A07A9C9" w14:textId="4FB37594">
      <w:pPr>
        <w:pStyle w:val="755"/>
        <w:rPr>
          <w:rtl/>
        </w:rPr>
      </w:pPr>
      <w:r w:rsidRPr="0063556C">
        <w:rPr>
          <w:rStyle w:val="7372"/>
          <w:rFonts w:hint="cs"/>
          <w:noProof/>
          <w:rtl/>
        </w:rPr>
        <w:drawing>
          <wp:anchor distT="0" distB="1440180" distL="107950" distR="114300" simplePos="0" relativeHeight="25169305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B02BA" w:rsidR="00172E36">
        <w:rPr>
          <w:b/>
          <w:bCs/>
          <w:rtl/>
        </w:rPr>
        <w:t>בקרה כספית על מפעילי המסגרות החוץ-ביתיות</w:t>
      </w:r>
      <w:r w:rsidRPr="00BB02BA" w:rsidR="00172E36">
        <w:rPr>
          <w:rtl/>
        </w:rPr>
        <w:t xml:space="preserve"> - מומלץ כי משרד הרווחה יסדיר את ביצוע הבקרה הפיננסית על מפעילי המסגרות, הן באמצעות קבלת דוחות כספיים מהמפעילים באופן שוטף והן באמצעות בקרה מעמיקה על ההתנהלות הכספית של המפעילים אחת לתקופה באופן מדגמי או בהתבסס על שיקולים של ניהול סיכונים</w:t>
      </w:r>
      <w:r w:rsidRPr="007C7D40">
        <w:rPr>
          <w:rFonts w:hint="cs"/>
          <w:rtl/>
        </w:rPr>
        <w:t>.</w:t>
      </w:r>
    </w:p>
    <w:p w:rsidR="006A5AB7" w:rsidRPr="00172E36" w:rsidP="00172E36" w14:paraId="178DD636" w14:textId="42A9AF0B">
      <w:pPr>
        <w:pStyle w:val="755"/>
        <w:rPr>
          <w:rtl/>
        </w:rPr>
      </w:pPr>
      <w:r w:rsidRPr="0063556C">
        <w:rPr>
          <w:rStyle w:val="7372"/>
          <w:rFonts w:hint="cs"/>
          <w:noProof/>
          <w:rtl/>
        </w:rPr>
        <w:drawing>
          <wp:anchor distT="0" distB="1440180" distL="107950" distR="114300" simplePos="0" relativeHeight="25169408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B02BA" w:rsidR="00172E36">
        <w:rPr>
          <w:b/>
          <w:bCs/>
          <w:rtl/>
        </w:rPr>
        <w:t xml:space="preserve">הצורך בבחינה מחודשת של שיטת אספקת שירותי הרווחה </w:t>
      </w:r>
      <w:r w:rsidRPr="00BB02BA" w:rsidR="00172E36">
        <w:rPr>
          <w:rtl/>
        </w:rPr>
        <w:t xml:space="preserve">- בעולם קיימות כמה שיטות מקובלות לאספקת שירותים חברתיים, לרבות שירותי רווחה, המייצגות רמות שונות של תחרות בין הספקים על מתן שירותי הרווחה. את התמהיל המדויק של השיטות ואת מספר השירותים הניתנים בכל שיטה קובע הגורם המאסדר, בהתייחס לאופי השירות הניתן ולמאפייני מקבליו: בשיטת "השווקים המשוריינים" ניתנים רישיונות לחברות שפועלות לא למטרת רווח, וקיימת תחרות מוגבלת בלבד; בשיטת "המכרזים המשלבים מחיר ואיכות" התחרות נעשית בהתבסס על קריטריונים המשלבים התייחסות למחיר ולאיכות; בשיטת "הלקוח במרכז" התקציב בגין השירות החברתי מועבר ישירות לצרכני השירותים, והם שבוחרים את הספקים שמהם יקבלו את השירות; בשיטת "הרישיונות" ניתנת אפשרות בחירה למקבל השירות, כך שהתחרות בין הספקים היא על ליבו של הלקוח. בהתאם לכך, מומלץ כי הגופים הממשלתיים הרלוונטיים - משרד הרווחה, משרד </w:t>
      </w:r>
      <w:r w:rsidRPr="00BB02BA" w:rsidR="00172E36">
        <w:rPr>
          <w:rtl/>
        </w:rPr>
        <w:t>רה"ם</w:t>
      </w:r>
      <w:r w:rsidRPr="00BB02BA" w:rsidR="00172E36">
        <w:rPr>
          <w:rtl/>
        </w:rPr>
        <w:t>, רשות התחרות ומשרד האוצר - יקימו צוות בין-משרדי לבחינת אופן אספקת השירותים, בהשוואה לשיטות השונות הנהוגות בעולם. במסגרת זו יש להביא בחשבון את השונות הקיימת במגוון השירותים שמשרד הרווחה מספק ובאופי של מקבלי השירות, המתבטאים בין היתר ביכולת הבחירה של המושמים, משך הזמן של המענה שהם זקוקים לו והמעטפת המשפחתית שלהם</w:t>
      </w:r>
      <w:r w:rsidR="00172E36">
        <w:rPr>
          <w:rFonts w:hint="cs"/>
          <w:rtl/>
        </w:rPr>
        <w:t>.</w:t>
      </w:r>
    </w:p>
    <w:p w:rsidR="00172E36" w14:paraId="0CB99DFD" w14:textId="77777777">
      <w:pPr>
        <w:bidi w:val="0"/>
        <w:spacing w:after="200" w:line="276" w:lineRule="auto"/>
        <w:rPr>
          <w:rFonts w:ascii="Tahoma" w:hAnsi="Tahoma" w:cs="Tahoma"/>
          <w:color w:val="0D0D0D" w:themeColor="text1" w:themeTint="F2"/>
          <w:sz w:val="18"/>
          <w:szCs w:val="18"/>
          <w:rtl/>
        </w:rPr>
      </w:pPr>
      <w:r>
        <w:rPr>
          <w:rtl/>
        </w:rPr>
        <w:br w:type="page"/>
      </w:r>
    </w:p>
    <w:p w:rsidR="006A5AB7" w:rsidP="006A5AB7" w14:paraId="0C154B17" w14:textId="49392116">
      <w:pPr>
        <w:pStyle w:val="7315"/>
        <w:rPr>
          <w:rtl/>
        </w:rPr>
      </w:pPr>
      <w:r w:rsidRPr="00D527BD">
        <w:rPr>
          <w:noProof/>
          <w:szCs w:val="20"/>
          <w:rtl/>
        </w:rPr>
        <mc:AlternateContent>
          <mc:Choice Requires="wps">
            <w:drawing>
              <wp:anchor distT="0" distB="0" distL="114300" distR="114300" simplePos="0" relativeHeight="251675648" behindDoc="0" locked="0" layoutInCell="1" allowOverlap="1">
                <wp:simplePos x="0" y="0"/>
                <wp:positionH relativeFrom="column">
                  <wp:posOffset>83820</wp:posOffset>
                </wp:positionH>
                <wp:positionV relativeFrom="paragraph">
                  <wp:posOffset>141605</wp:posOffset>
                </wp:positionV>
                <wp:extent cx="4436745" cy="600075"/>
                <wp:effectExtent l="0" t="0" r="1905" b="9525"/>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600075"/>
                        </a:xfrm>
                        <a:prstGeom prst="rect">
                          <a:avLst/>
                        </a:prstGeom>
                        <a:solidFill>
                          <a:srgbClr val="F05260"/>
                        </a:solidFill>
                        <a:ln w="9525">
                          <a:noFill/>
                          <a:miter lim="800000"/>
                          <a:headEnd/>
                          <a:tailEnd/>
                        </a:ln>
                      </wps:spPr>
                      <wps:txbx>
                        <w:txbxContent>
                          <w:p w:rsidR="005D0F8C" w:rsidRPr="005C7ABF" w:rsidP="00172E36" w14:textId="3E13B46B">
                            <w:pPr>
                              <w:spacing w:line="240" w:lineRule="auto"/>
                              <w:jc w:val="left"/>
                              <w:rPr>
                                <w:rtl/>
                              </w:rPr>
                            </w:pPr>
                            <w:r w:rsidRPr="00DD488C">
                              <w:rPr>
                                <w:rFonts w:ascii="Tahoma" w:hAnsi="Tahoma" w:cs="Tahoma"/>
                                <w:b/>
                                <w:bCs/>
                                <w:color w:val="FFFFFF" w:themeColor="background1"/>
                                <w:sz w:val="22"/>
                                <w:szCs w:val="22"/>
                                <w:rtl/>
                              </w:rPr>
                              <w:t>שיעור הרווח הממוצע לפני מס של כל החברות הפרטיות שהפעילו מסגרות חוץ-ביתיות עבור משרד הרווחה בשנים 2018</w:t>
                            </w:r>
                            <w:r w:rsidR="0017630F">
                              <w:rPr>
                                <w:rFonts w:ascii="Tahoma" w:hAnsi="Tahoma" w:cs="Tahoma" w:hint="cs"/>
                                <w:b/>
                                <w:bCs/>
                                <w:color w:val="FFFFFF" w:themeColor="background1"/>
                                <w:sz w:val="22"/>
                                <w:szCs w:val="22"/>
                                <w:rtl/>
                              </w:rPr>
                              <w:t xml:space="preserve"> </w:t>
                            </w:r>
                            <w:r w:rsidRPr="00DD488C">
                              <w:rPr>
                                <w:rFonts w:ascii="Tahoma" w:hAnsi="Tahoma" w:cs="Tahoma"/>
                                <w:b/>
                                <w:bCs/>
                                <w:color w:val="FFFFFF" w:themeColor="background1"/>
                                <w:sz w:val="22"/>
                                <w:szCs w:val="22"/>
                                <w:rtl/>
                              </w:rPr>
                              <w:t>-</w:t>
                            </w:r>
                            <w:r w:rsidR="0017630F">
                              <w:rPr>
                                <w:rFonts w:ascii="Tahoma" w:hAnsi="Tahoma" w:cs="Tahoma" w:hint="cs"/>
                                <w:b/>
                                <w:bCs/>
                                <w:color w:val="FFFFFF" w:themeColor="background1"/>
                                <w:sz w:val="22"/>
                                <w:szCs w:val="22"/>
                                <w:rtl/>
                              </w:rPr>
                              <w:t xml:space="preserve"> </w:t>
                            </w:r>
                            <w:r w:rsidRPr="00DD488C">
                              <w:rPr>
                                <w:rFonts w:ascii="Tahoma" w:hAnsi="Tahoma" w:cs="Tahoma"/>
                                <w:b/>
                                <w:bCs/>
                                <w:color w:val="FFFFFF" w:themeColor="background1"/>
                                <w:sz w:val="22"/>
                                <w:szCs w:val="22"/>
                                <w:rtl/>
                              </w:rPr>
                              <w:t xml:space="preserve">2021, בחלוקה </w:t>
                            </w:r>
                            <w:r w:rsidRPr="00DD488C">
                              <w:rPr>
                                <w:rFonts w:ascii="Tahoma" w:hAnsi="Tahoma" w:cs="Tahoma"/>
                                <w:b/>
                                <w:bCs/>
                                <w:color w:val="FFFFFF" w:themeColor="background1"/>
                                <w:sz w:val="22"/>
                                <w:szCs w:val="22"/>
                                <w:rtl/>
                              </w:rPr>
                              <w:t>למינהלים</w:t>
                            </w:r>
                            <w:r w:rsidRPr="006C07A7">
                              <w:rPr>
                                <w:noProof/>
                                <w:rtl/>
                              </w:rPr>
                              <w:t xml:space="preserve"> </w:t>
                            </w:r>
                            <w:r>
                              <w:rPr>
                                <w:rFonts w:hint="cs"/>
                                <w:noProof/>
                                <w:rtl/>
                              </w:rPr>
                              <w:t xml:space="preserve"> </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3" type="#_x0000_t202" style="width:349.35pt;height:47.25pt;margin-top:11.15pt;margin-left:6.6pt;mso-height-percent:0;mso-height-relative:margin;mso-width-percent:0;mso-width-relative:margin;mso-wrap-distance-bottom:0;mso-wrap-distance-left:9pt;mso-wrap-distance-right:9pt;mso-wrap-distance-top:0;mso-wrap-style:square;position:absolute;visibility:visible;v-text-anchor:middle;z-index:251676672" fillcolor="#f05260" stroked="f">
                <v:textbox>
                  <w:txbxContent>
                    <w:p w:rsidR="005D0F8C" w:rsidRPr="005C7ABF" w:rsidP="00172E36" w14:paraId="0FF11C30" w14:textId="3E13B46B">
                      <w:pPr>
                        <w:spacing w:line="240" w:lineRule="auto"/>
                        <w:jc w:val="left"/>
                        <w:rPr>
                          <w:rtl/>
                        </w:rPr>
                      </w:pPr>
                      <w:r w:rsidRPr="00DD488C">
                        <w:rPr>
                          <w:rFonts w:ascii="Tahoma" w:hAnsi="Tahoma" w:cs="Tahoma"/>
                          <w:b/>
                          <w:bCs/>
                          <w:color w:val="FFFFFF" w:themeColor="background1"/>
                          <w:sz w:val="22"/>
                          <w:szCs w:val="22"/>
                          <w:rtl/>
                        </w:rPr>
                        <w:t>שיעור הרווח הממוצע לפני מס של כל החברות הפרטיות שהפעילו מסגרות חוץ-ביתיות עבור משרד הרווחה בשנים 2018</w:t>
                      </w:r>
                      <w:r w:rsidR="0017630F">
                        <w:rPr>
                          <w:rFonts w:ascii="Tahoma" w:hAnsi="Tahoma" w:cs="Tahoma" w:hint="cs"/>
                          <w:b/>
                          <w:bCs/>
                          <w:color w:val="FFFFFF" w:themeColor="background1"/>
                          <w:sz w:val="22"/>
                          <w:szCs w:val="22"/>
                          <w:rtl/>
                        </w:rPr>
                        <w:t xml:space="preserve"> </w:t>
                      </w:r>
                      <w:r w:rsidRPr="00DD488C">
                        <w:rPr>
                          <w:rFonts w:ascii="Tahoma" w:hAnsi="Tahoma" w:cs="Tahoma"/>
                          <w:b/>
                          <w:bCs/>
                          <w:color w:val="FFFFFF" w:themeColor="background1"/>
                          <w:sz w:val="22"/>
                          <w:szCs w:val="22"/>
                          <w:rtl/>
                        </w:rPr>
                        <w:t>-</w:t>
                      </w:r>
                      <w:r w:rsidR="0017630F">
                        <w:rPr>
                          <w:rFonts w:ascii="Tahoma" w:hAnsi="Tahoma" w:cs="Tahoma" w:hint="cs"/>
                          <w:b/>
                          <w:bCs/>
                          <w:color w:val="FFFFFF" w:themeColor="background1"/>
                          <w:sz w:val="22"/>
                          <w:szCs w:val="22"/>
                          <w:rtl/>
                        </w:rPr>
                        <w:t xml:space="preserve"> </w:t>
                      </w:r>
                      <w:r w:rsidRPr="00DD488C">
                        <w:rPr>
                          <w:rFonts w:ascii="Tahoma" w:hAnsi="Tahoma" w:cs="Tahoma"/>
                          <w:b/>
                          <w:bCs/>
                          <w:color w:val="FFFFFF" w:themeColor="background1"/>
                          <w:sz w:val="22"/>
                          <w:szCs w:val="22"/>
                          <w:rtl/>
                        </w:rPr>
                        <w:t xml:space="preserve">2021, בחלוקה </w:t>
                      </w:r>
                      <w:r w:rsidRPr="00DD488C">
                        <w:rPr>
                          <w:rFonts w:ascii="Tahoma" w:hAnsi="Tahoma" w:cs="Tahoma"/>
                          <w:b/>
                          <w:bCs/>
                          <w:color w:val="FFFFFF" w:themeColor="background1"/>
                          <w:sz w:val="22"/>
                          <w:szCs w:val="22"/>
                          <w:rtl/>
                        </w:rPr>
                        <w:t>למינהלים</w:t>
                      </w:r>
                      <w:r w:rsidRPr="006C07A7">
                        <w:rPr>
                          <w:noProof/>
                          <w:rtl/>
                        </w:rPr>
                        <w:t xml:space="preserve"> </w:t>
                      </w:r>
                      <w:r>
                        <w:rPr>
                          <w:rFonts w:hint="cs"/>
                          <w:noProof/>
                          <w:rtl/>
                        </w:rPr>
                        <w:t xml:space="preserve"> </w:t>
                      </w:r>
                    </w:p>
                  </w:txbxContent>
                </v:textbox>
              </v:shape>
            </w:pict>
          </mc:Fallback>
        </mc:AlternateContent>
      </w:r>
      <w:r w:rsidRPr="00D527BD">
        <w:rPr>
          <w:noProof/>
          <w:szCs w:val="20"/>
          <w:rtl/>
        </w:rPr>
        <w:drawing>
          <wp:anchor distT="0" distB="0" distL="114300" distR="114300" simplePos="0" relativeHeight="251674624" behindDoc="0" locked="0" layoutInCell="1" allowOverlap="1">
            <wp:simplePos x="0" y="0"/>
            <wp:positionH relativeFrom="column">
              <wp:posOffset>-59055</wp:posOffset>
            </wp:positionH>
            <wp:positionV relativeFrom="paragraph">
              <wp:posOffset>-1270</wp:posOffset>
            </wp:positionV>
            <wp:extent cx="4770755" cy="1038225"/>
            <wp:effectExtent l="0" t="0" r="0" b="9525"/>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0755" cy="1038225"/>
                    </a:xfrm>
                    <a:prstGeom prst="rect">
                      <a:avLst/>
                    </a:prstGeom>
                  </pic:spPr>
                </pic:pic>
              </a:graphicData>
            </a:graphic>
            <wp14:sizeRelH relativeFrom="margin">
              <wp14:pctWidth>0</wp14:pctWidth>
            </wp14:sizeRelH>
            <wp14:sizeRelV relativeFrom="margin">
              <wp14:pctHeight>0</wp14:pctHeight>
            </wp14:sizeRelV>
          </wp:anchor>
        </w:drawing>
      </w:r>
    </w:p>
    <w:p w:rsidR="005D0F8C" w:rsidP="00EB672B" w14:paraId="757FD3ED" w14:textId="78C28C19">
      <w:pPr>
        <w:pStyle w:val="7315"/>
        <w:rPr>
          <w:rtl/>
        </w:rPr>
      </w:pPr>
      <w:r>
        <w:rPr>
          <w:rtl/>
        </w:rPr>
        <w:t xml:space="preserve"> </w:t>
      </w:r>
    </w:p>
    <w:p w:rsidR="005D0F8C" w:rsidP="005D0F8C" w14:paraId="43F21067" w14:textId="77777777">
      <w:pPr>
        <w:pStyle w:val="7315"/>
        <w:rPr>
          <w:rtl/>
        </w:rPr>
      </w:pPr>
    </w:p>
    <w:p w:rsidR="005D0F8C" w:rsidRPr="00D57BE9" w:rsidP="00D57BE9" w14:paraId="386C0913" w14:textId="6D5B2534">
      <w:pPr>
        <w:rPr>
          <w:rtl/>
        </w:rPr>
      </w:pPr>
      <w:r>
        <w:rPr>
          <w:noProof/>
          <w:rtl/>
          <w:lang w:val="he-IL"/>
        </w:rPr>
        <w:drawing>
          <wp:anchor distT="0" distB="0" distL="114300" distR="114300" simplePos="0" relativeHeight="251695104" behindDoc="0" locked="0" layoutInCell="1" allowOverlap="1">
            <wp:simplePos x="0" y="0"/>
            <wp:positionH relativeFrom="column">
              <wp:posOffset>-30480</wp:posOffset>
            </wp:positionH>
            <wp:positionV relativeFrom="paragraph">
              <wp:posOffset>252730</wp:posOffset>
            </wp:positionV>
            <wp:extent cx="4679315" cy="2620645"/>
            <wp:effectExtent l="0" t="0" r="698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rcRect t="7817"/>
                    <a:stretch>
                      <a:fillRect/>
                    </a:stretch>
                  </pic:blipFill>
                  <pic:spPr bwMode="auto">
                    <a:xfrm>
                      <a:off x="0" y="0"/>
                      <a:ext cx="4679315" cy="262064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A7B4B" w:rsidP="00172E36" w14:paraId="385EB876" w14:textId="02C8D130">
      <w:pPr>
        <w:pStyle w:val="750"/>
        <w:rPr>
          <w:rtl/>
        </w:rPr>
      </w:pPr>
    </w:p>
    <w:p w:rsidR="00B227D8" w:rsidRPr="00D57BE9" w:rsidP="00B227D8" w14:paraId="7EB68463" w14:textId="4A97E332">
      <w:pPr>
        <w:rPr>
          <w:rtl/>
        </w:rPr>
      </w:pPr>
    </w:p>
    <w:p w:rsidR="00B227D8" w:rsidRPr="00D57BE9" w:rsidP="00B227D8" w14:paraId="3B01BA95" w14:textId="5E0F4CD4">
      <w:pPr>
        <w:rPr>
          <w:rtl/>
        </w:rPr>
      </w:pPr>
    </w:p>
    <w:p w:rsidR="00B227D8" w14:paraId="4C5FC044" w14:textId="6AEE8E1F">
      <w:pPr>
        <w:bidi w:val="0"/>
        <w:spacing w:after="200" w:line="276" w:lineRule="auto"/>
        <w:rPr>
          <w:rFonts w:ascii="Tahoma" w:hAnsi="Tahoma" w:cs="Tahoma"/>
          <w:color w:val="0D0D0D" w:themeColor="text1" w:themeTint="F2"/>
          <w:sz w:val="16"/>
          <w:szCs w:val="16"/>
          <w:rtl/>
        </w:rPr>
      </w:pPr>
      <w:r>
        <w:rPr>
          <w:rtl/>
        </w:rPr>
        <w:br w:type="page"/>
      </w:r>
    </w:p>
    <w:p w:rsidR="004E71DD" w:rsidP="001D6BF7" w14:paraId="60AEFE54" w14:textId="17A98C0F">
      <w:pPr>
        <w:pStyle w:val="756"/>
        <w:rPr>
          <w:rtl/>
        </w:rPr>
      </w:pPr>
      <w:r w:rsidRPr="00EF3061">
        <w:rPr>
          <w:rFonts w:hint="cs"/>
          <w:rtl/>
        </w:rPr>
        <w:t>סיכום</w:t>
      </w:r>
    </w:p>
    <w:p w:rsidR="00085596" w:rsidRPr="00BB02BA" w:rsidP="00085596" w14:paraId="0B424C0A" w14:textId="3979D55B">
      <w:pPr>
        <w:pStyle w:val="759"/>
        <w:rPr>
          <w:rtl/>
        </w:rPr>
      </w:pPr>
      <w:r w:rsidRPr="00BB02BA">
        <w:rPr>
          <w:rtl/>
        </w:rPr>
        <w:t>אספקת שירותי הרווחה בישראל מוסדרת בחוק חובת המכרזים ותקנותיו, שמטרתם להבטיח שיוגשו די הצעות שיאפשרו לבחור מהן את ההצעה הטובה ביותר ולהבטיח תחרות הוגנת ושוויונית.</w:t>
      </w:r>
      <w:r w:rsidRPr="00BB02BA">
        <w:rPr>
          <w:b/>
          <w:bCs/>
          <w:rtl/>
        </w:rPr>
        <w:t xml:space="preserve"> </w:t>
      </w:r>
      <w:r w:rsidRPr="00BB02BA">
        <w:rPr>
          <w:rtl/>
        </w:rPr>
        <w:t xml:space="preserve">בשנת 2022 הוציא משרד הרווחה כ-36% מסך תקציבו על רכישת שירותים חברתיים חוץ-ביתיים במיקור חוץ (כ-3.5 מיליארד ש"ח). תמונת המצב לגבי מאפייני שוק הרכש החברתי במיקור חוץ של משרד הרווחה מלמדת על סממנים ליתירות (שולי רווח ועודפים) בקרב מפעילי המסגרות החוץ-ביתיות. ממצאי הביקורת מצביעים על כך שהמנגנון </w:t>
      </w:r>
      <w:r w:rsidRPr="00BB02BA">
        <w:rPr>
          <w:rtl/>
        </w:rPr>
        <w:t>המכרזי</w:t>
      </w:r>
      <w:r w:rsidRPr="00BB02BA">
        <w:rPr>
          <w:rtl/>
        </w:rPr>
        <w:t xml:space="preserve"> אינו מייצר בפועל מצב של תחרות ממשית, שכן בכ-60% מהמכרזים כל הצעה שעוברת את תנאי הסף זוכה במכרז; ומוביל לחוסר דינמיות בשוק השירותים החברתיים החוץ-ביתיים, אשר נשלט באופן כמעט מוחלט על ידי מפעילים ותיקים</w:t>
      </w:r>
      <w:r w:rsidRPr="003E7BF9">
        <w:rPr>
          <w:rtl/>
        </w:rPr>
        <w:t>.</w:t>
      </w:r>
      <w:r w:rsidRPr="00BB02BA">
        <w:rPr>
          <w:b/>
          <w:bCs/>
          <w:rtl/>
        </w:rPr>
        <w:t xml:space="preserve"> </w:t>
      </w:r>
      <w:r w:rsidRPr="00BB02BA">
        <w:rPr>
          <w:rtl/>
        </w:rPr>
        <w:t xml:space="preserve">כך 89% (3.1 מיליארד ש"ח) מהתשלומים עבור שירותים אלה משלם משרד הרווחה למפעילים שיש להם ותק של 17 שנה ואף יותר באספקת השירותים למשרד. מצב זה נובע מתנאי הסף במכרזים המשמשים חסם כניסה למציעים חדשים, למשל של דרישות </w:t>
      </w:r>
      <w:r w:rsidRPr="00BB02BA">
        <w:rPr>
          <w:rtl/>
        </w:rPr>
        <w:t>מינהליות</w:t>
      </w:r>
      <w:r w:rsidRPr="00BB02BA">
        <w:rPr>
          <w:rtl/>
        </w:rPr>
        <w:t xml:space="preserve"> שמציעים חדשים מתקשים לעמוד בהן וכן מאמות המידה אשר אינן משקפות בהכרח את איכות השירות שיינתן בפועל, ולכן מקנות יתרון למפעילים הוותיקים. ממצאי הביקורת מעלים כי מבנה התעריף שמשלם משרד הרווחה למפעילי המסגרות החוץ-ביתיות אינו מותאם למבנה ההוצאות בפועל שלהם, וכי המשרד אינו מקזז את הכספים ששילם לספקים עבור שירותים שבפועל הם לא סיפקו; מדובר בסכום של יותר מחצי מיליארד ש"ח. כמו כן, משרד הרווחה מתקשה לבצע פיקוח אפקטיבי על איכות השירותים שהוא מספק. </w:t>
      </w:r>
    </w:p>
    <w:p w:rsidR="00085596" w:rsidRPr="00BB02BA" w:rsidP="00085596" w14:paraId="096BE032" w14:textId="77777777">
      <w:pPr>
        <w:pStyle w:val="759"/>
        <w:rPr>
          <w:rtl/>
        </w:rPr>
      </w:pPr>
      <w:r w:rsidRPr="00BB02BA">
        <w:rPr>
          <w:rtl/>
        </w:rPr>
        <w:t xml:space="preserve">מכלל האמור לעיל עולה, כי שיטת המכרזים שמפעיל משרד </w:t>
      </w:r>
      <w:r w:rsidRPr="00085596">
        <w:rPr>
          <w:rtl/>
        </w:rPr>
        <w:t>הרווחה</w:t>
      </w:r>
      <w:r w:rsidRPr="00BB02BA">
        <w:rPr>
          <w:rtl/>
        </w:rPr>
        <w:t xml:space="preserve"> לניהול ורכישת שירותי רווחה במיקור חוץ אינה מיטבית, ולא מניבה את התוצאה הרצויה של מבנה שוק בו קיימת תחרות בין מפעילים אשר מובילה לשיפור השירות הניתן למושמים בפועל.</w:t>
      </w:r>
    </w:p>
    <w:p w:rsidR="00085596" w:rsidRPr="006C07A7" w:rsidP="00085596" w14:paraId="64E39E71" w14:textId="2A6C78B1">
      <w:pPr>
        <w:pStyle w:val="759"/>
        <w:rPr>
          <w:rtl/>
        </w:rPr>
      </w:pPr>
      <w:r w:rsidRPr="00BB02BA">
        <w:rPr>
          <w:rtl/>
        </w:rPr>
        <w:t xml:space="preserve">כדי להגביר את התחרות על איכות השירותים החברתיים בטווח הקצר, מומלץ כי משרד הרווחה יפעל להגדלת מספר ההצעות במכרזים באמצעות בחינת מתן "הגנת ינוקא" או בכל דרך אחרת; וישקול להתאים את תנאי הסף שבהם נדרשים המציעים לעמוד במסגרת התמודדותם במכרזים מבלי לפגוע באיכות ההצעות; יידע את המפקחים אודות ההצעות שזכו במכרזים; יפעל לצמצום העיוותים במנגנון התעריף הקיים; ויקזז את התעריף בגין אי איוש מלא של תקן כוח האדם. עוד מומלץ כי המשרד יבצע ניתוח עיסוקים לתפקיד המפקח ויבחן האם יש צורך לעדכן את אופי התפקיד בדומה למודלים אחרים בעולם. בראיה אסטרטגית על שוק הרכש </w:t>
      </w:r>
      <w:r w:rsidRPr="00085596">
        <w:rPr>
          <w:rtl/>
        </w:rPr>
        <w:t>החברתי</w:t>
      </w:r>
      <w:r w:rsidRPr="00BB02BA">
        <w:rPr>
          <w:rtl/>
        </w:rPr>
        <w:t xml:space="preserve"> של משרד הרווחה במיקור חוץ בטווח הארוך, מומלץ כי רשות התחרות בשיתוף עם משרד האוצר, משרד ראש הממשלה ומשרד הרווחה יגבשו צוות בין-משרדי </w:t>
      </w:r>
      <w:r w:rsidRPr="00085596">
        <w:rPr>
          <w:rtl/>
        </w:rPr>
        <w:t>אשר</w:t>
      </w:r>
      <w:r w:rsidRPr="00BB02BA">
        <w:rPr>
          <w:rtl/>
        </w:rPr>
        <w:t xml:space="preserve"> יבחן לעומק את שוק אספקת שירותי הרווחה במיקור חוץ ואת המנגנון המיטבי למינוף היתרונות המובנים של תחרות, תוך בחינת מודלים אחרים לאספקת שירותי רווחה המקובלים בעולם. זאת כדי להבטיח שירות איכותי למקבלי השירותים המשתייכים לאוכלוסיות הראויות ביותר לקידום בחברה הישראלית</w:t>
      </w:r>
      <w:r>
        <w:rPr>
          <w:rFonts w:hint="cs"/>
          <w:rtl/>
        </w:rPr>
        <w:t>.</w:t>
      </w:r>
    </w:p>
    <w:p w:rsidR="00767502" w:rsidP="005E1558" w14:paraId="563B6E37" w14:textId="41002606">
      <w:pPr>
        <w:pStyle w:val="759"/>
        <w:rPr>
          <w:rtl/>
        </w:rPr>
      </w:pPr>
    </w:p>
    <w:p w:rsidR="00BA7B4B" w:rsidRPr="00BA7B4B" w:rsidP="00085596" w14:paraId="2D847513" w14:textId="250E78C0">
      <w:pPr>
        <w:bidi w:val="0"/>
        <w:spacing w:after="200" w:line="276" w:lineRule="auto"/>
        <w:rPr>
          <w:rtl/>
        </w:rPr>
      </w:pPr>
    </w:p>
    <w:sectPr w:rsidSect="00F35B8C">
      <w:headerReference w:type="default" r:id="rId27"/>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10601" w14:paraId="242ADCB3" w14:textId="77777777">
      <w:pPr>
        <w:spacing w:line="240" w:lineRule="auto"/>
      </w:pPr>
      <w:r>
        <w:separator/>
      </w:r>
    </w:p>
    <w:p w:rsidR="00A10601" w14:paraId="1B618C5C" w14:textId="77777777"/>
    <w:p w:rsidR="00A10601" w14:paraId="08525AED" w14:textId="77777777"/>
    <w:p w:rsidR="00A10601" w14:paraId="5A76DDBC" w14:textId="77777777"/>
  </w:endnote>
  <w:endnote w:type="continuationSeparator" w:id="1">
    <w:p w:rsidR="00A10601" w14:paraId="3BDB1D91" w14:textId="77777777">
      <w:pPr>
        <w:spacing w:line="240" w:lineRule="auto"/>
      </w:pPr>
      <w:r>
        <w:continuationSeparator/>
      </w:r>
    </w:p>
    <w:p w:rsidR="00A10601" w14:paraId="600A236F" w14:textId="77777777"/>
    <w:p w:rsidR="00A10601" w14:paraId="7FFE3868" w14:textId="77777777"/>
    <w:p w:rsidR="00A10601" w14:paraId="56C6DA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w Cen MT">
    <w:altName w:val="Calibri"/>
    <w:panose1 w:val="020B0602020104020603"/>
    <w:charset w:val="00"/>
    <w:family w:val="swiss"/>
    <w:pitch w:val="variable"/>
    <w:sig w:usb0="00000007" w:usb1="00000000" w:usb2="00000000" w:usb3="00000000" w:csb0="00000003" w:csb1="00000000"/>
  </w:font>
  <w:font w:name="David">
    <w:panose1 w:val="020E0502060401010101"/>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00000087" w:usb1="00000000" w:usb2="00000000" w:usb3="00000000" w:csb0="0000001B" w:csb1="00000000"/>
  </w:font>
  <w:font w:name="Tw Cen MT Condensed">
    <w:panose1 w:val="020B0606020104020203"/>
    <w:charset w:val="00"/>
    <w:family w:val="swiss"/>
    <w:pitch w:val="variable"/>
    <w:sig w:usb0="00000007" w:usb1="00000000" w:usb2="00000000" w:usb3="00000000" w:csb0="00000003" w:csb1="00000000"/>
  </w:font>
  <w:font w:name="Levenim MT">
    <w:panose1 w:val="00000000000000000000"/>
    <w:charset w:val="B1"/>
    <w:family w:val="auto"/>
    <w:pitch w:val="variable"/>
    <w:sig w:usb0="00000801" w:usb1="00000000" w:usb2="00000000" w:usb3="00000000" w:csb0="00000020" w:csb1="00000000"/>
  </w:font>
  <w:font w:name="Almoni ML Regular AAA">
    <w:altName w:val="Arial"/>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auto"/>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7314E402"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037C10C0" w14:textId="77777777">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7761496C" w14:textId="3FF32544">
    <w:pPr>
      <w:pStyle w:val="Footer"/>
      <w:spacing w:after="120" w:line="312" w:lineRule="auto"/>
      <w:ind w:left="-510"/>
      <w:jc w:val="left"/>
      <w:rPr>
        <w:rFonts w:ascii="Tahoma" w:hAnsi="Tahoma" w:cs="Tahoma"/>
        <w:sz w:val="18"/>
        <w:szCs w:val="18"/>
        <w:rtl/>
      </w:rPr>
    </w:pPr>
  </w:p>
  <w:p w:rsidR="004E71DD" w:rsidP="006F7D57" w14:paraId="6A4AA1EE" w14:textId="1007060A">
    <w:pPr>
      <w:pStyle w:val="Footer"/>
      <w:tabs>
        <w:tab w:val="left" w:pos="488"/>
        <w:tab w:val="left" w:pos="522"/>
        <w:tab w:val="clear" w:pos="4153"/>
        <w:tab w:val="clear" w:pos="8306"/>
      </w:tabs>
      <w:spacing w:after="3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4C3309D7" w14:textId="2218AC15">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0601" w:rsidP="00E7235E" w14:paraId="1DC4B056" w14:textId="77777777">
      <w:pPr>
        <w:spacing w:line="240" w:lineRule="auto"/>
      </w:pPr>
      <w:r>
        <w:separator/>
      </w:r>
    </w:p>
  </w:footnote>
  <w:footnote w:type="continuationSeparator" w:id="1">
    <w:p w:rsidR="00A10601" w:rsidP="00C23CC9" w14:paraId="2851ED46" w14:textId="77777777">
      <w:pPr>
        <w:spacing w:line="240" w:lineRule="auto"/>
      </w:pPr>
      <w:r>
        <w:continuationSeparator/>
      </w:r>
    </w:p>
    <w:p w:rsidR="00A10601" w14:paraId="6A084BDA" w14:textId="77777777"/>
    <w:p w:rsidR="00A10601" w14:paraId="5B52D797" w14:textId="77777777"/>
    <w:p w:rsidR="00A10601" w14:paraId="14259D3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7898F99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1FACDDD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45C676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69B9920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F24085D"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2CEA5D81"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5CA700D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6961512F"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042893"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042893" w14:paraId="6BC4C0AD"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v:textbox>
              <w10:wrap type="square"/>
            </v:shape>
          </w:pict>
        </mc:Fallback>
      </mc:AlternateContent>
    </w:r>
  </w:p>
  <w:p w:rsidR="00F73EE0" w:rsidP="001526AC" w14:paraId="0DD7BE7A"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28B312A8"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3C7B09" w14:textId="74CFDF5F">
                          <w:pPr>
                            <w:jc w:val="right"/>
                            <w:rPr>
                              <w:color w:val="0D0D0D" w:themeColor="text1" w:themeTint="F2"/>
                              <w:sz w:val="16"/>
                              <w:szCs w:val="16"/>
                            </w:rPr>
                          </w:pPr>
                          <w:r w:rsidRPr="003C7B09">
                            <w:rPr>
                              <w:rFonts w:ascii="Tahoma" w:hAnsi="Tahoma" w:cs="Tahoma" w:hint="cs"/>
                              <w:color w:val="0D0D0D"/>
                              <w:sz w:val="16"/>
                              <w:szCs w:val="16"/>
                              <w:rtl/>
                            </w:rPr>
                            <w:t xml:space="preserve">דוח מבקר המדינה | תמוז </w:t>
                          </w:r>
                          <w:r w:rsidRPr="003C7B09">
                            <w:rPr>
                              <w:rFonts w:ascii="Tahoma" w:hAnsi="Tahoma" w:cs="Tahoma" w:hint="cs"/>
                              <w:color w:val="0D0D0D"/>
                              <w:sz w:val="16"/>
                              <w:szCs w:val="16"/>
                              <w:rtl/>
                            </w:rPr>
                            <w:t>התשפ"ד</w:t>
                          </w:r>
                          <w:r w:rsidRPr="003C7B09">
                            <w:rPr>
                              <w:rFonts w:ascii="Tahoma" w:hAnsi="Tahoma" w:cs="Tahoma" w:hint="cs"/>
                              <w:color w:val="0D0D0D"/>
                              <w:sz w:val="16"/>
                              <w:szCs w:val="16"/>
                              <w:rtl/>
                            </w:rPr>
                            <w:t xml:space="preserve"> </w:t>
                          </w:r>
                          <w:r w:rsidRPr="003C7B09">
                            <w:rPr>
                              <w:rFonts w:ascii="Tahoma" w:hAnsi="Tahoma" w:cs="Tahoma"/>
                              <w:color w:val="0D0D0D"/>
                              <w:sz w:val="16"/>
                              <w:szCs w:val="16"/>
                              <w:rtl/>
                            </w:rPr>
                            <w:t>|</w:t>
                          </w:r>
                          <w:r w:rsidRPr="003C7B09">
                            <w:rPr>
                              <w:rFonts w:ascii="Tahoma" w:hAnsi="Tahoma" w:cs="Tahoma" w:hint="cs"/>
                              <w:color w:val="0D0D0D"/>
                              <w:sz w:val="16"/>
                              <w:szCs w:val="16"/>
                              <w:rtl/>
                            </w:rPr>
                            <w:t xml:space="preserve"> יולי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3C7B09" w14:paraId="5BE3FCC4" w14:textId="74CFDF5F">
                    <w:pPr>
                      <w:jc w:val="right"/>
                      <w:rPr>
                        <w:color w:val="0D0D0D" w:themeColor="text1" w:themeTint="F2"/>
                        <w:sz w:val="16"/>
                        <w:szCs w:val="16"/>
                      </w:rPr>
                    </w:pPr>
                    <w:r w:rsidRPr="003C7B09">
                      <w:rPr>
                        <w:rFonts w:ascii="Tahoma" w:hAnsi="Tahoma" w:cs="Tahoma" w:hint="cs"/>
                        <w:color w:val="0D0D0D"/>
                        <w:sz w:val="16"/>
                        <w:szCs w:val="16"/>
                        <w:rtl/>
                      </w:rPr>
                      <w:t xml:space="preserve">דוח מבקר המדינה | תמוז </w:t>
                    </w:r>
                    <w:r w:rsidRPr="003C7B09">
                      <w:rPr>
                        <w:rFonts w:ascii="Tahoma" w:hAnsi="Tahoma" w:cs="Tahoma" w:hint="cs"/>
                        <w:color w:val="0D0D0D"/>
                        <w:sz w:val="16"/>
                        <w:szCs w:val="16"/>
                        <w:rtl/>
                      </w:rPr>
                      <w:t>התשפ"ד</w:t>
                    </w:r>
                    <w:r w:rsidRPr="003C7B09">
                      <w:rPr>
                        <w:rFonts w:ascii="Tahoma" w:hAnsi="Tahoma" w:cs="Tahoma" w:hint="cs"/>
                        <w:color w:val="0D0D0D"/>
                        <w:sz w:val="16"/>
                        <w:szCs w:val="16"/>
                        <w:rtl/>
                      </w:rPr>
                      <w:t xml:space="preserve"> </w:t>
                    </w:r>
                    <w:r w:rsidRPr="003C7B09">
                      <w:rPr>
                        <w:rFonts w:ascii="Tahoma" w:hAnsi="Tahoma" w:cs="Tahoma"/>
                        <w:color w:val="0D0D0D"/>
                        <w:sz w:val="16"/>
                        <w:szCs w:val="16"/>
                        <w:rtl/>
                      </w:rPr>
                      <w:t>|</w:t>
                    </w:r>
                    <w:r w:rsidRPr="003C7B09">
                      <w:rPr>
                        <w:rFonts w:ascii="Tahoma" w:hAnsi="Tahoma" w:cs="Tahoma" w:hint="cs"/>
                        <w:color w:val="0D0D0D"/>
                        <w:sz w:val="16"/>
                        <w:szCs w:val="16"/>
                        <w:rtl/>
                      </w:rPr>
                      <w:t xml:space="preserve"> יולי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03DC109"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39DF3D8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2C232BD8" w14:textId="77777777">
    <w:pPr>
      <w:pStyle w:val="Header"/>
      <w:ind w:firstLine="720"/>
      <w:rPr>
        <w:rtl/>
      </w:rPr>
    </w:pPr>
  </w:p>
  <w:p w:rsidR="00F73EE0" w14:paraId="5C55D270" w14:textId="77777777">
    <w:pPr>
      <w:pStyle w:val="Header"/>
      <w:rPr>
        <w:rtl/>
      </w:rPr>
    </w:pPr>
  </w:p>
  <w:p w:rsidR="00F73EE0" w14:paraId="6376EBC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3DC99E41"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64400A02"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56933035"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0A2EEE25"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67AD5038" w14:textId="77777777">
    <w:pPr>
      <w:pStyle w:val="Header"/>
      <w:ind w:firstLine="720"/>
      <w:rPr>
        <w:rtl/>
      </w:rPr>
    </w:pPr>
  </w:p>
  <w:p w:rsidR="004E71DD" w:rsidP="004E71DD" w14:paraId="7EEB74EB" w14:textId="77777777">
    <w:pPr>
      <w:pStyle w:val="Header"/>
      <w:rPr>
        <w:rtl/>
      </w:rPr>
    </w:pPr>
  </w:p>
  <w:p w:rsidR="004E71DD" w:rsidP="004E71DD" w14:paraId="29F14FE3"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1A08219D">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רכישת שירותים חברתיים במיקור חוץ על ידי משרד הרווחה והביטחון החברתי</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5EC6D3B2" w14:textId="1A08219D">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רכישת שירותים חברתיים במיקור חוץ על ידי משרד הרווחה והביטחון החברתי</w:t>
                    </w:r>
                  </w:p>
                </w:txbxContent>
              </v:textbox>
              <w10:wrap type="square"/>
            </v:shape>
          </w:pict>
        </mc:Fallback>
      </mc:AlternateContent>
    </w:r>
  </w:p>
  <w:p w:rsidR="004E71DD" w:rsidP="004E71DD" w14:paraId="29927C53" w14:textId="6BD2B5C2">
    <w:pPr>
      <w:pStyle w:val="Header"/>
      <w:rPr>
        <w:rtl/>
      </w:rPr>
    </w:pPr>
    <w:r>
      <w:rPr>
        <w:noProof/>
      </w:rPr>
      <mc:AlternateContent>
        <mc:Choice Requires="wps">
          <w:drawing>
            <wp:anchor distT="0" distB="0" distL="114300" distR="114300" simplePos="0" relativeHeight="251679744" behindDoc="0" locked="0" layoutInCell="1" allowOverlap="1">
              <wp:simplePos x="0" y="0"/>
              <wp:positionH relativeFrom="column">
                <wp:posOffset>-1392555</wp:posOffset>
              </wp:positionH>
              <wp:positionV relativeFrom="paragraph">
                <wp:posOffset>326027</wp:posOffset>
              </wp:positionV>
              <wp:extent cx="606552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52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65pt,25.65pt" to="367.95pt,25.65pt" strokecolor="#0d0d0d" strokeweight="0.25pt"/>
          </w:pict>
        </mc:Fallback>
      </mc:AlternateContent>
    </w:r>
    <w:r w:rsidR="00235CF1">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9"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p>
  <w:p w:rsidR="008B694B" w:rsidRPr="004E71DD" w:rsidP="004E71DD" w14:paraId="73B85337" w14:textId="776B8773">
    <w:pPr>
      <w:pStyle w:val="Header"/>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66A492DD"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76E0C3EE"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085596" w:rsidP="00582DA9" w14:textId="1B19FC4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Pr="00085596" w:rsidR="00085596">
                            <w:rPr>
                              <w:rFonts w:ascii="Tahoma" w:hAnsi="Tahoma" w:cs="Tahoma" w:hint="cs"/>
                              <w:b/>
                              <w:bCs/>
                              <w:rtl/>
                            </w:rPr>
                            <w:t>רכישת שירותים חברתיים במיקור חוץ על ידי משרד הרווחה והביטחון החברתי</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085596" w:rsidP="00582DA9" w14:paraId="766F404C" w14:textId="1B19FC4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Pr="00085596" w:rsidR="00085596">
                      <w:rPr>
                        <w:rFonts w:ascii="Tahoma" w:hAnsi="Tahoma" w:cs="Tahoma" w:hint="cs"/>
                        <w:b/>
                        <w:bCs/>
                        <w:rtl/>
                      </w:rPr>
                      <w:t>רכישת שירותים חברתיים במיקור חוץ על ידי משרד הרווחה והביטחון החברתי</w:t>
                    </w:r>
                  </w:p>
                </w:txbxContent>
              </v:textbox>
              <w10:wrap type="square"/>
            </v:shape>
          </w:pict>
        </mc:Fallback>
      </mc:AlternateContent>
    </w:r>
  </w:p>
  <w:p w:rsidR="00E56721" w:rsidP="001526AC" w14:paraId="52A32138"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573E41A0"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65489AB2">
                          <w:pPr>
                            <w:jc w:val="right"/>
                            <w:rPr>
                              <w:color w:val="0D0D0D" w:themeColor="text1" w:themeTint="F2"/>
                              <w:sz w:val="16"/>
                              <w:szCs w:val="16"/>
                            </w:rPr>
                          </w:pPr>
                          <w:r w:rsidRPr="003C7B09">
                            <w:rPr>
                              <w:rFonts w:ascii="Tahoma" w:hAnsi="Tahoma" w:cs="Tahoma" w:hint="cs"/>
                              <w:color w:val="0D0D0D"/>
                              <w:sz w:val="16"/>
                              <w:szCs w:val="16"/>
                              <w:rtl/>
                            </w:rPr>
                            <w:t xml:space="preserve">דוח מבקר המדינה | תמוז </w:t>
                          </w:r>
                          <w:r w:rsidRPr="003C7B09">
                            <w:rPr>
                              <w:rFonts w:ascii="Tahoma" w:hAnsi="Tahoma" w:cs="Tahoma" w:hint="cs"/>
                              <w:color w:val="0D0D0D"/>
                              <w:sz w:val="16"/>
                              <w:szCs w:val="16"/>
                              <w:rtl/>
                            </w:rPr>
                            <w:t>התשפ"ד</w:t>
                          </w:r>
                          <w:r w:rsidRPr="003C7B09">
                            <w:rPr>
                              <w:rFonts w:ascii="Tahoma" w:hAnsi="Tahoma" w:cs="Tahoma" w:hint="cs"/>
                              <w:color w:val="0D0D0D"/>
                              <w:sz w:val="16"/>
                              <w:szCs w:val="16"/>
                              <w:rtl/>
                            </w:rPr>
                            <w:t xml:space="preserve"> </w:t>
                          </w:r>
                          <w:r w:rsidRPr="003C7B09">
                            <w:rPr>
                              <w:rFonts w:ascii="Tahoma" w:hAnsi="Tahoma" w:cs="Tahoma"/>
                              <w:color w:val="0D0D0D"/>
                              <w:sz w:val="16"/>
                              <w:szCs w:val="16"/>
                              <w:rtl/>
                            </w:rPr>
                            <w:t>|</w:t>
                          </w:r>
                          <w:r w:rsidRPr="003C7B09">
                            <w:rPr>
                              <w:rFonts w:ascii="Tahoma" w:hAnsi="Tahoma" w:cs="Tahoma" w:hint="cs"/>
                              <w:color w:val="0D0D0D"/>
                              <w:sz w:val="16"/>
                              <w:szCs w:val="16"/>
                              <w:rtl/>
                            </w:rPr>
                            <w:t xml:space="preserve"> יולי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70F458A6" w14:textId="65489AB2">
                    <w:pPr>
                      <w:jc w:val="right"/>
                      <w:rPr>
                        <w:color w:val="0D0D0D" w:themeColor="text1" w:themeTint="F2"/>
                        <w:sz w:val="16"/>
                        <w:szCs w:val="16"/>
                      </w:rPr>
                    </w:pPr>
                    <w:r w:rsidRPr="003C7B09">
                      <w:rPr>
                        <w:rFonts w:ascii="Tahoma" w:hAnsi="Tahoma" w:cs="Tahoma" w:hint="cs"/>
                        <w:color w:val="0D0D0D"/>
                        <w:sz w:val="16"/>
                        <w:szCs w:val="16"/>
                        <w:rtl/>
                      </w:rPr>
                      <w:t xml:space="preserve">דוח מבקר המדינה | תמוז </w:t>
                    </w:r>
                    <w:r w:rsidRPr="003C7B09">
                      <w:rPr>
                        <w:rFonts w:ascii="Tahoma" w:hAnsi="Tahoma" w:cs="Tahoma" w:hint="cs"/>
                        <w:color w:val="0D0D0D"/>
                        <w:sz w:val="16"/>
                        <w:szCs w:val="16"/>
                        <w:rtl/>
                      </w:rPr>
                      <w:t>התשפ"ד</w:t>
                    </w:r>
                    <w:r w:rsidRPr="003C7B09">
                      <w:rPr>
                        <w:rFonts w:ascii="Tahoma" w:hAnsi="Tahoma" w:cs="Tahoma" w:hint="cs"/>
                        <w:color w:val="0D0D0D"/>
                        <w:sz w:val="16"/>
                        <w:szCs w:val="16"/>
                        <w:rtl/>
                      </w:rPr>
                      <w:t xml:space="preserve"> </w:t>
                    </w:r>
                    <w:r w:rsidRPr="003C7B09">
                      <w:rPr>
                        <w:rFonts w:ascii="Tahoma" w:hAnsi="Tahoma" w:cs="Tahoma"/>
                        <w:color w:val="0D0D0D"/>
                        <w:sz w:val="16"/>
                        <w:szCs w:val="16"/>
                        <w:rtl/>
                      </w:rPr>
                      <w:t>|</w:t>
                    </w:r>
                    <w:r w:rsidRPr="003C7B09">
                      <w:rPr>
                        <w:rFonts w:ascii="Tahoma" w:hAnsi="Tahoma" w:cs="Tahoma" w:hint="cs"/>
                        <w:color w:val="0D0D0D"/>
                        <w:sz w:val="16"/>
                        <w:szCs w:val="16"/>
                        <w:rtl/>
                      </w:rPr>
                      <w:t xml:space="preserve"> יולי 2024</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B2B442B2"/>
    <w:lvl w:ilvl="0">
      <w:start w:val="1"/>
      <w:numFmt w:val="decimal"/>
      <w:lvlText w:val="%1."/>
      <w:lvlJc w:val="left"/>
      <w:pPr>
        <w:tabs>
          <w:tab w:val="num" w:pos="1492"/>
        </w:tabs>
        <w:ind w:left="1492" w:hanging="360"/>
      </w:pPr>
    </w:lvl>
  </w:abstractNum>
  <w:abstractNum w:abstractNumId="1">
    <w:nsid w:val="FFFFFF7D"/>
    <w:multiLevelType w:val="singleLevel"/>
    <w:tmpl w:val="7CA8D262"/>
    <w:lvl w:ilvl="0">
      <w:start w:val="1"/>
      <w:numFmt w:val="decimal"/>
      <w:lvlText w:val="%1."/>
      <w:lvlJc w:val="left"/>
      <w:pPr>
        <w:tabs>
          <w:tab w:val="num" w:pos="1209"/>
        </w:tabs>
        <w:ind w:left="1209" w:hanging="360"/>
      </w:pPr>
    </w:lvl>
  </w:abstractNum>
  <w:abstractNum w:abstractNumId="2">
    <w:nsid w:val="FFFFFF7F"/>
    <w:multiLevelType w:val="singleLevel"/>
    <w:tmpl w:val="F75AFB70"/>
    <w:lvl w:ilvl="0">
      <w:start w:val="1"/>
      <w:numFmt w:val="decimal"/>
      <w:lvlText w:val="%1."/>
      <w:lvlJc w:val="left"/>
      <w:pPr>
        <w:tabs>
          <w:tab w:val="num" w:pos="643"/>
        </w:tabs>
        <w:ind w:left="643" w:hanging="360"/>
      </w:pPr>
    </w:lvl>
  </w:abstractNum>
  <w:abstractNum w:abstractNumId="3">
    <w:nsid w:val="FFFFFF80"/>
    <w:multiLevelType w:val="singleLevel"/>
    <w:tmpl w:val="C5969C34"/>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14267294"/>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80741E"/>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97F28B5A"/>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1D3E323C"/>
    <w:lvl w:ilvl="0">
      <w:start w:val="1"/>
      <w:numFmt w:val="bullet"/>
      <w:lvlText w:val=""/>
      <w:lvlJc w:val="left"/>
      <w:pPr>
        <w:tabs>
          <w:tab w:val="num" w:pos="360"/>
        </w:tabs>
        <w:ind w:left="360" w:hanging="360"/>
      </w:pPr>
      <w:rPr>
        <w:rFonts w:ascii="Symbol" w:hAnsi="Symbol" w:hint="default"/>
      </w:rPr>
    </w:lvl>
  </w:abstractNum>
  <w:abstractNum w:abstractNumId="8">
    <w:nsid w:val="020A70F9"/>
    <w:multiLevelType w:val="hybridMultilevel"/>
    <w:tmpl w:val="A748F26C"/>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9">
    <w:nsid w:val="07C54509"/>
    <w:multiLevelType w:val="multilevel"/>
    <w:tmpl w:val="3030E6FC"/>
    <w:lvl w:ilvl="0">
      <w:start w:val="1"/>
      <w:numFmt w:val="decimal"/>
      <w:pStyle w:val="732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88216AB"/>
    <w:multiLevelType w:val="hybridMultilevel"/>
    <w:tmpl w:val="BB7ADECA"/>
    <w:lvl w:ilvl="0">
      <w:start w:val="1"/>
      <w:numFmt w:val="hebrew1"/>
      <w:pStyle w:val="123"/>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E47C9F"/>
    <w:multiLevelType w:val="hybridMultilevel"/>
    <w:tmpl w:val="5DD64334"/>
    <w:lvl w:ilvl="0">
      <w:start w:val="1"/>
      <w:numFmt w:val="bullet"/>
      <w:lvlText w:val=""/>
      <w:lvlJc w:val="left"/>
      <w:pPr>
        <w:ind w:left="217" w:hanging="360"/>
      </w:pPr>
      <w:rPr>
        <w:rFonts w:ascii="Symbol" w:hAnsi="Symbol" w:cs="Symbol" w:hint="default"/>
        <w:b/>
        <w:bCs/>
        <w:color w:val="FF0000"/>
        <w:szCs w:val="28"/>
      </w:rPr>
    </w:lvl>
    <w:lvl w:ilvl="1" w:tentative="1">
      <w:start w:val="1"/>
      <w:numFmt w:val="bullet"/>
      <w:lvlText w:val="o"/>
      <w:lvlJc w:val="left"/>
      <w:pPr>
        <w:ind w:left="937" w:hanging="360"/>
      </w:pPr>
      <w:rPr>
        <w:rFonts w:ascii="Courier New" w:hAnsi="Courier New" w:cs="Courier New" w:hint="default"/>
      </w:rPr>
    </w:lvl>
    <w:lvl w:ilvl="2" w:tentative="1">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13">
    <w:nsid w:val="25C11F8F"/>
    <w:multiLevelType w:val="hybridMultilevel"/>
    <w:tmpl w:val="723AA1A8"/>
    <w:lvl w:ilvl="0">
      <w:start w:val="1"/>
      <w:numFmt w:val="bullet"/>
      <w:pStyle w:val="754"/>
      <w:lvlText w:val=""/>
      <w:lvlJc w:val="left"/>
      <w:pPr>
        <w:ind w:left="927" w:hanging="360"/>
      </w:pPr>
      <w:rPr>
        <w:rFonts w:ascii="Symbol" w:hAnsi="Symbol" w:cs="Symbol" w:hint="default"/>
        <w:b/>
        <w:bCs/>
        <w:color w:val="FF0000"/>
        <w:sz w:val="19"/>
        <w:szCs w:val="19"/>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4">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5">
    <w:nsid w:val="30D17255"/>
    <w:multiLevelType w:val="hybridMultilevel"/>
    <w:tmpl w:val="F1AE1FFC"/>
    <w:lvl w:ilvl="0">
      <w:start w:val="1"/>
      <w:numFmt w:val="decimal"/>
      <w:pStyle w:val="a57"/>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6">
    <w:nsid w:val="316B14B9"/>
    <w:multiLevelType w:val="hybridMultilevel"/>
    <w:tmpl w:val="378E9214"/>
    <w:lvl w:ilvl="0">
      <w:start w:val="1"/>
      <w:numFmt w:val="decimal"/>
      <w:pStyle w:val="a55"/>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7">
    <w:nsid w:val="33A86F96"/>
    <w:multiLevelType w:val="hybridMultilevel"/>
    <w:tmpl w:val="220A2AB2"/>
    <w:lvl w:ilvl="0">
      <w:start w:val="1"/>
      <w:numFmt w:val="decimal"/>
      <w:pStyle w:val="a59"/>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18">
    <w:nsid w:val="35EE30E9"/>
    <w:multiLevelType w:val="hybridMultilevel"/>
    <w:tmpl w:val="D2E4FDCC"/>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A923526"/>
    <w:multiLevelType w:val="hybridMultilevel"/>
    <w:tmpl w:val="4E74417E"/>
    <w:lvl w:ilvl="0">
      <w:start w:val="1"/>
      <w:numFmt w:val="decimal"/>
      <w:pStyle w:val="a53"/>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2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40DC7E01"/>
    <w:multiLevelType w:val="hybridMultilevel"/>
    <w:tmpl w:val="5D24C320"/>
    <w:lvl w:ilvl="0">
      <w:start w:val="1"/>
      <w:numFmt w:val="decimal"/>
      <w:pStyle w:val="33"/>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2">
    <w:nsid w:val="441A6670"/>
    <w:multiLevelType w:val="hybridMultilevel"/>
    <w:tmpl w:val="369C82D6"/>
    <w:lvl w:ilvl="0">
      <w:start w:val="1"/>
      <w:numFmt w:val="hebrew1"/>
      <w:pStyle w:val="35"/>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23">
    <w:nsid w:val="459C2999"/>
    <w:multiLevelType w:val="multilevel"/>
    <w:tmpl w:val="065C52B0"/>
    <w:lvl w:ilvl="0">
      <w:start w:val="1"/>
      <w:numFmt w:val="hebrew1"/>
      <w:pStyle w:val="7324"/>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nsid w:val="4DD35436"/>
    <w:multiLevelType w:val="hybridMultilevel"/>
    <w:tmpl w:val="EC1EC164"/>
    <w:lvl w:ilvl="0">
      <w:start w:val="1"/>
      <w:numFmt w:val="decimal"/>
      <w:pStyle w:val="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25">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6">
    <w:nsid w:val="5D6A7A2D"/>
    <w:multiLevelType w:val="hybridMultilevel"/>
    <w:tmpl w:val="66C05D20"/>
    <w:lvl w:ilvl="0">
      <w:start w:val="1"/>
      <w:numFmt w:val="bullet"/>
      <w:lvlText w:val=""/>
      <w:lvlJc w:val="left"/>
      <w:pPr>
        <w:ind w:left="360" w:hanging="360"/>
      </w:pPr>
      <w:rPr>
        <w:rFonts w:ascii="Symbol" w:hAnsi="Symbol" w:cs="Symbol" w:hint="default"/>
        <w:color w:val="FF0000"/>
        <w:sz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F743717"/>
    <w:multiLevelType w:val="multilevel"/>
    <w:tmpl w:val="54B40DD4"/>
    <w:lvl w:ilvl="0">
      <w:start w:val="1"/>
      <w:numFmt w:val="decimal"/>
      <w:pStyle w:val="a15"/>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9">
    <w:nsid w:val="665B09CB"/>
    <w:multiLevelType w:val="hybridMultilevel"/>
    <w:tmpl w:val="F98283A0"/>
    <w:lvl w:ilvl="0">
      <w:start w:val="1"/>
      <w:numFmt w:val="bullet"/>
      <w:pStyle w:val="52"/>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30">
    <w:nsid w:val="7C023892"/>
    <w:multiLevelType w:val="hybridMultilevel"/>
    <w:tmpl w:val="8C4CE6C4"/>
    <w:lvl w:ilvl="0">
      <w:start w:val="1"/>
      <w:numFmt w:val="bullet"/>
      <w:lvlText w:val=""/>
      <w:lvlJc w:val="left"/>
      <w:pPr>
        <w:ind w:left="417"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D365B29"/>
    <w:multiLevelType w:val="multilevel"/>
    <w:tmpl w:val="E3AA6D54"/>
    <w:lvl w:ilvl="0">
      <w:start w:val="1"/>
      <w:numFmt w:val="hebrew1"/>
      <w:pStyle w:val="7322"/>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2">
    <w:nsid w:val="7E431D00"/>
    <w:multiLevelType w:val="hybridMultilevel"/>
    <w:tmpl w:val="7576C230"/>
    <w:lvl w:ilvl="0">
      <w:start w:val="1"/>
      <w:numFmt w:val="decimal"/>
      <w:pStyle w:val="120"/>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25"/>
  </w:num>
  <w:num w:numId="2">
    <w:abstractNumId w:val="14"/>
  </w:num>
  <w:num w:numId="3">
    <w:abstractNumId w:val="20"/>
  </w:num>
  <w:num w:numId="4">
    <w:abstractNumId w:val="31"/>
  </w:num>
  <w:num w:numId="5">
    <w:abstractNumId w:val="9"/>
  </w:num>
  <w:num w:numId="6">
    <w:abstractNumId w:val="23"/>
  </w:num>
  <w:num w:numId="7">
    <w:abstractNumId w:val="28"/>
  </w:num>
  <w:num w:numId="8">
    <w:abstractNumId w:val="11"/>
  </w:num>
  <w:num w:numId="9">
    <w:abstractNumId w:val="27"/>
  </w:num>
  <w:num w:numId="10">
    <w:abstractNumId w:val="30"/>
  </w:num>
  <w:num w:numId="11">
    <w:abstractNumId w:val="8"/>
  </w:num>
  <w:num w:numId="12">
    <w:abstractNumId w:val="18"/>
  </w:num>
  <w:num w:numId="13">
    <w:abstractNumId w:val="32"/>
  </w:num>
  <w:num w:numId="14">
    <w:abstractNumId w:val="24"/>
  </w:num>
  <w:num w:numId="15">
    <w:abstractNumId w:val="21"/>
  </w:num>
  <w:num w:numId="16">
    <w:abstractNumId w:val="10"/>
  </w:num>
  <w:num w:numId="17">
    <w:abstractNumId w:val="22"/>
  </w:num>
  <w:num w:numId="18">
    <w:abstractNumId w:val="29"/>
  </w:num>
  <w:num w:numId="19">
    <w:abstractNumId w:val="19"/>
  </w:num>
  <w:num w:numId="20">
    <w:abstractNumId w:val="16"/>
  </w:num>
  <w:num w:numId="21">
    <w:abstractNumId w:val="15"/>
  </w:num>
  <w:num w:numId="22">
    <w:abstractNumId w:val="17"/>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13"/>
  </w:num>
  <w:num w:numId="32">
    <w:abstractNumId w:val="13"/>
  </w:num>
  <w:num w:numId="33">
    <w:abstractNumId w:val="12"/>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26"/>
  </w:num>
  <w:num w:numId="45">
    <w:abstractNumId w:val="13"/>
  </w:num>
  <w:num w:numId="46">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displayBackgroundShape/>
  <w:gutterAtTop/>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2F7"/>
    <w:rsid w:val="00015564"/>
    <w:rsid w:val="000155F0"/>
    <w:rsid w:val="000157CF"/>
    <w:rsid w:val="00015A22"/>
    <w:rsid w:val="00015D11"/>
    <w:rsid w:val="00016541"/>
    <w:rsid w:val="000166CA"/>
    <w:rsid w:val="000168DE"/>
    <w:rsid w:val="0001735B"/>
    <w:rsid w:val="00020441"/>
    <w:rsid w:val="000206F1"/>
    <w:rsid w:val="00021298"/>
    <w:rsid w:val="00021ED5"/>
    <w:rsid w:val="00021FFB"/>
    <w:rsid w:val="000224FF"/>
    <w:rsid w:val="00023E81"/>
    <w:rsid w:val="000246D2"/>
    <w:rsid w:val="00024BF9"/>
    <w:rsid w:val="00024E0C"/>
    <w:rsid w:val="000251E2"/>
    <w:rsid w:val="0002526A"/>
    <w:rsid w:val="0002582E"/>
    <w:rsid w:val="000259C7"/>
    <w:rsid w:val="00026245"/>
    <w:rsid w:val="00026367"/>
    <w:rsid w:val="000264D7"/>
    <w:rsid w:val="00026738"/>
    <w:rsid w:val="00026ACC"/>
    <w:rsid w:val="0002705C"/>
    <w:rsid w:val="00027522"/>
    <w:rsid w:val="000277E2"/>
    <w:rsid w:val="00027B6F"/>
    <w:rsid w:val="00027BF3"/>
    <w:rsid w:val="0003001D"/>
    <w:rsid w:val="00030058"/>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893"/>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5E"/>
    <w:rsid w:val="000651DF"/>
    <w:rsid w:val="00066AF6"/>
    <w:rsid w:val="00066F43"/>
    <w:rsid w:val="0006721D"/>
    <w:rsid w:val="000672AB"/>
    <w:rsid w:val="000675B0"/>
    <w:rsid w:val="00067A5D"/>
    <w:rsid w:val="00067A76"/>
    <w:rsid w:val="00067E32"/>
    <w:rsid w:val="00067F12"/>
    <w:rsid w:val="00070525"/>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9BB"/>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59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6E4E"/>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4C6"/>
    <w:rsid w:val="000C5E23"/>
    <w:rsid w:val="000C5F85"/>
    <w:rsid w:val="000C6AAF"/>
    <w:rsid w:val="000C7459"/>
    <w:rsid w:val="000D02DC"/>
    <w:rsid w:val="000D04B8"/>
    <w:rsid w:val="000D0837"/>
    <w:rsid w:val="000D11EB"/>
    <w:rsid w:val="000D1714"/>
    <w:rsid w:val="000D2056"/>
    <w:rsid w:val="000D215D"/>
    <w:rsid w:val="000D22F0"/>
    <w:rsid w:val="000D2A57"/>
    <w:rsid w:val="000D2B0A"/>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102"/>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4FA5"/>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DB4"/>
    <w:rsid w:val="000F2E36"/>
    <w:rsid w:val="000F2F7E"/>
    <w:rsid w:val="000F3700"/>
    <w:rsid w:val="000F441E"/>
    <w:rsid w:val="000F4578"/>
    <w:rsid w:val="000F4B6E"/>
    <w:rsid w:val="000F4C79"/>
    <w:rsid w:val="000F5023"/>
    <w:rsid w:val="000F53C2"/>
    <w:rsid w:val="000F59F3"/>
    <w:rsid w:val="000F5EDB"/>
    <w:rsid w:val="000F60AB"/>
    <w:rsid w:val="000F62A9"/>
    <w:rsid w:val="000F62EF"/>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3B7"/>
    <w:rsid w:val="00131CCD"/>
    <w:rsid w:val="00132126"/>
    <w:rsid w:val="001321A1"/>
    <w:rsid w:val="0013302E"/>
    <w:rsid w:val="0013406B"/>
    <w:rsid w:val="00134F83"/>
    <w:rsid w:val="001354CB"/>
    <w:rsid w:val="00135693"/>
    <w:rsid w:val="00135695"/>
    <w:rsid w:val="00135742"/>
    <w:rsid w:val="001357C3"/>
    <w:rsid w:val="00135A23"/>
    <w:rsid w:val="00135B1B"/>
    <w:rsid w:val="00136479"/>
    <w:rsid w:val="00136496"/>
    <w:rsid w:val="0013664A"/>
    <w:rsid w:val="0013667B"/>
    <w:rsid w:val="0013696C"/>
    <w:rsid w:val="00136A10"/>
    <w:rsid w:val="00136A3E"/>
    <w:rsid w:val="0013702C"/>
    <w:rsid w:val="001370CF"/>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1DD"/>
    <w:rsid w:val="00155501"/>
    <w:rsid w:val="001560B9"/>
    <w:rsid w:val="00156CAA"/>
    <w:rsid w:val="00156DEF"/>
    <w:rsid w:val="0015702B"/>
    <w:rsid w:val="00157577"/>
    <w:rsid w:val="00157D86"/>
    <w:rsid w:val="00160155"/>
    <w:rsid w:val="001602D0"/>
    <w:rsid w:val="0016031C"/>
    <w:rsid w:val="001605B5"/>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1F57"/>
    <w:rsid w:val="0017200D"/>
    <w:rsid w:val="0017265F"/>
    <w:rsid w:val="00172E36"/>
    <w:rsid w:val="001730B0"/>
    <w:rsid w:val="001739FC"/>
    <w:rsid w:val="00173FDD"/>
    <w:rsid w:val="001747CF"/>
    <w:rsid w:val="00174A21"/>
    <w:rsid w:val="00175053"/>
    <w:rsid w:val="0017513A"/>
    <w:rsid w:val="00175FE2"/>
    <w:rsid w:val="0017630F"/>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36D"/>
    <w:rsid w:val="0018586A"/>
    <w:rsid w:val="001858E5"/>
    <w:rsid w:val="00185AE7"/>
    <w:rsid w:val="00185B85"/>
    <w:rsid w:val="00185C35"/>
    <w:rsid w:val="00185DF7"/>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AF0"/>
    <w:rsid w:val="001B4B0A"/>
    <w:rsid w:val="001B4E87"/>
    <w:rsid w:val="001B4EA7"/>
    <w:rsid w:val="001B5656"/>
    <w:rsid w:val="001B5DFF"/>
    <w:rsid w:val="001B65B8"/>
    <w:rsid w:val="001B6F86"/>
    <w:rsid w:val="001B70CA"/>
    <w:rsid w:val="001B75F0"/>
    <w:rsid w:val="001C00D8"/>
    <w:rsid w:val="001C057E"/>
    <w:rsid w:val="001C1095"/>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1307"/>
    <w:rsid w:val="001D223A"/>
    <w:rsid w:val="001D2243"/>
    <w:rsid w:val="001D228F"/>
    <w:rsid w:val="001D2793"/>
    <w:rsid w:val="001D2F2A"/>
    <w:rsid w:val="001D3679"/>
    <w:rsid w:val="001D3CC2"/>
    <w:rsid w:val="001D4015"/>
    <w:rsid w:val="001D4406"/>
    <w:rsid w:val="001D461F"/>
    <w:rsid w:val="001D46D3"/>
    <w:rsid w:val="001D6714"/>
    <w:rsid w:val="001D6BF7"/>
    <w:rsid w:val="001D713E"/>
    <w:rsid w:val="001D77E6"/>
    <w:rsid w:val="001E0306"/>
    <w:rsid w:val="001E076C"/>
    <w:rsid w:val="001E09E8"/>
    <w:rsid w:val="001E0A7D"/>
    <w:rsid w:val="001E0D0D"/>
    <w:rsid w:val="001E0F6A"/>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6A87"/>
    <w:rsid w:val="001E773D"/>
    <w:rsid w:val="001F068F"/>
    <w:rsid w:val="001F0BBB"/>
    <w:rsid w:val="001F0DE8"/>
    <w:rsid w:val="001F2E3B"/>
    <w:rsid w:val="001F3363"/>
    <w:rsid w:val="001F3815"/>
    <w:rsid w:val="001F4057"/>
    <w:rsid w:val="001F407D"/>
    <w:rsid w:val="001F4183"/>
    <w:rsid w:val="001F4340"/>
    <w:rsid w:val="001F54B2"/>
    <w:rsid w:val="001F5566"/>
    <w:rsid w:val="001F5736"/>
    <w:rsid w:val="001F67DA"/>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07AC8"/>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CF1"/>
    <w:rsid w:val="00235D75"/>
    <w:rsid w:val="002366CE"/>
    <w:rsid w:val="00236D0B"/>
    <w:rsid w:val="00236F10"/>
    <w:rsid w:val="002375D3"/>
    <w:rsid w:val="00237F59"/>
    <w:rsid w:val="0024001A"/>
    <w:rsid w:val="00240887"/>
    <w:rsid w:val="00240A1C"/>
    <w:rsid w:val="00241142"/>
    <w:rsid w:val="00241958"/>
    <w:rsid w:val="002419F2"/>
    <w:rsid w:val="00242326"/>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57DE5"/>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67BE4"/>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BB4"/>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7B5"/>
    <w:rsid w:val="00293FC3"/>
    <w:rsid w:val="00294150"/>
    <w:rsid w:val="00294251"/>
    <w:rsid w:val="00294322"/>
    <w:rsid w:val="00294784"/>
    <w:rsid w:val="00294AB8"/>
    <w:rsid w:val="00294AF0"/>
    <w:rsid w:val="00296A9F"/>
    <w:rsid w:val="00296C97"/>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24D"/>
    <w:rsid w:val="002B55FA"/>
    <w:rsid w:val="002B5A1F"/>
    <w:rsid w:val="002B5C10"/>
    <w:rsid w:val="002B5C6F"/>
    <w:rsid w:val="002B5D65"/>
    <w:rsid w:val="002B5EF2"/>
    <w:rsid w:val="002B637F"/>
    <w:rsid w:val="002B65DC"/>
    <w:rsid w:val="002B6803"/>
    <w:rsid w:val="002B6BE3"/>
    <w:rsid w:val="002B6FB4"/>
    <w:rsid w:val="002B730D"/>
    <w:rsid w:val="002B7BE6"/>
    <w:rsid w:val="002B7EC3"/>
    <w:rsid w:val="002C06EB"/>
    <w:rsid w:val="002C169F"/>
    <w:rsid w:val="002C1BB5"/>
    <w:rsid w:val="002C1D86"/>
    <w:rsid w:val="002C1EE0"/>
    <w:rsid w:val="002C2340"/>
    <w:rsid w:val="002C247E"/>
    <w:rsid w:val="002C28D3"/>
    <w:rsid w:val="002C2B0E"/>
    <w:rsid w:val="002C316A"/>
    <w:rsid w:val="002C3B87"/>
    <w:rsid w:val="002C3D55"/>
    <w:rsid w:val="002C4139"/>
    <w:rsid w:val="002C4302"/>
    <w:rsid w:val="002C4F9F"/>
    <w:rsid w:val="002C54FF"/>
    <w:rsid w:val="002C58AD"/>
    <w:rsid w:val="002C65B3"/>
    <w:rsid w:val="002C6C74"/>
    <w:rsid w:val="002C6D22"/>
    <w:rsid w:val="002C70A2"/>
    <w:rsid w:val="002C7A5A"/>
    <w:rsid w:val="002C7D35"/>
    <w:rsid w:val="002C7FC3"/>
    <w:rsid w:val="002D083D"/>
    <w:rsid w:val="002D1688"/>
    <w:rsid w:val="002D2963"/>
    <w:rsid w:val="002D3201"/>
    <w:rsid w:val="002D32B9"/>
    <w:rsid w:val="002D38CB"/>
    <w:rsid w:val="002D3AC8"/>
    <w:rsid w:val="002D3EF1"/>
    <w:rsid w:val="002D4617"/>
    <w:rsid w:val="002D4A58"/>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1EAF"/>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A96"/>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AC1"/>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1BC"/>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0C4D"/>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703"/>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5AEF"/>
    <w:rsid w:val="00395BB1"/>
    <w:rsid w:val="00396082"/>
    <w:rsid w:val="00396AAF"/>
    <w:rsid w:val="00396D3F"/>
    <w:rsid w:val="00396EB2"/>
    <w:rsid w:val="00396F8D"/>
    <w:rsid w:val="003971AD"/>
    <w:rsid w:val="00397234"/>
    <w:rsid w:val="00397B41"/>
    <w:rsid w:val="00397C56"/>
    <w:rsid w:val="003A042B"/>
    <w:rsid w:val="003A065D"/>
    <w:rsid w:val="003A0852"/>
    <w:rsid w:val="003A08AE"/>
    <w:rsid w:val="003A1C2B"/>
    <w:rsid w:val="003A22C1"/>
    <w:rsid w:val="003A239E"/>
    <w:rsid w:val="003A24CA"/>
    <w:rsid w:val="003A26D2"/>
    <w:rsid w:val="003A3978"/>
    <w:rsid w:val="003A3D05"/>
    <w:rsid w:val="003A4236"/>
    <w:rsid w:val="003A47A9"/>
    <w:rsid w:val="003A5748"/>
    <w:rsid w:val="003A613A"/>
    <w:rsid w:val="003A66EF"/>
    <w:rsid w:val="003A689D"/>
    <w:rsid w:val="003A769E"/>
    <w:rsid w:val="003A780A"/>
    <w:rsid w:val="003A7F68"/>
    <w:rsid w:val="003B0B84"/>
    <w:rsid w:val="003B0BB0"/>
    <w:rsid w:val="003B0E50"/>
    <w:rsid w:val="003B1053"/>
    <w:rsid w:val="003B12C2"/>
    <w:rsid w:val="003B166B"/>
    <w:rsid w:val="003B1F61"/>
    <w:rsid w:val="003B23BE"/>
    <w:rsid w:val="003B30AD"/>
    <w:rsid w:val="003B4099"/>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1B3C"/>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09"/>
    <w:rsid w:val="003C7B2D"/>
    <w:rsid w:val="003D04DB"/>
    <w:rsid w:val="003D0F6A"/>
    <w:rsid w:val="003D0F91"/>
    <w:rsid w:val="003D130F"/>
    <w:rsid w:val="003D16F2"/>
    <w:rsid w:val="003D17DC"/>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4F02"/>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BF9"/>
    <w:rsid w:val="003E7E55"/>
    <w:rsid w:val="003F0032"/>
    <w:rsid w:val="003F06E0"/>
    <w:rsid w:val="003F0A00"/>
    <w:rsid w:val="003F0C61"/>
    <w:rsid w:val="003F0C8F"/>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010"/>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182"/>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6FBF"/>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3B4"/>
    <w:rsid w:val="00430AA9"/>
    <w:rsid w:val="00431AA5"/>
    <w:rsid w:val="00431C39"/>
    <w:rsid w:val="00432941"/>
    <w:rsid w:val="00432A56"/>
    <w:rsid w:val="00433729"/>
    <w:rsid w:val="00433D69"/>
    <w:rsid w:val="00433DC5"/>
    <w:rsid w:val="00434C19"/>
    <w:rsid w:val="00435183"/>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40"/>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113"/>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790"/>
    <w:rsid w:val="00457ADE"/>
    <w:rsid w:val="00460179"/>
    <w:rsid w:val="00460407"/>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ACD"/>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7E7"/>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2DEB"/>
    <w:rsid w:val="004830BE"/>
    <w:rsid w:val="004833CE"/>
    <w:rsid w:val="0048349C"/>
    <w:rsid w:val="00483526"/>
    <w:rsid w:val="004836A0"/>
    <w:rsid w:val="00483BD1"/>
    <w:rsid w:val="00483D0D"/>
    <w:rsid w:val="004845B2"/>
    <w:rsid w:val="00485309"/>
    <w:rsid w:val="00485787"/>
    <w:rsid w:val="00486172"/>
    <w:rsid w:val="004865D8"/>
    <w:rsid w:val="0048673E"/>
    <w:rsid w:val="00486D58"/>
    <w:rsid w:val="00487083"/>
    <w:rsid w:val="00487169"/>
    <w:rsid w:val="004875EB"/>
    <w:rsid w:val="004878FE"/>
    <w:rsid w:val="0049015A"/>
    <w:rsid w:val="004902C9"/>
    <w:rsid w:val="00490D8B"/>
    <w:rsid w:val="00490E40"/>
    <w:rsid w:val="00491199"/>
    <w:rsid w:val="00491607"/>
    <w:rsid w:val="004917DE"/>
    <w:rsid w:val="004919A3"/>
    <w:rsid w:val="00491D1E"/>
    <w:rsid w:val="00492A59"/>
    <w:rsid w:val="00492B5D"/>
    <w:rsid w:val="00492D47"/>
    <w:rsid w:val="004930AA"/>
    <w:rsid w:val="004939B6"/>
    <w:rsid w:val="00493AE1"/>
    <w:rsid w:val="00493CBE"/>
    <w:rsid w:val="004945A4"/>
    <w:rsid w:val="00494C49"/>
    <w:rsid w:val="00495214"/>
    <w:rsid w:val="00495276"/>
    <w:rsid w:val="0049546D"/>
    <w:rsid w:val="0049556D"/>
    <w:rsid w:val="004955D7"/>
    <w:rsid w:val="0049574B"/>
    <w:rsid w:val="00495B2E"/>
    <w:rsid w:val="004964BE"/>
    <w:rsid w:val="004964E5"/>
    <w:rsid w:val="004965B9"/>
    <w:rsid w:val="00496644"/>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190"/>
    <w:rsid w:val="004A7203"/>
    <w:rsid w:val="004A7751"/>
    <w:rsid w:val="004A77C4"/>
    <w:rsid w:val="004A7ABE"/>
    <w:rsid w:val="004B0303"/>
    <w:rsid w:val="004B039B"/>
    <w:rsid w:val="004B09A3"/>
    <w:rsid w:val="004B117A"/>
    <w:rsid w:val="004B1737"/>
    <w:rsid w:val="004B18AE"/>
    <w:rsid w:val="004B21B0"/>
    <w:rsid w:val="004B2564"/>
    <w:rsid w:val="004B2D77"/>
    <w:rsid w:val="004B2F85"/>
    <w:rsid w:val="004B3850"/>
    <w:rsid w:val="004B3910"/>
    <w:rsid w:val="004B3A7A"/>
    <w:rsid w:val="004B42DF"/>
    <w:rsid w:val="004B4502"/>
    <w:rsid w:val="004B4756"/>
    <w:rsid w:val="004B5F52"/>
    <w:rsid w:val="004B5F7A"/>
    <w:rsid w:val="004B6164"/>
    <w:rsid w:val="004B63AE"/>
    <w:rsid w:val="004B7C1A"/>
    <w:rsid w:val="004C056A"/>
    <w:rsid w:val="004C0FFF"/>
    <w:rsid w:val="004C1260"/>
    <w:rsid w:val="004C1653"/>
    <w:rsid w:val="004C1BDC"/>
    <w:rsid w:val="004C209B"/>
    <w:rsid w:val="004C2149"/>
    <w:rsid w:val="004C2531"/>
    <w:rsid w:val="004C2B02"/>
    <w:rsid w:val="004C2E2E"/>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3FB"/>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379D"/>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195"/>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09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D4F"/>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58E"/>
    <w:rsid w:val="0057065F"/>
    <w:rsid w:val="005715C9"/>
    <w:rsid w:val="00571D67"/>
    <w:rsid w:val="00572E2F"/>
    <w:rsid w:val="00572E40"/>
    <w:rsid w:val="0057319D"/>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2DA9"/>
    <w:rsid w:val="00583471"/>
    <w:rsid w:val="00583B95"/>
    <w:rsid w:val="005850FD"/>
    <w:rsid w:val="0058515C"/>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22"/>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2EF"/>
    <w:rsid w:val="005B4811"/>
    <w:rsid w:val="005B4C75"/>
    <w:rsid w:val="005B529D"/>
    <w:rsid w:val="005B52D1"/>
    <w:rsid w:val="005B53E0"/>
    <w:rsid w:val="005B554D"/>
    <w:rsid w:val="005B5853"/>
    <w:rsid w:val="005B5E6C"/>
    <w:rsid w:val="005B63E4"/>
    <w:rsid w:val="005B69CA"/>
    <w:rsid w:val="005B6AB5"/>
    <w:rsid w:val="005B6CCC"/>
    <w:rsid w:val="005B71CE"/>
    <w:rsid w:val="005B74F3"/>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1558"/>
    <w:rsid w:val="005E1A77"/>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098"/>
    <w:rsid w:val="005F14B1"/>
    <w:rsid w:val="005F16C0"/>
    <w:rsid w:val="005F1D95"/>
    <w:rsid w:val="005F1FA4"/>
    <w:rsid w:val="005F2129"/>
    <w:rsid w:val="005F22F1"/>
    <w:rsid w:val="005F27EF"/>
    <w:rsid w:val="005F2BA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0C5"/>
    <w:rsid w:val="005F7321"/>
    <w:rsid w:val="005F7CC7"/>
    <w:rsid w:val="00600F74"/>
    <w:rsid w:val="00601269"/>
    <w:rsid w:val="00601459"/>
    <w:rsid w:val="00601C2F"/>
    <w:rsid w:val="00602BBC"/>
    <w:rsid w:val="00603003"/>
    <w:rsid w:val="00603ABE"/>
    <w:rsid w:val="00603B97"/>
    <w:rsid w:val="00603D36"/>
    <w:rsid w:val="00603F19"/>
    <w:rsid w:val="0060433E"/>
    <w:rsid w:val="00604D69"/>
    <w:rsid w:val="006052E4"/>
    <w:rsid w:val="00605442"/>
    <w:rsid w:val="0060549B"/>
    <w:rsid w:val="00605538"/>
    <w:rsid w:val="00605776"/>
    <w:rsid w:val="006059E7"/>
    <w:rsid w:val="006061DB"/>
    <w:rsid w:val="006061F3"/>
    <w:rsid w:val="0060683C"/>
    <w:rsid w:val="00607532"/>
    <w:rsid w:val="00607C9B"/>
    <w:rsid w:val="006104FE"/>
    <w:rsid w:val="00610930"/>
    <w:rsid w:val="00610B37"/>
    <w:rsid w:val="00611216"/>
    <w:rsid w:val="006112E4"/>
    <w:rsid w:val="0061223F"/>
    <w:rsid w:val="006125B0"/>
    <w:rsid w:val="00612C20"/>
    <w:rsid w:val="00612DA5"/>
    <w:rsid w:val="00612E61"/>
    <w:rsid w:val="00612FC6"/>
    <w:rsid w:val="00613D28"/>
    <w:rsid w:val="0061404F"/>
    <w:rsid w:val="0061424C"/>
    <w:rsid w:val="00614C2C"/>
    <w:rsid w:val="00614E96"/>
    <w:rsid w:val="00614EA9"/>
    <w:rsid w:val="00615072"/>
    <w:rsid w:val="00615EA0"/>
    <w:rsid w:val="00615F30"/>
    <w:rsid w:val="00616E27"/>
    <w:rsid w:val="00617088"/>
    <w:rsid w:val="00617396"/>
    <w:rsid w:val="00617831"/>
    <w:rsid w:val="0061794C"/>
    <w:rsid w:val="0062007E"/>
    <w:rsid w:val="00620205"/>
    <w:rsid w:val="006202CC"/>
    <w:rsid w:val="0062030A"/>
    <w:rsid w:val="00620470"/>
    <w:rsid w:val="00620736"/>
    <w:rsid w:val="006212E4"/>
    <w:rsid w:val="00621EF4"/>
    <w:rsid w:val="00622128"/>
    <w:rsid w:val="006229D3"/>
    <w:rsid w:val="006230E9"/>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099"/>
    <w:rsid w:val="006541A6"/>
    <w:rsid w:val="00654347"/>
    <w:rsid w:val="00654926"/>
    <w:rsid w:val="00654BA4"/>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123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AB7"/>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D79"/>
    <w:rsid w:val="006B1ED5"/>
    <w:rsid w:val="006B20E7"/>
    <w:rsid w:val="006B2A03"/>
    <w:rsid w:val="006B2ABD"/>
    <w:rsid w:val="006B2E94"/>
    <w:rsid w:val="006B307B"/>
    <w:rsid w:val="006B3858"/>
    <w:rsid w:val="006B424E"/>
    <w:rsid w:val="006B42BA"/>
    <w:rsid w:val="006B4FA7"/>
    <w:rsid w:val="006B5363"/>
    <w:rsid w:val="006B56D9"/>
    <w:rsid w:val="006B59BE"/>
    <w:rsid w:val="006B61DB"/>
    <w:rsid w:val="006B657B"/>
    <w:rsid w:val="006B709C"/>
    <w:rsid w:val="006B7AF5"/>
    <w:rsid w:val="006C01B3"/>
    <w:rsid w:val="006C0671"/>
    <w:rsid w:val="006C07A7"/>
    <w:rsid w:val="006C0F3D"/>
    <w:rsid w:val="006C0FB3"/>
    <w:rsid w:val="006C150F"/>
    <w:rsid w:val="006C1538"/>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31F"/>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6F7D57"/>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07989"/>
    <w:rsid w:val="00710AF8"/>
    <w:rsid w:val="00710BF9"/>
    <w:rsid w:val="00710F65"/>
    <w:rsid w:val="0071142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19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4C5"/>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64F"/>
    <w:rsid w:val="007657FC"/>
    <w:rsid w:val="00765971"/>
    <w:rsid w:val="0076677C"/>
    <w:rsid w:val="00766829"/>
    <w:rsid w:val="00766A81"/>
    <w:rsid w:val="00766AEC"/>
    <w:rsid w:val="0076737F"/>
    <w:rsid w:val="00767502"/>
    <w:rsid w:val="007678E6"/>
    <w:rsid w:val="00767B25"/>
    <w:rsid w:val="007702E5"/>
    <w:rsid w:val="00770AC7"/>
    <w:rsid w:val="0077118C"/>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5F19"/>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01E"/>
    <w:rsid w:val="0079764A"/>
    <w:rsid w:val="00797A48"/>
    <w:rsid w:val="00797D0E"/>
    <w:rsid w:val="00797D14"/>
    <w:rsid w:val="00797DAD"/>
    <w:rsid w:val="007A0926"/>
    <w:rsid w:val="007A09E2"/>
    <w:rsid w:val="007A1E36"/>
    <w:rsid w:val="007A2FCF"/>
    <w:rsid w:val="007A3128"/>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08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6F"/>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5C1"/>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2D38"/>
    <w:rsid w:val="007F34DE"/>
    <w:rsid w:val="007F34EB"/>
    <w:rsid w:val="007F3B20"/>
    <w:rsid w:val="007F3B2C"/>
    <w:rsid w:val="007F3C16"/>
    <w:rsid w:val="007F4051"/>
    <w:rsid w:val="007F42D5"/>
    <w:rsid w:val="007F48AD"/>
    <w:rsid w:val="007F4A1B"/>
    <w:rsid w:val="007F4A1C"/>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B3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929"/>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C20"/>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09"/>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4F5"/>
    <w:rsid w:val="008547B9"/>
    <w:rsid w:val="00854DDF"/>
    <w:rsid w:val="00855D0F"/>
    <w:rsid w:val="008565BC"/>
    <w:rsid w:val="00856648"/>
    <w:rsid w:val="00856A67"/>
    <w:rsid w:val="00856B26"/>
    <w:rsid w:val="00856B71"/>
    <w:rsid w:val="00856C36"/>
    <w:rsid w:val="00856C93"/>
    <w:rsid w:val="008573F9"/>
    <w:rsid w:val="00857D59"/>
    <w:rsid w:val="00861572"/>
    <w:rsid w:val="00861731"/>
    <w:rsid w:val="0086190F"/>
    <w:rsid w:val="00861974"/>
    <w:rsid w:val="00861EB1"/>
    <w:rsid w:val="0086219D"/>
    <w:rsid w:val="00862402"/>
    <w:rsid w:val="00862660"/>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0B4"/>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2FA"/>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D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1BDA"/>
    <w:rsid w:val="008E20F1"/>
    <w:rsid w:val="008E2F17"/>
    <w:rsid w:val="008E3175"/>
    <w:rsid w:val="008E32CE"/>
    <w:rsid w:val="008E3CC4"/>
    <w:rsid w:val="008E3DDC"/>
    <w:rsid w:val="008E417F"/>
    <w:rsid w:val="008E4F24"/>
    <w:rsid w:val="008E52B9"/>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3E44"/>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C68"/>
    <w:rsid w:val="008F7DE6"/>
    <w:rsid w:val="00900FAB"/>
    <w:rsid w:val="009014C8"/>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3C83"/>
    <w:rsid w:val="009143C1"/>
    <w:rsid w:val="009147BA"/>
    <w:rsid w:val="00914E96"/>
    <w:rsid w:val="00914ED5"/>
    <w:rsid w:val="009155E5"/>
    <w:rsid w:val="0091566D"/>
    <w:rsid w:val="009160AC"/>
    <w:rsid w:val="00916484"/>
    <w:rsid w:val="0091656F"/>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4425"/>
    <w:rsid w:val="009252F5"/>
    <w:rsid w:val="009261BF"/>
    <w:rsid w:val="009266A4"/>
    <w:rsid w:val="00926AD5"/>
    <w:rsid w:val="00926EC9"/>
    <w:rsid w:val="009272C6"/>
    <w:rsid w:val="009279B7"/>
    <w:rsid w:val="0093051C"/>
    <w:rsid w:val="0093056D"/>
    <w:rsid w:val="00930866"/>
    <w:rsid w:val="0093107E"/>
    <w:rsid w:val="009313EE"/>
    <w:rsid w:val="00931A9D"/>
    <w:rsid w:val="00931E55"/>
    <w:rsid w:val="009328F8"/>
    <w:rsid w:val="00932F82"/>
    <w:rsid w:val="009336A3"/>
    <w:rsid w:val="00933910"/>
    <w:rsid w:val="00933A3E"/>
    <w:rsid w:val="009348FC"/>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14C"/>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EF0"/>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3C3"/>
    <w:rsid w:val="0095242E"/>
    <w:rsid w:val="009532F6"/>
    <w:rsid w:val="009538A9"/>
    <w:rsid w:val="00953A7B"/>
    <w:rsid w:val="00953B97"/>
    <w:rsid w:val="00954408"/>
    <w:rsid w:val="00954D0E"/>
    <w:rsid w:val="00954FE1"/>
    <w:rsid w:val="0095542B"/>
    <w:rsid w:val="009556AE"/>
    <w:rsid w:val="00955DD9"/>
    <w:rsid w:val="009565BD"/>
    <w:rsid w:val="00956939"/>
    <w:rsid w:val="00956AAC"/>
    <w:rsid w:val="00956AB0"/>
    <w:rsid w:val="00956B15"/>
    <w:rsid w:val="00956BC0"/>
    <w:rsid w:val="009578F0"/>
    <w:rsid w:val="00961878"/>
    <w:rsid w:val="00961B62"/>
    <w:rsid w:val="00961EF6"/>
    <w:rsid w:val="009620E7"/>
    <w:rsid w:val="00962780"/>
    <w:rsid w:val="00962B87"/>
    <w:rsid w:val="00962E13"/>
    <w:rsid w:val="00962FF1"/>
    <w:rsid w:val="009630CE"/>
    <w:rsid w:val="00963209"/>
    <w:rsid w:val="00964074"/>
    <w:rsid w:val="009641AD"/>
    <w:rsid w:val="009641EB"/>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5F0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170"/>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E0C"/>
    <w:rsid w:val="00991F23"/>
    <w:rsid w:val="00992605"/>
    <w:rsid w:val="00992CD6"/>
    <w:rsid w:val="0099339C"/>
    <w:rsid w:val="00993599"/>
    <w:rsid w:val="00994CCA"/>
    <w:rsid w:val="00996FFF"/>
    <w:rsid w:val="009974A8"/>
    <w:rsid w:val="009975C9"/>
    <w:rsid w:val="009A0A09"/>
    <w:rsid w:val="009A0A9F"/>
    <w:rsid w:val="009A1489"/>
    <w:rsid w:val="009A14E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058"/>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337"/>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4C6"/>
    <w:rsid w:val="009F0A3A"/>
    <w:rsid w:val="009F0BD3"/>
    <w:rsid w:val="009F1A72"/>
    <w:rsid w:val="009F1A79"/>
    <w:rsid w:val="009F1F49"/>
    <w:rsid w:val="009F254C"/>
    <w:rsid w:val="009F2CB1"/>
    <w:rsid w:val="009F3218"/>
    <w:rsid w:val="009F354F"/>
    <w:rsid w:val="009F394C"/>
    <w:rsid w:val="009F3A44"/>
    <w:rsid w:val="009F4F1D"/>
    <w:rsid w:val="009F4F93"/>
    <w:rsid w:val="009F556C"/>
    <w:rsid w:val="009F63EE"/>
    <w:rsid w:val="009F711E"/>
    <w:rsid w:val="009F7F2B"/>
    <w:rsid w:val="00A0001D"/>
    <w:rsid w:val="00A01037"/>
    <w:rsid w:val="00A0119C"/>
    <w:rsid w:val="00A017D4"/>
    <w:rsid w:val="00A01C9C"/>
    <w:rsid w:val="00A01E3D"/>
    <w:rsid w:val="00A01F05"/>
    <w:rsid w:val="00A0267D"/>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601"/>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1A4"/>
    <w:rsid w:val="00A5498C"/>
    <w:rsid w:val="00A549E2"/>
    <w:rsid w:val="00A54FE4"/>
    <w:rsid w:val="00A5541A"/>
    <w:rsid w:val="00A56092"/>
    <w:rsid w:val="00A567CB"/>
    <w:rsid w:val="00A57263"/>
    <w:rsid w:val="00A57B23"/>
    <w:rsid w:val="00A57DEC"/>
    <w:rsid w:val="00A6094A"/>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964"/>
    <w:rsid w:val="00A93F51"/>
    <w:rsid w:val="00A940CD"/>
    <w:rsid w:val="00A94153"/>
    <w:rsid w:val="00A94747"/>
    <w:rsid w:val="00A947D6"/>
    <w:rsid w:val="00A955C0"/>
    <w:rsid w:val="00A95C9D"/>
    <w:rsid w:val="00A96010"/>
    <w:rsid w:val="00A9684D"/>
    <w:rsid w:val="00A97402"/>
    <w:rsid w:val="00A97873"/>
    <w:rsid w:val="00A979F1"/>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233"/>
    <w:rsid w:val="00AB4DCD"/>
    <w:rsid w:val="00AB4F87"/>
    <w:rsid w:val="00AB5377"/>
    <w:rsid w:val="00AB5B77"/>
    <w:rsid w:val="00AB763D"/>
    <w:rsid w:val="00AB7891"/>
    <w:rsid w:val="00AB7B94"/>
    <w:rsid w:val="00AB7D08"/>
    <w:rsid w:val="00AB7F83"/>
    <w:rsid w:val="00AC0639"/>
    <w:rsid w:val="00AC0B81"/>
    <w:rsid w:val="00AC1D7C"/>
    <w:rsid w:val="00AC2090"/>
    <w:rsid w:val="00AC2300"/>
    <w:rsid w:val="00AC328A"/>
    <w:rsid w:val="00AC3451"/>
    <w:rsid w:val="00AC3506"/>
    <w:rsid w:val="00AC37C7"/>
    <w:rsid w:val="00AC387E"/>
    <w:rsid w:val="00AC3937"/>
    <w:rsid w:val="00AC4346"/>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0C7C"/>
    <w:rsid w:val="00AD1000"/>
    <w:rsid w:val="00AD277E"/>
    <w:rsid w:val="00AD343E"/>
    <w:rsid w:val="00AD39FB"/>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E7F44"/>
    <w:rsid w:val="00AF0329"/>
    <w:rsid w:val="00AF0774"/>
    <w:rsid w:val="00AF11B5"/>
    <w:rsid w:val="00AF1C76"/>
    <w:rsid w:val="00AF1F48"/>
    <w:rsid w:val="00AF2007"/>
    <w:rsid w:val="00AF23AD"/>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7D8"/>
    <w:rsid w:val="00B14BEA"/>
    <w:rsid w:val="00B15F1F"/>
    <w:rsid w:val="00B167CE"/>
    <w:rsid w:val="00B16B62"/>
    <w:rsid w:val="00B16DD7"/>
    <w:rsid w:val="00B17902"/>
    <w:rsid w:val="00B17A2E"/>
    <w:rsid w:val="00B17C66"/>
    <w:rsid w:val="00B20292"/>
    <w:rsid w:val="00B206B1"/>
    <w:rsid w:val="00B22004"/>
    <w:rsid w:val="00B227D8"/>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25B"/>
    <w:rsid w:val="00B32403"/>
    <w:rsid w:val="00B32623"/>
    <w:rsid w:val="00B32BC9"/>
    <w:rsid w:val="00B331DC"/>
    <w:rsid w:val="00B33BCF"/>
    <w:rsid w:val="00B3520E"/>
    <w:rsid w:val="00B35546"/>
    <w:rsid w:val="00B3556A"/>
    <w:rsid w:val="00B35594"/>
    <w:rsid w:val="00B3580D"/>
    <w:rsid w:val="00B359BE"/>
    <w:rsid w:val="00B366E5"/>
    <w:rsid w:val="00B36879"/>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0E"/>
    <w:rsid w:val="00B55E82"/>
    <w:rsid w:val="00B55ED0"/>
    <w:rsid w:val="00B56334"/>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606"/>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B4B"/>
    <w:rsid w:val="00BA7CCE"/>
    <w:rsid w:val="00BB02BA"/>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217"/>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6DAD"/>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DBB"/>
    <w:rsid w:val="00BF7F37"/>
    <w:rsid w:val="00C000A0"/>
    <w:rsid w:val="00C00585"/>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1566"/>
    <w:rsid w:val="00C226C2"/>
    <w:rsid w:val="00C2297F"/>
    <w:rsid w:val="00C22CC3"/>
    <w:rsid w:val="00C2305A"/>
    <w:rsid w:val="00C23CC9"/>
    <w:rsid w:val="00C24114"/>
    <w:rsid w:val="00C2429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237"/>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37E54"/>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7D2"/>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7DC"/>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6377"/>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4CB"/>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22D"/>
    <w:rsid w:val="00CA7A61"/>
    <w:rsid w:val="00CA7BF2"/>
    <w:rsid w:val="00CB0A21"/>
    <w:rsid w:val="00CB0C16"/>
    <w:rsid w:val="00CB1327"/>
    <w:rsid w:val="00CB144F"/>
    <w:rsid w:val="00CB149F"/>
    <w:rsid w:val="00CB1EAE"/>
    <w:rsid w:val="00CB1F5B"/>
    <w:rsid w:val="00CB2107"/>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1F1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418"/>
    <w:rsid w:val="00CE6526"/>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ABC"/>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2BF6"/>
    <w:rsid w:val="00D330D8"/>
    <w:rsid w:val="00D33197"/>
    <w:rsid w:val="00D331C9"/>
    <w:rsid w:val="00D33567"/>
    <w:rsid w:val="00D33EEE"/>
    <w:rsid w:val="00D341A7"/>
    <w:rsid w:val="00D34B4B"/>
    <w:rsid w:val="00D34D16"/>
    <w:rsid w:val="00D35236"/>
    <w:rsid w:val="00D352F1"/>
    <w:rsid w:val="00D35305"/>
    <w:rsid w:val="00D3579C"/>
    <w:rsid w:val="00D36AC1"/>
    <w:rsid w:val="00D37121"/>
    <w:rsid w:val="00D37282"/>
    <w:rsid w:val="00D3746F"/>
    <w:rsid w:val="00D376AA"/>
    <w:rsid w:val="00D40043"/>
    <w:rsid w:val="00D40A47"/>
    <w:rsid w:val="00D41051"/>
    <w:rsid w:val="00D410F8"/>
    <w:rsid w:val="00D417AE"/>
    <w:rsid w:val="00D419F5"/>
    <w:rsid w:val="00D41B6F"/>
    <w:rsid w:val="00D41D33"/>
    <w:rsid w:val="00D43167"/>
    <w:rsid w:val="00D446AE"/>
    <w:rsid w:val="00D457ED"/>
    <w:rsid w:val="00D468B0"/>
    <w:rsid w:val="00D46A9C"/>
    <w:rsid w:val="00D46AEF"/>
    <w:rsid w:val="00D46D32"/>
    <w:rsid w:val="00D46EB7"/>
    <w:rsid w:val="00D46FA2"/>
    <w:rsid w:val="00D476EB"/>
    <w:rsid w:val="00D478AA"/>
    <w:rsid w:val="00D47F55"/>
    <w:rsid w:val="00D5010C"/>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0EB5"/>
    <w:rsid w:val="00D81F77"/>
    <w:rsid w:val="00D82F54"/>
    <w:rsid w:val="00D83026"/>
    <w:rsid w:val="00D83045"/>
    <w:rsid w:val="00D8314F"/>
    <w:rsid w:val="00D83354"/>
    <w:rsid w:val="00D83B9A"/>
    <w:rsid w:val="00D844D3"/>
    <w:rsid w:val="00D84642"/>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5B2"/>
    <w:rsid w:val="00D9696E"/>
    <w:rsid w:val="00D96BFE"/>
    <w:rsid w:val="00D96F7E"/>
    <w:rsid w:val="00D9778A"/>
    <w:rsid w:val="00D97B59"/>
    <w:rsid w:val="00D97C16"/>
    <w:rsid w:val="00D97D49"/>
    <w:rsid w:val="00D97DD7"/>
    <w:rsid w:val="00DA022A"/>
    <w:rsid w:val="00DA025F"/>
    <w:rsid w:val="00DA04E9"/>
    <w:rsid w:val="00DA0755"/>
    <w:rsid w:val="00DA07A7"/>
    <w:rsid w:val="00DA08A5"/>
    <w:rsid w:val="00DA1D77"/>
    <w:rsid w:val="00DA23AB"/>
    <w:rsid w:val="00DA2B4B"/>
    <w:rsid w:val="00DA3F04"/>
    <w:rsid w:val="00DA4512"/>
    <w:rsid w:val="00DA48C9"/>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0C6"/>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BEE"/>
    <w:rsid w:val="00DC5ED6"/>
    <w:rsid w:val="00DC5F7A"/>
    <w:rsid w:val="00DC6513"/>
    <w:rsid w:val="00DC693E"/>
    <w:rsid w:val="00DC723A"/>
    <w:rsid w:val="00DC7C31"/>
    <w:rsid w:val="00DD0C3F"/>
    <w:rsid w:val="00DD1AA9"/>
    <w:rsid w:val="00DD1CDA"/>
    <w:rsid w:val="00DD1F41"/>
    <w:rsid w:val="00DD26CC"/>
    <w:rsid w:val="00DD3543"/>
    <w:rsid w:val="00DD3766"/>
    <w:rsid w:val="00DD380F"/>
    <w:rsid w:val="00DD4656"/>
    <w:rsid w:val="00DD488C"/>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0EB"/>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9F5"/>
    <w:rsid w:val="00E03F4C"/>
    <w:rsid w:val="00E03F4E"/>
    <w:rsid w:val="00E0439C"/>
    <w:rsid w:val="00E049A5"/>
    <w:rsid w:val="00E051FB"/>
    <w:rsid w:val="00E056B0"/>
    <w:rsid w:val="00E05984"/>
    <w:rsid w:val="00E05C27"/>
    <w:rsid w:val="00E05C4F"/>
    <w:rsid w:val="00E063DE"/>
    <w:rsid w:val="00E066B5"/>
    <w:rsid w:val="00E0671B"/>
    <w:rsid w:val="00E06E82"/>
    <w:rsid w:val="00E07453"/>
    <w:rsid w:val="00E07737"/>
    <w:rsid w:val="00E07DB1"/>
    <w:rsid w:val="00E07E7B"/>
    <w:rsid w:val="00E07F6A"/>
    <w:rsid w:val="00E10117"/>
    <w:rsid w:val="00E1064A"/>
    <w:rsid w:val="00E1077C"/>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15C"/>
    <w:rsid w:val="00E14ACF"/>
    <w:rsid w:val="00E14BAD"/>
    <w:rsid w:val="00E14D14"/>
    <w:rsid w:val="00E159EC"/>
    <w:rsid w:val="00E15AC4"/>
    <w:rsid w:val="00E15C68"/>
    <w:rsid w:val="00E16A5E"/>
    <w:rsid w:val="00E16E4C"/>
    <w:rsid w:val="00E173EF"/>
    <w:rsid w:val="00E177CD"/>
    <w:rsid w:val="00E20A78"/>
    <w:rsid w:val="00E20B50"/>
    <w:rsid w:val="00E20B5E"/>
    <w:rsid w:val="00E20F69"/>
    <w:rsid w:val="00E20FC3"/>
    <w:rsid w:val="00E21906"/>
    <w:rsid w:val="00E221AF"/>
    <w:rsid w:val="00E224BF"/>
    <w:rsid w:val="00E22732"/>
    <w:rsid w:val="00E22B39"/>
    <w:rsid w:val="00E22F22"/>
    <w:rsid w:val="00E2398E"/>
    <w:rsid w:val="00E23A5C"/>
    <w:rsid w:val="00E2406F"/>
    <w:rsid w:val="00E24570"/>
    <w:rsid w:val="00E2459F"/>
    <w:rsid w:val="00E24B98"/>
    <w:rsid w:val="00E2527D"/>
    <w:rsid w:val="00E262A9"/>
    <w:rsid w:val="00E2688C"/>
    <w:rsid w:val="00E2693C"/>
    <w:rsid w:val="00E26F87"/>
    <w:rsid w:val="00E2710F"/>
    <w:rsid w:val="00E274BB"/>
    <w:rsid w:val="00E3047D"/>
    <w:rsid w:val="00E3066D"/>
    <w:rsid w:val="00E30AF9"/>
    <w:rsid w:val="00E3182B"/>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077"/>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0A"/>
    <w:rsid w:val="00E444BC"/>
    <w:rsid w:val="00E450AD"/>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245"/>
    <w:rsid w:val="00E54C11"/>
    <w:rsid w:val="00E55DB0"/>
    <w:rsid w:val="00E56721"/>
    <w:rsid w:val="00E5703B"/>
    <w:rsid w:val="00E577EC"/>
    <w:rsid w:val="00E57C4D"/>
    <w:rsid w:val="00E602BD"/>
    <w:rsid w:val="00E61A8D"/>
    <w:rsid w:val="00E62337"/>
    <w:rsid w:val="00E62809"/>
    <w:rsid w:val="00E62FAF"/>
    <w:rsid w:val="00E63321"/>
    <w:rsid w:val="00E634AD"/>
    <w:rsid w:val="00E635BD"/>
    <w:rsid w:val="00E63675"/>
    <w:rsid w:val="00E638A7"/>
    <w:rsid w:val="00E63FAC"/>
    <w:rsid w:val="00E64141"/>
    <w:rsid w:val="00E645AB"/>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D84"/>
    <w:rsid w:val="00E72E0E"/>
    <w:rsid w:val="00E72FE7"/>
    <w:rsid w:val="00E73D0E"/>
    <w:rsid w:val="00E74A39"/>
    <w:rsid w:val="00E75609"/>
    <w:rsid w:val="00E75790"/>
    <w:rsid w:val="00E75BCD"/>
    <w:rsid w:val="00E76031"/>
    <w:rsid w:val="00E76714"/>
    <w:rsid w:val="00E80437"/>
    <w:rsid w:val="00E81031"/>
    <w:rsid w:val="00E81525"/>
    <w:rsid w:val="00E817FE"/>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070"/>
    <w:rsid w:val="00E942AE"/>
    <w:rsid w:val="00E949C6"/>
    <w:rsid w:val="00E94CDE"/>
    <w:rsid w:val="00E96274"/>
    <w:rsid w:val="00E9641D"/>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2DD"/>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171D"/>
    <w:rsid w:val="00EE210F"/>
    <w:rsid w:val="00EE298D"/>
    <w:rsid w:val="00EE2B5D"/>
    <w:rsid w:val="00EE2BB3"/>
    <w:rsid w:val="00EE2EAC"/>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098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77C"/>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4FBA"/>
    <w:rsid w:val="00F15ED6"/>
    <w:rsid w:val="00F15F5B"/>
    <w:rsid w:val="00F16210"/>
    <w:rsid w:val="00F164D5"/>
    <w:rsid w:val="00F16A67"/>
    <w:rsid w:val="00F1792F"/>
    <w:rsid w:val="00F17A56"/>
    <w:rsid w:val="00F20151"/>
    <w:rsid w:val="00F20474"/>
    <w:rsid w:val="00F209A2"/>
    <w:rsid w:val="00F20E9E"/>
    <w:rsid w:val="00F21AB6"/>
    <w:rsid w:val="00F22340"/>
    <w:rsid w:val="00F223D4"/>
    <w:rsid w:val="00F223D5"/>
    <w:rsid w:val="00F2283A"/>
    <w:rsid w:val="00F22A84"/>
    <w:rsid w:val="00F22A8F"/>
    <w:rsid w:val="00F22CA7"/>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37DA3"/>
    <w:rsid w:val="00F40730"/>
    <w:rsid w:val="00F40A31"/>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C7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1EDE"/>
    <w:rsid w:val="00F8260F"/>
    <w:rsid w:val="00F8301D"/>
    <w:rsid w:val="00F831F9"/>
    <w:rsid w:val="00F83228"/>
    <w:rsid w:val="00F834A7"/>
    <w:rsid w:val="00F846CD"/>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A71"/>
    <w:rsid w:val="00F97F91"/>
    <w:rsid w:val="00FA03A6"/>
    <w:rsid w:val="00FA03D6"/>
    <w:rsid w:val="00FA066D"/>
    <w:rsid w:val="00FA0956"/>
    <w:rsid w:val="00FA0FB3"/>
    <w:rsid w:val="00FA1118"/>
    <w:rsid w:val="00FA1126"/>
    <w:rsid w:val="00FA1816"/>
    <w:rsid w:val="00FA1B03"/>
    <w:rsid w:val="00FA23D2"/>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46"/>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88"/>
    <w:rsid w:val="00FC6CEF"/>
    <w:rsid w:val="00FC6E1D"/>
    <w:rsid w:val="00FC740E"/>
    <w:rsid w:val="00FD02CC"/>
    <w:rsid w:val="00FD1685"/>
    <w:rsid w:val="00FD1AA4"/>
    <w:rsid w:val="00FD1BD4"/>
    <w:rsid w:val="00FD1EA8"/>
    <w:rsid w:val="00FD2DBC"/>
    <w:rsid w:val="00FD2FA7"/>
    <w:rsid w:val="00FD3B87"/>
    <w:rsid w:val="00FD4B79"/>
    <w:rsid w:val="00FD5465"/>
    <w:rsid w:val="00FD56AA"/>
    <w:rsid w:val="00FD58EF"/>
    <w:rsid w:val="00FD5BC9"/>
    <w:rsid w:val="00FD620D"/>
    <w:rsid w:val="00FD64B8"/>
    <w:rsid w:val="00FD667B"/>
    <w:rsid w:val="00FD7165"/>
    <w:rsid w:val="00FE00CF"/>
    <w:rsid w:val="00FE013B"/>
    <w:rsid w:val="00FE0207"/>
    <w:rsid w:val="00FE0C90"/>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AE2"/>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4D1A3F2C"/>
  <w15:docId w15:val="{32A1D424-CD5C-4367-B0EA-78A889FD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qFormat/>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Bullet List,Dell,FooterText,LP1,List Paragraph1,List Paragraph_0,List Paragraph_1,List Paragraph_2,Paragraphe de liste1,lp1,numbered,style 2,פיסקת bullets"/>
    <w:basedOn w:val="Normal"/>
    <w:link w:val="ListParagraphChar"/>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5">
    <w:name w:val="75א פעולות ביקורת"/>
    <w:basedOn w:val="214"/>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0">
    <w:name w:val="73א קוביה רצה תו"/>
    <w:basedOn w:val="DefaultParagraphFont"/>
    <w:link w:val="7316"/>
    <w:rsid w:val="004B039B"/>
    <w:rPr>
      <w:rFonts w:ascii="Tahoma" w:eastAsia="Times New Roman" w:hAnsi="Tahoma" w:cs="Tahoma"/>
      <w:color w:val="0D0D0D" w:themeColor="text1" w:themeTint="F2"/>
      <w:sz w:val="18"/>
      <w:szCs w:val="18"/>
      <w:shd w:val="solid" w:color="CEEAF5" w:fill="auto"/>
      <w:lang w:eastAsia="he-IL"/>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Heading3Char"/>
    <w:link w:val="733155"/>
    <w:rsid w:val="00092EAB"/>
    <w:rPr>
      <w:rFonts w:ascii="Tahoma" w:eastAsia="Times New Roman" w:hAnsi="Tahoma" w:cs="Tahoma"/>
      <w:b/>
      <w:bCs/>
      <w:color w:val="00305F"/>
      <w:sz w:val="31"/>
      <w:szCs w:val="31"/>
      <w:u w:val="single"/>
    </w:rPr>
  </w:style>
  <w:style w:type="paragraph" w:customStyle="1" w:styleId="732">
    <w:name w:val="73א הערות שוליים"/>
    <w:basedOn w:val="FootnoteText"/>
    <w:link w:val="7326"/>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3">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Bullet List Char,Dell Char,FooterText Char,LP1 Char,List Paragraph1 Char,List Paragraph_0 Char,List Paragraph_1 Char,List Paragraph_2 Char,Paragraphe de liste1 Char,lp1 Char,numbered Char,style 2 Char,פיסקת bullets Char"/>
    <w:link w:val="ListParagraph"/>
    <w:uiPriority w:val="34"/>
    <w:rsid w:val="00DD7B55"/>
  </w:style>
  <w:style w:type="paragraph" w:customStyle="1" w:styleId="734">
    <w:name w:val="73א הזחה ראשונה מספר"/>
    <w:basedOn w:val="ListParagraph"/>
    <w:link w:val="7332"/>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5">
    <w:name w:val="73א הזחה שנייה ריק"/>
    <w:basedOn w:val="BodyTextIndent"/>
    <w:link w:val="7310"/>
    <w:qFormat/>
    <w:rsid w:val="0074714A"/>
    <w:pPr>
      <w:spacing w:after="180" w:line="260" w:lineRule="exact"/>
      <w:ind w:left="794"/>
    </w:pPr>
    <w:rPr>
      <w:color w:val="0D0D0D" w:themeColor="text1" w:themeTint="F2"/>
      <w:sz w:val="18"/>
      <w:szCs w:val="18"/>
    </w:rPr>
  </w:style>
  <w:style w:type="paragraph" w:customStyle="1" w:styleId="736">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50">
    <w:name w:val="75א מקרא+הערות לתרשים/לוח/תמונה"/>
    <w:basedOn w:val="732"/>
    <w:link w:val="75Char0"/>
    <w:qFormat/>
    <w:rsid w:val="00DE1F29"/>
    <w:pPr>
      <w:keepLines w:val="0"/>
      <w:spacing w:before="120" w:after="240" w:line="260" w:lineRule="exact"/>
      <w:ind w:left="0" w:firstLine="0"/>
    </w:pPr>
    <w:rPr>
      <w:sz w:val="16"/>
      <w:szCs w:val="16"/>
    </w:rPr>
  </w:style>
  <w:style w:type="paragraph" w:customStyle="1" w:styleId="737">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8">
    <w:name w:val="73א קוביה כחולה בתוך הזחה ראשונה"/>
    <w:basedOn w:val="737"/>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9">
    <w:name w:val="73א הזחה שנייה ללא מספר"/>
    <w:basedOn w:val="735"/>
    <w:link w:val="7311"/>
    <w:qFormat/>
    <w:rsid w:val="00543F8A"/>
  </w:style>
  <w:style w:type="character" w:customStyle="1" w:styleId="7310">
    <w:name w:val="73א הזחה שנייה ריק תו"/>
    <w:basedOn w:val="BodyTextIndentChar"/>
    <w:link w:val="735"/>
    <w:rsid w:val="0074714A"/>
    <w:rPr>
      <w:rFonts w:ascii="Tahoma" w:hAnsi="Tahoma" w:cs="Tahoma"/>
      <w:color w:val="0D0D0D" w:themeColor="text1" w:themeTint="F2"/>
      <w:sz w:val="18"/>
      <w:szCs w:val="18"/>
    </w:rPr>
  </w:style>
  <w:style w:type="character" w:customStyle="1" w:styleId="7311">
    <w:name w:val="73א הזחה שנייה ללא מספר תו"/>
    <w:basedOn w:val="7310"/>
    <w:link w:val="739"/>
    <w:rsid w:val="00543F8A"/>
    <w:rPr>
      <w:rFonts w:ascii="Tahoma" w:hAnsi="Tahoma" w:cs="Tahoma"/>
      <w:color w:val="0D0D0D" w:themeColor="text1" w:themeTint="F2"/>
      <w:sz w:val="18"/>
      <w:szCs w:val="18"/>
    </w:rPr>
  </w:style>
  <w:style w:type="paragraph" w:customStyle="1" w:styleId="7312">
    <w:name w:val="73א מספור הערות שוליים"/>
    <w:basedOn w:val="732"/>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1">
    <w:name w:val="כניסה שלישית"/>
    <w:basedOn w:val="ListParagraph"/>
    <w:qFormat/>
    <w:rsid w:val="008E5512"/>
    <w:pPr>
      <w:spacing w:after="120"/>
      <w:ind w:left="0"/>
    </w:pPr>
    <w:rPr>
      <w:rFonts w:ascii="Tahoma" w:hAnsi="Tahoma" w:cs="Tahoma"/>
      <w:szCs w:val="20"/>
    </w:rPr>
  </w:style>
  <w:style w:type="paragraph" w:customStyle="1" w:styleId="7313">
    <w:name w:val="73א הזחה שלישית"/>
    <w:basedOn w:val="739"/>
    <w:qFormat/>
    <w:rsid w:val="00591F15"/>
    <w:pPr>
      <w:ind w:left="1191"/>
    </w:pPr>
  </w:style>
  <w:style w:type="paragraph" w:customStyle="1" w:styleId="7314">
    <w:name w:val="73א קוביה כחולה הזחה שלישית"/>
    <w:basedOn w:val="737"/>
    <w:qFormat/>
    <w:rsid w:val="00FF6AD9"/>
    <w:pPr>
      <w:framePr w:wrap="around" w:vAnchor="text" w:hAnchor="text" w:y="1"/>
      <w:shd w:val="solid" w:color="CEEAF6" w:fill="CEEAF6"/>
      <w:spacing w:after="120"/>
      <w:ind w:left="1474"/>
    </w:pPr>
  </w:style>
  <w:style w:type="paragraph" w:customStyle="1" w:styleId="11">
    <w:name w:val="קוביה הזחה 1"/>
    <w:basedOn w:val="737"/>
    <w:qFormat/>
    <w:rsid w:val="005C2859"/>
    <w:pPr>
      <w:ind w:left="680"/>
    </w:pPr>
  </w:style>
  <w:style w:type="paragraph" w:customStyle="1" w:styleId="7315">
    <w:name w:val="73א הזחה ראשונה ללא מספר"/>
    <w:basedOn w:val="739"/>
    <w:qFormat/>
    <w:rsid w:val="003570AC"/>
    <w:pPr>
      <w:ind w:left="397"/>
    </w:pPr>
  </w:style>
  <w:style w:type="paragraph" w:customStyle="1" w:styleId="7316">
    <w:name w:val="73א קוביה רצה"/>
    <w:basedOn w:val="738"/>
    <w:link w:val="730"/>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7">
    <w:name w:val="73א הזחה בתוך קוביה"/>
    <w:basedOn w:val="7316"/>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18">
    <w:name w:val="73א מספרים בתוך קוביה"/>
    <w:basedOn w:val="7317"/>
    <w:rsid w:val="00520550"/>
  </w:style>
  <w:style w:type="paragraph" w:customStyle="1" w:styleId="7319">
    <w:name w:val="73א אותיות בתוך קוביה 1"/>
    <w:basedOn w:val="7318"/>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5"/>
    <w:uiPriority w:val="99"/>
    <w:rsid w:val="002516DF"/>
    <w:rPr>
      <w:rFonts w:eastAsia="Calibri"/>
    </w:rPr>
  </w:style>
  <w:style w:type="character" w:customStyle="1" w:styleId="a5">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6">
    <w:name w:val="פיסקת רשימה1"/>
    <w:basedOn w:val="Normal"/>
    <w:uiPriority w:val="34"/>
    <w:qFormat/>
    <w:rsid w:val="002516DF"/>
    <w:pPr>
      <w:ind w:left="720"/>
      <w:contextualSpacing/>
    </w:pPr>
    <w:rPr>
      <w:rFonts w:eastAsia="Calibri"/>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7">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7"/>
    <w:uiPriority w:val="99"/>
    <w:semiHidden/>
    <w:rsid w:val="002516DF"/>
    <w:rPr>
      <w:rFonts w:ascii="Tahoma" w:eastAsia="Calibri" w:hAnsi="Tahoma" w:cs="Tahoma"/>
      <w:sz w:val="18"/>
      <w:szCs w:val="18"/>
    </w:rPr>
  </w:style>
  <w:style w:type="character" w:customStyle="1" w:styleId="18">
    <w:name w:val="כותרת תחתונה תו1"/>
    <w:uiPriority w:val="99"/>
    <w:rsid w:val="002516DF"/>
    <w:rPr>
      <w:rFonts w:cs="David"/>
      <w:sz w:val="24"/>
      <w:szCs w:val="24"/>
    </w:rPr>
  </w:style>
  <w:style w:type="character" w:customStyle="1" w:styleId="19">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1">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2">
    <w:name w:val="טקסט הערה1"/>
    <w:basedOn w:val="Normal"/>
    <w:link w:val="a8"/>
    <w:uiPriority w:val="99"/>
    <w:unhideWhenUsed/>
    <w:rsid w:val="002516DF"/>
    <w:pPr>
      <w:spacing w:line="240" w:lineRule="auto"/>
    </w:pPr>
    <w:rPr>
      <w:rFonts w:eastAsia="Calibri"/>
      <w:szCs w:val="20"/>
    </w:rPr>
  </w:style>
  <w:style w:type="character" w:customStyle="1" w:styleId="a8">
    <w:name w:val="טקסט הערה תו"/>
    <w:link w:val="112"/>
    <w:uiPriority w:val="99"/>
    <w:rsid w:val="002516DF"/>
    <w:rPr>
      <w:rFonts w:eastAsia="Calibri"/>
      <w:szCs w:val="20"/>
    </w:rPr>
  </w:style>
  <w:style w:type="paragraph" w:customStyle="1" w:styleId="113">
    <w:name w:val="נושא הערה1"/>
    <w:basedOn w:val="112"/>
    <w:next w:val="112"/>
    <w:link w:val="a9"/>
    <w:uiPriority w:val="99"/>
    <w:semiHidden/>
    <w:unhideWhenUsed/>
    <w:rsid w:val="002516DF"/>
    <w:rPr>
      <w:b/>
      <w:bCs/>
    </w:rPr>
  </w:style>
  <w:style w:type="character" w:customStyle="1" w:styleId="a9">
    <w:name w:val="נושא הערה תו"/>
    <w:link w:val="113"/>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5">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0">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1">
    <w:name w:val="73א כוכבית בתוך קוביה"/>
    <w:basedOn w:val="7316"/>
    <w:qFormat/>
    <w:rsid w:val="001F0DE8"/>
    <w:pPr>
      <w:jc w:val="center"/>
    </w:pPr>
    <w:rPr>
      <w:rFonts w:ascii="Segoe UI Symbol" w:hAnsi="Segoe UI Symbol" w:cs="Segoe UI Symbol"/>
    </w:rPr>
  </w:style>
  <w:style w:type="paragraph" w:customStyle="1" w:styleId="7322">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3">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0">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1">
    <w:name w:val="טבלה הערות מתחת"/>
    <w:basedOn w:val="732"/>
    <w:qFormat/>
    <w:rsid w:val="00771BEC"/>
    <w:pPr>
      <w:spacing w:before="120"/>
    </w:pPr>
  </w:style>
  <w:style w:type="paragraph" w:customStyle="1" w:styleId="7324">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5">
    <w:name w:val="ציטוט בג&quot;צ Char"/>
    <w:link w:val="a14"/>
    <w:locked/>
    <w:rsid w:val="00CF1EB5"/>
    <w:rPr>
      <w:bCs/>
      <w:noProof/>
      <w:sz w:val="24"/>
      <w:lang w:eastAsia="he-IL"/>
    </w:rPr>
  </w:style>
  <w:style w:type="paragraph" w:customStyle="1" w:styleId="a14">
    <w:name w:val="ציטוט בג&quot;צ"/>
    <w:basedOn w:val="Normal"/>
    <w:link w:val="Char5"/>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16">
    <w:name w:val="כותרת טקסט1"/>
    <w:basedOn w:val="DefaultParagraphFont"/>
    <w:rsid w:val="00D81F77"/>
  </w:style>
  <w:style w:type="paragraph" w:customStyle="1" w:styleId="a15">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6">
    <w:name w:val="טקסט רץ"/>
    <w:basedOn w:val="100"/>
    <w:link w:val="Char6"/>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6">
    <w:name w:val="טקסט רץ Char"/>
    <w:basedOn w:val="10Char"/>
    <w:link w:val="a16"/>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2">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3">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2"/>
    <w:rsid w:val="00454096"/>
    <w:rPr>
      <w:rFonts w:ascii="Tahoma" w:hAnsi="Tahoma" w:eastAsiaTheme="minorEastAsia" w:cs="Tahoma"/>
      <w:b/>
      <w:bCs/>
      <w:color w:val="00305F"/>
      <w:sz w:val="34"/>
      <w:szCs w:val="32"/>
    </w:rPr>
  </w:style>
  <w:style w:type="paragraph" w:customStyle="1" w:styleId="214">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3"/>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4"/>
    <w:rsid w:val="00454096"/>
    <w:rPr>
      <w:rFonts w:ascii="Tahoma" w:hAnsi="Tahoma" w:eastAsiaTheme="minorEastAsia" w:cs="Tahoma"/>
      <w:b w:val="0"/>
      <w:bCs/>
      <w:color w:val="00305F"/>
      <w:sz w:val="32"/>
      <w:szCs w:val="32"/>
    </w:rPr>
  </w:style>
  <w:style w:type="paragraph" w:customStyle="1" w:styleId="215">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17">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5">
    <w:name w:val="73א כותרת סיכום"/>
    <w:basedOn w:val="733155"/>
    <w:qFormat/>
    <w:rsid w:val="00662020"/>
    <w:rPr>
      <w:b w:val="0"/>
    </w:rPr>
  </w:style>
  <w:style w:type="paragraph" w:customStyle="1" w:styleId="751">
    <w:name w:val="75א תמונת המצב העולה מן הביקורת"/>
    <w:basedOn w:val="214"/>
    <w:link w:val="75Char"/>
    <w:qFormat/>
    <w:rsid w:val="006F49D3"/>
    <w:pPr>
      <w:keepNext/>
      <w:keepLines/>
      <w:pBdr>
        <w:top w:val="single" w:sz="12" w:space="5" w:color="auto"/>
      </w:pBdr>
      <w:spacing w:before="360" w:after="240"/>
      <w:outlineLvl w:val="9"/>
    </w:pPr>
    <w:rPr>
      <w:sz w:val="31"/>
      <w:szCs w:val="31"/>
    </w:rPr>
  </w:style>
  <w:style w:type="character" w:customStyle="1" w:styleId="75Char">
    <w:name w:val="75א תמונת המצב העולה מן הביקורת Char"/>
    <w:basedOn w:val="21Char1"/>
    <w:link w:val="751"/>
    <w:rsid w:val="006F49D3"/>
    <w:rPr>
      <w:rFonts w:ascii="Tahoma" w:hAnsi="Tahoma" w:eastAsiaTheme="minorEastAsia" w:cs="Tahoma"/>
      <w:b w:val="0"/>
      <w:bCs/>
      <w:color w:val="00305F"/>
      <w:sz w:val="31"/>
      <w:szCs w:val="31"/>
    </w:rPr>
  </w:style>
  <w:style w:type="paragraph" w:customStyle="1" w:styleId="752">
    <w:name w:val="75א כותרת 2"/>
    <w:link w:val="752Char"/>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52Char">
    <w:name w:val="75א כותרת 2 Char"/>
    <w:basedOn w:val="DefaultParagraphFont"/>
    <w:link w:val="752"/>
    <w:rsid w:val="00BB0517"/>
    <w:rPr>
      <w:rFonts w:ascii="Tahoma" w:hAnsi="Tahoma" w:cs="Tahoma"/>
      <w:b/>
      <w:bCs/>
      <w:color w:val="00305F"/>
      <w:sz w:val="34"/>
      <w:szCs w:val="34"/>
    </w:rPr>
  </w:style>
  <w:style w:type="character" w:customStyle="1" w:styleId="7326">
    <w:name w:val="73א הערות שוליים תו"/>
    <w:basedOn w:val="FootnoteTextChar"/>
    <w:link w:val="732"/>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50"/>
    <w:link w:val="7301"/>
    <w:qFormat/>
    <w:rsid w:val="00050995"/>
    <w:pPr>
      <w:spacing w:after="0"/>
    </w:pPr>
  </w:style>
  <w:style w:type="character" w:customStyle="1" w:styleId="75Char0">
    <w:name w:val="75א מקרא+הערות לתרשים/לוח/תמונה Char"/>
    <w:basedOn w:val="7326"/>
    <w:link w:val="750"/>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5Char0"/>
    <w:link w:val="7300"/>
    <w:rsid w:val="00050995"/>
    <w:rPr>
      <w:rFonts w:ascii="Tahoma" w:hAnsi="Tahoma" w:cs="Tahoma"/>
      <w:color w:val="0D0D0D" w:themeColor="text1" w:themeTint="F2"/>
      <w:sz w:val="16"/>
      <w:szCs w:val="16"/>
    </w:rPr>
  </w:style>
  <w:style w:type="paragraph" w:customStyle="1" w:styleId="7390">
    <w:name w:val="73א בולד 9 בתוך שורה"/>
    <w:basedOn w:val="215"/>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5"/>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0">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0"/>
    <w:rsid w:val="001F3363"/>
    <w:rPr>
      <w:rFonts w:ascii="Tahoma" w:hAnsi="Tahoma" w:cs="Tahoma"/>
      <w:color w:val="0D0D0D" w:themeColor="text1" w:themeTint="F2"/>
      <w:sz w:val="18"/>
      <w:szCs w:val="18"/>
    </w:rPr>
  </w:style>
  <w:style w:type="paragraph" w:customStyle="1" w:styleId="73110">
    <w:name w:val="73א מרווח של 1 בטקס רץ"/>
    <w:basedOn w:val="Normal"/>
    <w:link w:val="73111"/>
    <w:qFormat/>
    <w:rsid w:val="001F3363"/>
    <w:pPr>
      <w:spacing w:after="180" w:line="260" w:lineRule="exact"/>
    </w:pPr>
    <w:rPr>
      <w:rFonts w:ascii="Tahoma" w:hAnsi="Tahoma" w:cs="Tahoma"/>
      <w:color w:val="0D0D0D" w:themeColor="text1" w:themeTint="F2"/>
      <w:spacing w:val="20"/>
      <w:sz w:val="18"/>
      <w:szCs w:val="18"/>
    </w:rPr>
  </w:style>
  <w:style w:type="character" w:customStyle="1" w:styleId="73111">
    <w:name w:val="73א מרווח של 1 בטקס רץ תו"/>
    <w:basedOn w:val="DefaultParagraphFont"/>
    <w:link w:val="73110"/>
    <w:rsid w:val="001F3363"/>
    <w:rPr>
      <w:rFonts w:ascii="Tahoma" w:hAnsi="Tahoma" w:cs="Tahoma"/>
      <w:color w:val="0D0D0D" w:themeColor="text1" w:themeTint="F2"/>
      <w:spacing w:val="20"/>
      <w:sz w:val="18"/>
      <w:szCs w:val="18"/>
    </w:rPr>
  </w:style>
  <w:style w:type="paragraph" w:customStyle="1" w:styleId="a18">
    <w:name w:val="כותרת לבנה בתוך תבנית אדומה בתקציר"/>
    <w:basedOn w:val="Normal"/>
    <w:link w:val="Char7"/>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27">
    <w:name w:val="73א כותרת לבנה בתוך תבנית אדומה בתקציר"/>
    <w:basedOn w:val="a18"/>
    <w:link w:val="7328"/>
    <w:qFormat/>
    <w:rsid w:val="00524400"/>
    <w:pPr>
      <w:keepNext/>
      <w:keepLines/>
      <w:spacing w:before="0"/>
    </w:pPr>
  </w:style>
  <w:style w:type="character" w:customStyle="1" w:styleId="Char7">
    <w:name w:val="כותרת לבנה בתוך תבנית אדומה בתקציר Char"/>
    <w:basedOn w:val="DefaultParagraphFont"/>
    <w:link w:val="a18"/>
    <w:rsid w:val="009D41AC"/>
    <w:rPr>
      <w:rFonts w:ascii="Tahoma" w:hAnsi="Tahoma" w:cs="Tahoma"/>
      <w:b/>
      <w:bCs/>
      <w:color w:val="FFFFFF" w:themeColor="background1"/>
      <w:sz w:val="22"/>
      <w:szCs w:val="22"/>
    </w:rPr>
  </w:style>
  <w:style w:type="character" w:customStyle="1" w:styleId="7328">
    <w:name w:val="73א כותרת לבנה בתוך תבנית אדומה בתקציר תו"/>
    <w:basedOn w:val="Char7"/>
    <w:link w:val="7327"/>
    <w:rsid w:val="00524400"/>
    <w:rPr>
      <w:rFonts w:ascii="Tahoma" w:hAnsi="Tahoma" w:cs="Tahoma"/>
      <w:b/>
      <w:bCs/>
      <w:color w:val="FFFFFF" w:themeColor="background1"/>
      <w:sz w:val="22"/>
      <w:szCs w:val="22"/>
    </w:rPr>
  </w:style>
  <w:style w:type="paragraph" w:customStyle="1" w:styleId="73112">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29">
    <w:name w:val="73א היפרלינק"/>
    <w:basedOn w:val="732"/>
    <w:link w:val="7330"/>
    <w:qFormat/>
    <w:rsid w:val="009578F0"/>
    <w:pPr>
      <w:bidi w:val="0"/>
    </w:pPr>
    <w:rPr>
      <w:color w:val="6090CC"/>
      <w:u w:val="single"/>
    </w:rPr>
  </w:style>
  <w:style w:type="character" w:customStyle="1" w:styleId="7330">
    <w:name w:val="73א היפרלינק תו"/>
    <w:basedOn w:val="7326"/>
    <w:link w:val="7329"/>
    <w:rsid w:val="009578F0"/>
    <w:rPr>
      <w:rFonts w:ascii="Tahoma" w:hAnsi="Tahoma" w:cs="Tahoma"/>
      <w:color w:val="6090CC"/>
      <w:sz w:val="14"/>
      <w:szCs w:val="14"/>
      <w:u w:val="single"/>
    </w:rPr>
  </w:style>
  <w:style w:type="paragraph" w:customStyle="1" w:styleId="7331">
    <w:name w:val="73א קוביה כחולה עם מספר מוזח"/>
    <w:basedOn w:val="734"/>
    <w:link w:val="7333"/>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2">
    <w:name w:val="73א הזחה ראשונה מספר תו"/>
    <w:basedOn w:val="ListParagraphChar"/>
    <w:link w:val="734"/>
    <w:rsid w:val="0091353C"/>
    <w:rPr>
      <w:rFonts w:ascii="Tahoma" w:hAnsi="Tahoma" w:cs="Tahoma"/>
      <w:color w:val="0D0D0D" w:themeColor="text1" w:themeTint="F2"/>
      <w:sz w:val="18"/>
      <w:szCs w:val="18"/>
    </w:rPr>
  </w:style>
  <w:style w:type="character" w:customStyle="1" w:styleId="7333">
    <w:name w:val="73א קוביה כחולה עם מספר מוזח תו"/>
    <w:basedOn w:val="7332"/>
    <w:link w:val="7331"/>
    <w:rsid w:val="00FF6AD9"/>
    <w:rPr>
      <w:rFonts w:ascii="Tahoma" w:hAnsi="Tahoma" w:cs="Tahoma"/>
      <w:color w:val="0D0D0D" w:themeColor="text1" w:themeTint="F2"/>
      <w:sz w:val="18"/>
      <w:szCs w:val="18"/>
      <w:shd w:val="clear" w:color="auto" w:fill="CEEAF6"/>
    </w:rPr>
  </w:style>
  <w:style w:type="paragraph" w:customStyle="1" w:styleId="7334">
    <w:name w:val="73א כותרת טקסט רץ מודגשת"/>
    <w:basedOn w:val="Normal"/>
    <w:link w:val="7335"/>
    <w:qFormat/>
    <w:rsid w:val="001F3363"/>
    <w:pPr>
      <w:spacing w:after="180" w:line="260" w:lineRule="exact"/>
    </w:pPr>
    <w:rPr>
      <w:rFonts w:ascii="Tahoma" w:hAnsi="Tahoma" w:cs="Tahoma"/>
      <w:b/>
      <w:bCs/>
      <w:color w:val="0D0D0D" w:themeColor="text1" w:themeTint="F2"/>
      <w:sz w:val="18"/>
      <w:szCs w:val="18"/>
    </w:rPr>
  </w:style>
  <w:style w:type="character" w:customStyle="1" w:styleId="7335">
    <w:name w:val="73א כותרת טקסט רץ מודגשת תו"/>
    <w:basedOn w:val="DefaultParagraphFont"/>
    <w:link w:val="7334"/>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2"/>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1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0">
    <w:name w:val="נבנצאל תו"/>
    <w:basedOn w:val="DefaultParagraphFont"/>
    <w:link w:val="a21"/>
    <w:uiPriority w:val="99"/>
    <w:locked/>
    <w:rsid w:val="00905FB1"/>
    <w:rPr>
      <w:szCs w:val="20"/>
    </w:rPr>
  </w:style>
  <w:style w:type="paragraph" w:customStyle="1" w:styleId="a21">
    <w:name w:val="נבנצאל"/>
    <w:basedOn w:val="Normal"/>
    <w:next w:val="Normal"/>
    <w:link w:val="a20"/>
    <w:uiPriority w:val="99"/>
    <w:rsid w:val="00905FB1"/>
    <w:pPr>
      <w:ind w:left="-567"/>
    </w:pPr>
    <w:rPr>
      <w:szCs w:val="20"/>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17">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36">
    <w:name w:val="73א מקרא+הערות לתרשים/לוח/תמונה כוכבית"/>
    <w:basedOn w:val="750"/>
    <w:qFormat/>
    <w:rsid w:val="002F430E"/>
    <w:pPr>
      <w:framePr w:wrap="around" w:vAnchor="text" w:hAnchor="text" w:y="1"/>
    </w:pPr>
  </w:style>
  <w:style w:type="paragraph" w:customStyle="1" w:styleId="a23">
    <w:name w:val="הערות לתרשימים"/>
    <w:basedOn w:val="750"/>
    <w:next w:val="732"/>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2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16"/>
    <w:link w:val="7393"/>
    <w:qFormat/>
    <w:rsid w:val="00222C5D"/>
    <w:rPr>
      <w:color w:val="0D0D0D" w:themeColor="text1" w:themeTint="F2"/>
      <w:sz w:val="18"/>
    </w:rPr>
  </w:style>
  <w:style w:type="character" w:customStyle="1" w:styleId="7393">
    <w:name w:val="73א טקסט רץ 9 תו"/>
    <w:basedOn w:val="Char6"/>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7"/>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4"/>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18">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2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26">
    <w:name w:val="תאריך הדוח"/>
    <w:qFormat/>
    <w:rsid w:val="000F5023"/>
    <w:pPr>
      <w:ind w:left="2268"/>
      <w:jc w:val="left"/>
    </w:pPr>
    <w:rPr>
      <w:rFonts w:ascii="Tahoma" w:hAnsi="Tahoma" w:cs="Tahoma"/>
      <w:sz w:val="18"/>
      <w:szCs w:val="18"/>
    </w:rPr>
  </w:style>
  <w:style w:type="paragraph" w:customStyle="1" w:styleId="70">
    <w:name w:val="סגנון7"/>
    <w:basedOn w:val="7331"/>
    <w:qFormat/>
    <w:rsid w:val="00F1103C"/>
    <w:pPr>
      <w:numPr>
        <w:numId w:val="9"/>
      </w:numPr>
      <w:ind w:left="850" w:right="284" w:hanging="425"/>
    </w:pPr>
    <w:rPr>
      <w:noProof/>
      <w:lang w:val="he-IL"/>
    </w:rPr>
  </w:style>
  <w:style w:type="paragraph" w:customStyle="1" w:styleId="710">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1">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FootnoteTextChar"/>
    <w:link w:val="711"/>
    <w:rsid w:val="002507E8"/>
    <w:rPr>
      <w:rFonts w:ascii="Tahoma" w:hAnsi="Tahoma" w:cs="Tahoma"/>
      <w:color w:val="0D0D0D" w:themeColor="text1" w:themeTint="F2"/>
      <w:sz w:val="14"/>
      <w:szCs w:val="14"/>
    </w:rPr>
  </w:style>
  <w:style w:type="paragraph" w:customStyle="1" w:styleId="712">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51"/>
    <w:qFormat/>
    <w:rsid w:val="00AB2F78"/>
  </w:style>
  <w:style w:type="paragraph" w:customStyle="1" w:styleId="a27">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1">
    <w:name w:val="footnote reference"/>
    <w:aliases w:val="Footnote Reference_0,Footnote Reference_0_0,Footnote Reference_0_0_0,Footnote Reference_0_0_0_0,Footnote Reference_1,Footnote Reference_2,Footnote Reference_3,Footnote Reference_3_0,Footnote Reference_4,fr,הפניה להערת שוליים חדש,מ"/>
    <w:basedOn w:val="DefaultParagraphFont"/>
    <w:uiPriority w:val="99"/>
    <w:unhideWhenUsed/>
    <w:rsid w:val="00C00585"/>
    <w:rPr>
      <w:vertAlign w:val="superscript"/>
    </w:rPr>
  </w:style>
  <w:style w:type="character" w:styleId="CommentReference">
    <w:name w:val="annotation reference"/>
    <w:basedOn w:val="DefaultParagraphFont"/>
    <w:uiPriority w:val="99"/>
    <w:semiHidden/>
    <w:unhideWhenUsed/>
    <w:rsid w:val="0079701E"/>
    <w:rPr>
      <w:sz w:val="16"/>
      <w:szCs w:val="16"/>
    </w:rPr>
  </w:style>
  <w:style w:type="paragraph" w:customStyle="1" w:styleId="713">
    <w:name w:val="71ג לוחות/תרשימים/תמונות/אינפוגרפיקה/מפות"/>
    <w:basedOn w:val="Normal"/>
    <w:qFormat/>
    <w:rsid w:val="0079701E"/>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19">
    <w:name w:val="אזכור לא מזוהה1"/>
    <w:basedOn w:val="DefaultParagraphFont"/>
    <w:uiPriority w:val="99"/>
    <w:semiHidden/>
    <w:unhideWhenUsed/>
    <w:rsid w:val="0079701E"/>
    <w:rPr>
      <w:color w:val="605E5C"/>
      <w:shd w:val="clear" w:color="auto" w:fill="E1DFDD"/>
    </w:rPr>
  </w:style>
  <w:style w:type="paragraph" w:customStyle="1" w:styleId="a28">
    <w:name w:val="פרטי הדוח ממה"/>
    <w:basedOn w:val="Normal"/>
    <w:qFormat/>
    <w:rsid w:val="009F04C6"/>
    <w:pPr>
      <w:spacing w:before="600" w:line="240" w:lineRule="auto"/>
      <w:ind w:left="284"/>
      <w:jc w:val="left"/>
    </w:pPr>
    <w:rPr>
      <w:rFonts w:ascii="Calibri" w:eastAsia="Calibri" w:hAnsi="Calibri" w:cs="Calibri"/>
      <w:noProof/>
      <w:color w:val="FFFFFF" w:themeColor="background1"/>
      <w:sz w:val="24"/>
    </w:rPr>
  </w:style>
  <w:style w:type="paragraph" w:customStyle="1" w:styleId="a29">
    <w:name w:val="כותרת הדוח ממה"/>
    <w:basedOn w:val="Normal"/>
    <w:link w:val="a30"/>
    <w:qFormat/>
    <w:rsid w:val="009F04C6"/>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0">
    <w:name w:val="כותרת הדוח ממה תו"/>
    <w:basedOn w:val="DefaultParagraphFont"/>
    <w:link w:val="a29"/>
    <w:rsid w:val="009F04C6"/>
    <w:rPr>
      <w:rFonts w:ascii="Calibri" w:hAnsi="Calibri" w:cs="Calibri"/>
      <w:b/>
      <w:bCs/>
      <w:color w:val="FFFFFF" w:themeColor="background1"/>
      <w:sz w:val="60"/>
      <w:szCs w:val="60"/>
    </w:rPr>
  </w:style>
  <w:style w:type="paragraph" w:customStyle="1" w:styleId="a31">
    <w:name w:val="טקסט שם מונח ממה"/>
    <w:basedOn w:val="Normal"/>
    <w:qFormat/>
    <w:rsid w:val="009F04C6"/>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32">
    <w:name w:val="טקסט הגדרת מונח ממה"/>
    <w:link w:val="a33"/>
    <w:qFormat/>
    <w:rsid w:val="009F04C6"/>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33">
    <w:name w:val="טקסט הגדרת מונח ממה תו"/>
    <w:basedOn w:val="DefaultParagraphFont"/>
    <w:link w:val="a32"/>
    <w:rsid w:val="009F04C6"/>
    <w:rPr>
      <w:rFonts w:ascii="Calibri" w:eastAsia="DengXian" w:hAnsi="Calibri" w:cs="Calibri"/>
      <w:color w:val="002060"/>
      <w:sz w:val="24"/>
      <w:lang w:val="en-GB"/>
    </w:rPr>
  </w:style>
  <w:style w:type="paragraph" w:customStyle="1" w:styleId="a34">
    <w:name w:val="מבוא ממה"/>
    <w:basedOn w:val="Normal"/>
    <w:next w:val="Normal"/>
    <w:link w:val="a35"/>
    <w:autoRedefine/>
    <w:qFormat/>
    <w:rsid w:val="009F04C6"/>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35">
    <w:name w:val="מבוא ממה תו"/>
    <w:basedOn w:val="DefaultParagraphFont"/>
    <w:link w:val="a34"/>
    <w:rsid w:val="009F04C6"/>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36">
    <w:name w:val="מראה מקום ממה"/>
    <w:basedOn w:val="Normal"/>
    <w:next w:val="Normal"/>
    <w:link w:val="a37"/>
    <w:qFormat/>
    <w:rsid w:val="009F04C6"/>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37">
    <w:name w:val="מראה מקום ממה תו"/>
    <w:basedOn w:val="DefaultParagraphFont"/>
    <w:link w:val="a36"/>
    <w:rsid w:val="009F04C6"/>
    <w:rPr>
      <w:rFonts w:ascii="Calibri" w:eastAsia="Calibri" w:hAnsi="Calibri" w:cs="Calibri"/>
      <w:b/>
      <w:bCs/>
      <w:color w:val="002060"/>
      <w:sz w:val="18"/>
      <w:szCs w:val="18"/>
      <w:shd w:val="solid" w:color="F3F7FF" w:fill="auto"/>
    </w:rPr>
  </w:style>
  <w:style w:type="paragraph" w:customStyle="1" w:styleId="a38">
    <w:name w:val="כותרת עליונה ממה"/>
    <w:basedOn w:val="Normal"/>
    <w:next w:val="Normal"/>
    <w:link w:val="a39"/>
    <w:qFormat/>
    <w:rsid w:val="009F04C6"/>
    <w:pPr>
      <w:spacing w:line="240" w:lineRule="auto"/>
      <w:ind w:left="737"/>
      <w:jc w:val="left"/>
    </w:pPr>
    <w:rPr>
      <w:rFonts w:ascii="Calibri" w:eastAsia="Calibri" w:hAnsi="Calibri" w:cs="Calibri"/>
      <w:color w:val="002060"/>
      <w:sz w:val="18"/>
      <w:szCs w:val="18"/>
    </w:rPr>
  </w:style>
  <w:style w:type="character" w:customStyle="1" w:styleId="a39">
    <w:name w:val="כותרת עליונה ממה תו"/>
    <w:basedOn w:val="DefaultParagraphFont"/>
    <w:link w:val="a38"/>
    <w:rsid w:val="009F04C6"/>
    <w:rPr>
      <w:rFonts w:ascii="Calibri" w:eastAsia="Calibri" w:hAnsi="Calibri" w:cs="Calibri"/>
      <w:color w:val="002060"/>
      <w:sz w:val="18"/>
      <w:szCs w:val="18"/>
    </w:rPr>
  </w:style>
  <w:style w:type="paragraph" w:customStyle="1" w:styleId="120">
    <w:name w:val="כותרת 1 ממה"/>
    <w:basedOn w:val="Normal"/>
    <w:next w:val="Normal"/>
    <w:link w:val="122"/>
    <w:qFormat/>
    <w:rsid w:val="009F04C6"/>
    <w:pPr>
      <w:keepNext/>
      <w:widowControl w:val="0"/>
      <w:numPr>
        <w:numId w:val="13"/>
      </w:numPr>
      <w:spacing w:before="240" w:after="120" w:line="440" w:lineRule="exact"/>
      <w:jc w:val="left"/>
      <w:outlineLvl w:val="0"/>
    </w:pPr>
    <w:rPr>
      <w:rFonts w:ascii="Calibri" w:eastAsia="Calibri" w:hAnsi="Calibri" w:cs="Calibri"/>
      <w:b/>
      <w:bCs/>
      <w:color w:val="002060"/>
      <w:sz w:val="40"/>
      <w:szCs w:val="40"/>
    </w:rPr>
  </w:style>
  <w:style w:type="character" w:customStyle="1" w:styleId="122">
    <w:name w:val="כותרת 1 ממה תו"/>
    <w:basedOn w:val="DefaultParagraphFont"/>
    <w:link w:val="120"/>
    <w:rsid w:val="009F04C6"/>
    <w:rPr>
      <w:rFonts w:ascii="Calibri" w:eastAsia="Calibri" w:hAnsi="Calibri" w:cs="Calibri"/>
      <w:b/>
      <w:bCs/>
      <w:color w:val="002060"/>
      <w:sz w:val="40"/>
      <w:szCs w:val="40"/>
    </w:rPr>
  </w:style>
  <w:style w:type="paragraph" w:customStyle="1" w:styleId="24">
    <w:name w:val="כותרת 2 ממה"/>
    <w:basedOn w:val="Normal"/>
    <w:next w:val="Normal"/>
    <w:link w:val="25"/>
    <w:qFormat/>
    <w:rsid w:val="009F04C6"/>
    <w:pPr>
      <w:keepNext/>
      <w:widowControl w:val="0"/>
      <w:numPr>
        <w:numId w:val="14"/>
      </w:numPr>
      <w:spacing w:before="240" w:line="280" w:lineRule="exact"/>
      <w:jc w:val="left"/>
      <w:outlineLvl w:val="1"/>
    </w:pPr>
    <w:rPr>
      <w:rFonts w:ascii="Calibri" w:eastAsia="Calibri" w:hAnsi="Calibri" w:cs="Calibri"/>
      <w:b/>
      <w:bCs/>
      <w:color w:val="002060"/>
      <w:sz w:val="36"/>
      <w:szCs w:val="36"/>
    </w:rPr>
  </w:style>
  <w:style w:type="character" w:customStyle="1" w:styleId="25">
    <w:name w:val="כותרת 2 ממה תו"/>
    <w:basedOn w:val="22"/>
    <w:link w:val="24"/>
    <w:rsid w:val="009F04C6"/>
    <w:rPr>
      <w:rFonts w:ascii="Calibri" w:eastAsia="Calibri" w:hAnsi="Calibri" w:cs="Calibri"/>
      <w:b/>
      <w:bCs/>
      <w:color w:val="002060"/>
      <w:sz w:val="36"/>
      <w:szCs w:val="36"/>
    </w:rPr>
  </w:style>
  <w:style w:type="paragraph" w:customStyle="1" w:styleId="33">
    <w:name w:val="כותרת 3 ממה"/>
    <w:basedOn w:val="Normal"/>
    <w:next w:val="Normal"/>
    <w:link w:val="34"/>
    <w:qFormat/>
    <w:rsid w:val="009F04C6"/>
    <w:pPr>
      <w:widowControl w:val="0"/>
      <w:numPr>
        <w:numId w:val="15"/>
      </w:numPr>
      <w:spacing w:before="240" w:line="280" w:lineRule="exact"/>
      <w:jc w:val="left"/>
    </w:pPr>
    <w:rPr>
      <w:rFonts w:ascii="Calibri" w:eastAsia="Calibri" w:hAnsi="Calibri" w:cs="Calibri"/>
      <w:b/>
      <w:bCs/>
      <w:color w:val="002060"/>
      <w:sz w:val="28"/>
      <w:szCs w:val="28"/>
      <w:u w:val="single"/>
    </w:rPr>
  </w:style>
  <w:style w:type="character" w:customStyle="1" w:styleId="34">
    <w:name w:val="כותרת 3 ממה תו"/>
    <w:basedOn w:val="3"/>
    <w:link w:val="33"/>
    <w:rsid w:val="009F04C6"/>
    <w:rPr>
      <w:rFonts w:ascii="Calibri" w:eastAsia="Calibri" w:hAnsi="Calibri" w:cs="Calibri"/>
      <w:b/>
      <w:bCs/>
      <w:color w:val="002060"/>
      <w:sz w:val="28"/>
      <w:szCs w:val="28"/>
      <w:u w:val="single"/>
    </w:rPr>
  </w:style>
  <w:style w:type="paragraph" w:customStyle="1" w:styleId="42">
    <w:name w:val="כותרת 4 ממה"/>
    <w:basedOn w:val="Normal"/>
    <w:next w:val="Normal"/>
    <w:link w:val="43"/>
    <w:qFormat/>
    <w:rsid w:val="009F04C6"/>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3">
    <w:name w:val="כותרת 4 ממה תו"/>
    <w:basedOn w:val="DefaultParagraphFont"/>
    <w:link w:val="42"/>
    <w:rsid w:val="009F04C6"/>
    <w:rPr>
      <w:rFonts w:ascii="Calibri" w:eastAsia="Calibri" w:hAnsi="Calibri" w:cs="Calibri"/>
      <w:color w:val="002060"/>
      <w:sz w:val="28"/>
      <w:szCs w:val="28"/>
    </w:rPr>
  </w:style>
  <w:style w:type="paragraph" w:customStyle="1" w:styleId="123">
    <w:name w:val="רשימה1 ממה"/>
    <w:basedOn w:val="Normal"/>
    <w:link w:val="124"/>
    <w:qFormat/>
    <w:rsid w:val="009F04C6"/>
    <w:pPr>
      <w:widowControl w:val="0"/>
      <w:numPr>
        <w:numId w:val="16"/>
      </w:numPr>
      <w:spacing w:line="280" w:lineRule="exact"/>
    </w:pPr>
    <w:rPr>
      <w:rFonts w:ascii="Calibri" w:eastAsia="Calibri" w:hAnsi="Calibri" w:cs="Calibri"/>
      <w:color w:val="002060"/>
      <w:sz w:val="24"/>
    </w:rPr>
  </w:style>
  <w:style w:type="character" w:customStyle="1" w:styleId="124">
    <w:name w:val="רשימה1 ממה תו"/>
    <w:basedOn w:val="DefaultParagraphFont"/>
    <w:link w:val="123"/>
    <w:rsid w:val="009F04C6"/>
    <w:rPr>
      <w:rFonts w:ascii="Calibri" w:eastAsia="Calibri" w:hAnsi="Calibri" w:cs="Calibri"/>
      <w:color w:val="002060"/>
      <w:sz w:val="24"/>
    </w:rPr>
  </w:style>
  <w:style w:type="paragraph" w:customStyle="1" w:styleId="26">
    <w:name w:val="רשימה2 ממה"/>
    <w:basedOn w:val="Normal"/>
    <w:link w:val="27"/>
    <w:qFormat/>
    <w:rsid w:val="009F04C6"/>
    <w:pPr>
      <w:widowControl w:val="0"/>
      <w:spacing w:line="280" w:lineRule="exact"/>
      <w:ind w:left="1871"/>
    </w:pPr>
    <w:rPr>
      <w:rFonts w:ascii="Calibri" w:eastAsia="Calibri" w:hAnsi="Calibri" w:cs="Calibri"/>
      <w:color w:val="002060"/>
      <w:sz w:val="24"/>
    </w:rPr>
  </w:style>
  <w:style w:type="character" w:customStyle="1" w:styleId="27">
    <w:name w:val="רשימה2 ממה תו"/>
    <w:basedOn w:val="DefaultParagraphFont"/>
    <w:link w:val="26"/>
    <w:rsid w:val="009F04C6"/>
    <w:rPr>
      <w:rFonts w:ascii="Calibri" w:eastAsia="Calibri" w:hAnsi="Calibri" w:cs="Calibri"/>
      <w:color w:val="002060"/>
      <w:sz w:val="24"/>
    </w:rPr>
  </w:style>
  <w:style w:type="paragraph" w:customStyle="1" w:styleId="35">
    <w:name w:val="רשימה3 ממה"/>
    <w:basedOn w:val="Normal"/>
    <w:link w:val="36"/>
    <w:qFormat/>
    <w:rsid w:val="009F04C6"/>
    <w:pPr>
      <w:widowControl w:val="0"/>
      <w:numPr>
        <w:numId w:val="17"/>
      </w:numPr>
      <w:spacing w:line="280" w:lineRule="exact"/>
    </w:pPr>
    <w:rPr>
      <w:rFonts w:ascii="Calibri" w:eastAsia="Calibri" w:hAnsi="Calibri" w:cs="Calibri"/>
      <w:color w:val="002060"/>
      <w:sz w:val="24"/>
    </w:rPr>
  </w:style>
  <w:style w:type="character" w:customStyle="1" w:styleId="36">
    <w:name w:val="רשימה3 ממה תו"/>
    <w:basedOn w:val="DefaultParagraphFont"/>
    <w:link w:val="35"/>
    <w:rsid w:val="009F04C6"/>
    <w:rPr>
      <w:rFonts w:ascii="Calibri" w:eastAsia="Calibri" w:hAnsi="Calibri" w:cs="Calibri"/>
      <w:color w:val="002060"/>
      <w:sz w:val="24"/>
    </w:rPr>
  </w:style>
  <w:style w:type="paragraph" w:customStyle="1" w:styleId="44">
    <w:name w:val="רשימה4 ממה"/>
    <w:basedOn w:val="Normal"/>
    <w:link w:val="45"/>
    <w:qFormat/>
    <w:rsid w:val="009F04C6"/>
    <w:pPr>
      <w:widowControl w:val="0"/>
      <w:spacing w:line="280" w:lineRule="exact"/>
      <w:ind w:left="2552"/>
    </w:pPr>
    <w:rPr>
      <w:rFonts w:ascii="Calibri" w:eastAsia="Calibri" w:hAnsi="Calibri" w:cs="Calibri"/>
      <w:color w:val="002060"/>
      <w:sz w:val="24"/>
    </w:rPr>
  </w:style>
  <w:style w:type="character" w:customStyle="1" w:styleId="45">
    <w:name w:val="רשימה4 ממה תו"/>
    <w:basedOn w:val="DefaultParagraphFont"/>
    <w:link w:val="44"/>
    <w:rsid w:val="009F04C6"/>
    <w:rPr>
      <w:rFonts w:ascii="Calibri" w:eastAsia="Calibri" w:hAnsi="Calibri" w:cs="Calibri"/>
      <w:color w:val="002060"/>
      <w:sz w:val="24"/>
    </w:rPr>
  </w:style>
  <w:style w:type="paragraph" w:customStyle="1" w:styleId="52">
    <w:name w:val="רשימה5 ממה"/>
    <w:basedOn w:val="Normal"/>
    <w:link w:val="53"/>
    <w:qFormat/>
    <w:rsid w:val="009F04C6"/>
    <w:pPr>
      <w:widowControl w:val="0"/>
      <w:numPr>
        <w:numId w:val="18"/>
      </w:numPr>
      <w:spacing w:line="280" w:lineRule="exact"/>
    </w:pPr>
    <w:rPr>
      <w:rFonts w:ascii="Calibri" w:eastAsia="Calibri" w:hAnsi="Calibri" w:cs="Calibri"/>
      <w:color w:val="002060"/>
      <w:sz w:val="24"/>
    </w:rPr>
  </w:style>
  <w:style w:type="character" w:customStyle="1" w:styleId="53">
    <w:name w:val="רשימה5 ממה תו"/>
    <w:basedOn w:val="DefaultParagraphFont"/>
    <w:link w:val="52"/>
    <w:rsid w:val="009F04C6"/>
    <w:rPr>
      <w:rFonts w:ascii="Calibri" w:eastAsia="Calibri" w:hAnsi="Calibri" w:cs="Calibri"/>
      <w:color w:val="002060"/>
      <w:sz w:val="24"/>
    </w:rPr>
  </w:style>
  <w:style w:type="paragraph" w:customStyle="1" w:styleId="a40">
    <w:name w:val="הערת שוליים ממה"/>
    <w:basedOn w:val="Normal"/>
    <w:link w:val="a41"/>
    <w:qFormat/>
    <w:rsid w:val="009F04C6"/>
    <w:pPr>
      <w:widowControl w:val="0"/>
      <w:spacing w:line="280" w:lineRule="exact"/>
      <w:ind w:left="1985" w:hanging="851"/>
    </w:pPr>
    <w:rPr>
      <w:rFonts w:ascii="Calibri" w:eastAsia="Calibri" w:hAnsi="Calibri" w:cs="Calibri"/>
      <w:color w:val="002060"/>
      <w:sz w:val="24"/>
      <w:szCs w:val="20"/>
    </w:rPr>
  </w:style>
  <w:style w:type="character" w:customStyle="1" w:styleId="a41">
    <w:name w:val="הערת שוליים ממה תו"/>
    <w:basedOn w:val="DefaultParagraphFont"/>
    <w:link w:val="a40"/>
    <w:rsid w:val="009F04C6"/>
    <w:rPr>
      <w:rFonts w:ascii="Calibri" w:eastAsia="Calibri" w:hAnsi="Calibri" w:cs="Calibri"/>
      <w:color w:val="002060"/>
      <w:sz w:val="24"/>
      <w:szCs w:val="20"/>
    </w:rPr>
  </w:style>
  <w:style w:type="paragraph" w:customStyle="1" w:styleId="a42">
    <w:name w:val="הערת סיום ממה"/>
    <w:basedOn w:val="Normal"/>
    <w:link w:val="a43"/>
    <w:qFormat/>
    <w:rsid w:val="009F04C6"/>
    <w:pPr>
      <w:widowControl w:val="0"/>
      <w:spacing w:line="240" w:lineRule="auto"/>
      <w:ind w:left="1134"/>
    </w:pPr>
    <w:rPr>
      <w:rFonts w:ascii="Calibri" w:eastAsia="Calibri" w:hAnsi="Calibri" w:cs="Calibri"/>
      <w:color w:val="002060"/>
      <w:sz w:val="24"/>
      <w:szCs w:val="20"/>
    </w:rPr>
  </w:style>
  <w:style w:type="character" w:customStyle="1" w:styleId="a43">
    <w:name w:val="הערת סיום ממה תו"/>
    <w:basedOn w:val="DefaultParagraphFont"/>
    <w:link w:val="a42"/>
    <w:rsid w:val="009F04C6"/>
    <w:rPr>
      <w:rFonts w:ascii="Calibri" w:eastAsia="Calibri" w:hAnsi="Calibri" w:cs="Calibri"/>
      <w:color w:val="002060"/>
      <w:sz w:val="24"/>
      <w:szCs w:val="20"/>
    </w:rPr>
  </w:style>
  <w:style w:type="paragraph" w:customStyle="1" w:styleId="125">
    <w:name w:val="ליקוי/ממצא חיובי/המלצה1 ממה"/>
    <w:next w:val="Normal"/>
    <w:link w:val="126"/>
    <w:qFormat/>
    <w:rsid w:val="009F04C6"/>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26">
    <w:name w:val="ליקוי/ממצא חיובי/המלצה1 ממה תו"/>
    <w:basedOn w:val="DefaultParagraphFont"/>
    <w:link w:val="125"/>
    <w:rsid w:val="009F04C6"/>
    <w:rPr>
      <w:rFonts w:ascii="Calibri" w:eastAsia="Calibri" w:hAnsi="Calibri" w:cs="Calibri"/>
      <w:color w:val="002060"/>
      <w:sz w:val="24"/>
    </w:rPr>
  </w:style>
  <w:style w:type="paragraph" w:customStyle="1" w:styleId="28">
    <w:name w:val="ליקוי/ממצא חיובי/המלצה2 ממה"/>
    <w:basedOn w:val="Normal"/>
    <w:next w:val="Normal"/>
    <w:link w:val="29"/>
    <w:qFormat/>
    <w:rsid w:val="009F04C6"/>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9">
    <w:name w:val="ליקוי/ממצא חיובי/המלצה2 ממה תו"/>
    <w:basedOn w:val="126"/>
    <w:link w:val="28"/>
    <w:rsid w:val="009F04C6"/>
    <w:rPr>
      <w:rFonts w:ascii="Calibri" w:eastAsia="Calibri" w:hAnsi="Calibri" w:cs="Calibri"/>
      <w:color w:val="002060"/>
      <w:sz w:val="24"/>
    </w:rPr>
  </w:style>
  <w:style w:type="paragraph" w:customStyle="1" w:styleId="37">
    <w:name w:val="ליקוי/ממצא חיובי/המלצה3 ממה"/>
    <w:basedOn w:val="Normal"/>
    <w:link w:val="38"/>
    <w:qFormat/>
    <w:rsid w:val="009F04C6"/>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8">
    <w:name w:val="ליקוי/ממצא חיובי/המלצה3 ממה תו"/>
    <w:basedOn w:val="DefaultParagraphFont"/>
    <w:link w:val="37"/>
    <w:rsid w:val="009F04C6"/>
    <w:rPr>
      <w:rFonts w:ascii="Calibri" w:eastAsia="Calibri" w:hAnsi="Calibri" w:cs="Calibri"/>
      <w:color w:val="002060"/>
      <w:sz w:val="24"/>
    </w:rPr>
  </w:style>
  <w:style w:type="paragraph" w:customStyle="1" w:styleId="a44">
    <w:name w:val="נבנצאל ממה"/>
    <w:basedOn w:val="Normal"/>
    <w:next w:val="Normal"/>
    <w:link w:val="a45"/>
    <w:uiPriority w:val="99"/>
    <w:qFormat/>
    <w:rsid w:val="009F04C6"/>
    <w:pPr>
      <w:keepNext/>
      <w:spacing w:line="280" w:lineRule="exact"/>
      <w:jc w:val="left"/>
    </w:pPr>
    <w:rPr>
      <w:rFonts w:ascii="Calibri" w:eastAsia="Calibri" w:hAnsi="Calibri" w:cs="Calibri"/>
      <w:color w:val="002060"/>
      <w:szCs w:val="20"/>
    </w:rPr>
  </w:style>
  <w:style w:type="character" w:customStyle="1" w:styleId="a45">
    <w:name w:val="נבנצאל ממה תו"/>
    <w:basedOn w:val="DefaultParagraphFont"/>
    <w:link w:val="a44"/>
    <w:uiPriority w:val="99"/>
    <w:rsid w:val="009F04C6"/>
    <w:rPr>
      <w:rFonts w:ascii="Calibri" w:eastAsia="Calibri" w:hAnsi="Calibri" w:cs="Calibri"/>
      <w:color w:val="002060"/>
      <w:szCs w:val="20"/>
    </w:rPr>
  </w:style>
  <w:style w:type="paragraph" w:customStyle="1" w:styleId="a46">
    <w:name w:val="רגיל ממה"/>
    <w:basedOn w:val="Normal"/>
    <w:link w:val="a47"/>
    <w:qFormat/>
    <w:rsid w:val="009F04C6"/>
    <w:pPr>
      <w:widowControl w:val="0"/>
      <w:spacing w:line="280" w:lineRule="exact"/>
      <w:ind w:left="1134"/>
    </w:pPr>
    <w:rPr>
      <w:rFonts w:ascii="Calibri" w:eastAsia="Calibri" w:hAnsi="Calibri" w:cs="Calibri"/>
      <w:color w:val="002060"/>
      <w:sz w:val="24"/>
    </w:rPr>
  </w:style>
  <w:style w:type="character" w:customStyle="1" w:styleId="a47">
    <w:name w:val="רגיל ממה תו"/>
    <w:basedOn w:val="DefaultParagraphFont"/>
    <w:link w:val="a46"/>
    <w:rsid w:val="009F04C6"/>
    <w:rPr>
      <w:rFonts w:ascii="Calibri" w:eastAsia="Calibri" w:hAnsi="Calibri" w:cs="Calibri"/>
      <w:color w:val="002060"/>
      <w:sz w:val="24"/>
    </w:rPr>
  </w:style>
  <w:style w:type="paragraph" w:customStyle="1" w:styleId="a48">
    <w:name w:val="סיכום ממה"/>
    <w:basedOn w:val="Normal"/>
    <w:next w:val="Normal"/>
    <w:link w:val="a49"/>
    <w:qFormat/>
    <w:rsid w:val="009F04C6"/>
    <w:pPr>
      <w:spacing w:line="276" w:lineRule="auto"/>
      <w:ind w:left="1140"/>
    </w:pPr>
    <w:rPr>
      <w:rFonts w:ascii="Calibri" w:eastAsia="Calibri" w:hAnsi="Calibri" w:cs="Calibri"/>
      <w:b/>
      <w:bCs/>
      <w:color w:val="FFFFFF" w:themeColor="background1"/>
      <w:sz w:val="2"/>
      <w:szCs w:val="2"/>
    </w:rPr>
  </w:style>
  <w:style w:type="character" w:customStyle="1" w:styleId="a49">
    <w:name w:val="סיכום ממה תו"/>
    <w:basedOn w:val="DefaultParagraphFont"/>
    <w:link w:val="a48"/>
    <w:rsid w:val="009F04C6"/>
    <w:rPr>
      <w:rFonts w:ascii="Calibri" w:eastAsia="Calibri" w:hAnsi="Calibri" w:cs="Calibri"/>
      <w:b/>
      <w:bCs/>
      <w:color w:val="FFFFFF" w:themeColor="background1"/>
      <w:sz w:val="2"/>
      <w:szCs w:val="2"/>
    </w:rPr>
  </w:style>
  <w:style w:type="paragraph" w:customStyle="1" w:styleId="a50">
    <w:name w:val="טקסט סיכום ממה"/>
    <w:basedOn w:val="Normal"/>
    <w:next w:val="Normal"/>
    <w:qFormat/>
    <w:rsid w:val="009F04C6"/>
    <w:pPr>
      <w:widowControl w:val="0"/>
      <w:spacing w:after="240" w:line="280" w:lineRule="exact"/>
      <w:ind w:left="1140"/>
    </w:pPr>
    <w:rPr>
      <w:rFonts w:ascii="Calibri" w:eastAsia="Calibri" w:hAnsi="Calibri" w:cs="Calibri"/>
      <w:bCs/>
      <w:color w:val="002060"/>
      <w:sz w:val="24"/>
    </w:rPr>
  </w:style>
  <w:style w:type="paragraph" w:customStyle="1" w:styleId="a51">
    <w:name w:val="סיכום ביניים ממה"/>
    <w:basedOn w:val="Normal"/>
    <w:next w:val="Normal"/>
    <w:qFormat/>
    <w:rsid w:val="009F04C6"/>
    <w:pPr>
      <w:widowControl w:val="0"/>
      <w:spacing w:before="240" w:after="240"/>
      <w:ind w:left="1134"/>
    </w:pPr>
    <w:rPr>
      <w:rFonts w:ascii="Calibri" w:eastAsia="Calibri" w:hAnsi="Calibri" w:cs="Calibri"/>
      <w:noProof/>
      <w:color w:val="002060"/>
      <w:sz w:val="24"/>
    </w:rPr>
  </w:style>
  <w:style w:type="paragraph" w:customStyle="1" w:styleId="a52">
    <w:name w:val="טקסט סיכום ביניים ממה"/>
    <w:basedOn w:val="Normal"/>
    <w:next w:val="Normal"/>
    <w:qFormat/>
    <w:rsid w:val="009F04C6"/>
    <w:pPr>
      <w:widowControl w:val="0"/>
      <w:spacing w:after="240" w:line="280" w:lineRule="exact"/>
      <w:ind w:left="1134"/>
    </w:pPr>
    <w:rPr>
      <w:rFonts w:ascii="Calibri" w:eastAsia="Calibri" w:hAnsi="Calibri" w:cs="Calibri"/>
      <w:bCs/>
      <w:color w:val="002060"/>
      <w:sz w:val="24"/>
    </w:rPr>
  </w:style>
  <w:style w:type="paragraph" w:customStyle="1" w:styleId="a53">
    <w:name w:val="תרשים ממה"/>
    <w:basedOn w:val="Normal"/>
    <w:next w:val="Normal"/>
    <w:link w:val="a54"/>
    <w:qFormat/>
    <w:rsid w:val="009F04C6"/>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54">
    <w:name w:val="תרשים ממה תו"/>
    <w:basedOn w:val="DefaultParagraphFont"/>
    <w:link w:val="a53"/>
    <w:rsid w:val="009F04C6"/>
    <w:rPr>
      <w:rFonts w:ascii="Calibri" w:eastAsia="Calibri" w:hAnsi="Calibri" w:cs="Calibri"/>
      <w:b/>
      <w:bCs/>
      <w:color w:val="002060"/>
      <w:sz w:val="24"/>
    </w:rPr>
  </w:style>
  <w:style w:type="paragraph" w:customStyle="1" w:styleId="a55">
    <w:name w:val="תמונה ממה"/>
    <w:basedOn w:val="Normal"/>
    <w:next w:val="Normal"/>
    <w:link w:val="a56"/>
    <w:qFormat/>
    <w:rsid w:val="009F04C6"/>
    <w:pPr>
      <w:keepNext/>
      <w:keepLines/>
      <w:widowControl w:val="0"/>
      <w:numPr>
        <w:numId w:val="20"/>
      </w:numPr>
      <w:spacing w:line="280" w:lineRule="exact"/>
      <w:jc w:val="center"/>
      <w:outlineLvl w:val="6"/>
    </w:pPr>
    <w:rPr>
      <w:rFonts w:ascii="Calibri" w:eastAsia="Calibri" w:hAnsi="Calibri" w:cs="Calibri"/>
      <w:b/>
      <w:bCs/>
      <w:color w:val="002060"/>
      <w:sz w:val="24"/>
    </w:rPr>
  </w:style>
  <w:style w:type="character" w:customStyle="1" w:styleId="a56">
    <w:name w:val="תמונה ממה תו"/>
    <w:basedOn w:val="DefaultParagraphFont"/>
    <w:link w:val="a55"/>
    <w:rsid w:val="009F04C6"/>
    <w:rPr>
      <w:rFonts w:ascii="Calibri" w:eastAsia="Calibri" w:hAnsi="Calibri" w:cs="Calibri"/>
      <w:b/>
      <w:bCs/>
      <w:color w:val="002060"/>
      <w:sz w:val="24"/>
    </w:rPr>
  </w:style>
  <w:style w:type="paragraph" w:customStyle="1" w:styleId="a57">
    <w:name w:val="לוח ממה"/>
    <w:basedOn w:val="Normal"/>
    <w:next w:val="Normal"/>
    <w:link w:val="a58"/>
    <w:qFormat/>
    <w:rsid w:val="009F04C6"/>
    <w:pPr>
      <w:keepNext/>
      <w:keepLines/>
      <w:widowControl w:val="0"/>
      <w:numPr>
        <w:numId w:val="21"/>
      </w:numPr>
      <w:spacing w:line="280" w:lineRule="exact"/>
      <w:jc w:val="center"/>
      <w:outlineLvl w:val="6"/>
    </w:pPr>
    <w:rPr>
      <w:rFonts w:ascii="Calibri" w:eastAsia="Calibri" w:hAnsi="Calibri" w:cs="Calibri"/>
      <w:b/>
      <w:bCs/>
      <w:color w:val="002060"/>
      <w:sz w:val="24"/>
    </w:rPr>
  </w:style>
  <w:style w:type="character" w:customStyle="1" w:styleId="a58">
    <w:name w:val="לוח ממה תו"/>
    <w:basedOn w:val="DefaultParagraphFont"/>
    <w:link w:val="a57"/>
    <w:rsid w:val="009F04C6"/>
    <w:rPr>
      <w:rFonts w:ascii="Calibri" w:eastAsia="Calibri" w:hAnsi="Calibri" w:cs="Calibri"/>
      <w:b/>
      <w:bCs/>
      <w:color w:val="002060"/>
      <w:sz w:val="24"/>
    </w:rPr>
  </w:style>
  <w:style w:type="paragraph" w:customStyle="1" w:styleId="a59">
    <w:name w:val="מפה ממה"/>
    <w:basedOn w:val="Normal"/>
    <w:next w:val="Normal"/>
    <w:link w:val="a60"/>
    <w:qFormat/>
    <w:rsid w:val="009F04C6"/>
    <w:pPr>
      <w:keepNext/>
      <w:keepLines/>
      <w:widowControl w:val="0"/>
      <w:numPr>
        <w:numId w:val="22"/>
      </w:numPr>
      <w:spacing w:line="280" w:lineRule="exact"/>
      <w:jc w:val="center"/>
      <w:outlineLvl w:val="6"/>
    </w:pPr>
    <w:rPr>
      <w:rFonts w:ascii="Calibri" w:eastAsia="Calibri" w:hAnsi="Calibri" w:cs="Calibri"/>
      <w:b/>
      <w:bCs/>
      <w:color w:val="002060"/>
      <w:sz w:val="24"/>
    </w:rPr>
  </w:style>
  <w:style w:type="character" w:customStyle="1" w:styleId="a60">
    <w:name w:val="מפה ממה תו"/>
    <w:basedOn w:val="DefaultParagraphFont"/>
    <w:link w:val="a59"/>
    <w:rsid w:val="009F04C6"/>
    <w:rPr>
      <w:rFonts w:ascii="Calibri" w:eastAsia="Calibri" w:hAnsi="Calibri" w:cs="Calibri"/>
      <w:b/>
      <w:bCs/>
      <w:color w:val="002060"/>
      <w:sz w:val="24"/>
    </w:rPr>
  </w:style>
  <w:style w:type="paragraph" w:customStyle="1" w:styleId="a61">
    <w:name w:val="מקור ממה"/>
    <w:basedOn w:val="Normal"/>
    <w:next w:val="Normal"/>
    <w:qFormat/>
    <w:rsid w:val="009F04C6"/>
    <w:pPr>
      <w:keepNext/>
      <w:keepLines/>
      <w:widowControl w:val="0"/>
      <w:ind w:left="1134"/>
    </w:pPr>
    <w:rPr>
      <w:rFonts w:ascii="Calibri" w:eastAsia="Calibri" w:hAnsi="Calibri" w:cs="Calibri"/>
      <w:color w:val="002060"/>
      <w:szCs w:val="20"/>
    </w:rPr>
  </w:style>
  <w:style w:type="paragraph" w:customStyle="1" w:styleId="a62">
    <w:name w:val="אובייקט ממה"/>
    <w:basedOn w:val="Normal"/>
    <w:next w:val="Normal"/>
    <w:qFormat/>
    <w:rsid w:val="009F04C6"/>
    <w:pPr>
      <w:keepNext/>
      <w:widowControl w:val="0"/>
      <w:spacing w:line="269" w:lineRule="auto"/>
      <w:ind w:left="1134"/>
    </w:pPr>
    <w:rPr>
      <w:rFonts w:ascii="Calibri" w:eastAsia="Calibri" w:hAnsi="Calibri" w:cs="Calibri"/>
      <w:noProof/>
      <w:color w:val="002060"/>
      <w:sz w:val="24"/>
    </w:rPr>
  </w:style>
  <w:style w:type="paragraph" w:customStyle="1" w:styleId="a63">
    <w:name w:val="רכיבי המבוא ממה"/>
    <w:basedOn w:val="Normal"/>
    <w:link w:val="a64"/>
    <w:qFormat/>
    <w:rsid w:val="009F04C6"/>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64">
    <w:name w:val="רכיבי המבוא ממה תו"/>
    <w:basedOn w:val="DefaultParagraphFont"/>
    <w:link w:val="a63"/>
    <w:rsid w:val="009F04C6"/>
    <w:rPr>
      <w:rFonts w:ascii="Calibri" w:eastAsia="Calibri" w:hAnsi="Calibri" w:cs="Calibri"/>
      <w:color w:val="002060"/>
      <w:szCs w:val="20"/>
    </w:rPr>
  </w:style>
  <w:style w:type="paragraph" w:customStyle="1" w:styleId="a65">
    <w:name w:val="אייקון במבוא ממה"/>
    <w:basedOn w:val="Normal"/>
    <w:link w:val="a66"/>
    <w:qFormat/>
    <w:rsid w:val="009F04C6"/>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66">
    <w:name w:val="אייקון במבוא ממה תו"/>
    <w:basedOn w:val="DefaultParagraphFont"/>
    <w:link w:val="a65"/>
    <w:rsid w:val="009F04C6"/>
    <w:rPr>
      <w:rFonts w:ascii="Calibri" w:eastAsia="Calibri" w:hAnsi="Calibri" w:cs="Calibri"/>
      <w:bCs/>
      <w:color w:val="002060"/>
      <w:sz w:val="24"/>
      <w:szCs w:val="20"/>
    </w:rPr>
  </w:style>
  <w:style w:type="paragraph" w:customStyle="1" w:styleId="753">
    <w:name w:val="75א מספור הערות שוליים"/>
    <w:basedOn w:val="732"/>
    <w:qFormat/>
    <w:rsid w:val="007F4A1C"/>
  </w:style>
  <w:style w:type="paragraph" w:customStyle="1" w:styleId="759">
    <w:name w:val="75א טקסט רץ 9"/>
    <w:basedOn w:val="a16"/>
    <w:link w:val="759Char"/>
    <w:qFormat/>
    <w:rsid w:val="007F4A1C"/>
    <w:rPr>
      <w:color w:val="0D0D0D" w:themeColor="text1" w:themeTint="F2"/>
      <w:sz w:val="18"/>
    </w:rPr>
  </w:style>
  <w:style w:type="character" w:customStyle="1" w:styleId="759Char">
    <w:name w:val="75א טקסט רץ 9 Char"/>
    <w:basedOn w:val="Char6"/>
    <w:link w:val="759"/>
    <w:rsid w:val="007F4A1C"/>
    <w:rPr>
      <w:rFonts w:ascii="Tahoma" w:hAnsi="Tahoma" w:cs="Tahoma"/>
      <w:color w:val="0D0D0D" w:themeColor="text1" w:themeTint="F2"/>
      <w:sz w:val="18"/>
      <w:szCs w:val="18"/>
    </w:rPr>
  </w:style>
  <w:style w:type="paragraph" w:customStyle="1" w:styleId="752024">
    <w:name w:val="75א כיתוב בתוך טבלת תקציר 2024"/>
    <w:basedOn w:val="20210"/>
    <w:link w:val="752024Char"/>
    <w:qFormat/>
    <w:rsid w:val="00A541A4"/>
  </w:style>
  <w:style w:type="character" w:customStyle="1" w:styleId="752024Char">
    <w:name w:val="75א כיתוב בתוך טבלת תקציר 2024 Char"/>
    <w:basedOn w:val="2021Char0"/>
    <w:link w:val="752024"/>
    <w:rsid w:val="00A541A4"/>
    <w:rPr>
      <w:rFonts w:ascii="Tahoma" w:hAnsi="Tahoma" w:eastAsiaTheme="minorEastAsia" w:cs="Tahoma"/>
      <w:color w:val="0D0D0D" w:themeColor="text1" w:themeTint="F2"/>
      <w:w w:val="90"/>
      <w:sz w:val="18"/>
      <w:szCs w:val="18"/>
    </w:rPr>
  </w:style>
  <w:style w:type="paragraph" w:customStyle="1" w:styleId="754">
    <w:name w:val="75א הזחה שנייה עם בולטס"/>
    <w:basedOn w:val="739"/>
    <w:qFormat/>
    <w:rsid w:val="00913C83"/>
    <w:pPr>
      <w:numPr>
        <w:numId w:val="31"/>
      </w:numPr>
      <w:ind w:left="754" w:hanging="357"/>
    </w:pPr>
  </w:style>
  <w:style w:type="paragraph" w:customStyle="1" w:styleId="755">
    <w:name w:val="75א הזחה ראשונה ללא מספר"/>
    <w:basedOn w:val="739"/>
    <w:qFormat/>
    <w:rsid w:val="00487083"/>
    <w:pPr>
      <w:ind w:left="397"/>
    </w:pPr>
  </w:style>
  <w:style w:type="paragraph" w:customStyle="1" w:styleId="714">
    <w:name w:val="71ג הזחה ראשונה ללא מספר"/>
    <w:basedOn w:val="Normal"/>
    <w:qFormat/>
    <w:rsid w:val="00487083"/>
    <w:pPr>
      <w:spacing w:after="180" w:line="260" w:lineRule="exact"/>
      <w:ind w:left="397"/>
    </w:pPr>
    <w:rPr>
      <w:rFonts w:ascii="Tahoma" w:hAnsi="Tahoma" w:cs="Tahoma"/>
      <w:color w:val="0D0D0D" w:themeColor="text1" w:themeTint="F2"/>
      <w:sz w:val="18"/>
      <w:szCs w:val="18"/>
    </w:rPr>
  </w:style>
  <w:style w:type="paragraph" w:customStyle="1" w:styleId="71R">
    <w:name w:val="71ג טבלה טקסט R"/>
    <w:basedOn w:val="Normal"/>
    <w:qFormat/>
    <w:rsid w:val="00BA7B4B"/>
    <w:pPr>
      <w:spacing w:before="120" w:after="120" w:line="240" w:lineRule="exact"/>
      <w:jc w:val="left"/>
    </w:pPr>
    <w:rPr>
      <w:rFonts w:ascii="Tahoma" w:hAnsi="Tahoma" w:eastAsiaTheme="minorEastAsia" w:cs="Tahoma"/>
      <w:color w:val="000000" w:themeColor="text1"/>
      <w:sz w:val="16"/>
      <w:szCs w:val="16"/>
    </w:rPr>
  </w:style>
  <w:style w:type="paragraph" w:customStyle="1" w:styleId="756">
    <w:name w:val="75א סיכום"/>
    <w:basedOn w:val="75"/>
    <w:qFormat/>
    <w:rsid w:val="001D6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image" Target="media/image5.jpeg" /><Relationship Id="rId17" Type="http://schemas.openxmlformats.org/officeDocument/2006/relationships/header" Target="header4.xml" /><Relationship Id="rId18" Type="http://schemas.openxmlformats.org/officeDocument/2006/relationships/footer" Target="footer2.xml"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jpeg" /><Relationship Id="rId26" Type="http://schemas.openxmlformats.org/officeDocument/2006/relationships/image" Target="media/image13.jpeg" /><Relationship Id="rId27" Type="http://schemas.openxmlformats.org/officeDocument/2006/relationships/header" Target="header5.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theme/_rels/theme1.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21A5EE-CBA3-4FB0-B141-555A710436C7}"/>
</file>

<file path=customXml/itemProps2.xml><?xml version="1.0" encoding="utf-8"?>
<ds:datastoreItem xmlns:ds="http://schemas.openxmlformats.org/officeDocument/2006/customXml" ds:itemID="{981BCB5C-4941-496E-9A8E-88C5F79007C9}">
  <ds:schemaRefs>
    <ds:schemaRef ds:uri="http://schemas.openxmlformats.org/officeDocument/2006/bibliography"/>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F7603606-5E1C-4A20-A662-7530344C0C79}">
  <ds:schemaRef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3036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שושנה שחר שחר</cp:lastModifiedBy>
  <cp:revision>12</cp:revision>
  <cp:lastPrinted>2024-06-16T12:12:00Z</cp:lastPrinted>
  <dcterms:created xsi:type="dcterms:W3CDTF">2024-07-14T10:48:00Z</dcterms:created>
  <dcterms:modified xsi:type="dcterms:W3CDTF">2024-07-17T19:44:00Z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