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ackground w:color="ffffff">
    <v:background id="_x0000_s1025" filled="t"/>
  </w:background>
  <w:body>
    <w:p w:rsidR="008B2E28" w:rsidP="001F3363" w14:paraId="77BCECBB" w14:textId="097ABF68">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7CB500D1">
      <w:pPr>
        <w:rPr>
          <w:rtl/>
        </w:rPr>
      </w:pPr>
      <w:bookmarkStart w:id="0" w:name="_Hlk63775048"/>
      <w:bookmarkEnd w:id="0"/>
    </w:p>
    <w:p w:rsidR="008B2E28" w:rsidP="008D2388" w14:paraId="2060569F" w14:textId="1B588A40">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57F3C9FB">
      <w:pPr>
        <w:spacing w:line="240" w:lineRule="atLeast"/>
        <w:jc w:val="center"/>
        <w:rPr>
          <w:rFonts w:ascii="Tahoma" w:hAnsi="Tahoma" w:cs="Tahoma"/>
          <w:sz w:val="22"/>
          <w:szCs w:val="22"/>
          <w:rtl/>
        </w:rPr>
      </w:pPr>
    </w:p>
    <w:p w:rsidR="008B2E28" w:rsidP="008D2388" w14:paraId="1A10551E" w14:textId="2F78999C">
      <w:pPr>
        <w:spacing w:line="240" w:lineRule="atLeast"/>
        <w:jc w:val="center"/>
        <w:rPr>
          <w:rFonts w:ascii="Tahoma" w:hAnsi="Tahoma" w:cs="Tahoma"/>
          <w:sz w:val="22"/>
          <w:szCs w:val="22"/>
          <w:rtl/>
        </w:rPr>
      </w:pPr>
    </w:p>
    <w:p w:rsidR="003C32FE" w:rsidRPr="00170230" w:rsidP="003C32FE" w14:paraId="7F9E1DC9" w14:textId="5D30E9E6">
      <w:pPr>
        <w:spacing w:line="240" w:lineRule="atLeast"/>
        <w:jc w:val="center"/>
        <w:rPr>
          <w:rFonts w:ascii="Tahoma" w:hAnsi="Tahoma" w:cs="Tahoma"/>
          <w:szCs w:val="18"/>
          <w:rtl/>
        </w:rPr>
      </w:pPr>
    </w:p>
    <w:p w:rsidR="003C32FE" w:rsidP="003C32FE" w14:paraId="6FE9A991" w14:textId="5FB7A9D1">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3088336</wp:posOffset>
                </wp:positionH>
                <wp:positionV relativeFrom="paragraph">
                  <wp:posOffset>258445</wp:posOffset>
                </wp:positionV>
                <wp:extent cx="0" cy="3190875"/>
                <wp:effectExtent l="19050" t="0" r="38100" b="4762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1908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6432" from="243.2pt,20.35pt" to="243.2pt,271.6pt" strokecolor="white" strokeweight="4pt"/>
            </w:pict>
          </mc:Fallback>
        </mc:AlternateContent>
      </w:r>
      <w:r>
        <w:rPr>
          <w:noProof/>
        </w:rPr>
        <w:drawing>
          <wp:anchor distT="0" distB="0" distL="114300" distR="114300" simplePos="0" relativeHeight="251702272" behindDoc="0" locked="0" layoutInCell="1" allowOverlap="1">
            <wp:simplePos x="0" y="0"/>
            <wp:positionH relativeFrom="column">
              <wp:posOffset>3285821</wp:posOffset>
            </wp:positionH>
            <wp:positionV relativeFrom="paragraph">
              <wp:posOffset>480695</wp:posOffset>
            </wp:positionV>
            <wp:extent cx="948055" cy="617855"/>
            <wp:effectExtent l="0" t="0" r="444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r w:rsidR="00BA658C">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788669</wp:posOffset>
                </wp:positionH>
                <wp:positionV relativeFrom="paragraph">
                  <wp:posOffset>1845945</wp:posOffset>
                </wp:positionV>
                <wp:extent cx="2152015"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15201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8480" from="62.1pt,145.35pt" to="231.55pt,145.35pt" strokecolor="white" strokeweight="1.5pt"/>
            </w:pict>
          </mc:Fallback>
        </mc:AlternateContent>
      </w:r>
    </w:p>
    <w:p w:rsidR="003C32FE" w:rsidP="003C32FE" w14:paraId="721B2220" w14:textId="2884D2E5">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356235</wp:posOffset>
                </wp:positionH>
                <wp:positionV relativeFrom="paragraph">
                  <wp:posOffset>163830</wp:posOffset>
                </wp:positionV>
                <wp:extent cx="4105275" cy="4273550"/>
                <wp:effectExtent l="0" t="0" r="9525"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0527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70CF" w:rsidRPr="0052031E" w:rsidP="001370CF" w14:textId="683516BA">
                            <w:pPr>
                              <w:pStyle w:val="a26"/>
                              <w:bidi/>
                              <w:rPr>
                                <w:rtl/>
                              </w:rPr>
                            </w:pPr>
                            <w:r>
                              <w:rPr>
                                <w:rFonts w:hint="cs"/>
                                <w:rtl/>
                              </w:rPr>
                              <w:t xml:space="preserve">דוח מבקר המדינה | תמוז </w:t>
                            </w:r>
                            <w:r>
                              <w:rPr>
                                <w:rFonts w:hint="cs"/>
                                <w:rtl/>
                              </w:rPr>
                              <w:t>התשפ"ד</w:t>
                            </w:r>
                            <w:r>
                              <w:rPr>
                                <w:rFonts w:hint="cs"/>
                                <w:rtl/>
                              </w:rPr>
                              <w:t xml:space="preserve"> </w:t>
                            </w:r>
                            <w:r w:rsidRPr="0052031E">
                              <w:rPr>
                                <w:rtl/>
                              </w:rPr>
                              <w:t>|</w:t>
                            </w:r>
                            <w:r>
                              <w:rPr>
                                <w:rFonts w:hint="cs"/>
                                <w:rtl/>
                              </w:rPr>
                              <w:t xml:space="preserve"> יולי 2024</w:t>
                            </w:r>
                          </w:p>
                          <w:p w:rsidR="008A71D4" w:rsidRPr="0052031E" w:rsidP="008A71D4" w14:textId="0C20DA9A">
                            <w:pPr>
                              <w:pStyle w:val="a26"/>
                              <w:bidi/>
                              <w:rPr>
                                <w:rtl/>
                              </w:rPr>
                            </w:pPr>
                          </w:p>
                          <w:p w:rsidR="00F73EE0" w:rsidP="0052031E" w14:textId="77777777">
                            <w:pPr>
                              <w:ind w:left="2268"/>
                              <w:rPr>
                                <w:rtl/>
                              </w:rPr>
                            </w:pPr>
                          </w:p>
                          <w:p w:rsidR="005D0F8C" w:rsidRPr="000A3ED4" w:rsidP="000F5023" w14:textId="620C4F05">
                            <w:pPr>
                              <w:pStyle w:val="-1"/>
                              <w:rPr>
                                <w:rtl/>
                              </w:rPr>
                            </w:pPr>
                            <w:r>
                              <w:rPr>
                                <w:rFonts w:hint="cs"/>
                                <w:rtl/>
                              </w:rPr>
                              <w:t>ה</w:t>
                            </w:r>
                            <w:r w:rsidRPr="009014C8" w:rsidR="00235CF1">
                              <w:rPr>
                                <w:rtl/>
                              </w:rPr>
                              <w:t xml:space="preserve">משרד </w:t>
                            </w:r>
                            <w:r w:rsidR="00E25D12">
                              <w:rPr>
                                <w:rFonts w:hint="cs"/>
                                <w:rtl/>
                              </w:rPr>
                              <w:t xml:space="preserve">לביטחון </w:t>
                            </w:r>
                            <w:r>
                              <w:rPr>
                                <w:rFonts w:hint="cs"/>
                                <w:rtl/>
                              </w:rPr>
                              <w:t>לאומי</w:t>
                            </w:r>
                          </w:p>
                          <w:p w:rsidR="00F73EE0" w:rsidRPr="000F5023" w:rsidP="0072357A" w14:textId="4E81D5F6">
                            <w:pPr>
                              <w:pStyle w:val="a25"/>
                              <w:bidi/>
                              <w:spacing w:before="120"/>
                              <w:rPr>
                                <w:rtl/>
                              </w:rPr>
                            </w:pPr>
                            <w:r>
                              <w:rPr>
                                <w:rFonts w:hint="cs"/>
                                <w:rtl/>
                              </w:rPr>
                              <w:t>חקירת שריפות ברשות הארצית לכבאות והצלה</w:t>
                            </w:r>
                            <w:r w:rsidRPr="00582DA9" w:rsidR="00C24294">
                              <w:rPr>
                                <w:rtl/>
                              </w:rPr>
                              <w:t xml:space="preserve"> </w:t>
                            </w:r>
                            <w:r w:rsidR="00C24294">
                              <w:rPr>
                                <w:rFonts w:hint="cs"/>
                                <w:rtl/>
                              </w:rPr>
                              <w:t xml:space="preserve"> </w:t>
                            </w:r>
                          </w:p>
                          <w:p w:rsidR="00C30482" w:rsidRPr="000F5023" w:rsidP="000F5023" w14:textId="66C24F23">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23.25pt;height:336.5pt;margin-top:12.9pt;margin-left:28.0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1370CF" w:rsidRPr="0052031E" w:rsidP="001370CF" w14:paraId="636F0CD3" w14:textId="683516BA">
                      <w:pPr>
                        <w:pStyle w:val="a26"/>
                        <w:bidi/>
                        <w:rPr>
                          <w:rtl/>
                        </w:rPr>
                      </w:pPr>
                      <w:r>
                        <w:rPr>
                          <w:rFonts w:hint="cs"/>
                          <w:rtl/>
                        </w:rPr>
                        <w:t xml:space="preserve">דוח מבקר המדינה | תמוז </w:t>
                      </w:r>
                      <w:r>
                        <w:rPr>
                          <w:rFonts w:hint="cs"/>
                          <w:rtl/>
                        </w:rPr>
                        <w:t>התשפ"ד</w:t>
                      </w:r>
                      <w:r>
                        <w:rPr>
                          <w:rFonts w:hint="cs"/>
                          <w:rtl/>
                        </w:rPr>
                        <w:t xml:space="preserve"> </w:t>
                      </w:r>
                      <w:r w:rsidRPr="0052031E">
                        <w:rPr>
                          <w:rtl/>
                        </w:rPr>
                        <w:t>|</w:t>
                      </w:r>
                      <w:r>
                        <w:rPr>
                          <w:rFonts w:hint="cs"/>
                          <w:rtl/>
                        </w:rPr>
                        <w:t xml:space="preserve"> יולי 2024</w:t>
                      </w:r>
                    </w:p>
                    <w:p w:rsidR="008A71D4" w:rsidRPr="0052031E" w:rsidP="008A71D4" w14:paraId="7B675404" w14:textId="0C20DA9A">
                      <w:pPr>
                        <w:pStyle w:val="a26"/>
                        <w:bidi/>
                        <w:rPr>
                          <w:rtl/>
                        </w:rPr>
                      </w:pPr>
                    </w:p>
                    <w:p w:rsidR="00F73EE0" w:rsidP="0052031E" w14:paraId="460F1ABC" w14:textId="77777777">
                      <w:pPr>
                        <w:ind w:left="2268"/>
                        <w:rPr>
                          <w:rtl/>
                        </w:rPr>
                      </w:pPr>
                    </w:p>
                    <w:p w:rsidR="005D0F8C" w:rsidRPr="000A3ED4" w:rsidP="000F5023" w14:paraId="547BD7F9" w14:textId="620C4F05">
                      <w:pPr>
                        <w:pStyle w:val="-1"/>
                        <w:rPr>
                          <w:rtl/>
                        </w:rPr>
                      </w:pPr>
                      <w:r>
                        <w:rPr>
                          <w:rFonts w:hint="cs"/>
                          <w:rtl/>
                        </w:rPr>
                        <w:t>ה</w:t>
                      </w:r>
                      <w:r w:rsidRPr="009014C8" w:rsidR="00235CF1">
                        <w:rPr>
                          <w:rtl/>
                        </w:rPr>
                        <w:t xml:space="preserve">משרד </w:t>
                      </w:r>
                      <w:r w:rsidR="00E25D12">
                        <w:rPr>
                          <w:rFonts w:hint="cs"/>
                          <w:rtl/>
                        </w:rPr>
                        <w:t xml:space="preserve">לביטחון </w:t>
                      </w:r>
                      <w:r>
                        <w:rPr>
                          <w:rFonts w:hint="cs"/>
                          <w:rtl/>
                        </w:rPr>
                        <w:t>לאומי</w:t>
                      </w:r>
                    </w:p>
                    <w:p w:rsidR="00F73EE0" w:rsidRPr="000F5023" w:rsidP="0072357A" w14:paraId="2E194D77" w14:textId="4E81D5F6">
                      <w:pPr>
                        <w:pStyle w:val="a25"/>
                        <w:bidi/>
                        <w:spacing w:before="120"/>
                        <w:rPr>
                          <w:rtl/>
                        </w:rPr>
                      </w:pPr>
                      <w:r>
                        <w:rPr>
                          <w:rFonts w:hint="cs"/>
                          <w:rtl/>
                        </w:rPr>
                        <w:t>חקירת שריפות ברשות הארצית לכבאות והצלה</w:t>
                      </w:r>
                      <w:r w:rsidRPr="00582DA9" w:rsidR="00C24294">
                        <w:rPr>
                          <w:rtl/>
                        </w:rPr>
                        <w:t xml:space="preserve"> </w:t>
                      </w:r>
                      <w:r w:rsidR="00C24294">
                        <w:rPr>
                          <w:rFonts w:hint="cs"/>
                          <w:rtl/>
                        </w:rPr>
                        <w:t xml:space="preserve"> </w:t>
                      </w:r>
                    </w:p>
                    <w:p w:rsidR="00C30482" w:rsidRPr="000F5023" w:rsidP="000F5023" w14:paraId="1BBD9830" w14:textId="66C24F23">
                      <w:pPr>
                        <w:pStyle w:val="a25"/>
                        <w:bidi/>
                        <w:rPr>
                          <w:rtl/>
                        </w:rPr>
                      </w:pPr>
                    </w:p>
                  </w:txbxContent>
                </v:textbox>
                <w10:wrap type="square"/>
              </v:shape>
            </w:pict>
          </mc:Fallback>
        </mc:AlternateContent>
      </w:r>
    </w:p>
    <w:p w:rsidR="00E35DF9" w:rsidRPr="00406E80" w:rsidP="008D2388" w14:paraId="15F9089C" w14:textId="3A18D2FB">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0951D5E7">
      <w:pPr>
        <w:spacing w:line="240" w:lineRule="atLeast"/>
        <w:jc w:val="center"/>
        <w:rPr>
          <w:rFonts w:ascii="Tahoma" w:hAnsi="Tahoma" w:cs="Tahoma"/>
          <w:sz w:val="22"/>
          <w:szCs w:val="22"/>
          <w:rtl/>
        </w:rPr>
      </w:pPr>
    </w:p>
    <w:p w:rsidR="00E35DF9" w:rsidP="008D2388" w14:paraId="6F58D38D" w14:textId="06814121">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P="00135693" w14:paraId="65CCD7DF" w14:textId="75EBC8FB">
      <w:pPr>
        <w:pStyle w:val="7520"/>
        <w:rPr>
          <w:noProof/>
          <w:rtl/>
        </w:rPr>
      </w:pPr>
      <w:r>
        <w:rPr>
          <w:rFonts w:hint="cs"/>
          <w:noProof/>
          <w:rtl/>
        </w:rPr>
        <w:t>חקירת שריפות ברשות הארצית לכבאות והצלה</w:t>
      </w:r>
      <w:r w:rsidRPr="00802F2E" w:rsidR="007243F7">
        <w:rPr>
          <w:noProof/>
          <w:rtl/>
        </w:rPr>
        <w:t xml:space="preserve"> </w:t>
      </w:r>
      <w:r w:rsidRPr="00802F2E" w:rsidR="00235CF1">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1304681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135693" w:rsidP="007F4A1C" w14:paraId="69947BF9" w14:textId="77777777">
      <w:pPr>
        <w:pStyle w:val="759"/>
        <w:rPr>
          <w:rtl/>
        </w:rPr>
      </w:pPr>
    </w:p>
    <w:p w:rsidR="00135693" w:rsidRPr="00BB02BA" w:rsidP="0043384C" w14:paraId="0F166AAD" w14:textId="76BB68C6">
      <w:pPr>
        <w:pStyle w:val="759"/>
        <w:rPr>
          <w:rtl/>
        </w:rPr>
      </w:pPr>
      <w:r w:rsidRPr="002C7BB5">
        <w:rPr>
          <w:rtl/>
          <w:lang w:eastAsia="he-IL"/>
        </w:rPr>
        <w:t>הרשות הארצית לכבאות והצלה (</w:t>
      </w:r>
      <w:r w:rsidRPr="002C7BB5">
        <w:rPr>
          <w:rtl/>
          <w:lang w:eastAsia="he-IL"/>
        </w:rPr>
        <w:t>כב"ה</w:t>
      </w:r>
      <w:r w:rsidRPr="002C7BB5">
        <w:rPr>
          <w:rtl/>
          <w:lang w:eastAsia="he-IL"/>
        </w:rPr>
        <w:t xml:space="preserve"> או הרשות) פועלת מכוח חוק הרשות הארצית לכבאות והצלה, התשע"ב-2012 (חוק </w:t>
      </w:r>
      <w:r w:rsidRPr="002C7BB5">
        <w:rPr>
          <w:rtl/>
          <w:lang w:eastAsia="he-IL"/>
        </w:rPr>
        <w:t>כב"ה</w:t>
      </w:r>
      <w:r w:rsidRPr="002C7BB5">
        <w:rPr>
          <w:rtl/>
          <w:lang w:eastAsia="he-IL"/>
        </w:rPr>
        <w:t>), בין היתר, לשם כיבוי דליקות ומניעתן.</w:t>
      </w:r>
      <w:r w:rsidRPr="002C7BB5">
        <w:rPr>
          <w:rtl/>
        </w:rPr>
        <w:t xml:space="preserve"> </w:t>
      </w:r>
      <w:r w:rsidRPr="002C7BB5">
        <w:rPr>
          <w:rtl/>
          <w:lang w:eastAsia="he-IL"/>
        </w:rPr>
        <w:t xml:space="preserve">חוק </w:t>
      </w:r>
      <w:r w:rsidRPr="002C7BB5">
        <w:rPr>
          <w:rtl/>
          <w:lang w:eastAsia="he-IL"/>
        </w:rPr>
        <w:t>כב"ה</w:t>
      </w:r>
      <w:r w:rsidRPr="002C7BB5">
        <w:rPr>
          <w:rtl/>
          <w:lang w:eastAsia="he-IL"/>
        </w:rPr>
        <w:t xml:space="preserve"> מטיל על הרשות</w:t>
      </w:r>
      <w:r w:rsidRPr="002C7BB5">
        <w:rPr>
          <w:lang w:eastAsia="he-IL"/>
        </w:rPr>
        <w:t xml:space="preserve"> </w:t>
      </w:r>
      <w:r w:rsidRPr="002C7BB5">
        <w:rPr>
          <w:rtl/>
          <w:lang w:eastAsia="he-IL"/>
        </w:rPr>
        <w:t>לנהל חקירת</w:t>
      </w:r>
      <w:r w:rsidRPr="002C7BB5">
        <w:rPr>
          <w:lang w:eastAsia="he-IL"/>
        </w:rPr>
        <w:t xml:space="preserve"> </w:t>
      </w:r>
      <w:r w:rsidRPr="002C7BB5">
        <w:rPr>
          <w:rtl/>
          <w:lang w:eastAsia="he-IL"/>
        </w:rPr>
        <w:t xml:space="preserve">שריפות שאירעו, כדי לאתר את </w:t>
      </w:r>
      <w:r w:rsidR="003521AA">
        <w:rPr>
          <w:rFonts w:hint="cs"/>
          <w:rtl/>
          <w:lang w:eastAsia="he-IL"/>
        </w:rPr>
        <w:t>נסיבותיהן</w:t>
      </w:r>
      <w:r w:rsidRPr="002C7BB5">
        <w:rPr>
          <w:rtl/>
          <w:lang w:eastAsia="he-IL"/>
        </w:rPr>
        <w:t xml:space="preserve"> ואת הגורמים להן. החוק קובע הוראות בדבר קיום החקירות, הסמכת החוקרים וסמכויותיהם, מניעת שיבוש חקירה פלילית או פגיעה בה</w:t>
      </w:r>
      <w:r w:rsidR="003521AA">
        <w:rPr>
          <w:rFonts w:hint="cs"/>
          <w:rtl/>
          <w:lang w:eastAsia="he-IL"/>
        </w:rPr>
        <w:t>,</w:t>
      </w:r>
      <w:r w:rsidRPr="002C7BB5">
        <w:rPr>
          <w:rtl/>
          <w:lang w:eastAsia="he-IL"/>
        </w:rPr>
        <w:t xml:space="preserve"> ומסירת דין וחשבון על החקירה. תקנות הרשות הארצית לכבאות והצלה (חקירת דליקות), התשע"ד-2014 (התקנות), קובעות הוראות ייעודיות בעניין מטרת החקירה, אופן ניהולה וסדריה, לרבות תנאי הכשירות לביצועה. </w:t>
      </w:r>
      <w:r w:rsidRPr="002C7BB5">
        <w:rPr>
          <w:rtl/>
        </w:rPr>
        <w:t>חקירת שריפות מצויה בליבת פעילותה של הרשות, וממצאיה עשויים לתרום למניעת שריפות עתידיות, ולסייע לבתי המשפט לקבוע את היקף האחריות הישירה ו</w:t>
      </w:r>
      <w:r w:rsidR="000E400A">
        <w:rPr>
          <w:rFonts w:hint="cs"/>
          <w:rtl/>
        </w:rPr>
        <w:t xml:space="preserve">את </w:t>
      </w:r>
      <w:r w:rsidRPr="002C7BB5">
        <w:rPr>
          <w:rtl/>
        </w:rPr>
        <w:t>אחריות המבטחים לנזקי הדליקה</w:t>
      </w:r>
      <w:r w:rsidRPr="00BB02BA">
        <w:rPr>
          <w:rtl/>
        </w:rPr>
        <w:t>.</w:t>
      </w:r>
    </w:p>
    <w:p w:rsidR="008F7C68" w:rsidP="007F4A1C" w14:paraId="7BF86940" w14:textId="365E3A63">
      <w:pPr>
        <w:pStyle w:val="759"/>
        <w:rPr>
          <w:rtl/>
        </w:rPr>
      </w:pPr>
    </w:p>
    <w:p w:rsidR="008930B4" w:rsidP="00C00585" w14:paraId="2B452C0D" w14:textId="77777777">
      <w:pPr>
        <w:pStyle w:val="7392"/>
        <w:rPr>
          <w:rtl/>
        </w:rPr>
        <w:sectPr w:rsidSect="00023C2A">
          <w:headerReference w:type="even" r:id="rId17"/>
          <w:footerReference w:type="even" r:id="rId18"/>
          <w:pgSz w:w="11906" w:h="16838" w:code="9"/>
          <w:pgMar w:top="3062" w:right="2268" w:bottom="2552" w:left="2268" w:header="1134" w:footer="1361" w:gutter="0"/>
          <w:pgNumType w:start="101"/>
          <w:cols w:space="708"/>
          <w:bidi/>
          <w:rtlGutter/>
          <w:docGrid w:linePitch="360"/>
        </w:sectPr>
      </w:pPr>
    </w:p>
    <w:p w:rsidR="005D0F8C" w:rsidP="007F4A20" w14:paraId="688B4C67" w14:textId="57F2CB9E">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XSpec="right" w:tblpY="4216"/>
        <w:bidiVisual/>
        <w:tblW w:w="7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3"/>
        <w:gridCol w:w="239"/>
        <w:gridCol w:w="32"/>
        <w:gridCol w:w="1583"/>
        <w:gridCol w:w="162"/>
        <w:gridCol w:w="74"/>
        <w:gridCol w:w="162"/>
        <w:gridCol w:w="1605"/>
        <w:gridCol w:w="139"/>
        <w:gridCol w:w="67"/>
        <w:gridCol w:w="75"/>
        <w:gridCol w:w="163"/>
        <w:gridCol w:w="1507"/>
        <w:gridCol w:w="8"/>
        <w:gridCol w:w="67"/>
      </w:tblGrid>
      <w:tr w14:paraId="7F3F42F8" w14:textId="77777777" w:rsidTr="00531684">
        <w:tblPrEx>
          <w:tblW w:w="7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7" w:type="dxa"/>
        </w:trPr>
        <w:tc>
          <w:tcPr>
            <w:tcW w:w="1723" w:type="dxa"/>
            <w:tcBorders>
              <w:bottom w:val="single" w:sz="12" w:space="0" w:color="auto"/>
            </w:tcBorders>
            <w:vAlign w:val="bottom"/>
          </w:tcPr>
          <w:p w:rsidR="00210B32" w:rsidRPr="00210B32" w:rsidP="00210B32" w14:paraId="2C4796D3" w14:textId="77777777">
            <w:pPr>
              <w:spacing w:after="60" w:line="240" w:lineRule="auto"/>
              <w:jc w:val="left"/>
              <w:rPr>
                <w:rFonts w:ascii="Tahoma" w:hAnsi="Tahoma" w:cs="Tahoma"/>
                <w:b/>
                <w:bCs/>
                <w:sz w:val="34"/>
                <w:szCs w:val="34"/>
                <w:rtl/>
              </w:rPr>
            </w:pPr>
            <w:r w:rsidRPr="00210B32">
              <w:rPr>
                <w:rFonts w:ascii="Tahoma" w:hAnsi="Tahoma" w:cs="Tahoma" w:hint="cs"/>
                <w:b/>
                <w:bCs/>
                <w:sz w:val="34"/>
                <w:szCs w:val="34"/>
                <w:rtl/>
              </w:rPr>
              <w:t>117</w:t>
            </w:r>
            <w:r w:rsidRPr="00210B32">
              <w:rPr>
                <w:rFonts w:ascii="Tahoma" w:hAnsi="Tahoma" w:cs="Tahoma"/>
                <w:b/>
                <w:bCs/>
                <w:sz w:val="34"/>
                <w:szCs w:val="34"/>
                <w:rtl/>
              </w:rPr>
              <w:t xml:space="preserve"> </w:t>
            </w:r>
          </w:p>
          <w:p w:rsidR="00210B32" w:rsidRPr="00210B32" w:rsidP="00210B32" w14:paraId="09775EFE" w14:textId="5171E8C7">
            <w:pPr>
              <w:spacing w:after="60" w:line="240" w:lineRule="auto"/>
              <w:jc w:val="left"/>
              <w:rPr>
                <w:rFonts w:ascii="Tahoma" w:hAnsi="Tahoma" w:cs="Tahoma"/>
                <w:b/>
                <w:bCs/>
                <w:sz w:val="24"/>
                <w:rtl/>
              </w:rPr>
            </w:pPr>
            <w:r w:rsidRPr="00210B32">
              <w:rPr>
                <w:rFonts w:ascii="Tahoma" w:hAnsi="Tahoma" w:cs="Tahoma" w:hint="eastAsia"/>
                <w:b/>
                <w:bCs/>
                <w:sz w:val="24"/>
                <w:rtl/>
              </w:rPr>
              <w:t>בני</w:t>
            </w:r>
            <w:r w:rsidRPr="00210B32">
              <w:rPr>
                <w:rFonts w:ascii="Tahoma" w:hAnsi="Tahoma" w:cs="Tahoma"/>
                <w:b/>
                <w:bCs/>
                <w:sz w:val="24"/>
                <w:rtl/>
              </w:rPr>
              <w:t xml:space="preserve"> אדם </w:t>
            </w:r>
          </w:p>
        </w:tc>
        <w:tc>
          <w:tcPr>
            <w:tcW w:w="239" w:type="dxa"/>
          </w:tcPr>
          <w:p w:rsidR="00210B32" w:rsidRPr="00B56334" w:rsidP="00210B32" w14:paraId="4383DD9C" w14:textId="0647E2CE">
            <w:pPr>
              <w:spacing w:after="60" w:line="240" w:lineRule="auto"/>
              <w:jc w:val="left"/>
              <w:rPr>
                <w:rFonts w:ascii="Tahoma" w:hAnsi="Tahoma" w:cs="Tahoma"/>
                <w:b/>
                <w:bCs/>
                <w:sz w:val="34"/>
                <w:szCs w:val="34"/>
                <w:rtl/>
              </w:rPr>
            </w:pPr>
          </w:p>
        </w:tc>
        <w:tc>
          <w:tcPr>
            <w:tcW w:w="1777" w:type="dxa"/>
            <w:gridSpan w:val="3"/>
            <w:tcBorders>
              <w:bottom w:val="single" w:sz="12" w:space="0" w:color="auto"/>
            </w:tcBorders>
            <w:vAlign w:val="bottom"/>
          </w:tcPr>
          <w:p w:rsidR="00210B32" w:rsidRPr="00B56334" w:rsidP="00210B32" w14:paraId="34D99160" w14:textId="06E60477">
            <w:pPr>
              <w:spacing w:after="60" w:line="240" w:lineRule="auto"/>
              <w:jc w:val="left"/>
              <w:rPr>
                <w:rFonts w:ascii="Tahoma" w:hAnsi="Tahoma" w:cs="Tahoma"/>
                <w:b/>
                <w:bCs/>
                <w:sz w:val="34"/>
                <w:szCs w:val="34"/>
                <w:rtl/>
              </w:rPr>
            </w:pPr>
            <w:r w:rsidRPr="00210B32">
              <w:rPr>
                <w:rFonts w:ascii="Tahoma" w:hAnsi="Tahoma" w:cs="Tahoma" w:hint="cs"/>
                <w:b/>
                <w:bCs/>
                <w:sz w:val="24"/>
                <w:rtl/>
              </w:rPr>
              <w:t>כ-</w:t>
            </w:r>
            <w:r w:rsidRPr="00531684">
              <w:rPr>
                <w:rFonts w:ascii="Tahoma" w:hAnsi="Tahoma" w:cs="Tahoma" w:hint="cs"/>
                <w:b/>
                <w:bCs/>
                <w:spacing w:val="-20"/>
                <w:sz w:val="34"/>
                <w:szCs w:val="34"/>
                <w:rtl/>
              </w:rPr>
              <w:t xml:space="preserve">328,532 </w:t>
            </w:r>
            <w:r w:rsidRPr="00210B32">
              <w:rPr>
                <w:rFonts w:ascii="Tahoma" w:hAnsi="Tahoma" w:cs="Tahoma" w:hint="cs"/>
                <w:b/>
                <w:bCs/>
                <w:sz w:val="24"/>
                <w:rtl/>
              </w:rPr>
              <w:t>דונם</w:t>
            </w:r>
          </w:p>
        </w:tc>
        <w:tc>
          <w:tcPr>
            <w:tcW w:w="236" w:type="dxa"/>
            <w:gridSpan w:val="2"/>
          </w:tcPr>
          <w:p w:rsidR="00210B32" w:rsidRPr="00B56334" w:rsidP="00210B32" w14:paraId="19AAD257" w14:textId="4BDEA691">
            <w:pPr>
              <w:spacing w:after="60" w:line="240" w:lineRule="auto"/>
              <w:jc w:val="left"/>
              <w:rPr>
                <w:rFonts w:ascii="Tahoma" w:hAnsi="Tahoma" w:cs="Tahoma"/>
                <w:b/>
                <w:bCs/>
                <w:sz w:val="34"/>
                <w:szCs w:val="34"/>
                <w:rtl/>
              </w:rPr>
            </w:pPr>
          </w:p>
        </w:tc>
        <w:tc>
          <w:tcPr>
            <w:tcW w:w="1744" w:type="dxa"/>
            <w:gridSpan w:val="2"/>
            <w:vAlign w:val="bottom"/>
          </w:tcPr>
          <w:p w:rsidR="00210B32" w:rsidRPr="00531684" w:rsidP="00210B32" w14:paraId="49540B80" w14:textId="674B5BFD">
            <w:pPr>
              <w:spacing w:after="60" w:line="240" w:lineRule="auto"/>
              <w:jc w:val="left"/>
              <w:rPr>
                <w:rFonts w:ascii="Tahoma" w:hAnsi="Tahoma" w:cs="Tahoma"/>
                <w:b/>
                <w:bCs/>
                <w:spacing w:val="-20"/>
                <w:sz w:val="34"/>
                <w:szCs w:val="34"/>
                <w:rtl/>
              </w:rPr>
            </w:pPr>
            <w:r w:rsidRPr="00344F4A">
              <w:rPr>
                <w:rFonts w:ascii="Tahoma" w:hAnsi="Tahoma" w:cs="Tahoma" w:hint="cs"/>
                <w:b/>
                <w:bCs/>
                <w:sz w:val="24"/>
                <w:rtl/>
              </w:rPr>
              <w:t>יותר מ-</w:t>
            </w:r>
            <w:r w:rsidRPr="00531684">
              <w:rPr>
                <w:rFonts w:ascii="Tahoma" w:hAnsi="Tahoma" w:cs="Tahoma" w:hint="cs"/>
                <w:b/>
                <w:bCs/>
                <w:spacing w:val="-20"/>
                <w:sz w:val="34"/>
                <w:szCs w:val="34"/>
                <w:rtl/>
              </w:rPr>
              <w:t xml:space="preserve">7 </w:t>
            </w:r>
            <w:r w:rsidRPr="00344F4A">
              <w:rPr>
                <w:rFonts w:ascii="Tahoma" w:hAnsi="Tahoma" w:cs="Tahoma" w:hint="eastAsia"/>
                <w:b/>
                <w:bCs/>
                <w:spacing w:val="-6"/>
                <w:sz w:val="24"/>
                <w:rtl/>
              </w:rPr>
              <w:t>מיליארד</w:t>
            </w:r>
            <w:r w:rsidRPr="00344F4A">
              <w:rPr>
                <w:rFonts w:ascii="Tahoma" w:hAnsi="Tahoma" w:cs="Tahoma"/>
                <w:b/>
                <w:bCs/>
                <w:spacing w:val="-6"/>
                <w:sz w:val="24"/>
                <w:rtl/>
              </w:rPr>
              <w:t xml:space="preserve"> </w:t>
            </w:r>
            <w:r w:rsidRPr="00344F4A">
              <w:rPr>
                <w:rFonts w:ascii="Tahoma" w:hAnsi="Tahoma" w:cs="Tahoma" w:hint="eastAsia"/>
                <w:b/>
                <w:bCs/>
                <w:spacing w:val="-6"/>
                <w:sz w:val="24"/>
                <w:rtl/>
              </w:rPr>
              <w:t>ש</w:t>
            </w:r>
            <w:r w:rsidRPr="00344F4A">
              <w:rPr>
                <w:rFonts w:ascii="Tahoma" w:hAnsi="Tahoma" w:cs="Tahoma"/>
                <w:b/>
                <w:bCs/>
                <w:spacing w:val="-6"/>
                <w:sz w:val="24"/>
                <w:rtl/>
              </w:rPr>
              <w:t>"ח</w:t>
            </w:r>
          </w:p>
        </w:tc>
        <w:tc>
          <w:tcPr>
            <w:tcW w:w="305" w:type="dxa"/>
            <w:gridSpan w:val="3"/>
          </w:tcPr>
          <w:p w:rsidR="00210B32" w:rsidRPr="00B56334" w:rsidP="00210B32" w14:paraId="384A1AAC" w14:textId="77777777">
            <w:pPr>
              <w:spacing w:after="60" w:line="240" w:lineRule="auto"/>
              <w:jc w:val="left"/>
              <w:rPr>
                <w:rFonts w:ascii="Tahoma" w:hAnsi="Tahoma" w:cs="Tahoma"/>
                <w:b/>
                <w:bCs/>
                <w:sz w:val="34"/>
                <w:szCs w:val="34"/>
                <w:rtl/>
              </w:rPr>
            </w:pPr>
          </w:p>
        </w:tc>
        <w:tc>
          <w:tcPr>
            <w:tcW w:w="1515" w:type="dxa"/>
            <w:gridSpan w:val="2"/>
            <w:vAlign w:val="bottom"/>
          </w:tcPr>
          <w:p w:rsidR="00210B32" w:rsidRPr="00531684" w:rsidP="00210B32" w14:paraId="0DEE04EA" w14:textId="10F6ED34">
            <w:pPr>
              <w:spacing w:after="60" w:line="240" w:lineRule="auto"/>
              <w:jc w:val="left"/>
              <w:rPr>
                <w:rFonts w:ascii="Tahoma" w:hAnsi="Tahoma" w:cs="Tahoma"/>
                <w:b/>
                <w:bCs/>
                <w:spacing w:val="-20"/>
                <w:sz w:val="34"/>
                <w:szCs w:val="34"/>
                <w:rtl/>
              </w:rPr>
            </w:pPr>
            <w:r w:rsidRPr="00531684">
              <w:rPr>
                <w:rFonts w:ascii="Tahoma" w:hAnsi="Tahoma" w:cs="Tahoma" w:hint="cs"/>
                <w:b/>
                <w:bCs/>
                <w:spacing w:val="-20"/>
                <w:sz w:val="24"/>
                <w:rtl/>
              </w:rPr>
              <w:t>כ-</w:t>
            </w:r>
            <w:r w:rsidRPr="00531684">
              <w:rPr>
                <w:rFonts w:ascii="Tahoma" w:hAnsi="Tahoma" w:cs="Tahoma" w:hint="cs"/>
                <w:b/>
                <w:bCs/>
                <w:spacing w:val="-20"/>
                <w:sz w:val="34"/>
                <w:szCs w:val="34"/>
                <w:rtl/>
              </w:rPr>
              <w:t>50,000</w:t>
            </w:r>
          </w:p>
        </w:tc>
      </w:tr>
      <w:tr w14:paraId="3B2A75EF" w14:textId="77777777" w:rsidTr="00531684">
        <w:tblPrEx>
          <w:tblW w:w="7606" w:type="dxa"/>
          <w:tblLook w:val="04A0"/>
        </w:tblPrEx>
        <w:tc>
          <w:tcPr>
            <w:tcW w:w="1723" w:type="dxa"/>
            <w:tcBorders>
              <w:top w:val="single" w:sz="12" w:space="0" w:color="auto"/>
            </w:tcBorders>
          </w:tcPr>
          <w:p w:rsidR="00FF36D7" w:rsidRPr="00FF36D7" w:rsidP="00FF36D7" w14:paraId="38F92C9D" w14:textId="4D562643">
            <w:pPr>
              <w:pStyle w:val="752024"/>
              <w:rPr>
                <w:rtl/>
              </w:rPr>
            </w:pPr>
            <w:r w:rsidRPr="00FF36D7">
              <w:rPr>
                <w:rFonts w:hint="cs"/>
                <w:rtl/>
              </w:rPr>
              <w:t>נספו בשריפות שאירעו בשנים</w:t>
            </w:r>
            <w:r>
              <w:rPr>
                <w:rFonts w:hint="cs"/>
                <w:rtl/>
              </w:rPr>
              <w:t xml:space="preserve">    </w:t>
            </w:r>
            <w:r w:rsidRPr="00FF36D7">
              <w:rPr>
                <w:rFonts w:hint="cs"/>
                <w:rtl/>
              </w:rPr>
              <w:t xml:space="preserve"> 2019 - 2023  </w:t>
            </w:r>
          </w:p>
        </w:tc>
        <w:tc>
          <w:tcPr>
            <w:tcW w:w="239" w:type="dxa"/>
          </w:tcPr>
          <w:p w:rsidR="00FF36D7" w:rsidP="00FF36D7" w14:paraId="4A315B13" w14:textId="7B8CAAD7">
            <w:pPr>
              <w:pStyle w:val="752024"/>
              <w:spacing w:after="0"/>
              <w:rPr>
                <w:rtl/>
              </w:rPr>
            </w:pPr>
          </w:p>
        </w:tc>
        <w:tc>
          <w:tcPr>
            <w:tcW w:w="1777" w:type="dxa"/>
            <w:gridSpan w:val="3"/>
            <w:tcBorders>
              <w:top w:val="single" w:sz="12" w:space="0" w:color="auto"/>
            </w:tcBorders>
          </w:tcPr>
          <w:p w:rsidR="00FF36D7" w:rsidRPr="00FF36D7" w:rsidP="00FF36D7" w14:paraId="5CADEB5F" w14:textId="464FE295">
            <w:pPr>
              <w:pStyle w:val="752024"/>
              <w:rPr>
                <w:rtl/>
              </w:rPr>
            </w:pPr>
            <w:r w:rsidRPr="00FF36D7">
              <w:rPr>
                <w:rFonts w:hint="cs"/>
                <w:rtl/>
              </w:rPr>
              <w:t>נשרפו בדליקות שאירעו בשנת 2019</w:t>
            </w:r>
          </w:p>
        </w:tc>
        <w:tc>
          <w:tcPr>
            <w:tcW w:w="236" w:type="dxa"/>
            <w:gridSpan w:val="2"/>
          </w:tcPr>
          <w:p w:rsidR="00FF36D7" w:rsidP="00FF36D7" w14:paraId="172B871D" w14:textId="36A5AC9A">
            <w:pPr>
              <w:pStyle w:val="752024"/>
              <w:spacing w:after="0"/>
              <w:rPr>
                <w:rtl/>
              </w:rPr>
            </w:pPr>
          </w:p>
        </w:tc>
        <w:tc>
          <w:tcPr>
            <w:tcW w:w="1811" w:type="dxa"/>
            <w:gridSpan w:val="3"/>
            <w:tcBorders>
              <w:top w:val="single" w:sz="12" w:space="0" w:color="auto"/>
            </w:tcBorders>
          </w:tcPr>
          <w:p w:rsidR="00FF36D7" w:rsidRPr="00FF36D7" w:rsidP="00FF36D7" w14:paraId="03ED2AA1" w14:textId="23E10B82">
            <w:pPr>
              <w:pStyle w:val="752024"/>
              <w:rPr>
                <w:rtl/>
              </w:rPr>
            </w:pPr>
            <w:r w:rsidRPr="00FF36D7">
              <w:rPr>
                <w:rFonts w:hint="cs"/>
                <w:rtl/>
              </w:rPr>
              <w:t>עלות נזקי השריפות ברחבי הארץ</w:t>
            </w:r>
            <w:r w:rsidRPr="00FF36D7">
              <w:rPr>
                <w:rtl/>
              </w:rPr>
              <w:t xml:space="preserve"> </w:t>
            </w:r>
            <w:r w:rsidRPr="00FF36D7">
              <w:rPr>
                <w:rFonts w:hint="cs"/>
                <w:rtl/>
              </w:rPr>
              <w:t xml:space="preserve">בשנה (על פי הערכת </w:t>
            </w:r>
            <w:r w:rsidRPr="00FF36D7">
              <w:rPr>
                <w:rFonts w:hint="cs"/>
                <w:rtl/>
              </w:rPr>
              <w:t>כב"ה</w:t>
            </w:r>
            <w:r w:rsidRPr="00FF36D7">
              <w:rPr>
                <w:rFonts w:hint="cs"/>
                <w:rtl/>
              </w:rPr>
              <w:t xml:space="preserve">, קק"ל </w:t>
            </w:r>
            <w:r w:rsidRPr="00FF36D7">
              <w:rPr>
                <w:rFonts w:hint="cs"/>
                <w:rtl/>
              </w:rPr>
              <w:t>ורט"ג</w:t>
            </w:r>
            <w:r w:rsidRPr="00FF36D7">
              <w:rPr>
                <w:rFonts w:hint="cs"/>
                <w:rtl/>
              </w:rPr>
              <w:t>)</w:t>
            </w:r>
          </w:p>
        </w:tc>
        <w:tc>
          <w:tcPr>
            <w:tcW w:w="238" w:type="dxa"/>
            <w:gridSpan w:val="2"/>
          </w:tcPr>
          <w:p w:rsidR="00FF36D7" w:rsidP="00FF36D7" w14:paraId="3C891690" w14:textId="50A159A9">
            <w:pPr>
              <w:pStyle w:val="752024"/>
              <w:spacing w:after="0"/>
              <w:jc w:val="center"/>
              <w:rPr>
                <w:rtl/>
              </w:rPr>
            </w:pPr>
          </w:p>
        </w:tc>
        <w:tc>
          <w:tcPr>
            <w:tcW w:w="1582" w:type="dxa"/>
            <w:gridSpan w:val="3"/>
            <w:tcBorders>
              <w:top w:val="single" w:sz="12" w:space="0" w:color="auto"/>
            </w:tcBorders>
          </w:tcPr>
          <w:p w:rsidR="00FF36D7" w:rsidRPr="00FF36D7" w:rsidP="00FF36D7" w14:paraId="7233755D" w14:textId="4000788C">
            <w:pPr>
              <w:pStyle w:val="752024"/>
              <w:rPr>
                <w:rtl/>
              </w:rPr>
            </w:pPr>
            <w:r w:rsidRPr="00FF36D7">
              <w:rPr>
                <w:rFonts w:hint="cs"/>
                <w:rtl/>
              </w:rPr>
              <w:t xml:space="preserve">אירועי דליקות בשנה מטופלים על ידי </w:t>
            </w:r>
            <w:r w:rsidRPr="00FF36D7">
              <w:rPr>
                <w:rFonts w:hint="cs"/>
                <w:rtl/>
              </w:rPr>
              <w:t>כב"ה</w:t>
            </w:r>
            <w:r w:rsidRPr="00FF36D7">
              <w:rPr>
                <w:rFonts w:hint="cs"/>
                <w:rtl/>
              </w:rPr>
              <w:t xml:space="preserve"> ("אירוע" כולל היענות לקריאה וכיבוי)</w:t>
            </w:r>
          </w:p>
        </w:tc>
      </w:tr>
      <w:tr w14:paraId="1A9C8890" w14:textId="77777777" w:rsidTr="00531684">
        <w:tblPrEx>
          <w:tblW w:w="7606" w:type="dxa"/>
          <w:tblLook w:val="04A0"/>
        </w:tblPrEx>
        <w:tc>
          <w:tcPr>
            <w:tcW w:w="1723" w:type="dxa"/>
            <w:tcBorders>
              <w:bottom w:val="single" w:sz="12" w:space="0" w:color="auto"/>
            </w:tcBorders>
            <w:vAlign w:val="center"/>
          </w:tcPr>
          <w:p w:rsidR="00180DA8" w:rsidP="00180DA8" w14:paraId="7824461E" w14:textId="77777777">
            <w:pPr>
              <w:spacing w:after="60" w:line="240" w:lineRule="auto"/>
              <w:jc w:val="left"/>
              <w:rPr>
                <w:rFonts w:ascii="Tahoma" w:hAnsi="Tahoma" w:cs="Tahoma"/>
                <w:b/>
                <w:bCs/>
                <w:sz w:val="24"/>
                <w:rtl/>
              </w:rPr>
            </w:pPr>
          </w:p>
          <w:p w:rsidR="00180DA8" w:rsidRPr="00E066B5" w:rsidP="00A47798" w14:paraId="66FB231F" w14:textId="24875DC0">
            <w:pPr>
              <w:spacing w:line="240" w:lineRule="auto"/>
              <w:jc w:val="left"/>
              <w:rPr>
                <w:rFonts w:ascii="Tahoma" w:hAnsi="Tahoma" w:cs="Tahoma"/>
                <w:b/>
                <w:bCs/>
                <w:sz w:val="34"/>
                <w:szCs w:val="34"/>
                <w:rtl/>
              </w:rPr>
            </w:pPr>
            <w:r w:rsidRPr="00180DA8">
              <w:rPr>
                <w:rFonts w:ascii="Tahoma" w:hAnsi="Tahoma" w:cs="Tahoma" w:hint="cs"/>
                <w:b/>
                <w:bCs/>
                <w:sz w:val="24"/>
                <w:rtl/>
              </w:rPr>
              <w:t>רק בכ-</w:t>
            </w:r>
            <w:r w:rsidRPr="00180DA8">
              <w:rPr>
                <w:rFonts w:ascii="Tahoma" w:hAnsi="Tahoma" w:cs="Tahoma" w:hint="cs"/>
                <w:b/>
                <w:bCs/>
                <w:sz w:val="34"/>
                <w:szCs w:val="34"/>
                <w:rtl/>
              </w:rPr>
              <w:t>9%</w:t>
            </w:r>
          </w:p>
        </w:tc>
        <w:tc>
          <w:tcPr>
            <w:tcW w:w="239" w:type="dxa"/>
          </w:tcPr>
          <w:p w:rsidR="00180DA8" w:rsidRPr="008E52B9" w:rsidP="00180DA8" w14:paraId="4B7F392C" w14:textId="2C256971">
            <w:pPr>
              <w:rPr>
                <w:spacing w:val="-20"/>
                <w:rtl/>
              </w:rPr>
            </w:pPr>
          </w:p>
        </w:tc>
        <w:tc>
          <w:tcPr>
            <w:tcW w:w="1777" w:type="dxa"/>
            <w:gridSpan w:val="3"/>
            <w:tcBorders>
              <w:bottom w:val="single" w:sz="12" w:space="0" w:color="auto"/>
            </w:tcBorders>
            <w:vAlign w:val="center"/>
          </w:tcPr>
          <w:p w:rsidR="00180DA8" w:rsidRPr="00E066B5" w:rsidP="00A47798" w14:paraId="6AC12FD0" w14:textId="12D0A8AE">
            <w:pPr>
              <w:spacing w:before="120" w:line="240" w:lineRule="auto"/>
              <w:jc w:val="left"/>
              <w:rPr>
                <w:rFonts w:ascii="Tahoma" w:hAnsi="Tahoma" w:cs="Tahoma"/>
                <w:b/>
                <w:bCs/>
                <w:sz w:val="34"/>
                <w:szCs w:val="34"/>
                <w:rtl/>
              </w:rPr>
            </w:pPr>
            <w:r w:rsidRPr="00180DA8">
              <w:rPr>
                <w:rFonts w:ascii="Tahoma" w:hAnsi="Tahoma" w:cs="Tahoma" w:hint="cs"/>
                <w:b/>
                <w:bCs/>
                <w:sz w:val="24"/>
                <w:rtl/>
              </w:rPr>
              <w:t xml:space="preserve">לפחות </w:t>
            </w:r>
            <w:r w:rsidRPr="00180DA8">
              <w:rPr>
                <w:rFonts w:ascii="Tahoma" w:hAnsi="Tahoma" w:cs="Tahoma" w:hint="cs"/>
                <w:b/>
                <w:bCs/>
                <w:sz w:val="34"/>
                <w:szCs w:val="34"/>
                <w:rtl/>
              </w:rPr>
              <w:t>50%</w:t>
            </w:r>
          </w:p>
        </w:tc>
        <w:tc>
          <w:tcPr>
            <w:tcW w:w="236" w:type="dxa"/>
            <w:gridSpan w:val="2"/>
          </w:tcPr>
          <w:p w:rsidR="00180DA8" w:rsidRPr="008E52B9" w:rsidP="00180DA8" w14:paraId="10542ECF" w14:textId="331AA240">
            <w:pPr>
              <w:rPr>
                <w:spacing w:val="-20"/>
                <w:rtl/>
              </w:rPr>
            </w:pPr>
          </w:p>
        </w:tc>
        <w:tc>
          <w:tcPr>
            <w:tcW w:w="1811" w:type="dxa"/>
            <w:gridSpan w:val="3"/>
            <w:tcBorders>
              <w:bottom w:val="single" w:sz="12" w:space="0" w:color="auto"/>
            </w:tcBorders>
          </w:tcPr>
          <w:p w:rsidR="00180DA8" w:rsidP="00180DA8" w14:paraId="0D37D8E7" w14:textId="77777777">
            <w:pPr>
              <w:spacing w:after="60" w:line="240" w:lineRule="auto"/>
              <w:jc w:val="left"/>
              <w:rPr>
                <w:rFonts w:ascii="Tahoma" w:hAnsi="Tahoma" w:cs="Tahoma"/>
                <w:b/>
                <w:bCs/>
                <w:sz w:val="34"/>
                <w:szCs w:val="34"/>
                <w:rtl/>
              </w:rPr>
            </w:pPr>
          </w:p>
          <w:p w:rsidR="00180DA8" w:rsidRPr="00E066B5" w:rsidP="00180DA8" w14:paraId="41F66E0E" w14:textId="2EDB44FC">
            <w:pPr>
              <w:spacing w:after="60" w:line="240" w:lineRule="auto"/>
              <w:jc w:val="left"/>
              <w:rPr>
                <w:rFonts w:ascii="Tahoma" w:hAnsi="Tahoma" w:cs="Tahoma"/>
                <w:b/>
                <w:bCs/>
                <w:sz w:val="34"/>
                <w:szCs w:val="34"/>
                <w:rtl/>
              </w:rPr>
            </w:pPr>
            <w:r w:rsidRPr="00180DA8">
              <w:rPr>
                <w:rFonts w:ascii="Tahoma" w:hAnsi="Tahoma" w:cs="Tahoma" w:hint="cs"/>
                <w:b/>
                <w:bCs/>
                <w:sz w:val="34"/>
                <w:szCs w:val="34"/>
                <w:rtl/>
              </w:rPr>
              <w:t>75%</w:t>
            </w:r>
          </w:p>
        </w:tc>
        <w:tc>
          <w:tcPr>
            <w:tcW w:w="238" w:type="dxa"/>
            <w:gridSpan w:val="2"/>
          </w:tcPr>
          <w:p w:rsidR="00180DA8" w:rsidRPr="008E52B9" w:rsidP="00180DA8" w14:paraId="25E8DA3E" w14:textId="7DE67CAE">
            <w:pPr>
              <w:jc w:val="center"/>
              <w:rPr>
                <w:spacing w:val="-20"/>
                <w:rtl/>
              </w:rPr>
            </w:pPr>
          </w:p>
        </w:tc>
        <w:tc>
          <w:tcPr>
            <w:tcW w:w="1582" w:type="dxa"/>
            <w:gridSpan w:val="3"/>
            <w:tcBorders>
              <w:bottom w:val="single" w:sz="12" w:space="0" w:color="auto"/>
            </w:tcBorders>
            <w:vAlign w:val="center"/>
          </w:tcPr>
          <w:p w:rsidR="00180DA8" w:rsidP="00180DA8" w14:paraId="465DA572" w14:textId="77777777">
            <w:pPr>
              <w:spacing w:after="60" w:line="240" w:lineRule="auto"/>
              <w:jc w:val="left"/>
              <w:rPr>
                <w:rFonts w:ascii="Tahoma" w:hAnsi="Tahoma" w:cs="Tahoma"/>
                <w:b/>
                <w:bCs/>
                <w:sz w:val="34"/>
                <w:szCs w:val="34"/>
                <w:rtl/>
              </w:rPr>
            </w:pPr>
          </w:p>
          <w:p w:rsidR="00180DA8" w:rsidRPr="00E066B5" w:rsidP="00180DA8" w14:paraId="09945564" w14:textId="3288D4EF">
            <w:pPr>
              <w:spacing w:after="60" w:line="240" w:lineRule="auto"/>
              <w:jc w:val="left"/>
              <w:rPr>
                <w:rFonts w:ascii="Tahoma" w:hAnsi="Tahoma" w:cs="Tahoma"/>
                <w:b/>
                <w:bCs/>
                <w:sz w:val="34"/>
                <w:szCs w:val="34"/>
                <w:rtl/>
              </w:rPr>
            </w:pPr>
            <w:r w:rsidRPr="00180DA8">
              <w:rPr>
                <w:rFonts w:ascii="Tahoma" w:hAnsi="Tahoma" w:cs="Tahoma" w:hint="cs"/>
                <w:b/>
                <w:bCs/>
                <w:sz w:val="34"/>
                <w:szCs w:val="34"/>
                <w:rtl/>
              </w:rPr>
              <w:t>228</w:t>
            </w:r>
          </w:p>
        </w:tc>
      </w:tr>
      <w:tr w14:paraId="0FE605DF" w14:textId="77777777" w:rsidTr="00531684">
        <w:tblPrEx>
          <w:tblW w:w="7606" w:type="dxa"/>
          <w:tblLook w:val="04A0"/>
        </w:tblPrEx>
        <w:trPr>
          <w:gridAfter w:val="2"/>
          <w:wAfter w:w="75" w:type="dxa"/>
        </w:trPr>
        <w:tc>
          <w:tcPr>
            <w:tcW w:w="1723" w:type="dxa"/>
            <w:tcBorders>
              <w:top w:val="single" w:sz="12" w:space="0" w:color="auto"/>
            </w:tcBorders>
          </w:tcPr>
          <w:p w:rsidR="00A47798" w:rsidRPr="00A47798" w:rsidP="00A47798" w14:paraId="022FCEBD" w14:textId="3DFC1054">
            <w:pPr>
              <w:pStyle w:val="752024"/>
              <w:rPr>
                <w:rtl/>
              </w:rPr>
            </w:pPr>
            <w:r w:rsidRPr="00A47798">
              <w:rPr>
                <w:rFonts w:hint="cs"/>
                <w:rtl/>
              </w:rPr>
              <w:t xml:space="preserve">מהשריפות שטופלו על ידי </w:t>
            </w:r>
            <w:r w:rsidRPr="00A47798">
              <w:rPr>
                <w:rFonts w:hint="cs"/>
                <w:rtl/>
              </w:rPr>
              <w:t>כב"ה</w:t>
            </w:r>
            <w:r w:rsidRPr="00A47798">
              <w:rPr>
                <w:rFonts w:hint="cs"/>
                <w:rtl/>
              </w:rPr>
              <w:t xml:space="preserve"> בשנת 2022 (4,016 אירועי דליקה) בוצעה חקירה, ובכ-14% מהשריפות שטופלו על ידי </w:t>
            </w:r>
            <w:r w:rsidRPr="00A47798">
              <w:rPr>
                <w:rFonts w:hint="cs"/>
                <w:rtl/>
              </w:rPr>
              <w:t>כב"ה</w:t>
            </w:r>
            <w:r w:rsidRPr="00A47798">
              <w:rPr>
                <w:rFonts w:hint="cs"/>
                <w:rtl/>
              </w:rPr>
              <w:t xml:space="preserve"> בשנת 2023 בוצעה חקירה (6,107)</w:t>
            </w:r>
          </w:p>
        </w:tc>
        <w:tc>
          <w:tcPr>
            <w:tcW w:w="271" w:type="dxa"/>
            <w:gridSpan w:val="2"/>
          </w:tcPr>
          <w:p w:rsidR="00A47798" w:rsidP="00A47798" w14:paraId="7F1AD4A4" w14:textId="77777777">
            <w:pPr>
              <w:pStyle w:val="752024"/>
              <w:spacing w:after="0"/>
              <w:rPr>
                <w:rtl/>
              </w:rPr>
            </w:pPr>
          </w:p>
        </w:tc>
        <w:tc>
          <w:tcPr>
            <w:tcW w:w="1583" w:type="dxa"/>
          </w:tcPr>
          <w:p w:rsidR="00A47798" w:rsidRPr="000E7B08" w:rsidP="004F0B05" w14:paraId="435C8952" w14:textId="697A84A9">
            <w:pPr>
              <w:pStyle w:val="752024"/>
              <w:rPr>
                <w:rtl/>
              </w:rPr>
            </w:pPr>
            <w:r>
              <w:rPr>
                <w:rFonts w:hint="cs"/>
                <w:rtl/>
              </w:rPr>
              <w:t xml:space="preserve">מתיקי חקירת שריפות שנפתחו </w:t>
            </w:r>
            <w:r>
              <w:rPr>
                <w:rFonts w:hint="cs"/>
                <w:rtl/>
              </w:rPr>
              <w:t>בכב"ה</w:t>
            </w:r>
            <w:r>
              <w:rPr>
                <w:rFonts w:hint="cs"/>
                <w:rtl/>
              </w:rPr>
              <w:t xml:space="preserve"> בשנים 2020 - 2022 (8,011) נסגרו רק לאחר כשנה,              וכ-10%</w:t>
            </w:r>
            <w:r>
              <w:rPr>
                <w:rFonts w:hint="cs"/>
              </w:rPr>
              <w:t xml:space="preserve"> </w:t>
            </w:r>
            <w:r>
              <w:rPr>
                <w:rFonts w:hint="cs"/>
                <w:rtl/>
              </w:rPr>
              <w:t xml:space="preserve">מהתיקים (1,537) עדיין היו פתוחים בספטמבר 2023 </w:t>
            </w:r>
          </w:p>
        </w:tc>
        <w:tc>
          <w:tcPr>
            <w:tcW w:w="236" w:type="dxa"/>
            <w:gridSpan w:val="2"/>
          </w:tcPr>
          <w:p w:rsidR="00A47798" w:rsidP="00A47798" w14:paraId="500CF55E" w14:textId="77777777">
            <w:pPr>
              <w:pStyle w:val="752024"/>
              <w:spacing w:after="0"/>
              <w:rPr>
                <w:rtl/>
              </w:rPr>
            </w:pPr>
          </w:p>
        </w:tc>
        <w:tc>
          <w:tcPr>
            <w:tcW w:w="1767" w:type="dxa"/>
            <w:gridSpan w:val="2"/>
          </w:tcPr>
          <w:p w:rsidR="00A47798" w:rsidRPr="00A47798" w:rsidP="00A47798" w14:paraId="1C2DE42D" w14:textId="33A14F62">
            <w:pPr>
              <w:pStyle w:val="752024"/>
              <w:rPr>
                <w:rtl/>
              </w:rPr>
            </w:pPr>
            <w:r w:rsidRPr="00A47798">
              <w:rPr>
                <w:rFonts w:hint="cs"/>
                <w:rtl/>
              </w:rPr>
              <w:t>מתיקי החקירה שנפתחו במשטרה בחשד לעבירות הצתה בשנים 2019 - 2022 נסגרו בלא כתב אישום (9,030 תיקים מתוך 12,084)</w:t>
            </w:r>
          </w:p>
        </w:tc>
        <w:tc>
          <w:tcPr>
            <w:tcW w:w="281" w:type="dxa"/>
            <w:gridSpan w:val="3"/>
          </w:tcPr>
          <w:p w:rsidR="00A47798" w:rsidP="00A47798" w14:paraId="279761B3" w14:textId="77777777">
            <w:pPr>
              <w:pStyle w:val="752024"/>
              <w:spacing w:after="0"/>
              <w:jc w:val="center"/>
              <w:rPr>
                <w:rtl/>
              </w:rPr>
            </w:pPr>
          </w:p>
        </w:tc>
        <w:tc>
          <w:tcPr>
            <w:tcW w:w="1670" w:type="dxa"/>
            <w:gridSpan w:val="2"/>
          </w:tcPr>
          <w:p w:rsidR="00A47798" w:rsidP="00A47798" w14:paraId="1BD36AFA" w14:textId="47E199FC">
            <w:pPr>
              <w:pStyle w:val="752024"/>
              <w:rPr>
                <w:rtl/>
              </w:rPr>
            </w:pPr>
            <w:r>
              <w:rPr>
                <w:rFonts w:hint="cs"/>
                <w:rtl/>
              </w:rPr>
              <w:t xml:space="preserve">תיקי חקירה נפתחו </w:t>
            </w:r>
            <w:r w:rsidRPr="00A47798">
              <w:rPr>
                <w:rFonts w:hint="cs"/>
                <w:rtl/>
              </w:rPr>
              <w:t>במשטרה</w:t>
            </w:r>
            <w:r>
              <w:rPr>
                <w:rFonts w:hint="cs"/>
                <w:rtl/>
              </w:rPr>
              <w:t xml:space="preserve"> בשנים 2019 - 2022 </w:t>
            </w:r>
            <w:r w:rsidRPr="00A47798">
              <w:rPr>
                <w:rFonts w:hint="cs"/>
                <w:rtl/>
              </w:rPr>
              <w:t>בחשד</w:t>
            </w:r>
            <w:r>
              <w:rPr>
                <w:rFonts w:hint="cs"/>
                <w:rtl/>
              </w:rPr>
              <w:t xml:space="preserve"> להצתה עם רקע לאומני, מהם             ב-33% הוגשו כתבי אישום </w:t>
            </w:r>
          </w:p>
          <w:p w:rsidR="00A47798" w:rsidRPr="002C6C74" w:rsidP="00A47798" w14:paraId="758BD136" w14:textId="652A1E25">
            <w:pPr>
              <w:pStyle w:val="752024"/>
              <w:rPr>
                <w:rtl/>
              </w:rPr>
            </w:pPr>
          </w:p>
        </w:tc>
      </w:tr>
    </w:tbl>
    <w:p w:rsidR="00420374" w:rsidRPr="00C62692" w:rsidP="00420374" w14:paraId="7BCB45AA" w14:textId="386B45B0">
      <w:pPr>
        <w:pStyle w:val="75"/>
        <w:rPr>
          <w:rtl/>
        </w:rPr>
      </w:pPr>
      <w:r w:rsidRPr="00C62692">
        <w:rPr>
          <w:rtl/>
        </w:rPr>
        <w:t>פעולות הביקורת</w:t>
      </w:r>
    </w:p>
    <w:p w:rsidR="004F0B05" w:rsidP="004F0B05" w14:paraId="403C8BA3" w14:textId="019869EB">
      <w:pPr>
        <w:pStyle w:val="7314"/>
        <w:rPr>
          <w:rtl/>
        </w:rPr>
      </w:pPr>
      <w:r w:rsidRPr="001F3363">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7BB5">
        <w:rPr>
          <w:rtl/>
        </w:rPr>
        <w:t xml:space="preserve">בחודשים ינואר עד ספטמבר 2023 בדק משרד מבקר המדינה את פעילות </w:t>
      </w:r>
      <w:r w:rsidRPr="002C7BB5">
        <w:rPr>
          <w:rtl/>
        </w:rPr>
        <w:t>כב"ה</w:t>
      </w:r>
      <w:r w:rsidRPr="002C7BB5">
        <w:rPr>
          <w:rtl/>
        </w:rPr>
        <w:t xml:space="preserve"> בתחום החקירות של אירועי דליקה, לרבות בנושאים אלה:</w:t>
      </w:r>
      <w:r w:rsidRPr="002C7BB5">
        <w:t xml:space="preserve"> </w:t>
      </w:r>
      <w:r w:rsidRPr="002C7BB5">
        <w:rPr>
          <w:rtl/>
        </w:rPr>
        <w:t>תפיסת ההפעלה של מערך החקירות</w:t>
      </w:r>
      <w:r w:rsidR="00CA45A0">
        <w:rPr>
          <w:rFonts w:hint="cs"/>
          <w:rtl/>
        </w:rPr>
        <w:t>,</w:t>
      </w:r>
      <w:r w:rsidRPr="002C7BB5">
        <w:rPr>
          <w:rtl/>
        </w:rPr>
        <w:t xml:space="preserve"> </w:t>
      </w:r>
      <w:r w:rsidRPr="00CA45A0" w:rsidR="00CA45A0">
        <w:rPr>
          <w:rtl/>
        </w:rPr>
        <w:t>הסדרתה ואופן יישומה;</w:t>
      </w:r>
      <w:r w:rsidRPr="002C7BB5" w:rsidR="00CA45A0">
        <w:rPr>
          <w:rtl/>
        </w:rPr>
        <w:t xml:space="preserve"> </w:t>
      </w:r>
      <w:r w:rsidRPr="002C7BB5">
        <w:rPr>
          <w:rtl/>
        </w:rPr>
        <w:t xml:space="preserve">ניהול ההון האנושי, הכשרתו ושימור כשירותו; תהליך החקירה ותוצריו; וממשקי </w:t>
      </w:r>
      <w:r w:rsidRPr="004F0B05">
        <w:rPr>
          <w:rtl/>
        </w:rPr>
        <w:t>העבודה</w:t>
      </w:r>
      <w:r w:rsidRPr="002C7BB5">
        <w:rPr>
          <w:rtl/>
        </w:rPr>
        <w:t xml:space="preserve"> של מערך החקירות עם גורמי המשטרה. הבדיקה העיקרית נעשתה בנציבות </w:t>
      </w:r>
      <w:r w:rsidRPr="002C7BB5">
        <w:rPr>
          <w:rtl/>
        </w:rPr>
        <w:t>כב"ה</w:t>
      </w:r>
      <w:r w:rsidRPr="002C7BB5">
        <w:rPr>
          <w:rtl/>
        </w:rPr>
        <w:t xml:space="preserve"> ובמחוזותיה. בירורי השלמה נעשו במחלקה לזיהוי פלילי במשטרה (מז"פ).</w:t>
      </w:r>
      <w:r w:rsidRPr="001F3363">
        <w:rPr>
          <w:rFonts w:hint="cs"/>
          <w:rtl/>
        </w:rPr>
        <w:t xml:space="preserve"> </w:t>
      </w:r>
    </w:p>
    <w:p w:rsidR="004F0B05" w14:paraId="03812646" w14:textId="77777777">
      <w:pPr>
        <w:bidi w:val="0"/>
        <w:spacing w:after="200" w:line="276" w:lineRule="auto"/>
        <w:rPr>
          <w:rFonts w:ascii="Tahoma" w:hAnsi="Tahoma" w:cs="Tahoma"/>
          <w:color w:val="0D0D0D" w:themeColor="text1" w:themeTint="F2"/>
          <w:sz w:val="18"/>
          <w:szCs w:val="18"/>
          <w:rtl/>
        </w:rPr>
      </w:pPr>
      <w:r>
        <w:rPr>
          <w:rtl/>
        </w:rPr>
        <w:br w:type="page"/>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RPr="00E3763A" w:rsidP="0005519C" w14:paraId="48A50A22" w14:textId="293FE0B2">
      <w:pPr>
        <w:pStyle w:val="7314"/>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7BB5" w:rsidR="0005519C">
        <w:rPr>
          <w:b/>
          <w:bCs/>
          <w:rtl/>
        </w:rPr>
        <w:t xml:space="preserve">תפיסת ההפעלה של מערך חקירת השריפות </w:t>
      </w:r>
      <w:r w:rsidRPr="002C7BB5" w:rsidR="0005519C">
        <w:rPr>
          <w:rtl/>
        </w:rPr>
        <w:t xml:space="preserve">- </w:t>
      </w:r>
      <w:r w:rsidRPr="002C7BB5" w:rsidR="0005519C">
        <w:rPr>
          <w:rtl/>
        </w:rPr>
        <w:t>כב"ה</w:t>
      </w:r>
      <w:r w:rsidRPr="002C7BB5" w:rsidR="0005519C">
        <w:rPr>
          <w:rtl/>
        </w:rPr>
        <w:t xml:space="preserve"> פועלת ללא מסמכי מדיניות כתובים ומאושרים על ידי מטה הרשות הקובעים את תפיסת ההפעלה שלה בתחום חקירת שריפות. הועלה גם כי המדיניות הקיימת בתחום חקירת השריפות אינה מתבססת על ניתוח סיכונים מתועד ועל ניהול מיטבי שלהם</w:t>
      </w:r>
      <w:r w:rsidR="00E3763A">
        <w:rPr>
          <w:rFonts w:hint="cs"/>
          <w:rtl/>
        </w:rPr>
        <w:t>.</w:t>
      </w:r>
    </w:p>
    <w:p w:rsidR="00BC6DAD" w:rsidP="0005519C" w14:paraId="597E5E97" w14:textId="7B52A10F">
      <w:pPr>
        <w:pStyle w:val="7314"/>
        <w:rPr>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7BB5" w:rsidR="0005519C">
        <w:rPr>
          <w:b/>
          <w:bCs/>
          <w:rtl/>
        </w:rPr>
        <w:t xml:space="preserve">החלטה לפתיחה בחקירת שריפה </w:t>
      </w:r>
      <w:r w:rsidRPr="002C7BB5" w:rsidR="0005519C">
        <w:rPr>
          <w:rtl/>
        </w:rPr>
        <w:t xml:space="preserve">- בנוהלי הרשות אין פירוט של הגורמים המוסמכים להורות על פתיחה בחקירה של אירוע דליקה בהתקיים התנאים שנקבעו </w:t>
      </w:r>
      <w:r w:rsidRPr="0005519C" w:rsidR="0005519C">
        <w:rPr>
          <w:rtl/>
        </w:rPr>
        <w:t>בתקנות</w:t>
      </w:r>
      <w:r w:rsidRPr="002C7BB5" w:rsidR="0005519C">
        <w:rPr>
          <w:rtl/>
        </w:rPr>
        <w:t xml:space="preserve">. היעדר בהירות בעניין זה, במיוחד לגבי תהליך קבלת ההחלטות בשעות היממה שהן מחוץ לשעות העבודה וכן בימי מנוחה ושבתון, עלול לגרום לעיכוב בקבלת החלטה ולפגוע ביעילות החקירה ולסכל את מטרתה. </w:t>
      </w:r>
      <w:r w:rsidR="0005519C">
        <w:rPr>
          <w:rFonts w:hint="cs"/>
          <w:rtl/>
        </w:rPr>
        <w:t>כמו כן</w:t>
      </w:r>
      <w:r w:rsidR="0073661A">
        <w:rPr>
          <w:rFonts w:hint="cs"/>
          <w:rtl/>
        </w:rPr>
        <w:t>,</w:t>
      </w:r>
      <w:r w:rsidRPr="002C7BB5" w:rsidR="0005519C">
        <w:rPr>
          <w:b/>
          <w:bCs/>
          <w:rtl/>
        </w:rPr>
        <w:t xml:space="preserve"> </w:t>
      </w:r>
      <w:r w:rsidRPr="002C7BB5" w:rsidR="0005519C">
        <w:rPr>
          <w:rtl/>
        </w:rPr>
        <w:t>התהליך הנדרש לשם קבלת החלטה לפתיחה בחקירת דליקה שונה ממחוז למחוז, ואין אחידות בהוראות ובהנחיות שניתנו לחוקרים בתחנות הכיבוי האזוריות ברחבי הארץ. דרגות הסיכון של אירועי הדליקה שנקבעו בנוהלי אגף המבצעים, המתייחסות למתארי הדליקות, אינן בהכרח תואמות את סיווג האירועים שנקבע בתקנות המתמקד בפרמטרים אחרים (חשד להצתה; שריפה עם נפגעים; ושריפה במבנה שטופל על ידי הרשות).</w:t>
      </w:r>
    </w:p>
    <w:p w:rsidR="00E3763A" w:rsidP="0005519C" w14:paraId="2110C45A" w14:textId="4AD7E533">
      <w:pPr>
        <w:pStyle w:val="7314"/>
        <w:rPr>
          <w:rtl/>
        </w:rPr>
      </w:pPr>
      <w:r w:rsidRPr="003F0A00">
        <w:rPr>
          <w:rStyle w:val="7371"/>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7BB5" w:rsidR="0005519C">
        <w:rPr>
          <w:bCs/>
          <w:rtl/>
        </w:rPr>
        <w:t>קבלת החלטות על אי</w:t>
      </w:r>
      <w:r w:rsidR="0005519C">
        <w:rPr>
          <w:rFonts w:hint="cs"/>
          <w:bCs/>
          <w:rtl/>
        </w:rPr>
        <w:t>-</w:t>
      </w:r>
      <w:r w:rsidRPr="002C7BB5" w:rsidR="0005519C">
        <w:rPr>
          <w:bCs/>
          <w:rtl/>
        </w:rPr>
        <w:t xml:space="preserve">חקירת שריפות </w:t>
      </w:r>
      <w:r w:rsidRPr="001A2EC6" w:rsidR="0005519C">
        <w:rPr>
          <w:rtl/>
        </w:rPr>
        <w:t>-</w:t>
      </w:r>
      <w:r w:rsidRPr="002C7BB5" w:rsidR="0005519C">
        <w:rPr>
          <w:bCs/>
          <w:rtl/>
          <w:lang w:eastAsia="he-IL"/>
        </w:rPr>
        <w:t xml:space="preserve"> </w:t>
      </w:r>
      <w:r w:rsidRPr="002C7BB5" w:rsidR="0005519C">
        <w:rPr>
          <w:rtl/>
          <w:lang w:eastAsia="he-IL"/>
        </w:rPr>
        <w:t>הרשות לא חקרה בממוצע רב-שנתי כ-89%</w:t>
      </w:r>
      <w:r w:rsidR="00AD24C1">
        <w:rPr>
          <w:rFonts w:hint="cs"/>
          <w:rtl/>
          <w:lang w:eastAsia="he-IL"/>
        </w:rPr>
        <w:t xml:space="preserve"> </w:t>
      </w:r>
      <w:r w:rsidRPr="002C7BB5" w:rsidR="0005519C">
        <w:rPr>
          <w:rtl/>
          <w:lang w:eastAsia="he-IL"/>
        </w:rPr>
        <w:t>מהשריפות</w:t>
      </w:r>
      <w:r w:rsidRPr="002C7BB5" w:rsidR="0005519C">
        <w:rPr>
          <w:lang w:eastAsia="he-IL"/>
        </w:rPr>
        <w:t xml:space="preserve"> </w:t>
      </w:r>
      <w:r w:rsidRPr="002C7BB5" w:rsidR="0005519C">
        <w:rPr>
          <w:rtl/>
          <w:lang w:eastAsia="he-IL"/>
        </w:rPr>
        <w:t xml:space="preserve">שטופלו </w:t>
      </w:r>
      <w:r w:rsidRPr="002C7BB5" w:rsidR="0005519C">
        <w:rPr>
          <w:rtl/>
          <w:lang w:eastAsia="he-IL"/>
        </w:rPr>
        <w:t>בכב"ה</w:t>
      </w:r>
      <w:r w:rsidRPr="002C7BB5" w:rsidR="0005519C">
        <w:rPr>
          <w:rtl/>
          <w:lang w:eastAsia="he-IL"/>
        </w:rPr>
        <w:t xml:space="preserve"> בשנים 20</w:t>
      </w:r>
      <w:r w:rsidR="0005519C">
        <w:rPr>
          <w:rFonts w:hint="cs"/>
          <w:rtl/>
          <w:lang w:eastAsia="he-IL"/>
        </w:rPr>
        <w:t xml:space="preserve">19 </w:t>
      </w:r>
      <w:r w:rsidRPr="002C7BB5" w:rsidR="0005519C">
        <w:rPr>
          <w:rtl/>
          <w:lang w:eastAsia="he-IL"/>
        </w:rPr>
        <w:t>-</w:t>
      </w:r>
      <w:r w:rsidR="0005519C">
        <w:rPr>
          <w:rFonts w:hint="cs"/>
          <w:rtl/>
          <w:lang w:eastAsia="he-IL"/>
        </w:rPr>
        <w:t xml:space="preserve"> </w:t>
      </w:r>
      <w:r w:rsidRPr="002C7BB5" w:rsidR="0005519C">
        <w:rPr>
          <w:rtl/>
          <w:lang w:eastAsia="he-IL"/>
        </w:rPr>
        <w:t>20</w:t>
      </w:r>
      <w:r w:rsidR="0005519C">
        <w:rPr>
          <w:rFonts w:hint="cs"/>
          <w:rtl/>
          <w:lang w:eastAsia="he-IL"/>
        </w:rPr>
        <w:t>22</w:t>
      </w:r>
      <w:r w:rsidRPr="002C7BB5" w:rsidR="0005519C">
        <w:rPr>
          <w:rtl/>
          <w:lang w:eastAsia="he-IL"/>
        </w:rPr>
        <w:t xml:space="preserve"> (כ-1</w:t>
      </w:r>
      <w:r w:rsidR="0005519C">
        <w:rPr>
          <w:rFonts w:hint="cs"/>
          <w:rtl/>
          <w:lang w:eastAsia="he-IL"/>
        </w:rPr>
        <w:t>8</w:t>
      </w:r>
      <w:r w:rsidRPr="002C7BB5" w:rsidR="0005519C">
        <w:rPr>
          <w:rtl/>
          <w:lang w:eastAsia="he-IL"/>
        </w:rPr>
        <w:t xml:space="preserve">8,000 אירועי דליקות) ושדווחו למערך החקירות על ידי מרכז השליטה </w:t>
      </w:r>
      <w:r w:rsidRPr="002C7BB5" w:rsidR="0005519C">
        <w:rPr>
          <w:rtl/>
          <w:lang w:eastAsia="he-IL"/>
        </w:rPr>
        <w:t>בכב"ה</w:t>
      </w:r>
      <w:r w:rsidRPr="002C7BB5" w:rsidR="0005519C">
        <w:rPr>
          <w:rtl/>
          <w:lang w:eastAsia="he-IL"/>
        </w:rPr>
        <w:t xml:space="preserve"> (</w:t>
      </w:r>
      <w:r w:rsidRPr="002C7BB5" w:rsidR="0005519C">
        <w:rPr>
          <w:rtl/>
          <w:lang w:eastAsia="he-IL"/>
        </w:rPr>
        <w:t>המשל"ט</w:t>
      </w:r>
      <w:r w:rsidRPr="002C7BB5" w:rsidR="0005519C">
        <w:rPr>
          <w:rtl/>
          <w:lang w:eastAsia="he-IL"/>
        </w:rPr>
        <w:t xml:space="preserve">); זאת בלא שהגורמים המוסמכים ברשות בחנו אם אירועי הדליקות האמורים מחייבים פתיחה בחקירה על פי התקנות. </w:t>
      </w:r>
      <w:r w:rsidRPr="002C7BB5" w:rsidR="0005519C">
        <w:rPr>
          <w:rtl/>
        </w:rPr>
        <w:t xml:space="preserve">בשנת 2022 ביצע המערך כולו 4,016 חקירות. על פי הפילוח שעשתה </w:t>
      </w:r>
      <w:r w:rsidRPr="0005519C" w:rsidR="0005519C">
        <w:rPr>
          <w:rtl/>
        </w:rPr>
        <w:t>מחלקת</w:t>
      </w:r>
      <w:r w:rsidRPr="002C7BB5" w:rsidR="0005519C">
        <w:rPr>
          <w:rtl/>
        </w:rPr>
        <w:t xml:space="preserve"> המחקר </w:t>
      </w:r>
      <w:r w:rsidRPr="002C7BB5" w:rsidR="0005519C">
        <w:rPr>
          <w:rtl/>
        </w:rPr>
        <w:t>בכב"ה</w:t>
      </w:r>
      <w:r w:rsidRPr="002C7BB5" w:rsidR="0005519C">
        <w:rPr>
          <w:rtl/>
        </w:rPr>
        <w:t>, ב-184 מקרים מכלל החקירות שבוצעו (4.5%) לא התקיימה חקירה מהסיבות המתועדות האלה: קושי לבצע חקירה (96 מקרים); מידת הנזק קלה (74); ולבקשת המשטרה (12). עם זאת, לא נמצא</w:t>
      </w:r>
      <w:r w:rsidR="0005519C">
        <w:rPr>
          <w:rFonts w:hint="cs"/>
          <w:rtl/>
        </w:rPr>
        <w:t xml:space="preserve">ו מסמכים המתעדים את </w:t>
      </w:r>
      <w:r w:rsidRPr="002C7BB5" w:rsidR="0005519C">
        <w:rPr>
          <w:rtl/>
        </w:rPr>
        <w:t>תהליך קבלת ההחלט</w:t>
      </w:r>
      <w:r w:rsidR="0005519C">
        <w:rPr>
          <w:rFonts w:hint="cs"/>
          <w:rtl/>
        </w:rPr>
        <w:t>ה</w:t>
      </w:r>
      <w:r w:rsidRPr="002C7BB5" w:rsidR="0005519C">
        <w:rPr>
          <w:rtl/>
        </w:rPr>
        <w:t xml:space="preserve"> </w:t>
      </w:r>
      <w:r w:rsidR="0005519C">
        <w:rPr>
          <w:rFonts w:hint="cs"/>
          <w:rtl/>
        </w:rPr>
        <w:t>שלא ל</w:t>
      </w:r>
      <w:r w:rsidRPr="002C7BB5" w:rsidR="0005519C">
        <w:rPr>
          <w:rtl/>
        </w:rPr>
        <w:t>פת</w:t>
      </w:r>
      <w:r w:rsidR="0005519C">
        <w:rPr>
          <w:rFonts w:hint="cs"/>
          <w:rtl/>
        </w:rPr>
        <w:t>ו</w:t>
      </w:r>
      <w:r w:rsidRPr="002C7BB5" w:rsidR="0005519C">
        <w:rPr>
          <w:rtl/>
        </w:rPr>
        <w:t xml:space="preserve">ח בחקירה לגבי 40,573 אירועי הדליקה שפרטיהם הועברו בשנת 2022 לידיעת מערך החקירות (90.6% מכלל השריפות שטופלו </w:t>
      </w:r>
      <w:r w:rsidRPr="002C7BB5" w:rsidR="0005519C">
        <w:rPr>
          <w:rtl/>
        </w:rPr>
        <w:t>בכב"ה</w:t>
      </w:r>
      <w:r w:rsidRPr="002C7BB5" w:rsidR="0005519C">
        <w:rPr>
          <w:rtl/>
        </w:rPr>
        <w:t xml:space="preserve"> באותה השנה)</w:t>
      </w:r>
      <w:r w:rsidRPr="001B773F" w:rsidR="00FD5595">
        <w:rPr>
          <w:rtl/>
        </w:rPr>
        <w:t>.</w:t>
      </w:r>
    </w:p>
    <w:p w:rsidR="00FD5595" w:rsidRPr="00FD5595" w:rsidP="0005519C" w14:paraId="0D2B6367" w14:textId="20D7B506">
      <w:pPr>
        <w:pStyle w:val="7314"/>
        <w:rPr>
          <w:rtl/>
        </w:rPr>
      </w:pPr>
      <w:r w:rsidRPr="003F0A0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7BB5" w:rsidR="0005519C">
        <w:rPr>
          <w:b/>
          <w:bCs/>
          <w:rtl/>
        </w:rPr>
        <w:t>קבלת החלטה שלא לקיים חקירה בא</w:t>
      </w:r>
      <w:r w:rsidR="0005519C">
        <w:rPr>
          <w:rFonts w:hint="cs"/>
          <w:b/>
          <w:bCs/>
          <w:rtl/>
        </w:rPr>
        <w:t>י</w:t>
      </w:r>
      <w:r w:rsidRPr="002C7BB5" w:rsidR="0005519C">
        <w:rPr>
          <w:b/>
          <w:bCs/>
          <w:rtl/>
        </w:rPr>
        <w:t xml:space="preserve">רועי דליקה בכלי רכב </w:t>
      </w:r>
      <w:r w:rsidRPr="001A2EC6" w:rsidR="0005519C">
        <w:rPr>
          <w:rtl/>
        </w:rPr>
        <w:t>-</w:t>
      </w:r>
      <w:r w:rsidRPr="002C7BB5" w:rsidR="0005519C">
        <w:rPr>
          <w:b/>
          <w:bCs/>
          <w:rtl/>
        </w:rPr>
        <w:t xml:space="preserve"> </w:t>
      </w:r>
      <w:r w:rsidRPr="002C7BB5" w:rsidR="0005519C">
        <w:rPr>
          <w:rtl/>
        </w:rPr>
        <w:t xml:space="preserve">הגורמים שנמנו בתקנות </w:t>
      </w:r>
      <w:r w:rsidRPr="002C7BB5" w:rsidR="0005519C">
        <w:rPr>
          <w:rtl/>
        </w:rPr>
        <w:t>כב"ה</w:t>
      </w:r>
      <w:r w:rsidRPr="002C7BB5" w:rsidR="0005519C">
        <w:rPr>
          <w:rtl/>
        </w:rPr>
        <w:t xml:space="preserve"> </w:t>
      </w:r>
      <w:r w:rsidR="0005519C">
        <w:rPr>
          <w:rFonts w:hint="cs"/>
          <w:rtl/>
        </w:rPr>
        <w:t>-</w:t>
      </w:r>
      <w:r w:rsidRPr="002C7BB5" w:rsidR="0005519C">
        <w:rPr>
          <w:rtl/>
        </w:rPr>
        <w:t xml:space="preserve"> הנציב או מפקד המחוז - אינם מוסמכים להחליט באופן גורף </w:t>
      </w:r>
      <w:r w:rsidR="0005519C">
        <w:rPr>
          <w:rFonts w:hint="cs"/>
          <w:rtl/>
        </w:rPr>
        <w:t xml:space="preserve">שלא לקיים חקירה </w:t>
      </w:r>
      <w:r w:rsidRPr="002C7BB5" w:rsidR="0005519C">
        <w:rPr>
          <w:rtl/>
        </w:rPr>
        <w:t xml:space="preserve">של כל השריפות </w:t>
      </w:r>
      <w:r w:rsidR="006C292F">
        <w:rPr>
          <w:rFonts w:hint="cs"/>
          <w:rtl/>
        </w:rPr>
        <w:t xml:space="preserve">שהתרחשו </w:t>
      </w:r>
      <w:r w:rsidRPr="002C7BB5" w:rsidR="0005519C">
        <w:rPr>
          <w:rtl/>
        </w:rPr>
        <w:t xml:space="preserve">בכלי רכב. אף על פי כן, במחוזות חוף ויו"ש הוחלט כי אין חובה </w:t>
      </w:r>
      <w:r w:rsidRPr="0005519C" w:rsidR="0005519C">
        <w:rPr>
          <w:rtl/>
        </w:rPr>
        <w:t>לפתוח</w:t>
      </w:r>
      <w:r w:rsidRPr="002C7BB5" w:rsidR="0005519C">
        <w:rPr>
          <w:rtl/>
        </w:rPr>
        <w:t xml:space="preserve"> </w:t>
      </w:r>
      <w:r w:rsidRPr="0005519C" w:rsidR="0005519C">
        <w:rPr>
          <w:rtl/>
        </w:rPr>
        <w:t>בחקירה</w:t>
      </w:r>
      <w:r w:rsidRPr="002C7BB5" w:rsidR="0005519C">
        <w:rPr>
          <w:rtl/>
        </w:rPr>
        <w:t xml:space="preserve"> של אירועי דליקה בכלי רכב, ובפרט בעת נסיעה. בפועל, בשנת 2022 טופלו 736 דליקות בכלי רכב במחוזות יו"ש וחוף, ומהן נחקרו 25 דליקות בלבד. יוצא אפוא שהגורמים המוסמכים בתקנות לא בחנו מלכתחילה אם נדרשת חקירה בכ-96% מהאירועים שדווחו למערך החקירות </w:t>
      </w:r>
      <w:r w:rsidRPr="00687308" w:rsidR="0005519C">
        <w:rPr>
          <w:b/>
          <w:rtl/>
        </w:rPr>
        <w:t>במחוזות</w:t>
      </w:r>
      <w:r w:rsidRPr="002C7BB5" w:rsidR="0005519C">
        <w:rPr>
          <w:rtl/>
        </w:rPr>
        <w:t xml:space="preserve"> אלה בשנת 2022</w:t>
      </w:r>
      <w:r w:rsidRPr="001B773F">
        <w:rPr>
          <w:rtl/>
        </w:rPr>
        <w:t>.</w:t>
      </w:r>
    </w:p>
    <w:p w:rsidR="00FD5595" w:rsidP="0005519C" w14:paraId="32BFA4CD" w14:textId="29A4AB39">
      <w:pPr>
        <w:pStyle w:val="7314"/>
        <w:rPr>
          <w:rtl/>
        </w:rPr>
      </w:pPr>
      <w:r w:rsidRPr="003F0A00">
        <w:rPr>
          <w:rStyle w:val="7371"/>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1" w:name="_Hlk150930106"/>
      <w:r w:rsidRPr="002C7BB5" w:rsidR="0005519C">
        <w:rPr>
          <w:b/>
          <w:bCs/>
          <w:rtl/>
        </w:rPr>
        <w:t xml:space="preserve">הפעלת חטיבת איסוף וחקירות </w:t>
      </w:r>
      <w:r w:rsidRPr="001A2EC6" w:rsidR="0005519C">
        <w:rPr>
          <w:rtl/>
        </w:rPr>
        <w:t>-</w:t>
      </w:r>
      <w:r w:rsidRPr="002C7BB5" w:rsidR="0005519C">
        <w:rPr>
          <w:b/>
          <w:bCs/>
          <w:rtl/>
          <w:lang w:eastAsia="he-IL"/>
        </w:rPr>
        <w:t xml:space="preserve"> </w:t>
      </w:r>
      <w:r w:rsidRPr="002C7BB5" w:rsidR="0005519C">
        <w:rPr>
          <w:rtl/>
          <w:lang w:eastAsia="he-IL"/>
        </w:rPr>
        <w:t xml:space="preserve">בשנת 2022 הוקמה </w:t>
      </w:r>
      <w:r w:rsidRPr="002C7BB5" w:rsidR="0005519C">
        <w:rPr>
          <w:rtl/>
          <w:lang w:eastAsia="he-IL"/>
        </w:rPr>
        <w:t>בכב"ה</w:t>
      </w:r>
      <w:r w:rsidRPr="002C7BB5" w:rsidR="0005519C">
        <w:rPr>
          <w:rtl/>
          <w:lang w:eastAsia="he-IL"/>
        </w:rPr>
        <w:t xml:space="preserve"> חטיבת איסוף וחקירות </w:t>
      </w:r>
      <w:bookmarkEnd w:id="1"/>
      <w:r w:rsidRPr="002C7BB5" w:rsidR="0005519C">
        <w:rPr>
          <w:rtl/>
          <w:lang w:eastAsia="he-IL"/>
        </w:rPr>
        <w:t xml:space="preserve">שייעודה לקיים פעילות שוטפת בתחומי האיסוף והמחקר של מידע ממקורות שונים על </w:t>
      </w:r>
      <w:r w:rsidR="007A1269">
        <w:rPr>
          <w:rFonts w:hint="cs"/>
          <w:rtl/>
          <w:lang w:eastAsia="he-IL"/>
        </w:rPr>
        <w:t>אירועי</w:t>
      </w:r>
      <w:r w:rsidRPr="002C7BB5" w:rsidR="0005519C">
        <w:rPr>
          <w:rtl/>
          <w:lang w:eastAsia="he-IL"/>
        </w:rPr>
        <w:t xml:space="preserve"> דליקות ולנהל את מערך חקירת השריפות ברשות. </w:t>
      </w:r>
      <w:r w:rsidR="007A1269">
        <w:rPr>
          <w:rFonts w:eastAsia="Times New Roman" w:hint="cs"/>
          <w:rtl/>
          <w:lang w:eastAsia="he-IL"/>
        </w:rPr>
        <w:t>אולם</w:t>
      </w:r>
      <w:r w:rsidRPr="002C7BB5" w:rsidR="0005519C">
        <w:rPr>
          <w:rFonts w:eastAsia="Times New Roman"/>
          <w:rtl/>
          <w:lang w:eastAsia="he-IL"/>
        </w:rPr>
        <w:t xml:space="preserve"> אגף המבצעים טרם הגדיר </w:t>
      </w:r>
      <w:r w:rsidRPr="002C7BB5" w:rsidR="0005519C">
        <w:rPr>
          <w:rFonts w:eastAsia="Times New Roman"/>
          <w:rtl/>
          <w:lang w:eastAsia="he-IL"/>
        </w:rPr>
        <w:t>יעדים לאיוש התקנים בחטיבה ולהנעת פעילותה.</w:t>
      </w:r>
      <w:r w:rsidRPr="002C7BB5" w:rsidR="0005519C">
        <w:rPr>
          <w:rtl/>
          <w:lang w:eastAsia="he-IL"/>
        </w:rPr>
        <w:t xml:space="preserve"> עד </w:t>
      </w:r>
      <w:r w:rsidR="0005519C">
        <w:rPr>
          <w:rFonts w:hint="cs"/>
          <w:rtl/>
          <w:lang w:eastAsia="he-IL"/>
        </w:rPr>
        <w:t>פברואר 2024</w:t>
      </w:r>
      <w:r w:rsidRPr="002C7BB5" w:rsidR="0005519C">
        <w:rPr>
          <w:rtl/>
          <w:lang w:eastAsia="he-IL"/>
        </w:rPr>
        <w:t>, טרם אוישו כ-</w:t>
      </w:r>
      <w:r w:rsidR="0005519C">
        <w:rPr>
          <w:rFonts w:hint="cs"/>
          <w:rtl/>
          <w:lang w:eastAsia="he-IL"/>
        </w:rPr>
        <w:t>62</w:t>
      </w:r>
      <w:r w:rsidRPr="002C7BB5" w:rsidR="0005519C">
        <w:rPr>
          <w:rtl/>
          <w:lang w:eastAsia="he-IL"/>
        </w:rPr>
        <w:t>% (</w:t>
      </w:r>
      <w:r w:rsidR="0005519C">
        <w:rPr>
          <w:rFonts w:hint="cs"/>
          <w:rtl/>
          <w:lang w:eastAsia="he-IL"/>
        </w:rPr>
        <w:t>8</w:t>
      </w:r>
      <w:r w:rsidRPr="002C7BB5" w:rsidR="0005519C">
        <w:rPr>
          <w:rtl/>
          <w:lang w:eastAsia="he-IL"/>
        </w:rPr>
        <w:t xml:space="preserve"> מ-13)</w:t>
      </w:r>
      <w:r w:rsidRPr="002C7BB5" w:rsidR="0005519C">
        <w:rPr>
          <w:lang w:eastAsia="he-IL"/>
        </w:rPr>
        <w:t xml:space="preserve"> </w:t>
      </w:r>
      <w:r w:rsidRPr="002C7BB5" w:rsidR="0005519C">
        <w:rPr>
          <w:rtl/>
          <w:lang w:eastAsia="he-IL"/>
        </w:rPr>
        <w:t xml:space="preserve">מהמשרות המקצועיות שבתקן חטיבת איסוף וחקירות בנציבות, ולכן בחלוף </w:t>
      </w:r>
      <w:r w:rsidR="0005519C">
        <w:rPr>
          <w:rFonts w:hint="cs"/>
          <w:rtl/>
          <w:lang w:eastAsia="he-IL"/>
        </w:rPr>
        <w:t>ארבע</w:t>
      </w:r>
      <w:r w:rsidRPr="002C7BB5" w:rsidR="0005519C">
        <w:rPr>
          <w:rtl/>
          <w:lang w:eastAsia="he-IL"/>
        </w:rPr>
        <w:t xml:space="preserve"> שנים מאז הוחלט על הקמתה, היחידות החדשות שנוספו למערך החקירות במסגרת החטיבה</w:t>
      </w:r>
      <w:r w:rsidR="0037355B">
        <w:rPr>
          <w:rFonts w:hint="cs"/>
          <w:rtl/>
          <w:lang w:eastAsia="he-IL"/>
        </w:rPr>
        <w:t>,</w:t>
      </w:r>
      <w:r w:rsidRPr="002C7BB5" w:rsidR="0005519C">
        <w:rPr>
          <w:rtl/>
          <w:lang w:eastAsia="he-IL"/>
        </w:rPr>
        <w:t xml:space="preserve"> פעילות</w:t>
      </w:r>
      <w:r w:rsidR="0005519C">
        <w:rPr>
          <w:rFonts w:hint="cs"/>
          <w:rtl/>
          <w:lang w:eastAsia="he-IL"/>
        </w:rPr>
        <w:t xml:space="preserve"> באופן חלקי</w:t>
      </w:r>
      <w:r w:rsidRPr="002C7BB5" w:rsidR="0005519C">
        <w:rPr>
          <w:rtl/>
          <w:lang w:eastAsia="he-IL"/>
        </w:rPr>
        <w:t xml:space="preserve">. במצב הקיים פועל מערך החקירות בחסר ובמתכונת הישנה - ללא יחידת תכנון, הנחיה ואסדרה, ובלי יכולת לקיים פיקוח ובקרה רציפים על פעילות החוקרים במחוזות </w:t>
      </w:r>
      <w:r w:rsidRPr="002C7BB5" w:rsidR="0005519C">
        <w:rPr>
          <w:rtl/>
          <w:lang w:eastAsia="he-IL"/>
        </w:rPr>
        <w:t>כב"ה</w:t>
      </w:r>
      <w:r w:rsidRPr="002C7BB5" w:rsidR="0005519C">
        <w:rPr>
          <w:rtl/>
          <w:lang w:eastAsia="he-IL"/>
        </w:rPr>
        <w:t xml:space="preserve"> ובתחנותיה</w:t>
      </w:r>
      <w:r w:rsidRPr="001B773F">
        <w:rPr>
          <w:rtl/>
        </w:rPr>
        <w:t>.</w:t>
      </w:r>
    </w:p>
    <w:p w:rsidR="00FD5595" w:rsidP="0005519C" w14:paraId="2B3B84FF" w14:textId="38DDB36C">
      <w:pPr>
        <w:pStyle w:val="7314"/>
        <w:rPr>
          <w:rtl/>
        </w:rPr>
      </w:pPr>
      <w:r w:rsidRPr="003F0A00">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7BB5" w:rsidR="0005519C">
        <w:rPr>
          <w:b/>
          <w:bCs/>
          <w:rtl/>
        </w:rPr>
        <w:t xml:space="preserve">איוש משרות במערך החקירות </w:t>
      </w:r>
      <w:r w:rsidRPr="001A2EC6" w:rsidR="0005519C">
        <w:rPr>
          <w:rtl/>
        </w:rPr>
        <w:t>-</w:t>
      </w:r>
      <w:r w:rsidRPr="002C7BB5" w:rsidR="0005519C">
        <w:rPr>
          <w:b/>
          <w:bCs/>
          <w:rtl/>
        </w:rPr>
        <w:t xml:space="preserve"> </w:t>
      </w:r>
      <w:r w:rsidRPr="002C7BB5" w:rsidR="0005519C">
        <w:rPr>
          <w:rtl/>
        </w:rPr>
        <w:t>נמצא כי בשנת 2023 היו המשרות התקניות של מפקדים וחוקרים במערך החקירות בתת-איוש</w:t>
      </w:r>
      <w:r w:rsidR="0005519C">
        <w:rPr>
          <w:rFonts w:hint="cs"/>
          <w:rtl/>
        </w:rPr>
        <w:t xml:space="preserve">: </w:t>
      </w:r>
      <w:r w:rsidRPr="008A510D" w:rsidR="0005519C">
        <w:rPr>
          <w:rFonts w:hint="eastAsia"/>
          <w:rtl/>
        </w:rPr>
        <w:t>מתוך</w:t>
      </w:r>
      <w:r w:rsidRPr="008A510D" w:rsidR="0005519C">
        <w:rPr>
          <w:rtl/>
        </w:rPr>
        <w:t xml:space="preserve"> שבע משרות של </w:t>
      </w:r>
      <w:r w:rsidRPr="008A510D" w:rsidR="0005519C">
        <w:rPr>
          <w:rFonts w:hint="eastAsia"/>
          <w:rtl/>
        </w:rPr>
        <w:t>רע</w:t>
      </w:r>
      <w:r w:rsidRPr="008A510D" w:rsidR="0005519C">
        <w:rPr>
          <w:rtl/>
        </w:rPr>
        <w:t>"נים</w:t>
      </w:r>
      <w:r w:rsidRPr="008A510D" w:rsidR="0005519C">
        <w:rPr>
          <w:rtl/>
        </w:rPr>
        <w:t xml:space="preserve"> במחוזות, </w:t>
      </w:r>
      <w:r w:rsidRPr="008A510D" w:rsidR="0005519C">
        <w:rPr>
          <w:rFonts w:hint="eastAsia"/>
          <w:rtl/>
        </w:rPr>
        <w:t>משרה</w:t>
      </w:r>
      <w:r w:rsidRPr="008A510D" w:rsidR="0005519C">
        <w:rPr>
          <w:rtl/>
        </w:rPr>
        <w:t xml:space="preserve"> </w:t>
      </w:r>
      <w:r w:rsidRPr="008A510D" w:rsidR="0005519C">
        <w:rPr>
          <w:rFonts w:hint="eastAsia"/>
          <w:rtl/>
        </w:rPr>
        <w:t>אחת</w:t>
      </w:r>
      <w:r w:rsidRPr="008A510D" w:rsidR="0005519C">
        <w:rPr>
          <w:rtl/>
        </w:rPr>
        <w:t xml:space="preserve"> לא הי</w:t>
      </w:r>
      <w:r w:rsidRPr="008A510D" w:rsidR="0005519C">
        <w:rPr>
          <w:rFonts w:hint="eastAsia"/>
          <w:rtl/>
        </w:rPr>
        <w:t>ית</w:t>
      </w:r>
      <w:r w:rsidRPr="008A510D" w:rsidR="0005519C">
        <w:rPr>
          <w:rtl/>
        </w:rPr>
        <w:t>ה מאויש</w:t>
      </w:r>
      <w:r w:rsidRPr="008A510D" w:rsidR="0005519C">
        <w:rPr>
          <w:rFonts w:hint="eastAsia"/>
          <w:rtl/>
        </w:rPr>
        <w:t>ת</w:t>
      </w:r>
      <w:r w:rsidRPr="008A510D" w:rsidR="0005519C">
        <w:rPr>
          <w:rtl/>
        </w:rPr>
        <w:t xml:space="preserve">; </w:t>
      </w:r>
      <w:r w:rsidRPr="008A510D" w:rsidR="0005519C">
        <w:rPr>
          <w:rFonts w:hint="eastAsia"/>
          <w:rtl/>
        </w:rPr>
        <w:t>ומתוך</w:t>
      </w:r>
      <w:r w:rsidRPr="008A510D" w:rsidR="0005519C">
        <w:rPr>
          <w:rtl/>
        </w:rPr>
        <w:t xml:space="preserve"> </w:t>
      </w:r>
      <w:r w:rsidRPr="008A510D" w:rsidR="0005519C">
        <w:rPr>
          <w:rFonts w:hint="eastAsia"/>
          <w:rtl/>
        </w:rPr>
        <w:t>שבע</w:t>
      </w:r>
      <w:r w:rsidRPr="008A510D" w:rsidR="0005519C">
        <w:rPr>
          <w:rtl/>
        </w:rPr>
        <w:t xml:space="preserve"> </w:t>
      </w:r>
      <w:r w:rsidRPr="008A510D" w:rsidR="0005519C">
        <w:rPr>
          <w:rFonts w:hint="eastAsia"/>
          <w:rtl/>
        </w:rPr>
        <w:t>משרות</w:t>
      </w:r>
      <w:r w:rsidRPr="008A510D" w:rsidR="0005519C">
        <w:rPr>
          <w:rtl/>
        </w:rPr>
        <w:t xml:space="preserve"> של ראשי מדורי החקירות, ש</w:t>
      </w:r>
      <w:r w:rsidRPr="008A510D" w:rsidR="0005519C">
        <w:rPr>
          <w:rFonts w:hint="eastAsia"/>
          <w:rtl/>
        </w:rPr>
        <w:t>תי</w:t>
      </w:r>
      <w:r w:rsidRPr="008A510D" w:rsidR="0005519C">
        <w:rPr>
          <w:rtl/>
        </w:rPr>
        <w:t xml:space="preserve"> משרות</w:t>
      </w:r>
      <w:r w:rsidR="0005519C">
        <w:rPr>
          <w:rFonts w:hint="cs"/>
          <w:rtl/>
        </w:rPr>
        <w:t xml:space="preserve"> לא היו מאוישות</w:t>
      </w:r>
      <w:r w:rsidR="003F3007">
        <w:rPr>
          <w:rFonts w:hint="cs"/>
          <w:rtl/>
        </w:rPr>
        <w:t>;</w:t>
      </w:r>
      <w:r w:rsidR="00A65F94">
        <w:rPr>
          <w:rFonts w:hint="cs"/>
          <w:rtl/>
        </w:rPr>
        <w:t xml:space="preserve"> ו</w:t>
      </w:r>
      <w:r w:rsidR="0005519C">
        <w:rPr>
          <w:rFonts w:hint="cs"/>
          <w:rtl/>
        </w:rPr>
        <w:t>כן</w:t>
      </w:r>
      <w:r w:rsidRPr="00B92C92" w:rsidR="0005519C">
        <w:rPr>
          <w:rtl/>
        </w:rPr>
        <w:t xml:space="preserve"> </w:t>
      </w:r>
      <w:r w:rsidRPr="008A510D" w:rsidR="0005519C">
        <w:rPr>
          <w:rtl/>
        </w:rPr>
        <w:t>18%</w:t>
      </w:r>
      <w:r w:rsidRPr="008A510D" w:rsidR="0005519C">
        <w:t xml:space="preserve"> </w:t>
      </w:r>
      <w:r w:rsidRPr="008A510D" w:rsidR="0005519C">
        <w:rPr>
          <w:rtl/>
        </w:rPr>
        <w:t xml:space="preserve">ממשרות החוקרים בתקן בתחנות הכיבוי </w:t>
      </w:r>
      <w:r w:rsidRPr="0005519C" w:rsidR="0005519C">
        <w:rPr>
          <w:rtl/>
        </w:rPr>
        <w:t>האזוריות</w:t>
      </w:r>
      <w:r w:rsidR="002A0B1E">
        <w:rPr>
          <w:rFonts w:hint="cs"/>
          <w:rtl/>
        </w:rPr>
        <w:t>,</w:t>
      </w:r>
      <w:r w:rsidRPr="008A510D" w:rsidR="0005519C">
        <w:rPr>
          <w:rtl/>
        </w:rPr>
        <w:t xml:space="preserve"> </w:t>
      </w:r>
      <w:r w:rsidR="0005519C">
        <w:rPr>
          <w:rFonts w:hint="cs"/>
          <w:rtl/>
        </w:rPr>
        <w:t xml:space="preserve">לא היו </w:t>
      </w:r>
      <w:r w:rsidRPr="008A510D" w:rsidR="0005519C">
        <w:rPr>
          <w:rtl/>
        </w:rPr>
        <w:t>מאוישות</w:t>
      </w:r>
      <w:r w:rsidR="00F068C9">
        <w:rPr>
          <w:rFonts w:hint="cs"/>
          <w:rtl/>
        </w:rPr>
        <w:t>.</w:t>
      </w:r>
      <w:r w:rsidR="0005519C">
        <w:rPr>
          <w:rFonts w:hint="cs"/>
          <w:b/>
          <w:bCs/>
          <w:rtl/>
        </w:rPr>
        <w:t xml:space="preserve"> </w:t>
      </w:r>
      <w:r w:rsidRPr="002C7BB5" w:rsidR="0005519C">
        <w:rPr>
          <w:rtl/>
        </w:rPr>
        <w:t>משנת 2020 ואילך הסתכם תקן החוקרים שהם לוחמי אש המבצעים חקירות נוסף על תפקידים (</w:t>
      </w:r>
      <w:r w:rsidRPr="002C7BB5" w:rsidR="0005519C">
        <w:rPr>
          <w:rtl/>
        </w:rPr>
        <w:t>נע"ת</w:t>
      </w:r>
      <w:r w:rsidRPr="002C7BB5" w:rsidR="0005519C">
        <w:rPr>
          <w:rtl/>
        </w:rPr>
        <w:t xml:space="preserve">) ב-108 משרות. בשנת 2023 רק שני שלישים מהמשרות האמורות אוישו (78) - ירידה של </w:t>
      </w:r>
      <w:r w:rsidR="0005519C">
        <w:rPr>
          <w:rFonts w:hint="cs"/>
          <w:rtl/>
        </w:rPr>
        <w:t>כ-70%</w:t>
      </w:r>
      <w:r w:rsidRPr="002C7BB5" w:rsidR="0005519C">
        <w:rPr>
          <w:rtl/>
        </w:rPr>
        <w:t xml:space="preserve"> במצבת כוח האדם של חוקרי </w:t>
      </w:r>
      <w:r w:rsidRPr="002C7BB5" w:rsidR="0005519C">
        <w:rPr>
          <w:rtl/>
        </w:rPr>
        <w:t>נע"ת</w:t>
      </w:r>
      <w:r w:rsidRPr="002C7BB5" w:rsidR="0005519C">
        <w:rPr>
          <w:rtl/>
        </w:rPr>
        <w:t xml:space="preserve"> בהשוואה למספרם בשנת 2016 (258).</w:t>
      </w:r>
    </w:p>
    <w:p w:rsidR="006B28F0" w:rsidP="0005519C" w14:paraId="793B180C" w14:textId="77264AA9">
      <w:pPr>
        <w:pStyle w:val="7314"/>
        <w:rPr>
          <w:rtl/>
        </w:rPr>
      </w:pPr>
      <w:r w:rsidRPr="003F0A00">
        <w:rPr>
          <w:rStyle w:val="7371"/>
          <w:rFonts w:hint="cs"/>
          <w:noProof/>
          <w:rtl/>
        </w:rPr>
        <w:drawing>
          <wp:anchor distT="0" distB="0" distL="71755" distR="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A61FD" w:rsidR="0005519C">
        <w:rPr>
          <w:rFonts w:hint="eastAsia"/>
          <w:b/>
          <w:bCs/>
          <w:rtl/>
        </w:rPr>
        <w:t>עריכת</w:t>
      </w:r>
      <w:r w:rsidRPr="006A61FD" w:rsidR="0005519C">
        <w:rPr>
          <w:b/>
          <w:bCs/>
          <w:rtl/>
        </w:rPr>
        <w:t xml:space="preserve"> </w:t>
      </w:r>
      <w:r w:rsidRPr="006A61FD" w:rsidR="0005519C">
        <w:rPr>
          <w:rFonts w:hint="eastAsia"/>
          <w:b/>
          <w:bCs/>
          <w:rtl/>
        </w:rPr>
        <w:t>הסדר</w:t>
      </w:r>
      <w:r w:rsidRPr="006A61FD" w:rsidR="0005519C">
        <w:rPr>
          <w:b/>
          <w:bCs/>
          <w:rtl/>
        </w:rPr>
        <w:t xml:space="preserve"> ניגוד עניינים </w:t>
      </w:r>
      <w:r w:rsidRPr="006A61FD" w:rsidR="0005519C">
        <w:rPr>
          <w:rFonts w:hint="eastAsia"/>
          <w:b/>
          <w:bCs/>
          <w:rtl/>
        </w:rPr>
        <w:t>לחוקרי</w:t>
      </w:r>
      <w:r w:rsidRPr="006A61FD" w:rsidR="0005519C">
        <w:rPr>
          <w:b/>
          <w:bCs/>
          <w:rtl/>
        </w:rPr>
        <w:t xml:space="preserve"> </w:t>
      </w:r>
      <w:r w:rsidRPr="006A61FD" w:rsidR="0005519C">
        <w:rPr>
          <w:rFonts w:hint="eastAsia"/>
          <w:b/>
          <w:bCs/>
          <w:rtl/>
        </w:rPr>
        <w:t>שריפות</w:t>
      </w:r>
      <w:r w:rsidRPr="006A61FD" w:rsidR="0005519C">
        <w:rPr>
          <w:b/>
          <w:bCs/>
          <w:rtl/>
        </w:rPr>
        <w:t xml:space="preserve"> -</w:t>
      </w:r>
      <w:r w:rsidR="0005519C">
        <w:rPr>
          <w:rFonts w:hint="cs"/>
          <w:rtl/>
        </w:rPr>
        <w:t xml:space="preserve"> </w:t>
      </w:r>
      <w:r w:rsidRPr="002C7BB5" w:rsidR="0005519C">
        <w:rPr>
          <w:rtl/>
        </w:rPr>
        <w:t>כב"ה</w:t>
      </w:r>
      <w:r w:rsidRPr="002C7BB5" w:rsidR="0005519C">
        <w:rPr>
          <w:rtl/>
        </w:rPr>
        <w:t xml:space="preserve"> לא הסדירה בנהליה הוראות למניעת ניגודי עניינים של לוחמי אש המבצעים תפקיד של חוקר </w:t>
      </w:r>
      <w:r w:rsidRPr="002C7BB5" w:rsidR="0005519C">
        <w:rPr>
          <w:rtl/>
        </w:rPr>
        <w:t>נע"ת</w:t>
      </w:r>
      <w:r w:rsidRPr="002C7BB5" w:rsidR="0005519C">
        <w:rPr>
          <w:rtl/>
        </w:rPr>
        <w:t xml:space="preserve">. במצב דברים זה עלול </w:t>
      </w:r>
      <w:r w:rsidRPr="0005519C" w:rsidR="0005519C">
        <w:rPr>
          <w:rtl/>
        </w:rPr>
        <w:t>לוחם</w:t>
      </w:r>
      <w:r w:rsidRPr="002C7BB5" w:rsidR="0005519C">
        <w:rPr>
          <w:rtl/>
        </w:rPr>
        <w:t xml:space="preserve"> אש המועסק בתפקיד חוקר </w:t>
      </w:r>
      <w:r w:rsidRPr="002C7BB5" w:rsidR="0005519C">
        <w:rPr>
          <w:rtl/>
        </w:rPr>
        <w:t>נע"ת</w:t>
      </w:r>
      <w:r w:rsidRPr="002C7BB5" w:rsidR="0005519C">
        <w:rPr>
          <w:rtl/>
        </w:rPr>
        <w:t xml:space="preserve"> להידרש לגבות עדויות מעמיתיו על השתתפות בכיבוי דליקה שאירעה בזמן משמרת משותפת</w:t>
      </w:r>
      <w:r w:rsidR="008E47F3">
        <w:rPr>
          <w:rFonts w:hint="cs"/>
          <w:rtl/>
        </w:rPr>
        <w:t>,</w:t>
      </w:r>
      <w:r w:rsidRPr="002C7BB5" w:rsidR="0005519C">
        <w:rPr>
          <w:rtl/>
        </w:rPr>
        <w:t xml:space="preserve"> באופן שעלול להעמיד אותו במצב של חשש לניגוד עניינים</w:t>
      </w:r>
      <w:r w:rsidRPr="001B773F">
        <w:rPr>
          <w:rtl/>
        </w:rPr>
        <w:t>.</w:t>
      </w:r>
    </w:p>
    <w:p w:rsidR="006B28F0" w:rsidP="0005519C" w14:paraId="23F959BB" w14:textId="7A9EAD55">
      <w:pPr>
        <w:pStyle w:val="7314"/>
        <w:rPr>
          <w:rtl/>
        </w:rPr>
      </w:pPr>
      <w:r w:rsidRPr="003F0A00">
        <w:rPr>
          <w:rStyle w:val="7371"/>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7BB5" w:rsidR="0005519C">
        <w:rPr>
          <w:b/>
          <w:bCs/>
          <w:rtl/>
        </w:rPr>
        <w:t xml:space="preserve">הכשרה של חוקרי שריפות ושמירה על כשירותם </w:t>
      </w:r>
      <w:r w:rsidRPr="001A2EC6" w:rsidR="0005519C">
        <w:rPr>
          <w:rtl/>
        </w:rPr>
        <w:t>-</w:t>
      </w:r>
      <w:r w:rsidRPr="002C7BB5" w:rsidR="0005519C">
        <w:rPr>
          <w:b/>
          <w:bCs/>
          <w:rtl/>
        </w:rPr>
        <w:t xml:space="preserve"> </w:t>
      </w:r>
      <w:r w:rsidRPr="002C7BB5" w:rsidR="0005519C">
        <w:rPr>
          <w:rtl/>
        </w:rPr>
        <w:t xml:space="preserve">פרט לקורס חוקרים בסיסי, הרשות אינה מקיימת קורסים מתקדמים שנועדו להעלות את רמת החקירות ואיכותן ולהכשיר חונכים לחוקרי דליקות חדשים. כתוצאה מכך נבצר מהחוקרים לפתח את המיומנויות המקצועיות שלהם ולשפר את תהליכי החקירה ותוצריה. כמו כן הקורס למפקדים בכירים, שנועד בין היתר להעלות את רמת בקיאותם של המפקדים המבצעיים </w:t>
      </w:r>
      <w:r w:rsidRPr="0005519C" w:rsidR="0005519C">
        <w:rPr>
          <w:rtl/>
        </w:rPr>
        <w:t>בתחום</w:t>
      </w:r>
      <w:r w:rsidRPr="002C7BB5" w:rsidR="0005519C">
        <w:rPr>
          <w:rtl/>
        </w:rPr>
        <w:t xml:space="preserve"> החקירות, לא התקיים בשנים 2022</w:t>
      </w:r>
      <w:r w:rsidRPr="002C7BB5" w:rsidR="0005519C">
        <w:rPr>
          <w:b/>
          <w:bCs/>
          <w:rtl/>
        </w:rPr>
        <w:t xml:space="preserve"> </w:t>
      </w:r>
      <w:r w:rsidRPr="002C7BB5" w:rsidR="0005519C">
        <w:rPr>
          <w:rtl/>
        </w:rPr>
        <w:t xml:space="preserve">עד 2023. </w:t>
      </w:r>
      <w:r w:rsidR="00C565FB">
        <w:rPr>
          <w:rFonts w:hint="cs"/>
          <w:rtl/>
        </w:rPr>
        <w:t>זאת ועוד,</w:t>
      </w:r>
      <w:r w:rsidRPr="002C7BB5" w:rsidR="0005519C">
        <w:rPr>
          <w:rtl/>
        </w:rPr>
        <w:t xml:space="preserve"> כ-30% מכלל החוקרים שהוסמכו (54 </w:t>
      </w:r>
      <w:r w:rsidR="00A075E3">
        <w:rPr>
          <w:rFonts w:hint="cs"/>
          <w:rtl/>
        </w:rPr>
        <w:t xml:space="preserve">           </w:t>
      </w:r>
      <w:r w:rsidRPr="002C7BB5" w:rsidR="0005519C">
        <w:rPr>
          <w:rtl/>
        </w:rPr>
        <w:t>מ-183), לרבות חוקרים בתקן, אינם חוקרים דליקות בפועל ולכן הם לא היו כשירים לבצע חקירות בשנת 2023</w:t>
      </w:r>
      <w:r w:rsidRPr="001B773F">
        <w:rPr>
          <w:rtl/>
        </w:rPr>
        <w:t>.</w:t>
      </w:r>
    </w:p>
    <w:p w:rsidR="006B28F0" w:rsidP="006B28F0" w14:paraId="6AC6FAF2" w14:textId="60AD02CB">
      <w:pPr>
        <w:pStyle w:val="7314"/>
        <w:rPr>
          <w:rtl/>
        </w:rPr>
      </w:pPr>
      <w:r w:rsidRPr="003F0A00">
        <w:rPr>
          <w:rStyle w:val="7371"/>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7BB5" w:rsidR="0005519C">
        <w:rPr>
          <w:b/>
          <w:bCs/>
          <w:sz w:val="19"/>
          <w:szCs w:val="19"/>
          <w:rtl/>
        </w:rPr>
        <w:t>שיבוש זירת האירוע</w:t>
      </w:r>
      <w:r w:rsidRPr="002C7BB5" w:rsidR="0005519C">
        <w:rPr>
          <w:sz w:val="19"/>
          <w:szCs w:val="19"/>
          <w:rtl/>
        </w:rPr>
        <w:t xml:space="preserve"> - </w:t>
      </w:r>
      <w:r w:rsidRPr="002C7BB5" w:rsidR="0005519C">
        <w:rPr>
          <w:sz w:val="19"/>
          <w:szCs w:val="19"/>
          <w:rtl/>
          <w:lang w:eastAsia="he-IL"/>
        </w:rPr>
        <w:t xml:space="preserve">על פי נוהל </w:t>
      </w:r>
      <w:r w:rsidRPr="002C7BB5" w:rsidR="0005519C">
        <w:rPr>
          <w:sz w:val="19"/>
          <w:szCs w:val="19"/>
          <w:rtl/>
          <w:lang w:eastAsia="he-IL"/>
        </w:rPr>
        <w:t>כב"ה</w:t>
      </w:r>
      <w:r w:rsidRPr="002C7BB5" w:rsidR="0005519C">
        <w:rPr>
          <w:sz w:val="19"/>
          <w:szCs w:val="19"/>
          <w:rtl/>
          <w:lang w:eastAsia="he-IL"/>
        </w:rPr>
        <w:t xml:space="preserve"> חקירת שריפה צריכה להיפתח בסמוך לאירוע</w:t>
      </w:r>
      <w:r w:rsidR="00C565FB">
        <w:rPr>
          <w:rFonts w:hint="cs"/>
          <w:sz w:val="19"/>
          <w:szCs w:val="19"/>
          <w:rtl/>
          <w:lang w:eastAsia="he-IL"/>
        </w:rPr>
        <w:t>, אולם</w:t>
      </w:r>
      <w:r w:rsidRPr="002C7BB5" w:rsidR="0005519C">
        <w:rPr>
          <w:sz w:val="19"/>
          <w:szCs w:val="19"/>
          <w:rtl/>
          <w:lang w:eastAsia="he-IL"/>
        </w:rPr>
        <w:t xml:space="preserve"> 28% מהחקירות (4,428 מתוך 15,868) שבוצעו בשנים 2020 עד 2022 נפתחו באיחור של יומיים ומעלה;</w:t>
      </w:r>
      <w:r w:rsidR="00A075E3">
        <w:rPr>
          <w:rFonts w:hint="cs"/>
          <w:sz w:val="19"/>
          <w:szCs w:val="19"/>
          <w:rtl/>
          <w:lang w:eastAsia="he-IL"/>
        </w:rPr>
        <w:t xml:space="preserve"> ו-</w:t>
      </w:r>
      <w:r w:rsidRPr="002C7BB5" w:rsidR="0005519C">
        <w:rPr>
          <w:sz w:val="19"/>
          <w:szCs w:val="19"/>
          <w:rtl/>
          <w:lang w:eastAsia="he-IL"/>
        </w:rPr>
        <w:t>5</w:t>
      </w:r>
      <w:r w:rsidRPr="002C7BB5" w:rsidR="0005519C">
        <w:rPr>
          <w:sz w:val="19"/>
          <w:szCs w:val="19"/>
          <w:rtl/>
        </w:rPr>
        <w:t>% מהחקירות (825) נפתחו באיחור של שבוע ומעלה מ</w:t>
      </w:r>
      <w:r w:rsidR="00B64B94">
        <w:rPr>
          <w:rFonts w:hint="cs"/>
          <w:sz w:val="19"/>
          <w:szCs w:val="19"/>
          <w:rtl/>
        </w:rPr>
        <w:t xml:space="preserve">עת </w:t>
      </w:r>
      <w:r w:rsidRPr="002C7BB5" w:rsidR="0005519C">
        <w:rPr>
          <w:sz w:val="19"/>
          <w:szCs w:val="19"/>
          <w:rtl/>
        </w:rPr>
        <w:t xml:space="preserve">כיבוי הדליקה. הגעת החוקר לזירה באיחור עלולה לגרום לפגמים בראיות מזירת האירוע ובכך לסכל את יעילות החקירה ואת מהימנותה. עלה כי </w:t>
      </w:r>
      <w:r w:rsidRPr="002C7BB5" w:rsidR="0005519C">
        <w:rPr>
          <w:sz w:val="19"/>
          <w:szCs w:val="19"/>
          <w:rtl/>
          <w:lang w:eastAsia="he-IL"/>
        </w:rPr>
        <w:t>ב-8% מכלל אירועי הדליקה שנחקרו בשנים 2020 עד 2022, לא ניתן היה לגבש ממצאים מדויקים עקב שיבוש זירת האירוע</w:t>
      </w:r>
      <w:r w:rsidRPr="001B773F">
        <w:rPr>
          <w:rtl/>
        </w:rPr>
        <w:t>.</w:t>
      </w:r>
    </w:p>
    <w:p w:rsidR="006B28F0" w:rsidP="0005519C" w14:paraId="20455CDE" w14:textId="7CDEFD8F">
      <w:pPr>
        <w:pStyle w:val="7314"/>
        <w:rPr>
          <w:rtl/>
        </w:rPr>
      </w:pPr>
      <w:r w:rsidRPr="003F0A00">
        <w:rPr>
          <w:rStyle w:val="7371"/>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7BB5" w:rsidR="0005519C">
        <w:rPr>
          <w:b/>
          <w:bCs/>
          <w:rtl/>
        </w:rPr>
        <w:t xml:space="preserve">ממשקי העבודה בין </w:t>
      </w:r>
      <w:r w:rsidRPr="002C7BB5" w:rsidR="0005519C">
        <w:rPr>
          <w:b/>
          <w:bCs/>
          <w:rtl/>
        </w:rPr>
        <w:t>כב"ה</w:t>
      </w:r>
      <w:r w:rsidRPr="002C7BB5" w:rsidR="0005519C">
        <w:rPr>
          <w:b/>
          <w:bCs/>
          <w:rtl/>
        </w:rPr>
        <w:t xml:space="preserve"> ליחידות המשטרה </w:t>
      </w:r>
      <w:r w:rsidRPr="001A2EC6" w:rsidR="0005519C">
        <w:rPr>
          <w:rtl/>
        </w:rPr>
        <w:t>-</w:t>
      </w:r>
      <w:r w:rsidRPr="002C7BB5" w:rsidR="0005519C">
        <w:rPr>
          <w:rtl/>
        </w:rPr>
        <w:t xml:space="preserve"> עלה כי 74% מתיקי החקירה (6,728) שנפתחו בחשד להצתה בשנים 2019 עד 2022</w:t>
      </w:r>
      <w:r w:rsidR="002A4103">
        <w:rPr>
          <w:rFonts w:hint="cs"/>
          <w:rtl/>
        </w:rPr>
        <w:t>,</w:t>
      </w:r>
      <w:r w:rsidRPr="002C7BB5" w:rsidR="0005519C">
        <w:rPr>
          <w:rtl/>
        </w:rPr>
        <w:t xml:space="preserve"> נסגרו בעילה של "עבריין לא נודע", ו-21% מהתיקים (1,869) נסגרו מחוסר ראיות. שיעור התיקים שנסגרים בעילת </w:t>
      </w:r>
      <w:r w:rsidR="005A2A4D">
        <w:rPr>
          <w:rFonts w:hint="cs"/>
          <w:rtl/>
        </w:rPr>
        <w:t>"</w:t>
      </w:r>
      <w:r w:rsidRPr="002C7BB5" w:rsidR="0005519C">
        <w:rPr>
          <w:rtl/>
        </w:rPr>
        <w:t>עבריין לא נודע</w:t>
      </w:r>
      <w:r w:rsidR="005A2A4D">
        <w:rPr>
          <w:rFonts w:hint="cs"/>
          <w:rtl/>
        </w:rPr>
        <w:t>"</w:t>
      </w:r>
      <w:r w:rsidRPr="002C7BB5" w:rsidR="0005519C">
        <w:rPr>
          <w:rtl/>
        </w:rPr>
        <w:t xml:space="preserve"> עשוי ללמד על פער בתפיסת חשודים בעבירות הצתה</w:t>
      </w:r>
      <w:r w:rsidRPr="001B773F">
        <w:rPr>
          <w:rtl/>
        </w:rPr>
        <w:t>.</w:t>
      </w:r>
    </w:p>
    <w:p w:rsidR="006B28F0" w:rsidP="0005519C" w14:paraId="6F950FCE" w14:textId="77A5BFB6">
      <w:pPr>
        <w:pStyle w:val="7314"/>
        <w:rPr>
          <w:rtl/>
        </w:rPr>
      </w:pPr>
      <w:r w:rsidRPr="003F0A00">
        <w:rPr>
          <w:rStyle w:val="7371"/>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7BB5" w:rsidR="0005519C">
        <w:rPr>
          <w:b/>
          <w:bCs/>
          <w:rtl/>
        </w:rPr>
        <w:t>משך הטיפול בתיקי חקירה</w:t>
      </w:r>
      <w:r w:rsidRPr="002C7BB5" w:rsidR="0005519C">
        <w:rPr>
          <w:rtl/>
        </w:rPr>
        <w:t xml:space="preserve"> - על פי הנחיות מדור חקירות, חקירת שריפה אמורה להימשך עד חודש ממועד פתיחת תיק החקירה. אולם על פי נתוני </w:t>
      </w:r>
      <w:r w:rsidRPr="002C7BB5" w:rsidR="0005519C">
        <w:rPr>
          <w:rtl/>
        </w:rPr>
        <w:t>כב"ה</w:t>
      </w:r>
      <w:r w:rsidRPr="002C7BB5" w:rsidR="0005519C">
        <w:rPr>
          <w:rtl/>
        </w:rPr>
        <w:t>, בשנים 202</w:t>
      </w:r>
      <w:r w:rsidR="0005519C">
        <w:rPr>
          <w:rFonts w:hint="cs"/>
          <w:rtl/>
        </w:rPr>
        <w:t xml:space="preserve">0 </w:t>
      </w:r>
      <w:r w:rsidRPr="002C7BB5" w:rsidR="0005519C">
        <w:rPr>
          <w:rtl/>
        </w:rPr>
        <w:t>-</w:t>
      </w:r>
      <w:r w:rsidR="0005519C">
        <w:rPr>
          <w:rFonts w:hint="cs"/>
          <w:rtl/>
        </w:rPr>
        <w:t xml:space="preserve"> </w:t>
      </w:r>
      <w:r w:rsidRPr="002C7BB5" w:rsidR="0005519C">
        <w:rPr>
          <w:rtl/>
        </w:rPr>
        <w:t>202</w:t>
      </w:r>
      <w:r w:rsidR="0005519C">
        <w:rPr>
          <w:rFonts w:hint="cs"/>
          <w:rtl/>
        </w:rPr>
        <w:t>2</w:t>
      </w:r>
      <w:r w:rsidRPr="002C7BB5" w:rsidR="0005519C">
        <w:rPr>
          <w:rtl/>
        </w:rPr>
        <w:t xml:space="preserve"> לפחות 50% (8,011) מתיקי החקירה טופל</w:t>
      </w:r>
      <w:r w:rsidR="0005519C">
        <w:rPr>
          <w:rFonts w:hint="cs"/>
          <w:rtl/>
        </w:rPr>
        <w:t>ו</w:t>
      </w:r>
      <w:r w:rsidRPr="002C7BB5" w:rsidR="0005519C">
        <w:rPr>
          <w:rtl/>
        </w:rPr>
        <w:t xml:space="preserve"> במשך זמן ממוצע של </w:t>
      </w:r>
      <w:r w:rsidR="0005519C">
        <w:rPr>
          <w:rFonts w:hint="cs"/>
          <w:rtl/>
        </w:rPr>
        <w:t>יותר</w:t>
      </w:r>
      <w:r w:rsidRPr="002C7BB5" w:rsidR="0005519C">
        <w:rPr>
          <w:rtl/>
        </w:rPr>
        <w:t xml:space="preserve"> מ-11 חודשים</w:t>
      </w:r>
      <w:r w:rsidR="0005519C">
        <w:rPr>
          <w:rFonts w:hint="cs"/>
          <w:rtl/>
        </w:rPr>
        <w:t>.</w:t>
      </w:r>
      <w:r w:rsidRPr="002C7BB5" w:rsidR="0005519C">
        <w:rPr>
          <w:rtl/>
        </w:rPr>
        <w:t xml:space="preserve"> </w:t>
      </w:r>
      <w:r w:rsidR="005829B7">
        <w:rPr>
          <w:rFonts w:hint="cs"/>
          <w:rtl/>
        </w:rPr>
        <w:t xml:space="preserve">בשנת 2023 </w:t>
      </w:r>
      <w:r w:rsidRPr="002C7BB5" w:rsidR="0005519C">
        <w:rPr>
          <w:rtl/>
        </w:rPr>
        <w:t>כ-10% מכלל תיקי חקירת השריפות שנפתחו בשנים 202</w:t>
      </w:r>
      <w:r w:rsidR="0005519C">
        <w:rPr>
          <w:rFonts w:hint="cs"/>
          <w:rtl/>
        </w:rPr>
        <w:t xml:space="preserve">0 </w:t>
      </w:r>
      <w:r w:rsidRPr="002C7BB5" w:rsidR="0005519C">
        <w:rPr>
          <w:rtl/>
        </w:rPr>
        <w:t>-</w:t>
      </w:r>
      <w:r w:rsidR="0005519C">
        <w:rPr>
          <w:rFonts w:hint="cs"/>
          <w:rtl/>
        </w:rPr>
        <w:t xml:space="preserve"> </w:t>
      </w:r>
      <w:r w:rsidRPr="002C7BB5" w:rsidR="0005519C">
        <w:rPr>
          <w:rtl/>
        </w:rPr>
        <w:t>202</w:t>
      </w:r>
      <w:r w:rsidR="0005519C">
        <w:rPr>
          <w:rFonts w:hint="cs"/>
          <w:rtl/>
        </w:rPr>
        <w:t>2</w:t>
      </w:r>
      <w:r w:rsidRPr="002C7BB5" w:rsidR="0005519C">
        <w:rPr>
          <w:rtl/>
        </w:rPr>
        <w:t xml:space="preserve"> (1,537) נותרו פתוחים</w:t>
      </w:r>
      <w:r w:rsidR="0005519C">
        <w:rPr>
          <w:rFonts w:hint="cs"/>
          <w:rtl/>
        </w:rPr>
        <w:t xml:space="preserve"> בחלוף יותר מ-20 חודשים</w:t>
      </w:r>
      <w:r w:rsidRPr="002C7BB5" w:rsidR="0005519C">
        <w:rPr>
          <w:rtl/>
        </w:rPr>
        <w:t>, מהם כ-85% ללא עילה מתועדת ותוך אי-מתן שירות יעיל לאזרחים שנפגעו כתוצאה מהשריפה</w:t>
      </w:r>
      <w:r w:rsidR="0005519C">
        <w:rPr>
          <w:rFonts w:hint="cs"/>
          <w:rtl/>
        </w:rPr>
        <w:t>.</w:t>
      </w:r>
    </w:p>
    <w:p w:rsidR="0005519C" w:rsidP="0005519C" w14:paraId="5EE89269" w14:textId="27BF15E6">
      <w:pPr>
        <w:pStyle w:val="7314"/>
        <w:rPr>
          <w:rtl/>
        </w:rPr>
      </w:pPr>
      <w:r w:rsidRPr="003F0A00">
        <w:rPr>
          <w:rStyle w:val="7371"/>
          <w:rFonts w:hint="cs"/>
          <w:noProof/>
          <w:rtl/>
        </w:rPr>
        <w:drawing>
          <wp:anchor distT="0" distB="0" distL="71755" distR="0" simplePos="0" relativeHeight="25169817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7BB5">
        <w:rPr>
          <w:b/>
          <w:bCs/>
          <w:rtl/>
        </w:rPr>
        <w:t xml:space="preserve">ציוד מקצועי ואמצעי בטיחות </w:t>
      </w:r>
      <w:r w:rsidRPr="001A2EC6">
        <w:rPr>
          <w:rtl/>
        </w:rPr>
        <w:t>-</w:t>
      </w:r>
      <w:r w:rsidRPr="002C7BB5">
        <w:rPr>
          <w:b/>
          <w:bCs/>
          <w:rtl/>
          <w:lang w:eastAsia="he-IL"/>
        </w:rPr>
        <w:t xml:space="preserve"> </w:t>
      </w:r>
      <w:r w:rsidRPr="002C7BB5">
        <w:rPr>
          <w:rtl/>
          <w:lang w:eastAsia="he-IL"/>
        </w:rPr>
        <w:t>מערך החקירות אינו מצויד בכלים טכנולוגיים חדשניים המקובלים לשימוש בשירותי הכבאות במקומות אחרים בעולם לשם ייעול הליך החקירה וחיסכון במשאבים</w:t>
      </w:r>
      <w:r>
        <w:rPr>
          <w:rFonts w:hint="cs"/>
          <w:rtl/>
          <w:lang w:eastAsia="he-IL"/>
        </w:rPr>
        <w:t>,</w:t>
      </w:r>
      <w:r w:rsidRPr="002C7BB5">
        <w:rPr>
          <w:rtl/>
          <w:lang w:eastAsia="he-IL"/>
        </w:rPr>
        <w:t xml:space="preserve"> כגון סורקי לייזר המותאמים לסריקה ולתיעוד מהיר של פיסות מידע מזירות אירועי דליקה לכדי יצירת תמונת נתונים שלה בתלת-ממד; התקנת טכנולוגיית </w:t>
      </w:r>
      <w:r w:rsidRPr="002C7BB5">
        <w:rPr>
          <w:lang w:eastAsia="he-IL"/>
        </w:rPr>
        <w:t>LIDAR</w:t>
      </w:r>
      <w:r>
        <w:rPr>
          <w:rStyle w:val="FootnoteReference1"/>
          <w:sz w:val="19"/>
          <w:szCs w:val="19"/>
          <w:rtl/>
          <w:lang w:eastAsia="he-IL"/>
        </w:rPr>
        <w:footnoteReference w:id="2"/>
      </w:r>
      <w:r w:rsidRPr="002C7BB5">
        <w:rPr>
          <w:rtl/>
          <w:lang w:eastAsia="he-IL"/>
        </w:rPr>
        <w:t xml:space="preserve"> על </w:t>
      </w:r>
      <w:r w:rsidRPr="002C7BB5">
        <w:rPr>
          <w:rtl/>
          <w:lang w:eastAsia="he-IL"/>
        </w:rPr>
        <w:t>טאבלטים</w:t>
      </w:r>
      <w:r w:rsidRPr="002C7BB5">
        <w:rPr>
          <w:rtl/>
          <w:lang w:eastAsia="he-IL"/>
        </w:rPr>
        <w:t xml:space="preserve"> לשם פענוח מהיר של הזירה; מכשירי רנטגן נישאים המאפשרים הדמיית חפצים שרופים; גלאי פחמימנים ומאיצי בעירה לשם התחקות אחר הגורם להצתה; </w:t>
      </w:r>
      <w:r w:rsidRPr="002C7BB5">
        <w:rPr>
          <w:rtl/>
          <w:lang w:eastAsia="he-IL"/>
        </w:rPr>
        <w:t>רחפנים</w:t>
      </w:r>
      <w:r w:rsidRPr="002C7BB5">
        <w:rPr>
          <w:rtl/>
          <w:lang w:eastAsia="he-IL"/>
        </w:rPr>
        <w:t xml:space="preserve"> ושימוש </w:t>
      </w:r>
      <w:r w:rsidRPr="002C7BB5">
        <w:rPr>
          <w:rtl/>
          <w:lang w:eastAsia="he-IL"/>
        </w:rPr>
        <w:t>ביישומונים</w:t>
      </w:r>
      <w:r w:rsidRPr="002C7BB5">
        <w:rPr>
          <w:rtl/>
          <w:lang w:eastAsia="he-IL"/>
        </w:rPr>
        <w:t xml:space="preserve"> מתקדמים המותקנים על מכשירים סלולריים </w:t>
      </w:r>
      <w:r w:rsidRPr="0005519C">
        <w:rPr>
          <w:rtl/>
        </w:rPr>
        <w:t>לאיסוף</w:t>
      </w:r>
      <w:r w:rsidRPr="002C7BB5">
        <w:rPr>
          <w:rtl/>
          <w:lang w:eastAsia="he-IL"/>
        </w:rPr>
        <w:t xml:space="preserve"> ראיות. </w:t>
      </w:r>
      <w:r w:rsidR="00C75F55">
        <w:rPr>
          <w:rFonts w:hint="cs"/>
          <w:rtl/>
        </w:rPr>
        <w:t>זאת ועוד</w:t>
      </w:r>
      <w:r w:rsidR="00016F7F">
        <w:rPr>
          <w:rFonts w:hint="cs"/>
          <w:rtl/>
        </w:rPr>
        <w:t>,</w:t>
      </w:r>
      <w:r w:rsidRPr="002C7BB5">
        <w:rPr>
          <w:rtl/>
        </w:rPr>
        <w:t xml:space="preserve"> פרט למחוז דן, מערך החקירות לא גיבש רשימה אחידה של ציוד חקירה עבור חוקרי הדליקות בהתאם לסיווג החקירות, למתארי השריפות ולזירות המשתנות, ו</w:t>
      </w:r>
      <w:r w:rsidR="004F0BEF">
        <w:rPr>
          <w:rFonts w:hint="cs"/>
          <w:rtl/>
        </w:rPr>
        <w:t>אף</w:t>
      </w:r>
      <w:r w:rsidRPr="002C7BB5">
        <w:rPr>
          <w:rtl/>
        </w:rPr>
        <w:t xml:space="preserve"> יש הבדלים בין המחוזות בנוגע לציוד הנדרש לחוקרים לפי רשימות הציוד. כמו כן, </w:t>
      </w:r>
      <w:r w:rsidRPr="002C7BB5">
        <w:rPr>
          <w:rFonts w:eastAsia="Times New Roman"/>
          <w:rtl/>
          <w:lang w:eastAsia="he-IL"/>
        </w:rPr>
        <w:t>הציוד העומד לרשות חוקרי הדליקות - ציוד חקירה ומיגון אישי - אינו עונה על הצרכים המקצועיים והבטיחותיים; קיים מחסור בציוד חקירה ומיגון אישי,</w:t>
      </w:r>
      <w:r w:rsidRPr="002C7BB5">
        <w:rPr>
          <w:rtl/>
        </w:rPr>
        <w:t xml:space="preserve"> </w:t>
      </w:r>
      <w:r w:rsidRPr="002C7BB5">
        <w:rPr>
          <w:rFonts w:eastAsia="Times New Roman"/>
          <w:rtl/>
          <w:lang w:eastAsia="he-IL"/>
        </w:rPr>
        <w:t>כגון כפפות, קסדות, נעלי בטיחות, פנסים, מצלמות ייעודיות ואמצעים טכנולוגיים מתקדמים, העלול לסכן את בריאותם ובטיחותם, לעכב את ביצוע החקירה ולהכביד עליה</w:t>
      </w:r>
      <w:r w:rsidRPr="001B773F">
        <w:rPr>
          <w:rtl/>
        </w:rPr>
        <w:t>.</w:t>
      </w:r>
    </w:p>
    <w:p w:rsidR="0005519C" w:rsidP="00A8308A" w14:paraId="5AF0DCFC" w14:textId="7B442F15">
      <w:pPr>
        <w:pStyle w:val="7314"/>
        <w:rPr>
          <w:rtl/>
        </w:rPr>
      </w:pPr>
      <w:r w:rsidRPr="003F0A00">
        <w:rPr>
          <w:rStyle w:val="7371"/>
          <w:rFonts w:hint="cs"/>
          <w:noProof/>
          <w:rtl/>
        </w:rPr>
        <w:drawing>
          <wp:anchor distT="0" distB="0" distL="71755" distR="0" simplePos="0" relativeHeight="25169920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7BB5">
        <w:rPr>
          <w:b/>
          <w:bCs/>
          <w:rtl/>
        </w:rPr>
        <w:t xml:space="preserve">שיתוף מידע בין </w:t>
      </w:r>
      <w:r w:rsidRPr="002C7BB5">
        <w:rPr>
          <w:b/>
          <w:bCs/>
          <w:rtl/>
        </w:rPr>
        <w:t>כב"ה</w:t>
      </w:r>
      <w:r w:rsidRPr="002C7BB5">
        <w:rPr>
          <w:b/>
          <w:bCs/>
          <w:rtl/>
        </w:rPr>
        <w:t xml:space="preserve"> לרשויות השונות </w:t>
      </w:r>
      <w:r w:rsidRPr="00C50638">
        <w:rPr>
          <w:rtl/>
        </w:rPr>
        <w:t>-</w:t>
      </w:r>
      <w:r w:rsidRPr="002C7BB5">
        <w:rPr>
          <w:b/>
          <w:bCs/>
          <w:rtl/>
        </w:rPr>
        <w:t xml:space="preserve"> </w:t>
      </w:r>
      <w:r w:rsidRPr="002C7BB5">
        <w:rPr>
          <w:rtl/>
        </w:rPr>
        <w:t xml:space="preserve">הנתונים האגורים במערך החקירות </w:t>
      </w:r>
      <w:r w:rsidRPr="002C7BB5">
        <w:rPr>
          <w:rtl/>
        </w:rPr>
        <w:t>בכב"ה</w:t>
      </w:r>
      <w:r w:rsidRPr="002C7BB5">
        <w:rPr>
          <w:rtl/>
        </w:rPr>
        <w:t xml:space="preserve"> על אודות הגורמים לשריפות עשויים לסייע, בין היתר, לגופים השונים במערכות האכיפה, הביטחון והתקינה וברשויות המקומיות - למנוע אירועי דליקה בשטחים מיושבים. נמצא כי אין בקרב הגופים האמורים מנגנוני שיתוף מידע מוגדרים המוטמעים בשגרת פעילותם</w:t>
      </w:r>
      <w:r>
        <w:rPr>
          <w:rFonts w:hint="cs"/>
          <w:rtl/>
        </w:rPr>
        <w:t>.</w:t>
      </w:r>
    </w:p>
    <w:p w:rsidR="0005519C" w:rsidP="0005519C" w14:paraId="04D29FFE" w14:textId="4BF970B9">
      <w:pPr>
        <w:pStyle w:val="7314"/>
        <w:rPr>
          <w:rtl/>
        </w:rPr>
      </w:pPr>
      <w:r w:rsidRPr="003F0A00">
        <w:rPr>
          <w:rStyle w:val="7371"/>
          <w:rFonts w:hint="cs"/>
          <w:noProof/>
          <w:rtl/>
        </w:rPr>
        <w:drawing>
          <wp:anchor distT="0" distB="0" distL="71755" distR="0" simplePos="0" relativeHeight="25170022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7BB5">
        <w:rPr>
          <w:b/>
          <w:bCs/>
          <w:rtl/>
        </w:rPr>
        <w:t xml:space="preserve">היעדר הסברה ממוקדת לציבור </w:t>
      </w:r>
      <w:r w:rsidRPr="00C50638">
        <w:rPr>
          <w:rtl/>
        </w:rPr>
        <w:t>-</w:t>
      </w:r>
      <w:r w:rsidRPr="002C7BB5">
        <w:rPr>
          <w:b/>
          <w:bCs/>
          <w:rtl/>
          <w:lang w:eastAsia="he-IL"/>
        </w:rPr>
        <w:t xml:space="preserve"> </w:t>
      </w:r>
      <w:r w:rsidRPr="002C7BB5">
        <w:rPr>
          <w:rtl/>
          <w:lang w:eastAsia="he-IL"/>
        </w:rPr>
        <w:t xml:space="preserve">הכשל במוצרי החשמל הביתיים הוא הגורם המוביל לדליקות (31% - 1,310 מתוך 4,178); ובראש המוצרים הדליקים </w:t>
      </w:r>
      <w:r>
        <w:rPr>
          <w:rFonts w:hint="cs"/>
          <w:rtl/>
          <w:lang w:eastAsia="he-IL"/>
        </w:rPr>
        <w:t>-</w:t>
      </w:r>
      <w:r w:rsidRPr="002C7BB5">
        <w:rPr>
          <w:rtl/>
          <w:lang w:eastAsia="he-IL"/>
        </w:rPr>
        <w:t xml:space="preserve"> רכיבים שונים במכשירי המזגנים (59%) המותקנים כמעט בכל מבנה בישראל. </w:t>
      </w:r>
      <w:r w:rsidR="00F32403">
        <w:rPr>
          <w:rFonts w:hint="cs"/>
          <w:rtl/>
          <w:lang w:eastAsia="he-IL"/>
        </w:rPr>
        <w:t>אולם</w:t>
      </w:r>
      <w:r w:rsidRPr="002C7BB5">
        <w:rPr>
          <w:rtl/>
          <w:lang w:eastAsia="he-IL"/>
        </w:rPr>
        <w:t xml:space="preserve"> מידע </w:t>
      </w:r>
      <w:r>
        <w:rPr>
          <w:rFonts w:hint="cs"/>
          <w:rtl/>
          <w:lang w:eastAsia="he-IL"/>
        </w:rPr>
        <w:t>ממוקד</w:t>
      </w:r>
      <w:r w:rsidRPr="002C7BB5">
        <w:rPr>
          <w:rtl/>
          <w:lang w:eastAsia="he-IL"/>
        </w:rPr>
        <w:t xml:space="preserve"> בדבר הכשלים במוצרים כאמור אינו מפורסם לציבור באתר </w:t>
      </w:r>
      <w:r w:rsidRPr="002C7BB5">
        <w:rPr>
          <w:rtl/>
          <w:lang w:eastAsia="he-IL"/>
        </w:rPr>
        <w:t>כב"ה</w:t>
      </w:r>
      <w:r w:rsidRPr="002C7BB5">
        <w:rPr>
          <w:rtl/>
          <w:lang w:eastAsia="he-IL"/>
        </w:rPr>
        <w:t xml:space="preserve"> במרשתת</w:t>
      </w:r>
      <w:r w:rsidRPr="0044076E">
        <w:rPr>
          <w:rtl/>
          <w:lang w:eastAsia="he-IL"/>
        </w:rPr>
        <w:t xml:space="preserve">, </w:t>
      </w:r>
      <w:r w:rsidRPr="0044076E">
        <w:rPr>
          <w:rFonts w:hint="eastAsia"/>
          <w:rtl/>
          <w:lang w:eastAsia="he-IL"/>
        </w:rPr>
        <w:t>לרבות</w:t>
      </w:r>
      <w:r w:rsidRPr="0044076E">
        <w:rPr>
          <w:rtl/>
          <w:lang w:eastAsia="he-IL"/>
        </w:rPr>
        <w:t xml:space="preserve"> </w:t>
      </w:r>
      <w:r w:rsidRPr="0044076E">
        <w:rPr>
          <w:rFonts w:hint="eastAsia"/>
          <w:rtl/>
          <w:lang w:eastAsia="he-IL"/>
        </w:rPr>
        <w:t>בנוגע</w:t>
      </w:r>
      <w:r w:rsidRPr="0044076E">
        <w:rPr>
          <w:rtl/>
          <w:lang w:eastAsia="he-IL"/>
        </w:rPr>
        <w:t xml:space="preserve"> </w:t>
      </w:r>
      <w:r w:rsidRPr="0044076E">
        <w:rPr>
          <w:rFonts w:hint="eastAsia"/>
          <w:rtl/>
          <w:lang w:eastAsia="he-IL"/>
        </w:rPr>
        <w:t>לאופן</w:t>
      </w:r>
      <w:r w:rsidRPr="0044076E">
        <w:rPr>
          <w:rtl/>
          <w:lang w:eastAsia="he-IL"/>
        </w:rPr>
        <w:t xml:space="preserve"> </w:t>
      </w:r>
      <w:r w:rsidRPr="0044076E">
        <w:rPr>
          <w:rFonts w:hint="eastAsia"/>
          <w:rtl/>
          <w:lang w:eastAsia="he-IL"/>
        </w:rPr>
        <w:t>מניעת</w:t>
      </w:r>
      <w:r w:rsidRPr="0044076E">
        <w:rPr>
          <w:rtl/>
          <w:lang w:eastAsia="he-IL"/>
        </w:rPr>
        <w:t xml:space="preserve"> </w:t>
      </w:r>
      <w:r w:rsidRPr="0044076E">
        <w:rPr>
          <w:rFonts w:hint="eastAsia"/>
          <w:rtl/>
          <w:lang w:eastAsia="he-IL"/>
        </w:rPr>
        <w:t>התלקחות</w:t>
      </w:r>
      <w:r w:rsidRPr="0044076E">
        <w:rPr>
          <w:rtl/>
          <w:lang w:eastAsia="he-IL"/>
        </w:rPr>
        <w:t xml:space="preserve"> </w:t>
      </w:r>
      <w:r w:rsidRPr="0044076E">
        <w:rPr>
          <w:rFonts w:hint="eastAsia"/>
          <w:rtl/>
          <w:lang w:eastAsia="he-IL"/>
        </w:rPr>
        <w:t>שריפה</w:t>
      </w:r>
      <w:r w:rsidRPr="0044076E">
        <w:rPr>
          <w:rtl/>
          <w:lang w:eastAsia="he-IL"/>
        </w:rPr>
        <w:t xml:space="preserve"> </w:t>
      </w:r>
      <w:r w:rsidRPr="0044076E">
        <w:rPr>
          <w:rFonts w:hint="eastAsia"/>
          <w:rtl/>
          <w:lang w:eastAsia="he-IL"/>
        </w:rPr>
        <w:t>במזגנים</w:t>
      </w:r>
      <w:r w:rsidRPr="0044076E">
        <w:rPr>
          <w:rtl/>
          <w:lang w:eastAsia="he-IL"/>
        </w:rPr>
        <w:t xml:space="preserve">, </w:t>
      </w:r>
      <w:r w:rsidRPr="0044076E">
        <w:rPr>
          <w:rFonts w:hint="eastAsia"/>
          <w:rtl/>
          <w:lang w:eastAsia="he-IL"/>
        </w:rPr>
        <w:t>במקררים</w:t>
      </w:r>
      <w:r w:rsidRPr="0044076E">
        <w:rPr>
          <w:rtl/>
          <w:lang w:eastAsia="he-IL"/>
        </w:rPr>
        <w:t xml:space="preserve">, </w:t>
      </w:r>
      <w:r w:rsidRPr="0044076E">
        <w:rPr>
          <w:rFonts w:hint="eastAsia"/>
          <w:rtl/>
          <w:lang w:eastAsia="he-IL"/>
        </w:rPr>
        <w:t>במכונות</w:t>
      </w:r>
      <w:r w:rsidRPr="0044076E">
        <w:rPr>
          <w:rtl/>
          <w:lang w:eastAsia="he-IL"/>
        </w:rPr>
        <w:t xml:space="preserve"> </w:t>
      </w:r>
      <w:r w:rsidRPr="0044076E">
        <w:rPr>
          <w:rFonts w:hint="eastAsia"/>
          <w:rtl/>
          <w:lang w:eastAsia="he-IL"/>
        </w:rPr>
        <w:t>ובמייבשי</w:t>
      </w:r>
      <w:r w:rsidRPr="0044076E">
        <w:rPr>
          <w:rtl/>
          <w:lang w:eastAsia="he-IL"/>
        </w:rPr>
        <w:t xml:space="preserve"> </w:t>
      </w:r>
      <w:r w:rsidRPr="0044076E">
        <w:rPr>
          <w:rFonts w:hint="eastAsia"/>
          <w:rtl/>
          <w:lang w:eastAsia="he-IL"/>
        </w:rPr>
        <w:t>כביסה</w:t>
      </w:r>
      <w:r w:rsidRPr="0044076E">
        <w:rPr>
          <w:rtl/>
          <w:lang w:eastAsia="he-IL"/>
        </w:rPr>
        <w:t xml:space="preserve"> </w:t>
      </w:r>
      <w:r w:rsidRPr="0044076E">
        <w:rPr>
          <w:rFonts w:hint="eastAsia"/>
          <w:rtl/>
          <w:lang w:eastAsia="he-IL"/>
        </w:rPr>
        <w:t>וכן</w:t>
      </w:r>
      <w:r w:rsidRPr="0044076E">
        <w:rPr>
          <w:rtl/>
          <w:lang w:eastAsia="he-IL"/>
        </w:rPr>
        <w:t xml:space="preserve"> </w:t>
      </w:r>
      <w:r w:rsidRPr="0044076E">
        <w:rPr>
          <w:rFonts w:hint="eastAsia"/>
          <w:rtl/>
          <w:lang w:eastAsia="he-IL"/>
        </w:rPr>
        <w:t>במוצרי</w:t>
      </w:r>
      <w:r w:rsidRPr="0044076E">
        <w:rPr>
          <w:rtl/>
          <w:lang w:eastAsia="he-IL"/>
        </w:rPr>
        <w:t xml:space="preserve"> </w:t>
      </w:r>
      <w:r w:rsidRPr="0044076E">
        <w:rPr>
          <w:rFonts w:hint="eastAsia"/>
          <w:rtl/>
          <w:lang w:eastAsia="he-IL"/>
        </w:rPr>
        <w:t>חשמל</w:t>
      </w:r>
      <w:r w:rsidRPr="0044076E">
        <w:rPr>
          <w:rtl/>
          <w:lang w:eastAsia="he-IL"/>
        </w:rPr>
        <w:t xml:space="preserve"> </w:t>
      </w:r>
      <w:r w:rsidRPr="0044076E">
        <w:rPr>
          <w:rFonts w:hint="eastAsia"/>
          <w:rtl/>
          <w:lang w:eastAsia="he-IL"/>
        </w:rPr>
        <w:t>שימושיים</w:t>
      </w:r>
      <w:r w:rsidRPr="0044076E">
        <w:rPr>
          <w:rtl/>
          <w:lang w:eastAsia="he-IL"/>
        </w:rPr>
        <w:t xml:space="preserve"> </w:t>
      </w:r>
      <w:r w:rsidRPr="0044076E">
        <w:rPr>
          <w:rFonts w:hint="eastAsia"/>
          <w:rtl/>
          <w:lang w:eastAsia="he-IL"/>
        </w:rPr>
        <w:t>אחרים</w:t>
      </w:r>
      <w:r>
        <w:rPr>
          <w:rFonts w:hint="cs"/>
          <w:rtl/>
        </w:rPr>
        <w:t>.</w:t>
      </w:r>
    </w:p>
    <w:p w:rsidR="0005519C" w:rsidP="0005519C" w14:paraId="01CF328B" w14:textId="77777777">
      <w:pPr>
        <w:pStyle w:val="7314"/>
        <w:rPr>
          <w:rtl/>
        </w:rPr>
      </w:pPr>
    </w:p>
    <w:p w:rsidR="0005519C" w:rsidP="0005519C" w14:paraId="3CE93DB3" w14:textId="77777777">
      <w:pPr>
        <w:pStyle w:val="7314"/>
        <w:rPr>
          <w:rtl/>
        </w:rPr>
      </w:pPr>
    </w:p>
    <w:p w:rsidR="0005519C" w:rsidP="0005519C" w14:paraId="2E9FDE3C" w14:textId="461D776B">
      <w:pPr>
        <w:pStyle w:val="7314"/>
        <w:rPr>
          <w:rtl/>
        </w:rPr>
      </w:pPr>
    </w:p>
    <w:p w:rsidR="0005519C" w:rsidP="0005519C" w14:paraId="737B129E" w14:textId="538633EE">
      <w:pPr>
        <w:pStyle w:val="7314"/>
        <w:rPr>
          <w:rtl/>
        </w:rPr>
      </w:pPr>
    </w:p>
    <w:p w:rsidR="00EB672B" w:rsidRPr="006F49D3" w:rsidP="006F49D3" w14:paraId="1FC3C430" w14:textId="6F34627B">
      <w:pPr>
        <w:pStyle w:val="752"/>
        <w:rPr>
          <w:rtl/>
        </w:rPr>
      </w:pPr>
      <w:r w:rsidRPr="006F49D3">
        <w:rPr>
          <w:rFonts w:hint="cs"/>
          <w:rtl/>
        </w:rPr>
        <w:t>עיקרי המלצות הביקורת</w:t>
      </w:r>
    </w:p>
    <w:p w:rsidR="00EB672B" w:rsidRPr="007C7D40" w:rsidP="00B834C3" w14:paraId="344A34B6" w14:textId="720B7C3F">
      <w:pPr>
        <w:pStyle w:val="755"/>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392D64" w:rsidR="00B834C3">
        <w:rPr>
          <w:rtl/>
          <w:lang w:eastAsia="he-IL"/>
        </w:rPr>
        <w:t xml:space="preserve">מומלץ כי נציבות </w:t>
      </w:r>
      <w:r w:rsidRPr="00392D64" w:rsidR="00B834C3">
        <w:rPr>
          <w:rtl/>
          <w:lang w:eastAsia="he-IL"/>
        </w:rPr>
        <w:t>כב"ה</w:t>
      </w:r>
      <w:r w:rsidRPr="00392D64" w:rsidR="00B834C3">
        <w:rPr>
          <w:rtl/>
          <w:lang w:eastAsia="he-IL"/>
        </w:rPr>
        <w:t xml:space="preserve"> תגבש מדיניות אחידה וסדורה להפעלת מערך החקירות כולו</w:t>
      </w:r>
      <w:r w:rsidR="00860880">
        <w:rPr>
          <w:rFonts w:hint="cs"/>
          <w:rtl/>
          <w:lang w:eastAsia="he-IL"/>
        </w:rPr>
        <w:t>,</w:t>
      </w:r>
      <w:r w:rsidRPr="00392D64" w:rsidR="00B834C3">
        <w:rPr>
          <w:rtl/>
          <w:lang w:eastAsia="he-IL"/>
        </w:rPr>
        <w:t xml:space="preserve"> תפרסם נוהל ארצי מפורט אשר יעסוק בכל הסוגיות התפעוליות המחייבות את כלל יחידות המערך; ותבחן את הנסיבות הייחודיות של כל מחוז המצריכות הסדרה נפרדת בהתאם לשיקולים רלוונטיים. </w:t>
      </w:r>
      <w:r w:rsidRPr="00392D64" w:rsidR="00B834C3">
        <w:rPr>
          <w:rtl/>
        </w:rPr>
        <w:t>עוד מומלץ כי גיבוש המדיניות ופרסום הנוהל ייקבעו בתוכנית עבודה הכוללת לוח זמנים ואבני דרך ליישום</w:t>
      </w:r>
      <w:r w:rsidRPr="007C7D40">
        <w:rPr>
          <w:rFonts w:hint="cs"/>
          <w:rtl/>
        </w:rPr>
        <w:t xml:space="preserve">. </w:t>
      </w:r>
    </w:p>
    <w:p w:rsidR="00EB672B" w:rsidRPr="007C7D40" w:rsidP="00215B86" w14:paraId="1DD50AB4" w14:textId="2FD28013">
      <w:pPr>
        <w:pStyle w:val="755"/>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92D64" w:rsidR="00B834C3">
        <w:rPr>
          <w:rtl/>
        </w:rPr>
        <w:t>לאור חשיבותן המקצועית של המשרות הבכירות במערך החקירות (בנציבות ובמחוזות) לתפקודם האיכותי הרציף של חוקרי השריפות ברחבי הארץ, מוצע כי הרשות תפעל לאיוש המשרות האמורות. כמו כן, בהינתן כי 80%</w:t>
      </w:r>
      <w:r w:rsidRPr="00392D64" w:rsidR="00B834C3">
        <w:t xml:space="preserve"> </w:t>
      </w:r>
      <w:r w:rsidRPr="00392D64" w:rsidR="00B834C3">
        <w:rPr>
          <w:rtl/>
        </w:rPr>
        <w:t xml:space="preserve">ממשרות החוקרים בתחנות הכיבוי ברחבי הארץ הן של חוקרי </w:t>
      </w:r>
      <w:r w:rsidRPr="00392D64" w:rsidR="00B834C3">
        <w:rPr>
          <w:rtl/>
        </w:rPr>
        <w:t>נע"ת</w:t>
      </w:r>
      <w:r w:rsidRPr="00392D64" w:rsidR="00B834C3">
        <w:rPr>
          <w:rtl/>
        </w:rPr>
        <w:t>, כי שליש ממשרות אלה וכ-18%</w:t>
      </w:r>
      <w:r w:rsidRPr="00392D64" w:rsidR="00B834C3">
        <w:t xml:space="preserve"> </w:t>
      </w:r>
      <w:r w:rsidRPr="00392D64" w:rsidR="00B834C3">
        <w:rPr>
          <w:rtl/>
        </w:rPr>
        <w:t xml:space="preserve">ממשרות החוקרים בתקן בתחנות הכיבוי האזוריות, </w:t>
      </w:r>
      <w:r w:rsidRPr="00860880" w:rsidR="00860880">
        <w:rPr>
          <w:rtl/>
        </w:rPr>
        <w:t>אינן מאוישות,</w:t>
      </w:r>
      <w:r w:rsidRPr="00392D64" w:rsidR="00860880">
        <w:rPr>
          <w:rtl/>
        </w:rPr>
        <w:t xml:space="preserve"> </w:t>
      </w:r>
      <w:r w:rsidRPr="00392D64" w:rsidR="00B834C3">
        <w:rPr>
          <w:rtl/>
        </w:rPr>
        <w:t>מומלץ לרשות לפנות לגורמים הרלוונטיים, לרבות המשרד לביטחון לאומי ונציבות שירות המדינה, בעניין מבנה ההעסקה הקיים של חוקרי הדליקות כדי להעמיד לרשות מערך החקירות את כוח האדם הדרוש לביצוע מיטבי של משימותיו ולמימוש אחריותו המקצועית על פי חוק</w:t>
      </w:r>
      <w:r w:rsidRPr="001B773F" w:rsidR="00124D0A">
        <w:rPr>
          <w:rtl/>
        </w:rPr>
        <w:t>.</w:t>
      </w:r>
      <w:r w:rsidRPr="007C7D40">
        <w:rPr>
          <w:rtl/>
        </w:rPr>
        <w:t xml:space="preserve"> </w:t>
      </w:r>
    </w:p>
    <w:p w:rsidR="00EB672B" w:rsidRPr="007C7D40" w:rsidP="00B834C3" w14:paraId="1108540A" w14:textId="459A29DC">
      <w:pPr>
        <w:pStyle w:val="755"/>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92D64" w:rsidR="00B834C3">
        <w:rPr>
          <w:rtl/>
          <w:lang w:eastAsia="he-IL"/>
        </w:rPr>
        <w:t xml:space="preserve">הואיל ומטרת חקירת השריפות היא איתור הנסיבות והגורמים לדליקה, הרי שהגדלת מספר החקירות </w:t>
      </w:r>
      <w:r w:rsidRPr="00392D64" w:rsidR="00B834C3">
        <w:rPr>
          <w:rFonts w:hint="cs"/>
          <w:rtl/>
          <w:lang w:eastAsia="he-IL"/>
        </w:rPr>
        <w:t xml:space="preserve">בהתאם לתנאים שנקבעו בתקנות, </w:t>
      </w:r>
      <w:r w:rsidRPr="00392D64" w:rsidR="00B834C3">
        <w:rPr>
          <w:rtl/>
          <w:lang w:eastAsia="he-IL"/>
        </w:rPr>
        <w:t xml:space="preserve">עשויה לדייק ולייעל הן את הפעילות למניעת שריפות, הן את ההסברה לציבור והן את מתן </w:t>
      </w:r>
      <w:r w:rsidRPr="00392D64" w:rsidR="00B834C3">
        <w:rPr>
          <w:rFonts w:hint="cs"/>
          <w:rtl/>
          <w:lang w:eastAsia="he-IL"/>
        </w:rPr>
        <w:t>המידע הרלוונטי</w:t>
      </w:r>
      <w:r w:rsidRPr="00392D64" w:rsidR="00B834C3">
        <w:rPr>
          <w:rtl/>
          <w:lang w:eastAsia="he-IL"/>
        </w:rPr>
        <w:t xml:space="preserve"> לאזרחים שנפגעו מהדליקות</w:t>
      </w:r>
      <w:r w:rsidRPr="00392D64" w:rsidR="00B834C3">
        <w:rPr>
          <w:rtl/>
        </w:rPr>
        <w:t xml:space="preserve">. לכן על </w:t>
      </w:r>
      <w:r w:rsidRPr="00392D64" w:rsidR="00B834C3">
        <w:rPr>
          <w:rtl/>
        </w:rPr>
        <w:t>כב"ה</w:t>
      </w:r>
      <w:r w:rsidRPr="00392D64" w:rsidR="00B834C3">
        <w:rPr>
          <w:rtl/>
        </w:rPr>
        <w:t xml:space="preserve"> לאפיין את החסמים המבניים, התפעוליים והניהוליים המזינים את הפער הניכר בין מספר אירועי הדליקה בשנה לבין מספר החקירות </w:t>
      </w:r>
      <w:r w:rsidRPr="00B834C3" w:rsidR="00B834C3">
        <w:rPr>
          <w:rtl/>
        </w:rPr>
        <w:t>שהתקיימו</w:t>
      </w:r>
      <w:r w:rsidRPr="00392D64" w:rsidR="00B834C3">
        <w:rPr>
          <w:rtl/>
        </w:rPr>
        <w:t xml:space="preserve">, לרבות המתווה התפקודי של העסקת חוקרי </w:t>
      </w:r>
      <w:r w:rsidRPr="00392D64" w:rsidR="00B834C3">
        <w:rPr>
          <w:rtl/>
        </w:rPr>
        <w:t>נע"ת</w:t>
      </w:r>
      <w:r w:rsidRPr="00392D64" w:rsidR="00B834C3">
        <w:rPr>
          <w:rtl/>
        </w:rPr>
        <w:t>; ולבחון מענים ארגוניים בני יישום לגישור על הפער האמור.</w:t>
      </w:r>
      <w:r w:rsidRPr="00392D64" w:rsidR="00B834C3">
        <w:rPr>
          <w:rFonts w:ascii="David" w:hAnsi="David" w:hint="eastAsia"/>
          <w:sz w:val="24"/>
          <w:rtl/>
        </w:rPr>
        <w:t xml:space="preserve"> </w:t>
      </w:r>
      <w:r w:rsidRPr="00392D64" w:rsidR="00B834C3">
        <w:rPr>
          <w:rFonts w:hint="cs"/>
          <w:rtl/>
        </w:rPr>
        <w:t xml:space="preserve">נוסף על כך, </w:t>
      </w:r>
      <w:r w:rsidRPr="00392D64" w:rsidR="00B834C3">
        <w:rPr>
          <w:rFonts w:hint="eastAsia"/>
          <w:rtl/>
        </w:rPr>
        <w:t>על</w:t>
      </w:r>
      <w:r w:rsidRPr="00392D64" w:rsidR="00B834C3">
        <w:rPr>
          <w:rtl/>
        </w:rPr>
        <w:t xml:space="preserve"> הגורמים המוסמכים </w:t>
      </w:r>
      <w:r w:rsidRPr="00392D64" w:rsidR="00B834C3">
        <w:rPr>
          <w:rFonts w:hint="eastAsia"/>
          <w:rtl/>
        </w:rPr>
        <w:t>בכב</w:t>
      </w:r>
      <w:r w:rsidRPr="00392D64" w:rsidR="00B834C3">
        <w:rPr>
          <w:rtl/>
        </w:rPr>
        <w:t>"ה</w:t>
      </w:r>
      <w:r w:rsidRPr="00392D64" w:rsidR="00B834C3">
        <w:rPr>
          <w:rtl/>
        </w:rPr>
        <w:t xml:space="preserve"> לקבוע נהלים מפורטים בכל הנוגע ל</w:t>
      </w:r>
      <w:r w:rsidRPr="00392D64" w:rsidR="00B834C3">
        <w:rPr>
          <w:rFonts w:hint="eastAsia"/>
          <w:rtl/>
        </w:rPr>
        <w:t>ת</w:t>
      </w:r>
      <w:r w:rsidRPr="00392D64" w:rsidR="00B834C3">
        <w:rPr>
          <w:rtl/>
        </w:rPr>
        <w:t>הליך קבלת ההחלטות בנוגע לאי-</w:t>
      </w:r>
      <w:r w:rsidRPr="00392D64" w:rsidR="00B834C3">
        <w:rPr>
          <w:rFonts w:hint="eastAsia"/>
          <w:rtl/>
        </w:rPr>
        <w:t>קיום</w:t>
      </w:r>
      <w:r w:rsidRPr="00392D64" w:rsidR="00B834C3">
        <w:rPr>
          <w:rtl/>
        </w:rPr>
        <w:t xml:space="preserve"> חקירת אירוע דליקה </w:t>
      </w:r>
      <w:r w:rsidRPr="00392D64" w:rsidR="00B834C3">
        <w:rPr>
          <w:rFonts w:hint="eastAsia"/>
          <w:rtl/>
        </w:rPr>
        <w:t>ולתיעודו</w:t>
      </w:r>
      <w:r w:rsidRPr="00392D64" w:rsidR="00B834C3">
        <w:rPr>
          <w:rtl/>
        </w:rPr>
        <w:t xml:space="preserve">, </w:t>
      </w:r>
      <w:r w:rsidRPr="00392D64" w:rsidR="00B834C3">
        <w:rPr>
          <w:rFonts w:hint="eastAsia"/>
          <w:rtl/>
        </w:rPr>
        <w:t>ולהטמיעם</w:t>
      </w:r>
      <w:r w:rsidRPr="00392D64" w:rsidR="00B834C3">
        <w:rPr>
          <w:rtl/>
        </w:rPr>
        <w:t xml:space="preserve"> ב</w:t>
      </w:r>
      <w:r w:rsidRPr="00392D64" w:rsidR="00B834C3">
        <w:rPr>
          <w:rFonts w:hint="eastAsia"/>
          <w:rtl/>
        </w:rPr>
        <w:t>עבודתם</w:t>
      </w:r>
      <w:r w:rsidRPr="00392D64" w:rsidR="00B834C3">
        <w:rPr>
          <w:rtl/>
        </w:rPr>
        <w:t xml:space="preserve"> </w:t>
      </w:r>
      <w:r w:rsidRPr="00392D64" w:rsidR="00B834C3">
        <w:rPr>
          <w:rFonts w:hint="eastAsia"/>
          <w:rtl/>
        </w:rPr>
        <w:t>של</w:t>
      </w:r>
      <w:r w:rsidRPr="00392D64" w:rsidR="00B834C3">
        <w:rPr>
          <w:rtl/>
        </w:rPr>
        <w:t xml:space="preserve"> קציני החקירות ברשות; </w:t>
      </w:r>
      <w:r w:rsidRPr="00392D64" w:rsidR="00B834C3">
        <w:rPr>
          <w:rFonts w:hint="eastAsia"/>
          <w:rtl/>
        </w:rPr>
        <w:t>זאת</w:t>
      </w:r>
      <w:r w:rsidRPr="00392D64" w:rsidR="00B834C3">
        <w:rPr>
          <w:rtl/>
        </w:rPr>
        <w:t xml:space="preserve"> בדגש על ה</w:t>
      </w:r>
      <w:r w:rsidRPr="00392D64" w:rsidR="00B834C3">
        <w:rPr>
          <w:rFonts w:hint="eastAsia"/>
          <w:rtl/>
        </w:rPr>
        <w:t>סמכות</w:t>
      </w:r>
      <w:r w:rsidRPr="00392D64" w:rsidR="00B834C3">
        <w:rPr>
          <w:rtl/>
        </w:rPr>
        <w:t xml:space="preserve"> המוקנית בתקנות לנציב ולמפקד המחוז בלבד </w:t>
      </w:r>
      <w:r w:rsidRPr="00392D64" w:rsidR="00B834C3">
        <w:rPr>
          <w:rFonts w:hint="eastAsia"/>
          <w:rtl/>
        </w:rPr>
        <w:t>בנוגע</w:t>
      </w:r>
      <w:r w:rsidRPr="00392D64" w:rsidR="00B834C3">
        <w:rPr>
          <w:rtl/>
        </w:rPr>
        <w:t xml:space="preserve"> לקבלת החלטות פיקודיות בנושא זה</w:t>
      </w:r>
      <w:r w:rsidRPr="007C7D40">
        <w:rPr>
          <w:rFonts w:hint="cs"/>
          <w:rtl/>
        </w:rPr>
        <w:t>.</w:t>
      </w:r>
    </w:p>
    <w:p w:rsidR="003F0A00" w:rsidP="00B834C3" w14:paraId="078CC367" w14:textId="5780A563">
      <w:pPr>
        <w:pStyle w:val="755"/>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92D64" w:rsidR="00B834C3">
        <w:rPr>
          <w:rtl/>
          <w:lang w:eastAsia="he-IL"/>
        </w:rPr>
        <w:t>פתיחה בחקירת אירוע דליקה בתוך 12 שעות ממועד כיבויה</w:t>
      </w:r>
      <w:r w:rsidR="00B834C3">
        <w:rPr>
          <w:rFonts w:hint="cs"/>
          <w:rtl/>
          <w:lang w:eastAsia="he-IL"/>
        </w:rPr>
        <w:t xml:space="preserve">, שבהן רשאי חוקר הדליקות </w:t>
      </w:r>
      <w:r w:rsidRPr="00B834C3" w:rsidR="00B834C3">
        <w:rPr>
          <w:rFonts w:hint="cs"/>
          <w:rtl/>
        </w:rPr>
        <w:t>להיכנס</w:t>
      </w:r>
      <w:r w:rsidR="00B834C3">
        <w:rPr>
          <w:rFonts w:hint="cs"/>
          <w:rtl/>
          <w:lang w:eastAsia="he-IL"/>
        </w:rPr>
        <w:t xml:space="preserve"> לזירת אירוע הדליקה ללא הגבלה,</w:t>
      </w:r>
      <w:r w:rsidRPr="00392D64" w:rsidR="00B834C3">
        <w:rPr>
          <w:rtl/>
          <w:lang w:eastAsia="he-IL"/>
        </w:rPr>
        <w:t xml:space="preserve"> עשויה להגדיל את הסיכויים לשמירה על </w:t>
      </w:r>
      <w:r w:rsidR="00B834C3">
        <w:rPr>
          <w:rFonts w:hint="cs"/>
          <w:rtl/>
          <w:lang w:eastAsia="he-IL"/>
        </w:rPr>
        <w:t>ה</w:t>
      </w:r>
      <w:r w:rsidRPr="00392D64" w:rsidR="00B834C3">
        <w:rPr>
          <w:rtl/>
          <w:lang w:eastAsia="he-IL"/>
        </w:rPr>
        <w:t xml:space="preserve">זירה מפני שיבוש ראיות, ולכן מומלץ שגורמי הפיקוד בתחנה וכן </w:t>
      </w:r>
      <w:r w:rsidRPr="00392D64" w:rsidR="00B834C3">
        <w:rPr>
          <w:rtl/>
          <w:lang w:eastAsia="he-IL"/>
        </w:rPr>
        <w:t>רע"ן</w:t>
      </w:r>
      <w:r w:rsidRPr="00392D64" w:rsidR="00B834C3">
        <w:rPr>
          <w:rtl/>
          <w:lang w:eastAsia="he-IL"/>
        </w:rPr>
        <w:t xml:space="preserve"> החקירות המחוזי יוודאו את כניסת החוקר לזירה בסמוך לאחר המועד האמור וככל הניתן אף במהלך פעולות הכיבוי, כפי שנקבע בהוראת הנוהל. </w:t>
      </w:r>
      <w:r w:rsidR="00B834C3">
        <w:rPr>
          <w:rFonts w:hint="cs"/>
          <w:rtl/>
        </w:rPr>
        <w:t xml:space="preserve">מומלץ גם </w:t>
      </w:r>
      <w:r w:rsidR="00B834C3">
        <w:rPr>
          <w:rFonts w:hint="cs"/>
          <w:rtl/>
        </w:rPr>
        <w:t>שרע"ן</w:t>
      </w:r>
      <w:r w:rsidR="00B834C3">
        <w:rPr>
          <w:rFonts w:hint="cs"/>
          <w:rtl/>
        </w:rPr>
        <w:t xml:space="preserve"> החקירות המחוזי ינתח את </w:t>
      </w:r>
      <w:r w:rsidR="00B834C3">
        <w:rPr>
          <w:rFonts w:hint="cs"/>
          <w:rtl/>
        </w:rPr>
        <w:t>הנתנים</w:t>
      </w:r>
      <w:r w:rsidR="00B834C3">
        <w:rPr>
          <w:rFonts w:hint="cs"/>
          <w:rtl/>
        </w:rPr>
        <w:t xml:space="preserve"> בדוח זה על אודות הזמן שחלף מכיבוי הד</w:t>
      </w:r>
      <w:r w:rsidR="00315283">
        <w:rPr>
          <w:rFonts w:hint="cs"/>
          <w:rtl/>
        </w:rPr>
        <w:t>ל</w:t>
      </w:r>
      <w:r w:rsidR="00B834C3">
        <w:rPr>
          <w:rFonts w:hint="cs"/>
          <w:rtl/>
        </w:rPr>
        <w:t>יקה עד לפתיחה בחקירה, וינקוט צעדים כדי לצמצמו</w:t>
      </w:r>
      <w:r w:rsidRPr="007C7D40">
        <w:rPr>
          <w:rFonts w:hint="cs"/>
          <w:rtl/>
        </w:rPr>
        <w:t>.</w:t>
      </w:r>
    </w:p>
    <w:p w:rsidR="006A5AB7" w:rsidP="00B834C3" w14:paraId="0A07A9C9" w14:textId="6869436E">
      <w:pPr>
        <w:pStyle w:val="755"/>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92D64" w:rsidR="00B834C3">
        <w:rPr>
          <w:rtl/>
        </w:rPr>
        <w:t>מומלץ כי הרשות תוודא כי החוקרים יקבלו מעטפת הגנה לשם ביצוע החקירות באופן מיטבי, הכוללת את הציוד הנדרש לשם שמירה על בריאותם ו</w:t>
      </w:r>
      <w:r w:rsidRPr="00392D64" w:rsidR="00B834C3">
        <w:rPr>
          <w:rFonts w:hint="cs"/>
          <w:rtl/>
        </w:rPr>
        <w:t xml:space="preserve">על </w:t>
      </w:r>
      <w:r w:rsidRPr="00392D64" w:rsidR="00B834C3">
        <w:rPr>
          <w:rtl/>
        </w:rPr>
        <w:t>בטיחות</w:t>
      </w:r>
      <w:r w:rsidRPr="00392D64" w:rsidR="00B834C3">
        <w:rPr>
          <w:rFonts w:hint="cs"/>
          <w:rtl/>
        </w:rPr>
        <w:t xml:space="preserve"> עבודת</w:t>
      </w:r>
      <w:r w:rsidRPr="00392D64" w:rsidR="00B834C3">
        <w:rPr>
          <w:rtl/>
        </w:rPr>
        <w:t>ם. כמו כן</w:t>
      </w:r>
      <w:r w:rsidR="00B834C3">
        <w:rPr>
          <w:rFonts w:hint="cs"/>
          <w:rtl/>
        </w:rPr>
        <w:t>,</w:t>
      </w:r>
      <w:r w:rsidRPr="00392D64" w:rsidR="00B834C3">
        <w:rPr>
          <w:rtl/>
        </w:rPr>
        <w:t xml:space="preserve"> נוכח החסרים בציוד טכנולוגי מתקדם לביצוע חקירת שריפות</w:t>
      </w:r>
      <w:r w:rsidRPr="00392D64" w:rsidR="00B834C3">
        <w:rPr>
          <w:rFonts w:hint="cs"/>
          <w:rtl/>
        </w:rPr>
        <w:t>,</w:t>
      </w:r>
      <w:r w:rsidRPr="00392D64" w:rsidR="00B834C3">
        <w:rPr>
          <w:rtl/>
        </w:rPr>
        <w:t xml:space="preserve"> מומלץ כי המשרד לביטחון לאומי </w:t>
      </w:r>
      <w:r w:rsidR="00EE31A7">
        <w:rPr>
          <w:rFonts w:hint="cs"/>
          <w:rtl/>
        </w:rPr>
        <w:t>האחראי</w:t>
      </w:r>
      <w:r w:rsidRPr="00392D64" w:rsidR="00B834C3">
        <w:rPr>
          <w:rtl/>
        </w:rPr>
        <w:t xml:space="preserve"> להתנהלותה התקינה של הרשות יפעל במשותף איתה כדי לתת מענה לפערים הקיימים. בה בעת נדרש</w:t>
      </w:r>
      <w:r w:rsidRPr="00392D64" w:rsidR="00B834C3">
        <w:rPr>
          <w:rFonts w:hint="cs"/>
          <w:rtl/>
        </w:rPr>
        <w:t xml:space="preserve">ת הרשות </w:t>
      </w:r>
      <w:r w:rsidRPr="00392D64" w:rsidR="00B834C3">
        <w:rPr>
          <w:rtl/>
        </w:rPr>
        <w:t xml:space="preserve">לתת את הדעת </w:t>
      </w:r>
      <w:r w:rsidRPr="00392D64" w:rsidR="00B834C3">
        <w:rPr>
          <w:rFonts w:hint="cs"/>
          <w:rtl/>
        </w:rPr>
        <w:t>גם ל</w:t>
      </w:r>
      <w:r w:rsidRPr="00392D64" w:rsidR="00B834C3">
        <w:rPr>
          <w:rtl/>
        </w:rPr>
        <w:t>השפעות הפוטנציאליות של היעדר ציוד חקירה ומיגון אישי מתאים</w:t>
      </w:r>
      <w:r w:rsidRPr="00392D64" w:rsidR="00B834C3">
        <w:rPr>
          <w:rFonts w:hint="cs"/>
          <w:rtl/>
        </w:rPr>
        <w:t xml:space="preserve"> לחוקרי שריפות</w:t>
      </w:r>
      <w:r w:rsidRPr="007C7D40">
        <w:rPr>
          <w:rFonts w:hint="cs"/>
          <w:rtl/>
        </w:rPr>
        <w:t>.</w:t>
      </w:r>
    </w:p>
    <w:p w:rsidR="006A5AB7" w:rsidP="00B834C3" w14:paraId="178DD636" w14:textId="5404AA95">
      <w:pPr>
        <w:pStyle w:val="755"/>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92D64" w:rsidR="00B834C3">
        <w:rPr>
          <w:rtl/>
        </w:rPr>
        <w:t xml:space="preserve">כדי לקיים יחסי גומלין רציפים בין </w:t>
      </w:r>
      <w:r w:rsidRPr="00392D64" w:rsidR="00B834C3">
        <w:rPr>
          <w:rtl/>
        </w:rPr>
        <w:t>כב"ה</w:t>
      </w:r>
      <w:r w:rsidRPr="00392D64" w:rsidR="00B834C3">
        <w:rPr>
          <w:rtl/>
        </w:rPr>
        <w:t xml:space="preserve">, משרדי הממשלה הנוגעים בדבר (ביטחון לאומי, הגנת הסביבה והכלכלה), מערכת הביטחון והרשויות המקומיות בנוגע לחקירת שריפות, להגנה מפניהן ולמניעתן, מומלץ </w:t>
      </w:r>
      <w:r w:rsidRPr="00392D64" w:rsidR="00B834C3">
        <w:rPr>
          <w:rtl/>
        </w:rPr>
        <w:t>לכב"ה</w:t>
      </w:r>
      <w:r w:rsidRPr="00392D64" w:rsidR="00B834C3">
        <w:rPr>
          <w:rtl/>
        </w:rPr>
        <w:t xml:space="preserve"> ליזום הסדרה בין-ארגונית שתבטיח העברת מידע הדדית, לרבות פרטים רלוונטיים מתוך חוות דעת החוקרים</w:t>
      </w:r>
      <w:r w:rsidR="00172E36">
        <w:rPr>
          <w:rFonts w:hint="cs"/>
          <w:rtl/>
        </w:rPr>
        <w:t>.</w:t>
      </w:r>
    </w:p>
    <w:p w:rsidR="00124D0A" w:rsidP="00B834C3" w14:paraId="5819F9A1" w14:textId="5BF34817">
      <w:pPr>
        <w:pStyle w:val="755"/>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4076E" w:rsidR="00B834C3">
        <w:rPr>
          <w:rFonts w:hint="eastAsia"/>
          <w:rtl/>
        </w:rPr>
        <w:t>נוכח</w:t>
      </w:r>
      <w:r w:rsidRPr="0044076E" w:rsidR="00B834C3">
        <w:rPr>
          <w:rtl/>
        </w:rPr>
        <w:t xml:space="preserve"> </w:t>
      </w:r>
      <w:r w:rsidRPr="0044076E" w:rsidR="00B834C3">
        <w:rPr>
          <w:rFonts w:hint="eastAsia"/>
          <w:rtl/>
        </w:rPr>
        <w:t>צמצום</w:t>
      </w:r>
      <w:r w:rsidRPr="0044076E" w:rsidR="00B834C3">
        <w:rPr>
          <w:rtl/>
        </w:rPr>
        <w:t xml:space="preserve"> </w:t>
      </w:r>
      <w:r w:rsidRPr="0044076E" w:rsidR="00B834C3">
        <w:rPr>
          <w:rFonts w:hint="eastAsia"/>
          <w:rtl/>
        </w:rPr>
        <w:t>תקציב</w:t>
      </w:r>
      <w:r w:rsidRPr="0044076E" w:rsidR="00B834C3">
        <w:rPr>
          <w:rtl/>
        </w:rPr>
        <w:t xml:space="preserve"> </w:t>
      </w:r>
      <w:r w:rsidRPr="0044076E" w:rsidR="00B834C3">
        <w:rPr>
          <w:rFonts w:hint="eastAsia"/>
          <w:rtl/>
        </w:rPr>
        <w:t>ההסברה</w:t>
      </w:r>
      <w:r w:rsidRPr="0044076E" w:rsidR="00B834C3">
        <w:rPr>
          <w:rtl/>
        </w:rPr>
        <w:t xml:space="preserve"> </w:t>
      </w:r>
      <w:r w:rsidRPr="0044076E" w:rsidR="00B834C3">
        <w:rPr>
          <w:rFonts w:hint="eastAsia"/>
          <w:rtl/>
        </w:rPr>
        <w:t>והחשיבות</w:t>
      </w:r>
      <w:r w:rsidRPr="0044076E" w:rsidR="00B834C3">
        <w:rPr>
          <w:rtl/>
        </w:rPr>
        <w:t xml:space="preserve"> </w:t>
      </w:r>
      <w:r w:rsidRPr="0044076E" w:rsidR="00B834C3">
        <w:rPr>
          <w:rFonts w:hint="eastAsia"/>
          <w:rtl/>
        </w:rPr>
        <w:t>המיוחדת</w:t>
      </w:r>
      <w:r w:rsidRPr="0044076E" w:rsidR="00B834C3">
        <w:rPr>
          <w:rtl/>
        </w:rPr>
        <w:t xml:space="preserve"> </w:t>
      </w:r>
      <w:r w:rsidRPr="0044076E" w:rsidR="00B834C3">
        <w:rPr>
          <w:rFonts w:hint="eastAsia"/>
          <w:rtl/>
        </w:rPr>
        <w:t>שיש</w:t>
      </w:r>
      <w:r w:rsidRPr="0044076E" w:rsidR="00B834C3">
        <w:rPr>
          <w:rtl/>
        </w:rPr>
        <w:t xml:space="preserve"> </w:t>
      </w:r>
      <w:r w:rsidRPr="0044076E" w:rsidR="00B834C3">
        <w:rPr>
          <w:rFonts w:hint="eastAsia"/>
          <w:rtl/>
        </w:rPr>
        <w:t>לפעילות</w:t>
      </w:r>
      <w:r w:rsidRPr="0044076E" w:rsidR="00B834C3">
        <w:rPr>
          <w:rtl/>
        </w:rPr>
        <w:t xml:space="preserve"> </w:t>
      </w:r>
      <w:r w:rsidRPr="0044076E" w:rsidR="00B834C3">
        <w:rPr>
          <w:rFonts w:hint="eastAsia"/>
          <w:rtl/>
        </w:rPr>
        <w:t>המניעה</w:t>
      </w:r>
      <w:r w:rsidRPr="0044076E" w:rsidR="00B834C3">
        <w:rPr>
          <w:rtl/>
        </w:rPr>
        <w:t xml:space="preserve">, </w:t>
      </w:r>
      <w:r w:rsidRPr="0044076E" w:rsidR="00B834C3">
        <w:rPr>
          <w:rFonts w:hint="eastAsia"/>
          <w:rtl/>
        </w:rPr>
        <w:t>מוצע</w:t>
      </w:r>
      <w:r w:rsidRPr="0044076E" w:rsidR="00B834C3">
        <w:rPr>
          <w:rtl/>
        </w:rPr>
        <w:t xml:space="preserve"> </w:t>
      </w:r>
      <w:r w:rsidRPr="0044076E" w:rsidR="00B834C3">
        <w:rPr>
          <w:rFonts w:hint="eastAsia"/>
          <w:rtl/>
        </w:rPr>
        <w:t>כי</w:t>
      </w:r>
      <w:r w:rsidRPr="0044076E" w:rsidR="00B834C3">
        <w:rPr>
          <w:rtl/>
        </w:rPr>
        <w:t xml:space="preserve"> </w:t>
      </w:r>
      <w:r w:rsidRPr="0044076E" w:rsidR="00B834C3">
        <w:rPr>
          <w:rFonts w:hint="eastAsia"/>
          <w:rtl/>
        </w:rPr>
        <w:t>הרשות</w:t>
      </w:r>
      <w:r w:rsidRPr="0044076E" w:rsidR="00B834C3">
        <w:rPr>
          <w:rtl/>
        </w:rPr>
        <w:t xml:space="preserve"> </w:t>
      </w:r>
      <w:r w:rsidRPr="0044076E" w:rsidR="00B834C3">
        <w:rPr>
          <w:rFonts w:hint="eastAsia"/>
          <w:rtl/>
        </w:rPr>
        <w:t>תקיים</w:t>
      </w:r>
      <w:r w:rsidRPr="0044076E" w:rsidR="00B834C3">
        <w:rPr>
          <w:rtl/>
        </w:rPr>
        <w:t xml:space="preserve"> </w:t>
      </w:r>
      <w:r w:rsidRPr="0044076E" w:rsidR="00B834C3">
        <w:rPr>
          <w:rFonts w:hint="eastAsia"/>
          <w:rtl/>
        </w:rPr>
        <w:t>הערכת</w:t>
      </w:r>
      <w:r w:rsidRPr="0044076E" w:rsidR="00B834C3">
        <w:rPr>
          <w:rtl/>
        </w:rPr>
        <w:t xml:space="preserve"> </w:t>
      </w:r>
      <w:r w:rsidRPr="0044076E" w:rsidR="00B834C3">
        <w:rPr>
          <w:rFonts w:hint="eastAsia"/>
          <w:rtl/>
        </w:rPr>
        <w:t>מצב</w:t>
      </w:r>
      <w:r w:rsidRPr="0044076E" w:rsidR="00B834C3">
        <w:rPr>
          <w:rtl/>
        </w:rPr>
        <w:t xml:space="preserve"> </w:t>
      </w:r>
      <w:r w:rsidRPr="0044076E" w:rsidR="00B834C3">
        <w:rPr>
          <w:rFonts w:hint="eastAsia"/>
          <w:rtl/>
        </w:rPr>
        <w:t>צופה</w:t>
      </w:r>
      <w:r w:rsidRPr="0044076E" w:rsidR="00B834C3">
        <w:rPr>
          <w:rtl/>
        </w:rPr>
        <w:t xml:space="preserve"> </w:t>
      </w:r>
      <w:r w:rsidRPr="0044076E" w:rsidR="00B834C3">
        <w:rPr>
          <w:rFonts w:hint="eastAsia"/>
          <w:rtl/>
        </w:rPr>
        <w:t>פני</w:t>
      </w:r>
      <w:r w:rsidRPr="0044076E" w:rsidR="00B834C3">
        <w:rPr>
          <w:rtl/>
        </w:rPr>
        <w:t xml:space="preserve"> </w:t>
      </w:r>
      <w:r w:rsidRPr="0044076E" w:rsidR="00B834C3">
        <w:rPr>
          <w:rFonts w:hint="eastAsia"/>
          <w:rtl/>
        </w:rPr>
        <w:t>עתיד</w:t>
      </w:r>
      <w:r w:rsidRPr="0044076E" w:rsidR="00B834C3">
        <w:rPr>
          <w:rtl/>
        </w:rPr>
        <w:t xml:space="preserve"> </w:t>
      </w:r>
      <w:r w:rsidRPr="0044076E" w:rsidR="00B834C3">
        <w:rPr>
          <w:rFonts w:hint="eastAsia"/>
          <w:rtl/>
        </w:rPr>
        <w:t>בנוגע</w:t>
      </w:r>
      <w:r w:rsidRPr="0044076E" w:rsidR="00B834C3">
        <w:rPr>
          <w:rtl/>
        </w:rPr>
        <w:t xml:space="preserve"> </w:t>
      </w:r>
      <w:r w:rsidRPr="0044076E" w:rsidR="00B834C3">
        <w:rPr>
          <w:rFonts w:hint="eastAsia"/>
          <w:rtl/>
        </w:rPr>
        <w:t>לפעילות</w:t>
      </w:r>
      <w:r w:rsidRPr="0044076E" w:rsidR="00B834C3">
        <w:rPr>
          <w:rtl/>
        </w:rPr>
        <w:t xml:space="preserve"> </w:t>
      </w:r>
      <w:r w:rsidRPr="0044076E" w:rsidR="00B834C3">
        <w:rPr>
          <w:rFonts w:hint="eastAsia"/>
          <w:rtl/>
        </w:rPr>
        <w:t>ההסברה</w:t>
      </w:r>
      <w:r w:rsidRPr="0044076E" w:rsidR="00B834C3">
        <w:rPr>
          <w:rtl/>
        </w:rPr>
        <w:t xml:space="preserve"> של מערך ההגנה מאש לציבור הרחב. </w:t>
      </w:r>
      <w:r w:rsidRPr="0044076E" w:rsidR="00B834C3">
        <w:rPr>
          <w:rFonts w:hint="eastAsia"/>
          <w:rtl/>
        </w:rPr>
        <w:t>במסגרת</w:t>
      </w:r>
      <w:r w:rsidRPr="0044076E" w:rsidR="00B834C3">
        <w:rPr>
          <w:rtl/>
        </w:rPr>
        <w:t xml:space="preserve"> </w:t>
      </w:r>
      <w:r w:rsidRPr="0044076E" w:rsidR="00B834C3">
        <w:rPr>
          <w:rFonts w:hint="eastAsia"/>
          <w:rtl/>
        </w:rPr>
        <w:t>הערכה</w:t>
      </w:r>
      <w:r w:rsidRPr="0044076E" w:rsidR="00B834C3">
        <w:rPr>
          <w:rtl/>
        </w:rPr>
        <w:t xml:space="preserve"> </w:t>
      </w:r>
      <w:r w:rsidRPr="0044076E" w:rsidR="00B834C3">
        <w:rPr>
          <w:rFonts w:hint="eastAsia"/>
          <w:rtl/>
        </w:rPr>
        <w:t>זו</w:t>
      </w:r>
      <w:r w:rsidRPr="0044076E" w:rsidR="00B834C3">
        <w:rPr>
          <w:rtl/>
        </w:rPr>
        <w:t xml:space="preserve"> </w:t>
      </w:r>
      <w:r w:rsidRPr="0044076E" w:rsidR="00B834C3">
        <w:rPr>
          <w:rFonts w:hint="eastAsia"/>
          <w:rtl/>
        </w:rPr>
        <w:t>יש</w:t>
      </w:r>
      <w:r w:rsidRPr="0044076E" w:rsidR="00B834C3">
        <w:rPr>
          <w:rtl/>
        </w:rPr>
        <w:t xml:space="preserve"> </w:t>
      </w:r>
      <w:r w:rsidRPr="0044076E" w:rsidR="00B834C3">
        <w:rPr>
          <w:rFonts w:hint="eastAsia"/>
          <w:rtl/>
        </w:rPr>
        <w:t>לבחון</w:t>
      </w:r>
      <w:r w:rsidRPr="0044076E" w:rsidR="00B834C3">
        <w:rPr>
          <w:rtl/>
        </w:rPr>
        <w:t xml:space="preserve"> </w:t>
      </w:r>
      <w:r w:rsidRPr="0044076E" w:rsidR="00B834C3">
        <w:rPr>
          <w:rFonts w:hint="eastAsia"/>
          <w:rtl/>
        </w:rPr>
        <w:t>אם</w:t>
      </w:r>
      <w:r w:rsidRPr="0044076E" w:rsidR="00B834C3">
        <w:rPr>
          <w:rtl/>
        </w:rPr>
        <w:t xml:space="preserve"> </w:t>
      </w:r>
      <w:r w:rsidRPr="0044076E" w:rsidR="00B834C3">
        <w:rPr>
          <w:rFonts w:hint="eastAsia"/>
          <w:rtl/>
        </w:rPr>
        <w:t>יש</w:t>
      </w:r>
      <w:r w:rsidRPr="0044076E" w:rsidR="00B834C3">
        <w:rPr>
          <w:rtl/>
        </w:rPr>
        <w:t xml:space="preserve"> </w:t>
      </w:r>
      <w:r w:rsidRPr="0044076E" w:rsidR="00B834C3">
        <w:rPr>
          <w:rFonts w:hint="eastAsia"/>
          <w:rtl/>
        </w:rPr>
        <w:t>במשאבים</w:t>
      </w:r>
      <w:r w:rsidRPr="0044076E" w:rsidR="00B834C3">
        <w:rPr>
          <w:rtl/>
        </w:rPr>
        <w:t xml:space="preserve"> </w:t>
      </w:r>
      <w:r w:rsidRPr="0044076E" w:rsidR="00B834C3">
        <w:rPr>
          <w:rFonts w:hint="eastAsia"/>
          <w:rtl/>
        </w:rPr>
        <w:t>שצפויה</w:t>
      </w:r>
      <w:r w:rsidRPr="0044076E" w:rsidR="00B834C3">
        <w:rPr>
          <w:rtl/>
        </w:rPr>
        <w:t xml:space="preserve"> </w:t>
      </w:r>
      <w:r w:rsidRPr="0044076E" w:rsidR="00B834C3">
        <w:rPr>
          <w:rFonts w:hint="eastAsia"/>
          <w:rtl/>
        </w:rPr>
        <w:t>הרשות</w:t>
      </w:r>
      <w:r w:rsidRPr="0044076E" w:rsidR="00B834C3">
        <w:rPr>
          <w:rtl/>
        </w:rPr>
        <w:t xml:space="preserve"> </w:t>
      </w:r>
      <w:r w:rsidRPr="0044076E" w:rsidR="00B834C3">
        <w:rPr>
          <w:rFonts w:hint="eastAsia"/>
          <w:rtl/>
        </w:rPr>
        <w:t>להקצות</w:t>
      </w:r>
      <w:r w:rsidRPr="0044076E" w:rsidR="00B834C3">
        <w:rPr>
          <w:rtl/>
        </w:rPr>
        <w:t xml:space="preserve"> </w:t>
      </w:r>
      <w:r w:rsidRPr="0044076E" w:rsidR="00B834C3">
        <w:rPr>
          <w:rFonts w:hint="eastAsia"/>
          <w:rtl/>
        </w:rPr>
        <w:t>לתחום</w:t>
      </w:r>
      <w:r w:rsidRPr="0044076E" w:rsidR="00B834C3">
        <w:rPr>
          <w:rtl/>
        </w:rPr>
        <w:t xml:space="preserve"> </w:t>
      </w:r>
      <w:r w:rsidRPr="0044076E" w:rsidR="00B834C3">
        <w:rPr>
          <w:rFonts w:hint="eastAsia"/>
          <w:rtl/>
        </w:rPr>
        <w:t>זה</w:t>
      </w:r>
      <w:r w:rsidRPr="0044076E" w:rsidR="00B834C3">
        <w:rPr>
          <w:rtl/>
        </w:rPr>
        <w:t xml:space="preserve"> </w:t>
      </w:r>
      <w:r w:rsidRPr="0044076E" w:rsidR="00B834C3">
        <w:rPr>
          <w:rFonts w:hint="eastAsia"/>
          <w:rtl/>
        </w:rPr>
        <w:t>כדי</w:t>
      </w:r>
      <w:r w:rsidRPr="0044076E" w:rsidR="00B834C3">
        <w:rPr>
          <w:rtl/>
        </w:rPr>
        <w:t xml:space="preserve"> </w:t>
      </w:r>
      <w:r w:rsidRPr="0044076E" w:rsidR="00B834C3">
        <w:rPr>
          <w:rFonts w:hint="eastAsia"/>
          <w:rtl/>
        </w:rPr>
        <w:t>לתת</w:t>
      </w:r>
      <w:r w:rsidRPr="0044076E" w:rsidR="00B834C3">
        <w:rPr>
          <w:rtl/>
        </w:rPr>
        <w:t xml:space="preserve"> </w:t>
      </w:r>
      <w:r w:rsidRPr="0044076E" w:rsidR="00B834C3">
        <w:rPr>
          <w:rFonts w:hint="eastAsia"/>
          <w:rtl/>
        </w:rPr>
        <w:t>מענה</w:t>
      </w:r>
      <w:r w:rsidRPr="0044076E" w:rsidR="00B834C3">
        <w:rPr>
          <w:rtl/>
        </w:rPr>
        <w:t xml:space="preserve"> </w:t>
      </w:r>
      <w:r w:rsidRPr="0044076E" w:rsidR="00B834C3">
        <w:rPr>
          <w:rFonts w:hint="eastAsia"/>
          <w:rtl/>
        </w:rPr>
        <w:t>רחב</w:t>
      </w:r>
      <w:r w:rsidRPr="0044076E" w:rsidR="00B834C3">
        <w:rPr>
          <w:rtl/>
        </w:rPr>
        <w:t xml:space="preserve"> </w:t>
      </w:r>
      <w:r w:rsidRPr="0044076E" w:rsidR="00B834C3">
        <w:rPr>
          <w:rFonts w:hint="eastAsia"/>
          <w:rtl/>
        </w:rPr>
        <w:t>לקיום</w:t>
      </w:r>
      <w:r w:rsidRPr="0044076E" w:rsidR="00B834C3">
        <w:rPr>
          <w:rtl/>
        </w:rPr>
        <w:t xml:space="preserve"> </w:t>
      </w:r>
      <w:r w:rsidRPr="0044076E" w:rsidR="00B834C3">
        <w:rPr>
          <w:rFonts w:hint="eastAsia"/>
          <w:rtl/>
        </w:rPr>
        <w:t>פעילות</w:t>
      </w:r>
      <w:r w:rsidRPr="0044076E" w:rsidR="00B834C3">
        <w:rPr>
          <w:rtl/>
        </w:rPr>
        <w:t xml:space="preserve"> </w:t>
      </w:r>
      <w:r w:rsidRPr="0044076E" w:rsidR="00B834C3">
        <w:rPr>
          <w:rFonts w:hint="eastAsia"/>
          <w:rtl/>
        </w:rPr>
        <w:t>הסברה</w:t>
      </w:r>
      <w:r w:rsidRPr="0044076E" w:rsidR="00B834C3">
        <w:rPr>
          <w:rtl/>
        </w:rPr>
        <w:t xml:space="preserve"> </w:t>
      </w:r>
      <w:r w:rsidRPr="0044076E" w:rsidR="00B834C3">
        <w:rPr>
          <w:rFonts w:hint="eastAsia"/>
          <w:rtl/>
        </w:rPr>
        <w:t>אפקטיבית</w:t>
      </w:r>
      <w:r w:rsidRPr="0044076E" w:rsidR="00B834C3">
        <w:rPr>
          <w:rtl/>
        </w:rPr>
        <w:t xml:space="preserve"> </w:t>
      </w:r>
      <w:r w:rsidRPr="0044076E" w:rsidR="00B834C3">
        <w:rPr>
          <w:rFonts w:hint="eastAsia"/>
          <w:rtl/>
        </w:rPr>
        <w:t>בכלל</w:t>
      </w:r>
      <w:r w:rsidRPr="0044076E" w:rsidR="00B834C3">
        <w:rPr>
          <w:rtl/>
        </w:rPr>
        <w:t xml:space="preserve"> </w:t>
      </w:r>
      <w:r w:rsidRPr="0044076E" w:rsidR="00B834C3">
        <w:rPr>
          <w:rFonts w:hint="eastAsia"/>
          <w:rtl/>
        </w:rPr>
        <w:t>המדיות</w:t>
      </w:r>
      <w:r w:rsidRPr="0044076E" w:rsidR="00B834C3">
        <w:rPr>
          <w:rtl/>
        </w:rPr>
        <w:t xml:space="preserve"> </w:t>
      </w:r>
      <w:r w:rsidRPr="0044076E" w:rsidR="00B834C3">
        <w:rPr>
          <w:rFonts w:hint="eastAsia"/>
          <w:rtl/>
        </w:rPr>
        <w:t>הרלוונטיות</w:t>
      </w:r>
      <w:r w:rsidRPr="0044076E" w:rsidR="00B834C3">
        <w:rPr>
          <w:rtl/>
        </w:rPr>
        <w:t xml:space="preserve"> </w:t>
      </w:r>
      <w:r w:rsidRPr="0044076E" w:rsidR="00B834C3">
        <w:rPr>
          <w:rFonts w:hint="eastAsia"/>
          <w:rtl/>
        </w:rPr>
        <w:t>למול</w:t>
      </w:r>
      <w:r w:rsidRPr="0044076E" w:rsidR="00B834C3">
        <w:rPr>
          <w:rtl/>
        </w:rPr>
        <w:t xml:space="preserve"> </w:t>
      </w:r>
      <w:r w:rsidRPr="0044076E" w:rsidR="00B834C3">
        <w:rPr>
          <w:rFonts w:hint="eastAsia"/>
          <w:rtl/>
        </w:rPr>
        <w:t>קהלי</w:t>
      </w:r>
      <w:r w:rsidRPr="0044076E" w:rsidR="00B834C3">
        <w:rPr>
          <w:rtl/>
        </w:rPr>
        <w:t xml:space="preserve"> </w:t>
      </w:r>
      <w:r w:rsidRPr="0044076E" w:rsidR="00B834C3">
        <w:rPr>
          <w:rFonts w:hint="eastAsia"/>
          <w:rtl/>
        </w:rPr>
        <w:t>אוכלוסייה</w:t>
      </w:r>
      <w:r w:rsidRPr="0044076E" w:rsidR="00B834C3">
        <w:rPr>
          <w:rtl/>
        </w:rPr>
        <w:t xml:space="preserve"> </w:t>
      </w:r>
      <w:r w:rsidRPr="0044076E" w:rsidR="00B834C3">
        <w:rPr>
          <w:rFonts w:hint="eastAsia"/>
          <w:rtl/>
        </w:rPr>
        <w:t>שונים</w:t>
      </w:r>
      <w:r w:rsidRPr="0044076E" w:rsidR="00B834C3">
        <w:rPr>
          <w:rtl/>
        </w:rPr>
        <w:t>.</w:t>
      </w:r>
      <w:r w:rsidR="00B834C3">
        <w:rPr>
          <w:rFonts w:hint="cs"/>
          <w:rtl/>
        </w:rPr>
        <w:t xml:space="preserve"> כמו כן </w:t>
      </w:r>
      <w:r w:rsidRPr="0044076E" w:rsidR="00B834C3">
        <w:rPr>
          <w:rFonts w:hint="eastAsia"/>
          <w:rtl/>
        </w:rPr>
        <w:t>מומלץ</w:t>
      </w:r>
      <w:r w:rsidR="00F92FDD">
        <w:rPr>
          <w:rFonts w:hint="cs"/>
          <w:rtl/>
        </w:rPr>
        <w:t>,</w:t>
      </w:r>
      <w:r w:rsidRPr="0044076E" w:rsidR="00B834C3">
        <w:rPr>
          <w:rtl/>
        </w:rPr>
        <w:t xml:space="preserve"> כי </w:t>
      </w:r>
      <w:r w:rsidRPr="0044076E" w:rsidR="00B834C3">
        <w:rPr>
          <w:rFonts w:hint="eastAsia"/>
          <w:rtl/>
        </w:rPr>
        <w:t>באתר</w:t>
      </w:r>
      <w:r w:rsidRPr="0044076E" w:rsidR="00B834C3">
        <w:rPr>
          <w:rtl/>
        </w:rPr>
        <w:t xml:space="preserve"> </w:t>
      </w:r>
      <w:r w:rsidRPr="0044076E" w:rsidR="00B834C3">
        <w:rPr>
          <w:rFonts w:hint="eastAsia"/>
          <w:rtl/>
        </w:rPr>
        <w:t>כב</w:t>
      </w:r>
      <w:r w:rsidRPr="0044076E" w:rsidR="00B834C3">
        <w:rPr>
          <w:rtl/>
        </w:rPr>
        <w:t>"ה</w:t>
      </w:r>
      <w:r w:rsidRPr="0044076E" w:rsidR="00B834C3">
        <w:rPr>
          <w:rtl/>
        </w:rPr>
        <w:t xml:space="preserve"> </w:t>
      </w:r>
      <w:r w:rsidRPr="0044076E" w:rsidR="00B834C3">
        <w:rPr>
          <w:rFonts w:hint="eastAsia"/>
          <w:rtl/>
        </w:rPr>
        <w:t>במרשתת</w:t>
      </w:r>
      <w:r w:rsidRPr="0044076E" w:rsidR="00B834C3">
        <w:rPr>
          <w:rtl/>
        </w:rPr>
        <w:t xml:space="preserve"> יפורסם </w:t>
      </w:r>
      <w:r w:rsidRPr="0044076E" w:rsidR="00B834C3">
        <w:rPr>
          <w:rFonts w:hint="eastAsia"/>
          <w:rtl/>
        </w:rPr>
        <w:t>מידע</w:t>
      </w:r>
      <w:r w:rsidRPr="0044076E" w:rsidR="00B834C3">
        <w:rPr>
          <w:rtl/>
        </w:rPr>
        <w:t xml:space="preserve"> </w:t>
      </w:r>
      <w:r w:rsidRPr="0044076E" w:rsidR="00B834C3">
        <w:rPr>
          <w:rFonts w:hint="eastAsia"/>
          <w:rtl/>
        </w:rPr>
        <w:t>ממוקד</w:t>
      </w:r>
      <w:r w:rsidRPr="0044076E" w:rsidR="00B834C3">
        <w:rPr>
          <w:rtl/>
        </w:rPr>
        <w:t xml:space="preserve"> </w:t>
      </w:r>
      <w:r w:rsidRPr="0044076E" w:rsidR="00B834C3">
        <w:rPr>
          <w:rFonts w:hint="eastAsia"/>
          <w:rtl/>
        </w:rPr>
        <w:t>לציבור</w:t>
      </w:r>
      <w:r w:rsidRPr="0044076E" w:rsidR="00B834C3">
        <w:rPr>
          <w:rtl/>
        </w:rPr>
        <w:t xml:space="preserve"> </w:t>
      </w:r>
      <w:r w:rsidRPr="0044076E" w:rsidR="00B834C3">
        <w:rPr>
          <w:rFonts w:hint="eastAsia"/>
          <w:rtl/>
        </w:rPr>
        <w:t>בדבר</w:t>
      </w:r>
      <w:r w:rsidRPr="0044076E" w:rsidR="00B834C3">
        <w:rPr>
          <w:rtl/>
        </w:rPr>
        <w:t xml:space="preserve"> </w:t>
      </w:r>
      <w:r w:rsidRPr="0044076E" w:rsidR="00B834C3">
        <w:rPr>
          <w:rFonts w:hint="eastAsia"/>
          <w:rtl/>
        </w:rPr>
        <w:t>הסכנות</w:t>
      </w:r>
      <w:r w:rsidRPr="0044076E" w:rsidR="00B834C3">
        <w:rPr>
          <w:rtl/>
        </w:rPr>
        <w:t xml:space="preserve"> </w:t>
      </w:r>
      <w:r w:rsidRPr="0044076E" w:rsidR="00B834C3">
        <w:rPr>
          <w:rFonts w:hint="eastAsia"/>
          <w:rtl/>
        </w:rPr>
        <w:t>הטמונות</w:t>
      </w:r>
      <w:r w:rsidRPr="0044076E" w:rsidR="00B834C3">
        <w:rPr>
          <w:rtl/>
        </w:rPr>
        <w:t xml:space="preserve"> </w:t>
      </w:r>
      <w:r w:rsidRPr="0044076E" w:rsidR="00B834C3">
        <w:rPr>
          <w:rFonts w:hint="eastAsia"/>
          <w:rtl/>
        </w:rPr>
        <w:t>במוצרי</w:t>
      </w:r>
      <w:r w:rsidRPr="0044076E" w:rsidR="00B834C3">
        <w:rPr>
          <w:rtl/>
        </w:rPr>
        <w:t xml:space="preserve"> </w:t>
      </w:r>
      <w:r w:rsidRPr="0044076E" w:rsidR="00B834C3">
        <w:rPr>
          <w:rFonts w:hint="eastAsia"/>
          <w:rtl/>
        </w:rPr>
        <w:t>החשמל</w:t>
      </w:r>
      <w:r w:rsidRPr="0044076E" w:rsidR="00B834C3">
        <w:rPr>
          <w:rtl/>
        </w:rPr>
        <w:t xml:space="preserve"> </w:t>
      </w:r>
      <w:r w:rsidRPr="0044076E" w:rsidR="00B834C3">
        <w:rPr>
          <w:rFonts w:hint="eastAsia"/>
          <w:rtl/>
        </w:rPr>
        <w:t>הביתיים</w:t>
      </w:r>
      <w:r w:rsidRPr="0044076E" w:rsidR="00B834C3">
        <w:rPr>
          <w:rtl/>
        </w:rPr>
        <w:t xml:space="preserve"> </w:t>
      </w:r>
      <w:r w:rsidRPr="0044076E" w:rsidR="00B834C3">
        <w:rPr>
          <w:rFonts w:hint="eastAsia"/>
          <w:rtl/>
        </w:rPr>
        <w:t>ומדריך</w:t>
      </w:r>
      <w:r w:rsidRPr="0044076E" w:rsidR="00B834C3">
        <w:rPr>
          <w:rtl/>
        </w:rPr>
        <w:t xml:space="preserve"> </w:t>
      </w:r>
      <w:r w:rsidRPr="0044076E" w:rsidR="00B834C3">
        <w:rPr>
          <w:rFonts w:hint="eastAsia"/>
          <w:rtl/>
        </w:rPr>
        <w:t>למניעת</w:t>
      </w:r>
      <w:r w:rsidRPr="0044076E" w:rsidR="00B834C3">
        <w:rPr>
          <w:rtl/>
        </w:rPr>
        <w:t xml:space="preserve"> </w:t>
      </w:r>
      <w:r w:rsidRPr="0044076E" w:rsidR="00B834C3">
        <w:rPr>
          <w:rFonts w:hint="eastAsia"/>
          <w:rtl/>
        </w:rPr>
        <w:t>התלקחות</w:t>
      </w:r>
      <w:r w:rsidRPr="0044076E" w:rsidR="00B834C3">
        <w:rPr>
          <w:rtl/>
        </w:rPr>
        <w:t xml:space="preserve"> </w:t>
      </w:r>
      <w:r w:rsidRPr="0044076E" w:rsidR="00B834C3">
        <w:rPr>
          <w:rFonts w:hint="eastAsia"/>
          <w:rtl/>
        </w:rPr>
        <w:t>שריפות</w:t>
      </w:r>
      <w:r w:rsidRPr="0044076E" w:rsidR="00B834C3">
        <w:rPr>
          <w:rtl/>
        </w:rPr>
        <w:t xml:space="preserve"> </w:t>
      </w:r>
      <w:r w:rsidRPr="0044076E" w:rsidR="00B834C3">
        <w:rPr>
          <w:rFonts w:hint="eastAsia"/>
          <w:rtl/>
        </w:rPr>
        <w:t>במוצרים</w:t>
      </w:r>
      <w:r w:rsidRPr="0044076E" w:rsidR="00B834C3">
        <w:rPr>
          <w:rtl/>
        </w:rPr>
        <w:t xml:space="preserve"> </w:t>
      </w:r>
      <w:r w:rsidRPr="0044076E" w:rsidR="00B834C3">
        <w:rPr>
          <w:rFonts w:hint="eastAsia"/>
          <w:rtl/>
        </w:rPr>
        <w:t>אלה</w:t>
      </w:r>
      <w:r>
        <w:rPr>
          <w:rFonts w:hint="cs"/>
          <w:rtl/>
        </w:rPr>
        <w:t>.</w:t>
      </w:r>
    </w:p>
    <w:p w:rsidR="00362BF7" w:rsidP="00B834C3" w14:paraId="5A3DB390" w14:textId="77777777">
      <w:pPr>
        <w:pStyle w:val="755"/>
        <w:rPr>
          <w:rtl/>
        </w:rPr>
      </w:pPr>
    </w:p>
    <w:p w:rsidR="006A5AB7" w:rsidP="006A5AB7" w14:paraId="0C154B17" w14:textId="79231CD0">
      <w:pPr>
        <w:pStyle w:val="7314"/>
        <w:rPr>
          <w:rtl/>
        </w:rPr>
      </w:pPr>
      <w:r w:rsidRPr="00D527BD">
        <w:rPr>
          <w:noProof/>
          <w:szCs w:val="20"/>
          <w:rtl/>
        </w:rPr>
        <mc:AlternateContent>
          <mc:Choice Requires="wps">
            <w:drawing>
              <wp:anchor distT="0" distB="0" distL="114300" distR="114300" simplePos="0" relativeHeight="251675648" behindDoc="0" locked="0" layoutInCell="1" allowOverlap="1">
                <wp:simplePos x="0" y="0"/>
                <wp:positionH relativeFrom="column">
                  <wp:posOffset>83820</wp:posOffset>
                </wp:positionH>
                <wp:positionV relativeFrom="paragraph">
                  <wp:posOffset>116205</wp:posOffset>
                </wp:positionV>
                <wp:extent cx="4436745" cy="619125"/>
                <wp:effectExtent l="0" t="0" r="1905" b="9525"/>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19125"/>
                        </a:xfrm>
                        <a:prstGeom prst="rect">
                          <a:avLst/>
                        </a:prstGeom>
                        <a:solidFill>
                          <a:srgbClr val="F05260"/>
                        </a:solidFill>
                        <a:ln w="9525">
                          <a:noFill/>
                          <a:miter lim="800000"/>
                          <a:headEnd/>
                          <a:tailEnd/>
                        </a:ln>
                      </wps:spPr>
                      <wps:txbx>
                        <w:txbxContent>
                          <w:p w:rsidR="005D0F8C" w:rsidRPr="005C7ABF" w:rsidP="00172E36" w14:textId="66FAFB83">
                            <w:pPr>
                              <w:spacing w:line="240" w:lineRule="auto"/>
                              <w:jc w:val="left"/>
                              <w:rPr>
                                <w:rtl/>
                              </w:rPr>
                            </w:pPr>
                            <w:r>
                              <w:rPr>
                                <w:rFonts w:ascii="Tahoma" w:hAnsi="Tahoma" w:cs="Tahoma" w:hint="cs"/>
                                <w:b/>
                                <w:bCs/>
                                <w:noProof/>
                                <w:color w:val="FFFFFF" w:themeColor="background1"/>
                                <w:sz w:val="22"/>
                                <w:szCs w:val="22"/>
                                <w:rtl/>
                              </w:rPr>
                              <w:t xml:space="preserve">שיעור החקירות שביצעו המחוזות מכלל החקירות שבוצעו בשנת 2022 בהשוואה לשיעור הדליקות שטופלו במחוזות מכלל אירועי הדליקה שטופלו בכב"ה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3" type="#_x0000_t202" style="width:349.35pt;height:48.75pt;margin-top:9.15pt;margin-left:6.6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172E36" w14:paraId="0FF11C30" w14:textId="66FAFB83">
                      <w:pPr>
                        <w:spacing w:line="240" w:lineRule="auto"/>
                        <w:jc w:val="left"/>
                        <w:rPr>
                          <w:rtl/>
                        </w:rPr>
                      </w:pPr>
                      <w:r>
                        <w:rPr>
                          <w:rFonts w:ascii="Tahoma" w:hAnsi="Tahoma" w:cs="Tahoma" w:hint="cs"/>
                          <w:b/>
                          <w:bCs/>
                          <w:noProof/>
                          <w:color w:val="FFFFFF" w:themeColor="background1"/>
                          <w:sz w:val="22"/>
                          <w:szCs w:val="22"/>
                          <w:rtl/>
                        </w:rPr>
                        <w:t xml:space="preserve">שיעור החקירות שביצעו המחוזות מכלל החקירות שבוצעו בשנת 2022 בהשוואה לשיעור הדליקות שטופלו במחוזות מכלל אירועי הדליקה שטופלו בכב"ה  </w:t>
                      </w:r>
                    </w:p>
                  </w:txbxContent>
                </v:textbox>
              </v:shape>
            </w:pict>
          </mc:Fallback>
        </mc:AlternateContent>
      </w:r>
      <w:r w:rsidRPr="00D527BD" w:rsidR="004C42E0">
        <w:rPr>
          <w:noProof/>
          <w:szCs w:val="20"/>
          <w:rtl/>
        </w:rPr>
        <w:drawing>
          <wp:anchor distT="0" distB="0" distL="114300" distR="114300" simplePos="0" relativeHeight="251674624" behindDoc="0" locked="0" layoutInCell="1" allowOverlap="1">
            <wp:simplePos x="0" y="0"/>
            <wp:positionH relativeFrom="column">
              <wp:posOffset>-59055</wp:posOffset>
            </wp:positionH>
            <wp:positionV relativeFrom="paragraph">
              <wp:posOffset>1905</wp:posOffset>
            </wp:positionV>
            <wp:extent cx="4770755" cy="1009650"/>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755" cy="1009650"/>
                    </a:xfrm>
                    <a:prstGeom prst="rect">
                      <a:avLst/>
                    </a:prstGeom>
                  </pic:spPr>
                </pic:pic>
              </a:graphicData>
            </a:graphic>
            <wp14:sizeRelH relativeFrom="margin">
              <wp14:pctWidth>0</wp14:pctWidth>
            </wp14:sizeRelH>
            <wp14:sizeRelV relativeFrom="margin">
              <wp14:pctHeight>0</wp14:pctHeight>
            </wp14:sizeRelV>
          </wp:anchor>
        </w:drawing>
      </w:r>
    </w:p>
    <w:p w:rsidR="005D0F8C" w:rsidP="00EB672B" w14:paraId="757FD3ED" w14:textId="3841C5BB">
      <w:pPr>
        <w:pStyle w:val="7314"/>
        <w:rPr>
          <w:rtl/>
        </w:rPr>
      </w:pPr>
      <w:r>
        <w:rPr>
          <w:rtl/>
        </w:rPr>
        <w:t xml:space="preserve"> </w:t>
      </w:r>
    </w:p>
    <w:p w:rsidR="005D0F8C" w:rsidP="005D0F8C" w14:paraId="43F21067" w14:textId="334CAF24">
      <w:pPr>
        <w:pStyle w:val="7314"/>
        <w:rPr>
          <w:noProof/>
          <w:rtl/>
        </w:rPr>
      </w:pPr>
    </w:p>
    <w:p w:rsidR="00215B86" w:rsidP="005D0F8C" w14:paraId="5D429887" w14:textId="48CA7FEC">
      <w:pPr>
        <w:pStyle w:val="7314"/>
        <w:rPr>
          <w:noProof/>
          <w:rtl/>
        </w:rPr>
      </w:pPr>
      <w:r>
        <w:rPr>
          <w:noProof/>
          <w:rtl/>
          <w:lang w:val="he-IL"/>
        </w:rPr>
        <w:drawing>
          <wp:anchor distT="0" distB="0" distL="114300" distR="114300" simplePos="0" relativeHeight="251701248" behindDoc="0" locked="0" layoutInCell="1" allowOverlap="1">
            <wp:simplePos x="0" y="0"/>
            <wp:positionH relativeFrom="column">
              <wp:posOffset>0</wp:posOffset>
            </wp:positionH>
            <wp:positionV relativeFrom="paragraph">
              <wp:posOffset>276225</wp:posOffset>
            </wp:positionV>
            <wp:extent cx="4679950" cy="2651760"/>
            <wp:effectExtent l="0" t="0" r="635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2651760"/>
                    </a:xfrm>
                    <a:prstGeom prst="rect">
                      <a:avLst/>
                    </a:prstGeom>
                  </pic:spPr>
                </pic:pic>
              </a:graphicData>
            </a:graphic>
          </wp:anchor>
        </w:drawing>
      </w:r>
    </w:p>
    <w:p w:rsidR="00215B86" w:rsidP="005D0F8C" w14:paraId="1C63B62C" w14:textId="61017712">
      <w:pPr>
        <w:pStyle w:val="7314"/>
        <w:rPr>
          <w:noProof/>
          <w:rtl/>
        </w:rPr>
      </w:pPr>
      <w:r w:rsidRPr="002F11AF">
        <w:rPr>
          <w:rFonts w:ascii="David" w:hAnsi="David"/>
          <w:bCs/>
          <w:noProof/>
          <w:rtl/>
        </w:rPr>
        <w:drawing>
          <wp:inline distT="0" distB="0" distL="0" distR="0">
            <wp:extent cx="4679950" cy="2939129"/>
            <wp:effectExtent l="0" t="0" r="6350" b="0"/>
            <wp:docPr id="27"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0" y="0"/>
                      <a:ext cx="4679950" cy="2939129"/>
                    </a:xfrm>
                    <a:prstGeom prst="rect">
                      <a:avLst/>
                    </a:prstGeom>
                    <a:noFill/>
                    <a:ln>
                      <a:noFill/>
                    </a:ln>
                  </pic:spPr>
                </pic:pic>
              </a:graphicData>
            </a:graphic>
          </wp:inline>
        </w:drawing>
      </w:r>
    </w:p>
    <w:p w:rsidR="00215B86" w:rsidP="005D0F8C" w14:paraId="0476D12A" w14:textId="55693A36">
      <w:pPr>
        <w:pStyle w:val="7314"/>
        <w:rPr>
          <w:noProof/>
          <w:rtl/>
        </w:rPr>
      </w:pPr>
    </w:p>
    <w:p w:rsidR="00B227D8" w:rsidRPr="00D57BE9" w:rsidP="00B227D8" w14:paraId="7EB68463" w14:textId="5504B92B">
      <w:pPr>
        <w:rPr>
          <w:rtl/>
        </w:rPr>
      </w:pPr>
    </w:p>
    <w:p w:rsidR="004E71DD" w:rsidRPr="00C733DA" w:rsidP="00C733DA" w14:paraId="60AEFE54" w14:textId="17A98C0F">
      <w:pPr>
        <w:pStyle w:val="756"/>
        <w:rPr>
          <w:rtl/>
        </w:rPr>
      </w:pPr>
      <w:r w:rsidRPr="00C733DA">
        <w:rPr>
          <w:rFonts w:hint="cs"/>
          <w:rtl/>
        </w:rPr>
        <w:t>סיכום</w:t>
      </w:r>
    </w:p>
    <w:p w:rsidR="00362BF7" w:rsidRPr="00392D64" w:rsidP="00362BF7" w14:paraId="75200102" w14:textId="77777777">
      <w:pPr>
        <w:pStyle w:val="759"/>
        <w:rPr>
          <w:rtl/>
          <w:lang w:eastAsia="he-IL"/>
        </w:rPr>
      </w:pPr>
      <w:r w:rsidRPr="00392D64">
        <w:rPr>
          <w:rtl/>
          <w:lang w:eastAsia="he-IL"/>
        </w:rPr>
        <w:t xml:space="preserve">חוק </w:t>
      </w:r>
      <w:r w:rsidRPr="00392D64">
        <w:rPr>
          <w:rtl/>
          <w:lang w:eastAsia="he-IL"/>
        </w:rPr>
        <w:t>כב"ה</w:t>
      </w:r>
      <w:r w:rsidRPr="00392D64">
        <w:rPr>
          <w:rtl/>
          <w:lang w:eastAsia="he-IL"/>
        </w:rPr>
        <w:t xml:space="preserve"> והתקנות שמכוחו מטילים על הרשות לחקור אירועי </w:t>
      </w:r>
      <w:r w:rsidRPr="00362BF7">
        <w:rPr>
          <w:rtl/>
        </w:rPr>
        <w:t>דליקה</w:t>
      </w:r>
      <w:r w:rsidRPr="00392D64">
        <w:rPr>
          <w:rtl/>
          <w:lang w:eastAsia="he-IL"/>
        </w:rPr>
        <w:t xml:space="preserve"> במטרה לאתר את הנסיבות </w:t>
      </w:r>
      <w:r>
        <w:rPr>
          <w:rFonts w:hint="cs"/>
          <w:rtl/>
          <w:lang w:eastAsia="he-IL"/>
        </w:rPr>
        <w:t xml:space="preserve">שלהם </w:t>
      </w:r>
      <w:r w:rsidRPr="00392D64">
        <w:rPr>
          <w:rtl/>
          <w:lang w:eastAsia="he-IL"/>
        </w:rPr>
        <w:t>ו</w:t>
      </w:r>
      <w:r>
        <w:rPr>
          <w:rFonts w:hint="cs"/>
          <w:rtl/>
          <w:lang w:eastAsia="he-IL"/>
        </w:rPr>
        <w:t xml:space="preserve">את </w:t>
      </w:r>
      <w:r w:rsidRPr="00392D64">
        <w:rPr>
          <w:rtl/>
          <w:lang w:eastAsia="he-IL"/>
        </w:rPr>
        <w:t xml:space="preserve">הגורמים להם. ממצאי החקירות ומסקנותיהן נועדו לסייע לרשויות, לגופים </w:t>
      </w:r>
      <w:r w:rsidRPr="00362BF7">
        <w:rPr>
          <w:rtl/>
        </w:rPr>
        <w:t>עסקיים</w:t>
      </w:r>
      <w:r w:rsidRPr="00392D64">
        <w:rPr>
          <w:rtl/>
          <w:lang w:eastAsia="he-IL"/>
        </w:rPr>
        <w:t xml:space="preserve"> ולציבור הרחב למנוע שריפות הגורמות לפגיעה בנפש וברכוש ובעיקר להציל חיי אדם. </w:t>
      </w:r>
    </w:p>
    <w:p w:rsidR="00362BF7" w:rsidRPr="00362BF7" w:rsidP="00362BF7" w14:paraId="67D399D1" w14:textId="77777777">
      <w:pPr>
        <w:pStyle w:val="759"/>
        <w:rPr>
          <w:rtl/>
        </w:rPr>
      </w:pPr>
      <w:r w:rsidRPr="00392D64">
        <w:rPr>
          <w:rtl/>
          <w:lang w:eastAsia="he-IL"/>
        </w:rPr>
        <w:t xml:space="preserve">בביקורת </w:t>
      </w:r>
      <w:r w:rsidRPr="00362BF7">
        <w:rPr>
          <w:rtl/>
        </w:rPr>
        <w:t>נמצאו פערים בכל הנוגע לאלה:</w:t>
      </w:r>
      <w:r w:rsidRPr="00362BF7">
        <w:t xml:space="preserve"> </w:t>
      </w:r>
      <w:r w:rsidRPr="00362BF7">
        <w:rPr>
          <w:rtl/>
        </w:rPr>
        <w:t xml:space="preserve">פעילות מערך החקירות בבניין הכוח ובהפעלת הכוח; </w:t>
      </w:r>
      <w:r w:rsidRPr="00362BF7">
        <w:rPr>
          <w:rFonts w:hint="cs"/>
          <w:rtl/>
        </w:rPr>
        <w:t>ה</w:t>
      </w:r>
      <w:r w:rsidRPr="00362BF7">
        <w:rPr>
          <w:rtl/>
        </w:rPr>
        <w:t xml:space="preserve">תכנון, </w:t>
      </w:r>
      <w:r w:rsidRPr="00362BF7">
        <w:rPr>
          <w:rFonts w:hint="cs"/>
          <w:rtl/>
        </w:rPr>
        <w:t>ה</w:t>
      </w:r>
      <w:r w:rsidRPr="00362BF7">
        <w:rPr>
          <w:rtl/>
        </w:rPr>
        <w:t>ניהול ו</w:t>
      </w:r>
      <w:r w:rsidRPr="00362BF7">
        <w:rPr>
          <w:rFonts w:hint="cs"/>
          <w:rtl/>
        </w:rPr>
        <w:t>ה</w:t>
      </w:r>
      <w:r w:rsidRPr="00362BF7">
        <w:rPr>
          <w:rtl/>
        </w:rPr>
        <w:t>הכשר</w:t>
      </w:r>
      <w:r w:rsidRPr="00362BF7">
        <w:rPr>
          <w:rFonts w:hint="cs"/>
          <w:rtl/>
        </w:rPr>
        <w:t>ה</w:t>
      </w:r>
      <w:r w:rsidRPr="00362BF7">
        <w:rPr>
          <w:rtl/>
        </w:rPr>
        <w:t xml:space="preserve"> </w:t>
      </w:r>
      <w:r w:rsidRPr="00362BF7">
        <w:rPr>
          <w:rFonts w:hint="cs"/>
          <w:rtl/>
        </w:rPr>
        <w:t xml:space="preserve">של </w:t>
      </w:r>
      <w:r w:rsidRPr="00362BF7">
        <w:rPr>
          <w:rtl/>
        </w:rPr>
        <w:t xml:space="preserve">משאבי האנוש ואספקת </w:t>
      </w:r>
      <w:r w:rsidRPr="00362BF7">
        <w:rPr>
          <w:rFonts w:hint="cs"/>
          <w:rtl/>
        </w:rPr>
        <w:t>ה</w:t>
      </w:r>
      <w:r w:rsidRPr="00362BF7">
        <w:rPr>
          <w:rtl/>
        </w:rPr>
        <w:t xml:space="preserve">משאבים </w:t>
      </w:r>
      <w:r w:rsidRPr="00362BF7">
        <w:rPr>
          <w:rFonts w:hint="cs"/>
          <w:rtl/>
        </w:rPr>
        <w:t>ה</w:t>
      </w:r>
      <w:r w:rsidRPr="00362BF7">
        <w:rPr>
          <w:rtl/>
        </w:rPr>
        <w:t xml:space="preserve">חומריים לביצוע החקירות, לרבות אמצעים טכנולוגיים ואחרים; </w:t>
      </w:r>
      <w:r w:rsidRPr="00362BF7">
        <w:rPr>
          <w:rFonts w:hint="cs"/>
          <w:rtl/>
        </w:rPr>
        <w:t>ו</w:t>
      </w:r>
      <w:r w:rsidRPr="00362BF7">
        <w:rPr>
          <w:rtl/>
        </w:rPr>
        <w:t xml:space="preserve">ניהול ממשקי העבודה הפנים-ארגוניים והחוץ-ארגוניים של מערך החקירות. </w:t>
      </w:r>
    </w:p>
    <w:p w:rsidR="00362BF7" w:rsidRPr="00362BF7" w:rsidP="00362BF7" w14:paraId="3BC0DCF0" w14:textId="77777777">
      <w:pPr>
        <w:pStyle w:val="759"/>
        <w:rPr>
          <w:rtl/>
        </w:rPr>
      </w:pPr>
      <w:r w:rsidRPr="00362BF7">
        <w:rPr>
          <w:rtl/>
        </w:rPr>
        <w:t>ממצאיו של דוח זה מלמדים כי הרשות אינה ערוכה לבצע חקירות בהיקף מלא כנדרש על פי החוק; ובפועל מאז הקמת מערך החקירות בשנת 2012 נחקרו בממוצע רב-שנתי כ-10%</w:t>
      </w:r>
      <w:r w:rsidRPr="00362BF7">
        <w:t xml:space="preserve"> </w:t>
      </w:r>
      <w:r w:rsidRPr="00362BF7">
        <w:rPr>
          <w:rtl/>
        </w:rPr>
        <w:t xml:space="preserve">מאירועי הדליקות שטופלו על ידי צוותי הכיבוי, בלי שההחלטות בדבר אי-קיום חקירה ביתר אירועי הדליקות התקבלו על בסיס של הליכי בחינה והחלטה סדורים ועל ידי הגורמים שהוסמכו לכך בתקנות. </w:t>
      </w:r>
    </w:p>
    <w:p w:rsidR="00362BF7" w:rsidRPr="00362BF7" w:rsidP="00362BF7" w14:paraId="5F73B628" w14:textId="0CFFBD54">
      <w:pPr>
        <w:pStyle w:val="759"/>
        <w:rPr>
          <w:rtl/>
        </w:rPr>
      </w:pPr>
      <w:r w:rsidRPr="00362BF7">
        <w:rPr>
          <w:rtl/>
        </w:rPr>
        <w:t xml:space="preserve">גישור על הפערים שהועלו בדוח זה מצריך הירתמות של </w:t>
      </w:r>
      <w:r w:rsidRPr="00362BF7">
        <w:rPr>
          <w:rtl/>
        </w:rPr>
        <w:t>כב"ה</w:t>
      </w:r>
      <w:r w:rsidRPr="00362BF7">
        <w:rPr>
          <w:rtl/>
        </w:rPr>
        <w:t xml:space="preserve"> לביצוע הפעולות האלה:</w:t>
      </w:r>
      <w:r w:rsidRPr="00362BF7">
        <w:t xml:space="preserve"> </w:t>
      </w:r>
      <w:r w:rsidRPr="00362BF7">
        <w:rPr>
          <w:rtl/>
        </w:rPr>
        <w:t>ניסוח תפיסת הפעלה אפקטיבית של המערך בהיבטים הרלוונטיים לחקירת שריפות</w:t>
      </w:r>
      <w:r w:rsidRPr="00362BF7">
        <w:rPr>
          <w:rFonts w:hint="cs"/>
          <w:rtl/>
        </w:rPr>
        <w:t>;</w:t>
      </w:r>
      <w:r w:rsidRPr="00362BF7">
        <w:rPr>
          <w:rtl/>
        </w:rPr>
        <w:t xml:space="preserve"> גיבוש מבנה ארגוני תואם צרכים</w:t>
      </w:r>
      <w:r w:rsidRPr="00362BF7">
        <w:rPr>
          <w:rFonts w:hint="cs"/>
          <w:rtl/>
        </w:rPr>
        <w:t>;</w:t>
      </w:r>
      <w:r w:rsidRPr="00362BF7">
        <w:rPr>
          <w:rtl/>
        </w:rPr>
        <w:t xml:space="preserve"> קביעת מדיניות מבוססת ניהול סיכונים</w:t>
      </w:r>
      <w:r w:rsidRPr="00362BF7">
        <w:rPr>
          <w:rFonts w:hint="cs"/>
          <w:rtl/>
        </w:rPr>
        <w:t>;</w:t>
      </w:r>
      <w:r w:rsidRPr="00362BF7">
        <w:rPr>
          <w:rtl/>
        </w:rPr>
        <w:t xml:space="preserve"> ניסוח מתודולוגיה סדורה</w:t>
      </w:r>
      <w:r w:rsidRPr="00362BF7">
        <w:rPr>
          <w:rFonts w:hint="cs"/>
          <w:rtl/>
        </w:rPr>
        <w:t>;</w:t>
      </w:r>
      <w:r w:rsidRPr="00362BF7">
        <w:rPr>
          <w:rtl/>
        </w:rPr>
        <w:t xml:space="preserve"> הצטיידות</w:t>
      </w:r>
      <w:r w:rsidRPr="00362BF7">
        <w:rPr>
          <w:rFonts w:hint="cs"/>
          <w:rtl/>
        </w:rPr>
        <w:t>;</w:t>
      </w:r>
      <w:r w:rsidRPr="00362BF7">
        <w:rPr>
          <w:rtl/>
        </w:rPr>
        <w:t xml:space="preserve"> הכשרת כוח אדם ייעודי ושימור כשירותו לאורך זמן</w:t>
      </w:r>
      <w:r w:rsidRPr="00362BF7">
        <w:rPr>
          <w:rFonts w:hint="cs"/>
          <w:rtl/>
        </w:rPr>
        <w:t>;</w:t>
      </w:r>
      <w:r w:rsidRPr="00362BF7">
        <w:rPr>
          <w:rtl/>
        </w:rPr>
        <w:t xml:space="preserve"> והסדרת ממשקי עבודה עם גופים עמיתים. בהקשר הרחב של נושא זה, ראוי </w:t>
      </w:r>
      <w:r w:rsidRPr="00362BF7">
        <w:rPr>
          <w:rtl/>
        </w:rPr>
        <w:t>שכב"ה</w:t>
      </w:r>
      <w:r w:rsidRPr="00362BF7">
        <w:rPr>
          <w:rtl/>
        </w:rPr>
        <w:t xml:space="preserve"> תתמקד בהשגת תכלית חקירת השריפות,</w:t>
      </w:r>
      <w:r w:rsidRPr="00362BF7">
        <w:rPr>
          <w:rFonts w:hint="cs"/>
        </w:rPr>
        <w:t xml:space="preserve"> </w:t>
      </w:r>
      <w:r w:rsidRPr="00362BF7">
        <w:rPr>
          <w:rtl/>
        </w:rPr>
        <w:t>בין היתר, באמצעות קיום פעילות הסברתית לציבור על בסיס ממצאי החקירות שהתקיימו, כדי להטמיע לאורם את המסרים בתחום מניעת השריפות וההגנה מאש</w:t>
      </w:r>
      <w:r w:rsidRPr="00362BF7">
        <w:rPr>
          <w:rFonts w:hint="cs"/>
          <w:rtl/>
        </w:rPr>
        <w:t>.</w:t>
      </w:r>
    </w:p>
    <w:sectPr w:rsidSect="00F35B8C">
      <w:headerReference w:type="default" r:id="rId27"/>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w:altName w:val="Calibri"/>
    <w:panose1 w:val="020B0602020104020603"/>
    <w:charset w:val="00"/>
    <w:family w:val="swiss"/>
    <w:pitch w:val="variable"/>
    <w:sig w:usb0="00000007" w:usb1="00000000" w:usb2="00000000" w:usb3="00000000" w:csb0="00000003"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3FF32544">
    <w:pPr>
      <w:pStyle w:val="Footer"/>
      <w:spacing w:after="120" w:line="312" w:lineRule="auto"/>
      <w:ind w:left="-510"/>
      <w:jc w:val="left"/>
      <w:rPr>
        <w:rFonts w:ascii="Tahoma" w:hAnsi="Tahoma" w:cs="Tahoma"/>
        <w:sz w:val="18"/>
        <w:szCs w:val="18"/>
        <w:rtl/>
      </w:rPr>
    </w:pPr>
  </w:p>
  <w:p w:rsidR="004E71DD" w:rsidP="00EC192A" w14:paraId="6A4AA1EE" w14:textId="79603199">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2218AC15">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 w:id="2">
    <w:p w:rsidR="0005519C" w:rsidRPr="0005519C" w:rsidP="0005519C" w14:paraId="742A073A" w14:textId="77777777">
      <w:pPr>
        <w:pStyle w:val="753"/>
      </w:pPr>
      <w:r w:rsidRPr="0005519C">
        <w:rPr>
          <w:rStyle w:val="FootnoteReference1"/>
          <w:vertAlign w:val="baseline"/>
        </w:rPr>
        <w:footnoteRef/>
      </w:r>
      <w:r w:rsidRPr="0005519C">
        <w:rPr>
          <w:rtl/>
        </w:rPr>
        <w:t xml:space="preserve"> </w:t>
      </w:r>
      <w:r w:rsidRPr="0005519C">
        <w:rPr>
          <w:rtl/>
        </w:rPr>
        <w:tab/>
      </w:r>
      <w:r w:rsidRPr="0005519C">
        <w:t>Light Detection and Ranging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333E01B1">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61312" from="-4.4pt,52.45pt" to="524.85pt,52.45pt" strokecolor="#0d0d0d" strokeweight="0.25pt"/>
          </w:pict>
        </mc:Fallback>
      </mc:AlternateContent>
    </w:r>
    <w:r w:rsidRPr="00BB30F3" w:rsidR="00235CF1">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E11272" w14:textId="0ABA9D2D">
                          <w:pPr>
                            <w:jc w:val="right"/>
                            <w:rPr>
                              <w:color w:val="0D0D0D" w:themeColor="text1" w:themeTint="F2"/>
                              <w:sz w:val="16"/>
                              <w:szCs w:val="16"/>
                            </w:rPr>
                          </w:pPr>
                          <w:r w:rsidRPr="00E11272">
                            <w:rPr>
                              <w:rFonts w:ascii="Tahoma" w:hAnsi="Tahoma" w:cs="Tahoma" w:hint="cs"/>
                              <w:color w:val="0D0D0D"/>
                              <w:sz w:val="16"/>
                              <w:szCs w:val="16"/>
                              <w:rtl/>
                            </w:rPr>
                            <w:t xml:space="preserve">דוח מבקר המדינה | תמוז </w:t>
                          </w:r>
                          <w:r w:rsidRPr="00E11272">
                            <w:rPr>
                              <w:rFonts w:ascii="Tahoma" w:hAnsi="Tahoma" w:cs="Tahoma" w:hint="cs"/>
                              <w:color w:val="0D0D0D"/>
                              <w:sz w:val="16"/>
                              <w:szCs w:val="16"/>
                              <w:rtl/>
                            </w:rPr>
                            <w:t>התשפ"ד</w:t>
                          </w:r>
                          <w:r w:rsidRPr="00E11272">
                            <w:rPr>
                              <w:rFonts w:ascii="Tahoma" w:hAnsi="Tahoma" w:cs="Tahoma" w:hint="cs"/>
                              <w:color w:val="0D0D0D"/>
                              <w:sz w:val="16"/>
                              <w:szCs w:val="16"/>
                              <w:rtl/>
                            </w:rPr>
                            <w:t xml:space="preserve"> </w:t>
                          </w:r>
                          <w:r w:rsidRPr="00E11272">
                            <w:rPr>
                              <w:rFonts w:ascii="Tahoma" w:hAnsi="Tahoma" w:cs="Tahoma"/>
                              <w:color w:val="0D0D0D"/>
                              <w:sz w:val="16"/>
                              <w:szCs w:val="16"/>
                              <w:rtl/>
                            </w:rPr>
                            <w:t>|</w:t>
                          </w:r>
                          <w:r w:rsidRPr="00E11272">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E11272" w14:paraId="5BE3FCC4" w14:textId="0ABA9D2D">
                    <w:pPr>
                      <w:jc w:val="right"/>
                      <w:rPr>
                        <w:color w:val="0D0D0D" w:themeColor="text1" w:themeTint="F2"/>
                        <w:sz w:val="16"/>
                        <w:szCs w:val="16"/>
                      </w:rPr>
                    </w:pPr>
                    <w:r w:rsidRPr="00E11272">
                      <w:rPr>
                        <w:rFonts w:ascii="Tahoma" w:hAnsi="Tahoma" w:cs="Tahoma" w:hint="cs"/>
                        <w:color w:val="0D0D0D"/>
                        <w:sz w:val="16"/>
                        <w:szCs w:val="16"/>
                        <w:rtl/>
                      </w:rPr>
                      <w:t xml:space="preserve">דוח מבקר המדינה | תמוז </w:t>
                    </w:r>
                    <w:r w:rsidRPr="00E11272">
                      <w:rPr>
                        <w:rFonts w:ascii="Tahoma" w:hAnsi="Tahoma" w:cs="Tahoma" w:hint="cs"/>
                        <w:color w:val="0D0D0D"/>
                        <w:sz w:val="16"/>
                        <w:szCs w:val="16"/>
                        <w:rtl/>
                      </w:rPr>
                      <w:t>התשפ"ד</w:t>
                    </w:r>
                    <w:r w:rsidRPr="00E11272">
                      <w:rPr>
                        <w:rFonts w:ascii="Tahoma" w:hAnsi="Tahoma" w:cs="Tahoma" w:hint="cs"/>
                        <w:color w:val="0D0D0D"/>
                        <w:sz w:val="16"/>
                        <w:szCs w:val="16"/>
                        <w:rtl/>
                      </w:rPr>
                      <w:t xml:space="preserve"> </w:t>
                    </w:r>
                    <w:r w:rsidRPr="00E11272">
                      <w:rPr>
                        <w:rFonts w:ascii="Tahoma" w:hAnsi="Tahoma" w:cs="Tahoma"/>
                        <w:color w:val="0D0D0D"/>
                        <w:sz w:val="16"/>
                        <w:szCs w:val="16"/>
                        <w:rtl/>
                      </w:rPr>
                      <w:t>|</w:t>
                    </w:r>
                    <w:r w:rsidRPr="00E11272">
                      <w:rPr>
                        <w:rFonts w:ascii="Tahoma" w:hAnsi="Tahoma" w:cs="Tahoma" w:hint="cs"/>
                        <w:color w:val="0D0D0D"/>
                        <w:sz w:val="16"/>
                        <w:szCs w:val="16"/>
                        <w:rtl/>
                      </w:rPr>
                      <w:t xml:space="preserve"> יולי 2024</w:t>
                    </w:r>
                  </w:p>
                </w:txbxContent>
              </v:textbox>
            </v:shape>
          </w:pict>
        </mc:Fallback>
      </mc:AlternateContent>
    </w:r>
    <w:r w:rsidR="00235CF1">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06C4A76B">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חקירת שריפות ברשות הארצית לכבאות והצלה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06C4A76B">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חקירת שריפות ברשות הארצית לכבאות והצלה</w:t>
                    </w:r>
                  </w:p>
                </w:txbxContent>
              </v:textbox>
              <w10:wrap type="square"/>
            </v:shape>
          </w:pict>
        </mc:Fallback>
      </mc:AlternateContent>
    </w:r>
  </w:p>
  <w:p w:rsidR="004E71DD" w:rsidP="004E71DD" w14:paraId="29927C53" w14:textId="6E5627D0">
    <w:pPr>
      <w:pStyle w:val="Header"/>
      <w:rPr>
        <w:rtl/>
      </w:rPr>
    </w:pPr>
    <w:r>
      <w:rPr>
        <w:noProof/>
      </w:rPr>
      <mc:AlternateContent>
        <mc:Choice Requires="wps">
          <w:drawing>
            <wp:anchor distT="0" distB="0" distL="114300" distR="114300" simplePos="0" relativeHeight="251679744" behindDoc="0" locked="0" layoutInCell="1" allowOverlap="1">
              <wp:simplePos x="0" y="0"/>
              <wp:positionH relativeFrom="column">
                <wp:posOffset>-1392555</wp:posOffset>
              </wp:positionH>
              <wp:positionV relativeFrom="paragraph">
                <wp:posOffset>351518</wp:posOffset>
              </wp:positionV>
              <wp:extent cx="606552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52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65pt,27.7pt" to="367.95pt,27.7pt" strokecolor="#0d0d0d" strokeweight="0.25pt"/>
          </w:pict>
        </mc:Fallback>
      </mc:AlternateContent>
    </w:r>
    <w:r w:rsidR="00235CF1">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085596" w:rsidP="00582DA9" w14:textId="44900D5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9547EC">
                            <w:rPr>
                              <w:rFonts w:ascii="Tahoma" w:hAnsi="Tahoma" w:cs="Tahoma" w:hint="cs"/>
                              <w:b/>
                              <w:bCs/>
                              <w:rtl/>
                            </w:rPr>
                            <w:t>חקירת שריפות ברשות הארצית לכבאות והצלה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085596" w:rsidP="00582DA9" w14:paraId="766F404C" w14:textId="44900D5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9547EC">
                      <w:rPr>
                        <w:rFonts w:ascii="Tahoma" w:hAnsi="Tahoma" w:cs="Tahoma" w:hint="cs"/>
                        <w:b/>
                        <w:bCs/>
                        <w:rtl/>
                      </w:rPr>
                      <w:t>חקירת שריפות ברשות הארצית לכבאות והצלה</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7B2C7DCC">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3" style="flip:x;mso-height-percent:0;mso-height-relative:margin;mso-width-percent:0;mso-width-relative:margin;mso-wrap-distance-bottom:0;mso-wrap-distance-left:9pt;mso-wrap-distance-right:9pt;mso-wrap-distance-top:0;mso-wrap-style:square;position:absolute;visibility:visible;z-index:251687936" from="-4.4pt,52.45pt" to="524.85pt,52.45pt" strokecolor="#0d0d0d" strokeweight="0.25pt"/>
          </w:pict>
        </mc:Fallback>
      </mc:AlternateContent>
    </w:r>
    <w:r w:rsidRPr="00BB30F3" w:rsidR="00235CF1">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5E75EA" w:rsidRPr="00136A3E" w:rsidP="005E75EA" w14:textId="5AA42BEF">
                          <w:pPr>
                            <w:jc w:val="right"/>
                            <w:rPr>
                              <w:color w:val="0D0D0D" w:themeColor="text1" w:themeTint="F2"/>
                              <w:sz w:val="16"/>
                              <w:szCs w:val="16"/>
                            </w:rPr>
                          </w:pPr>
                          <w:r w:rsidRPr="00E11272">
                            <w:rPr>
                              <w:rFonts w:ascii="Tahoma" w:hAnsi="Tahoma" w:cs="Tahoma" w:hint="cs"/>
                              <w:color w:val="0D0D0D"/>
                              <w:sz w:val="16"/>
                              <w:szCs w:val="16"/>
                              <w:rtl/>
                            </w:rPr>
                            <w:t xml:space="preserve">דוח מבקר המדינה | תמוז </w:t>
                          </w:r>
                          <w:r w:rsidRPr="00E11272">
                            <w:rPr>
                              <w:rFonts w:ascii="Tahoma" w:hAnsi="Tahoma" w:cs="Tahoma" w:hint="cs"/>
                              <w:color w:val="0D0D0D"/>
                              <w:sz w:val="16"/>
                              <w:szCs w:val="16"/>
                              <w:rtl/>
                            </w:rPr>
                            <w:t>התשפ"ד</w:t>
                          </w:r>
                          <w:r w:rsidRPr="00E11272">
                            <w:rPr>
                              <w:rFonts w:ascii="Tahoma" w:hAnsi="Tahoma" w:cs="Tahoma" w:hint="cs"/>
                              <w:color w:val="0D0D0D"/>
                              <w:sz w:val="16"/>
                              <w:szCs w:val="16"/>
                              <w:rtl/>
                            </w:rPr>
                            <w:t xml:space="preserve"> </w:t>
                          </w:r>
                          <w:r w:rsidRPr="00E11272">
                            <w:rPr>
                              <w:rFonts w:ascii="Tahoma" w:hAnsi="Tahoma" w:cs="Tahoma"/>
                              <w:color w:val="0D0D0D"/>
                              <w:sz w:val="16"/>
                              <w:szCs w:val="16"/>
                              <w:rtl/>
                            </w:rPr>
                            <w:t>|</w:t>
                          </w:r>
                          <w:r w:rsidRPr="00E11272">
                            <w:rPr>
                              <w:rFonts w:ascii="Tahoma" w:hAnsi="Tahoma" w:cs="Tahoma" w:hint="cs"/>
                              <w:color w:val="0D0D0D"/>
                              <w:sz w:val="16"/>
                              <w:szCs w:val="16"/>
                              <w:rtl/>
                            </w:rPr>
                            <w:t xml:space="preserve"> יולי 2024</w:t>
                          </w:r>
                        </w:p>
                        <w:p w:rsidR="00E56721" w:rsidRPr="005E75EA" w:rsidP="00B244B0" w14:textId="646771A1">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4"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5E75EA" w:rsidRPr="00136A3E" w:rsidP="005E75EA" w14:paraId="6F7F1F60" w14:textId="5AA42BEF">
                    <w:pPr>
                      <w:jc w:val="right"/>
                      <w:rPr>
                        <w:color w:val="0D0D0D" w:themeColor="text1" w:themeTint="F2"/>
                        <w:sz w:val="16"/>
                        <w:szCs w:val="16"/>
                      </w:rPr>
                    </w:pPr>
                    <w:r w:rsidRPr="00E11272">
                      <w:rPr>
                        <w:rFonts w:ascii="Tahoma" w:hAnsi="Tahoma" w:cs="Tahoma" w:hint="cs"/>
                        <w:color w:val="0D0D0D"/>
                        <w:sz w:val="16"/>
                        <w:szCs w:val="16"/>
                        <w:rtl/>
                      </w:rPr>
                      <w:t xml:space="preserve">דוח מבקר המדינה | תמוז </w:t>
                    </w:r>
                    <w:r w:rsidRPr="00E11272">
                      <w:rPr>
                        <w:rFonts w:ascii="Tahoma" w:hAnsi="Tahoma" w:cs="Tahoma" w:hint="cs"/>
                        <w:color w:val="0D0D0D"/>
                        <w:sz w:val="16"/>
                        <w:szCs w:val="16"/>
                        <w:rtl/>
                      </w:rPr>
                      <w:t>התשפ"ד</w:t>
                    </w:r>
                    <w:r w:rsidRPr="00E11272">
                      <w:rPr>
                        <w:rFonts w:ascii="Tahoma" w:hAnsi="Tahoma" w:cs="Tahoma" w:hint="cs"/>
                        <w:color w:val="0D0D0D"/>
                        <w:sz w:val="16"/>
                        <w:szCs w:val="16"/>
                        <w:rtl/>
                      </w:rPr>
                      <w:t xml:space="preserve"> </w:t>
                    </w:r>
                    <w:r w:rsidRPr="00E11272">
                      <w:rPr>
                        <w:rFonts w:ascii="Tahoma" w:hAnsi="Tahoma" w:cs="Tahoma"/>
                        <w:color w:val="0D0D0D"/>
                        <w:sz w:val="16"/>
                        <w:szCs w:val="16"/>
                        <w:rtl/>
                      </w:rPr>
                      <w:t>|</w:t>
                    </w:r>
                    <w:r w:rsidRPr="00E11272">
                      <w:rPr>
                        <w:rFonts w:ascii="Tahoma" w:hAnsi="Tahoma" w:cs="Tahoma" w:hint="cs"/>
                        <w:color w:val="0D0D0D"/>
                        <w:sz w:val="16"/>
                        <w:szCs w:val="16"/>
                        <w:rtl/>
                      </w:rPr>
                      <w:t xml:space="preserve"> יולי 2024</w:t>
                    </w:r>
                  </w:p>
                  <w:p w:rsidR="00E56721" w:rsidRPr="005E75EA" w:rsidP="00B244B0" w14:paraId="70F458A6" w14:textId="646771A1">
                    <w:pPr>
                      <w:jc w:val="right"/>
                      <w:rPr>
                        <w:color w:val="0D0D0D" w:themeColor="text1" w:themeTint="F2"/>
                        <w:sz w:val="16"/>
                        <w:szCs w:val="16"/>
                      </w:rPr>
                    </w:pPr>
                  </w:p>
                </w:txbxContent>
              </v:textbox>
            </v:shape>
          </w:pict>
        </mc:Fallback>
      </mc:AlternateContent>
    </w:r>
    <w:r w:rsidR="00235CF1">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9421ED2"/>
    <w:lvl w:ilvl="0">
      <w:start w:val="1"/>
      <w:numFmt w:val="decimal"/>
      <w:lvlText w:val="%1."/>
      <w:lvlJc w:val="left"/>
      <w:pPr>
        <w:tabs>
          <w:tab w:val="num" w:pos="1492"/>
        </w:tabs>
        <w:ind w:left="1492" w:hanging="360"/>
      </w:pPr>
    </w:lvl>
  </w:abstractNum>
  <w:abstractNum w:abstractNumId="1">
    <w:nsid w:val="FFFFFF7D"/>
    <w:multiLevelType w:val="singleLevel"/>
    <w:tmpl w:val="17B01980"/>
    <w:lvl w:ilvl="0">
      <w:start w:val="1"/>
      <w:numFmt w:val="decimal"/>
      <w:lvlText w:val="%1."/>
      <w:lvlJc w:val="left"/>
      <w:pPr>
        <w:tabs>
          <w:tab w:val="num" w:pos="1209"/>
        </w:tabs>
        <w:ind w:left="1209" w:hanging="360"/>
      </w:pPr>
    </w:lvl>
  </w:abstractNum>
  <w:abstractNum w:abstractNumId="2">
    <w:nsid w:val="FFFFFF7F"/>
    <w:multiLevelType w:val="singleLevel"/>
    <w:tmpl w:val="7464ABEC"/>
    <w:lvl w:ilvl="0">
      <w:start w:val="1"/>
      <w:numFmt w:val="decimal"/>
      <w:lvlText w:val="%1."/>
      <w:lvlJc w:val="left"/>
      <w:pPr>
        <w:tabs>
          <w:tab w:val="num" w:pos="643"/>
        </w:tabs>
        <w:ind w:left="643" w:hanging="360"/>
      </w:pPr>
    </w:lvl>
  </w:abstractNum>
  <w:abstractNum w:abstractNumId="3">
    <w:nsid w:val="FFFFFF80"/>
    <w:multiLevelType w:val="singleLevel"/>
    <w:tmpl w:val="19F8AB5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15A3BA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CA14F58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730AA23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3D3E0776"/>
    <w:lvl w:ilvl="0">
      <w:start w:val="1"/>
      <w:numFmt w:val="bullet"/>
      <w:lvlText w:val=""/>
      <w:lvlJc w:val="left"/>
      <w:pPr>
        <w:tabs>
          <w:tab w:val="num" w:pos="360"/>
        </w:tabs>
        <w:ind w:left="360" w:hanging="360"/>
      </w:pPr>
      <w:rPr>
        <w:rFonts w:ascii="Symbol" w:hAnsi="Symbol" w:hint="default"/>
      </w:rPr>
    </w:lvl>
  </w:abstractNum>
  <w:abstractNum w:abstractNumId="8">
    <w:nsid w:val="020A70F9"/>
    <w:multiLevelType w:val="hybridMultilevel"/>
    <w:tmpl w:val="A748F2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7C54509"/>
    <w:multiLevelType w:val="multilevel"/>
    <w:tmpl w:val="3030E6FC"/>
    <w:lvl w:ilvl="0">
      <w:start w:val="1"/>
      <w:numFmt w:val="decimal"/>
      <w:pStyle w:val="7322"/>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1">
    <w:nsid w:val="08CE6D0D"/>
    <w:multiLevelType w:val="multilevel"/>
    <w:tmpl w:val="34608E60"/>
    <w:lvl w:ilvl="0">
      <w:start w:val="1"/>
      <w:numFmt w:val="decimal"/>
      <w:lvlText w:val="%1."/>
      <w:lvlJc w:val="left"/>
      <w:pPr>
        <w:ind w:left="340" w:hanging="340"/>
      </w:pPr>
      <w:rPr>
        <w:rFonts w:hint="default"/>
        <w:b/>
        <w:bCs w:val="0"/>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E47C9F"/>
    <w:multiLevelType w:val="hybridMultilevel"/>
    <w:tmpl w:val="5DD64334"/>
    <w:lvl w:ilvl="0">
      <w:start w:val="1"/>
      <w:numFmt w:val="bullet"/>
      <w:lvlText w:val=""/>
      <w:lvlJc w:val="left"/>
      <w:pPr>
        <w:ind w:left="217" w:hanging="360"/>
      </w:pPr>
      <w:rPr>
        <w:rFonts w:ascii="Symbol" w:hAnsi="Symbol" w:cs="Symbol" w:hint="default"/>
        <w:b/>
        <w:bCs/>
        <w:color w:val="FF0000"/>
        <w:szCs w:val="2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14">
    <w:nsid w:val="25C11F8F"/>
    <w:multiLevelType w:val="hybridMultilevel"/>
    <w:tmpl w:val="723AA1A8"/>
    <w:lvl w:ilvl="0">
      <w:start w:val="1"/>
      <w:numFmt w:val="bullet"/>
      <w:pStyle w:val="754"/>
      <w:lvlText w:val=""/>
      <w:lvlJc w:val="left"/>
      <w:pPr>
        <w:ind w:left="927" w:hanging="360"/>
      </w:pPr>
      <w:rPr>
        <w:rFonts w:ascii="Symbol" w:hAnsi="Symbol" w:cs="Symbol" w:hint="default"/>
        <w:b/>
        <w:bCs/>
        <w:color w:val="FF0000"/>
        <w:sz w:val="19"/>
        <w:szCs w:val="19"/>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7">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8">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9">
    <w:nsid w:val="35EE30E9"/>
    <w:multiLevelType w:val="hybridMultilevel"/>
    <w:tmpl w:val="D2E4FDCC"/>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3">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4">
    <w:nsid w:val="459C2999"/>
    <w:multiLevelType w:val="multilevel"/>
    <w:tmpl w:val="065C52B0"/>
    <w:lvl w:ilvl="0">
      <w:start w:val="1"/>
      <w:numFmt w:val="hebrew1"/>
      <w:pStyle w:val="7323"/>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D6A7A2D"/>
    <w:multiLevelType w:val="hybridMultilevel"/>
    <w:tmpl w:val="66C05D20"/>
    <w:lvl w:ilvl="0">
      <w:start w:val="1"/>
      <w:numFmt w:val="bullet"/>
      <w:lvlText w:val=""/>
      <w:lvlJc w:val="left"/>
      <w:pPr>
        <w:ind w:left="360" w:hanging="360"/>
      </w:pPr>
      <w:rPr>
        <w:rFonts w:ascii="Symbol" w:hAnsi="Symbol" w:cs="Symbol" w:hint="default"/>
        <w:color w:val="FF0000"/>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0">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1">
    <w:nsid w:val="73415DFB"/>
    <w:multiLevelType w:val="multilevel"/>
    <w:tmpl w:val="7E8C1EC0"/>
    <w:lvl w:ilvl="0">
      <w:start w:val="1"/>
      <w:numFmt w:val="decimal"/>
      <w:lvlText w:val="%1."/>
      <w:lvlJc w:val="left"/>
      <w:pPr>
        <w:ind w:left="340" w:hanging="340"/>
      </w:pPr>
      <w:rPr>
        <w:rFonts w:hint="default"/>
        <w:b/>
        <w:bCs w:val="0"/>
        <w:lang w:val="en-US"/>
      </w:r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7C023892"/>
    <w:multiLevelType w:val="hybridMultilevel"/>
    <w:tmpl w:val="8C4CE6C4"/>
    <w:lvl w:ilvl="0">
      <w:start w:val="1"/>
      <w:numFmt w:val="bullet"/>
      <w:lvlText w:val=""/>
      <w:lvlJc w:val="left"/>
      <w:pPr>
        <w:ind w:left="4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D365B29"/>
    <w:multiLevelType w:val="multilevel"/>
    <w:tmpl w:val="E3AA6D54"/>
    <w:lvl w:ilvl="0">
      <w:start w:val="1"/>
      <w:numFmt w:val="hebrew1"/>
      <w:pStyle w:val="7321"/>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4">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6"/>
  </w:num>
  <w:num w:numId="2">
    <w:abstractNumId w:val="15"/>
  </w:num>
  <w:num w:numId="3">
    <w:abstractNumId w:val="21"/>
  </w:num>
  <w:num w:numId="4">
    <w:abstractNumId w:val="33"/>
  </w:num>
  <w:num w:numId="5">
    <w:abstractNumId w:val="9"/>
  </w:num>
  <w:num w:numId="6">
    <w:abstractNumId w:val="24"/>
  </w:num>
  <w:num w:numId="7">
    <w:abstractNumId w:val="29"/>
  </w:num>
  <w:num w:numId="8">
    <w:abstractNumId w:val="12"/>
  </w:num>
  <w:num w:numId="9">
    <w:abstractNumId w:val="28"/>
  </w:num>
  <w:num w:numId="10">
    <w:abstractNumId w:val="32"/>
  </w:num>
  <w:num w:numId="11">
    <w:abstractNumId w:val="8"/>
  </w:num>
  <w:num w:numId="12">
    <w:abstractNumId w:val="19"/>
  </w:num>
  <w:num w:numId="13">
    <w:abstractNumId w:val="34"/>
  </w:num>
  <w:num w:numId="14">
    <w:abstractNumId w:val="25"/>
  </w:num>
  <w:num w:numId="15">
    <w:abstractNumId w:val="22"/>
  </w:num>
  <w:num w:numId="16">
    <w:abstractNumId w:val="10"/>
  </w:num>
  <w:num w:numId="17">
    <w:abstractNumId w:val="23"/>
  </w:num>
  <w:num w:numId="18">
    <w:abstractNumId w:val="30"/>
  </w:num>
  <w:num w:numId="19">
    <w:abstractNumId w:val="20"/>
  </w:num>
  <w:num w:numId="20">
    <w:abstractNumId w:val="17"/>
  </w:num>
  <w:num w:numId="21">
    <w:abstractNumId w:val="16"/>
  </w:num>
  <w:num w:numId="22">
    <w:abstractNumId w:val="1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4"/>
  </w:num>
  <w:num w:numId="32">
    <w:abstractNumId w:val="14"/>
  </w:num>
  <w:num w:numId="33">
    <w:abstractNumId w:val="13"/>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27"/>
  </w:num>
  <w:num w:numId="45">
    <w:abstractNumId w:val="14"/>
  </w:num>
  <w:num w:numId="46">
    <w:abstractNumId w:val="14"/>
  </w:num>
  <w:num w:numId="47">
    <w:abstractNumId w:val="11"/>
  </w:num>
  <w:num w:numId="4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541"/>
    <w:rsid w:val="000166CA"/>
    <w:rsid w:val="000168DE"/>
    <w:rsid w:val="00016F7F"/>
    <w:rsid w:val="0001735B"/>
    <w:rsid w:val="00020441"/>
    <w:rsid w:val="000206F1"/>
    <w:rsid w:val="00021298"/>
    <w:rsid w:val="00021ED5"/>
    <w:rsid w:val="00021FFB"/>
    <w:rsid w:val="000224FF"/>
    <w:rsid w:val="00023C2A"/>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7E2"/>
    <w:rsid w:val="00027B6F"/>
    <w:rsid w:val="00027BF3"/>
    <w:rsid w:val="0003001D"/>
    <w:rsid w:val="00030058"/>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19C"/>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5E"/>
    <w:rsid w:val="000651DF"/>
    <w:rsid w:val="00066AF6"/>
    <w:rsid w:val="00066F43"/>
    <w:rsid w:val="0006721D"/>
    <w:rsid w:val="000672AB"/>
    <w:rsid w:val="000675B0"/>
    <w:rsid w:val="00067A5D"/>
    <w:rsid w:val="00067A76"/>
    <w:rsid w:val="00067E32"/>
    <w:rsid w:val="00067F12"/>
    <w:rsid w:val="00070525"/>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A69"/>
    <w:rsid w:val="00077B79"/>
    <w:rsid w:val="00080072"/>
    <w:rsid w:val="000803F2"/>
    <w:rsid w:val="00080C22"/>
    <w:rsid w:val="00081D0E"/>
    <w:rsid w:val="000821CA"/>
    <w:rsid w:val="000824F8"/>
    <w:rsid w:val="0008345D"/>
    <w:rsid w:val="00083692"/>
    <w:rsid w:val="000837F2"/>
    <w:rsid w:val="00083FD0"/>
    <w:rsid w:val="00084E3A"/>
    <w:rsid w:val="00085086"/>
    <w:rsid w:val="0008559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1EB"/>
    <w:rsid w:val="000D1714"/>
    <w:rsid w:val="000D2056"/>
    <w:rsid w:val="000D215D"/>
    <w:rsid w:val="000D22F0"/>
    <w:rsid w:val="000D2A57"/>
    <w:rsid w:val="000D2B0A"/>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102"/>
    <w:rsid w:val="000E1475"/>
    <w:rsid w:val="000E1FBD"/>
    <w:rsid w:val="000E2359"/>
    <w:rsid w:val="000E23EA"/>
    <w:rsid w:val="000E2715"/>
    <w:rsid w:val="000E2B2C"/>
    <w:rsid w:val="000E3022"/>
    <w:rsid w:val="000E3B68"/>
    <w:rsid w:val="000E3D52"/>
    <w:rsid w:val="000E3DFA"/>
    <w:rsid w:val="000E3F0C"/>
    <w:rsid w:val="000E400A"/>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08"/>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0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3"/>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AAE"/>
    <w:rsid w:val="00170DCB"/>
    <w:rsid w:val="0017146B"/>
    <w:rsid w:val="00171552"/>
    <w:rsid w:val="00171B4A"/>
    <w:rsid w:val="00171F57"/>
    <w:rsid w:val="0017200D"/>
    <w:rsid w:val="0017265F"/>
    <w:rsid w:val="00172E36"/>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0DA8"/>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EC6"/>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B773F"/>
    <w:rsid w:val="001B78F8"/>
    <w:rsid w:val="001C00D8"/>
    <w:rsid w:val="001C057E"/>
    <w:rsid w:val="001C1095"/>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1307"/>
    <w:rsid w:val="001D223A"/>
    <w:rsid w:val="001D2243"/>
    <w:rsid w:val="001D228F"/>
    <w:rsid w:val="001D2793"/>
    <w:rsid w:val="001D2F2A"/>
    <w:rsid w:val="001D3679"/>
    <w:rsid w:val="001D3CC2"/>
    <w:rsid w:val="001D4015"/>
    <w:rsid w:val="001D4406"/>
    <w:rsid w:val="001D461F"/>
    <w:rsid w:val="001D46D3"/>
    <w:rsid w:val="001D6714"/>
    <w:rsid w:val="001D6BF7"/>
    <w:rsid w:val="001D713E"/>
    <w:rsid w:val="001D77E6"/>
    <w:rsid w:val="001E0306"/>
    <w:rsid w:val="001E076C"/>
    <w:rsid w:val="001E09E8"/>
    <w:rsid w:val="001E0A7D"/>
    <w:rsid w:val="001E0D0D"/>
    <w:rsid w:val="001E0F6A"/>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4340"/>
    <w:rsid w:val="001F54B2"/>
    <w:rsid w:val="001F5566"/>
    <w:rsid w:val="001F5736"/>
    <w:rsid w:val="001F67DA"/>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0B32"/>
    <w:rsid w:val="0021135F"/>
    <w:rsid w:val="0021150C"/>
    <w:rsid w:val="00212144"/>
    <w:rsid w:val="002127FD"/>
    <w:rsid w:val="00212B04"/>
    <w:rsid w:val="00212EEA"/>
    <w:rsid w:val="002130B4"/>
    <w:rsid w:val="00213453"/>
    <w:rsid w:val="0021348C"/>
    <w:rsid w:val="00214BC0"/>
    <w:rsid w:val="00214CAA"/>
    <w:rsid w:val="002154D1"/>
    <w:rsid w:val="00215B86"/>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F59"/>
    <w:rsid w:val="0024001A"/>
    <w:rsid w:val="00240887"/>
    <w:rsid w:val="00240A1C"/>
    <w:rsid w:val="00241142"/>
    <w:rsid w:val="00241958"/>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F0"/>
    <w:rsid w:val="00296A9F"/>
    <w:rsid w:val="00296C97"/>
    <w:rsid w:val="002970CC"/>
    <w:rsid w:val="00297730"/>
    <w:rsid w:val="00297B77"/>
    <w:rsid w:val="00297FD7"/>
    <w:rsid w:val="002A04CC"/>
    <w:rsid w:val="002A0913"/>
    <w:rsid w:val="002A0B1E"/>
    <w:rsid w:val="002A1117"/>
    <w:rsid w:val="002A18D6"/>
    <w:rsid w:val="002A1999"/>
    <w:rsid w:val="002A2132"/>
    <w:rsid w:val="002A232C"/>
    <w:rsid w:val="002A29AB"/>
    <w:rsid w:val="002A2C5A"/>
    <w:rsid w:val="002A3A3E"/>
    <w:rsid w:val="002A4103"/>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24D"/>
    <w:rsid w:val="002B55FA"/>
    <w:rsid w:val="002B5A1F"/>
    <w:rsid w:val="002B5C10"/>
    <w:rsid w:val="002B5C6F"/>
    <w:rsid w:val="002B5D65"/>
    <w:rsid w:val="002B5EF2"/>
    <w:rsid w:val="002B637F"/>
    <w:rsid w:val="002B65DC"/>
    <w:rsid w:val="002B6803"/>
    <w:rsid w:val="002B6BE3"/>
    <w:rsid w:val="002B6FB4"/>
    <w:rsid w:val="002B730D"/>
    <w:rsid w:val="002B7BE6"/>
    <w:rsid w:val="002B7EC3"/>
    <w:rsid w:val="002C06EB"/>
    <w:rsid w:val="002C169F"/>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5943"/>
    <w:rsid w:val="002C65B3"/>
    <w:rsid w:val="002C6C74"/>
    <w:rsid w:val="002C6D22"/>
    <w:rsid w:val="002C70A2"/>
    <w:rsid w:val="002C7A5A"/>
    <w:rsid w:val="002C7BB5"/>
    <w:rsid w:val="002C7D35"/>
    <w:rsid w:val="002C7FC3"/>
    <w:rsid w:val="002D083D"/>
    <w:rsid w:val="002D1688"/>
    <w:rsid w:val="002D2963"/>
    <w:rsid w:val="002D3201"/>
    <w:rsid w:val="002D32B9"/>
    <w:rsid w:val="002D38CB"/>
    <w:rsid w:val="002D3AC8"/>
    <w:rsid w:val="002D3EF1"/>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283"/>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6F8"/>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4F4A"/>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1AA"/>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2BF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55B"/>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703"/>
    <w:rsid w:val="00387987"/>
    <w:rsid w:val="00387E5E"/>
    <w:rsid w:val="003907CF"/>
    <w:rsid w:val="003913D9"/>
    <w:rsid w:val="00391776"/>
    <w:rsid w:val="00391943"/>
    <w:rsid w:val="00391D47"/>
    <w:rsid w:val="00392578"/>
    <w:rsid w:val="003926A8"/>
    <w:rsid w:val="00392806"/>
    <w:rsid w:val="003929A4"/>
    <w:rsid w:val="00392CEC"/>
    <w:rsid w:val="00392D64"/>
    <w:rsid w:val="00392E92"/>
    <w:rsid w:val="00392F5B"/>
    <w:rsid w:val="00393D67"/>
    <w:rsid w:val="003941E1"/>
    <w:rsid w:val="0039455B"/>
    <w:rsid w:val="00394BB1"/>
    <w:rsid w:val="00395536"/>
    <w:rsid w:val="0039563E"/>
    <w:rsid w:val="0039592D"/>
    <w:rsid w:val="00395AEF"/>
    <w:rsid w:val="00395BB1"/>
    <w:rsid w:val="00396082"/>
    <w:rsid w:val="00396AAF"/>
    <w:rsid w:val="00396D3F"/>
    <w:rsid w:val="00396EB2"/>
    <w:rsid w:val="00396F8D"/>
    <w:rsid w:val="003971AD"/>
    <w:rsid w:val="00397234"/>
    <w:rsid w:val="00397B41"/>
    <w:rsid w:val="00397C56"/>
    <w:rsid w:val="003A042B"/>
    <w:rsid w:val="003A065D"/>
    <w:rsid w:val="003A0852"/>
    <w:rsid w:val="003A08AE"/>
    <w:rsid w:val="003A1C2B"/>
    <w:rsid w:val="003A22C1"/>
    <w:rsid w:val="003A239E"/>
    <w:rsid w:val="003A24CA"/>
    <w:rsid w:val="003A26D2"/>
    <w:rsid w:val="003A3978"/>
    <w:rsid w:val="003A3D05"/>
    <w:rsid w:val="003A47A9"/>
    <w:rsid w:val="003A5748"/>
    <w:rsid w:val="003A613A"/>
    <w:rsid w:val="003A66EF"/>
    <w:rsid w:val="003A689D"/>
    <w:rsid w:val="003A68C5"/>
    <w:rsid w:val="003A769E"/>
    <w:rsid w:val="003A780A"/>
    <w:rsid w:val="003A7F68"/>
    <w:rsid w:val="003B0B84"/>
    <w:rsid w:val="003B0BB0"/>
    <w:rsid w:val="003B0E50"/>
    <w:rsid w:val="003B1053"/>
    <w:rsid w:val="003B12C2"/>
    <w:rsid w:val="003B166B"/>
    <w:rsid w:val="003B1F61"/>
    <w:rsid w:val="003B23BE"/>
    <w:rsid w:val="003B30AD"/>
    <w:rsid w:val="003B3D16"/>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7DC"/>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007"/>
    <w:rsid w:val="003F316F"/>
    <w:rsid w:val="003F3D90"/>
    <w:rsid w:val="003F3E9D"/>
    <w:rsid w:val="003F4681"/>
    <w:rsid w:val="003F48CD"/>
    <w:rsid w:val="003F4A41"/>
    <w:rsid w:val="003F5248"/>
    <w:rsid w:val="003F5B6A"/>
    <w:rsid w:val="003F5DEF"/>
    <w:rsid w:val="003F6010"/>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B4"/>
    <w:rsid w:val="00430AA9"/>
    <w:rsid w:val="00430ADE"/>
    <w:rsid w:val="00431AA5"/>
    <w:rsid w:val="00431C39"/>
    <w:rsid w:val="00432941"/>
    <w:rsid w:val="00432A56"/>
    <w:rsid w:val="0043384C"/>
    <w:rsid w:val="00433D69"/>
    <w:rsid w:val="00433DC5"/>
    <w:rsid w:val="00434C19"/>
    <w:rsid w:val="00435183"/>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76E"/>
    <w:rsid w:val="00440A6B"/>
    <w:rsid w:val="00440C19"/>
    <w:rsid w:val="004413C7"/>
    <w:rsid w:val="004414E6"/>
    <w:rsid w:val="004417D2"/>
    <w:rsid w:val="00441D68"/>
    <w:rsid w:val="004424B2"/>
    <w:rsid w:val="004428A8"/>
    <w:rsid w:val="00442E2D"/>
    <w:rsid w:val="00442E67"/>
    <w:rsid w:val="0044305F"/>
    <w:rsid w:val="00443D1B"/>
    <w:rsid w:val="0044419E"/>
    <w:rsid w:val="00444540"/>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2DEB"/>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083"/>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6D"/>
    <w:rsid w:val="004955D7"/>
    <w:rsid w:val="0049574B"/>
    <w:rsid w:val="00495B2E"/>
    <w:rsid w:val="004964BE"/>
    <w:rsid w:val="004964E5"/>
    <w:rsid w:val="004965B9"/>
    <w:rsid w:val="00496644"/>
    <w:rsid w:val="00497103"/>
    <w:rsid w:val="004976B0"/>
    <w:rsid w:val="00497953"/>
    <w:rsid w:val="00497FC7"/>
    <w:rsid w:val="00497FC9"/>
    <w:rsid w:val="004A023D"/>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1C8E"/>
    <w:rsid w:val="004B21B0"/>
    <w:rsid w:val="004B2564"/>
    <w:rsid w:val="004B2D77"/>
    <w:rsid w:val="004B2F85"/>
    <w:rsid w:val="004B3850"/>
    <w:rsid w:val="004B391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2E0"/>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3FB"/>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0B05"/>
    <w:rsid w:val="004F0BEF"/>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195"/>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09E"/>
    <w:rsid w:val="00522475"/>
    <w:rsid w:val="005227A0"/>
    <w:rsid w:val="0052289F"/>
    <w:rsid w:val="00522FC1"/>
    <w:rsid w:val="005232B5"/>
    <w:rsid w:val="00523504"/>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684"/>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9B7"/>
    <w:rsid w:val="00582A39"/>
    <w:rsid w:val="00582DA9"/>
    <w:rsid w:val="00583471"/>
    <w:rsid w:val="00583B95"/>
    <w:rsid w:val="005850FD"/>
    <w:rsid w:val="0058515C"/>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A4D"/>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2FA2"/>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1A77"/>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5EA"/>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BA4"/>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234"/>
    <w:rsid w:val="0067240D"/>
    <w:rsid w:val="006726E0"/>
    <w:rsid w:val="006742C5"/>
    <w:rsid w:val="006749B3"/>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87308"/>
    <w:rsid w:val="0069093D"/>
    <w:rsid w:val="00690BBC"/>
    <w:rsid w:val="00690E56"/>
    <w:rsid w:val="00691B4D"/>
    <w:rsid w:val="00692151"/>
    <w:rsid w:val="0069225F"/>
    <w:rsid w:val="006923B1"/>
    <w:rsid w:val="0069249C"/>
    <w:rsid w:val="00692613"/>
    <w:rsid w:val="00692D8D"/>
    <w:rsid w:val="0069335D"/>
    <w:rsid w:val="00694A48"/>
    <w:rsid w:val="00694C3C"/>
    <w:rsid w:val="0069525F"/>
    <w:rsid w:val="00696ADE"/>
    <w:rsid w:val="00697143"/>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AB7"/>
    <w:rsid w:val="006A5EE2"/>
    <w:rsid w:val="006A61FD"/>
    <w:rsid w:val="006A6846"/>
    <w:rsid w:val="006A7121"/>
    <w:rsid w:val="006A75AC"/>
    <w:rsid w:val="006A7632"/>
    <w:rsid w:val="006A7897"/>
    <w:rsid w:val="006A7F23"/>
    <w:rsid w:val="006B0109"/>
    <w:rsid w:val="006B056A"/>
    <w:rsid w:val="006B0630"/>
    <w:rsid w:val="006B0FA2"/>
    <w:rsid w:val="006B1475"/>
    <w:rsid w:val="006B1754"/>
    <w:rsid w:val="006B1A63"/>
    <w:rsid w:val="006B1D79"/>
    <w:rsid w:val="006B1ED5"/>
    <w:rsid w:val="006B20E7"/>
    <w:rsid w:val="006B28F0"/>
    <w:rsid w:val="006B2A03"/>
    <w:rsid w:val="006B2ABD"/>
    <w:rsid w:val="006B2E94"/>
    <w:rsid w:val="006B307B"/>
    <w:rsid w:val="006B3363"/>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2F"/>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3F7"/>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61A"/>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A1D"/>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0F7"/>
    <w:rsid w:val="0076564F"/>
    <w:rsid w:val="007657FC"/>
    <w:rsid w:val="0076597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68B"/>
    <w:rsid w:val="00781F3B"/>
    <w:rsid w:val="007824AB"/>
    <w:rsid w:val="0078358A"/>
    <w:rsid w:val="00783850"/>
    <w:rsid w:val="00783CD9"/>
    <w:rsid w:val="00784D2F"/>
    <w:rsid w:val="00784F53"/>
    <w:rsid w:val="00785D0A"/>
    <w:rsid w:val="00785D38"/>
    <w:rsid w:val="00785F19"/>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09E2"/>
    <w:rsid w:val="007A1269"/>
    <w:rsid w:val="007A1E36"/>
    <w:rsid w:val="007A2FCF"/>
    <w:rsid w:val="007A3128"/>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08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5C1"/>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D38"/>
    <w:rsid w:val="007F34DE"/>
    <w:rsid w:val="007F34EB"/>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C20"/>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880"/>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10D"/>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B6A5B"/>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7F3"/>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3C83"/>
    <w:rsid w:val="009143C1"/>
    <w:rsid w:val="009147BA"/>
    <w:rsid w:val="00914E96"/>
    <w:rsid w:val="00914ED5"/>
    <w:rsid w:val="009155E5"/>
    <w:rsid w:val="0091566D"/>
    <w:rsid w:val="009160AC"/>
    <w:rsid w:val="00916484"/>
    <w:rsid w:val="0091656F"/>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2D92"/>
    <w:rsid w:val="00923216"/>
    <w:rsid w:val="009234D0"/>
    <w:rsid w:val="00923A33"/>
    <w:rsid w:val="00923DB7"/>
    <w:rsid w:val="00924425"/>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EF0"/>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7EC"/>
    <w:rsid w:val="00954D0E"/>
    <w:rsid w:val="00954FE1"/>
    <w:rsid w:val="0095542B"/>
    <w:rsid w:val="009556AE"/>
    <w:rsid w:val="00955DD9"/>
    <w:rsid w:val="009565BD"/>
    <w:rsid w:val="00956939"/>
    <w:rsid w:val="00956AAC"/>
    <w:rsid w:val="00956AB0"/>
    <w:rsid w:val="00956B15"/>
    <w:rsid w:val="00956BC0"/>
    <w:rsid w:val="009578F0"/>
    <w:rsid w:val="00961878"/>
    <w:rsid w:val="00961B62"/>
    <w:rsid w:val="00961EF6"/>
    <w:rsid w:val="009620E7"/>
    <w:rsid w:val="00962780"/>
    <w:rsid w:val="00962B87"/>
    <w:rsid w:val="00962E13"/>
    <w:rsid w:val="00962FF1"/>
    <w:rsid w:val="009630CE"/>
    <w:rsid w:val="00963209"/>
    <w:rsid w:val="00964074"/>
    <w:rsid w:val="009641AD"/>
    <w:rsid w:val="009641EB"/>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8AF"/>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B13"/>
    <w:rsid w:val="00987CA0"/>
    <w:rsid w:val="00990506"/>
    <w:rsid w:val="00990883"/>
    <w:rsid w:val="00990F79"/>
    <w:rsid w:val="009910DC"/>
    <w:rsid w:val="00991584"/>
    <w:rsid w:val="0099172C"/>
    <w:rsid w:val="00991B19"/>
    <w:rsid w:val="00991E0C"/>
    <w:rsid w:val="00991F23"/>
    <w:rsid w:val="00992605"/>
    <w:rsid w:val="00992CD6"/>
    <w:rsid w:val="0099339C"/>
    <w:rsid w:val="00993599"/>
    <w:rsid w:val="00994CCA"/>
    <w:rsid w:val="00996FFF"/>
    <w:rsid w:val="009974A8"/>
    <w:rsid w:val="009975C9"/>
    <w:rsid w:val="009A0A09"/>
    <w:rsid w:val="009A0A9F"/>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058"/>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337"/>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075E3"/>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798"/>
    <w:rsid w:val="00A47902"/>
    <w:rsid w:val="00A47B8B"/>
    <w:rsid w:val="00A50258"/>
    <w:rsid w:val="00A5085F"/>
    <w:rsid w:val="00A51149"/>
    <w:rsid w:val="00A52796"/>
    <w:rsid w:val="00A53AB4"/>
    <w:rsid w:val="00A53DBB"/>
    <w:rsid w:val="00A53FB6"/>
    <w:rsid w:val="00A541A4"/>
    <w:rsid w:val="00A5498C"/>
    <w:rsid w:val="00A549E2"/>
    <w:rsid w:val="00A54E15"/>
    <w:rsid w:val="00A54FE4"/>
    <w:rsid w:val="00A5541A"/>
    <w:rsid w:val="00A56092"/>
    <w:rsid w:val="00A567CB"/>
    <w:rsid w:val="00A57263"/>
    <w:rsid w:val="00A57B23"/>
    <w:rsid w:val="00A57DEC"/>
    <w:rsid w:val="00A6094A"/>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5F94"/>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08A"/>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5C0"/>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3937"/>
    <w:rsid w:val="00AC4346"/>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4C1"/>
    <w:rsid w:val="00AD277E"/>
    <w:rsid w:val="00AD343E"/>
    <w:rsid w:val="00AD39FB"/>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E7F44"/>
    <w:rsid w:val="00AF0329"/>
    <w:rsid w:val="00AF0774"/>
    <w:rsid w:val="00AF11B5"/>
    <w:rsid w:val="00AF1C76"/>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5F1F"/>
    <w:rsid w:val="00B167CE"/>
    <w:rsid w:val="00B16B62"/>
    <w:rsid w:val="00B16DD7"/>
    <w:rsid w:val="00B17902"/>
    <w:rsid w:val="00B17A2E"/>
    <w:rsid w:val="00B17C66"/>
    <w:rsid w:val="00B20292"/>
    <w:rsid w:val="00B206B1"/>
    <w:rsid w:val="00B22004"/>
    <w:rsid w:val="00B227D8"/>
    <w:rsid w:val="00B22C0A"/>
    <w:rsid w:val="00B22F42"/>
    <w:rsid w:val="00B22FE6"/>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25B"/>
    <w:rsid w:val="00B32403"/>
    <w:rsid w:val="00B32623"/>
    <w:rsid w:val="00B32BC9"/>
    <w:rsid w:val="00B331DC"/>
    <w:rsid w:val="00B33BCF"/>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0E"/>
    <w:rsid w:val="00B55E82"/>
    <w:rsid w:val="00B55ED0"/>
    <w:rsid w:val="00B56334"/>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4B94"/>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4C3"/>
    <w:rsid w:val="00B83A38"/>
    <w:rsid w:val="00B83D46"/>
    <w:rsid w:val="00B84147"/>
    <w:rsid w:val="00B850CE"/>
    <w:rsid w:val="00B85CE0"/>
    <w:rsid w:val="00B862C0"/>
    <w:rsid w:val="00B863D9"/>
    <w:rsid w:val="00B864BA"/>
    <w:rsid w:val="00B86606"/>
    <w:rsid w:val="00B86C03"/>
    <w:rsid w:val="00B86E98"/>
    <w:rsid w:val="00B90192"/>
    <w:rsid w:val="00B90A49"/>
    <w:rsid w:val="00B90B9B"/>
    <w:rsid w:val="00B90C7D"/>
    <w:rsid w:val="00B91455"/>
    <w:rsid w:val="00B919E1"/>
    <w:rsid w:val="00B91AD9"/>
    <w:rsid w:val="00B91E87"/>
    <w:rsid w:val="00B92313"/>
    <w:rsid w:val="00B92C92"/>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58C"/>
    <w:rsid w:val="00BA6E60"/>
    <w:rsid w:val="00BA7003"/>
    <w:rsid w:val="00BA71ED"/>
    <w:rsid w:val="00BA79D3"/>
    <w:rsid w:val="00BA7B4B"/>
    <w:rsid w:val="00BA7CCE"/>
    <w:rsid w:val="00BB02BA"/>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217"/>
    <w:rsid w:val="00BC068E"/>
    <w:rsid w:val="00BC107E"/>
    <w:rsid w:val="00BC1C7C"/>
    <w:rsid w:val="00BC205F"/>
    <w:rsid w:val="00BC26CC"/>
    <w:rsid w:val="00BC31E2"/>
    <w:rsid w:val="00BC3D44"/>
    <w:rsid w:val="00BC4213"/>
    <w:rsid w:val="00BC4C7F"/>
    <w:rsid w:val="00BC4FF8"/>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9B1"/>
    <w:rsid w:val="00BD0FE8"/>
    <w:rsid w:val="00BD16D6"/>
    <w:rsid w:val="00BD1B72"/>
    <w:rsid w:val="00BD31B3"/>
    <w:rsid w:val="00BD35AA"/>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1566"/>
    <w:rsid w:val="00C21AF6"/>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638"/>
    <w:rsid w:val="00C50B1E"/>
    <w:rsid w:val="00C51C72"/>
    <w:rsid w:val="00C51CB1"/>
    <w:rsid w:val="00C51F30"/>
    <w:rsid w:val="00C521B4"/>
    <w:rsid w:val="00C52914"/>
    <w:rsid w:val="00C539F2"/>
    <w:rsid w:val="00C544CC"/>
    <w:rsid w:val="00C546E7"/>
    <w:rsid w:val="00C55114"/>
    <w:rsid w:val="00C557D2"/>
    <w:rsid w:val="00C55DC9"/>
    <w:rsid w:val="00C56262"/>
    <w:rsid w:val="00C565FB"/>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3DA"/>
    <w:rsid w:val="00C736A7"/>
    <w:rsid w:val="00C73D50"/>
    <w:rsid w:val="00C74181"/>
    <w:rsid w:val="00C7460F"/>
    <w:rsid w:val="00C74636"/>
    <w:rsid w:val="00C74AF1"/>
    <w:rsid w:val="00C752C9"/>
    <w:rsid w:val="00C759F1"/>
    <w:rsid w:val="00C75F55"/>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59C2"/>
    <w:rsid w:val="00C95BC5"/>
    <w:rsid w:val="00C95DEA"/>
    <w:rsid w:val="00C95FCA"/>
    <w:rsid w:val="00C96B8D"/>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5A0"/>
    <w:rsid w:val="00CA4753"/>
    <w:rsid w:val="00CA4D91"/>
    <w:rsid w:val="00CA4EB1"/>
    <w:rsid w:val="00CA4F20"/>
    <w:rsid w:val="00CA5080"/>
    <w:rsid w:val="00CA5908"/>
    <w:rsid w:val="00CA5A5A"/>
    <w:rsid w:val="00CA5D21"/>
    <w:rsid w:val="00CA5F8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1A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526"/>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BEA"/>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97DD7"/>
    <w:rsid w:val="00DA022A"/>
    <w:rsid w:val="00DA025F"/>
    <w:rsid w:val="00DA04E9"/>
    <w:rsid w:val="00DA0755"/>
    <w:rsid w:val="00DA07A7"/>
    <w:rsid w:val="00DA08A5"/>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0C6"/>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0EB"/>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9F5"/>
    <w:rsid w:val="00E03F4C"/>
    <w:rsid w:val="00E03F4E"/>
    <w:rsid w:val="00E0439C"/>
    <w:rsid w:val="00E049A5"/>
    <w:rsid w:val="00E051FB"/>
    <w:rsid w:val="00E056B0"/>
    <w:rsid w:val="00E05984"/>
    <w:rsid w:val="00E05C27"/>
    <w:rsid w:val="00E05C4F"/>
    <w:rsid w:val="00E063DE"/>
    <w:rsid w:val="00E066B5"/>
    <w:rsid w:val="00E0671B"/>
    <w:rsid w:val="00E06E82"/>
    <w:rsid w:val="00E07453"/>
    <w:rsid w:val="00E07737"/>
    <w:rsid w:val="00E07DB1"/>
    <w:rsid w:val="00E07E7B"/>
    <w:rsid w:val="00E07F6A"/>
    <w:rsid w:val="00E10117"/>
    <w:rsid w:val="00E1064A"/>
    <w:rsid w:val="00E1077C"/>
    <w:rsid w:val="00E10961"/>
    <w:rsid w:val="00E10EA5"/>
    <w:rsid w:val="00E11272"/>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570"/>
    <w:rsid w:val="00E2459F"/>
    <w:rsid w:val="00E24B98"/>
    <w:rsid w:val="00E2527D"/>
    <w:rsid w:val="00E25D12"/>
    <w:rsid w:val="00E262A9"/>
    <w:rsid w:val="00E2688C"/>
    <w:rsid w:val="00E2693C"/>
    <w:rsid w:val="00E26C16"/>
    <w:rsid w:val="00E26F87"/>
    <w:rsid w:val="00E2710F"/>
    <w:rsid w:val="00E274BB"/>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63A"/>
    <w:rsid w:val="00E37A35"/>
    <w:rsid w:val="00E37B12"/>
    <w:rsid w:val="00E37BEF"/>
    <w:rsid w:val="00E37D65"/>
    <w:rsid w:val="00E403C7"/>
    <w:rsid w:val="00E40A27"/>
    <w:rsid w:val="00E41042"/>
    <w:rsid w:val="00E41074"/>
    <w:rsid w:val="00E4127C"/>
    <w:rsid w:val="00E41B14"/>
    <w:rsid w:val="00E41DD4"/>
    <w:rsid w:val="00E4219A"/>
    <w:rsid w:val="00E42241"/>
    <w:rsid w:val="00E422B6"/>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7FE"/>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92A"/>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171D"/>
    <w:rsid w:val="00EE210F"/>
    <w:rsid w:val="00EE298D"/>
    <w:rsid w:val="00EE2B5D"/>
    <w:rsid w:val="00EE2BB3"/>
    <w:rsid w:val="00EE2EAC"/>
    <w:rsid w:val="00EE31A7"/>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8C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40"/>
    <w:rsid w:val="00F223D4"/>
    <w:rsid w:val="00F223D5"/>
    <w:rsid w:val="00F2283A"/>
    <w:rsid w:val="00F22A84"/>
    <w:rsid w:val="00F22A8F"/>
    <w:rsid w:val="00F22CA7"/>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40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46CD"/>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2FDD"/>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A71"/>
    <w:rsid w:val="00F97F91"/>
    <w:rsid w:val="00FA03A6"/>
    <w:rsid w:val="00FA03D6"/>
    <w:rsid w:val="00FA066D"/>
    <w:rsid w:val="00FA0956"/>
    <w:rsid w:val="00FA0FB3"/>
    <w:rsid w:val="00FA1118"/>
    <w:rsid w:val="00FA1126"/>
    <w:rsid w:val="00FA1816"/>
    <w:rsid w:val="00FA1B03"/>
    <w:rsid w:val="00FA23D2"/>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70B"/>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595"/>
    <w:rsid w:val="00FD58EF"/>
    <w:rsid w:val="00FD5BC9"/>
    <w:rsid w:val="00FD620D"/>
    <w:rsid w:val="00FD64B8"/>
    <w:rsid w:val="00FD667B"/>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6D7"/>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5"/>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5"/>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50">
    <w:name w:val="75א הזחה ראשונה מספר"/>
    <w:basedOn w:val="ListParagraph"/>
    <w:link w:val="75Char1"/>
    <w:qFormat/>
    <w:rsid w:val="003346F8"/>
    <w:pPr>
      <w:spacing w:after="180" w:line="260" w:lineRule="exact"/>
      <w:ind w:left="454" w:hanging="454"/>
      <w:contextualSpacing w:val="0"/>
    </w:pPr>
    <w:rPr>
      <w:rFonts w:ascii="Tahoma" w:hAnsi="Tahoma" w:cs="Tahoma"/>
      <w:color w:val="0D0D0D" w:themeColor="text1" w:themeTint="F2"/>
      <w:sz w:val="18"/>
      <w:szCs w:val="18"/>
    </w:rPr>
  </w:style>
  <w:style w:type="paragraph" w:customStyle="1" w:styleId="734">
    <w:name w:val="73א הזחה שנייה ריק"/>
    <w:basedOn w:val="BodyTextIndent"/>
    <w:link w:val="739"/>
    <w:qFormat/>
    <w:rsid w:val="0074714A"/>
    <w:pPr>
      <w:spacing w:after="180" w:line="260" w:lineRule="exact"/>
      <w:ind w:left="794"/>
    </w:pPr>
    <w:rPr>
      <w:color w:val="0D0D0D" w:themeColor="text1" w:themeTint="F2"/>
      <w:sz w:val="18"/>
      <w:szCs w:val="18"/>
    </w:rPr>
  </w:style>
  <w:style w:type="paragraph" w:customStyle="1" w:styleId="735">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6">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7">
    <w:name w:val="73א קוביה כחולה בתוך הזחה ראשונה"/>
    <w:basedOn w:val="736"/>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8">
    <w:name w:val="73א הזחה שנייה ללא מספר"/>
    <w:basedOn w:val="734"/>
    <w:link w:val="7310"/>
    <w:qFormat/>
    <w:rsid w:val="00543F8A"/>
  </w:style>
  <w:style w:type="character" w:customStyle="1" w:styleId="739">
    <w:name w:val="73א הזחה שנייה ריק תו"/>
    <w:basedOn w:val="BodyTextIndentChar"/>
    <w:link w:val="734"/>
    <w:rsid w:val="0074714A"/>
    <w:rPr>
      <w:rFonts w:ascii="Tahoma" w:hAnsi="Tahoma" w:cs="Tahoma"/>
      <w:color w:val="0D0D0D" w:themeColor="text1" w:themeTint="F2"/>
      <w:sz w:val="18"/>
      <w:szCs w:val="18"/>
    </w:rPr>
  </w:style>
  <w:style w:type="character" w:customStyle="1" w:styleId="7310">
    <w:name w:val="73א הזחה שנייה ללא מספר תו"/>
    <w:basedOn w:val="739"/>
    <w:link w:val="738"/>
    <w:rsid w:val="00543F8A"/>
    <w:rPr>
      <w:rFonts w:ascii="Tahoma" w:hAnsi="Tahoma" w:cs="Tahoma"/>
      <w:color w:val="0D0D0D" w:themeColor="text1" w:themeTint="F2"/>
      <w:sz w:val="18"/>
      <w:szCs w:val="18"/>
    </w:rPr>
  </w:style>
  <w:style w:type="paragraph" w:customStyle="1" w:styleId="7311">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2">
    <w:name w:val="73א הזחה שלישית"/>
    <w:basedOn w:val="738"/>
    <w:qFormat/>
    <w:rsid w:val="00591F15"/>
    <w:pPr>
      <w:ind w:left="1191"/>
    </w:pPr>
  </w:style>
  <w:style w:type="paragraph" w:customStyle="1" w:styleId="7313">
    <w:name w:val="73א קוביה כחולה הזחה שלישית"/>
    <w:basedOn w:val="736"/>
    <w:qFormat/>
    <w:rsid w:val="00FF6AD9"/>
    <w:pPr>
      <w:framePr w:wrap="around" w:vAnchor="text" w:hAnchor="text" w:y="1"/>
      <w:shd w:val="solid" w:color="CEEAF6" w:fill="CEEAF6"/>
      <w:spacing w:after="120"/>
      <w:ind w:left="1474"/>
    </w:pPr>
  </w:style>
  <w:style w:type="paragraph" w:customStyle="1" w:styleId="11">
    <w:name w:val="קוביה הזחה 1"/>
    <w:basedOn w:val="736"/>
    <w:qFormat/>
    <w:rsid w:val="005C2859"/>
    <w:pPr>
      <w:ind w:left="680"/>
    </w:pPr>
  </w:style>
  <w:style w:type="paragraph" w:customStyle="1" w:styleId="7314">
    <w:name w:val="73א הזחה ראשונה ללא מספר"/>
    <w:basedOn w:val="738"/>
    <w:qFormat/>
    <w:rsid w:val="003570AC"/>
    <w:pPr>
      <w:ind w:left="397"/>
    </w:pPr>
  </w:style>
  <w:style w:type="paragraph" w:customStyle="1" w:styleId="7315">
    <w:name w:val="73א קוביה רצה"/>
    <w:basedOn w:val="737"/>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6">
    <w:name w:val="73א הזחה בתוך קוביה"/>
    <w:basedOn w:val="731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7">
    <w:name w:val="73א מספרים בתוך קוביה"/>
    <w:basedOn w:val="7316"/>
    <w:rsid w:val="00520550"/>
  </w:style>
  <w:style w:type="paragraph" w:customStyle="1" w:styleId="7318">
    <w:name w:val="73א אותיות בתוך קוביה 1"/>
    <w:basedOn w:val="7317"/>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9">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0">
    <w:name w:val="73א כוכבית בתוך קוביה"/>
    <w:basedOn w:val="7315"/>
    <w:qFormat/>
    <w:rsid w:val="001F0DE8"/>
    <w:pPr>
      <w:jc w:val="center"/>
    </w:pPr>
    <w:rPr>
      <w:rFonts w:ascii="Segoe UI Symbol" w:hAnsi="Segoe UI Symbol" w:cs="Segoe UI Symbol"/>
    </w:rPr>
  </w:style>
  <w:style w:type="paragraph" w:customStyle="1" w:styleId="7321">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2">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3">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4">
    <w:name w:val="73א כותרת סיכום"/>
    <w:basedOn w:val="733155"/>
    <w:qFormat/>
    <w:rsid w:val="00662020"/>
    <w:rPr>
      <w:b w:val="0"/>
    </w:rPr>
  </w:style>
  <w:style w:type="paragraph" w:customStyle="1" w:styleId="752">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2"/>
    <w:rsid w:val="006F49D3"/>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325">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0">
    <w:name w:val="75א מקרא+הערות לתרשים/לוח/תמונה Char"/>
    <w:basedOn w:val="7325"/>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6">
    <w:name w:val="73א כותרת לבנה בתוך תבנית אדומה בתקציר"/>
    <w:basedOn w:val="a18"/>
    <w:link w:val="7327"/>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7">
    <w:name w:val="73א כותרת לבנה בתוך תבנית אדומה בתקציר תו"/>
    <w:basedOn w:val="Char7"/>
    <w:link w:val="7326"/>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8">
    <w:name w:val="73א היפרלינק"/>
    <w:basedOn w:val="732"/>
    <w:link w:val="7329"/>
    <w:qFormat/>
    <w:rsid w:val="009578F0"/>
    <w:pPr>
      <w:bidi w:val="0"/>
    </w:pPr>
    <w:rPr>
      <w:color w:val="6090CC"/>
      <w:u w:val="single"/>
    </w:rPr>
  </w:style>
  <w:style w:type="character" w:customStyle="1" w:styleId="7329">
    <w:name w:val="73א היפרלינק תו"/>
    <w:basedOn w:val="7325"/>
    <w:link w:val="7328"/>
    <w:rsid w:val="009578F0"/>
    <w:rPr>
      <w:rFonts w:ascii="Tahoma" w:hAnsi="Tahoma" w:cs="Tahoma"/>
      <w:color w:val="6090CC"/>
      <w:sz w:val="14"/>
      <w:szCs w:val="14"/>
      <w:u w:val="single"/>
    </w:rPr>
  </w:style>
  <w:style w:type="paragraph" w:customStyle="1" w:styleId="7330">
    <w:name w:val="73א קוביה כחולה עם מספר מוזח"/>
    <w:basedOn w:val="750"/>
    <w:link w:val="7331"/>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5Char1">
    <w:name w:val="75א הזחה ראשונה מספר Char"/>
    <w:basedOn w:val="ListParagraphChar"/>
    <w:link w:val="750"/>
    <w:rsid w:val="003346F8"/>
    <w:rPr>
      <w:rFonts w:ascii="Tahoma" w:hAnsi="Tahoma" w:cs="Tahoma"/>
      <w:color w:val="0D0D0D" w:themeColor="text1" w:themeTint="F2"/>
      <w:sz w:val="18"/>
      <w:szCs w:val="18"/>
    </w:rPr>
  </w:style>
  <w:style w:type="character" w:customStyle="1" w:styleId="7331">
    <w:name w:val="73א קוביה כחולה עם מספר מוזח תו"/>
    <w:basedOn w:val="75Char1"/>
    <w:link w:val="7330"/>
    <w:rsid w:val="00FF6AD9"/>
    <w:rPr>
      <w:rFonts w:ascii="Tahoma" w:hAnsi="Tahoma" w:cs="Tahoma"/>
      <w:color w:val="0D0D0D" w:themeColor="text1" w:themeTint="F2"/>
      <w:sz w:val="18"/>
      <w:szCs w:val="18"/>
      <w:shd w:val="clear" w:color="auto" w:fill="CEEAF6"/>
    </w:rPr>
  </w:style>
  <w:style w:type="paragraph" w:customStyle="1" w:styleId="7332">
    <w:name w:val="73א כותרת טקסט רץ מודגשת"/>
    <w:basedOn w:val="Normal"/>
    <w:link w:val="7333"/>
    <w:qFormat/>
    <w:rsid w:val="001F3363"/>
    <w:pPr>
      <w:spacing w:after="180" w:line="260" w:lineRule="exact"/>
    </w:pPr>
    <w:rPr>
      <w:rFonts w:ascii="Tahoma" w:hAnsi="Tahoma" w:cs="Tahoma"/>
      <w:b/>
      <w:bCs/>
      <w:color w:val="0D0D0D" w:themeColor="text1" w:themeTint="F2"/>
      <w:sz w:val="18"/>
      <w:szCs w:val="18"/>
    </w:rPr>
  </w:style>
  <w:style w:type="character" w:customStyle="1" w:styleId="7333">
    <w:name w:val="73א כותרת טקסט רץ מודגשת תו"/>
    <w:basedOn w:val="DefaultParagraphFont"/>
    <w:link w:val="7332"/>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5Char1"/>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4">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6"/>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3"/>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30"/>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2"/>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3"/>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4"/>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5"/>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6"/>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7"/>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8"/>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21"/>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22"/>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3">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4">
    <w:name w:val="75א הזחה שנייה עם בולטס"/>
    <w:basedOn w:val="738"/>
    <w:qFormat/>
    <w:rsid w:val="00913C83"/>
    <w:pPr>
      <w:numPr>
        <w:numId w:val="31"/>
      </w:numPr>
      <w:ind w:left="754" w:hanging="357"/>
    </w:pPr>
  </w:style>
  <w:style w:type="paragraph" w:customStyle="1" w:styleId="755">
    <w:name w:val="75א הזחה ראשונה ללא מספר"/>
    <w:basedOn w:val="738"/>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1R">
    <w:name w:val="71ג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6">
    <w:name w:val="75א סיכום"/>
    <w:basedOn w:val="75"/>
    <w:qFormat/>
    <w:rsid w:val="001D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emf" /><Relationship Id="rId27" Type="http://schemas.openxmlformats.org/officeDocument/2006/relationships/header" Target="head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3.xml><?xml version="1.0" encoding="utf-8"?>
<ds:datastoreItem xmlns:ds="http://schemas.openxmlformats.org/officeDocument/2006/customXml" ds:itemID="{AAA95BCD-D021-4E48-8536-563C31EF924D}"/>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7</cp:revision>
  <cp:lastPrinted>2024-07-15T10:39:00Z</cp:lastPrinted>
  <dcterms:created xsi:type="dcterms:W3CDTF">2024-07-15T10:34:00Z</dcterms:created>
  <dcterms:modified xsi:type="dcterms:W3CDTF">2024-07-17T20:47:00Z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