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1F3363" w14:paraId="3233BCB5" w14:textId="66D58397">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05DB47C5" w14:textId="18EA350D">
      <w:pPr>
        <w:rPr>
          <w:rtl/>
        </w:rPr>
      </w:pPr>
      <w:bookmarkStart w:id="0" w:name="_Hlk63775048"/>
      <w:bookmarkEnd w:id="0"/>
    </w:p>
    <w:p w:rsidR="008B2E28" w:rsidP="008D2388" w14:paraId="485D0624" w14:textId="13B214BF">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33C1680C" w14:textId="2D6D5849">
      <w:pPr>
        <w:spacing w:line="240" w:lineRule="atLeast"/>
        <w:jc w:val="center"/>
        <w:rPr>
          <w:rFonts w:ascii="Tahoma" w:hAnsi="Tahoma" w:cs="Tahoma"/>
          <w:sz w:val="22"/>
          <w:szCs w:val="22"/>
          <w:rtl/>
        </w:rPr>
      </w:pPr>
    </w:p>
    <w:p w:rsidR="008B2E28" w:rsidP="008D2388" w14:paraId="1DC16D74" w14:textId="64625821">
      <w:pPr>
        <w:spacing w:line="240" w:lineRule="atLeast"/>
        <w:jc w:val="center"/>
        <w:rPr>
          <w:rFonts w:ascii="Tahoma" w:hAnsi="Tahoma" w:cs="Tahoma"/>
          <w:sz w:val="22"/>
          <w:szCs w:val="22"/>
          <w:rtl/>
        </w:rPr>
      </w:pPr>
    </w:p>
    <w:p w:rsidR="003C32FE" w:rsidRPr="00170230" w:rsidP="003C32FE" w14:paraId="2090AD7F" w14:textId="25489F15">
      <w:pPr>
        <w:spacing w:line="240" w:lineRule="atLeast"/>
        <w:jc w:val="center"/>
        <w:rPr>
          <w:rFonts w:ascii="Tahoma" w:hAnsi="Tahoma" w:cs="Tahoma"/>
          <w:szCs w:val="18"/>
          <w:rtl/>
        </w:rPr>
      </w:pPr>
    </w:p>
    <w:p w:rsidR="003C32FE" w:rsidP="003C32FE" w14:paraId="695C9702" w14:textId="70E1C193">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3103162</wp:posOffset>
                </wp:positionH>
                <wp:positionV relativeFrom="paragraph">
                  <wp:posOffset>268881</wp:posOffset>
                </wp:positionV>
                <wp:extent cx="0" cy="3315114"/>
                <wp:effectExtent l="19050" t="0" r="38100" b="3810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1511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6432" from="244.35pt,21.15pt" to="244.35pt,282.2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-104361</wp:posOffset>
                </wp:positionH>
                <wp:positionV relativeFrom="paragraph">
                  <wp:posOffset>1935452</wp:posOffset>
                </wp:positionV>
                <wp:extent cx="3048138"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048138"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8480" from="-8.2pt,152.4pt" to="231.8pt,152.4pt" strokecolor="white"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-247650</wp:posOffset>
                </wp:positionH>
                <wp:positionV relativeFrom="paragraph">
                  <wp:posOffset>347980</wp:posOffset>
                </wp:positionV>
                <wp:extent cx="4718685" cy="4273550"/>
                <wp:effectExtent l="0" t="0" r="5715" b="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1868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14169F9F">
                            <w:pPr>
                              <w:pStyle w:val="a29"/>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F73EE0" w:rsidP="0052031E" w14:textId="77777777">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22DDD1F9">
                            <w:pPr>
                              <w:pStyle w:val="-2"/>
                              <w:rPr>
                                <w:rtl/>
                              </w:rPr>
                            </w:pPr>
                            <w:r>
                              <w:rPr>
                                <w:rFonts w:hint="cs"/>
                                <w:rtl/>
                              </w:rPr>
                              <w:t>משרד הבינוי והשיכון</w:t>
                            </w:r>
                          </w:p>
                          <w:p w:rsidR="00F73EE0" w:rsidRPr="00682815" w:rsidP="0072357A" w14:textId="77777777">
                            <w:pPr>
                              <w:pStyle w:val="a28"/>
                              <w:bidi/>
                              <w:spacing w:before="120"/>
                              <w:rPr>
                                <w:rtl/>
                              </w:rPr>
                            </w:pPr>
                            <w:r w:rsidRPr="00682815">
                              <w:rPr>
                                <w:rtl/>
                              </w:rPr>
                              <w:t>רכישה ומכירה של דירות הדיור הציבורי - ביקורת מעקב</w:t>
                            </w:r>
                            <w:r>
                              <w:t xml:space="preserve"> </w:t>
                            </w:r>
                          </w:p>
                          <w:p w:rsidR="00C30482" w:rsidRPr="000F5023" w:rsidP="000F5023" w14:textId="77777777">
                            <w:pPr>
                              <w:pStyle w:val="a28"/>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71.55pt;height:336.5pt;margin-top:27.4pt;margin-left:-19.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6BF52009" w14:textId="77777777">
                      <w:pPr>
                        <w:ind w:left="2268"/>
                        <w:rPr>
                          <w:rFonts w:ascii="Tahoma" w:hAnsi="Tahoma" w:cs="Tahoma"/>
                          <w:sz w:val="18"/>
                          <w:szCs w:val="18"/>
                          <w:rtl/>
                        </w:rPr>
                      </w:pPr>
                    </w:p>
                    <w:p w:rsidR="00F73EE0" w:rsidP="0052031E" w14:paraId="35DAEFE2" w14:textId="77777777">
                      <w:pPr>
                        <w:ind w:left="2268"/>
                        <w:rPr>
                          <w:rFonts w:ascii="Tahoma" w:hAnsi="Tahoma" w:cs="Tahoma"/>
                          <w:sz w:val="18"/>
                          <w:szCs w:val="18"/>
                          <w:rtl/>
                        </w:rPr>
                      </w:pPr>
                    </w:p>
                    <w:p w:rsidR="00136A3E" w:rsidRPr="0052031E" w:rsidP="000F5023" w14:paraId="2B317942" w14:textId="14169F9F">
                      <w:pPr>
                        <w:pStyle w:val="a29"/>
                        <w:bidi/>
                        <w:rPr>
                          <w:rtl/>
                        </w:rPr>
                      </w:pPr>
                      <w:r>
                        <w:rPr>
                          <w:rFonts w:hint="cs"/>
                          <w:rtl/>
                        </w:rPr>
                        <w:t xml:space="preserve">דוח מבקר המדינה | תמוז </w:t>
                      </w:r>
                      <w:r>
                        <w:rPr>
                          <w:rFonts w:hint="cs"/>
                          <w:rtl/>
                        </w:rPr>
                        <w:t>התשפ"ד</w:t>
                      </w:r>
                      <w:r>
                        <w:rPr>
                          <w:rFonts w:hint="cs"/>
                          <w:rtl/>
                        </w:rPr>
                        <w:t xml:space="preserve"> </w:t>
                      </w:r>
                      <w:r w:rsidRPr="0052031E">
                        <w:rPr>
                          <w:rtl/>
                        </w:rPr>
                        <w:t>|</w:t>
                      </w:r>
                      <w:r>
                        <w:rPr>
                          <w:rFonts w:hint="cs"/>
                          <w:rtl/>
                        </w:rPr>
                        <w:t xml:space="preserve"> יולי 2024</w:t>
                      </w:r>
                    </w:p>
                    <w:p w:rsidR="00F73EE0" w:rsidP="0052031E" w14:paraId="2405AFBF" w14:textId="77777777">
                      <w:pPr>
                        <w:ind w:left="2268"/>
                        <w:rPr>
                          <w:rtl/>
                        </w:rPr>
                      </w:pPr>
                    </w:p>
                    <w:p w:rsidR="00E56721" w:rsidP="0052031E" w14:paraId="0933F2E7" w14:textId="77777777">
                      <w:pPr>
                        <w:ind w:left="2268"/>
                        <w:rPr>
                          <w:rtl/>
                        </w:rPr>
                      </w:pPr>
                    </w:p>
                    <w:p w:rsidR="00F73EE0" w:rsidP="0052031E" w14:paraId="28FA4A75" w14:textId="77777777">
                      <w:pPr>
                        <w:ind w:left="2268"/>
                        <w:rPr>
                          <w:rtl/>
                        </w:rPr>
                      </w:pPr>
                    </w:p>
                    <w:p w:rsidR="005D0F8C" w:rsidRPr="000A3ED4" w:rsidP="000F5023" w14:paraId="2507295F" w14:textId="22DDD1F9">
                      <w:pPr>
                        <w:pStyle w:val="-2"/>
                        <w:rPr>
                          <w:rtl/>
                        </w:rPr>
                      </w:pPr>
                      <w:r>
                        <w:rPr>
                          <w:rFonts w:hint="cs"/>
                          <w:rtl/>
                        </w:rPr>
                        <w:t>משרד הבינוי והשיכון</w:t>
                      </w:r>
                    </w:p>
                    <w:p w:rsidR="00F73EE0" w:rsidRPr="00682815" w:rsidP="0072357A" w14:paraId="1ECAE433" w14:textId="77777777">
                      <w:pPr>
                        <w:pStyle w:val="a28"/>
                        <w:bidi/>
                        <w:spacing w:before="120"/>
                        <w:rPr>
                          <w:rtl/>
                        </w:rPr>
                      </w:pPr>
                      <w:r w:rsidRPr="00682815">
                        <w:rPr>
                          <w:rtl/>
                        </w:rPr>
                        <w:t>רכישה ומכירה של דירות הדיור הציבורי - ביקורת מעקב</w:t>
                      </w:r>
                      <w:r>
                        <w:t xml:space="preserve"> </w:t>
                      </w:r>
                    </w:p>
                    <w:p w:rsidR="00C30482" w:rsidRPr="000F5023" w:rsidP="000F5023" w14:paraId="68A14554" w14:textId="77777777">
                      <w:pPr>
                        <w:pStyle w:val="a28"/>
                        <w:bidi/>
                        <w:rPr>
                          <w:rtl/>
                        </w:rPr>
                      </w:pPr>
                    </w:p>
                  </w:txbxContent>
                </v:textbox>
                <w10:wrap type="square"/>
              </v:shape>
            </w:pict>
          </mc:Fallback>
        </mc:AlternateContent>
      </w:r>
      <w:r>
        <w:rPr>
          <w:noProof/>
        </w:rPr>
        <w:drawing>
          <wp:anchor distT="0" distB="0" distL="114300" distR="114300" simplePos="0" relativeHeight="251707392" behindDoc="0" locked="0" layoutInCell="1" allowOverlap="1">
            <wp:simplePos x="0" y="0"/>
            <wp:positionH relativeFrom="column">
              <wp:posOffset>3308350</wp:posOffset>
            </wp:positionH>
            <wp:positionV relativeFrom="paragraph">
              <wp:posOffset>489254</wp:posOffset>
            </wp:positionV>
            <wp:extent cx="948055" cy="617855"/>
            <wp:effectExtent l="0" t="0" r="4445"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201A1892" w14:textId="77777777">
      <w:pPr>
        <w:spacing w:line="240" w:lineRule="atLeast"/>
        <w:jc w:val="center"/>
        <w:rPr>
          <w:rFonts w:ascii="Tahoma" w:hAnsi="Tahoma" w:cs="Tahoma"/>
          <w:sz w:val="22"/>
          <w:szCs w:val="22"/>
          <w:rtl/>
        </w:rPr>
      </w:pPr>
    </w:p>
    <w:p w:rsidR="00E35DF9" w:rsidRPr="00406E80" w:rsidP="008D2388" w14:paraId="242D61A6" w14:textId="77777777">
      <w:pPr>
        <w:spacing w:line="240" w:lineRule="atLeast"/>
        <w:jc w:val="center"/>
        <w:rPr>
          <w:rFonts w:ascii="Tahoma" w:hAnsi="Tahoma" w:cs="Tahoma"/>
          <w:color w:val="C6D9F1"/>
          <w:sz w:val="22"/>
          <w:szCs w:val="22"/>
          <w:rtl/>
        </w:rPr>
      </w:pPr>
    </w:p>
    <w:p w:rsidR="008C0B8B" w:rsidP="008D2388" w14:paraId="7C07D127" w14:textId="77777777">
      <w:pPr>
        <w:spacing w:line="240" w:lineRule="atLeast"/>
        <w:jc w:val="center"/>
        <w:rPr>
          <w:rFonts w:ascii="Tahoma" w:hAnsi="Tahoma" w:cs="Tahoma"/>
          <w:sz w:val="22"/>
          <w:szCs w:val="22"/>
          <w:rtl/>
        </w:rPr>
      </w:pPr>
    </w:p>
    <w:p w:rsidR="008C0B8B" w:rsidP="008D2388" w14:paraId="52EFB9AE" w14:textId="77777777">
      <w:pPr>
        <w:spacing w:line="240" w:lineRule="atLeast"/>
        <w:jc w:val="center"/>
        <w:rPr>
          <w:rFonts w:ascii="Tahoma" w:hAnsi="Tahoma" w:cs="Tahoma"/>
          <w:sz w:val="22"/>
          <w:szCs w:val="22"/>
          <w:rtl/>
        </w:rPr>
      </w:pPr>
    </w:p>
    <w:p w:rsidR="00E35DF9" w:rsidP="008D2388" w14:paraId="51B3336F" w14:textId="77777777">
      <w:pPr>
        <w:spacing w:line="240" w:lineRule="atLeast"/>
        <w:jc w:val="center"/>
        <w:rPr>
          <w:rFonts w:ascii="Tahoma" w:hAnsi="Tahoma" w:cs="Tahoma"/>
          <w:sz w:val="22"/>
          <w:szCs w:val="22"/>
          <w:rtl/>
        </w:rPr>
      </w:pPr>
    </w:p>
    <w:p w:rsidR="00035688" w:rsidP="008D2388" w14:paraId="62C90064"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5420D8B7"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0B26BCE6"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RPr="001F3363" w:rsidP="00BB0517" w14:paraId="682983EA" w14:textId="5BF9F3E3">
      <w:pPr>
        <w:pStyle w:val="7329"/>
        <w:rPr>
          <w:rtl/>
        </w:rPr>
      </w:pPr>
      <w:r w:rsidRPr="001F3363">
        <w:rPr>
          <w:noProof/>
          <w:rtl/>
        </w:rPr>
        <w:drawing>
          <wp:anchor distT="0" distB="0" distL="114300" distR="114300" simplePos="0" relativeHeight="251673600" behindDoc="0" locked="0" layoutInCell="1" allowOverlap="1">
            <wp:simplePos x="0" y="0"/>
            <wp:positionH relativeFrom="column">
              <wp:posOffset>3298190</wp:posOffset>
            </wp:positionH>
            <wp:positionV relativeFrom="paragraph">
              <wp:posOffset>1012107</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682815" w:rsidR="00682815">
        <w:rPr>
          <w:noProof/>
          <w:rtl/>
        </w:rPr>
        <w:t>רכישה ומכירה של דירות הדיור הציבורי - ביקורת מעקב</w:t>
      </w:r>
      <w:r w:rsidR="00682815">
        <w:rPr>
          <w:noProof/>
        </w:rPr>
        <w:t xml:space="preserve">  </w:t>
      </w:r>
      <w:r w:rsidRPr="006A1B17" w:rsidR="006A1B17">
        <w:rPr>
          <w:noProof/>
          <w:rtl/>
        </w:rPr>
        <w:t xml:space="preserve"> </w:t>
      </w:r>
    </w:p>
    <w:p w:rsidR="00327B4D" w:rsidP="007F4A20" w14:paraId="4A91311D" w14:textId="77777777">
      <w:pPr>
        <w:pStyle w:val="7392"/>
        <w:spacing w:before="360"/>
        <w:rPr>
          <w:rtl/>
        </w:rPr>
      </w:pPr>
      <w:r w:rsidRPr="004A34AD">
        <w:rPr>
          <w:rtl/>
        </w:rPr>
        <w:t>מערך הסיוע הממשלתי בתחום הדיור הוא מרכיב מרכזי ברשת המגן שהמדינה פורסת לאוכלוסייה החלשה בחברה</w:t>
      </w:r>
      <w:r w:rsidRPr="004A34AD">
        <w:rPr>
          <w:rFonts w:hint="cs"/>
          <w:rtl/>
        </w:rPr>
        <w:t xml:space="preserve">. אחד מסוגי הסיוע </w:t>
      </w:r>
      <w:r w:rsidRPr="004A34AD">
        <w:rPr>
          <w:rtl/>
        </w:rPr>
        <w:t>הוא השכרה של דירות בבעלות המדינה</w:t>
      </w:r>
      <w:r w:rsidRPr="004A34AD">
        <w:rPr>
          <w:rFonts w:hint="cs"/>
          <w:rtl/>
        </w:rPr>
        <w:t>,</w:t>
      </w:r>
      <w:r w:rsidRPr="004A34AD">
        <w:rPr>
          <w:rtl/>
        </w:rPr>
        <w:t xml:space="preserve"> ללא הגבלת זמן </w:t>
      </w:r>
      <w:r w:rsidRPr="004A34AD">
        <w:rPr>
          <w:rFonts w:hint="cs"/>
          <w:rtl/>
        </w:rPr>
        <w:t>ו</w:t>
      </w:r>
      <w:r w:rsidRPr="004A34AD">
        <w:rPr>
          <w:rtl/>
        </w:rPr>
        <w:t>בשכר דירה מסובסד</w:t>
      </w:r>
      <w:r w:rsidRPr="004A34AD">
        <w:rPr>
          <w:rFonts w:hint="cs"/>
          <w:rtl/>
        </w:rPr>
        <w:t>,</w:t>
      </w:r>
      <w:r w:rsidRPr="004A34AD">
        <w:rPr>
          <w:rtl/>
        </w:rPr>
        <w:t xml:space="preserve"> למשקי בית העומדים בתנאי הזכאות שקבעה המדינה</w:t>
      </w:r>
      <w:r w:rsidRPr="004A34AD">
        <w:rPr>
          <w:rFonts w:hint="cs"/>
          <w:rtl/>
        </w:rPr>
        <w:t>.</w:t>
      </w:r>
      <w:r w:rsidRPr="004A34AD">
        <w:rPr>
          <w:rtl/>
        </w:rPr>
        <w:t xml:space="preserve"> </w:t>
      </w:r>
      <w:r w:rsidRPr="004A34AD">
        <w:rPr>
          <w:rFonts w:hint="cs"/>
          <w:rtl/>
        </w:rPr>
        <w:t>משרד הבינוי והשיכון אחראי לניהול מאגר הדיור הציבורי, ובכלל זה לרכישת דירות, הקצאתן ותחזוקתן וכן למכירתן לדיירים</w:t>
      </w:r>
      <w:r w:rsidRPr="004A34AD">
        <w:rPr>
          <w:rtl/>
        </w:rPr>
        <w:t xml:space="preserve"> מכוח החלטות ממשלה שהתקבלו בנושא</w:t>
      </w:r>
      <w:r w:rsidRPr="004A34AD">
        <w:rPr>
          <w:rFonts w:hint="cs"/>
          <w:rtl/>
        </w:rPr>
        <w:t xml:space="preserve"> ומכוח חוק הדיור הציבורי (זכויות רכישה), התשנ"ט-1998, ש</w:t>
      </w:r>
      <w:r w:rsidRPr="004A34AD">
        <w:rPr>
          <w:rtl/>
        </w:rPr>
        <w:t>מטרת</w:t>
      </w:r>
      <w:r w:rsidRPr="004A34AD">
        <w:rPr>
          <w:rFonts w:hint="cs"/>
          <w:rtl/>
        </w:rPr>
        <w:t>ו</w:t>
      </w:r>
      <w:r w:rsidRPr="004A34AD">
        <w:rPr>
          <w:rtl/>
        </w:rPr>
        <w:t xml:space="preserve"> הייתה לצמצם את העוני</w:t>
      </w:r>
      <w:r w:rsidRPr="004A34AD">
        <w:rPr>
          <w:rFonts w:hint="cs"/>
          <w:rtl/>
        </w:rPr>
        <w:t xml:space="preserve"> בקרב אוכלוסיות ראויות לקידום</w:t>
      </w:r>
      <w:r w:rsidRPr="004A34AD">
        <w:rPr>
          <w:rtl/>
        </w:rPr>
        <w:t xml:space="preserve"> באמצעות העברת הון לידי משפחות ה</w:t>
      </w:r>
      <w:r w:rsidRPr="004A34AD">
        <w:rPr>
          <w:rFonts w:hint="cs"/>
          <w:rtl/>
        </w:rPr>
        <w:t xml:space="preserve">דיירים. תוקף החוק פג בפברואר 2023, </w:t>
      </w:r>
      <w:r w:rsidRPr="004A34AD">
        <w:rPr>
          <w:rtl/>
        </w:rPr>
        <w:t>אולם נכון לדצמבר 2023 מתקיים בכנסת הליך חקיקה להארכת תוקפו, בעקבות הצעות חוק פרטיות בנדון שהממשלה החליטה לתמוך בהן בקריאה הטרומית.</w:t>
      </w:r>
      <w:r w:rsidRPr="004A34AD">
        <w:rPr>
          <w:rFonts w:hint="cs"/>
          <w:rtl/>
        </w:rPr>
        <w:t xml:space="preserve"> יצוין כי </w:t>
      </w:r>
      <w:r w:rsidRPr="004A34AD">
        <w:rPr>
          <w:rtl/>
        </w:rPr>
        <w:t xml:space="preserve">בעשורים האחרונים </w:t>
      </w:r>
      <w:r w:rsidRPr="004A34AD">
        <w:rPr>
          <w:rFonts w:hint="cs"/>
          <w:rtl/>
        </w:rPr>
        <w:t>הלך ו</w:t>
      </w:r>
      <w:r w:rsidRPr="004A34AD">
        <w:rPr>
          <w:rtl/>
        </w:rPr>
        <w:t xml:space="preserve">קטן </w:t>
      </w:r>
      <w:r w:rsidRPr="004A34AD">
        <w:rPr>
          <w:rFonts w:hint="cs"/>
          <w:rtl/>
        </w:rPr>
        <w:t>מספר</w:t>
      </w:r>
      <w:r w:rsidRPr="004A34AD">
        <w:rPr>
          <w:rtl/>
        </w:rPr>
        <w:t xml:space="preserve"> הדירות הציבוריות</w:t>
      </w:r>
      <w:r w:rsidRPr="004A34AD">
        <w:rPr>
          <w:rFonts w:hint="cs"/>
          <w:rtl/>
        </w:rPr>
        <w:t>, בעיקר כי המדינה מכרה לדיירים יותר דירות משרכשה. בד בבד נמשכה העלייה במספר הזכאים הממתינים לדירה ציבורית</w:t>
      </w:r>
      <w:r w:rsidRPr="001F3363" w:rsidR="0036097F">
        <w:rPr>
          <w:rFonts w:hint="cs"/>
          <w:rtl/>
        </w:rPr>
        <w:t>.</w:t>
      </w:r>
    </w:p>
    <w:p w:rsidR="007F4A20" w:rsidP="007F4A20" w14:paraId="1BB6A956" w14:textId="31B01137">
      <w:pPr>
        <w:pStyle w:val="7392"/>
        <w:spacing w:before="360"/>
        <w:rPr>
          <w:rtl/>
        </w:rPr>
      </w:pPr>
      <w:r w:rsidRPr="001F3363">
        <w:rPr>
          <w:rtl/>
        </w:rPr>
        <w:t xml:space="preserve"> </w:t>
      </w:r>
    </w:p>
    <w:p w:rsidR="00327B4D" w:rsidP="007F4A20" w14:paraId="4FE0C221" w14:textId="7C84436D">
      <w:pPr>
        <w:pStyle w:val="7392"/>
        <w:spacing w:before="360"/>
        <w:rPr>
          <w:rtl/>
        </w:rPr>
      </w:pPr>
    </w:p>
    <w:p w:rsidR="00327B4D" w:rsidP="007F4A20" w14:paraId="2F87F212" w14:textId="77777777">
      <w:pPr>
        <w:pStyle w:val="7392"/>
        <w:spacing w:before="360"/>
        <w:rPr>
          <w:rtl/>
        </w:rPr>
        <w:sectPr w:rsidSect="00032F84">
          <w:headerReference w:type="even" r:id="rId17"/>
          <w:headerReference w:type="default" r:id="rId18"/>
          <w:footerReference w:type="even" r:id="rId19"/>
          <w:pgSz w:w="11906" w:h="16838" w:code="9"/>
          <w:pgMar w:top="3062" w:right="2268" w:bottom="2552" w:left="2268" w:header="1134" w:footer="1361" w:gutter="0"/>
          <w:pgNumType w:start="111"/>
          <w:cols w:space="708"/>
          <w:bidi/>
          <w:rtlGutter/>
          <w:docGrid w:linePitch="360"/>
        </w:sectPr>
      </w:pPr>
    </w:p>
    <w:p w:rsidR="00327B4D" w:rsidP="007F4A20" w14:paraId="791BABD3" w14:textId="359BA7FA">
      <w:pPr>
        <w:pStyle w:val="7392"/>
        <w:spacing w:before="360"/>
        <w:rPr>
          <w:rtl/>
        </w:rPr>
      </w:pPr>
    </w:p>
    <w:p w:rsidR="00DA5FD0" w:rsidP="007F4A20" w14:paraId="0B111747" w14:textId="77777777">
      <w:pPr>
        <w:pStyle w:val="7392"/>
        <w:spacing w:before="360"/>
        <w:rPr>
          <w:rtl/>
        </w:rPr>
      </w:pPr>
    </w:p>
    <w:p w:rsidR="00654A47" w:rsidP="007F4A20" w14:paraId="33F603C0" w14:textId="77777777">
      <w:pPr>
        <w:pStyle w:val="7392"/>
        <w:spacing w:before="360"/>
        <w:rPr>
          <w:rtl/>
        </w:rPr>
        <w:sectPr w:rsidSect="00327B4D">
          <w:type w:val="continuous"/>
          <w:pgSz w:w="11906" w:h="16838" w:code="9"/>
          <w:pgMar w:top="3062" w:right="2268" w:bottom="2552" w:left="2268" w:header="1134" w:footer="1361" w:gutter="0"/>
          <w:cols w:space="708"/>
          <w:bidi/>
          <w:rtlGutter/>
          <w:docGrid w:linePitch="360"/>
        </w:sectPr>
      </w:pPr>
    </w:p>
    <w:p w:rsidR="005D0F8C" w:rsidP="007F4A20" w14:paraId="76D8B1A1" w14:textId="2AFEF066">
      <w:pPr>
        <w:pStyle w:val="7392"/>
        <w:spacing w:before="360"/>
        <w:rPr>
          <w:b/>
          <w:bCs/>
          <w:color w:val="00305F"/>
          <w:sz w:val="32"/>
          <w:szCs w:val="32"/>
          <w:rtl/>
        </w:rPr>
      </w:pPr>
      <w:r w:rsidRPr="001F3363">
        <w:rPr>
          <w:noProof/>
          <w:rtl/>
        </w:rPr>
        <w:drawing>
          <wp:anchor distT="0" distB="0" distL="114300" distR="114300" simplePos="0" relativeHeight="251674624"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722367B2"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4"/>
        <w:gridCol w:w="277"/>
        <w:gridCol w:w="1508"/>
        <w:gridCol w:w="277"/>
        <w:gridCol w:w="1674"/>
        <w:gridCol w:w="277"/>
        <w:gridCol w:w="1663"/>
      </w:tblGrid>
      <w:tr w14:paraId="62CA4499" w14:textId="77777777" w:rsidTr="006234C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9" w:type="pct"/>
            <w:tcBorders>
              <w:bottom w:val="single" w:sz="12" w:space="0" w:color="000000" w:themeColor="text1"/>
            </w:tcBorders>
            <w:vAlign w:val="bottom"/>
          </w:tcPr>
          <w:p w:rsidR="006234C4" w:rsidRPr="006234C4" w:rsidP="006234C4" w14:paraId="534DFB65" w14:textId="77777777">
            <w:pPr>
              <w:spacing w:after="60" w:line="240" w:lineRule="auto"/>
              <w:rPr>
                <w:rFonts w:ascii="Tahoma" w:hAnsi="Tahoma" w:cs="Tahoma"/>
                <w:b/>
                <w:bCs/>
                <w:spacing w:val="-28"/>
                <w:sz w:val="36"/>
                <w:szCs w:val="36"/>
                <w:rtl/>
              </w:rPr>
            </w:pPr>
            <w:r w:rsidRPr="006234C4">
              <w:rPr>
                <w:rFonts w:ascii="Tahoma" w:hAnsi="Tahoma" w:eastAsiaTheme="minorEastAsia" w:cs="Tahoma"/>
                <w:b/>
                <w:bCs/>
                <w:color w:val="0D0D0D" w:themeColor="text1" w:themeTint="F2"/>
                <w:spacing w:val="-10"/>
                <w:sz w:val="26"/>
                <w:szCs w:val="26"/>
                <w:rtl/>
              </w:rPr>
              <w:t>כ-</w:t>
            </w:r>
            <w:r w:rsidRPr="006234C4">
              <w:rPr>
                <w:rFonts w:ascii="Tahoma" w:hAnsi="Tahoma" w:eastAsiaTheme="minorEastAsia" w:cs="Tahoma"/>
                <w:b/>
                <w:bCs/>
                <w:color w:val="0D0D0D" w:themeColor="text1" w:themeTint="F2"/>
                <w:spacing w:val="-10"/>
                <w:sz w:val="36"/>
                <w:szCs w:val="36"/>
                <w:rtl/>
              </w:rPr>
              <w:t>48,000</w:t>
            </w:r>
          </w:p>
        </w:tc>
        <w:tc>
          <w:tcPr>
            <w:tcW w:w="188" w:type="pct"/>
            <w:vAlign w:val="bottom"/>
          </w:tcPr>
          <w:p w:rsidR="006234C4" w:rsidRPr="006234C4" w:rsidP="006234C4" w14:paraId="71B22289" w14:textId="77777777">
            <w:pPr>
              <w:spacing w:before="120" w:after="60" w:line="240" w:lineRule="auto"/>
              <w:rPr>
                <w:rFonts w:ascii="Tahoma" w:hAnsi="Tahoma" w:cs="Tahoma"/>
                <w:b/>
                <w:bCs/>
                <w:sz w:val="36"/>
                <w:szCs w:val="36"/>
                <w:rtl/>
              </w:rPr>
            </w:pPr>
          </w:p>
        </w:tc>
        <w:tc>
          <w:tcPr>
            <w:tcW w:w="1023" w:type="pct"/>
            <w:tcBorders>
              <w:bottom w:val="single" w:sz="12" w:space="0" w:color="000000" w:themeColor="text1"/>
            </w:tcBorders>
            <w:vAlign w:val="bottom"/>
          </w:tcPr>
          <w:p w:rsidR="006234C4" w:rsidRPr="006234C4" w:rsidP="006234C4" w14:paraId="59E3E199" w14:textId="77777777">
            <w:pPr>
              <w:pStyle w:val="2021"/>
              <w:spacing w:before="0" w:after="60"/>
              <w:rPr>
                <w:spacing w:val="-10"/>
                <w:rtl/>
              </w:rPr>
            </w:pPr>
            <w:r w:rsidRPr="006234C4">
              <w:rPr>
                <w:spacing w:val="-10"/>
                <w:rtl/>
              </w:rPr>
              <w:t xml:space="preserve">460 </w:t>
            </w:r>
            <w:r w:rsidRPr="006234C4">
              <w:rPr>
                <w:spacing w:val="-10"/>
                <w:sz w:val="26"/>
                <w:szCs w:val="26"/>
                <w:rtl/>
              </w:rPr>
              <w:t>בלבד</w:t>
            </w:r>
            <w:r w:rsidRPr="006234C4">
              <w:rPr>
                <w:spacing w:val="-10"/>
                <w:rtl/>
              </w:rPr>
              <w:t xml:space="preserve"> </w:t>
            </w:r>
          </w:p>
        </w:tc>
        <w:tc>
          <w:tcPr>
            <w:tcW w:w="188" w:type="pct"/>
            <w:vAlign w:val="bottom"/>
          </w:tcPr>
          <w:p w:rsidR="006234C4" w:rsidRPr="006234C4" w:rsidP="006234C4" w14:paraId="16527FEE" w14:textId="77777777">
            <w:pPr>
              <w:spacing w:before="120" w:after="60" w:line="240" w:lineRule="auto"/>
              <w:rPr>
                <w:rFonts w:ascii="Tahoma" w:hAnsi="Tahoma" w:cs="Tahoma"/>
                <w:b/>
                <w:bCs/>
                <w:sz w:val="36"/>
                <w:szCs w:val="36"/>
                <w:rtl/>
              </w:rPr>
            </w:pPr>
          </w:p>
        </w:tc>
        <w:tc>
          <w:tcPr>
            <w:tcW w:w="1136" w:type="pct"/>
            <w:tcBorders>
              <w:bottom w:val="single" w:sz="12" w:space="0" w:color="000000" w:themeColor="text1"/>
            </w:tcBorders>
            <w:vAlign w:val="bottom"/>
          </w:tcPr>
          <w:p w:rsidR="006234C4" w:rsidRPr="006234C4" w:rsidP="006234C4" w14:paraId="76027CAA" w14:textId="77777777">
            <w:pPr>
              <w:pStyle w:val="2021"/>
              <w:spacing w:before="0" w:after="60"/>
              <w:rPr>
                <w:spacing w:val="-20"/>
                <w:rtl/>
              </w:rPr>
            </w:pPr>
            <w:r w:rsidRPr="006234C4">
              <w:rPr>
                <w:spacing w:val="-10"/>
                <w:rtl/>
              </w:rPr>
              <w:t xml:space="preserve">1.7% </w:t>
            </w:r>
            <w:r w:rsidRPr="006234C4">
              <w:rPr>
                <w:spacing w:val="-10"/>
                <w:sz w:val="26"/>
                <w:szCs w:val="26"/>
                <w:rtl/>
              </w:rPr>
              <w:t>בלבד</w:t>
            </w:r>
          </w:p>
        </w:tc>
        <w:tc>
          <w:tcPr>
            <w:tcW w:w="188" w:type="pct"/>
          </w:tcPr>
          <w:p w:rsidR="006234C4" w:rsidP="006234C4" w14:paraId="5875703B" w14:textId="77777777">
            <w:pPr>
              <w:pStyle w:val="2021"/>
              <w:spacing w:before="0" w:after="60"/>
              <w:rPr>
                <w:spacing w:val="-10"/>
                <w:rtl/>
              </w:rPr>
            </w:pPr>
          </w:p>
        </w:tc>
        <w:tc>
          <w:tcPr>
            <w:tcW w:w="1128" w:type="pct"/>
            <w:tcBorders>
              <w:bottom w:val="single" w:sz="12" w:space="0" w:color="000000" w:themeColor="text1"/>
            </w:tcBorders>
            <w:vAlign w:val="bottom"/>
          </w:tcPr>
          <w:p w:rsidR="006234C4" w:rsidP="006234C4" w14:paraId="2C5F659F" w14:textId="77777777">
            <w:pPr>
              <w:pStyle w:val="2021"/>
              <w:spacing w:before="0" w:after="60"/>
              <w:rPr>
                <w:spacing w:val="-10"/>
                <w:rtl/>
              </w:rPr>
            </w:pPr>
            <w:r>
              <w:rPr>
                <w:rFonts w:hint="cs"/>
                <w:spacing w:val="-10"/>
                <w:rtl/>
              </w:rPr>
              <w:t xml:space="preserve">0 </w:t>
            </w:r>
          </w:p>
        </w:tc>
      </w:tr>
      <w:tr w14:paraId="59618ECC" w14:textId="77777777" w:rsidTr="006234C4">
        <w:tblPrEx>
          <w:tblW w:w="5000" w:type="pct"/>
          <w:tblLook w:val="04A0"/>
        </w:tblPrEx>
        <w:tc>
          <w:tcPr>
            <w:tcW w:w="1149" w:type="pct"/>
            <w:tcBorders>
              <w:top w:val="single" w:sz="12" w:space="0" w:color="000000" w:themeColor="text1"/>
            </w:tcBorders>
          </w:tcPr>
          <w:p w:rsidR="006234C4" w:rsidRPr="00E52143" w:rsidP="006234C4" w14:paraId="04B6987F" w14:textId="77777777">
            <w:pPr>
              <w:pStyle w:val="732021"/>
              <w:spacing w:before="0"/>
              <w:rPr>
                <w:rtl/>
              </w:rPr>
            </w:pPr>
            <w:r w:rsidRPr="004A34AD">
              <w:rPr>
                <w:rFonts w:hint="cs"/>
                <w:rtl/>
              </w:rPr>
              <w:t>דירות במאגר הדיור הציבורי בשנת 2023, לעומת כ-54,000 דירות בשנת 2018</w:t>
            </w:r>
          </w:p>
        </w:tc>
        <w:tc>
          <w:tcPr>
            <w:tcW w:w="188" w:type="pct"/>
          </w:tcPr>
          <w:p w:rsidR="006234C4" w:rsidRPr="00E52143" w:rsidP="006234C4" w14:paraId="6C04FDBA" w14:textId="77777777">
            <w:pPr>
              <w:pStyle w:val="732021"/>
              <w:spacing w:before="0"/>
              <w:rPr>
                <w:rtl/>
              </w:rPr>
            </w:pPr>
          </w:p>
        </w:tc>
        <w:tc>
          <w:tcPr>
            <w:tcW w:w="1023" w:type="pct"/>
            <w:tcBorders>
              <w:top w:val="single" w:sz="12" w:space="0" w:color="000000" w:themeColor="text1"/>
            </w:tcBorders>
          </w:tcPr>
          <w:p w:rsidR="006234C4" w:rsidRPr="00E52143" w:rsidP="006234C4" w14:paraId="1686AE40" w14:textId="77777777">
            <w:pPr>
              <w:pStyle w:val="732021"/>
              <w:spacing w:before="0"/>
              <w:rPr>
                <w:rtl/>
              </w:rPr>
            </w:pPr>
            <w:r w:rsidRPr="004A34AD">
              <w:rPr>
                <w:rtl/>
              </w:rPr>
              <w:t>מספר הדירות שרכש משרד הבינוי והשיכון</w:t>
            </w:r>
            <w:r w:rsidRPr="004A34AD">
              <w:rPr>
                <w:rFonts w:hint="cs"/>
                <w:rtl/>
              </w:rPr>
              <w:t xml:space="preserve"> </w:t>
            </w:r>
            <w:r w:rsidRPr="004A34AD">
              <w:rPr>
                <w:rtl/>
              </w:rPr>
              <w:t>בשנים 2020 - 2022</w:t>
            </w:r>
            <w:r w:rsidRPr="004A34AD">
              <w:rPr>
                <w:rFonts w:hint="cs"/>
                <w:rtl/>
              </w:rPr>
              <w:t xml:space="preserve"> תמורת כ-676 מיליון ש"ח. זאת לעומת כ-3,500 דירות שנמכרו תמורת 1.13 מיליארד ש"ח באותה התקופה </w:t>
            </w:r>
          </w:p>
        </w:tc>
        <w:tc>
          <w:tcPr>
            <w:tcW w:w="188" w:type="pct"/>
          </w:tcPr>
          <w:p w:rsidR="006234C4" w:rsidRPr="00E52143" w:rsidP="006234C4" w14:paraId="47D79375" w14:textId="77777777">
            <w:pPr>
              <w:pStyle w:val="732021"/>
              <w:spacing w:before="0"/>
              <w:rPr>
                <w:rtl/>
              </w:rPr>
            </w:pPr>
          </w:p>
        </w:tc>
        <w:tc>
          <w:tcPr>
            <w:tcW w:w="1136" w:type="pct"/>
            <w:tcBorders>
              <w:top w:val="single" w:sz="12" w:space="0" w:color="000000" w:themeColor="text1"/>
            </w:tcBorders>
          </w:tcPr>
          <w:p w:rsidR="006234C4" w:rsidRPr="00E52143" w:rsidP="006234C4" w14:paraId="3440D0E9" w14:textId="77777777">
            <w:pPr>
              <w:pStyle w:val="732021"/>
              <w:spacing w:before="0"/>
              <w:rPr>
                <w:rtl/>
              </w:rPr>
            </w:pPr>
            <w:r w:rsidRPr="004A34AD">
              <w:rPr>
                <w:rtl/>
              </w:rPr>
              <w:t xml:space="preserve">שיעור הדירות הציבוריות ויחה"ד לקשישים, </w:t>
            </w:r>
            <w:r w:rsidRPr="004A34AD">
              <w:rPr>
                <w:rFonts w:hint="cs"/>
                <w:rtl/>
              </w:rPr>
              <w:t xml:space="preserve">הנמצאות </w:t>
            </w:r>
            <w:r w:rsidRPr="004A34AD">
              <w:rPr>
                <w:rtl/>
              </w:rPr>
              <w:t xml:space="preserve">בניהול משרד הבינוי והשיכון, מכלל הדירות בישראל בשנת 2022 - </w:t>
            </w:r>
            <w:r w:rsidRPr="004A34AD">
              <w:rPr>
                <w:rFonts w:hint="cs"/>
                <w:rtl/>
              </w:rPr>
              <w:t xml:space="preserve">שיעור </w:t>
            </w:r>
            <w:r w:rsidRPr="004A34AD">
              <w:rPr>
                <w:rtl/>
              </w:rPr>
              <w:t>נמוך משיעורן בשנת 2018 (2%)</w:t>
            </w:r>
          </w:p>
        </w:tc>
        <w:tc>
          <w:tcPr>
            <w:tcW w:w="188" w:type="pct"/>
          </w:tcPr>
          <w:p w:rsidR="006234C4" w:rsidRPr="00E52143" w:rsidP="006234C4" w14:paraId="359B5994" w14:textId="77777777">
            <w:pPr>
              <w:pStyle w:val="732021"/>
              <w:spacing w:before="0"/>
              <w:rPr>
                <w:rtl/>
              </w:rPr>
            </w:pPr>
          </w:p>
        </w:tc>
        <w:tc>
          <w:tcPr>
            <w:tcW w:w="1128" w:type="pct"/>
            <w:tcBorders>
              <w:top w:val="single" w:sz="12" w:space="0" w:color="000000" w:themeColor="text1"/>
            </w:tcBorders>
          </w:tcPr>
          <w:p w:rsidR="006234C4" w:rsidRPr="00E52143" w:rsidP="006234C4" w14:paraId="23C861ED" w14:textId="77777777">
            <w:pPr>
              <w:pStyle w:val="732021"/>
              <w:spacing w:before="0"/>
              <w:rPr>
                <w:rtl/>
              </w:rPr>
            </w:pPr>
            <w:r w:rsidRPr="004A34AD">
              <w:rPr>
                <w:rFonts w:hint="cs"/>
                <w:rtl/>
              </w:rPr>
              <w:t>דירות ציבוריות נכללו בשנים 2021 - 2023 בתוכניות "מחיר מופחת" ו"מחיר מטרה", שבמסגרתן שיווקה המדינה קרקעות בהנחה לטובת חסרי דירה</w:t>
            </w:r>
          </w:p>
        </w:tc>
      </w:tr>
      <w:tr w14:paraId="0540C26A" w14:textId="77777777" w:rsidTr="006234C4">
        <w:tblPrEx>
          <w:tblW w:w="5000" w:type="pct"/>
          <w:tblLook w:val="04A0"/>
        </w:tblPrEx>
        <w:tc>
          <w:tcPr>
            <w:tcW w:w="1149" w:type="pct"/>
            <w:tcBorders>
              <w:bottom w:val="single" w:sz="12" w:space="0" w:color="000000" w:themeColor="text1"/>
            </w:tcBorders>
            <w:vAlign w:val="bottom"/>
          </w:tcPr>
          <w:p w:rsidR="006234C4" w:rsidRPr="006234C4" w:rsidP="006234C4" w14:paraId="0EB00FD0" w14:textId="77777777">
            <w:pPr>
              <w:spacing w:line="240" w:lineRule="auto"/>
              <w:rPr>
                <w:rFonts w:ascii="Tahoma" w:hAnsi="Tahoma" w:eastAsiaTheme="minorEastAsia" w:cs="Tahoma"/>
                <w:b/>
                <w:bCs/>
                <w:color w:val="0D0D0D" w:themeColor="text1" w:themeTint="F2"/>
                <w:spacing w:val="-10"/>
                <w:sz w:val="36"/>
                <w:szCs w:val="36"/>
                <w:rtl/>
              </w:rPr>
            </w:pPr>
            <w:r w:rsidRPr="006234C4">
              <w:rPr>
                <w:rFonts w:ascii="Tahoma" w:hAnsi="Tahoma" w:eastAsiaTheme="minorEastAsia" w:cs="Tahoma"/>
                <w:b/>
                <w:bCs/>
                <w:color w:val="0D0D0D" w:themeColor="text1" w:themeTint="F2"/>
                <w:spacing w:val="-10"/>
                <w:sz w:val="26"/>
                <w:szCs w:val="26"/>
                <w:rtl/>
              </w:rPr>
              <w:t>כ-</w:t>
            </w:r>
            <w:r w:rsidRPr="006234C4">
              <w:rPr>
                <w:rFonts w:ascii="Tahoma" w:hAnsi="Tahoma" w:eastAsiaTheme="minorEastAsia" w:cs="Tahoma"/>
                <w:b/>
                <w:bCs/>
                <w:color w:val="0D0D0D" w:themeColor="text1" w:themeTint="F2"/>
                <w:spacing w:val="-10"/>
                <w:sz w:val="36"/>
                <w:szCs w:val="36"/>
                <w:rtl/>
              </w:rPr>
              <w:t>4,300</w:t>
            </w:r>
          </w:p>
        </w:tc>
        <w:tc>
          <w:tcPr>
            <w:tcW w:w="188" w:type="pct"/>
            <w:vAlign w:val="bottom"/>
          </w:tcPr>
          <w:p w:rsidR="006234C4" w:rsidRPr="006234C4" w:rsidP="006234C4" w14:paraId="135B6107" w14:textId="77777777">
            <w:pPr>
              <w:spacing w:after="120"/>
              <w:jc w:val="left"/>
              <w:rPr>
                <w:rFonts w:ascii="Tahoma" w:hAnsi="Tahoma" w:eastAsiaTheme="minorEastAsia" w:cs="Tahoma"/>
                <w:b/>
                <w:bCs/>
                <w:color w:val="0D0D0D" w:themeColor="text1" w:themeTint="F2"/>
                <w:spacing w:val="-10"/>
                <w:sz w:val="36"/>
                <w:szCs w:val="36"/>
                <w:rtl/>
              </w:rPr>
            </w:pPr>
          </w:p>
        </w:tc>
        <w:tc>
          <w:tcPr>
            <w:tcW w:w="1023" w:type="pct"/>
            <w:tcBorders>
              <w:bottom w:val="single" w:sz="12" w:space="0" w:color="000000" w:themeColor="text1"/>
            </w:tcBorders>
            <w:vAlign w:val="bottom"/>
          </w:tcPr>
          <w:p w:rsidR="006234C4" w:rsidRPr="006234C4" w:rsidP="006234C4" w14:paraId="33A60171" w14:textId="77777777">
            <w:pPr>
              <w:pStyle w:val="2021"/>
              <w:spacing w:before="0" w:after="60"/>
              <w:rPr>
                <w:spacing w:val="-10"/>
                <w:rtl/>
              </w:rPr>
            </w:pPr>
            <w:r w:rsidRPr="006234C4">
              <w:rPr>
                <w:spacing w:val="-10"/>
                <w:rtl/>
              </w:rPr>
              <w:t xml:space="preserve">35 </w:t>
            </w:r>
            <w:r w:rsidRPr="006234C4">
              <w:rPr>
                <w:spacing w:val="-10"/>
                <w:sz w:val="26"/>
                <w:szCs w:val="26"/>
                <w:rtl/>
              </w:rPr>
              <w:t>חודשים</w:t>
            </w:r>
          </w:p>
        </w:tc>
        <w:tc>
          <w:tcPr>
            <w:tcW w:w="188" w:type="pct"/>
            <w:vAlign w:val="bottom"/>
          </w:tcPr>
          <w:p w:rsidR="006234C4" w:rsidRPr="006234C4" w:rsidP="006234C4" w14:paraId="029212DD" w14:textId="77777777">
            <w:pPr>
              <w:spacing w:after="120" w:line="240" w:lineRule="auto"/>
              <w:jc w:val="left"/>
              <w:rPr>
                <w:rFonts w:ascii="Tahoma" w:hAnsi="Tahoma" w:cs="Tahoma"/>
                <w:b/>
                <w:bCs/>
                <w:rtl/>
              </w:rPr>
            </w:pPr>
          </w:p>
        </w:tc>
        <w:tc>
          <w:tcPr>
            <w:tcW w:w="1136" w:type="pct"/>
            <w:tcBorders>
              <w:bottom w:val="single" w:sz="12" w:space="0" w:color="000000" w:themeColor="text1"/>
            </w:tcBorders>
            <w:vAlign w:val="bottom"/>
          </w:tcPr>
          <w:p w:rsidR="006234C4" w:rsidRPr="006234C4" w:rsidP="006234C4" w14:paraId="38EA4E59" w14:textId="77777777">
            <w:pPr>
              <w:spacing w:after="60" w:line="192" w:lineRule="auto"/>
              <w:rPr>
                <w:rFonts w:ascii="Tahoma" w:hAnsi="Tahoma" w:eastAsiaTheme="minorEastAsia" w:cs="Tahoma"/>
                <w:b/>
                <w:bCs/>
                <w:color w:val="0D0D0D" w:themeColor="text1" w:themeTint="F2"/>
                <w:spacing w:val="-10"/>
                <w:sz w:val="36"/>
                <w:szCs w:val="36"/>
                <w:rtl/>
              </w:rPr>
            </w:pPr>
            <w:r w:rsidRPr="006234C4">
              <w:rPr>
                <w:rFonts w:ascii="Tahoma" w:hAnsi="Tahoma" w:eastAsiaTheme="minorEastAsia" w:cs="Tahoma"/>
                <w:b/>
                <w:bCs/>
                <w:color w:val="0D0D0D" w:themeColor="text1" w:themeTint="F2"/>
                <w:spacing w:val="-10"/>
                <w:sz w:val="36"/>
                <w:szCs w:val="36"/>
                <w:rtl/>
              </w:rPr>
              <w:t xml:space="preserve">6 </w:t>
            </w:r>
          </w:p>
        </w:tc>
        <w:tc>
          <w:tcPr>
            <w:tcW w:w="188" w:type="pct"/>
          </w:tcPr>
          <w:p w:rsidR="006234C4" w:rsidP="006234C4" w14:paraId="0FCC90AB" w14:textId="77777777">
            <w:pPr>
              <w:spacing w:after="60" w:line="240" w:lineRule="auto"/>
              <w:rPr>
                <w:rFonts w:ascii="Tahoma" w:hAnsi="Tahoma" w:eastAsiaTheme="minorEastAsia" w:cs="Tahoma"/>
                <w:b/>
                <w:bCs/>
                <w:color w:val="0D0D0D" w:themeColor="text1" w:themeTint="F2"/>
                <w:spacing w:val="-10"/>
                <w:sz w:val="36"/>
                <w:szCs w:val="36"/>
                <w:rtl/>
              </w:rPr>
            </w:pPr>
          </w:p>
        </w:tc>
        <w:tc>
          <w:tcPr>
            <w:tcW w:w="1128" w:type="pct"/>
            <w:tcBorders>
              <w:bottom w:val="single" w:sz="12" w:space="0" w:color="000000" w:themeColor="text1"/>
            </w:tcBorders>
            <w:vAlign w:val="bottom"/>
          </w:tcPr>
          <w:p w:rsidR="006234C4" w:rsidP="006234C4" w14:paraId="35D69C8E" w14:textId="77777777">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0</w:t>
            </w:r>
          </w:p>
        </w:tc>
      </w:tr>
      <w:tr w14:paraId="09ACF9B3" w14:textId="77777777" w:rsidTr="006234C4">
        <w:tblPrEx>
          <w:tblW w:w="5000" w:type="pct"/>
          <w:tblLook w:val="04A0"/>
        </w:tblPrEx>
        <w:tc>
          <w:tcPr>
            <w:tcW w:w="1149" w:type="pct"/>
            <w:tcBorders>
              <w:top w:val="single" w:sz="12" w:space="0" w:color="000000" w:themeColor="text1"/>
            </w:tcBorders>
          </w:tcPr>
          <w:p w:rsidR="006234C4" w:rsidRPr="004562F8" w:rsidP="006234C4" w14:paraId="206F1348" w14:textId="77777777">
            <w:pPr>
              <w:pStyle w:val="732021"/>
              <w:spacing w:before="0" w:after="0"/>
              <w:rPr>
                <w:rtl/>
              </w:rPr>
            </w:pPr>
            <w:bookmarkStart w:id="1" w:name="_Hlk153270023"/>
            <w:r w:rsidRPr="004A34AD">
              <w:rPr>
                <w:rFonts w:hint="cs"/>
                <w:rtl/>
              </w:rPr>
              <w:t>מספר ה</w:t>
            </w:r>
            <w:r w:rsidRPr="004A34AD">
              <w:rPr>
                <w:rtl/>
              </w:rPr>
              <w:t xml:space="preserve">זכאים </w:t>
            </w:r>
            <w:r w:rsidRPr="004A34AD">
              <w:rPr>
                <w:rFonts w:hint="cs"/>
                <w:rtl/>
              </w:rPr>
              <w:t>שהמתינו לדירה בדיור הציבורי במאי 2023, לעומת 3,700 בשנת 2019</w:t>
            </w:r>
            <w:bookmarkEnd w:id="1"/>
          </w:p>
        </w:tc>
        <w:tc>
          <w:tcPr>
            <w:tcW w:w="188" w:type="pct"/>
          </w:tcPr>
          <w:p w:rsidR="006234C4" w:rsidRPr="008D750B" w:rsidP="006234C4" w14:paraId="60438287" w14:textId="77777777">
            <w:pPr>
              <w:pStyle w:val="732021"/>
              <w:spacing w:before="0" w:after="0"/>
              <w:rPr>
                <w:rtl/>
              </w:rPr>
            </w:pPr>
          </w:p>
        </w:tc>
        <w:tc>
          <w:tcPr>
            <w:tcW w:w="1023" w:type="pct"/>
            <w:tcBorders>
              <w:top w:val="single" w:sz="12" w:space="0" w:color="000000" w:themeColor="text1"/>
            </w:tcBorders>
          </w:tcPr>
          <w:p w:rsidR="006234C4" w:rsidRPr="004562F8" w:rsidP="006234C4" w14:paraId="18F358ED" w14:textId="77777777">
            <w:pPr>
              <w:pStyle w:val="732021"/>
              <w:spacing w:before="0" w:after="0"/>
              <w:rPr>
                <w:rtl/>
              </w:rPr>
            </w:pPr>
            <w:r w:rsidRPr="004A34AD">
              <w:rPr>
                <w:rtl/>
              </w:rPr>
              <w:t xml:space="preserve">זמן ההמתנה הארצי הממוצע </w:t>
            </w:r>
            <w:r w:rsidRPr="004A34AD">
              <w:rPr>
                <w:rFonts w:hint="cs"/>
                <w:rtl/>
              </w:rPr>
              <w:t>לדירה נכון למאי 2023, לעומת 31 חודשים בשנת 2019 (עלייה של כ-13%)</w:t>
            </w:r>
          </w:p>
        </w:tc>
        <w:tc>
          <w:tcPr>
            <w:tcW w:w="188" w:type="pct"/>
          </w:tcPr>
          <w:p w:rsidR="006234C4" w:rsidP="006234C4" w14:paraId="4AA73472" w14:textId="77777777">
            <w:pPr>
              <w:pStyle w:val="732021"/>
              <w:spacing w:before="0" w:after="0"/>
              <w:rPr>
                <w:rtl/>
              </w:rPr>
            </w:pPr>
          </w:p>
        </w:tc>
        <w:tc>
          <w:tcPr>
            <w:tcW w:w="1136" w:type="pct"/>
            <w:tcBorders>
              <w:top w:val="single" w:sz="12" w:space="0" w:color="000000" w:themeColor="text1"/>
            </w:tcBorders>
          </w:tcPr>
          <w:p w:rsidR="006234C4" w:rsidRPr="0062456C" w:rsidP="006234C4" w14:paraId="0B93C3AC" w14:textId="77777777">
            <w:pPr>
              <w:pStyle w:val="732021"/>
              <w:spacing w:before="0" w:after="0"/>
              <w:rPr>
                <w:rtl/>
              </w:rPr>
            </w:pPr>
            <w:r w:rsidRPr="004A34AD">
              <w:rPr>
                <w:rFonts w:hint="cs"/>
                <w:rtl/>
              </w:rPr>
              <w:t>דירות ציבוריות רכש משרד הבינוי והשיכון</w:t>
            </w:r>
            <w:r w:rsidRPr="004A34AD">
              <w:rPr>
                <w:rtl/>
              </w:rPr>
              <w:t xml:space="preserve"> </w:t>
            </w:r>
            <w:r w:rsidRPr="004A34AD">
              <w:rPr>
                <w:rFonts w:hint="cs"/>
                <w:rtl/>
              </w:rPr>
              <w:t xml:space="preserve">עד סוף שנת 2023 </w:t>
            </w:r>
            <w:r w:rsidRPr="004A34AD">
              <w:rPr>
                <w:rtl/>
              </w:rPr>
              <w:t>ב</w:t>
            </w:r>
            <w:r w:rsidRPr="004A34AD">
              <w:rPr>
                <w:rFonts w:hint="cs"/>
                <w:rtl/>
              </w:rPr>
              <w:t xml:space="preserve">מודיעין עילית, שבה לא היו דירות ציבוריות כלל, </w:t>
            </w:r>
            <w:r w:rsidRPr="004A34AD">
              <w:rPr>
                <w:rtl/>
              </w:rPr>
              <w:t xml:space="preserve">מתוך 11 דירות </w:t>
            </w:r>
            <w:r w:rsidRPr="004A34AD">
              <w:rPr>
                <w:rFonts w:hint="cs"/>
                <w:rtl/>
              </w:rPr>
              <w:t>שהוחלט על רכישתן בעיר זו בשנת 2022</w:t>
            </w:r>
          </w:p>
        </w:tc>
        <w:tc>
          <w:tcPr>
            <w:tcW w:w="188" w:type="pct"/>
          </w:tcPr>
          <w:p w:rsidR="006234C4" w:rsidRPr="00C92141" w:rsidP="006234C4" w14:paraId="3EC6512F" w14:textId="77777777">
            <w:pPr>
              <w:pStyle w:val="732021"/>
              <w:spacing w:before="0" w:after="0"/>
              <w:rPr>
                <w:rtl/>
              </w:rPr>
            </w:pPr>
          </w:p>
        </w:tc>
        <w:tc>
          <w:tcPr>
            <w:tcW w:w="1128" w:type="pct"/>
            <w:tcBorders>
              <w:top w:val="single" w:sz="12" w:space="0" w:color="000000" w:themeColor="text1"/>
            </w:tcBorders>
          </w:tcPr>
          <w:p w:rsidR="006234C4" w:rsidRPr="00C92141" w:rsidP="006234C4" w14:paraId="59255EA6" w14:textId="77777777">
            <w:pPr>
              <w:pStyle w:val="732021"/>
              <w:spacing w:before="0" w:after="0"/>
              <w:rPr>
                <w:rtl/>
              </w:rPr>
            </w:pPr>
            <w:r w:rsidRPr="004A34AD">
              <w:rPr>
                <w:rFonts w:hint="cs"/>
                <w:rtl/>
              </w:rPr>
              <w:t>דירות ציבוריות רכש משרד הבינוי והשיכון</w:t>
            </w:r>
            <w:r w:rsidRPr="004A34AD">
              <w:rPr>
                <w:rtl/>
              </w:rPr>
              <w:t xml:space="preserve"> </w:t>
            </w:r>
            <w:r w:rsidRPr="004A34AD">
              <w:rPr>
                <w:rFonts w:hint="cs"/>
                <w:rtl/>
              </w:rPr>
              <w:t>ביישובי מיעוטים, שבהם לא היו דירות ציבוריות כלל עד סוף שנת 2023, אף שבשנת 2020 הוחלט על רכישת 10 דירות ביישובים אלה</w:t>
            </w:r>
          </w:p>
        </w:tc>
      </w:tr>
    </w:tbl>
    <w:p w:rsidR="00420374" w:rsidP="00420374" w14:paraId="4BF3F103" w14:textId="77777777">
      <w:pPr>
        <w:pStyle w:val="7317"/>
        <w:spacing w:after="0"/>
        <w:rPr>
          <w:sz w:val="10"/>
          <w:szCs w:val="10"/>
          <w:rtl/>
        </w:rPr>
      </w:pPr>
    </w:p>
    <w:p w:rsidR="00420374" w:rsidRPr="00C62692" w:rsidP="00420374" w14:paraId="6871E7A3" w14:textId="77777777">
      <w:pPr>
        <w:pStyle w:val="73"/>
        <w:rPr>
          <w:rtl/>
        </w:rPr>
      </w:pPr>
      <w:r w:rsidRPr="00C62692">
        <w:rPr>
          <w:rtl/>
        </w:rPr>
        <w:t>פעולות הביקורת</w:t>
      </w:r>
    </w:p>
    <w:p w:rsidR="00327B4D" w:rsidP="00327B4D" w14:paraId="42514E9B" w14:textId="6A60DF1A">
      <w:pPr>
        <w:pStyle w:val="7317"/>
        <w:rPr>
          <w:noProof/>
          <w:rtl/>
        </w:rPr>
        <w:sectPr w:rsidSect="00F35B8C">
          <w:headerReference w:type="default" r:id="rId21"/>
          <w:pgSz w:w="11906" w:h="16838" w:code="9"/>
          <w:pgMar w:top="3062" w:right="2268" w:bottom="2552" w:left="2268" w:header="1134" w:footer="1361" w:gutter="0"/>
          <w:cols w:space="708"/>
          <w:bidi/>
          <w:rtlGutter/>
          <w:docGrid w:linePitch="360"/>
        </w:sectPr>
      </w:pPr>
      <w:r w:rsidRPr="001F3363">
        <w:rPr>
          <w:noProof/>
        </w:rPr>
        <w:drawing>
          <wp:anchor distT="0" distB="0" distL="114300" distR="114300" simplePos="0" relativeHeight="251680768"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34AD" w:rsidR="006234C4">
        <w:rPr>
          <w:noProof/>
          <w:rtl/>
        </w:rPr>
        <w:t xml:space="preserve">במאי 2020 פרסם משרד מבקר המדינה דוח בעניין רכישה ומכירה של דירות הדיור הציבורי (הדוח הקודם או הביקורת הקודמת). בחודשים פברואר עד ספטמבר 2023 </w:t>
      </w:r>
      <w:r w:rsidRPr="004A34AD" w:rsidR="006234C4">
        <w:rPr>
          <w:rFonts w:hint="cs"/>
          <w:noProof/>
          <w:rtl/>
        </w:rPr>
        <w:t>עשה</w:t>
      </w:r>
      <w:r w:rsidRPr="004A34AD" w:rsidR="006234C4">
        <w:rPr>
          <w:noProof/>
          <w:rtl/>
        </w:rPr>
        <w:t xml:space="preserve"> משרד מבקר המדינה ביקורת מעקב אחר תיקון הליקויים העיקריים שהועלו בדוח הקודם,</w:t>
      </w:r>
      <w:r w:rsidRPr="00C07157" w:rsidR="006234C4">
        <w:rPr>
          <w:noProof/>
          <w:rtl/>
        </w:rPr>
        <w:t xml:space="preserve"> </w:t>
      </w:r>
      <w:r w:rsidRPr="004A34AD" w:rsidR="006234C4">
        <w:rPr>
          <w:noProof/>
          <w:rtl/>
        </w:rPr>
        <w:t>בדוח הנוכחי מובאים ממצאי המעקב</w:t>
      </w:r>
      <w:r w:rsidRPr="004A34AD" w:rsidR="006234C4">
        <w:rPr>
          <w:rFonts w:hint="cs"/>
          <w:noProof/>
          <w:rtl/>
        </w:rPr>
        <w:t>,</w:t>
      </w:r>
      <w:r w:rsidRPr="004A34AD" w:rsidR="006234C4">
        <w:rPr>
          <w:noProof/>
          <w:rtl/>
        </w:rPr>
        <w:t xml:space="preserve"> לרבות יישום החלטות, פעולות שנעשו לשם הגדלת מלאי </w:t>
      </w:r>
    </w:p>
    <w:p w:rsidR="00420374" w:rsidP="00DA5FD0" w14:paraId="74D05977" w14:textId="280AD31A">
      <w:pPr>
        <w:pStyle w:val="7317"/>
        <w:rPr>
          <w:rtl/>
        </w:rPr>
      </w:pPr>
      <w:r w:rsidRPr="004A34AD">
        <w:rPr>
          <w:noProof/>
          <w:rtl/>
        </w:rPr>
        <w:t>הדירות הציבוריות ופעולות שנקט משרד הבינוי והשיכון למיצוי פוטנציאל מלאי הדירות</w:t>
      </w:r>
      <w:r w:rsidR="00DA5FD0">
        <w:rPr>
          <w:rFonts w:hint="cs"/>
          <w:noProof/>
          <w:rtl/>
        </w:rPr>
        <w:t xml:space="preserve"> </w:t>
      </w:r>
      <w:r w:rsidRPr="004A34AD">
        <w:rPr>
          <w:noProof/>
          <w:rtl/>
        </w:rPr>
        <w:t xml:space="preserve"> הציבוריות הקיימות. הבדיקות נעשו במשרד הבינוי והשיכון ו</w:t>
      </w:r>
      <w:r w:rsidRPr="004A34AD">
        <w:rPr>
          <w:rFonts w:hint="cs"/>
          <w:noProof/>
          <w:rtl/>
        </w:rPr>
        <w:t xml:space="preserve">כן </w:t>
      </w:r>
      <w:r w:rsidRPr="004A34AD">
        <w:rPr>
          <w:noProof/>
          <w:rtl/>
        </w:rPr>
        <w:t xml:space="preserve">בעמידר - החברה הלאומית לשיכון בישראל בע"מ. בדיקות השלמה נעשו במשרד האוצר, במשרד המשפטים ובמשרד </w:t>
      </w:r>
      <w:r w:rsidRPr="004A34AD">
        <w:rPr>
          <w:rFonts w:hint="cs"/>
          <w:noProof/>
          <w:rtl/>
        </w:rPr>
        <w:t>העלייה ו</w:t>
      </w:r>
      <w:r w:rsidRPr="004A34AD">
        <w:rPr>
          <w:noProof/>
          <w:rtl/>
        </w:rPr>
        <w:t>הקליטה</w:t>
      </w:r>
      <w:r w:rsidR="00707E82">
        <w:rPr>
          <w:rFonts w:hint="cs"/>
          <w:rtl/>
        </w:rPr>
        <w:t>.</w:t>
      </w:r>
      <w:r w:rsidRPr="001F3363" w:rsidR="00707E82">
        <w:rPr>
          <w:rFonts w:hint="cs"/>
          <w:rtl/>
        </w:rPr>
        <w:t xml:space="preserve"> </w:t>
      </w:r>
    </w:p>
    <w:p w:rsidR="002753C7" w:rsidRPr="00662020" w:rsidP="00C0149E" w14:paraId="780510BB" w14:textId="77777777">
      <w:pPr>
        <w:pStyle w:val="7327"/>
        <w:spacing w:after="360"/>
        <w:rPr>
          <w:rtl/>
        </w:rPr>
      </w:pPr>
      <w:r w:rsidRPr="00662020">
        <w:rPr>
          <w:rFonts w:hint="cs"/>
          <w:rtl/>
        </w:rPr>
        <w:t>תמונת המצב העולה מן הביקורת</w:t>
      </w:r>
    </w:p>
    <w:p w:rsidR="002753C7" w:rsidRPr="001F3363" w:rsidP="00420374" w14:paraId="755FC25A" w14:textId="77777777">
      <w:pPr>
        <w:pStyle w:val="7317"/>
        <w:rPr>
          <w:rtl/>
        </w:rPr>
      </w:pPr>
      <w:r w:rsidRPr="00362C00">
        <w:rPr>
          <w:noProof/>
          <w:rtl/>
        </w:rPr>
        <w:drawing>
          <wp:anchor distT="0" distB="0" distL="114300" distR="114300" simplePos="0" relativeHeight="251681792" behindDoc="0" locked="0" layoutInCell="1" allowOverlap="1">
            <wp:simplePos x="0" y="0"/>
            <wp:positionH relativeFrom="column">
              <wp:posOffset>2540000</wp:posOffset>
            </wp:positionH>
            <wp:positionV relativeFrom="paragraph">
              <wp:posOffset>26035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303B4E" w:rsidP="00C0149E" w14:paraId="75AFF09A" w14:textId="77777777">
      <w:pPr>
        <w:pStyle w:val="7317"/>
        <w:spacing w:before="240"/>
        <w:rPr>
          <w:rtl/>
        </w:rPr>
      </w:pPr>
      <w:r w:rsidRPr="00C0149E">
        <w:rPr>
          <w:rFonts w:hint="cs"/>
          <w:b/>
          <w:bCs/>
          <w:noProof/>
          <w:rtl/>
        </w:rPr>
        <w:drawing>
          <wp:anchor distT="0" distB="0" distL="71755" distR="0" simplePos="0" relativeHeight="251682816" behindDoc="1" locked="0" layoutInCell="1" allowOverlap="1">
            <wp:simplePos x="0" y="0"/>
            <wp:positionH relativeFrom="column">
              <wp:posOffset>4526915</wp:posOffset>
            </wp:positionH>
            <wp:positionV relativeFrom="paragraph">
              <wp:posOffset>68359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0149E" w:rsidR="006234C4">
        <w:rPr>
          <w:rFonts w:hint="cs"/>
          <w:b/>
          <w:bCs/>
          <w:rtl/>
        </w:rPr>
        <w:t>עלייה במספר הזכאים הממתינים -</w:t>
      </w:r>
      <w:r w:rsidRPr="004A34AD" w:rsidR="006234C4">
        <w:rPr>
          <w:rFonts w:hint="cs"/>
          <w:rtl/>
        </w:rPr>
        <w:t xml:space="preserve"> ב</w:t>
      </w:r>
      <w:r w:rsidRPr="004A34AD" w:rsidR="006234C4">
        <w:rPr>
          <w:rtl/>
        </w:rPr>
        <w:t>מאי 2023</w:t>
      </w:r>
      <w:r w:rsidRPr="004A34AD" w:rsidR="006234C4">
        <w:rPr>
          <w:rFonts w:hint="cs"/>
          <w:rtl/>
        </w:rPr>
        <w:t xml:space="preserve"> מספר</w:t>
      </w:r>
      <w:r w:rsidRPr="004A34AD" w:rsidR="006234C4">
        <w:rPr>
          <w:rtl/>
        </w:rPr>
        <w:t xml:space="preserve"> הזכאים </w:t>
      </w:r>
      <w:r w:rsidRPr="004A34AD" w:rsidR="006234C4">
        <w:rPr>
          <w:rFonts w:hint="cs"/>
          <w:rtl/>
        </w:rPr>
        <w:t>שהמתינו</w:t>
      </w:r>
      <w:r w:rsidRPr="004A34AD" w:rsidR="006234C4">
        <w:rPr>
          <w:rtl/>
        </w:rPr>
        <w:t xml:space="preserve"> לדירה בדיור הציבורי</w:t>
      </w:r>
      <w:r w:rsidRPr="004A34AD" w:rsidR="006234C4">
        <w:rPr>
          <w:rFonts w:hint="cs"/>
          <w:rtl/>
        </w:rPr>
        <w:t xml:space="preserve"> היה כ-4,300 </w:t>
      </w:r>
      <w:r w:rsidRPr="004A34AD" w:rsidR="006234C4">
        <w:rPr>
          <w:rtl/>
        </w:rPr>
        <w:t>לעומת 3,700 בשנת 2019</w:t>
      </w:r>
      <w:r w:rsidRPr="004A34AD" w:rsidR="006234C4">
        <w:rPr>
          <w:rFonts w:hint="cs"/>
          <w:rtl/>
        </w:rPr>
        <w:t xml:space="preserve"> (גידול של כ-</w:t>
      </w:r>
      <w:r w:rsidR="006234C4">
        <w:rPr>
          <w:rFonts w:hint="cs"/>
          <w:rtl/>
        </w:rPr>
        <w:t>16%)</w:t>
      </w:r>
      <w:r w:rsidRPr="00303B4E">
        <w:rPr>
          <w:rtl/>
        </w:rPr>
        <w:t>.</w:t>
      </w:r>
    </w:p>
    <w:p w:rsidR="00420374" w:rsidRPr="0093709F" w:rsidP="00DA022A" w14:paraId="79AE3229" w14:textId="77777777">
      <w:pPr>
        <w:pStyle w:val="7392"/>
        <w:ind w:left="424"/>
      </w:pPr>
      <w:r w:rsidRPr="00B02658">
        <w:rPr>
          <w:rFonts w:hint="cs"/>
          <w:b/>
          <w:bCs/>
          <w:noProof/>
          <w:rtl/>
        </w:rPr>
        <w:drawing>
          <wp:anchor distT="0" distB="720090" distL="114300" distR="114300" simplePos="0" relativeHeight="251683840" behindDoc="1" locked="0" layoutInCell="1" allowOverlap="1">
            <wp:simplePos x="0" y="0"/>
            <wp:positionH relativeFrom="column">
              <wp:posOffset>4526915</wp:posOffset>
            </wp:positionH>
            <wp:positionV relativeFrom="paragraph">
              <wp:posOffset>39784</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0149E" w:rsidR="006234C4">
        <w:rPr>
          <w:b/>
          <w:bCs/>
          <w:rtl/>
        </w:rPr>
        <w:t xml:space="preserve">זמן ההמתנה הממוצע </w:t>
      </w:r>
      <w:r w:rsidRPr="00C0149E" w:rsidR="006234C4">
        <w:rPr>
          <w:rFonts w:hint="cs"/>
          <w:b/>
          <w:bCs/>
          <w:rtl/>
        </w:rPr>
        <w:t>לקבלת דירה ציבורית -</w:t>
      </w:r>
      <w:r w:rsidRPr="004A34AD" w:rsidR="006234C4">
        <w:rPr>
          <w:rFonts w:hint="cs"/>
          <w:rtl/>
        </w:rPr>
        <w:t xml:space="preserve"> עלה </w:t>
      </w:r>
      <w:r w:rsidRPr="004A34AD" w:rsidR="006234C4">
        <w:rPr>
          <w:rtl/>
        </w:rPr>
        <w:t xml:space="preserve">כי זמן ההמתנה הארצי הממוצע </w:t>
      </w:r>
      <w:r w:rsidRPr="004A34AD" w:rsidR="006234C4">
        <w:rPr>
          <w:rFonts w:hint="cs"/>
          <w:rtl/>
        </w:rPr>
        <w:t xml:space="preserve">לקבלת דירה ציבורית התארך מאז תקופת הביקורת הקודמת - </w:t>
      </w:r>
      <w:r w:rsidRPr="004A34AD" w:rsidR="006234C4">
        <w:rPr>
          <w:rtl/>
        </w:rPr>
        <w:t xml:space="preserve">מכ-31 חודשים </w:t>
      </w:r>
      <w:r w:rsidRPr="004A34AD" w:rsidR="006234C4">
        <w:rPr>
          <w:rFonts w:hint="cs"/>
          <w:rtl/>
        </w:rPr>
        <w:t>ב</w:t>
      </w:r>
      <w:r w:rsidRPr="004A34AD" w:rsidR="006234C4">
        <w:rPr>
          <w:rtl/>
        </w:rPr>
        <w:t xml:space="preserve">שנת 2019 לכ-35 חודשים </w:t>
      </w:r>
      <w:r w:rsidRPr="004A34AD" w:rsidR="006234C4">
        <w:rPr>
          <w:rFonts w:hint="cs"/>
          <w:rtl/>
        </w:rPr>
        <w:t>ב</w:t>
      </w:r>
      <w:r w:rsidRPr="004A34AD" w:rsidR="006234C4">
        <w:rPr>
          <w:rtl/>
        </w:rPr>
        <w:t>מאי 2023</w:t>
      </w:r>
      <w:r w:rsidRPr="004A34AD" w:rsidR="006234C4">
        <w:rPr>
          <w:rFonts w:hint="cs"/>
          <w:rtl/>
        </w:rPr>
        <w:t xml:space="preserve"> </w:t>
      </w:r>
      <w:r w:rsidRPr="004A34AD" w:rsidR="006234C4">
        <w:rPr>
          <w:rtl/>
        </w:rPr>
        <w:t xml:space="preserve">- </w:t>
      </w:r>
      <w:r w:rsidRPr="004A34AD" w:rsidR="006234C4">
        <w:rPr>
          <w:rFonts w:hint="cs"/>
          <w:rtl/>
        </w:rPr>
        <w:t>גידול</w:t>
      </w:r>
      <w:r w:rsidRPr="004A34AD" w:rsidR="006234C4">
        <w:rPr>
          <w:rtl/>
        </w:rPr>
        <w:t xml:space="preserve"> של כ-13%, ובממוצע כ-4% לשנה</w:t>
      </w:r>
      <w:r w:rsidRPr="0093709F">
        <w:rPr>
          <w:rFonts w:hint="cs"/>
          <w:rtl/>
        </w:rPr>
        <w:t xml:space="preserve">. </w:t>
      </w:r>
    </w:p>
    <w:p w:rsidR="00420374" w:rsidRPr="0093709F" w:rsidP="00DA022A" w14:paraId="2AC75697" w14:textId="77777777">
      <w:pPr>
        <w:pStyle w:val="7392"/>
        <w:ind w:left="424"/>
        <w:rPr>
          <w:rtl/>
        </w:rPr>
      </w:pPr>
      <w:r w:rsidRPr="00B02658">
        <w:rPr>
          <w:rFonts w:hint="cs"/>
          <w:b/>
          <w:bCs/>
          <w:noProof/>
          <w:rtl/>
        </w:rPr>
        <w:drawing>
          <wp:anchor distT="0" distB="720090" distL="114300" distR="114300" simplePos="0" relativeHeight="251684864" behindDoc="1" locked="0" layoutInCell="1" allowOverlap="1">
            <wp:simplePos x="0" y="0"/>
            <wp:positionH relativeFrom="column">
              <wp:posOffset>4526915</wp:posOffset>
            </wp:positionH>
            <wp:positionV relativeFrom="paragraph">
              <wp:posOffset>39784</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0149E" w:rsidR="006234C4">
        <w:rPr>
          <w:rFonts w:hint="cs"/>
          <w:b/>
          <w:bCs/>
          <w:rtl/>
        </w:rPr>
        <w:t>היקפי רכש ומכר דירות ציבוריות -</w:t>
      </w:r>
      <w:r w:rsidRPr="004A34AD" w:rsidR="006234C4">
        <w:rPr>
          <w:rFonts w:hint="cs"/>
          <w:rtl/>
        </w:rPr>
        <w:t xml:space="preserve"> </w:t>
      </w:r>
      <w:r w:rsidRPr="004A34AD" w:rsidR="006234C4">
        <w:rPr>
          <w:rtl/>
        </w:rPr>
        <w:t xml:space="preserve">עלה כי בכל אחת מהשנים 2014 - 2022 מספר הדירות שמכר משרד הבינוי והשיכון </w:t>
      </w:r>
      <w:r w:rsidRPr="004A34AD" w:rsidR="006234C4">
        <w:rPr>
          <w:rFonts w:hint="cs"/>
          <w:rtl/>
        </w:rPr>
        <w:t xml:space="preserve">מכוח חוק הדיור הציבורי </w:t>
      </w:r>
      <w:r w:rsidRPr="004A34AD" w:rsidR="006234C4">
        <w:rPr>
          <w:rtl/>
        </w:rPr>
        <w:t xml:space="preserve">היה </w:t>
      </w:r>
      <w:r w:rsidRPr="004A34AD" w:rsidR="006234C4">
        <w:rPr>
          <w:rFonts w:hint="cs"/>
          <w:rtl/>
        </w:rPr>
        <w:t>גדול</w:t>
      </w:r>
      <w:r w:rsidRPr="004A34AD" w:rsidR="006234C4">
        <w:rPr>
          <w:rtl/>
        </w:rPr>
        <w:t xml:space="preserve"> ממספר הדירות שרכש, ובמצטבר</w:t>
      </w:r>
      <w:r w:rsidRPr="004A34AD" w:rsidR="006234C4">
        <w:rPr>
          <w:rFonts w:hint="cs"/>
          <w:rtl/>
        </w:rPr>
        <w:t xml:space="preserve"> הוא</w:t>
      </w:r>
      <w:r w:rsidRPr="004A34AD" w:rsidR="006234C4">
        <w:rPr>
          <w:rtl/>
        </w:rPr>
        <w:t xml:space="preserve"> </w:t>
      </w:r>
      <w:r w:rsidRPr="004A34AD" w:rsidR="006234C4">
        <w:rPr>
          <w:rFonts w:hint="cs"/>
          <w:rtl/>
        </w:rPr>
        <w:t xml:space="preserve">מכר </w:t>
      </w:r>
      <w:r w:rsidRPr="004A34AD" w:rsidR="006234C4">
        <w:rPr>
          <w:rtl/>
        </w:rPr>
        <w:t>כ-</w:t>
      </w:r>
      <w:r w:rsidRPr="004A34AD" w:rsidR="006234C4">
        <w:rPr>
          <w:rFonts w:hint="cs"/>
          <w:rtl/>
        </w:rPr>
        <w:t>12,900</w:t>
      </w:r>
      <w:r w:rsidRPr="004A34AD" w:rsidR="006234C4">
        <w:rPr>
          <w:rtl/>
        </w:rPr>
        <w:t xml:space="preserve"> דירות ב</w:t>
      </w:r>
      <w:r w:rsidRPr="004A34AD" w:rsidR="006234C4">
        <w:rPr>
          <w:rFonts w:hint="cs"/>
          <w:rtl/>
        </w:rPr>
        <w:t>שווי</w:t>
      </w:r>
      <w:r w:rsidRPr="004A34AD" w:rsidR="006234C4">
        <w:rPr>
          <w:rtl/>
        </w:rPr>
        <w:t xml:space="preserve"> של </w:t>
      </w:r>
      <w:r w:rsidRPr="004A34AD" w:rsidR="006234C4">
        <w:rPr>
          <w:rFonts w:hint="cs"/>
          <w:rtl/>
        </w:rPr>
        <w:t>3.55</w:t>
      </w:r>
      <w:r w:rsidRPr="004A34AD" w:rsidR="006234C4">
        <w:rPr>
          <w:rtl/>
        </w:rPr>
        <w:t xml:space="preserve"> מיליארד ש"ח לעומת </w:t>
      </w:r>
      <w:r w:rsidRPr="004A34AD" w:rsidR="006234C4">
        <w:rPr>
          <w:rFonts w:hint="cs"/>
          <w:rtl/>
        </w:rPr>
        <w:t xml:space="preserve">רכש של </w:t>
      </w:r>
      <w:r w:rsidRPr="004A34AD" w:rsidR="006234C4">
        <w:rPr>
          <w:rtl/>
        </w:rPr>
        <w:t>כ-3,100 דירות ב</w:t>
      </w:r>
      <w:r w:rsidRPr="004A34AD" w:rsidR="006234C4">
        <w:rPr>
          <w:rFonts w:hint="cs"/>
          <w:rtl/>
        </w:rPr>
        <w:t>שווי</w:t>
      </w:r>
      <w:r w:rsidRPr="004A34AD" w:rsidR="006234C4">
        <w:rPr>
          <w:rtl/>
        </w:rPr>
        <w:t xml:space="preserve"> של </w:t>
      </w:r>
      <w:r w:rsidRPr="004A34AD" w:rsidR="006234C4">
        <w:rPr>
          <w:rFonts w:hint="cs"/>
          <w:rtl/>
        </w:rPr>
        <w:t>כ-3.93</w:t>
      </w:r>
      <w:r w:rsidRPr="004A34AD" w:rsidR="006234C4">
        <w:rPr>
          <w:rtl/>
        </w:rPr>
        <w:t xml:space="preserve"> מיליארד ש"ח.</w:t>
      </w:r>
      <w:r w:rsidRPr="004A34AD" w:rsidR="006234C4">
        <w:rPr>
          <w:rFonts w:hint="cs"/>
          <w:rtl/>
        </w:rPr>
        <w:t xml:space="preserve"> עוד עלה </w:t>
      </w:r>
      <w:r w:rsidRPr="004A34AD" w:rsidR="006234C4">
        <w:rPr>
          <w:rtl/>
        </w:rPr>
        <w:t xml:space="preserve">כי בשנים 2016 - 2019 </w:t>
      </w:r>
      <w:r w:rsidRPr="004A34AD" w:rsidR="006234C4">
        <w:rPr>
          <w:rFonts w:hint="cs"/>
          <w:rtl/>
        </w:rPr>
        <w:t>ה</w:t>
      </w:r>
      <w:r w:rsidRPr="004A34AD" w:rsidR="006234C4">
        <w:rPr>
          <w:rtl/>
        </w:rPr>
        <w:t>עלות</w:t>
      </w:r>
      <w:r w:rsidRPr="004A34AD" w:rsidR="006234C4">
        <w:rPr>
          <w:rFonts w:hint="cs"/>
          <w:rtl/>
        </w:rPr>
        <w:t xml:space="preserve"> הכוללת של</w:t>
      </w:r>
      <w:r w:rsidRPr="004A34AD" w:rsidR="006234C4">
        <w:rPr>
          <w:rtl/>
        </w:rPr>
        <w:t xml:space="preserve"> רכש דירות הייתה גבוהה מהתמורה </w:t>
      </w:r>
      <w:r w:rsidRPr="004A34AD" w:rsidR="006234C4">
        <w:rPr>
          <w:rFonts w:hint="cs"/>
          <w:rtl/>
        </w:rPr>
        <w:t xml:space="preserve">הכוללת </w:t>
      </w:r>
      <w:r w:rsidRPr="004A34AD" w:rsidR="006234C4">
        <w:rPr>
          <w:rtl/>
        </w:rPr>
        <w:t>ממכר דירות (</w:t>
      </w:r>
      <w:r w:rsidRPr="004A34AD" w:rsidR="006234C4">
        <w:rPr>
          <w:rFonts w:hint="cs"/>
          <w:rtl/>
        </w:rPr>
        <w:t>כ-2,300</w:t>
      </w:r>
      <w:r w:rsidRPr="004A34AD" w:rsidR="006234C4">
        <w:rPr>
          <w:rtl/>
        </w:rPr>
        <w:t xml:space="preserve"> דירות שנרכשו </w:t>
      </w:r>
      <w:r w:rsidRPr="004A34AD" w:rsidR="006234C4">
        <w:rPr>
          <w:rFonts w:hint="cs"/>
          <w:rtl/>
        </w:rPr>
        <w:t>ב-2.93</w:t>
      </w:r>
      <w:r w:rsidRPr="004A34AD" w:rsidR="006234C4">
        <w:rPr>
          <w:rtl/>
        </w:rPr>
        <w:t xml:space="preserve"> מיליארד ש"ח לעומת </w:t>
      </w:r>
      <w:r w:rsidRPr="004A34AD" w:rsidR="006234C4">
        <w:rPr>
          <w:rFonts w:hint="cs"/>
          <w:rtl/>
        </w:rPr>
        <w:t xml:space="preserve">כ-5,700 </w:t>
      </w:r>
      <w:r w:rsidRPr="004A34AD" w:rsidR="006234C4">
        <w:rPr>
          <w:rtl/>
        </w:rPr>
        <w:t>דירות</w:t>
      </w:r>
      <w:r w:rsidRPr="004A34AD" w:rsidR="006234C4">
        <w:rPr>
          <w:rFonts w:hint="cs"/>
          <w:rtl/>
        </w:rPr>
        <w:t xml:space="preserve"> שנמכרו</w:t>
      </w:r>
      <w:r w:rsidRPr="004A34AD" w:rsidR="006234C4">
        <w:rPr>
          <w:rtl/>
        </w:rPr>
        <w:t xml:space="preserve"> תמורת </w:t>
      </w:r>
      <w:r w:rsidRPr="004A34AD" w:rsidR="006234C4">
        <w:rPr>
          <w:rFonts w:hint="cs"/>
          <w:rtl/>
        </w:rPr>
        <w:t>1.53</w:t>
      </w:r>
      <w:r w:rsidRPr="004A34AD" w:rsidR="006234C4">
        <w:rPr>
          <w:rtl/>
        </w:rPr>
        <w:t xml:space="preserve"> מיליארד ש"ח), ואילו ב</w:t>
      </w:r>
      <w:r w:rsidRPr="004A34AD" w:rsidR="006234C4">
        <w:rPr>
          <w:rFonts w:hint="cs"/>
          <w:rtl/>
        </w:rPr>
        <w:t>שלוש ה</w:t>
      </w:r>
      <w:r w:rsidRPr="004A34AD" w:rsidR="006234C4">
        <w:rPr>
          <w:rtl/>
        </w:rPr>
        <w:t xml:space="preserve">שנים 2020 - 2022 הייתה התמורה </w:t>
      </w:r>
      <w:r w:rsidRPr="004A34AD" w:rsidR="006234C4">
        <w:rPr>
          <w:rFonts w:hint="cs"/>
          <w:rtl/>
        </w:rPr>
        <w:t xml:space="preserve">הכוללת </w:t>
      </w:r>
      <w:r w:rsidRPr="004A34AD" w:rsidR="006234C4">
        <w:rPr>
          <w:rtl/>
        </w:rPr>
        <w:t>ממכר דירות גבוהה מ</w:t>
      </w:r>
      <w:r w:rsidRPr="004A34AD" w:rsidR="006234C4">
        <w:rPr>
          <w:rFonts w:hint="cs"/>
          <w:rtl/>
        </w:rPr>
        <w:t>ה</w:t>
      </w:r>
      <w:r w:rsidRPr="004A34AD" w:rsidR="006234C4">
        <w:rPr>
          <w:rtl/>
        </w:rPr>
        <w:t>עלות</w:t>
      </w:r>
      <w:r w:rsidRPr="004A34AD" w:rsidR="006234C4">
        <w:rPr>
          <w:rFonts w:hint="cs"/>
          <w:rtl/>
        </w:rPr>
        <w:t xml:space="preserve"> הכוללת של</w:t>
      </w:r>
      <w:r w:rsidRPr="004A34AD" w:rsidR="006234C4">
        <w:rPr>
          <w:rtl/>
        </w:rPr>
        <w:t xml:space="preserve"> רכש דירות (460 דירות שנרכשו </w:t>
      </w:r>
      <w:r w:rsidRPr="004A34AD" w:rsidR="006234C4">
        <w:rPr>
          <w:rFonts w:hint="cs"/>
          <w:rtl/>
        </w:rPr>
        <w:t>ב</w:t>
      </w:r>
      <w:r w:rsidRPr="004A34AD" w:rsidR="006234C4">
        <w:rPr>
          <w:rtl/>
        </w:rPr>
        <w:t>-</w:t>
      </w:r>
      <w:r w:rsidRPr="004A34AD" w:rsidR="006234C4">
        <w:rPr>
          <w:rFonts w:hint="cs"/>
          <w:rtl/>
        </w:rPr>
        <w:t xml:space="preserve">676 </w:t>
      </w:r>
      <w:r w:rsidRPr="004A34AD" w:rsidR="006234C4">
        <w:rPr>
          <w:rtl/>
        </w:rPr>
        <w:t xml:space="preserve">מיליון ש"ח לעומת </w:t>
      </w:r>
      <w:r w:rsidRPr="004A34AD" w:rsidR="006234C4">
        <w:rPr>
          <w:rFonts w:hint="cs"/>
          <w:rtl/>
        </w:rPr>
        <w:t>כ-</w:t>
      </w:r>
      <w:r w:rsidRPr="004A34AD" w:rsidR="006234C4">
        <w:rPr>
          <w:rtl/>
        </w:rPr>
        <w:t>3,</w:t>
      </w:r>
      <w:r w:rsidRPr="004A34AD" w:rsidR="006234C4">
        <w:rPr>
          <w:rFonts w:hint="cs"/>
          <w:rtl/>
        </w:rPr>
        <w:t>500</w:t>
      </w:r>
      <w:r w:rsidRPr="004A34AD" w:rsidR="006234C4">
        <w:rPr>
          <w:rtl/>
        </w:rPr>
        <w:t xml:space="preserve"> דירות </w:t>
      </w:r>
      <w:r w:rsidRPr="004A34AD" w:rsidR="006234C4">
        <w:rPr>
          <w:rFonts w:hint="cs"/>
          <w:rtl/>
        </w:rPr>
        <w:t xml:space="preserve">שנמכרו </w:t>
      </w:r>
      <w:r w:rsidRPr="004A34AD" w:rsidR="006234C4">
        <w:rPr>
          <w:rtl/>
        </w:rPr>
        <w:t xml:space="preserve">תמורת </w:t>
      </w:r>
      <w:r w:rsidRPr="004A34AD" w:rsidR="006234C4">
        <w:rPr>
          <w:rFonts w:hint="cs"/>
          <w:rtl/>
        </w:rPr>
        <w:t>1.13</w:t>
      </w:r>
      <w:r w:rsidRPr="004A34AD" w:rsidR="006234C4">
        <w:rPr>
          <w:rtl/>
        </w:rPr>
        <w:t xml:space="preserve"> מיליארד ש"ח). עקב זאת גדל בקרן הדיור הציבורי הסכום המיועד לרכש דירות מכ-453 מיליון ש"ח בשנת 2020 ל</w:t>
      </w:r>
      <w:r w:rsidRPr="004A34AD" w:rsidR="006234C4">
        <w:rPr>
          <w:rFonts w:hint="cs"/>
          <w:rtl/>
        </w:rPr>
        <w:t>כ-</w:t>
      </w:r>
      <w:r w:rsidRPr="004A34AD" w:rsidR="006234C4">
        <w:rPr>
          <w:rtl/>
        </w:rPr>
        <w:t>1.</w:t>
      </w:r>
      <w:r w:rsidRPr="004A34AD" w:rsidR="006234C4">
        <w:rPr>
          <w:rFonts w:hint="cs"/>
          <w:rtl/>
        </w:rPr>
        <w:t>254</w:t>
      </w:r>
      <w:r w:rsidRPr="004A34AD" w:rsidR="006234C4">
        <w:rPr>
          <w:rtl/>
        </w:rPr>
        <w:t xml:space="preserve"> מיליארד ש"ח </w:t>
      </w:r>
      <w:r w:rsidRPr="004A34AD" w:rsidR="006234C4">
        <w:rPr>
          <w:rFonts w:hint="cs"/>
          <w:rtl/>
        </w:rPr>
        <w:t xml:space="preserve">בתחילת 2023 </w:t>
      </w:r>
      <w:r w:rsidRPr="004A34AD" w:rsidR="006234C4">
        <w:rPr>
          <w:rtl/>
        </w:rPr>
        <w:t>- גידול של כמעט פי שלושה</w:t>
      </w:r>
      <w:r w:rsidRPr="004A34AD" w:rsidR="006234C4">
        <w:rPr>
          <w:rFonts w:hint="cs"/>
          <w:rtl/>
        </w:rPr>
        <w:t xml:space="preserve">. </w:t>
      </w:r>
      <w:r w:rsidRPr="004A34AD" w:rsidR="006234C4">
        <w:rPr>
          <w:rtl/>
        </w:rPr>
        <w:t>יצוין כי בספטמבר 2023 יועדו כמיליארד ש"ח מהיתרה לתשלום ע</w:t>
      </w:r>
      <w:r w:rsidRPr="004A34AD" w:rsidR="006234C4">
        <w:rPr>
          <w:rFonts w:hint="cs"/>
          <w:rtl/>
        </w:rPr>
        <w:t>בור</w:t>
      </w:r>
      <w:r w:rsidRPr="004A34AD" w:rsidR="006234C4">
        <w:rPr>
          <w:rtl/>
        </w:rPr>
        <w:t xml:space="preserve"> קניית הדירות שכבר נחתמו הסכמים לרכישתן, כך שבפועל הייתה בקרן יתרה זמינה של כ-250 מיליון ש"ח לרכש דירות.</w:t>
      </w:r>
      <w:r w:rsidRPr="004A34AD" w:rsidR="006234C4">
        <w:rPr>
          <w:rFonts w:hint="cs"/>
          <w:rtl/>
        </w:rPr>
        <w:t xml:space="preserve"> כמו כן, </w:t>
      </w:r>
      <w:r w:rsidRPr="004A34AD" w:rsidR="006234C4">
        <w:rPr>
          <w:rtl/>
        </w:rPr>
        <w:t>תוקף החוק פג בפברואר 2023</w:t>
      </w:r>
      <w:r w:rsidRPr="004A34AD" w:rsidR="006234C4">
        <w:rPr>
          <w:rFonts w:hint="cs"/>
          <w:rtl/>
        </w:rPr>
        <w:t>,</w:t>
      </w:r>
      <w:r w:rsidRPr="004A34AD" w:rsidR="006234C4">
        <w:rPr>
          <w:rtl/>
        </w:rPr>
        <w:t xml:space="preserve"> </w:t>
      </w:r>
      <w:r w:rsidRPr="004A34AD" w:rsidR="006234C4">
        <w:rPr>
          <w:rFonts w:hint="cs"/>
          <w:rtl/>
        </w:rPr>
        <w:t>וב</w:t>
      </w:r>
      <w:r w:rsidRPr="004A34AD" w:rsidR="006234C4">
        <w:rPr>
          <w:rtl/>
        </w:rPr>
        <w:t xml:space="preserve">דצמבר 2023 הליך חקיקה להארכת תוקפו </w:t>
      </w:r>
      <w:r w:rsidRPr="004A34AD" w:rsidR="006234C4">
        <w:rPr>
          <w:rFonts w:hint="cs"/>
          <w:rtl/>
        </w:rPr>
        <w:t>שהחל ב</w:t>
      </w:r>
      <w:r w:rsidRPr="004A34AD" w:rsidR="006234C4">
        <w:rPr>
          <w:rtl/>
        </w:rPr>
        <w:t>כנסת</w:t>
      </w:r>
      <w:r w:rsidRPr="004A34AD" w:rsidR="006234C4">
        <w:rPr>
          <w:rFonts w:hint="cs"/>
          <w:rtl/>
        </w:rPr>
        <w:t xml:space="preserve"> בתמיכת הממשלה טרם הושלם</w:t>
      </w:r>
      <w:r w:rsidRPr="0093709F">
        <w:rPr>
          <w:rFonts w:hint="cs"/>
          <w:rtl/>
        </w:rPr>
        <w:t>.</w:t>
      </w:r>
    </w:p>
    <w:p w:rsidR="00420374" w:rsidRPr="0093709F" w:rsidP="00DA022A" w14:paraId="3C51B6E6" w14:textId="77777777">
      <w:pPr>
        <w:pStyle w:val="7392"/>
        <w:ind w:left="424"/>
      </w:pPr>
      <w:r w:rsidRPr="00B02658">
        <w:rPr>
          <w:rFonts w:hint="cs"/>
          <w:b/>
          <w:bCs/>
          <w:noProof/>
          <w:rtl/>
        </w:rPr>
        <w:drawing>
          <wp:anchor distT="0" distB="720090" distL="114300" distR="114300" simplePos="0" relativeHeight="251685888" behindDoc="1" locked="0" layoutInCell="1" allowOverlap="1">
            <wp:simplePos x="0" y="0"/>
            <wp:positionH relativeFrom="column">
              <wp:posOffset>4526915</wp:posOffset>
            </wp:positionH>
            <wp:positionV relativeFrom="paragraph">
              <wp:posOffset>38956</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0149E" w:rsidR="006234C4">
        <w:rPr>
          <w:b/>
          <w:bCs/>
          <w:rtl/>
        </w:rPr>
        <w:t xml:space="preserve">ירידה בשיעור הדירות הציבוריות </w:t>
      </w:r>
      <w:r w:rsidRPr="00C0149E" w:rsidR="006234C4">
        <w:rPr>
          <w:rFonts w:hint="cs"/>
          <w:b/>
          <w:bCs/>
          <w:rtl/>
        </w:rPr>
        <w:t>מכלל הדירות במדינה -</w:t>
      </w:r>
      <w:r w:rsidRPr="004A34AD" w:rsidR="006234C4">
        <w:rPr>
          <w:rtl/>
        </w:rPr>
        <w:t xml:space="preserve"> בשנת 2022 שיעור</w:t>
      </w:r>
      <w:r w:rsidRPr="004A34AD" w:rsidR="006234C4">
        <w:rPr>
          <w:rFonts w:hint="cs"/>
          <w:rtl/>
        </w:rPr>
        <w:t xml:space="preserve"> הדירות הציבוריות מכלל הדירות בישראל</w:t>
      </w:r>
      <w:r w:rsidRPr="004A34AD" w:rsidR="006234C4">
        <w:rPr>
          <w:rtl/>
        </w:rPr>
        <w:t xml:space="preserve"> היה כ-</w:t>
      </w:r>
      <w:r w:rsidRPr="004A34AD" w:rsidR="006234C4">
        <w:rPr>
          <w:rFonts w:hint="cs"/>
          <w:rtl/>
        </w:rPr>
        <w:t>1.7</w:t>
      </w:r>
      <w:r w:rsidRPr="004A34AD" w:rsidR="006234C4">
        <w:rPr>
          <w:rtl/>
        </w:rPr>
        <w:t>% - נמוך משיעורן בשנת 2018 (2%), לאחר שמספר הדירות הציבוריות בשנים 2018 - 2022 קטן מכ-54,000 לכ-48,000 (כ-10%) עקב מכיר</w:t>
      </w:r>
      <w:r w:rsidRPr="004A34AD" w:rsidR="006234C4">
        <w:rPr>
          <w:rFonts w:hint="cs"/>
          <w:rtl/>
        </w:rPr>
        <w:t>ת דירות</w:t>
      </w:r>
      <w:r w:rsidRPr="004A34AD" w:rsidR="006234C4">
        <w:rPr>
          <w:rtl/>
        </w:rPr>
        <w:t xml:space="preserve"> לזכאים ונוכח עליית מספר כלל הדירות במדינה מכ-2.</w:t>
      </w:r>
      <w:r w:rsidRPr="004A34AD" w:rsidR="006234C4">
        <w:rPr>
          <w:rFonts w:hint="cs"/>
          <w:rtl/>
        </w:rPr>
        <w:t>65</w:t>
      </w:r>
      <w:r w:rsidRPr="004A34AD" w:rsidR="006234C4">
        <w:rPr>
          <w:rtl/>
        </w:rPr>
        <w:t xml:space="preserve"> מיליון לכ-2.</w:t>
      </w:r>
      <w:r w:rsidRPr="004A34AD" w:rsidR="006234C4">
        <w:rPr>
          <w:rFonts w:hint="cs"/>
          <w:rtl/>
        </w:rPr>
        <w:t>85</w:t>
      </w:r>
      <w:r w:rsidRPr="004A34AD" w:rsidR="006234C4">
        <w:rPr>
          <w:rtl/>
        </w:rPr>
        <w:t xml:space="preserve"> מיליון (כ-8%</w:t>
      </w:r>
      <w:r w:rsidR="006234C4">
        <w:rPr>
          <w:rFonts w:hint="cs"/>
          <w:rtl/>
        </w:rPr>
        <w:t>)</w:t>
      </w:r>
      <w:r w:rsidRPr="0093709F">
        <w:rPr>
          <w:rFonts w:hint="cs"/>
          <w:rtl/>
        </w:rPr>
        <w:t xml:space="preserve">. </w:t>
      </w:r>
    </w:p>
    <w:p w:rsidR="00420374" w:rsidRPr="0093709F" w:rsidP="00DA022A" w14:paraId="25E25971" w14:textId="77777777">
      <w:pPr>
        <w:pStyle w:val="7392"/>
        <w:ind w:left="424"/>
      </w:pPr>
      <w:r w:rsidRPr="00B02658">
        <w:rPr>
          <w:rFonts w:hint="cs"/>
          <w:b/>
          <w:bCs/>
          <w:noProof/>
          <w:rtl/>
        </w:rPr>
        <w:drawing>
          <wp:anchor distT="0" distB="720090" distL="114300" distR="114300" simplePos="0" relativeHeight="251686912"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0149E" w:rsidR="006234C4">
        <w:rPr>
          <w:b/>
          <w:bCs/>
          <w:rtl/>
        </w:rPr>
        <w:t xml:space="preserve">עבודת המטה בנוגע למאגר הדירות הציבוריות </w:t>
      </w:r>
      <w:r w:rsidRPr="00C0149E" w:rsidR="006234C4">
        <w:rPr>
          <w:rFonts w:hint="cs"/>
          <w:b/>
          <w:bCs/>
          <w:rtl/>
        </w:rPr>
        <w:t>-</w:t>
      </w:r>
      <w:r w:rsidRPr="004A34AD" w:rsidR="006234C4">
        <w:rPr>
          <w:rFonts w:hint="cs"/>
          <w:rtl/>
        </w:rPr>
        <w:t xml:space="preserve"> </w:t>
      </w:r>
      <w:r w:rsidRPr="004A34AD" w:rsidR="006234C4">
        <w:rPr>
          <w:rtl/>
        </w:rPr>
        <w:t xml:space="preserve">בביקורת הקודמת עלה כי צוות בין-משרדי </w:t>
      </w:r>
      <w:r w:rsidRPr="004A34AD" w:rsidR="006234C4">
        <w:rPr>
          <w:rFonts w:hint="cs"/>
          <w:rtl/>
        </w:rPr>
        <w:t xml:space="preserve">שהקימה הממשלה </w:t>
      </w:r>
      <w:r w:rsidRPr="004A34AD" w:rsidR="006234C4">
        <w:rPr>
          <w:rtl/>
        </w:rPr>
        <w:t xml:space="preserve">לא הגיש המלצות לממשלה בנוגע לתוכנית פעולה רב-שנתית להגדלת מלאי הדירות הציבוריות. בביקורת המעקב נמצא כי הליקוי תוקן במידה מועטה. </w:t>
      </w:r>
      <w:r w:rsidRPr="004A34AD" w:rsidR="006234C4">
        <w:rPr>
          <w:rFonts w:hint="cs"/>
          <w:rtl/>
        </w:rPr>
        <w:t xml:space="preserve">בפברואר 2022 </w:t>
      </w:r>
      <w:r w:rsidRPr="004A34AD" w:rsidR="006234C4">
        <w:rPr>
          <w:rtl/>
        </w:rPr>
        <w:t>הוקמה ועדה ציבורית לבחינת אמות המידה לזכאות לדיור ציבורי</w:t>
      </w:r>
      <w:r w:rsidRPr="004A34AD" w:rsidR="006234C4">
        <w:rPr>
          <w:rFonts w:hint="cs"/>
          <w:rtl/>
        </w:rPr>
        <w:t xml:space="preserve">; בסוף </w:t>
      </w:r>
      <w:r w:rsidRPr="004A34AD" w:rsidR="006234C4">
        <w:rPr>
          <w:rFonts w:hint="cs"/>
          <w:rtl/>
        </w:rPr>
        <w:t xml:space="preserve">שנת 2023 עסקה הוועדה בגיבוש מסקנותיה והמלצותיה, אך אלו טרם הוגשו. במסגרת דיוני הועדה </w:t>
      </w:r>
      <w:r w:rsidRPr="004A34AD" w:rsidR="006234C4">
        <w:rPr>
          <w:rtl/>
        </w:rPr>
        <w:t xml:space="preserve">נבחנו סוגיות של שילוב דיור ציבורי במכרזי דיור </w:t>
      </w:r>
      <w:r w:rsidRPr="004A34AD" w:rsidR="006234C4">
        <w:rPr>
          <w:rFonts w:hint="cs"/>
          <w:rtl/>
        </w:rPr>
        <w:t xml:space="preserve">ושל </w:t>
      </w:r>
      <w:r w:rsidRPr="004A34AD" w:rsidR="006234C4">
        <w:rPr>
          <w:rtl/>
        </w:rPr>
        <w:t>שכירות ארוכת טווח שלא יצאו אל הפועל</w:t>
      </w:r>
      <w:r w:rsidRPr="004A34AD" w:rsidR="006234C4">
        <w:rPr>
          <w:rFonts w:hint="cs"/>
          <w:rtl/>
        </w:rPr>
        <w:t>.</w:t>
      </w:r>
      <w:r w:rsidRPr="004A34AD" w:rsidR="006234C4">
        <w:rPr>
          <w:rtl/>
        </w:rPr>
        <w:t xml:space="preserve"> כמו כן, </w:t>
      </w:r>
      <w:r w:rsidRPr="004A34AD" w:rsidR="006234C4">
        <w:rPr>
          <w:rFonts w:hint="cs"/>
          <w:rtl/>
        </w:rPr>
        <w:t xml:space="preserve">באוגוסט 2021 </w:t>
      </w:r>
      <w:r w:rsidRPr="004A34AD" w:rsidR="006234C4">
        <w:rPr>
          <w:rtl/>
        </w:rPr>
        <w:t xml:space="preserve">סוכם </w:t>
      </w:r>
      <w:r w:rsidRPr="004A34AD" w:rsidR="006234C4">
        <w:rPr>
          <w:rFonts w:hint="cs"/>
          <w:rtl/>
        </w:rPr>
        <w:t>בין משרד הבינוי והשיכון לאגף תקציבים במשרד האוצר</w:t>
      </w:r>
      <w:r w:rsidRPr="004A34AD" w:rsidR="006234C4">
        <w:rPr>
          <w:rtl/>
        </w:rPr>
        <w:t xml:space="preserve"> כי יימצאו מקורות תקציביים לרכישת 1,700 דירות</w:t>
      </w:r>
      <w:r w:rsidRPr="004A34AD" w:rsidR="006234C4">
        <w:rPr>
          <w:rFonts w:hint="cs"/>
          <w:rtl/>
        </w:rPr>
        <w:t xml:space="preserve"> ציבוריות</w:t>
      </w:r>
      <w:r w:rsidRPr="004A34AD" w:rsidR="006234C4">
        <w:rPr>
          <w:rtl/>
        </w:rPr>
        <w:t xml:space="preserve"> כחלק מתוכנית רב-שנתית, אך תוכנית כזו טרם גובשה</w:t>
      </w:r>
      <w:r w:rsidRPr="004A34AD" w:rsidR="006234C4">
        <w:rPr>
          <w:rFonts w:hint="cs"/>
          <w:rtl/>
        </w:rPr>
        <w:t xml:space="preserve"> נכון למועד סיום הביקורת</w:t>
      </w:r>
      <w:r w:rsidRPr="004A34AD" w:rsidR="006234C4">
        <w:rPr>
          <w:rtl/>
        </w:rPr>
        <w:t xml:space="preserve"> וממילא לא הוגשה לממשלה.</w:t>
      </w:r>
      <w:r w:rsidRPr="004A34AD" w:rsidR="006234C4">
        <w:rPr>
          <w:rFonts w:hint="cs"/>
          <w:rtl/>
        </w:rPr>
        <w:t xml:space="preserve"> חשיבותה של גיבוש תוכנית לשילוב דיור ציבורי במכרזי שכירות ארוכת טווח מעצימה על רקע </w:t>
      </w:r>
      <w:r w:rsidRPr="004A34AD" w:rsidR="006234C4">
        <w:rPr>
          <w:rtl/>
        </w:rPr>
        <w:t xml:space="preserve">עליית </w:t>
      </w:r>
      <w:r w:rsidRPr="004A34AD" w:rsidR="006234C4">
        <w:rPr>
          <w:rFonts w:hint="cs"/>
          <w:rtl/>
        </w:rPr>
        <w:t xml:space="preserve">מדד שכר הדירה </w:t>
      </w:r>
      <w:r w:rsidRPr="004A34AD" w:rsidR="006234C4">
        <w:rPr>
          <w:rtl/>
        </w:rPr>
        <w:t xml:space="preserve">בשנים </w:t>
      </w:r>
      <w:r w:rsidRPr="004A34AD" w:rsidR="006234C4">
        <w:rPr>
          <w:rFonts w:hint="cs"/>
          <w:rtl/>
        </w:rPr>
        <w:t>2020 - 2023</w:t>
      </w:r>
      <w:r w:rsidRPr="004A34AD" w:rsidR="006234C4">
        <w:rPr>
          <w:rtl/>
        </w:rPr>
        <w:t xml:space="preserve"> בשיעור של כ-</w:t>
      </w:r>
      <w:r w:rsidRPr="004A34AD" w:rsidR="006234C4">
        <w:rPr>
          <w:rFonts w:hint="cs"/>
          <w:rtl/>
        </w:rPr>
        <w:t>12</w:t>
      </w:r>
      <w:r w:rsidRPr="004A34AD" w:rsidR="006234C4">
        <w:rPr>
          <w:rtl/>
        </w:rPr>
        <w:t>% לפי נתוני הלמ"ס</w:t>
      </w:r>
      <w:r>
        <w:rPr>
          <w:vertAlign w:val="superscript"/>
          <w:rtl/>
        </w:rPr>
        <w:footnoteReference w:id="2"/>
      </w:r>
      <w:r w:rsidRPr="0093709F">
        <w:rPr>
          <w:rFonts w:hint="cs"/>
          <w:rtl/>
        </w:rPr>
        <w:t xml:space="preserve">. </w:t>
      </w:r>
    </w:p>
    <w:p w:rsidR="00420374" w:rsidRPr="0093709F" w:rsidP="00DA022A" w14:paraId="778E0D41" w14:textId="77777777">
      <w:pPr>
        <w:pStyle w:val="7392"/>
        <w:ind w:left="424"/>
        <w:rPr>
          <w:rtl/>
        </w:rPr>
      </w:pPr>
      <w:r w:rsidRPr="00B02658">
        <w:rPr>
          <w:rFonts w:hint="cs"/>
          <w:b/>
          <w:bCs/>
          <w:noProof/>
          <w:rtl/>
        </w:rPr>
        <w:drawing>
          <wp:anchor distT="0" distB="720090" distL="114300" distR="114300" simplePos="0" relativeHeight="251687936"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0149E" w:rsidR="006234C4">
        <w:rPr>
          <w:b/>
          <w:bCs/>
          <w:rtl/>
        </w:rPr>
        <w:t>אי-רכישת דירות ציבוריות בחלק מהיישובים</w:t>
      </w:r>
      <w:r w:rsidRPr="00C0149E" w:rsidR="006234C4">
        <w:rPr>
          <w:rFonts w:hint="cs"/>
          <w:b/>
          <w:bCs/>
          <w:rtl/>
        </w:rPr>
        <w:t xml:space="preserve"> </w:t>
      </w:r>
      <w:r w:rsidRPr="00C0149E" w:rsidR="006234C4">
        <w:rPr>
          <w:b/>
          <w:bCs/>
          <w:rtl/>
        </w:rPr>
        <w:t>שבהם ממתינים זכאים לדיור ציבורי</w:t>
      </w:r>
      <w:r w:rsidRPr="00C0149E" w:rsidR="006234C4">
        <w:rPr>
          <w:rFonts w:hint="cs"/>
          <w:b/>
          <w:bCs/>
          <w:rtl/>
        </w:rPr>
        <w:t xml:space="preserve">, ובפרט ביישובי </w:t>
      </w:r>
      <w:r w:rsidRPr="00C0149E" w:rsidR="006234C4">
        <w:rPr>
          <w:b/>
          <w:bCs/>
          <w:rtl/>
        </w:rPr>
        <w:t>מיעוטים</w:t>
      </w:r>
      <w:r w:rsidRPr="00C0149E" w:rsidR="006234C4">
        <w:rPr>
          <w:rFonts w:hint="cs"/>
          <w:b/>
          <w:bCs/>
          <w:rtl/>
        </w:rPr>
        <w:t xml:space="preserve"> -</w:t>
      </w:r>
      <w:r w:rsidRPr="004A34AD" w:rsidR="006234C4">
        <w:rPr>
          <w:rFonts w:hint="cs"/>
          <w:rtl/>
        </w:rPr>
        <w:t xml:space="preserve"> </w:t>
      </w:r>
      <w:r w:rsidRPr="00986A10" w:rsidR="006234C4">
        <w:rPr>
          <w:rFonts w:hint="cs"/>
          <w:b/>
          <w:bCs/>
          <w:rtl/>
        </w:rPr>
        <w:t xml:space="preserve">ערבים, דרוזים ובדואים </w:t>
      </w:r>
      <w:r w:rsidRPr="00986A10" w:rsidR="006234C4">
        <w:rPr>
          <w:b/>
          <w:bCs/>
          <w:rtl/>
        </w:rPr>
        <w:t>ו</w:t>
      </w:r>
      <w:r w:rsidRPr="00986A10" w:rsidR="006234C4">
        <w:rPr>
          <w:rFonts w:hint="cs"/>
          <w:b/>
          <w:bCs/>
          <w:rtl/>
        </w:rPr>
        <w:t xml:space="preserve">כן ביישוב </w:t>
      </w:r>
      <w:r w:rsidRPr="00986A10" w:rsidR="006234C4">
        <w:rPr>
          <w:b/>
          <w:bCs/>
          <w:rtl/>
        </w:rPr>
        <w:t>חרד</w:t>
      </w:r>
      <w:r w:rsidRPr="00986A10" w:rsidR="006234C4">
        <w:rPr>
          <w:rFonts w:hint="cs"/>
          <w:b/>
          <w:bCs/>
          <w:rtl/>
        </w:rPr>
        <w:t xml:space="preserve">י, שבהם לא היו דירות ציבוריות - </w:t>
      </w:r>
      <w:r w:rsidRPr="004A34AD" w:rsidR="006234C4">
        <w:rPr>
          <w:rtl/>
        </w:rPr>
        <w:t xml:space="preserve">בביקורת הקודמת עלה כי כעניין שבמדיניות לא רכש משרד הבינוי והשיכון דירות ביישובים שבהם אין דירות ציבוריות, ובכלל זה ערים באשכול חברתי-כלכלי נמוך, שרובן ערים שבהן האוכלוסייה היא </w:t>
      </w:r>
      <w:r w:rsidRPr="004A34AD" w:rsidR="006234C4">
        <w:rPr>
          <w:rFonts w:hint="cs"/>
          <w:rtl/>
        </w:rPr>
        <w:t xml:space="preserve">של </w:t>
      </w:r>
      <w:r w:rsidRPr="004A34AD" w:rsidR="006234C4">
        <w:rPr>
          <w:rtl/>
        </w:rPr>
        <w:t xml:space="preserve">בני מיעוטים </w:t>
      </w:r>
      <w:r w:rsidRPr="004A34AD" w:rsidR="006234C4">
        <w:rPr>
          <w:rFonts w:hint="cs"/>
          <w:rtl/>
        </w:rPr>
        <w:t>או של חרדים</w:t>
      </w:r>
      <w:r w:rsidRPr="004A34AD" w:rsidR="006234C4">
        <w:rPr>
          <w:rtl/>
        </w:rPr>
        <w:t xml:space="preserve">. בביקורת המעקב נמצא כי הליקוי תוקן במידה </w:t>
      </w:r>
      <w:r w:rsidRPr="004A34AD" w:rsidR="006234C4">
        <w:rPr>
          <w:rFonts w:hint="cs"/>
          <w:rtl/>
        </w:rPr>
        <w:t xml:space="preserve">מועטה </w:t>
      </w:r>
      <w:r w:rsidRPr="004A34AD" w:rsidR="006234C4">
        <w:rPr>
          <w:rtl/>
        </w:rPr>
        <w:t>- א</w:t>
      </w:r>
      <w:r w:rsidRPr="004A34AD" w:rsidR="006234C4">
        <w:rPr>
          <w:rFonts w:hint="cs"/>
          <w:rtl/>
        </w:rPr>
        <w:t>ו</w:t>
      </w:r>
      <w:r w:rsidRPr="004A34AD" w:rsidR="006234C4">
        <w:rPr>
          <w:rtl/>
        </w:rPr>
        <w:t>מנם משרד הבינוי והשיכון שינה את מדיניותו והחליט</w:t>
      </w:r>
      <w:r w:rsidRPr="004A34AD" w:rsidR="006234C4">
        <w:rPr>
          <w:rFonts w:hint="cs"/>
          <w:rtl/>
        </w:rPr>
        <w:t xml:space="preserve">, בשלב ראשון, </w:t>
      </w:r>
      <w:r w:rsidRPr="004A34AD" w:rsidR="006234C4">
        <w:rPr>
          <w:rtl/>
        </w:rPr>
        <w:t xml:space="preserve">על רכישת </w:t>
      </w:r>
      <w:r w:rsidRPr="004A34AD" w:rsidR="006234C4">
        <w:rPr>
          <w:rFonts w:hint="cs"/>
          <w:rtl/>
        </w:rPr>
        <w:t xml:space="preserve">דירות ביישובים שבהם לא היו דירות ציבוריות - עשר </w:t>
      </w:r>
      <w:r w:rsidRPr="004A34AD" w:rsidR="006234C4">
        <w:rPr>
          <w:rtl/>
        </w:rPr>
        <w:t>דירות ב</w:t>
      </w:r>
      <w:r w:rsidRPr="004A34AD" w:rsidR="006234C4">
        <w:rPr>
          <w:rFonts w:hint="cs"/>
          <w:rtl/>
        </w:rPr>
        <w:t xml:space="preserve">שלושה </w:t>
      </w:r>
      <w:r w:rsidRPr="004A34AD" w:rsidR="006234C4">
        <w:rPr>
          <w:rtl/>
        </w:rPr>
        <w:t>יישובי</w:t>
      </w:r>
      <w:r w:rsidRPr="004A34AD" w:rsidR="006234C4">
        <w:rPr>
          <w:rFonts w:hint="cs"/>
          <w:rtl/>
        </w:rPr>
        <w:t xml:space="preserve"> מיעוטים - אום אל פחם (ערבי), רהט (בדואי) ושפרעם (ערבי-דרוזי) ו-11 דירות ביישוב חרדי</w:t>
      </w:r>
      <w:r w:rsidRPr="004A34AD" w:rsidR="006234C4">
        <w:rPr>
          <w:rtl/>
        </w:rPr>
        <w:t xml:space="preserve"> </w:t>
      </w:r>
      <w:r w:rsidRPr="004A34AD" w:rsidR="006234C4">
        <w:rPr>
          <w:rFonts w:hint="cs"/>
          <w:rtl/>
        </w:rPr>
        <w:t xml:space="preserve">(מודיעין עילית), </w:t>
      </w:r>
      <w:r w:rsidRPr="004A34AD" w:rsidR="006234C4">
        <w:rPr>
          <w:rtl/>
        </w:rPr>
        <w:t>אולם פעולות משרד הבינוי והשיכון ועמידר לרכש הדירות ביישובים אלה היו חלקיות ולא מוצו ערוצי</w:t>
      </w:r>
      <w:r w:rsidRPr="004A34AD" w:rsidR="006234C4">
        <w:rPr>
          <w:rFonts w:hint="cs"/>
          <w:rtl/>
        </w:rPr>
        <w:t>ם</w:t>
      </w:r>
      <w:r w:rsidRPr="004A34AD" w:rsidR="006234C4">
        <w:rPr>
          <w:rtl/>
        </w:rPr>
        <w:t xml:space="preserve"> פוטנציאלי</w:t>
      </w:r>
      <w:r w:rsidRPr="004A34AD" w:rsidR="006234C4">
        <w:rPr>
          <w:rFonts w:hint="cs"/>
          <w:rtl/>
        </w:rPr>
        <w:t>י</w:t>
      </w:r>
      <w:r w:rsidRPr="004A34AD" w:rsidR="006234C4">
        <w:rPr>
          <w:rtl/>
        </w:rPr>
        <w:t>ם שיכלו להניב רכש דירות</w:t>
      </w:r>
      <w:r w:rsidRPr="004A34AD" w:rsidR="006234C4">
        <w:rPr>
          <w:rFonts w:hint="cs"/>
          <w:rtl/>
        </w:rPr>
        <w:t xml:space="preserve"> ביישובי המיעוטים</w:t>
      </w:r>
      <w:r w:rsidRPr="004A34AD" w:rsidR="006234C4">
        <w:rPr>
          <w:rtl/>
        </w:rPr>
        <w:t>, כמו פרסום באתרים במרשתת הרלוונטיים לאוכלוסייה ביישובים אלה ומתן שוברים.</w:t>
      </w:r>
      <w:r w:rsidRPr="004A34AD" w:rsidR="006234C4">
        <w:rPr>
          <w:rFonts w:hint="cs"/>
          <w:rtl/>
        </w:rPr>
        <w:t xml:space="preserve"> ובפועל, עד סוף 2023 לא נרכשו דירות באותם יישובי מיעוטים, ובמודיעין עילית נרכשו שש דירות</w:t>
      </w:r>
      <w:r w:rsidRPr="0093709F">
        <w:rPr>
          <w:rFonts w:hint="cs"/>
          <w:rtl/>
        </w:rPr>
        <w:t>.</w:t>
      </w:r>
    </w:p>
    <w:p w:rsidR="00420374" w:rsidP="00DA022A" w14:paraId="1F9F6236" w14:textId="77777777">
      <w:pPr>
        <w:pStyle w:val="7392"/>
        <w:ind w:left="424"/>
        <w:rPr>
          <w:noProof/>
          <w:rtl/>
        </w:rPr>
      </w:pPr>
      <w:r w:rsidRPr="00B02658">
        <w:rPr>
          <w:rFonts w:hint="cs"/>
          <w:b/>
          <w:bCs/>
          <w:noProof/>
          <w:rtl/>
        </w:rPr>
        <w:drawing>
          <wp:anchor distT="0" distB="720090" distL="114300" distR="114300" simplePos="0" relativeHeight="251688960"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0149E" w:rsidR="006234C4">
        <w:rPr>
          <w:b/>
          <w:bCs/>
          <w:rtl/>
        </w:rPr>
        <w:t>בניית דירות ציבוריות במסגרת פרויקטים של "דירה בהנחה</w:t>
      </w:r>
      <w:r w:rsidRPr="00C0149E" w:rsidR="006234C4">
        <w:rPr>
          <w:rFonts w:hint="cs"/>
          <w:b/>
          <w:bCs/>
          <w:rtl/>
        </w:rPr>
        <w:t>" -</w:t>
      </w:r>
      <w:r w:rsidRPr="00C0149E" w:rsidR="006234C4">
        <w:rPr>
          <w:b/>
          <w:bCs/>
          <w:rtl/>
        </w:rPr>
        <w:t xml:space="preserve"> </w:t>
      </w:r>
      <w:r w:rsidRPr="004A34AD" w:rsidR="006234C4">
        <w:rPr>
          <w:rtl/>
        </w:rPr>
        <w:t>בביקורת הקודמת עלה כי עד אוגוסט 2019 פרסמה ר</w:t>
      </w:r>
      <w:r w:rsidRPr="004A34AD" w:rsidR="006234C4">
        <w:rPr>
          <w:rFonts w:hint="cs"/>
          <w:rtl/>
        </w:rPr>
        <w:t>שות מקרקעי ישראל (ר</w:t>
      </w:r>
      <w:r w:rsidRPr="004A34AD" w:rsidR="006234C4">
        <w:rPr>
          <w:rtl/>
        </w:rPr>
        <w:t>מ"י</w:t>
      </w:r>
      <w:r w:rsidRPr="004A34AD" w:rsidR="006234C4">
        <w:rPr>
          <w:rFonts w:hint="cs"/>
          <w:rtl/>
        </w:rPr>
        <w:t>)</w:t>
      </w:r>
      <w:r w:rsidRPr="004A34AD" w:rsidR="006234C4">
        <w:rPr>
          <w:rtl/>
        </w:rPr>
        <w:t xml:space="preserve"> מכרזים רק לחלק מהפרויקטים, ובהם נכללה בנייתן של 203 דירות ציבוריות במסגרת פרויקטים שונים של "מחיר למשתכן" בשישה יישובים. בביקורת המעקב נמצא כי הליקוי לא תוקן. כך, </w:t>
      </w:r>
      <w:r w:rsidRPr="004A34AD" w:rsidR="006234C4">
        <w:rPr>
          <w:rFonts w:hint="cs"/>
          <w:rtl/>
        </w:rPr>
        <w:t xml:space="preserve">הועלה כי </w:t>
      </w:r>
      <w:r w:rsidRPr="004A34AD" w:rsidR="006234C4">
        <w:rPr>
          <w:rtl/>
        </w:rPr>
        <w:t xml:space="preserve">עד סוף שנת 2020 שיווקה רמ"י קרקעות במסגרת מכרזי "דירה בהנחה" שבהם נכללו </w:t>
      </w:r>
      <w:r w:rsidRPr="004A34AD" w:rsidR="006234C4">
        <w:rPr>
          <w:rFonts w:hint="cs"/>
          <w:rtl/>
        </w:rPr>
        <w:t xml:space="preserve">רק </w:t>
      </w:r>
      <w:r w:rsidRPr="004A34AD" w:rsidR="006234C4">
        <w:rPr>
          <w:rtl/>
        </w:rPr>
        <w:t xml:space="preserve">232 דירות ציבוריות (כולל 203 הדירות שנכללו בנתוני הביקורת הקודמת), ובשנים 2021 - 2023 לא שיווקה </w:t>
      </w:r>
      <w:r w:rsidRPr="004A34AD" w:rsidR="006234C4">
        <w:rPr>
          <w:rFonts w:hint="cs"/>
          <w:rtl/>
        </w:rPr>
        <w:t xml:space="preserve">רמ"י </w:t>
      </w:r>
      <w:r w:rsidRPr="004A34AD" w:rsidR="006234C4">
        <w:rPr>
          <w:rtl/>
        </w:rPr>
        <w:t>קרקעות שבהן נכללו דירות ציבוריות</w:t>
      </w:r>
      <w:r w:rsidRPr="004A34AD" w:rsidR="006234C4">
        <w:rPr>
          <w:rFonts w:hint="cs"/>
          <w:rtl/>
        </w:rPr>
        <w:t xml:space="preserve">, וזאת בין היתר עקב שינוי מדיניות מועצת מקרקעי ישראל בנושא. לפי אגף החשב הכללי במשרד האוצר (אגף החשכ"ל), בניית הדירות הציבוריות במסגרת הפרויקטים העלתה </w:t>
      </w:r>
      <w:r w:rsidRPr="004A34AD" w:rsidR="006234C4">
        <w:rPr>
          <w:rtl/>
        </w:rPr>
        <w:t xml:space="preserve">קשיים מתודולוגיים שלא עלו בקנה אחד עם הכללים הפיסקליים ועם כללי החשבונאות הלאומית, </w:t>
      </w:r>
      <w:r w:rsidRPr="004A34AD" w:rsidR="006234C4">
        <w:rPr>
          <w:rFonts w:hint="cs"/>
          <w:rtl/>
        </w:rPr>
        <w:t xml:space="preserve">וב-2021 שונתה החלטת מועצת מקרקעי ישראל שמכוחה התאפשרה הבנייה. </w:t>
      </w:r>
      <w:r w:rsidRPr="004A34AD" w:rsidR="006234C4">
        <w:rPr>
          <w:rtl/>
        </w:rPr>
        <w:t>יוצא כי בפועל המדינה כמעט לא עשתה שימוש לטובת זכאי הדיור הציבורי בכלי המרכזי שלה לטיפול במשבר הדיור</w:t>
      </w:r>
      <w:r w:rsidRPr="004A34AD" w:rsidR="006234C4">
        <w:rPr>
          <w:rFonts w:hint="cs"/>
          <w:rtl/>
        </w:rPr>
        <w:t>,</w:t>
      </w:r>
      <w:r w:rsidRPr="004A34AD" w:rsidR="006234C4">
        <w:rPr>
          <w:rtl/>
        </w:rPr>
        <w:t xml:space="preserve"> שבמסגרתו בשנים</w:t>
      </w:r>
      <w:r w:rsidRPr="004A34AD" w:rsidR="006234C4">
        <w:rPr>
          <w:rFonts w:hint="cs"/>
          <w:rtl/>
        </w:rPr>
        <w:t xml:space="preserve"> 2020 - 2022</w:t>
      </w:r>
      <w:r w:rsidRPr="004A34AD" w:rsidR="006234C4">
        <w:rPr>
          <w:rtl/>
        </w:rPr>
        <w:t xml:space="preserve"> היא חתמה על עסקאות לבניית כ-33,000 יח"ד במסלולי מחיר מטרה ומחיר מופחת, תוך מתן הנחות בערך הקרקעות, שהסתכמו בכ-8.6 מיליארד ש"ח לכל הפחות, </w:t>
      </w:r>
      <w:r w:rsidRPr="004A34AD" w:rsidR="006234C4">
        <w:rPr>
          <w:rFonts w:hint="cs"/>
          <w:rtl/>
        </w:rPr>
        <w:t>לפי</w:t>
      </w:r>
      <w:r w:rsidRPr="004A34AD" w:rsidR="006234C4">
        <w:rPr>
          <w:rtl/>
        </w:rPr>
        <w:t xml:space="preserve"> נתוני </w:t>
      </w:r>
      <w:r w:rsidRPr="004A34AD" w:rsidR="006234C4">
        <w:rPr>
          <w:rFonts w:hint="cs"/>
          <w:rtl/>
        </w:rPr>
        <w:t>אגף ה</w:t>
      </w:r>
      <w:r w:rsidRPr="004A34AD" w:rsidR="006234C4">
        <w:rPr>
          <w:rtl/>
        </w:rPr>
        <w:t>חשכ"ל</w:t>
      </w:r>
      <w:r w:rsidRPr="0093709F">
        <w:rPr>
          <w:rFonts w:hint="cs"/>
          <w:rtl/>
        </w:rPr>
        <w:t xml:space="preserve">. </w:t>
      </w:r>
    </w:p>
    <w:p w:rsidR="0013439B" w:rsidP="00307E65" w14:paraId="409A7E68" w14:textId="09167FE1">
      <w:pPr>
        <w:pStyle w:val="7392"/>
        <w:spacing w:after="240"/>
        <w:ind w:left="425"/>
        <w:rPr>
          <w:rtl/>
        </w:rPr>
      </w:pPr>
      <w:r w:rsidRPr="00C0149E">
        <w:rPr>
          <w:rFonts w:hint="cs"/>
          <w:b/>
          <w:bCs/>
          <w:noProof/>
          <w:rtl/>
        </w:rPr>
        <w:drawing>
          <wp:anchor distT="0" distB="720090" distL="114300" distR="114300" simplePos="0" relativeHeight="251694080"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91870322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03221" name="Picture 46"/>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0149E">
        <w:rPr>
          <w:b/>
          <w:bCs/>
          <w:rtl/>
        </w:rPr>
        <w:t xml:space="preserve">אי-התאמה בין מספר הנפשות למספר החדרים בדירות ציבוריות </w:t>
      </w:r>
      <w:r w:rsidRPr="00C0149E">
        <w:rPr>
          <w:rFonts w:hint="cs"/>
          <w:b/>
          <w:bCs/>
          <w:rtl/>
        </w:rPr>
        <w:t xml:space="preserve">- </w:t>
      </w:r>
      <w:r w:rsidRPr="004A34AD">
        <w:rPr>
          <w:rtl/>
        </w:rPr>
        <w:t>בביקורת הקודמת עלה כי ב</w:t>
      </w:r>
      <w:r w:rsidRPr="004A34AD">
        <w:rPr>
          <w:rFonts w:hint="cs"/>
          <w:rtl/>
        </w:rPr>
        <w:t>כ</w:t>
      </w:r>
      <w:r w:rsidRPr="004A34AD">
        <w:rPr>
          <w:rtl/>
        </w:rPr>
        <w:t>-2,100 דירות ציבוריות לא הייתה הלימה בין גודלן לבין גודל המשפחה שהתגוררה בהן</w:t>
      </w:r>
      <w:r w:rsidRPr="004A34AD">
        <w:rPr>
          <w:rFonts w:hint="cs"/>
          <w:rtl/>
        </w:rPr>
        <w:t xml:space="preserve"> - </w:t>
      </w:r>
      <w:r w:rsidRPr="004A34AD">
        <w:rPr>
          <w:rtl/>
        </w:rPr>
        <w:t>דירות של ארבעה חדרים ויותר שבה</w:t>
      </w:r>
      <w:r w:rsidRPr="004A34AD">
        <w:rPr>
          <w:rFonts w:hint="cs"/>
          <w:rtl/>
        </w:rPr>
        <w:t>ן</w:t>
      </w:r>
      <w:r w:rsidRPr="004A34AD">
        <w:rPr>
          <w:rtl/>
        </w:rPr>
        <w:t xml:space="preserve"> התגוררו דייר יחיד או שני דיירים בלבד; בביקורת המעקב נמצא כי הליקוי לא תוקן. מלבד הגדרת ״עודף דיור״ כמצב שבו דיירים מחזיקים ביותר מדירה אחת, לא התייחס משרד הבינוי </w:t>
      </w:r>
      <w:r w:rsidRPr="004A34AD">
        <w:rPr>
          <w:rFonts w:hint="cs"/>
          <w:rtl/>
        </w:rPr>
        <w:t>ו</w:t>
      </w:r>
      <w:r w:rsidRPr="004A34AD">
        <w:rPr>
          <w:rtl/>
        </w:rPr>
        <w:t xml:space="preserve">השיכון להגדרה </w:t>
      </w:r>
      <w:r w:rsidRPr="004A34AD">
        <w:rPr>
          <w:rFonts w:hint="cs"/>
          <w:rtl/>
        </w:rPr>
        <w:t>"</w:t>
      </w:r>
      <w:r w:rsidRPr="004A34AD">
        <w:rPr>
          <w:rtl/>
        </w:rPr>
        <w:t>דיור בשטח עודף</w:t>
      </w:r>
      <w:r w:rsidRPr="004A34AD">
        <w:rPr>
          <w:rFonts w:hint="cs"/>
          <w:rtl/>
        </w:rPr>
        <w:t>"</w:t>
      </w:r>
      <w:r w:rsidRPr="004A34AD">
        <w:rPr>
          <w:rtl/>
        </w:rPr>
        <w:t xml:space="preserve">, במצב שבו משק בית הזכאי לדיור ציבורי מורכב מנפש אחת או שתיים המתגוררות בדירת ארבעה חדרים ויותר, כפי שצוין בדוח הקודם. יתרה מכך, משרד הבינוי והשיכון טרם בחן מנגנונים אפשריים לתמרוץ הדיירים להחליף דירה ואת שיעור הדיירים </w:t>
      </w:r>
      <w:r w:rsidRPr="004A34AD">
        <w:rPr>
          <w:rFonts w:hint="cs"/>
          <w:rtl/>
        </w:rPr>
        <w:t>שיהיו מוכנים</w:t>
      </w:r>
      <w:r w:rsidRPr="004A34AD">
        <w:rPr>
          <w:rtl/>
        </w:rPr>
        <w:t xml:space="preserve"> להחליף את דירתם בדירה קטנה יותר</w:t>
      </w:r>
      <w:r w:rsidRPr="0093709F">
        <w:rPr>
          <w:rFonts w:hint="cs"/>
          <w:rtl/>
        </w:rPr>
        <w:t>.</w:t>
      </w:r>
    </w:p>
    <w:p w:rsidR="0013439B" w:rsidP="006234C4" w14:paraId="75577CAD" w14:textId="1B7E6DA5">
      <w:pPr>
        <w:pStyle w:val="7392"/>
        <w:ind w:left="424"/>
        <w:rPr>
          <w:rtl/>
        </w:rPr>
      </w:pPr>
      <w:r w:rsidRPr="00B4206F">
        <w:rPr>
          <w:rStyle w:val="7371"/>
          <w:rFonts w:hint="cs"/>
          <w:noProof/>
          <w:rtl/>
        </w:rPr>
        <w:drawing>
          <wp:anchor distT="0" distB="0" distL="114300" distR="114300" simplePos="0" relativeHeight="251712512" behindDoc="0" locked="0" layoutInCell="1" allowOverlap="1">
            <wp:simplePos x="0" y="0"/>
            <wp:positionH relativeFrom="column">
              <wp:posOffset>2484120</wp:posOffset>
            </wp:positionH>
            <wp:positionV relativeFrom="paragraph">
              <wp:posOffset>36830</wp:posOffset>
            </wp:positionV>
            <wp:extent cx="2199640" cy="180340"/>
            <wp:effectExtent l="0" t="0" r="0" b="0"/>
            <wp:wrapNone/>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anchor>
        </w:drawing>
      </w:r>
    </w:p>
    <w:p w:rsidR="00420374" w:rsidP="0013439B" w14:paraId="2A0C640A" w14:textId="643A9806">
      <w:pPr>
        <w:pStyle w:val="7392"/>
        <w:spacing w:after="240"/>
        <w:ind w:left="425"/>
        <w:rPr>
          <w:rtl/>
        </w:rPr>
      </w:pPr>
      <w:r w:rsidRPr="00C0149E">
        <w:rPr>
          <w:rFonts w:hint="cs"/>
          <w:b/>
          <w:bCs/>
          <w:rtl/>
        </w:rPr>
        <w:t>הרחבת הדרכים לאיתור דירות לרכישה -</w:t>
      </w:r>
      <w:r w:rsidRPr="004A34AD">
        <w:rPr>
          <w:rFonts w:hint="cs"/>
          <w:rtl/>
        </w:rPr>
        <w:t xml:space="preserve"> </w:t>
      </w:r>
      <w:r w:rsidRPr="004A34AD">
        <w:rPr>
          <w:rtl/>
        </w:rPr>
        <w:t xml:space="preserve">בפברואר 2022 החל משרד הבינוי והשיכון בהפעלת פיילוט רכישה על ידי הזכאים ("דירה בשבילך"), ובמסגרתו </w:t>
      </w:r>
      <w:r w:rsidRPr="004A34AD">
        <w:rPr>
          <w:rFonts w:hint="cs"/>
          <w:rtl/>
        </w:rPr>
        <w:t>נתן</w:t>
      </w:r>
      <w:r w:rsidRPr="004A34AD">
        <w:rPr>
          <w:rtl/>
        </w:rPr>
        <w:t xml:space="preserve"> ל-400 זכאים שובר (וואצ'ר) שבאמצעותו יוכל זכאי לאתר לעצמו דירה שמשרד הבינוי והשיכון ירכוש אותה למגוריו של הזכאי.</w:t>
      </w:r>
      <w:r w:rsidRPr="004A34AD">
        <w:rPr>
          <w:rFonts w:hint="cs"/>
          <w:rtl/>
        </w:rPr>
        <w:t xml:space="preserve"> </w:t>
      </w:r>
      <w:r w:rsidRPr="004A34AD">
        <w:rPr>
          <w:rtl/>
        </w:rPr>
        <w:t>בדצמבר 2022 הנחה מנכ"ל המשרד להרחיב את מתן השוברים לכ-1,100 זכאים נוספים</w:t>
      </w:r>
      <w:r w:rsidRPr="004A34AD">
        <w:rPr>
          <w:rFonts w:hint="cs"/>
          <w:rtl/>
        </w:rPr>
        <w:t>,</w:t>
      </w:r>
      <w:r w:rsidRPr="004A34AD">
        <w:rPr>
          <w:rtl/>
        </w:rPr>
        <w:t xml:space="preserve"> ובסך הכ</w:t>
      </w:r>
      <w:r w:rsidRPr="004A34AD">
        <w:rPr>
          <w:rFonts w:hint="cs"/>
          <w:rtl/>
        </w:rPr>
        <w:t>ו</w:t>
      </w:r>
      <w:r w:rsidRPr="004A34AD">
        <w:rPr>
          <w:rtl/>
        </w:rPr>
        <w:t>ל ל</w:t>
      </w:r>
      <w:r w:rsidRPr="004A34AD">
        <w:rPr>
          <w:rFonts w:hint="cs"/>
          <w:rtl/>
        </w:rPr>
        <w:t>כ</w:t>
      </w:r>
      <w:r w:rsidRPr="004A34AD">
        <w:rPr>
          <w:rtl/>
        </w:rPr>
        <w:t xml:space="preserve">-1,500 זכאים. יש לראות בחיוב </w:t>
      </w:r>
      <w:r w:rsidRPr="004A34AD">
        <w:rPr>
          <w:rFonts w:hint="cs"/>
          <w:rtl/>
        </w:rPr>
        <w:t xml:space="preserve">את </w:t>
      </w:r>
      <w:r w:rsidRPr="004A34AD">
        <w:rPr>
          <w:rtl/>
        </w:rPr>
        <w:t>היוזמה של משרד הבינוי והשיכון לאפשר לזכאים לאתר לעצמם דירות</w:t>
      </w:r>
      <w:r w:rsidRPr="004A34AD">
        <w:rPr>
          <w:rFonts w:hint="cs"/>
          <w:rtl/>
        </w:rPr>
        <w:t>. עם זאת, עד סוף שנת 2023, רק 185 זכאים רכשו דירה במסלול זה מתוך כ-1,500 זכאים שקיבלו שוברים בשנים 2022 - 2023</w:t>
      </w:r>
      <w:r w:rsidRPr="00411396">
        <w:rPr>
          <w:rFonts w:hint="cs"/>
          <w:rtl/>
        </w:rPr>
        <w:t>.</w:t>
      </w:r>
    </w:p>
    <w:p w:rsidR="00AD1000" w:rsidRPr="00411396" w:rsidP="006234C4" w14:paraId="3866ADEC" w14:textId="77777777">
      <w:pPr>
        <w:pStyle w:val="7392"/>
        <w:ind w:left="454"/>
        <w:rPr>
          <w:rtl/>
        </w:rPr>
      </w:pPr>
      <w:r w:rsidRPr="00C0149E">
        <w:rPr>
          <w:rFonts w:hint="cs"/>
          <w:b/>
          <w:bCs/>
          <w:rtl/>
        </w:rPr>
        <w:t>הטיפול בדירות ריקות -</w:t>
      </w:r>
      <w:r w:rsidRPr="004A34AD">
        <w:rPr>
          <w:rFonts w:hint="cs"/>
          <w:rtl/>
        </w:rPr>
        <w:t xml:space="preserve"> </w:t>
      </w:r>
      <w:r w:rsidRPr="004A34AD">
        <w:rPr>
          <w:rtl/>
        </w:rPr>
        <w:t xml:space="preserve">משרד הבינוי והשיכון </w:t>
      </w:r>
      <w:r w:rsidRPr="004A34AD">
        <w:rPr>
          <w:rFonts w:hint="cs"/>
          <w:rtl/>
        </w:rPr>
        <w:t xml:space="preserve">מכר </w:t>
      </w:r>
      <w:r w:rsidRPr="004A34AD">
        <w:rPr>
          <w:rtl/>
        </w:rPr>
        <w:t>116 דירות</w:t>
      </w:r>
      <w:r w:rsidRPr="004A34AD">
        <w:rPr>
          <w:rFonts w:hint="cs"/>
          <w:rtl/>
        </w:rPr>
        <w:t xml:space="preserve"> ריקות</w:t>
      </w:r>
      <w:r w:rsidRPr="004A34AD">
        <w:rPr>
          <w:rtl/>
        </w:rPr>
        <w:t xml:space="preserve"> </w:t>
      </w:r>
      <w:r w:rsidRPr="004A34AD">
        <w:rPr>
          <w:rFonts w:hint="cs"/>
          <w:rtl/>
        </w:rPr>
        <w:t>שלא היה להן ביקוש מצד זכאים, ו</w:t>
      </w:r>
      <w:r w:rsidRPr="004A34AD">
        <w:rPr>
          <w:rtl/>
        </w:rPr>
        <w:t>התמורה ממכירתן תשמש לרכישת דירות ציבוריות</w:t>
      </w:r>
      <w:r w:rsidRPr="004A34AD">
        <w:rPr>
          <w:rFonts w:hint="cs"/>
          <w:rtl/>
        </w:rPr>
        <w:t>. כמו כן הוא פעל ל</w:t>
      </w:r>
      <w:r w:rsidRPr="004A34AD">
        <w:rPr>
          <w:rtl/>
        </w:rPr>
        <w:t>הכשר</w:t>
      </w:r>
      <w:r w:rsidRPr="004A34AD">
        <w:rPr>
          <w:rFonts w:hint="cs"/>
          <w:rtl/>
        </w:rPr>
        <w:t>ת</w:t>
      </w:r>
      <w:r w:rsidRPr="004A34AD">
        <w:rPr>
          <w:rtl/>
        </w:rPr>
        <w:t xml:space="preserve"> </w:t>
      </w:r>
      <w:r w:rsidRPr="004A34AD">
        <w:rPr>
          <w:rFonts w:hint="cs"/>
          <w:rtl/>
        </w:rPr>
        <w:t xml:space="preserve">278 </w:t>
      </w:r>
      <w:r w:rsidRPr="004A34AD">
        <w:rPr>
          <w:rtl/>
        </w:rPr>
        <w:t>דירות לטובת שיכון עולים חדשים</w:t>
      </w:r>
      <w:r>
        <w:rPr>
          <w:rFonts w:hint="cs"/>
          <w:rtl/>
        </w:rPr>
        <w:t>.</w:t>
      </w:r>
    </w:p>
    <w:p w:rsidR="002753C7" w:rsidRPr="00662020" w:rsidP="002753C7" w14:paraId="562B0BDA" w14:textId="77777777">
      <w:pPr>
        <w:pStyle w:val="7327"/>
        <w:spacing w:before="480"/>
        <w:rPr>
          <w:rtl/>
        </w:rPr>
      </w:pPr>
      <w:r w:rsidRPr="00662020">
        <w:rPr>
          <w:rFonts w:hint="cs"/>
          <w:rtl/>
        </w:rPr>
        <w:t>עיקרי המלצות הביקורת</w:t>
      </w:r>
    </w:p>
    <w:p w:rsidR="0093709F" w:rsidRPr="007C7D40" w:rsidP="007C7D40" w14:paraId="4C729139" w14:textId="77777777">
      <w:pPr>
        <w:pStyle w:val="7317"/>
      </w:pPr>
      <w:r w:rsidRPr="007C7D40">
        <w:rPr>
          <w:rFonts w:hint="cs"/>
          <w:noProof/>
          <w:rtl/>
        </w:rPr>
        <w:drawing>
          <wp:anchor distT="0" distB="1440180" distL="107950" distR="114300" simplePos="0" relativeHeight="25168998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4A34AD" w:rsidR="00C0149E">
        <w:rPr>
          <w:rFonts w:hint="cs"/>
          <w:rtl/>
        </w:rPr>
        <w:t xml:space="preserve">על </w:t>
      </w:r>
      <w:r w:rsidRPr="004A34AD" w:rsidR="00C0149E">
        <w:rPr>
          <w:rtl/>
        </w:rPr>
        <w:t xml:space="preserve">משרד הבינוי והשיכון </w:t>
      </w:r>
      <w:r w:rsidRPr="004A34AD" w:rsidR="00C0149E">
        <w:rPr>
          <w:rFonts w:hint="cs"/>
          <w:rtl/>
        </w:rPr>
        <w:t>ל</w:t>
      </w:r>
      <w:r w:rsidRPr="004A34AD" w:rsidR="00C0149E">
        <w:rPr>
          <w:rtl/>
        </w:rPr>
        <w:t xml:space="preserve">גבש עם משרד האוצר, בשיתוף גופים רלוונטיים נוספים </w:t>
      </w:r>
      <w:r w:rsidRPr="004A34AD" w:rsidR="00C0149E">
        <w:rPr>
          <w:rFonts w:hint="cs"/>
          <w:rtl/>
        </w:rPr>
        <w:t>לרבות רמ"י, משרד הרווחה והביטחון החברתי ומשרד העלייה והקליטה</w:t>
      </w:r>
      <w:r w:rsidRPr="004A34AD" w:rsidR="00C0149E">
        <w:rPr>
          <w:rtl/>
        </w:rPr>
        <w:t xml:space="preserve">, תוכנית פעולה לאומית רב-שנתית בנוגע למענה ממשלתי מיטבי עבור הנזקקים לסיוע בדיור, בהתחשב בעבודת הוועדה הציבורית לבחינת אמות המידה לזכאות לדיור ציבורי שמינה </w:t>
      </w:r>
      <w:r w:rsidRPr="004A34AD" w:rsidR="00C0149E">
        <w:rPr>
          <w:rFonts w:hint="cs"/>
          <w:rtl/>
        </w:rPr>
        <w:t xml:space="preserve">בפברואר 2022 </w:t>
      </w:r>
      <w:r w:rsidRPr="004A34AD" w:rsidR="00C0149E">
        <w:rPr>
          <w:rtl/>
        </w:rPr>
        <w:t xml:space="preserve">מנכ"ל משרד הבינוי והשיכון דאז. עוד מומלץ כי שר הבינוי </w:t>
      </w:r>
      <w:r w:rsidRPr="004A34AD" w:rsidR="00C0149E">
        <w:rPr>
          <w:rFonts w:hint="cs"/>
          <w:rtl/>
        </w:rPr>
        <w:t xml:space="preserve">והשיכון </w:t>
      </w:r>
      <w:r w:rsidRPr="004A34AD" w:rsidR="00C0149E">
        <w:rPr>
          <w:rtl/>
        </w:rPr>
        <w:t>יעקוב אחר מימוש החלטת הממשלה ממרץ 2021 בדבר גיבוש התוכנית הרב-שנתית לטובת זכאי הסיוע לדיור ציבורי על ידי משרד הבינוי והשיכון</w:t>
      </w:r>
      <w:r w:rsidRPr="004A34AD" w:rsidR="00C0149E">
        <w:rPr>
          <w:rFonts w:hint="cs"/>
          <w:rtl/>
        </w:rPr>
        <w:t xml:space="preserve">. </w:t>
      </w:r>
      <w:r w:rsidRPr="004A34AD" w:rsidR="00C0149E">
        <w:rPr>
          <w:rtl/>
        </w:rPr>
        <w:t xml:space="preserve">עוד מומלץ כי בהמשך להחלטות הממשלה בעניין הארכת תוקף חוק הדיור הציבורי </w:t>
      </w:r>
      <w:r w:rsidRPr="004A34AD" w:rsidR="00C0149E">
        <w:rPr>
          <w:rFonts w:hint="cs"/>
          <w:rtl/>
        </w:rPr>
        <w:t xml:space="preserve">מיוני 2023 </w:t>
      </w:r>
      <w:r w:rsidRPr="004A34AD" w:rsidR="00C0149E">
        <w:rPr>
          <w:rtl/>
        </w:rPr>
        <w:t xml:space="preserve">ובהתאם להתקדמות הליך החקיקה, יפעלו משרד הבינוי והשיכון ומשרד האוצר לגיבוש הסכמות בנושא, ובמסגרת זו יבחנו את הקריטריונים בנוגע לתנאי הזכאות לרכש הדירות, </w:t>
      </w:r>
      <w:r w:rsidRPr="004A34AD" w:rsidR="00C0149E">
        <w:rPr>
          <w:rFonts w:hint="cs"/>
          <w:rtl/>
        </w:rPr>
        <w:t xml:space="preserve">כגון </w:t>
      </w:r>
      <w:r w:rsidRPr="004A34AD" w:rsidR="00C0149E">
        <w:rPr>
          <w:rtl/>
        </w:rPr>
        <w:t>בחינת המצב הכלכלי של הדייר, ואת היקפי ההטבה</w:t>
      </w:r>
      <w:r w:rsidRPr="007C7D40" w:rsidR="005D0F8C">
        <w:rPr>
          <w:rFonts w:hint="cs"/>
          <w:rtl/>
        </w:rPr>
        <w:t xml:space="preserve">. </w:t>
      </w:r>
    </w:p>
    <w:p w:rsidR="005D0F8C" w:rsidRPr="007C7D40" w:rsidP="007C7D40" w14:paraId="623A082E" w14:textId="77777777">
      <w:pPr>
        <w:pStyle w:val="7317"/>
      </w:pPr>
      <w:r w:rsidRPr="007C7D40">
        <w:rPr>
          <w:rFonts w:hint="cs"/>
          <w:noProof/>
          <w:rtl/>
        </w:rPr>
        <w:drawing>
          <wp:anchor distT="0" distB="1440180" distL="107950" distR="114300" simplePos="0" relativeHeight="25169100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A34AD" w:rsidR="00C0149E">
        <w:rPr>
          <w:rtl/>
        </w:rPr>
        <w:t xml:space="preserve">מומלץ כי משרד הבינוי והשיכון וחברת עמידר </w:t>
      </w:r>
      <w:r w:rsidRPr="004A34AD" w:rsidR="00C0149E">
        <w:rPr>
          <w:rFonts w:hint="cs"/>
          <w:rtl/>
        </w:rPr>
        <w:t>יגבירו</w:t>
      </w:r>
      <w:r w:rsidRPr="004A34AD" w:rsidR="00C0149E">
        <w:rPr>
          <w:rtl/>
        </w:rPr>
        <w:t xml:space="preserve"> את מאמצי הרכש של דירות לטובת מלאי הדיור הציבורי ביישובים שבהם אין דירות ציבוריות, </w:t>
      </w:r>
      <w:r w:rsidRPr="004A34AD" w:rsidR="00C0149E">
        <w:rPr>
          <w:rFonts w:hint="cs"/>
          <w:rtl/>
        </w:rPr>
        <w:t xml:space="preserve">ובפרט ביישובי מיעוטים - ובהם ערבים, דרוזים, בדואים וצ'רקסים וכן יישובים חרדים, </w:t>
      </w:r>
      <w:r w:rsidRPr="004A34AD" w:rsidR="00C0149E">
        <w:rPr>
          <w:rtl/>
        </w:rPr>
        <w:t>ו</w:t>
      </w:r>
      <w:r w:rsidRPr="004A34AD" w:rsidR="00C0149E">
        <w:rPr>
          <w:rFonts w:hint="cs"/>
          <w:rtl/>
        </w:rPr>
        <w:t>י</w:t>
      </w:r>
      <w:r w:rsidRPr="004A34AD" w:rsidR="00C0149E">
        <w:rPr>
          <w:rtl/>
        </w:rPr>
        <w:t xml:space="preserve">מצו את כל הערוצים היכולים לתרום </w:t>
      </w:r>
      <w:r w:rsidRPr="004A34AD" w:rsidR="00C0149E">
        <w:rPr>
          <w:rtl/>
        </w:rPr>
        <w:t>לכך, לרבות פרסום בעיתונים ובאתרים מקומיים ביישובים הרלוונטיים</w:t>
      </w:r>
      <w:r w:rsidRPr="004A34AD" w:rsidR="00C0149E">
        <w:rPr>
          <w:rFonts w:hint="cs"/>
          <w:rtl/>
        </w:rPr>
        <w:t xml:space="preserve"> וקיום </w:t>
      </w:r>
      <w:r w:rsidRPr="004A34AD" w:rsidR="00C0149E">
        <w:rPr>
          <w:rtl/>
        </w:rPr>
        <w:t>כנסי הסברה למתווכים ולתושבים בשיתוף הרשות המקומית</w:t>
      </w:r>
      <w:r w:rsidRPr="007C7D40">
        <w:rPr>
          <w:rtl/>
        </w:rPr>
        <w:t xml:space="preserve">. </w:t>
      </w:r>
    </w:p>
    <w:p w:rsidR="005D0F8C" w:rsidRPr="007C7D40" w:rsidP="007C7D40" w14:paraId="6758A9B2" w14:textId="77777777">
      <w:pPr>
        <w:pStyle w:val="7317"/>
        <w:rPr>
          <w:rtl/>
        </w:rPr>
      </w:pPr>
      <w:r w:rsidRPr="007C7D40">
        <w:rPr>
          <w:rFonts w:hint="cs"/>
          <w:noProof/>
          <w:rtl/>
        </w:rPr>
        <w:drawing>
          <wp:anchor distT="0" distB="1440180" distL="107950" distR="114300" simplePos="0" relativeHeight="25169203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A34AD" w:rsidR="00C0149E">
        <w:rPr>
          <w:rFonts w:hint="cs"/>
          <w:rtl/>
        </w:rPr>
        <w:t xml:space="preserve">מומלץ כי שר הבינוי והשיכון יבחן קידום הקצאת דירות ציבוריות במסגרת שיווקי הקרקעות של המדינה, ובמסגרת זו מומלץ כי משרד הבינוי והשיכון, בשיתוף רמ"י, אגף תקציבים במשרד האוצר ואגף החשכ"ל, יבחנו את האפשרות לשלב במכרזי "דירה בהנחה" דירות ציבוריות, תוך הקצאת תקציב למימון בנייתן, כך </w:t>
      </w:r>
      <w:r w:rsidRPr="004A34AD" w:rsidR="00C0149E">
        <w:rPr>
          <w:rtl/>
        </w:rPr>
        <w:t>ש</w:t>
      </w:r>
      <w:r w:rsidRPr="004A34AD" w:rsidR="00C0149E">
        <w:rPr>
          <w:rFonts w:hint="cs"/>
          <w:rtl/>
        </w:rPr>
        <w:t xml:space="preserve">רק </w:t>
      </w:r>
      <w:r w:rsidRPr="004A34AD" w:rsidR="00C0149E">
        <w:rPr>
          <w:rtl/>
        </w:rPr>
        <w:t xml:space="preserve">רכיב עלות הקרקע </w:t>
      </w:r>
      <w:r w:rsidRPr="004A34AD" w:rsidR="00C0149E">
        <w:rPr>
          <w:rFonts w:hint="cs"/>
          <w:rtl/>
        </w:rPr>
        <w:t xml:space="preserve">לבנייתן </w:t>
      </w:r>
      <w:r w:rsidRPr="004A34AD" w:rsidR="00C0149E">
        <w:rPr>
          <w:rtl/>
        </w:rPr>
        <w:t>יוקצה בהנחה</w:t>
      </w:r>
      <w:r w:rsidRPr="004A34AD" w:rsidR="00C0149E">
        <w:rPr>
          <w:rFonts w:hint="cs"/>
          <w:rtl/>
        </w:rPr>
        <w:t>. באופן הזה יתאפשר למשרד הבינוי והשיכון לרכוש לטובת מלאי הדירות הציבוריות דירות חדשות במחיר מופחת במסגרת כלי מרכזי של הממשלה לטיפול במשבר הדיור, ובכך לשפר את המענה הניתן לזכאים לדיור ציבורי, בפרט ביישובים שבהם קיים קושי לרכוש דירות</w:t>
      </w:r>
      <w:r w:rsidRPr="007C7D40">
        <w:rPr>
          <w:rFonts w:hint="cs"/>
          <w:rtl/>
        </w:rPr>
        <w:t>.</w:t>
      </w:r>
    </w:p>
    <w:p w:rsidR="00706096" w:rsidRPr="007C7D40" w:rsidP="007C7D40" w14:paraId="4F72FB76" w14:textId="77777777">
      <w:pPr>
        <w:pStyle w:val="7317"/>
        <w:rPr>
          <w:rtl/>
        </w:rPr>
      </w:pPr>
      <w:r w:rsidRPr="007C7D40">
        <w:rPr>
          <w:rFonts w:hint="cs"/>
          <w:noProof/>
          <w:rtl/>
        </w:rPr>
        <w:drawing>
          <wp:anchor distT="0" distB="1440180" distL="107950" distR="114300" simplePos="0" relativeHeight="25169305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4A34AD" w:rsidR="00C0149E">
        <w:rPr>
          <w:rtl/>
        </w:rPr>
        <w:t>מומלץ כי אם יוארך בעתיד תוקפו של חוק הדיור הציבורי, יפיץ משרד הבינוי והשיכון הודעה לדיירי הדיור הציבורי בדבר זכותם לרכוש את הדירה שהם מתגוררים בה בשפות האם שלהם, לרבות באמהרית, ובהתאם יפרסם זאת גם באתר משרד הבינוי והשיכון במרשתת</w:t>
      </w:r>
      <w:r w:rsidRPr="007C7D40">
        <w:rPr>
          <w:rFonts w:hint="cs"/>
          <w:rtl/>
        </w:rPr>
        <w:t>.</w:t>
      </w:r>
    </w:p>
    <w:p w:rsidR="004E71DD" w:rsidP="005D0F8C" w14:paraId="0925C9FE" w14:textId="77777777">
      <w:pPr>
        <w:pStyle w:val="7317"/>
        <w:rPr>
          <w:rtl/>
        </w:rPr>
      </w:pPr>
      <w:r w:rsidRPr="00D527BD">
        <w:rPr>
          <w:noProof/>
          <w:szCs w:val="20"/>
          <w:rtl/>
        </w:rPr>
        <w:drawing>
          <wp:anchor distT="0" distB="0" distL="114300" distR="114300" simplePos="0" relativeHeight="251675648" behindDoc="0" locked="0" layoutInCell="1" allowOverlap="1">
            <wp:simplePos x="0" y="0"/>
            <wp:positionH relativeFrom="column">
              <wp:posOffset>-108337</wp:posOffset>
            </wp:positionH>
            <wp:positionV relativeFrom="paragraph">
              <wp:posOffset>227882</wp:posOffset>
            </wp:positionV>
            <wp:extent cx="4731385" cy="1103244"/>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5552" cy="1108879"/>
                    </a:xfrm>
                    <a:prstGeom prst="rect">
                      <a:avLst/>
                    </a:prstGeom>
                  </pic:spPr>
                </pic:pic>
              </a:graphicData>
            </a:graphic>
            <wp14:sizeRelV relativeFrom="margin">
              <wp14:pctHeight>0</wp14:pctHeight>
            </wp14:sizeRelV>
          </wp:anchor>
        </w:drawing>
      </w:r>
    </w:p>
    <w:p w:rsidR="005D0F8C" w:rsidP="004E71DD" w14:paraId="09C2CCE0" w14:textId="77777777">
      <w:pPr>
        <w:tabs>
          <w:tab w:val="right" w:pos="7370"/>
        </w:tabs>
        <w:bidi w:val="0"/>
        <w:spacing w:after="200" w:line="276" w:lineRule="auto"/>
        <w:rPr>
          <w:rtl/>
        </w:rPr>
      </w:pPr>
      <w:r w:rsidRPr="00D527BD">
        <w:rPr>
          <w:noProof/>
          <w:szCs w:val="20"/>
          <w:rtl/>
        </w:rPr>
        <mc:AlternateContent>
          <mc:Choice Requires="wps">
            <w:drawing>
              <wp:anchor distT="0" distB="0" distL="114300" distR="114300" simplePos="0" relativeHeight="251676672" behindDoc="0" locked="0" layoutInCell="1" allowOverlap="1">
                <wp:simplePos x="0" y="0"/>
                <wp:positionH relativeFrom="column">
                  <wp:posOffset>90170</wp:posOffset>
                </wp:positionH>
                <wp:positionV relativeFrom="paragraph">
                  <wp:posOffset>86139</wp:posOffset>
                </wp:positionV>
                <wp:extent cx="4436745" cy="663244"/>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663244"/>
                        </a:xfrm>
                        <a:prstGeom prst="rect">
                          <a:avLst/>
                        </a:prstGeom>
                        <a:solidFill>
                          <a:srgbClr val="F05260"/>
                        </a:solidFill>
                        <a:ln w="9525">
                          <a:noFill/>
                          <a:miter lim="800000"/>
                          <a:headEnd/>
                          <a:tailEnd/>
                        </a:ln>
                      </wps:spPr>
                      <wps:txbx>
                        <w:txbxContent>
                          <w:p w:rsidR="005D0F8C" w:rsidRPr="005C7ABF" w:rsidP="00662020" w14:textId="77777777">
                            <w:pPr>
                              <w:spacing w:line="240" w:lineRule="auto"/>
                              <w:ind w:right="113"/>
                              <w:suppressOverlap/>
                              <w:jc w:val="left"/>
                              <w:rPr>
                                <w:rFonts w:ascii="Tahoma" w:hAnsi="Tahoma" w:cs="Tahoma"/>
                                <w:b/>
                                <w:bCs/>
                                <w:color w:val="FFFFFF" w:themeColor="background1"/>
                                <w:spacing w:val="-4"/>
                                <w:sz w:val="22"/>
                                <w:szCs w:val="22"/>
                                <w:rtl/>
                              </w:rPr>
                            </w:pPr>
                            <w:r w:rsidRPr="00C0149E">
                              <w:rPr>
                                <w:rFonts w:ascii="Tahoma" w:hAnsi="Tahoma" w:cs="Tahoma"/>
                                <w:b/>
                                <w:bCs/>
                                <w:color w:val="FFFFFF" w:themeColor="background1"/>
                                <w:spacing w:val="-4"/>
                                <w:sz w:val="22"/>
                                <w:szCs w:val="22"/>
                                <w:rtl/>
                              </w:rPr>
                              <w:t>מספר הדירות הציבוריות שנרכשו ומספר הדירות הציבוריות שנמכרו ושיעורן של הדירות שנרכשו מתוך הדירות שנמכרו, 2016 - 2018 (דוח קודם) לעומת 2020 - 2022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3" type="#_x0000_t202" style="width:349.35pt;height:52.2pt;margin-top:6.8pt;margin-left:7.1pt;mso-height-percent:0;mso-height-relative:margin;mso-width-percent:0;mso-width-relative:margin;mso-wrap-distance-bottom:0;mso-wrap-distance-left:9pt;mso-wrap-distance-right:9pt;mso-wrap-distance-top:0;mso-wrap-style:square;position:absolute;visibility:visible;v-text-anchor:middle;z-index:251677696" fillcolor="#f05260" stroked="f">
                <v:textbox>
                  <w:txbxContent>
                    <w:p w:rsidR="005D0F8C" w:rsidRPr="005C7ABF" w:rsidP="00662020" w14:paraId="6C93A5B3" w14:textId="77777777">
                      <w:pPr>
                        <w:spacing w:line="240" w:lineRule="auto"/>
                        <w:ind w:right="113"/>
                        <w:suppressOverlap/>
                        <w:jc w:val="left"/>
                        <w:rPr>
                          <w:rFonts w:ascii="Tahoma" w:hAnsi="Tahoma" w:cs="Tahoma"/>
                          <w:b/>
                          <w:bCs/>
                          <w:color w:val="FFFFFF" w:themeColor="background1"/>
                          <w:spacing w:val="-4"/>
                          <w:sz w:val="22"/>
                          <w:szCs w:val="22"/>
                          <w:rtl/>
                        </w:rPr>
                      </w:pPr>
                      <w:r w:rsidRPr="00C0149E">
                        <w:rPr>
                          <w:rFonts w:ascii="Tahoma" w:hAnsi="Tahoma" w:cs="Tahoma"/>
                          <w:b/>
                          <w:bCs/>
                          <w:color w:val="FFFFFF" w:themeColor="background1"/>
                          <w:spacing w:val="-4"/>
                          <w:sz w:val="22"/>
                          <w:szCs w:val="22"/>
                          <w:rtl/>
                        </w:rPr>
                        <w:t>מספר הדירות הציבוריות שנרכשו ומספר הדירות הציבוריות שנמכרו ושיעורן של הדירות שנרכשו מתוך הדירות שנמכרו, 2016 - 2018 (דוח קודם) לעומת 2020 - 2022</w:t>
                      </w:r>
                    </w:p>
                  </w:txbxContent>
                </v:textbox>
              </v:shape>
            </w:pict>
          </mc:Fallback>
        </mc:AlternateContent>
      </w:r>
      <w:r>
        <w:rPr>
          <w:rtl/>
        </w:rPr>
        <w:t xml:space="preserve"> </w:t>
      </w:r>
    </w:p>
    <w:p w:rsidR="005D0F8C" w:rsidP="005D0F8C" w14:paraId="113A5850" w14:textId="77777777">
      <w:pPr>
        <w:pStyle w:val="7317"/>
        <w:rPr>
          <w:rtl/>
        </w:rPr>
      </w:pPr>
    </w:p>
    <w:p w:rsidR="005D0F8C" w:rsidP="005D0F8C" w14:paraId="065AAB9D" w14:textId="77777777">
      <w:pPr>
        <w:pStyle w:val="7317"/>
        <w:rPr>
          <w:rtl/>
        </w:rPr>
      </w:pPr>
    </w:p>
    <w:p w:rsidR="00C0149E" w:rsidRPr="00C0149E" w:rsidP="00C0149E" w14:paraId="5F766280" w14:textId="77777777">
      <w:pPr>
        <w:spacing w:before="360"/>
        <w:jc w:val="center"/>
      </w:pPr>
      <w:r>
        <w:rPr>
          <w:noProof/>
        </w:rPr>
        <w:drawing>
          <wp:inline distT="0" distB="0" distL="0" distR="0">
            <wp:extent cx="3451539" cy="2741094"/>
            <wp:effectExtent l="0" t="0" r="3175" b="2540"/>
            <wp:docPr id="2085567497" name="תמונה 1" descr="תמונה שמכילה טקסט, בקבוק&#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67497" name="תמונה 1" descr="תמונה שמכילה טקסט, בקבוק&#10;&#10;התיאור נוצר באופן אוטומטי"/>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93460" cy="2774386"/>
                    </a:xfrm>
                    <a:prstGeom prst="rect">
                      <a:avLst/>
                    </a:prstGeom>
                  </pic:spPr>
                </pic:pic>
              </a:graphicData>
            </a:graphic>
          </wp:inline>
        </w:drawing>
      </w:r>
    </w:p>
    <w:p w:rsidR="005D0F8C" w:rsidP="00C0149E" w14:paraId="5BADB8BE" w14:textId="77777777">
      <w:pPr>
        <w:pStyle w:val="738"/>
        <w:spacing w:after="0"/>
        <w:rPr>
          <w:b/>
          <w:bCs/>
          <w:noProof/>
          <w:color w:val="FFFFFF" w:themeColor="background1"/>
          <w:sz w:val="22"/>
          <w:szCs w:val="22"/>
        </w:rPr>
      </w:pPr>
      <w:r w:rsidRPr="004A34AD">
        <w:rPr>
          <w:rFonts w:hint="eastAsia"/>
          <w:rtl/>
        </w:rPr>
        <w:t>המקור</w:t>
      </w:r>
      <w:r w:rsidRPr="004A34AD">
        <w:rPr>
          <w:rtl/>
        </w:rPr>
        <w:t>: על פי נתוני משרד הבינוי והשיכון, בעיבוד משרד מבקר המדינה</w:t>
      </w:r>
      <w:r w:rsidRPr="00BE0973">
        <w:rPr>
          <w:rFonts w:hint="cs"/>
          <w:rtl/>
        </w:rPr>
        <w:t>.</w:t>
      </w:r>
    </w:p>
    <w:p w:rsidR="00C0149E" w:rsidP="00C0149E" w14:paraId="32952E9C" w14:textId="77777777">
      <w:pPr>
        <w:pStyle w:val="73"/>
        <w:rPr>
          <w:rtl/>
        </w:rPr>
      </w:pPr>
      <w:r w:rsidRPr="00EF3061">
        <w:rPr>
          <w:rFonts w:hint="cs"/>
          <w:rtl/>
        </w:rPr>
        <w:t>סיכום</w:t>
      </w:r>
    </w:p>
    <w:p w:rsidR="00C0149E" w:rsidRPr="004A34AD" w:rsidP="00C0149E" w14:paraId="2029EB7E" w14:textId="77777777">
      <w:pPr>
        <w:widowControl w:val="0"/>
        <w:tabs>
          <w:tab w:val="left" w:pos="9604"/>
        </w:tabs>
        <w:spacing w:before="240" w:line="276" w:lineRule="auto"/>
        <w:ind w:left="-1"/>
        <w:rPr>
          <w:rFonts w:ascii="Tahoma" w:hAnsi="Tahoma" w:cs="Tahoma"/>
          <w:sz w:val="18"/>
          <w:szCs w:val="18"/>
          <w:rtl/>
        </w:rPr>
      </w:pPr>
      <w:r w:rsidRPr="004A34AD">
        <w:rPr>
          <w:rFonts w:ascii="Tahoma" w:hAnsi="Tahoma" w:cs="Tahoma"/>
          <w:sz w:val="18"/>
          <w:szCs w:val="18"/>
          <w:rtl/>
        </w:rPr>
        <w:t>במהלך השנים קטן מספר הדירות הציבוריות לצד גידול במספר הזכאים הממתינים לדיור ציבורי לכ-4,300 זכאים ממתינים</w:t>
      </w:r>
      <w:r w:rsidRPr="004A34AD">
        <w:rPr>
          <w:rFonts w:ascii="Tahoma" w:hAnsi="Tahoma" w:cs="Tahoma" w:hint="cs"/>
          <w:sz w:val="18"/>
          <w:szCs w:val="18"/>
          <w:rtl/>
        </w:rPr>
        <w:t xml:space="preserve"> בשנת 2023</w:t>
      </w:r>
      <w:r w:rsidRPr="004A34AD">
        <w:rPr>
          <w:rFonts w:ascii="Tahoma" w:hAnsi="Tahoma" w:cs="Tahoma"/>
          <w:sz w:val="18"/>
          <w:szCs w:val="18"/>
          <w:rtl/>
        </w:rPr>
        <w:t xml:space="preserve">, ועקב כך זמן ההמתנה הארצי הממוצע לקבלת דירה ציבורית </w:t>
      </w:r>
      <w:r w:rsidRPr="004A34AD">
        <w:rPr>
          <w:rFonts w:ascii="Tahoma" w:hAnsi="Tahoma" w:cs="Tahoma" w:hint="cs"/>
          <w:sz w:val="18"/>
          <w:szCs w:val="18"/>
          <w:rtl/>
        </w:rPr>
        <w:t xml:space="preserve">התארך </w:t>
      </w:r>
      <w:r w:rsidRPr="004A34AD">
        <w:rPr>
          <w:rFonts w:ascii="Tahoma" w:hAnsi="Tahoma" w:cs="Tahoma"/>
          <w:sz w:val="18"/>
          <w:szCs w:val="18"/>
          <w:rtl/>
        </w:rPr>
        <w:t>מכ-31 חודשים בשנת 2019 לכ-35 חודשים בשנת 2023.</w:t>
      </w:r>
    </w:p>
    <w:p w:rsidR="00C0149E" w:rsidRPr="004A34AD" w:rsidP="00C0149E" w14:paraId="033C0BEE" w14:textId="77777777">
      <w:pPr>
        <w:widowControl w:val="0"/>
        <w:tabs>
          <w:tab w:val="left" w:pos="9604"/>
        </w:tabs>
        <w:spacing w:before="240" w:line="276" w:lineRule="auto"/>
        <w:ind w:left="-1"/>
        <w:rPr>
          <w:rFonts w:ascii="Tahoma" w:hAnsi="Tahoma" w:cs="Tahoma"/>
          <w:sz w:val="18"/>
          <w:szCs w:val="18"/>
          <w:rtl/>
        </w:rPr>
      </w:pPr>
      <w:r w:rsidRPr="004A34AD">
        <w:rPr>
          <w:rFonts w:ascii="Tahoma" w:hAnsi="Tahoma" w:cs="Tahoma"/>
          <w:sz w:val="18"/>
          <w:szCs w:val="18"/>
          <w:rtl/>
        </w:rPr>
        <w:t>ממצאי דוח מעקב זה מעידים כי חלק מהליקויים שצוינו בדוח הקודם תוקנו באופן חלקי או תוקנו במידה רבה, למשל בנושא מדיניות משרד הבינוי והשיכון לרכישת דירות גם ביישובים שלא היו בהם דירות ציבוריות, טיפול המשרד בדירות ריקות ובדירות שאינן ראויות למגורים באמצעות מכירתן או השמשתן למגורים וכן החזרה למאגר הדיור הציבורי דירות שהושכרו למטרות ציבוריות. עם זאת, ליקויים מהותיים שהועלו בביקורת הקודמת לא תוקנו או תוקנו במידה מועטה, ובכלל זה אי-גיבוש תוכנית רב-שנתית בנוגע למאגר הדיור הציבורי, אי-הכללת דיור ציבורי במסגרת פרויקטים של "דירה בהנחה" וכן אי-קידום נושא התאמת דירות אל גודל משקי הבית.</w:t>
      </w:r>
    </w:p>
    <w:p w:rsidR="00C0149E" w:rsidP="00C0149E" w14:paraId="31A2640E" w14:textId="77777777">
      <w:pPr>
        <w:widowControl w:val="0"/>
        <w:tabs>
          <w:tab w:val="left" w:pos="9604"/>
        </w:tabs>
        <w:spacing w:before="240" w:line="276" w:lineRule="auto"/>
        <w:ind w:left="-1"/>
        <w:rPr>
          <w:rFonts w:ascii="Tahoma" w:hAnsi="Tahoma" w:cs="Tahoma"/>
          <w:sz w:val="18"/>
          <w:szCs w:val="18"/>
        </w:rPr>
      </w:pPr>
      <w:r w:rsidRPr="004A34AD">
        <w:rPr>
          <w:rFonts w:ascii="Tahoma" w:hAnsi="Tahoma" w:cs="Tahoma"/>
          <w:sz w:val="18"/>
          <w:szCs w:val="18"/>
          <w:rtl/>
        </w:rPr>
        <w:t xml:space="preserve">על שר הבינוי והשיכון לפעול לתיקון הליקויים שטרם תוקנו וליישום ההמלצות המפורטות בדוח זה במטרה לטייב את המענים לזכאי הדיור הציבורי, כך שיקוצר תור הממתינים וכן זמן ההמתנה לקבלת דירה ציבורית. עוד מומלץ כי בהמשך להחלטות הממשלה בעניין הארכת תוקף חוק הדיור הציבורי ובהתאם להתקדמות הליך החקיקה, יפעלו משרד הבינוי והשיכון ומשרד האוצר לגיבוש הסכמות בנושא, ובמסגרת זו יבחנו את הקריטריונים בנוגע לתנאי הזכאות לרכש הדירות, </w:t>
      </w:r>
      <w:r w:rsidRPr="004A34AD">
        <w:rPr>
          <w:rFonts w:ascii="Tahoma" w:hAnsi="Tahoma" w:cs="Tahoma" w:hint="cs"/>
          <w:sz w:val="18"/>
          <w:szCs w:val="18"/>
          <w:rtl/>
        </w:rPr>
        <w:t xml:space="preserve">כגון </w:t>
      </w:r>
      <w:r w:rsidRPr="004A34AD">
        <w:rPr>
          <w:rFonts w:ascii="Tahoma" w:hAnsi="Tahoma" w:cs="Tahoma"/>
          <w:sz w:val="18"/>
          <w:szCs w:val="18"/>
          <w:rtl/>
        </w:rPr>
        <w:t>בחינת המצב הכלכלי של הדייר, וכן את היקפי ההטבה</w:t>
      </w:r>
      <w:r>
        <w:rPr>
          <w:rFonts w:ascii="Tahoma" w:hAnsi="Tahoma" w:cs="Tahoma" w:hint="cs"/>
          <w:sz w:val="18"/>
          <w:szCs w:val="18"/>
          <w:rtl/>
        </w:rPr>
        <w:t>.</w:t>
      </w:r>
    </w:p>
    <w:p w:rsidR="00C0149E" w14:paraId="3DE54894" w14:textId="77777777">
      <w:pPr>
        <w:bidi w:val="0"/>
        <w:spacing w:after="200" w:line="276" w:lineRule="auto"/>
        <w:rPr>
          <w:rFonts w:ascii="Tahoma" w:hAnsi="Tahoma" w:cs="Tahoma"/>
          <w:b/>
          <w:bCs/>
          <w:noProof/>
          <w:color w:val="FFFFFF" w:themeColor="background1"/>
          <w:sz w:val="22"/>
          <w:szCs w:val="22"/>
          <w:rtl/>
        </w:rPr>
      </w:pPr>
      <w:r>
        <w:rPr>
          <w:b/>
          <w:bCs/>
          <w:noProof/>
          <w:color w:val="FFFFFF" w:themeColor="background1"/>
          <w:sz w:val="22"/>
          <w:szCs w:val="22"/>
          <w:rtl/>
        </w:rPr>
        <w:br w:type="page"/>
      </w:r>
    </w:p>
    <w:p w:rsidR="000B31AA" w:rsidRPr="000B31AA" w:rsidP="00662020" w14:paraId="201E17EE" w14:textId="3E168C23">
      <w:pPr>
        <w:pStyle w:val="738"/>
        <w:spacing w:before="0" w:after="0"/>
        <w:rPr>
          <w:rtl/>
        </w:rPr>
      </w:pPr>
      <w:r w:rsidRPr="00DC1D24">
        <w:rPr>
          <w:noProof/>
          <w:rtl/>
        </w:rPr>
        <mc:AlternateContent>
          <mc:Choice Requires="wpg">
            <w:drawing>
              <wp:anchor distT="0" distB="0" distL="114300" distR="114300" simplePos="0" relativeHeight="251678720" behindDoc="0" locked="0" layoutInCell="1" allowOverlap="1">
                <wp:simplePos x="0" y="0"/>
                <wp:positionH relativeFrom="margin">
                  <wp:posOffset>-106680</wp:posOffset>
                </wp:positionH>
                <wp:positionV relativeFrom="paragraph">
                  <wp:posOffset>53</wp:posOffset>
                </wp:positionV>
                <wp:extent cx="4787900" cy="76708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6708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02806" y="266506"/>
                            <a:ext cx="4428490" cy="347646"/>
                          </a:xfrm>
                          <a:prstGeom prst="rect">
                            <a:avLst/>
                          </a:prstGeom>
                          <a:solidFill>
                            <a:srgbClr val="F05260"/>
                          </a:solidFill>
                          <a:ln w="9525">
                            <a:noFill/>
                            <a:miter lim="800000"/>
                            <a:headEnd/>
                            <a:tailEnd/>
                          </a:ln>
                        </wps:spPr>
                        <wps:txbx>
                          <w:txbxContent>
                            <w:p w:rsidR="000B31AA" w:rsidRPr="00361C09" w:rsidP="00361C09" w14:textId="77777777">
                              <w:pPr>
                                <w:spacing w:before="60" w:after="60" w:line="240" w:lineRule="auto"/>
                                <w:ind w:right="113"/>
                                <w:jc w:val="left"/>
                                <w:rPr>
                                  <w:b/>
                                  <w:bCs/>
                                </w:rPr>
                              </w:pPr>
                              <w:r w:rsidRPr="00C0149E">
                                <w:rPr>
                                  <w:rFonts w:ascii="Tahoma" w:hAnsi="Tahoma" w:cs="Tahoma"/>
                                  <w:b/>
                                  <w:bCs/>
                                  <w:color w:val="FFFFFF" w:themeColor="background1"/>
                                  <w:spacing w:val="-4"/>
                                  <w:sz w:val="22"/>
                                  <w:szCs w:val="22"/>
                                  <w:rtl/>
                                </w:rPr>
                                <w:t xml:space="preserve">מידת תיקון עיקרי הליקויים שעלו בדוח הקודם </w:t>
                              </w:r>
                            </w:p>
                          </w:txbxContent>
                        </wps:txbx>
                        <wps:bodyPr rot="0" vert="horz" wrap="square" lIns="91440" tIns="45720" rIns="91440" bIns="45720"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34" style="width:377pt;height:60.4pt;margin-top:0;margin-left:-8.4pt;mso-height-relative:margin;mso-position-horizontal-relative:margin;mso-width-relative:margin;position:absolute;z-index:251679744"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35" type="#_x0000_t75" style="width:47879;height:6148;mso-wrap-style:square;position:absolute;top:1815;visibility:visible">
                  <v:imagedata r:id="rId29" o:title=""/>
                </v:shape>
                <v:shape id="_x0000_s1036" type="#_x0000_t202" style="width:44284;height:3476;left:2028;mso-wrap-style:square;position:absolute;top:2665;visibility:visible;v-text-anchor:middle" fillcolor="#f05260" stroked="f">
                  <v:textbox>
                    <w:txbxContent>
                      <w:p w:rsidR="000B31AA" w:rsidRPr="00361C09" w:rsidP="00361C09" w14:paraId="3D99FD63" w14:textId="77777777">
                        <w:pPr>
                          <w:spacing w:before="60" w:after="60" w:line="240" w:lineRule="auto"/>
                          <w:ind w:right="113"/>
                          <w:jc w:val="left"/>
                          <w:rPr>
                            <w:b/>
                            <w:bCs/>
                          </w:rPr>
                        </w:pPr>
                        <w:r w:rsidRPr="00C0149E">
                          <w:rPr>
                            <w:rFonts w:ascii="Tahoma" w:hAnsi="Tahoma" w:cs="Tahoma"/>
                            <w:b/>
                            <w:bCs/>
                            <w:color w:val="FFFFFF" w:themeColor="background1"/>
                            <w:spacing w:val="-4"/>
                            <w:sz w:val="22"/>
                            <w:szCs w:val="22"/>
                            <w:rtl/>
                          </w:rPr>
                          <w:t xml:space="preserve">מידת תיקון עיקרי הליקויים שעלו בדוח הקודם </w:t>
                        </w:r>
                      </w:p>
                    </w:txbxContent>
                  </v:textbox>
                </v:shape>
                <w10:wrap type="square"/>
              </v:group>
            </w:pict>
          </mc:Fallback>
        </mc:AlternateContent>
      </w:r>
    </w:p>
    <w:tbl>
      <w:tblPr>
        <w:tblStyle w:val="TableGrid"/>
        <w:bidiVisual/>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
      <w:tblGrid>
        <w:gridCol w:w="1474"/>
        <w:gridCol w:w="998"/>
        <w:gridCol w:w="1984"/>
        <w:gridCol w:w="584"/>
        <w:gridCol w:w="758"/>
        <w:gridCol w:w="733"/>
        <w:gridCol w:w="685"/>
      </w:tblGrid>
      <w:tr w14:paraId="1C634525" w14:textId="77777777" w:rsidTr="003E5AE8">
        <w:tblPrEx>
          <w:tblW w:w="7216" w:type="dxa"/>
          <w:tblInd w:w="397" w:type="dxa"/>
          <w:tblBorders>
            <w:top w:val="none" w:sz="0" w:space="0" w:color="auto"/>
            <w:left w:val="single" w:sz="2" w:space="0" w:color="auto"/>
            <w:bottom w:val="none" w:sz="0" w:space="0" w:color="auto"/>
            <w:right w:val="single" w:sz="2" w:space="0" w:color="auto"/>
            <w:insideH w:val="none" w:sz="0" w:space="0" w:color="auto"/>
            <w:insideV w:val="single" w:sz="2" w:space="0" w:color="auto"/>
          </w:tblBorders>
          <w:shd w:val="clear" w:color="auto" w:fill="DFECEF"/>
          <w:tblLook w:val="04A0"/>
        </w:tblPrEx>
        <w:trPr>
          <w:tblHeader/>
        </w:trPr>
        <w:tc>
          <w:tcPr>
            <w:tcW w:w="1474" w:type="dxa"/>
            <w:vMerge w:val="restart"/>
            <w:shd w:val="clear" w:color="auto" w:fill="C8DCE4"/>
            <w:vAlign w:val="bottom"/>
          </w:tcPr>
          <w:p w:rsidR="00F6117F" w:rsidP="003E5AE8" w14:paraId="3D88C7D9" w14:textId="77777777">
            <w:pPr>
              <w:pStyle w:val="73R"/>
            </w:pPr>
            <w:r w:rsidRPr="007E204E">
              <w:rPr>
                <w:b/>
                <w:bCs/>
                <w:rtl/>
              </w:rPr>
              <w:t>פרק הביקורת</w:t>
            </w:r>
          </w:p>
        </w:tc>
        <w:tc>
          <w:tcPr>
            <w:tcW w:w="998" w:type="dxa"/>
            <w:vMerge w:val="restart"/>
            <w:shd w:val="clear" w:color="auto" w:fill="C8DCE4"/>
            <w:vAlign w:val="bottom"/>
          </w:tcPr>
          <w:p w:rsidR="00F6117F" w:rsidP="003E5AE8" w14:paraId="4367A720" w14:textId="77777777">
            <w:pPr>
              <w:pStyle w:val="73R"/>
              <w:rPr>
                <w:rtl/>
              </w:rPr>
            </w:pPr>
            <w:r w:rsidRPr="007E204E">
              <w:rPr>
                <w:rFonts w:hint="cs"/>
                <w:b/>
                <w:bCs/>
                <w:rtl/>
              </w:rPr>
              <w:t>הגוף המבוקר</w:t>
            </w:r>
          </w:p>
        </w:tc>
        <w:tc>
          <w:tcPr>
            <w:tcW w:w="1984" w:type="dxa"/>
            <w:vMerge w:val="restart"/>
            <w:shd w:val="clear" w:color="auto" w:fill="C8DCE4"/>
            <w:vAlign w:val="bottom"/>
          </w:tcPr>
          <w:p w:rsidR="00F6117F" w:rsidP="003E5AE8" w14:paraId="7A83418D" w14:textId="77777777">
            <w:pPr>
              <w:pStyle w:val="73R"/>
              <w:rPr>
                <w:rtl/>
              </w:rPr>
            </w:pPr>
            <w:r w:rsidRPr="007E204E">
              <w:rPr>
                <w:b/>
                <w:bCs/>
                <w:rtl/>
              </w:rPr>
              <w:t>הליקוי בדוח הביקורת</w:t>
            </w:r>
            <w:r w:rsidRPr="007E204E">
              <w:rPr>
                <w:rFonts w:hint="cs"/>
                <w:b/>
                <w:bCs/>
                <w:rtl/>
              </w:rPr>
              <w:t xml:space="preserve"> הקודם</w:t>
            </w:r>
          </w:p>
        </w:tc>
        <w:tc>
          <w:tcPr>
            <w:tcW w:w="2760" w:type="dxa"/>
            <w:gridSpan w:val="4"/>
            <w:shd w:val="clear" w:color="auto" w:fill="C8DCE4"/>
            <w:vAlign w:val="center"/>
          </w:tcPr>
          <w:p w:rsidR="00F6117F" w:rsidRPr="00FA2D84" w:rsidP="003E5AE8" w14:paraId="1876B0A4" w14:textId="77777777">
            <w:pPr>
              <w:pStyle w:val="73R"/>
              <w:bidi w:val="0"/>
              <w:jc w:val="center"/>
              <w:rPr>
                <w:b/>
                <w:bCs/>
                <w:rtl/>
              </w:rPr>
            </w:pPr>
            <w:r w:rsidRPr="00FA2D84">
              <w:rPr>
                <w:b/>
                <w:bCs/>
                <w:rtl/>
              </w:rPr>
              <w:t>מידת תיקון הליקוי</w:t>
            </w:r>
            <w:r w:rsidRPr="00FA2D84">
              <w:rPr>
                <w:rFonts w:hint="cs"/>
                <w:b/>
                <w:bCs/>
                <w:rtl/>
              </w:rPr>
              <w:t xml:space="preserve"> </w:t>
            </w:r>
            <w:r w:rsidRPr="00FA2D84">
              <w:rPr>
                <w:b/>
                <w:bCs/>
                <w:rtl/>
              </w:rPr>
              <w:br/>
            </w:r>
            <w:r w:rsidRPr="00FA2D84">
              <w:rPr>
                <w:rFonts w:hint="cs"/>
                <w:b/>
                <w:bCs/>
                <w:rtl/>
              </w:rPr>
              <w:t>כפי שעלה בביקורת המעקב</w:t>
            </w:r>
          </w:p>
        </w:tc>
      </w:tr>
      <w:tr w14:paraId="38FAF639" w14:textId="77777777" w:rsidTr="003E5AE8">
        <w:tblPrEx>
          <w:tblW w:w="7216" w:type="dxa"/>
          <w:tblInd w:w="397" w:type="dxa"/>
          <w:shd w:val="clear" w:color="auto" w:fill="DFECEF"/>
          <w:tblLook w:val="04A0"/>
        </w:tblPrEx>
        <w:trPr>
          <w:tblHeader/>
        </w:trPr>
        <w:tc>
          <w:tcPr>
            <w:tcW w:w="1474" w:type="dxa"/>
            <w:vMerge/>
            <w:shd w:val="clear" w:color="auto" w:fill="C8DCE4"/>
            <w:vAlign w:val="bottom"/>
          </w:tcPr>
          <w:p w:rsidR="00F6117F" w:rsidRPr="007E204E" w:rsidP="003E5AE8" w14:paraId="27604D72" w14:textId="77777777">
            <w:pPr>
              <w:pStyle w:val="73R"/>
              <w:rPr>
                <w:b/>
                <w:bCs/>
                <w:rtl/>
              </w:rPr>
            </w:pPr>
          </w:p>
        </w:tc>
        <w:tc>
          <w:tcPr>
            <w:tcW w:w="998" w:type="dxa"/>
            <w:vMerge/>
            <w:shd w:val="clear" w:color="auto" w:fill="C8DCE4"/>
            <w:vAlign w:val="bottom"/>
          </w:tcPr>
          <w:p w:rsidR="00F6117F" w:rsidRPr="007E204E" w:rsidP="003E5AE8" w14:paraId="3487E050" w14:textId="77777777">
            <w:pPr>
              <w:pStyle w:val="73R"/>
              <w:rPr>
                <w:b/>
                <w:bCs/>
                <w:rtl/>
              </w:rPr>
            </w:pPr>
          </w:p>
        </w:tc>
        <w:tc>
          <w:tcPr>
            <w:tcW w:w="1984" w:type="dxa"/>
            <w:vMerge/>
            <w:shd w:val="clear" w:color="auto" w:fill="C8DCE4"/>
            <w:vAlign w:val="bottom"/>
          </w:tcPr>
          <w:p w:rsidR="00F6117F" w:rsidRPr="007E204E" w:rsidP="003E5AE8" w14:paraId="5BB524FE" w14:textId="77777777">
            <w:pPr>
              <w:pStyle w:val="73R"/>
              <w:rPr>
                <w:b/>
                <w:bCs/>
                <w:rtl/>
              </w:rPr>
            </w:pPr>
          </w:p>
        </w:tc>
        <w:tc>
          <w:tcPr>
            <w:tcW w:w="584" w:type="dxa"/>
            <w:shd w:val="clear" w:color="auto" w:fill="FF0100"/>
            <w:vAlign w:val="bottom"/>
          </w:tcPr>
          <w:p w:rsidR="00F6117F" w:rsidRPr="007E204E" w:rsidP="003E5AE8" w14:paraId="4F590C80" w14:textId="77777777">
            <w:pPr>
              <w:pStyle w:val="73R"/>
              <w:rPr>
                <w:b/>
                <w:bCs/>
                <w:rtl/>
              </w:rPr>
            </w:pPr>
            <w:r w:rsidRPr="007E204E">
              <w:rPr>
                <w:rFonts w:hint="eastAsia"/>
                <w:b/>
                <w:bCs/>
                <w:rtl/>
              </w:rPr>
              <w:t>לא</w:t>
            </w:r>
            <w:r w:rsidRPr="007E204E">
              <w:rPr>
                <w:b/>
                <w:bCs/>
                <w:rtl/>
              </w:rPr>
              <w:t xml:space="preserve"> </w:t>
            </w:r>
            <w:r w:rsidRPr="007E204E">
              <w:rPr>
                <w:rFonts w:hint="eastAsia"/>
                <w:b/>
                <w:bCs/>
                <w:rtl/>
              </w:rPr>
              <w:t>תוקן</w:t>
            </w:r>
          </w:p>
        </w:tc>
        <w:tc>
          <w:tcPr>
            <w:tcW w:w="758" w:type="dxa"/>
            <w:shd w:val="clear" w:color="auto" w:fill="FFC002"/>
            <w:vAlign w:val="bottom"/>
          </w:tcPr>
          <w:p w:rsidR="00F6117F" w:rsidRPr="007E204E" w:rsidP="003E5AE8" w14:paraId="26415761"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מועטה</w:t>
            </w:r>
          </w:p>
        </w:tc>
        <w:tc>
          <w:tcPr>
            <w:tcW w:w="733" w:type="dxa"/>
            <w:shd w:val="clear" w:color="auto" w:fill="FFFF00"/>
            <w:vAlign w:val="bottom"/>
          </w:tcPr>
          <w:p w:rsidR="00F6117F" w:rsidRPr="007E204E" w:rsidP="003E5AE8" w14:paraId="33C1E5A7"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במידה</w:t>
            </w:r>
            <w:r w:rsidRPr="007E204E">
              <w:rPr>
                <w:b/>
                <w:bCs/>
                <w:rtl/>
              </w:rPr>
              <w:t xml:space="preserve"> </w:t>
            </w:r>
            <w:r w:rsidRPr="007E204E">
              <w:rPr>
                <w:rFonts w:hint="eastAsia"/>
                <w:b/>
                <w:bCs/>
                <w:rtl/>
              </w:rPr>
              <w:t>רבה</w:t>
            </w:r>
          </w:p>
        </w:tc>
        <w:tc>
          <w:tcPr>
            <w:tcW w:w="685" w:type="dxa"/>
            <w:shd w:val="clear" w:color="auto" w:fill="91CE50"/>
            <w:vAlign w:val="bottom"/>
          </w:tcPr>
          <w:p w:rsidR="00F6117F" w:rsidRPr="007E204E" w:rsidP="003E5AE8" w14:paraId="30940119" w14:textId="77777777">
            <w:pPr>
              <w:pStyle w:val="73R"/>
              <w:rPr>
                <w:b/>
                <w:bCs/>
                <w:rtl/>
              </w:rPr>
            </w:pPr>
            <w:r w:rsidRPr="007E204E">
              <w:rPr>
                <w:rFonts w:hint="eastAsia"/>
                <w:b/>
                <w:bCs/>
                <w:rtl/>
              </w:rPr>
              <w:t>תוקן</w:t>
            </w:r>
            <w:r w:rsidRPr="007E204E">
              <w:rPr>
                <w:b/>
                <w:bCs/>
                <w:rtl/>
              </w:rPr>
              <w:t xml:space="preserve"> </w:t>
            </w:r>
            <w:r w:rsidRPr="007E204E">
              <w:rPr>
                <w:rFonts w:hint="eastAsia"/>
                <w:b/>
                <w:bCs/>
                <w:rtl/>
              </w:rPr>
              <w:t>באופן</w:t>
            </w:r>
            <w:r w:rsidRPr="007E204E">
              <w:rPr>
                <w:b/>
                <w:bCs/>
                <w:rtl/>
              </w:rPr>
              <w:t xml:space="preserve"> </w:t>
            </w:r>
            <w:r w:rsidRPr="007E204E">
              <w:rPr>
                <w:rFonts w:hint="eastAsia"/>
                <w:b/>
                <w:bCs/>
                <w:rtl/>
              </w:rPr>
              <w:t>מלא</w:t>
            </w:r>
          </w:p>
        </w:tc>
      </w:tr>
      <w:tr w14:paraId="77DE2509" w14:textId="77777777" w:rsidTr="00C0149E">
        <w:tblPrEx>
          <w:tblW w:w="7216" w:type="dxa"/>
          <w:tblInd w:w="397" w:type="dxa"/>
          <w:shd w:val="clear" w:color="auto" w:fill="DFECEF"/>
          <w:tblLook w:val="04A0"/>
        </w:tblPrEx>
        <w:tc>
          <w:tcPr>
            <w:tcW w:w="1474" w:type="dxa"/>
            <w:shd w:val="clear" w:color="auto" w:fill="DFECEF"/>
          </w:tcPr>
          <w:p w:rsidR="00C0149E" w:rsidP="00C0149E" w14:paraId="0EC4AFE4" w14:textId="77777777">
            <w:pPr>
              <w:pStyle w:val="73R"/>
              <w:rPr>
                <w:rtl/>
              </w:rPr>
            </w:pPr>
            <w:r w:rsidRPr="004A34AD">
              <w:rPr>
                <w:rtl/>
              </w:rPr>
              <w:t>עבודת המטה בנוגע למאגר הדירות הציבוריות</w:t>
            </w:r>
          </w:p>
        </w:tc>
        <w:tc>
          <w:tcPr>
            <w:tcW w:w="998" w:type="dxa"/>
            <w:shd w:val="clear" w:color="auto" w:fill="DFECEF"/>
          </w:tcPr>
          <w:p w:rsidR="00C0149E" w:rsidP="00C0149E" w14:paraId="2A9C86BC" w14:textId="77777777">
            <w:pPr>
              <w:pStyle w:val="73R"/>
              <w:rPr>
                <w:rtl/>
              </w:rPr>
            </w:pPr>
            <w:r w:rsidRPr="004A34AD">
              <w:rPr>
                <w:rFonts w:hint="cs"/>
                <w:rtl/>
              </w:rPr>
              <w:t xml:space="preserve">משרד הבינוי והשיכון </w:t>
            </w:r>
          </w:p>
        </w:tc>
        <w:tc>
          <w:tcPr>
            <w:tcW w:w="1984" w:type="dxa"/>
            <w:shd w:val="clear" w:color="auto" w:fill="DFECEF"/>
          </w:tcPr>
          <w:p w:rsidR="00C0149E" w:rsidP="00C0149E" w14:paraId="51E9AA05" w14:textId="77777777">
            <w:pPr>
              <w:pStyle w:val="73R"/>
              <w:rPr>
                <w:rtl/>
              </w:rPr>
            </w:pPr>
            <w:r w:rsidRPr="004A34AD">
              <w:rPr>
                <w:rtl/>
              </w:rPr>
              <w:t>הצוות הבין-משרדי לא הגיש המלצות לממשלה בנוגע לתוכנית פעולה רב-שנתית להגדלת מלאי הדירות הציבוריות</w:t>
            </w:r>
          </w:p>
        </w:tc>
        <w:tc>
          <w:tcPr>
            <w:tcW w:w="584" w:type="dxa"/>
            <w:shd w:val="clear" w:color="auto" w:fill="DFECEF"/>
          </w:tcPr>
          <w:p w:rsidR="00C0149E" w:rsidP="00C0149E" w14:paraId="0C2C65D9" w14:textId="77777777">
            <w:pPr>
              <w:pStyle w:val="73R"/>
              <w:rPr>
                <w:rtl/>
              </w:rPr>
            </w:pPr>
          </w:p>
        </w:tc>
        <w:tc>
          <w:tcPr>
            <w:tcW w:w="758" w:type="dxa"/>
            <w:shd w:val="clear" w:color="auto" w:fill="DFECEF"/>
          </w:tcPr>
          <w:p w:rsidR="00C0149E" w:rsidP="00C0149E" w14:paraId="1E4BFC1E" w14:textId="77777777">
            <w:pPr>
              <w:pStyle w:val="73R"/>
              <w:rPr>
                <w:rtl/>
              </w:rPr>
            </w:pPr>
            <w:r w:rsidRPr="00973C85">
              <w:rPr>
                <w:noProof/>
                <w:rtl/>
              </w:rPr>
              <mc:AlternateContent>
                <mc:Choice Requires="wps">
                  <w:drawing>
                    <wp:anchor distT="0" distB="0" distL="114300" distR="114300" simplePos="0" relativeHeight="251697152" behindDoc="0" locked="0" layoutInCell="1" allowOverlap="1">
                      <wp:simplePos x="0" y="0"/>
                      <wp:positionH relativeFrom="column">
                        <wp:posOffset>-50386</wp:posOffset>
                      </wp:positionH>
                      <wp:positionV relativeFrom="paragraph">
                        <wp:posOffset>245110</wp:posOffset>
                      </wp:positionV>
                      <wp:extent cx="821911" cy="223520"/>
                      <wp:effectExtent l="12700" t="12700" r="16510" b="17780"/>
                      <wp:wrapNone/>
                      <wp:docPr id="471316942" name="חץ שמאלה 471316942"/>
                      <wp:cNvGraphicFramePr/>
                      <a:graphic xmlns:a="http://schemas.openxmlformats.org/drawingml/2006/main">
                        <a:graphicData uri="http://schemas.microsoft.com/office/word/2010/wordprocessingShape">
                          <wps:wsp xmlns:wps="http://schemas.microsoft.com/office/word/2010/wordprocessingShape">
                            <wps:cNvSpPr/>
                            <wps:spPr>
                              <a:xfrm>
                                <a:off x="0" y="0"/>
                                <a:ext cx="821911"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471316942" o:spid="_x0000_s1037" type="#_x0000_t66" style="width:64.7pt;height:17.6pt;margin-top:19.3pt;margin-left:-3.95pt;mso-height-percent:0;mso-height-relative:margin;mso-width-percent:0;mso-width-relative:margin;mso-wrap-distance-bottom:0;mso-wrap-distance-left:9pt;mso-wrap-distance-right:9pt;mso-wrap-distance-top:0;mso-wrap-style:square;position:absolute;visibility:visible;v-text-anchor:middle;z-index:251698176" adj="2937" fillcolor="#ffc002" strokecolor="#ffc002" strokeweight="2pt"/>
                  </w:pict>
                </mc:Fallback>
              </mc:AlternateContent>
            </w:r>
          </w:p>
        </w:tc>
        <w:tc>
          <w:tcPr>
            <w:tcW w:w="733" w:type="dxa"/>
            <w:shd w:val="clear" w:color="auto" w:fill="DFECEF"/>
          </w:tcPr>
          <w:p w:rsidR="00C0149E" w:rsidP="00C0149E" w14:paraId="6413CCE9" w14:textId="77777777">
            <w:pPr>
              <w:pStyle w:val="73R"/>
              <w:rPr>
                <w:rtl/>
              </w:rPr>
            </w:pPr>
          </w:p>
        </w:tc>
        <w:tc>
          <w:tcPr>
            <w:tcW w:w="685" w:type="dxa"/>
            <w:shd w:val="clear" w:color="auto" w:fill="DFECEF"/>
          </w:tcPr>
          <w:p w:rsidR="00C0149E" w:rsidP="00C0149E" w14:paraId="66A8E175" w14:textId="77777777">
            <w:pPr>
              <w:pStyle w:val="73R"/>
              <w:rPr>
                <w:rtl/>
              </w:rPr>
            </w:pPr>
          </w:p>
        </w:tc>
      </w:tr>
      <w:tr w14:paraId="7A8473B5" w14:textId="77777777" w:rsidTr="00C0149E">
        <w:tblPrEx>
          <w:tblW w:w="7216" w:type="dxa"/>
          <w:tblInd w:w="397" w:type="dxa"/>
          <w:shd w:val="clear" w:color="auto" w:fill="DFECEF"/>
          <w:tblLook w:val="04A0"/>
        </w:tblPrEx>
        <w:tc>
          <w:tcPr>
            <w:tcW w:w="1474" w:type="dxa"/>
            <w:shd w:val="clear" w:color="auto" w:fill="F0F8F9"/>
          </w:tcPr>
          <w:p w:rsidR="00C0149E" w:rsidP="00C0149E" w14:paraId="203FBAD0" w14:textId="77777777">
            <w:pPr>
              <w:pStyle w:val="73R"/>
              <w:rPr>
                <w:rtl/>
              </w:rPr>
            </w:pPr>
            <w:r w:rsidRPr="004A34AD">
              <w:rPr>
                <w:rtl/>
              </w:rPr>
              <w:t>אי-רכישת דירות ציבוריות בחלק מהיישובים שבהם ממתינים זכאים לדיור ציבורי</w:t>
            </w:r>
          </w:p>
        </w:tc>
        <w:tc>
          <w:tcPr>
            <w:tcW w:w="998" w:type="dxa"/>
            <w:shd w:val="clear" w:color="auto" w:fill="F0F8F9"/>
          </w:tcPr>
          <w:p w:rsidR="00C0149E" w:rsidP="00C0149E" w14:paraId="47EE90CF" w14:textId="77777777">
            <w:pPr>
              <w:pStyle w:val="73R"/>
              <w:rPr>
                <w:rtl/>
              </w:rPr>
            </w:pPr>
            <w:r w:rsidRPr="004A34AD">
              <w:rPr>
                <w:rFonts w:hint="cs"/>
                <w:rtl/>
              </w:rPr>
              <w:t xml:space="preserve">משרד הבינוי והשיכון </w:t>
            </w:r>
          </w:p>
        </w:tc>
        <w:tc>
          <w:tcPr>
            <w:tcW w:w="1984" w:type="dxa"/>
            <w:shd w:val="clear" w:color="auto" w:fill="F0F8F9"/>
          </w:tcPr>
          <w:p w:rsidR="00C0149E" w:rsidP="00C0149E" w14:paraId="26362779" w14:textId="77777777">
            <w:pPr>
              <w:pStyle w:val="73R"/>
              <w:rPr>
                <w:rtl/>
              </w:rPr>
            </w:pPr>
            <w:r w:rsidRPr="004A34AD">
              <w:rPr>
                <w:rtl/>
              </w:rPr>
              <w:t xml:space="preserve">משרד הבינוי והשיכון לא רכש דירות ביישובים שבהם אין דירות ציבוריות, ובכלל זה ערים באשכול חברתי-כלכלי נמוך, שרובן ערים שבהן רוב האוכלוסייה היא </w:t>
            </w:r>
            <w:r w:rsidRPr="004A34AD">
              <w:rPr>
                <w:rFonts w:hint="cs"/>
                <w:rtl/>
              </w:rPr>
              <w:t xml:space="preserve">של </w:t>
            </w:r>
            <w:r w:rsidRPr="004A34AD">
              <w:rPr>
                <w:rtl/>
              </w:rPr>
              <w:t xml:space="preserve">בני מיעוטים או </w:t>
            </w:r>
            <w:r w:rsidRPr="004A34AD">
              <w:rPr>
                <w:rFonts w:hint="cs"/>
                <w:rtl/>
              </w:rPr>
              <w:t xml:space="preserve">של </w:t>
            </w:r>
            <w:r w:rsidRPr="004A34AD">
              <w:rPr>
                <w:rtl/>
              </w:rPr>
              <w:t>חרדים</w:t>
            </w:r>
          </w:p>
        </w:tc>
        <w:tc>
          <w:tcPr>
            <w:tcW w:w="584" w:type="dxa"/>
            <w:shd w:val="clear" w:color="auto" w:fill="F0F8F9"/>
          </w:tcPr>
          <w:p w:rsidR="00C0149E" w:rsidP="00C0149E" w14:paraId="0695115F" w14:textId="77777777">
            <w:pPr>
              <w:pStyle w:val="73R"/>
              <w:rPr>
                <w:rtl/>
              </w:rPr>
            </w:pPr>
            <w:r w:rsidRPr="00973C85">
              <w:rPr>
                <w:noProof/>
                <w:rtl/>
              </w:rPr>
              <mc:AlternateContent>
                <mc:Choice Requires="wps">
                  <w:drawing>
                    <wp:anchor distT="0" distB="0" distL="114300" distR="114300" simplePos="0" relativeHeight="251699200" behindDoc="0" locked="0" layoutInCell="1" allowOverlap="1">
                      <wp:simplePos x="0" y="0"/>
                      <wp:positionH relativeFrom="column">
                        <wp:posOffset>-528458</wp:posOffset>
                      </wp:positionH>
                      <wp:positionV relativeFrom="paragraph">
                        <wp:posOffset>424649</wp:posOffset>
                      </wp:positionV>
                      <wp:extent cx="821911" cy="223520"/>
                      <wp:effectExtent l="12700" t="12700" r="16510" b="17780"/>
                      <wp:wrapNone/>
                      <wp:docPr id="442690401" name="חץ שמאלה 442690401"/>
                      <wp:cNvGraphicFramePr/>
                      <a:graphic xmlns:a="http://schemas.openxmlformats.org/drawingml/2006/main">
                        <a:graphicData uri="http://schemas.microsoft.com/office/word/2010/wordprocessingShape">
                          <wps:wsp xmlns:wps="http://schemas.microsoft.com/office/word/2010/wordprocessingShape">
                            <wps:cNvSpPr/>
                            <wps:spPr>
                              <a:xfrm>
                                <a:off x="0" y="0"/>
                                <a:ext cx="821911"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42690401" o:spid="_x0000_s1038" type="#_x0000_t66" style="width:64.7pt;height:17.6pt;margin-top:33.45pt;margin-left:-41.6pt;mso-height-percent:0;mso-height-relative:margin;mso-width-percent:0;mso-width-relative:margin;mso-wrap-distance-bottom:0;mso-wrap-distance-left:9pt;mso-wrap-distance-right:9pt;mso-wrap-distance-top:0;mso-wrap-style:square;position:absolute;visibility:visible;v-text-anchor:middle;z-index:251700224" adj="2937" fillcolor="#ffc002" strokecolor="#ffc002" strokeweight="2pt"/>
                  </w:pict>
                </mc:Fallback>
              </mc:AlternateContent>
            </w:r>
          </w:p>
        </w:tc>
        <w:tc>
          <w:tcPr>
            <w:tcW w:w="758" w:type="dxa"/>
            <w:shd w:val="clear" w:color="auto" w:fill="F0F8F9"/>
          </w:tcPr>
          <w:p w:rsidR="00C0149E" w:rsidP="00C0149E" w14:paraId="1FC816C5" w14:textId="77777777">
            <w:pPr>
              <w:pStyle w:val="73R"/>
              <w:rPr>
                <w:rtl/>
              </w:rPr>
            </w:pPr>
          </w:p>
        </w:tc>
        <w:tc>
          <w:tcPr>
            <w:tcW w:w="733" w:type="dxa"/>
            <w:shd w:val="clear" w:color="auto" w:fill="F0F8F9"/>
          </w:tcPr>
          <w:p w:rsidR="00C0149E" w:rsidP="00C0149E" w14:paraId="5A1E5251" w14:textId="77777777">
            <w:pPr>
              <w:pStyle w:val="73R"/>
              <w:rPr>
                <w:rtl/>
              </w:rPr>
            </w:pPr>
          </w:p>
        </w:tc>
        <w:tc>
          <w:tcPr>
            <w:tcW w:w="685" w:type="dxa"/>
            <w:shd w:val="clear" w:color="auto" w:fill="F0F8F9"/>
          </w:tcPr>
          <w:p w:rsidR="00C0149E" w:rsidP="00C0149E" w14:paraId="5848C398" w14:textId="77777777">
            <w:pPr>
              <w:pStyle w:val="73R"/>
              <w:rPr>
                <w:rtl/>
              </w:rPr>
            </w:pPr>
          </w:p>
        </w:tc>
      </w:tr>
      <w:tr w14:paraId="49D1DD95" w14:textId="77777777" w:rsidTr="00C0149E">
        <w:tblPrEx>
          <w:tblW w:w="7216" w:type="dxa"/>
          <w:tblInd w:w="397" w:type="dxa"/>
          <w:shd w:val="clear" w:color="auto" w:fill="DFECEF"/>
          <w:tblLook w:val="04A0"/>
        </w:tblPrEx>
        <w:tc>
          <w:tcPr>
            <w:tcW w:w="1474" w:type="dxa"/>
            <w:shd w:val="clear" w:color="auto" w:fill="DFECEF"/>
          </w:tcPr>
          <w:p w:rsidR="00C0149E" w:rsidP="00C0149E" w14:paraId="4657F09F" w14:textId="77777777">
            <w:pPr>
              <w:pStyle w:val="73R"/>
              <w:rPr>
                <w:rtl/>
              </w:rPr>
            </w:pPr>
            <w:r w:rsidRPr="004A34AD">
              <w:rPr>
                <w:rtl/>
              </w:rPr>
              <w:t>בניית דירות ציבוריות במסגרת פרויקטים של "דירה בהנחה</w:t>
            </w:r>
            <w:r w:rsidRPr="004A34AD">
              <w:rPr>
                <w:rFonts w:hint="cs"/>
                <w:rtl/>
              </w:rPr>
              <w:t>"</w:t>
            </w:r>
          </w:p>
        </w:tc>
        <w:tc>
          <w:tcPr>
            <w:tcW w:w="998" w:type="dxa"/>
            <w:shd w:val="clear" w:color="auto" w:fill="DFECEF"/>
          </w:tcPr>
          <w:p w:rsidR="00C0149E" w:rsidP="00197F76" w14:paraId="36B6E5FE" w14:textId="77777777">
            <w:pPr>
              <w:pStyle w:val="73R"/>
              <w:rPr>
                <w:rtl/>
              </w:rPr>
            </w:pPr>
            <w:r w:rsidRPr="004A34AD">
              <w:rPr>
                <w:rFonts w:hint="cs"/>
                <w:rtl/>
              </w:rPr>
              <w:t xml:space="preserve">משרד הבינוי והשיכון </w:t>
            </w:r>
            <w:r w:rsidR="00197F76">
              <w:br/>
            </w:r>
            <w:r w:rsidRPr="004A34AD">
              <w:rPr>
                <w:rFonts w:hint="cs"/>
                <w:rtl/>
              </w:rPr>
              <w:t>רמ"י</w:t>
            </w:r>
            <w:r w:rsidR="00197F76">
              <w:br/>
            </w:r>
            <w:r w:rsidRPr="004A34AD">
              <w:rPr>
                <w:rFonts w:hint="cs"/>
                <w:rtl/>
              </w:rPr>
              <w:t>אגף החשכ"ל</w:t>
            </w:r>
            <w:r w:rsidR="00197F76">
              <w:br/>
            </w:r>
            <w:r w:rsidRPr="004A34AD">
              <w:rPr>
                <w:rFonts w:hint="cs"/>
                <w:rtl/>
              </w:rPr>
              <w:t>ואגף התקציבים במשרד האוצר</w:t>
            </w:r>
          </w:p>
        </w:tc>
        <w:tc>
          <w:tcPr>
            <w:tcW w:w="1984" w:type="dxa"/>
            <w:shd w:val="clear" w:color="auto" w:fill="DFECEF"/>
          </w:tcPr>
          <w:p w:rsidR="00C0149E" w:rsidP="00C0149E" w14:paraId="21A22023" w14:textId="77777777">
            <w:pPr>
              <w:pStyle w:val="73R"/>
              <w:rPr>
                <w:rtl/>
              </w:rPr>
            </w:pPr>
            <w:r w:rsidRPr="004A34AD">
              <w:rPr>
                <w:rtl/>
              </w:rPr>
              <w:t>רמ"י</w:t>
            </w:r>
            <w:r w:rsidRPr="004A34AD">
              <w:rPr>
                <w:rFonts w:hint="cs"/>
                <w:rtl/>
              </w:rPr>
              <w:t xml:space="preserve"> פרסמה</w:t>
            </w:r>
            <w:r w:rsidRPr="004A34AD">
              <w:rPr>
                <w:rtl/>
              </w:rPr>
              <w:t xml:space="preserve"> מכרזים רק לחלק מהפרויקטים, ובהם נכללה בנייתן של </w:t>
            </w:r>
            <w:r w:rsidRPr="004A34AD">
              <w:rPr>
                <w:rFonts w:hint="cs"/>
                <w:rtl/>
              </w:rPr>
              <w:t>כ-200</w:t>
            </w:r>
            <w:r w:rsidRPr="004A34AD">
              <w:rPr>
                <w:rtl/>
              </w:rPr>
              <w:t xml:space="preserve"> דירות ציבוריות במסגרת פרויקטים שונים של "מחיר למשתכן" בשישה יישובים</w:t>
            </w:r>
          </w:p>
        </w:tc>
        <w:tc>
          <w:tcPr>
            <w:tcW w:w="584" w:type="dxa"/>
            <w:shd w:val="clear" w:color="auto" w:fill="DFECEF"/>
          </w:tcPr>
          <w:p w:rsidR="00C0149E" w:rsidP="00C0149E" w14:paraId="63B7908A" w14:textId="77777777">
            <w:pPr>
              <w:pStyle w:val="73R"/>
              <w:rPr>
                <w:rtl/>
              </w:rPr>
            </w:pPr>
            <w:r w:rsidRPr="00E3686F">
              <w:rPr>
                <w:noProof/>
                <w:rtl/>
              </w:rPr>
              <mc:AlternateContent>
                <mc:Choice Requires="wps">
                  <w:drawing>
                    <wp:anchor distT="0" distB="0" distL="114300" distR="114300" simplePos="0" relativeHeight="251701248" behindDoc="0" locked="0" layoutInCell="1" allowOverlap="1">
                      <wp:simplePos x="0" y="0"/>
                      <wp:positionH relativeFrom="column">
                        <wp:posOffset>-53119</wp:posOffset>
                      </wp:positionH>
                      <wp:positionV relativeFrom="paragraph">
                        <wp:posOffset>586105</wp:posOffset>
                      </wp:positionV>
                      <wp:extent cx="347097" cy="179326"/>
                      <wp:effectExtent l="12700" t="12700" r="8890" b="11430"/>
                      <wp:wrapNone/>
                      <wp:docPr id="1113575882" name="חץ שמאלה 1113575882"/>
                      <wp:cNvGraphicFramePr/>
                      <a:graphic xmlns:a="http://schemas.openxmlformats.org/drawingml/2006/main">
                        <a:graphicData uri="http://schemas.microsoft.com/office/word/2010/wordprocessingShape">
                          <wps:wsp xmlns:wps="http://schemas.microsoft.com/office/word/2010/wordprocessingShape">
                            <wps:cNvSpPr/>
                            <wps:spPr>
                              <a:xfrm>
                                <a:off x="0" y="0"/>
                                <a:ext cx="347097"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2" o:spid="_x0000_s1039" type="#_x0000_t66" style="width:27.35pt;height:14.1pt;margin-top:46.15pt;margin-left:-4.2pt;mso-height-percent:0;mso-height-relative:margin;mso-width-percent:0;mso-width-relative:margin;mso-wrap-distance-bottom:0;mso-wrap-distance-left:9pt;mso-wrap-distance-right:9pt;mso-wrap-distance-top:0;mso-wrap-style:square;position:absolute;visibility:visible;v-text-anchor:middle;z-index:251702272" adj="5580" fillcolor="red" strokecolor="red" strokeweight="2pt"/>
                  </w:pict>
                </mc:Fallback>
              </mc:AlternateContent>
            </w:r>
          </w:p>
        </w:tc>
        <w:tc>
          <w:tcPr>
            <w:tcW w:w="758" w:type="dxa"/>
            <w:shd w:val="clear" w:color="auto" w:fill="DFECEF"/>
          </w:tcPr>
          <w:p w:rsidR="00C0149E" w:rsidP="00C0149E" w14:paraId="1430F652" w14:textId="77777777">
            <w:pPr>
              <w:pStyle w:val="73R"/>
              <w:rPr>
                <w:rtl/>
              </w:rPr>
            </w:pPr>
          </w:p>
        </w:tc>
        <w:tc>
          <w:tcPr>
            <w:tcW w:w="733" w:type="dxa"/>
            <w:shd w:val="clear" w:color="auto" w:fill="DFECEF"/>
          </w:tcPr>
          <w:p w:rsidR="00C0149E" w:rsidP="00C0149E" w14:paraId="356668C1" w14:textId="77777777">
            <w:pPr>
              <w:pStyle w:val="73R"/>
              <w:rPr>
                <w:rtl/>
              </w:rPr>
            </w:pPr>
          </w:p>
        </w:tc>
        <w:tc>
          <w:tcPr>
            <w:tcW w:w="685" w:type="dxa"/>
            <w:shd w:val="clear" w:color="auto" w:fill="DFECEF"/>
          </w:tcPr>
          <w:p w:rsidR="00C0149E" w:rsidP="00C0149E" w14:paraId="34CD7A19" w14:textId="77777777">
            <w:pPr>
              <w:pStyle w:val="73R"/>
              <w:rPr>
                <w:rtl/>
              </w:rPr>
            </w:pPr>
          </w:p>
        </w:tc>
      </w:tr>
      <w:tr w14:paraId="55FC8992" w14:textId="77777777" w:rsidTr="00C0149E">
        <w:tblPrEx>
          <w:tblW w:w="7216" w:type="dxa"/>
          <w:tblInd w:w="397" w:type="dxa"/>
          <w:shd w:val="clear" w:color="auto" w:fill="DFECEF"/>
          <w:tblLook w:val="04A0"/>
        </w:tblPrEx>
        <w:tc>
          <w:tcPr>
            <w:tcW w:w="1474" w:type="dxa"/>
            <w:shd w:val="clear" w:color="auto" w:fill="F0F8F9"/>
          </w:tcPr>
          <w:p w:rsidR="00C0149E" w:rsidP="00C0149E" w14:paraId="132E886E" w14:textId="77777777">
            <w:pPr>
              <w:pStyle w:val="73R"/>
              <w:rPr>
                <w:rtl/>
              </w:rPr>
            </w:pPr>
            <w:r w:rsidRPr="004A34AD">
              <w:rPr>
                <w:rtl/>
              </w:rPr>
              <w:t>אי-התאמה בין מספר הנפשות למספר החדרים בדירות ציבוריות</w:t>
            </w:r>
          </w:p>
        </w:tc>
        <w:tc>
          <w:tcPr>
            <w:tcW w:w="998" w:type="dxa"/>
            <w:shd w:val="clear" w:color="auto" w:fill="F0F8F9"/>
          </w:tcPr>
          <w:p w:rsidR="00C0149E" w:rsidP="00C0149E" w14:paraId="7B349BA1" w14:textId="77777777">
            <w:pPr>
              <w:pStyle w:val="73R"/>
              <w:rPr>
                <w:rtl/>
              </w:rPr>
            </w:pPr>
            <w:r w:rsidRPr="004A34AD">
              <w:rPr>
                <w:rFonts w:hint="cs"/>
                <w:rtl/>
              </w:rPr>
              <w:t>משרד הבינוי והשיכון</w:t>
            </w:r>
          </w:p>
        </w:tc>
        <w:tc>
          <w:tcPr>
            <w:tcW w:w="1984" w:type="dxa"/>
            <w:shd w:val="clear" w:color="auto" w:fill="F0F8F9"/>
          </w:tcPr>
          <w:p w:rsidR="00C0149E" w:rsidP="00C0149E" w14:paraId="2C436E1E" w14:textId="77777777">
            <w:pPr>
              <w:pStyle w:val="73R"/>
              <w:rPr>
                <w:rtl/>
              </w:rPr>
            </w:pPr>
            <w:r w:rsidRPr="004A34AD">
              <w:rPr>
                <w:rFonts w:hint="cs"/>
                <w:rtl/>
              </w:rPr>
              <w:t>ב</w:t>
            </w:r>
            <w:r w:rsidRPr="004A34AD">
              <w:rPr>
                <w:rtl/>
              </w:rPr>
              <w:t>-2,100 דירות ציבוריות לא הייתה הלימה בין גודלן לבין גודל המשפחה שהתגוררה בהן</w:t>
            </w:r>
          </w:p>
        </w:tc>
        <w:tc>
          <w:tcPr>
            <w:tcW w:w="584" w:type="dxa"/>
            <w:shd w:val="clear" w:color="auto" w:fill="F0F8F9"/>
          </w:tcPr>
          <w:p w:rsidR="00C0149E" w:rsidP="00C0149E" w14:paraId="31E44DD7" w14:textId="77777777">
            <w:pPr>
              <w:pStyle w:val="73R"/>
              <w:rPr>
                <w:rtl/>
              </w:rPr>
            </w:pPr>
            <w:r w:rsidRPr="00E3686F">
              <w:rPr>
                <w:noProof/>
                <w:rtl/>
              </w:rPr>
              <mc:AlternateContent>
                <mc:Choice Requires="wps">
                  <w:drawing>
                    <wp:anchor distT="0" distB="0" distL="114300" distR="114300" simplePos="0" relativeHeight="251703296" behindDoc="0" locked="0" layoutInCell="1" allowOverlap="1">
                      <wp:simplePos x="0" y="0"/>
                      <wp:positionH relativeFrom="column">
                        <wp:posOffset>-58199</wp:posOffset>
                      </wp:positionH>
                      <wp:positionV relativeFrom="paragraph">
                        <wp:posOffset>240030</wp:posOffset>
                      </wp:positionV>
                      <wp:extent cx="347097" cy="179326"/>
                      <wp:effectExtent l="12700" t="12700" r="8890" b="11430"/>
                      <wp:wrapNone/>
                      <wp:docPr id="1690193262" name="חץ שמאלה 1690193262"/>
                      <wp:cNvGraphicFramePr/>
                      <a:graphic xmlns:a="http://schemas.openxmlformats.org/drawingml/2006/main">
                        <a:graphicData uri="http://schemas.microsoft.com/office/word/2010/wordprocessingShape">
                          <wps:wsp xmlns:wps="http://schemas.microsoft.com/office/word/2010/wordprocessingShape">
                            <wps:cNvSpPr/>
                            <wps:spPr>
                              <a:xfrm>
                                <a:off x="0" y="0"/>
                                <a:ext cx="347097" cy="179326"/>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690193262" o:spid="_x0000_s1040" type="#_x0000_t66" style="width:27.35pt;height:14.1pt;margin-top:18.9pt;margin-left:-4.6pt;mso-height-percent:0;mso-height-relative:margin;mso-width-percent:0;mso-width-relative:margin;mso-wrap-distance-bottom:0;mso-wrap-distance-left:9pt;mso-wrap-distance-right:9pt;mso-wrap-distance-top:0;mso-wrap-style:square;position:absolute;visibility:visible;v-text-anchor:middle;z-index:251704320" adj="5580" fillcolor="red" strokecolor="red" strokeweight="2pt"/>
                  </w:pict>
                </mc:Fallback>
              </mc:AlternateContent>
            </w:r>
          </w:p>
        </w:tc>
        <w:tc>
          <w:tcPr>
            <w:tcW w:w="758" w:type="dxa"/>
            <w:shd w:val="clear" w:color="auto" w:fill="F0F8F9"/>
          </w:tcPr>
          <w:p w:rsidR="00C0149E" w:rsidP="00C0149E" w14:paraId="1E8AFBE3" w14:textId="77777777">
            <w:pPr>
              <w:pStyle w:val="73R"/>
              <w:rPr>
                <w:rtl/>
              </w:rPr>
            </w:pPr>
          </w:p>
        </w:tc>
        <w:tc>
          <w:tcPr>
            <w:tcW w:w="733" w:type="dxa"/>
            <w:shd w:val="clear" w:color="auto" w:fill="F0F8F9"/>
          </w:tcPr>
          <w:p w:rsidR="00C0149E" w:rsidP="00C0149E" w14:paraId="54EDF194" w14:textId="77777777">
            <w:pPr>
              <w:pStyle w:val="73R"/>
              <w:rPr>
                <w:rtl/>
              </w:rPr>
            </w:pPr>
          </w:p>
        </w:tc>
        <w:tc>
          <w:tcPr>
            <w:tcW w:w="685" w:type="dxa"/>
            <w:shd w:val="clear" w:color="auto" w:fill="F0F8F9"/>
          </w:tcPr>
          <w:p w:rsidR="00C0149E" w:rsidP="00C0149E" w14:paraId="4759AADC" w14:textId="77777777">
            <w:pPr>
              <w:pStyle w:val="73R"/>
              <w:rPr>
                <w:rtl/>
              </w:rPr>
            </w:pPr>
          </w:p>
        </w:tc>
      </w:tr>
      <w:tr w14:paraId="2904056E" w14:textId="77777777" w:rsidTr="00C0149E">
        <w:tblPrEx>
          <w:tblW w:w="7216" w:type="dxa"/>
          <w:tblInd w:w="397" w:type="dxa"/>
          <w:shd w:val="clear" w:color="auto" w:fill="DFECEF"/>
          <w:tblLook w:val="04A0"/>
        </w:tblPrEx>
        <w:tc>
          <w:tcPr>
            <w:tcW w:w="1474" w:type="dxa"/>
            <w:shd w:val="clear" w:color="auto" w:fill="DFECEF"/>
          </w:tcPr>
          <w:p w:rsidR="00C0149E" w:rsidP="00C0149E" w14:paraId="54368319" w14:textId="4A49BB27">
            <w:pPr>
              <w:pStyle w:val="73R"/>
              <w:rPr>
                <w:rtl/>
              </w:rPr>
            </w:pPr>
            <w:r w:rsidRPr="004A34AD">
              <w:rPr>
                <w:rtl/>
              </w:rPr>
              <w:t xml:space="preserve">הטיפול בדירות </w:t>
            </w:r>
            <w:r w:rsidR="000F5252">
              <w:rPr>
                <w:rFonts w:hint="cs"/>
                <w:rtl/>
              </w:rPr>
              <w:t xml:space="preserve">  </w:t>
            </w:r>
            <w:r w:rsidRPr="004A34AD">
              <w:rPr>
                <w:rtl/>
              </w:rPr>
              <w:t>ריקות</w:t>
            </w:r>
          </w:p>
        </w:tc>
        <w:tc>
          <w:tcPr>
            <w:tcW w:w="998" w:type="dxa"/>
            <w:shd w:val="clear" w:color="auto" w:fill="DFECEF"/>
          </w:tcPr>
          <w:p w:rsidR="00C0149E" w:rsidP="00C0149E" w14:paraId="4A5046D9" w14:textId="77777777">
            <w:pPr>
              <w:pStyle w:val="73R"/>
              <w:rPr>
                <w:rtl/>
              </w:rPr>
            </w:pPr>
            <w:r w:rsidRPr="004A34AD">
              <w:rPr>
                <w:rFonts w:hint="cs"/>
                <w:rtl/>
              </w:rPr>
              <w:t>משרד הבינוי והשיכון</w:t>
            </w:r>
          </w:p>
        </w:tc>
        <w:tc>
          <w:tcPr>
            <w:tcW w:w="1984" w:type="dxa"/>
            <w:shd w:val="clear" w:color="auto" w:fill="DFECEF"/>
          </w:tcPr>
          <w:p w:rsidR="00C0149E" w:rsidP="00C0149E" w14:paraId="04BADAD6" w14:textId="77777777">
            <w:pPr>
              <w:pStyle w:val="73R"/>
              <w:rPr>
                <w:rtl/>
              </w:rPr>
            </w:pPr>
            <w:r w:rsidRPr="004A34AD">
              <w:rPr>
                <w:rtl/>
              </w:rPr>
              <w:t>בביקורת הקודמת עלה כי כ-270 דירות ציבוריות לא היו מאוכלסות בפועל, והן עומדות ריקות יותר משנה</w:t>
            </w:r>
          </w:p>
        </w:tc>
        <w:tc>
          <w:tcPr>
            <w:tcW w:w="584" w:type="dxa"/>
            <w:shd w:val="clear" w:color="auto" w:fill="DFECEF"/>
          </w:tcPr>
          <w:p w:rsidR="00C0149E" w:rsidP="00C0149E" w14:paraId="0F69FBB8" w14:textId="6F3F714A">
            <w:pPr>
              <w:pStyle w:val="73R"/>
              <w:rPr>
                <w:rtl/>
              </w:rPr>
            </w:pPr>
            <w:r w:rsidRPr="00973C85">
              <w:rPr>
                <w:noProof/>
                <w:rtl/>
              </w:rPr>
              <mc:AlternateContent>
                <mc:Choice Requires="wps">
                  <w:drawing>
                    <wp:anchor distT="0" distB="0" distL="114300" distR="114300" simplePos="0" relativeHeight="251695104" behindDoc="0" locked="0" layoutInCell="1" allowOverlap="1">
                      <wp:simplePos x="0" y="0"/>
                      <wp:positionH relativeFrom="column">
                        <wp:posOffset>-966470</wp:posOffset>
                      </wp:positionH>
                      <wp:positionV relativeFrom="paragraph">
                        <wp:posOffset>266700</wp:posOffset>
                      </wp:positionV>
                      <wp:extent cx="1257300" cy="223520"/>
                      <wp:effectExtent l="0" t="0" r="19050" b="24130"/>
                      <wp:wrapNone/>
                      <wp:docPr id="56" name="חץ שמאלה 56"/>
                      <wp:cNvGraphicFramePr/>
                      <a:graphic xmlns:a="http://schemas.openxmlformats.org/drawingml/2006/main">
                        <a:graphicData uri="http://schemas.microsoft.com/office/word/2010/wordprocessingShape">
                          <wps:wsp xmlns:wps="http://schemas.microsoft.com/office/word/2010/wordprocessingShape">
                            <wps:cNvSpPr/>
                            <wps:spPr>
                              <a:xfrm>
                                <a:off x="0" y="0"/>
                                <a:ext cx="1257300"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6" o:spid="_x0000_s1041" type="#_x0000_t66" style="width:99pt;height:17.6pt;margin-top:21pt;margin-left:-76.1pt;mso-height-percent:0;mso-height-relative:margin;mso-width-percent:0;mso-width-relative:margin;mso-wrap-distance-bottom:0;mso-wrap-distance-left:9pt;mso-wrap-distance-right:9pt;mso-wrap-distance-top:0;mso-wrap-style:square;position:absolute;visibility:visible;v-text-anchor:middle;z-index:251696128" adj="1920" fillcolor="#fdf000" strokecolor="#fdf000" strokeweight="2pt"/>
                  </w:pict>
                </mc:Fallback>
              </mc:AlternateContent>
            </w:r>
          </w:p>
        </w:tc>
        <w:tc>
          <w:tcPr>
            <w:tcW w:w="758" w:type="dxa"/>
            <w:shd w:val="clear" w:color="auto" w:fill="DFECEF"/>
          </w:tcPr>
          <w:p w:rsidR="00C0149E" w:rsidP="00C0149E" w14:paraId="6FEA6941" w14:textId="48DA4DE9">
            <w:pPr>
              <w:pStyle w:val="73R"/>
              <w:rPr>
                <w:rtl/>
              </w:rPr>
            </w:pPr>
          </w:p>
        </w:tc>
        <w:tc>
          <w:tcPr>
            <w:tcW w:w="733" w:type="dxa"/>
            <w:shd w:val="clear" w:color="auto" w:fill="DFECEF"/>
          </w:tcPr>
          <w:p w:rsidR="00C0149E" w:rsidP="00C0149E" w14:paraId="0ED4D149" w14:textId="28C3812D">
            <w:pPr>
              <w:pStyle w:val="73R"/>
              <w:rPr>
                <w:rtl/>
              </w:rPr>
            </w:pPr>
          </w:p>
        </w:tc>
        <w:tc>
          <w:tcPr>
            <w:tcW w:w="685" w:type="dxa"/>
            <w:shd w:val="clear" w:color="auto" w:fill="DFECEF"/>
          </w:tcPr>
          <w:p w:rsidR="00C0149E" w:rsidP="00C0149E" w14:paraId="156D9BF0" w14:textId="77777777">
            <w:pPr>
              <w:pStyle w:val="73R"/>
              <w:rPr>
                <w:rtl/>
              </w:rPr>
            </w:pPr>
          </w:p>
        </w:tc>
      </w:tr>
      <w:tr w14:paraId="25B62308" w14:textId="77777777" w:rsidTr="00C0149E">
        <w:tblPrEx>
          <w:tblW w:w="7216" w:type="dxa"/>
          <w:tblInd w:w="397" w:type="dxa"/>
          <w:shd w:val="clear" w:color="auto" w:fill="DFECEF"/>
          <w:tblLook w:val="04A0"/>
        </w:tblPrEx>
        <w:tc>
          <w:tcPr>
            <w:tcW w:w="1474" w:type="dxa"/>
            <w:shd w:val="clear" w:color="auto" w:fill="F0F8F9"/>
          </w:tcPr>
          <w:p w:rsidR="00C0149E" w:rsidRPr="00FA2D84" w:rsidP="00C0149E" w14:paraId="1A510C21" w14:textId="77777777">
            <w:pPr>
              <w:pStyle w:val="73R"/>
              <w:spacing w:after="240"/>
              <w:rPr>
                <w:spacing w:val="2"/>
                <w:rtl/>
              </w:rPr>
            </w:pPr>
            <w:r w:rsidRPr="004A34AD">
              <w:rPr>
                <w:rtl/>
              </w:rPr>
              <w:t>מתן הודעה לדיירים בשפות שונות בדבר הזכאות לרכישת הדירות הציבוריות</w:t>
            </w:r>
          </w:p>
        </w:tc>
        <w:tc>
          <w:tcPr>
            <w:tcW w:w="998" w:type="dxa"/>
            <w:shd w:val="clear" w:color="auto" w:fill="F0F8F9"/>
          </w:tcPr>
          <w:p w:rsidR="00C0149E" w:rsidP="00C0149E" w14:paraId="324B0630" w14:textId="77777777">
            <w:pPr>
              <w:pStyle w:val="73R"/>
              <w:spacing w:after="240"/>
              <w:rPr>
                <w:rtl/>
              </w:rPr>
            </w:pPr>
            <w:r w:rsidRPr="004A34AD">
              <w:rPr>
                <w:rFonts w:hint="cs"/>
                <w:rtl/>
              </w:rPr>
              <w:t>משרד הבינוי והשיכון</w:t>
            </w:r>
          </w:p>
        </w:tc>
        <w:tc>
          <w:tcPr>
            <w:tcW w:w="1984" w:type="dxa"/>
            <w:shd w:val="clear" w:color="auto" w:fill="F0F8F9"/>
          </w:tcPr>
          <w:p w:rsidR="00C0149E" w:rsidP="00C0149E" w14:paraId="03391BC2" w14:textId="77777777">
            <w:pPr>
              <w:pStyle w:val="73R"/>
              <w:spacing w:after="240"/>
              <w:rPr>
                <w:rtl/>
              </w:rPr>
            </w:pPr>
            <w:r w:rsidRPr="004A34AD">
              <w:rPr>
                <w:rtl/>
              </w:rPr>
              <w:t>משרד הבינוי והשיכון שלח לדיירי הדיור הציבורי, באמצעות החברות המאכלסות, את המכתבים בדבר הזכות לרכוש את הדירה בשפה העברית בלבד</w:t>
            </w:r>
          </w:p>
        </w:tc>
        <w:tc>
          <w:tcPr>
            <w:tcW w:w="584" w:type="dxa"/>
            <w:shd w:val="clear" w:color="auto" w:fill="F0F8F9"/>
          </w:tcPr>
          <w:p w:rsidR="00C0149E" w:rsidP="00C0149E" w14:paraId="40EA9D6B" w14:textId="77777777">
            <w:pPr>
              <w:pStyle w:val="73R"/>
              <w:rPr>
                <w:rtl/>
              </w:rPr>
            </w:pPr>
          </w:p>
        </w:tc>
        <w:tc>
          <w:tcPr>
            <w:tcW w:w="758" w:type="dxa"/>
            <w:shd w:val="clear" w:color="auto" w:fill="F0F8F9"/>
          </w:tcPr>
          <w:p w:rsidR="00C0149E" w:rsidP="00C0149E" w14:paraId="03A5F7B4" w14:textId="77777777">
            <w:pPr>
              <w:pStyle w:val="73R"/>
              <w:rPr>
                <w:rtl/>
              </w:rPr>
            </w:pPr>
          </w:p>
        </w:tc>
        <w:tc>
          <w:tcPr>
            <w:tcW w:w="733" w:type="dxa"/>
            <w:shd w:val="clear" w:color="auto" w:fill="F0F8F9"/>
          </w:tcPr>
          <w:p w:rsidR="00C0149E" w:rsidP="00C0149E" w14:paraId="111C791A" w14:textId="77777777">
            <w:pPr>
              <w:pStyle w:val="73R"/>
              <w:rPr>
                <w:rtl/>
              </w:rPr>
            </w:pPr>
            <w:r w:rsidRPr="00973C85">
              <w:rPr>
                <w:noProof/>
                <w:rtl/>
              </w:rPr>
              <mc:AlternateContent>
                <mc:Choice Requires="wps">
                  <w:drawing>
                    <wp:anchor distT="0" distB="0" distL="114300" distR="114300" simplePos="0" relativeHeight="251705344" behindDoc="0" locked="0" layoutInCell="1" allowOverlap="1">
                      <wp:simplePos x="0" y="0"/>
                      <wp:positionH relativeFrom="column">
                        <wp:posOffset>-29210</wp:posOffset>
                      </wp:positionH>
                      <wp:positionV relativeFrom="paragraph">
                        <wp:posOffset>402369</wp:posOffset>
                      </wp:positionV>
                      <wp:extent cx="1259205" cy="223520"/>
                      <wp:effectExtent l="12700" t="12700" r="10795" b="17780"/>
                      <wp:wrapNone/>
                      <wp:docPr id="1449916792" name="חץ שמאלה 1449916792"/>
                      <wp:cNvGraphicFramePr/>
                      <a:graphic xmlns:a="http://schemas.openxmlformats.org/drawingml/2006/main">
                        <a:graphicData uri="http://schemas.microsoft.com/office/word/2010/wordprocessingShape">
                          <wps:wsp xmlns:wps="http://schemas.microsoft.com/office/word/2010/wordprocessingShape">
                            <wps:cNvSpPr/>
                            <wps:spPr>
                              <a:xfrm>
                                <a:off x="0" y="0"/>
                                <a:ext cx="125920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449916792" o:spid="_x0000_s1042" type="#_x0000_t66" style="width:99.15pt;height:17.6pt;margin-top:31.7pt;margin-left:-2.3pt;mso-height-percent:0;mso-height-relative:margin;mso-width-percent:0;mso-width-relative:margin;mso-wrap-distance-bottom:0;mso-wrap-distance-left:9pt;mso-wrap-distance-right:9pt;mso-wrap-distance-top:0;mso-wrap-style:square;position:absolute;visibility:visible;v-text-anchor:middle;z-index:251706368" adj="1917" fillcolor="#fdf000" strokecolor="#fdf000" strokeweight="2pt"/>
                  </w:pict>
                </mc:Fallback>
              </mc:AlternateContent>
            </w:r>
          </w:p>
        </w:tc>
        <w:tc>
          <w:tcPr>
            <w:tcW w:w="685" w:type="dxa"/>
            <w:shd w:val="clear" w:color="auto" w:fill="F0F8F9"/>
          </w:tcPr>
          <w:p w:rsidR="00C0149E" w:rsidP="00C0149E" w14:paraId="0C5EA394" w14:textId="77777777">
            <w:pPr>
              <w:pStyle w:val="73R"/>
              <w:rPr>
                <w:rtl/>
              </w:rPr>
            </w:pPr>
          </w:p>
        </w:tc>
      </w:tr>
    </w:tbl>
    <w:p w:rsidR="00197F76" w14:paraId="576AC192" w14:textId="77777777">
      <w:pPr>
        <w:bidi w:val="0"/>
        <w:spacing w:after="200" w:line="276" w:lineRule="auto"/>
        <w:rPr>
          <w:rFonts w:ascii="Tahoma" w:hAnsi="Tahoma" w:cs="Tahoma"/>
          <w:color w:val="0D0D0D" w:themeColor="text1" w:themeTint="F2"/>
          <w:sz w:val="18"/>
          <w:szCs w:val="18"/>
        </w:rPr>
      </w:pPr>
    </w:p>
    <w:p w:rsidR="004E71DD" w14:paraId="3590EBCF" w14:textId="03023BF4">
      <w:pPr>
        <w:bidi w:val="0"/>
        <w:spacing w:after="200" w:line="276" w:lineRule="auto"/>
        <w:rPr>
          <w:rFonts w:ascii="Tahoma" w:hAnsi="Tahoma" w:cs="Tahoma"/>
          <w:color w:val="0D0D0D" w:themeColor="text1" w:themeTint="F2"/>
          <w:sz w:val="18"/>
          <w:szCs w:val="18"/>
          <w:rtl/>
        </w:rPr>
      </w:pPr>
    </w:p>
    <w:p w:rsidR="00E56721" w:rsidP="00197F76" w14:paraId="13B34203" w14:textId="77777777">
      <w:pPr>
        <w:widowControl w:val="0"/>
        <w:tabs>
          <w:tab w:val="left" w:pos="9604"/>
        </w:tabs>
        <w:spacing w:before="240" w:line="276" w:lineRule="auto"/>
        <w:rPr>
          <w:rFonts w:ascii="Tahoma" w:hAnsi="Tahoma" w:cs="Tahoma"/>
          <w:sz w:val="18"/>
          <w:szCs w:val="18"/>
          <w:rtl/>
        </w:rPr>
        <w:sectPr w:rsidSect="00F35B8C">
          <w:pgSz w:w="11906" w:h="16838" w:code="9"/>
          <w:pgMar w:top="3062" w:right="2268" w:bottom="2552" w:left="2268" w:header="1134" w:footer="1361" w:gutter="0"/>
          <w:cols w:space="708"/>
          <w:bidi/>
          <w:rtlGutter/>
          <w:docGrid w:linePitch="360"/>
        </w:sectPr>
      </w:pPr>
    </w:p>
    <w:p w:rsidR="005B2BF5" w:rsidP="00197F76" w14:paraId="5EF83073" w14:textId="178FD3EB">
      <w:pPr>
        <w:pStyle w:val="7392"/>
        <w:rPr>
          <w:rtl/>
        </w:rPr>
      </w:pPr>
      <w:r>
        <w:rPr>
          <w:noProof/>
          <w:rtl/>
          <w:lang w:val="he-IL"/>
        </w:rPr>
        <mc:AlternateContent>
          <mc:Choice Requires="wps">
            <w:drawing>
              <wp:anchor distT="0" distB="0" distL="114300" distR="114300" simplePos="0" relativeHeight="251710464" behindDoc="0" locked="0" layoutInCell="1" allowOverlap="1">
                <wp:simplePos x="0" y="0"/>
                <wp:positionH relativeFrom="column">
                  <wp:posOffset>-881712</wp:posOffset>
                </wp:positionH>
                <wp:positionV relativeFrom="paragraph">
                  <wp:posOffset>6802893</wp:posOffset>
                </wp:positionV>
                <wp:extent cx="6297433" cy="993913"/>
                <wp:effectExtent l="0" t="0" r="27305" b="1587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297433" cy="9939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 o:spid="_x0000_s1043" style="width:495.85pt;height:78.25pt;margin-top:535.65pt;margin-left:-69.45pt;mso-wrap-distance-bottom:0;mso-wrap-distance-left:9pt;mso-wrap-distance-right:9pt;mso-wrap-distance-top:0;mso-wrap-style:square;position:absolute;visibility:visible;v-text-anchor:middle;z-index:251711488" fillcolor="white" strokecolor="white" strokeweight="1.25pt"/>
            </w:pict>
          </mc:Fallback>
        </mc:AlternateContent>
      </w:r>
      <w:r>
        <w:rPr>
          <w:noProof/>
          <w:rtl/>
          <w:lang w:val="he-IL"/>
        </w:rPr>
        <mc:AlternateContent>
          <mc:Choice Requires="wps">
            <w:drawing>
              <wp:anchor distT="0" distB="0" distL="114300" distR="114300" simplePos="0" relativeHeight="251708416" behindDoc="0" locked="0" layoutInCell="1" allowOverlap="1">
                <wp:simplePos x="0" y="0"/>
                <wp:positionH relativeFrom="column">
                  <wp:posOffset>-1392472</wp:posOffset>
                </wp:positionH>
                <wp:positionV relativeFrom="paragraph">
                  <wp:posOffset>-711918</wp:posOffset>
                </wp:positionV>
                <wp:extent cx="6297433" cy="993913"/>
                <wp:effectExtent l="0" t="0" r="27305" b="158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297433" cy="9939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 o:spid="_x0000_s1044" style="width:495.85pt;height:78.25pt;margin-top:-56.05pt;margin-left:-109.65pt;mso-wrap-distance-bottom:0;mso-wrap-distance-left:9pt;mso-wrap-distance-right:9pt;mso-wrap-distance-top:0;mso-wrap-style:square;position:absolute;visibility:visible;v-text-anchor:middle;z-index:251709440" fillcolor="white" strokecolor="white" strokeweight="1.25pt"/>
            </w:pict>
          </mc:Fallback>
        </mc:AlternateContent>
      </w: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9D5A68" w14:paraId="23821F43" w14:textId="77777777">
      <w:pPr>
        <w:spacing w:line="240" w:lineRule="auto"/>
      </w:pPr>
      <w:r>
        <w:separator/>
      </w:r>
    </w:p>
    <w:p w:rsidR="009D5A68" w14:paraId="51F6028A" w14:textId="77777777"/>
    <w:p w:rsidR="009D5A68" w14:paraId="65CC409F" w14:textId="77777777"/>
    <w:p w:rsidR="009D5A68" w14:paraId="67D80174" w14:textId="77777777"/>
  </w:endnote>
  <w:endnote w:type="continuationSeparator" w:id="1">
    <w:p w:rsidR="009D5A68" w14:paraId="379269D1" w14:textId="77777777">
      <w:pPr>
        <w:spacing w:line="240" w:lineRule="auto"/>
      </w:pPr>
      <w:r>
        <w:continuationSeparator/>
      </w:r>
    </w:p>
    <w:p w:rsidR="009D5A68" w14:paraId="06F23558" w14:textId="77777777"/>
    <w:p w:rsidR="009D5A68" w14:paraId="14F53036" w14:textId="77777777"/>
    <w:p w:rsidR="009D5A68" w14:paraId="1D4746C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Tw Cen MT">
    <w:altName w:val="Calibri"/>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auto"/>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30A6D6E0" w14:textId="77777777">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B8E1E34"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F46C43C" w14:textId="77777777">
    <w:pPr>
      <w:pStyle w:val="Footer"/>
      <w:spacing w:after="120" w:line="312" w:lineRule="auto"/>
      <w:ind w:left="-510"/>
      <w:jc w:val="left"/>
      <w:rPr>
        <w:rFonts w:ascii="Tahoma" w:hAnsi="Tahoma" w:cs="Tahoma"/>
        <w:sz w:val="18"/>
        <w:szCs w:val="18"/>
        <w:rtl/>
      </w:rPr>
    </w:pPr>
  </w:p>
  <w:p w:rsidR="004E71DD" w:rsidP="00200396" w14:paraId="38E3093D" w14:textId="77777777">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8E64206"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D5A68" w:rsidP="00E7235E" w14:paraId="250FD06C" w14:textId="77777777">
      <w:pPr>
        <w:spacing w:line="240" w:lineRule="auto"/>
      </w:pPr>
      <w:r>
        <w:separator/>
      </w:r>
    </w:p>
  </w:footnote>
  <w:footnote w:type="continuationSeparator" w:id="1">
    <w:p w:rsidR="009D5A68" w:rsidP="00C23CC9" w14:paraId="3465FF34" w14:textId="77777777">
      <w:pPr>
        <w:spacing w:line="240" w:lineRule="auto"/>
      </w:pPr>
      <w:r>
        <w:continuationSeparator/>
      </w:r>
    </w:p>
    <w:p w:rsidR="009D5A68" w14:paraId="47FC4196" w14:textId="77777777"/>
    <w:p w:rsidR="009D5A68" w14:paraId="336CED36" w14:textId="77777777"/>
    <w:p w:rsidR="009D5A68" w14:paraId="74D502A9" w14:textId="77777777"/>
  </w:footnote>
  <w:footnote w:id="2">
    <w:p w:rsidR="006234C4" w:rsidRPr="00C0149E" w:rsidP="00C0149E" w14:paraId="27D43253" w14:textId="77777777">
      <w:pPr>
        <w:pStyle w:val="733"/>
      </w:pPr>
      <w:r w:rsidRPr="00C0149E">
        <w:rPr>
          <w:rStyle w:val="FootnoteReference0"/>
          <w:vertAlign w:val="baseline"/>
        </w:rPr>
        <w:footnoteRef/>
      </w:r>
      <w:r w:rsidRPr="00C0149E">
        <w:rPr>
          <w:rtl/>
        </w:rPr>
        <w:t xml:space="preserve"> </w:t>
      </w:r>
      <w:r w:rsidRPr="00C0149E">
        <w:rPr>
          <w:rtl/>
        </w:rPr>
        <w:tab/>
      </w:r>
      <w:bookmarkStart w:id="2" w:name="_Hlk155599624"/>
      <w:r w:rsidRPr="00C0149E">
        <w:rPr>
          <w:rtl/>
        </w:rPr>
        <w:t>יצוין כי מדד זה מתייחס לשינויים בשכר הדירה של שוכרים המצויים תחת חוזה, שוכרים אשר חידשו חוזה ושוכרים חדשים, ולגבי השניים האחרונים ייתכן שעליית המדד הייתה גבוהה יותר. בעניין זה ראו למשל: הלשכה המרכזית לסטטיסטיקה, הודעה לתקשורת בנושא "מדדי המחירים לצרכן יוני 2022", עמ' 4 (פורסם יולי 2022).</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2B3331A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660502B3"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694572D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28540FA1"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3BE865AF"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64CE72CB"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3DA736FB"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045DBF0A"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682815"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682815" w:rsidR="00682815">
                            <w:rPr>
                              <w:rFonts w:ascii="Tahoma" w:hAnsi="Tahoma" w:cs="Tahoma"/>
                              <w:b/>
                              <w:bCs/>
                              <w:rtl/>
                            </w:rPr>
                            <w:t>רכישה ומכירה של דירות הדיור הציבורי - ביקורת מעקב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682815" w14:paraId="2EBA29BC"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682815" w:rsidR="00682815">
                      <w:rPr>
                        <w:rFonts w:ascii="Tahoma" w:hAnsi="Tahoma" w:cs="Tahoma"/>
                        <w:b/>
                        <w:bCs/>
                        <w:rtl/>
                      </w:rPr>
                      <w:t>רכישה ומכירה של דירות הדיור הציבורי - ביקורת מעקב</w:t>
                    </w:r>
                  </w:p>
                </w:txbxContent>
              </v:textbox>
              <w10:wrap type="square"/>
            </v:shape>
          </w:pict>
        </mc:Fallback>
      </mc:AlternateContent>
    </w:r>
  </w:p>
  <w:p w:rsidR="00F73EE0" w:rsidP="001526AC" w14:paraId="52F5098F"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1D7C8CA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9D4244">
                            <w:rPr>
                              <w:rFonts w:ascii="Tahoma" w:hAnsi="Tahoma" w:cs="Tahoma" w:hint="cs"/>
                              <w:color w:val="0D0D0D"/>
                              <w:sz w:val="16"/>
                              <w:szCs w:val="16"/>
                              <w:rtl/>
                            </w:rPr>
                            <w:t>סיוון</w:t>
                          </w:r>
                          <w:r w:rsidRPr="00A80DC3">
                            <w:rPr>
                              <w:rFonts w:ascii="Tahoma" w:hAnsi="Tahoma" w:cs="Tahoma"/>
                              <w:color w:val="0D0D0D"/>
                              <w:sz w:val="16"/>
                              <w:szCs w:val="16"/>
                              <w:rtl/>
                            </w:rPr>
                            <w:t xml:space="preserve"> התשפ״ג | </w:t>
                          </w:r>
                          <w:r w:rsidR="006C3549">
                            <w:rPr>
                              <w:rFonts w:ascii="Tahoma" w:hAnsi="Tahoma" w:cs="Tahoma" w:hint="cs"/>
                              <w:color w:val="0D0D0D"/>
                              <w:sz w:val="16"/>
                              <w:szCs w:val="16"/>
                              <w:rtl/>
                            </w:rPr>
                            <w:t>אייר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44A8EDC7"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9D4244">
                      <w:rPr>
                        <w:rFonts w:ascii="Tahoma" w:hAnsi="Tahoma" w:cs="Tahoma" w:hint="cs"/>
                        <w:color w:val="0D0D0D"/>
                        <w:sz w:val="16"/>
                        <w:szCs w:val="16"/>
                        <w:rtl/>
                      </w:rPr>
                      <w:t>סיוון</w:t>
                    </w:r>
                    <w:r w:rsidRPr="00A80DC3">
                      <w:rPr>
                        <w:rFonts w:ascii="Tahoma" w:hAnsi="Tahoma" w:cs="Tahoma"/>
                        <w:color w:val="0D0D0D"/>
                        <w:sz w:val="16"/>
                        <w:szCs w:val="16"/>
                        <w:rtl/>
                      </w:rPr>
                      <w:t xml:space="preserve"> התשפ״ג | </w:t>
                    </w:r>
                    <w:r w:rsidR="006C3549">
                      <w:rPr>
                        <w:rFonts w:ascii="Tahoma" w:hAnsi="Tahoma" w:cs="Tahoma" w:hint="cs"/>
                        <w:color w:val="0D0D0D"/>
                        <w:sz w:val="16"/>
                        <w:szCs w:val="16"/>
                        <w:rtl/>
                      </w:rPr>
                      <w:t>אייר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FB6CE0D" w14:textId="7777777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5EDA67E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2CF8A78F"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BD13C38" w14:textId="77777777">
    <w:pPr>
      <w:pStyle w:val="Header"/>
      <w:ind w:firstLine="720"/>
      <w:rPr>
        <w:rtl/>
      </w:rPr>
    </w:pPr>
  </w:p>
  <w:p w:rsidR="00F73EE0" w14:paraId="250023BC" w14:textId="77777777">
    <w:pPr>
      <w:pStyle w:val="Header"/>
      <w:rPr>
        <w:rtl/>
      </w:rPr>
    </w:pPr>
  </w:p>
  <w:p w:rsidR="00F73EE0" w14:paraId="1167B2A6"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07E00A5F"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23D4B7E"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31468E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7E273AF1"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109059C" w14:textId="77777777">
    <w:pPr>
      <w:pStyle w:val="Header"/>
      <w:ind w:firstLine="720"/>
      <w:rPr>
        <w:rtl/>
      </w:rPr>
    </w:pPr>
  </w:p>
  <w:p w:rsidR="004E71DD" w:rsidP="004E71DD" w14:paraId="02292B96" w14:textId="77777777">
    <w:pPr>
      <w:pStyle w:val="Header"/>
      <w:rPr>
        <w:rtl/>
      </w:rPr>
    </w:pPr>
  </w:p>
  <w:p w:rsidR="004E71DD" w:rsidP="004E71DD" w14:paraId="0079BAFD"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682815">
                            <w:rPr>
                              <w:rFonts w:ascii="Tahoma" w:hAnsi="Tahoma" w:eastAsiaTheme="minorHAnsi" w:cs="Tahoma"/>
                              <w:bCs w:val="0"/>
                              <w:color w:val="0D0D0D" w:themeColor="text1" w:themeTint="F2"/>
                              <w:sz w:val="16"/>
                              <w:szCs w:val="16"/>
                              <w:u w:val="none"/>
                              <w:rtl/>
                            </w:rPr>
                            <w:t>רכישה ומכירה של דירות הדיור הציבורי -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105240D4" w14:textId="77777777">
                    <w:pPr>
                      <w:pStyle w:val="Heading1"/>
                      <w:spacing w:line="269" w:lineRule="auto"/>
                      <w:jc w:val="left"/>
                      <w:rPr>
                        <w:rFonts w:ascii="Tahoma" w:hAnsi="Tahoma" w:eastAsiaTheme="minorHAnsi" w:cs="Tahoma"/>
                        <w:bCs w:val="0"/>
                        <w:color w:val="0D0D0D" w:themeColor="text1" w:themeTint="F2"/>
                        <w:sz w:val="16"/>
                        <w:szCs w:val="16"/>
                        <w:u w:val="none"/>
                      </w:rPr>
                    </w:pPr>
                    <w:r w:rsidRPr="00682815">
                      <w:rPr>
                        <w:rFonts w:ascii="Tahoma" w:hAnsi="Tahoma" w:eastAsiaTheme="minorHAnsi" w:cs="Tahoma"/>
                        <w:bCs w:val="0"/>
                        <w:color w:val="0D0D0D" w:themeColor="text1" w:themeTint="F2"/>
                        <w:sz w:val="16"/>
                        <w:szCs w:val="16"/>
                        <w:u w:val="none"/>
                        <w:rtl/>
                      </w:rPr>
                      <w:t>רכישה ומכירה של דירות הדיור הציבורי - ביקורת מעקב</w:t>
                    </w:r>
                  </w:p>
                </w:txbxContent>
              </v:textbox>
              <w10:wrap type="square"/>
            </v:shape>
          </w:pict>
        </mc:Fallback>
      </mc:AlternateContent>
    </w:r>
  </w:p>
  <w:p w:rsidR="004E71DD" w:rsidP="004E71DD" w14:paraId="590736CE"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2"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04CE64D6" w14:textId="77777777">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5FD0" w:rsidP="001526AC" w14:paraId="7E6B5205"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124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113575902" name="Text Box 111357590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5FD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13575902" o:sp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4208" filled="f" strokecolor="#a5a5a5" strokeweight="0.25pt">
              <v:stroke dashstyle="longDash"/>
              <v:textbox>
                <w:txbxContent>
                  <w:p w:rsidR="00DA5FD0" w:rsidRPr="00FD02CC" w:rsidP="006E67D8" w14:paraId="759E1C2D"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113575903"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DA5FD0" w:rsidRPr="009B7D1B" w:rsidP="00327B4D" w14:textId="631D636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327B4D">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99200" fillcolor="#00305f" strokecolor="#00305f">
              <v:textbox style="layout-flow:vertical;mso-layout-flow-alt:bottom-to-top" inset="0,0,0,0">
                <w:txbxContent>
                  <w:p w:rsidR="00DA5FD0" w:rsidRPr="009B7D1B" w:rsidP="00327B4D" w14:paraId="4DABE48E" w14:textId="631D6364">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327B4D">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p>
                </w:txbxContent>
              </v:textbox>
              <w10:wrap type="square"/>
            </v:shape>
          </w:pict>
        </mc:Fallback>
      </mc:AlternateContent>
    </w:r>
  </w:p>
  <w:p w:rsidR="00DA5FD0" w:rsidP="001526AC" w14:paraId="7636897E" w14:textId="77777777">
    <w:pPr>
      <w:pStyle w:val="Header"/>
      <w:tabs>
        <w:tab w:val="left" w:pos="493"/>
        <w:tab w:val="center" w:pos="4111"/>
        <w:tab w:val="clear" w:pos="4153"/>
        <w:tab w:val="right" w:pos="7478"/>
        <w:tab w:val="right" w:pos="8222"/>
        <w:tab w:val="clear" w:pos="8306"/>
      </w:tabs>
      <w:jc w:val="left"/>
      <w:rPr>
        <w:rtl/>
      </w:rPr>
    </w:pPr>
  </w:p>
  <w:p w:rsidR="00DA5FD0" w:rsidRPr="001526AC" w:rsidP="00005B23" w14:paraId="25459465" w14:textId="07366669">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96128"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1113575905" name="Straight Connector 1113575905"/>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13575905" o:spid="_x0000_s2063" style="flip:x;mso-height-percent:0;mso-height-relative:margin;mso-width-percent:0;mso-width-relative:margin;mso-wrap-distance-bottom:0;mso-wrap-distance-left:9pt;mso-wrap-distance-right:9pt;mso-wrap-distance-top:0;mso-wrap-style:square;position:absolute;visibility:visible;z-index:251697152" from="-4.4pt,52.45pt" to="524.85pt,52.45pt" strokecolor="#0d0d0d" strokeweight="0.25pt"/>
          </w:pict>
        </mc:Fallback>
      </mc:AlternateContent>
    </w:r>
    <w:r w:rsidRPr="00BB30F3">
      <w:rPr>
        <w:rFonts w:ascii="Tahoma" w:hAnsi="Tahoma" w:cs="Tahoma"/>
        <w:noProof/>
        <w:color w:val="002060"/>
        <w:sz w:val="18"/>
        <w:szCs w:val="18"/>
      </w:rPr>
      <mc:AlternateContent>
        <mc:Choice Requires="wps">
          <w:drawing>
            <wp:anchor distT="45720" distB="45720" distL="114300" distR="114300" simplePos="0" relativeHeight="25169408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111357590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DA5FD0" w:rsidRPr="00136A3E" w:rsidP="00236161" w14:textId="4C19A4FF">
                          <w:pPr>
                            <w:jc w:val="right"/>
                            <w:rPr>
                              <w:color w:val="0D0D0D" w:themeColor="text1" w:themeTint="F2"/>
                              <w:sz w:val="16"/>
                              <w:szCs w:val="16"/>
                            </w:rPr>
                          </w:pPr>
                          <w:r w:rsidRPr="00200396">
                            <w:rPr>
                              <w:rFonts w:ascii="Tahoma" w:hAnsi="Tahoma" w:cs="Tahoma" w:hint="cs"/>
                              <w:color w:val="0D0D0D"/>
                              <w:sz w:val="16"/>
                              <w:szCs w:val="16"/>
                              <w:rtl/>
                            </w:rPr>
                            <w:t xml:space="preserve">דוח מבקר המדינה | תמוז </w:t>
                          </w:r>
                          <w:r w:rsidRPr="00200396">
                            <w:rPr>
                              <w:rFonts w:ascii="Tahoma" w:hAnsi="Tahoma" w:cs="Tahoma" w:hint="cs"/>
                              <w:color w:val="0D0D0D"/>
                              <w:sz w:val="16"/>
                              <w:szCs w:val="16"/>
                              <w:rtl/>
                            </w:rPr>
                            <w:t>התשפ"ד</w:t>
                          </w:r>
                          <w:r w:rsidRPr="00200396">
                            <w:rPr>
                              <w:rFonts w:ascii="Tahoma" w:hAnsi="Tahoma" w:cs="Tahoma" w:hint="cs"/>
                              <w:color w:val="0D0D0D"/>
                              <w:sz w:val="16"/>
                              <w:szCs w:val="16"/>
                              <w:rtl/>
                            </w:rPr>
                            <w:t xml:space="preserve"> </w:t>
                          </w:r>
                          <w:r w:rsidRPr="00200396">
                            <w:rPr>
                              <w:rFonts w:ascii="Tahoma" w:hAnsi="Tahoma" w:cs="Tahoma"/>
                              <w:color w:val="0D0D0D"/>
                              <w:sz w:val="16"/>
                              <w:szCs w:val="16"/>
                              <w:rtl/>
                            </w:rPr>
                            <w:t>|</w:t>
                          </w:r>
                          <w:r w:rsidRPr="00200396">
                            <w:rPr>
                              <w:rFonts w:ascii="Tahoma" w:hAnsi="Tahoma" w:cs="Tahoma" w:hint="cs"/>
                              <w:color w:val="0D0D0D"/>
                              <w:sz w:val="16"/>
                              <w:szCs w:val="16"/>
                              <w:rtl/>
                            </w:rPr>
                            <w:t xml:space="preserve"> יולי </w:t>
                          </w:r>
                          <w:r>
                            <w:rPr>
                              <w:rFonts w:ascii="Tahoma" w:hAnsi="Tahoma" w:cs="Tahoma" w:hint="cs"/>
                              <w:color w:val="0D0D0D"/>
                              <w:sz w:val="16"/>
                              <w:szCs w:val="16"/>
                              <w:rtl/>
                            </w:rPr>
                            <w:t>2</w:t>
                          </w:r>
                          <w:r w:rsidRPr="00236161" w:rsidR="00236161">
                            <w:rPr>
                              <w:rFonts w:ascii="Tahoma" w:hAnsi="Tahoma" w:cs="Tahoma" w:hint="cs"/>
                              <w:color w:val="0D0D0D"/>
                              <w:sz w:val="16"/>
                              <w:szCs w:val="16"/>
                              <w:rtl/>
                            </w:rPr>
                            <w:t xml:space="preserve">024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95104" strokecolor="white">
              <v:textbox>
                <w:txbxContent>
                  <w:p w:rsidR="00DA5FD0" w:rsidRPr="00136A3E" w:rsidP="00236161" w14:paraId="082E9734" w14:textId="4C19A4FF">
                    <w:pPr>
                      <w:jc w:val="right"/>
                      <w:rPr>
                        <w:color w:val="0D0D0D" w:themeColor="text1" w:themeTint="F2"/>
                        <w:sz w:val="16"/>
                        <w:szCs w:val="16"/>
                      </w:rPr>
                    </w:pPr>
                    <w:r w:rsidRPr="00200396">
                      <w:rPr>
                        <w:rFonts w:ascii="Tahoma" w:hAnsi="Tahoma" w:cs="Tahoma" w:hint="cs"/>
                        <w:color w:val="0D0D0D"/>
                        <w:sz w:val="16"/>
                        <w:szCs w:val="16"/>
                        <w:rtl/>
                      </w:rPr>
                      <w:t xml:space="preserve">דוח מבקר המדינה | תמוז </w:t>
                    </w:r>
                    <w:r w:rsidRPr="00200396">
                      <w:rPr>
                        <w:rFonts w:ascii="Tahoma" w:hAnsi="Tahoma" w:cs="Tahoma" w:hint="cs"/>
                        <w:color w:val="0D0D0D"/>
                        <w:sz w:val="16"/>
                        <w:szCs w:val="16"/>
                        <w:rtl/>
                      </w:rPr>
                      <w:t>התשפ"ד</w:t>
                    </w:r>
                    <w:r w:rsidRPr="00200396">
                      <w:rPr>
                        <w:rFonts w:ascii="Tahoma" w:hAnsi="Tahoma" w:cs="Tahoma" w:hint="cs"/>
                        <w:color w:val="0D0D0D"/>
                        <w:sz w:val="16"/>
                        <w:szCs w:val="16"/>
                        <w:rtl/>
                      </w:rPr>
                      <w:t xml:space="preserve"> </w:t>
                    </w:r>
                    <w:r w:rsidRPr="00200396">
                      <w:rPr>
                        <w:rFonts w:ascii="Tahoma" w:hAnsi="Tahoma" w:cs="Tahoma"/>
                        <w:color w:val="0D0D0D"/>
                        <w:sz w:val="16"/>
                        <w:szCs w:val="16"/>
                        <w:rtl/>
                      </w:rPr>
                      <w:t>|</w:t>
                    </w:r>
                    <w:r w:rsidRPr="00200396">
                      <w:rPr>
                        <w:rFonts w:ascii="Tahoma" w:hAnsi="Tahoma" w:cs="Tahoma" w:hint="cs"/>
                        <w:color w:val="0D0D0D"/>
                        <w:sz w:val="16"/>
                        <w:szCs w:val="16"/>
                        <w:rtl/>
                      </w:rPr>
                      <w:t xml:space="preserve"> יולי </w:t>
                    </w:r>
                    <w:r>
                      <w:rPr>
                        <w:rFonts w:ascii="Tahoma" w:hAnsi="Tahoma" w:cs="Tahoma" w:hint="cs"/>
                        <w:color w:val="0D0D0D"/>
                        <w:sz w:val="16"/>
                        <w:szCs w:val="16"/>
                        <w:rtl/>
                      </w:rPr>
                      <w:t>2</w:t>
                    </w:r>
                    <w:r w:rsidRPr="00236161" w:rsidR="00236161">
                      <w:rPr>
                        <w:rFonts w:ascii="Tahoma" w:hAnsi="Tahoma" w:cs="Tahoma" w:hint="cs"/>
                        <w:color w:val="0D0D0D"/>
                        <w:sz w:val="16"/>
                        <w:szCs w:val="16"/>
                        <w:rtl/>
                      </w:rPr>
                      <w:t xml:space="preserve">024 </w:t>
                    </w:r>
                  </w:p>
                </w:txbxContent>
              </v:textbox>
            </v:shape>
          </w:pict>
        </mc:Fallback>
      </mc:AlternateContent>
    </w:r>
    <w:r>
      <w:rPr>
        <w:rFonts w:ascii="Tahoma" w:hAnsi="Tahoma" w:cs="Tahoma"/>
        <w:noProof/>
        <w:sz w:val="22"/>
        <w:szCs w:val="22"/>
        <w:rtl/>
        <w:lang w:val="he-IL"/>
      </w:rPr>
      <w:drawing>
        <wp:anchor distT="0" distB="0" distL="114300" distR="114300" simplePos="0" relativeHeight="25170022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4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7B4D" w:rsidP="001526AC" w14:paraId="64F6A6D3"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104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2" name="Text Box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327B4D"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2065"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4992" filled="f" strokecolor="#a5a5a5" strokeweight="0.25pt">
              <v:stroke dashstyle="longDash"/>
              <v:textbox>
                <w:txbxContent>
                  <w:p w:rsidR="00327B4D" w:rsidRPr="00FD02CC" w:rsidP="006E67D8" w14:paraId="13069191"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54"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327B4D" w:rsidRPr="009B7D1B" w:rsidP="00682815" w14:textId="5474F55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682815">
                            <w:rPr>
                              <w:rFonts w:ascii="Tahoma" w:hAnsi="Tahoma" w:cs="Tahoma"/>
                              <w:b/>
                              <w:bCs/>
                              <w:rtl/>
                            </w:rPr>
                            <w:t>רכישה ומכירה של דירות הדיור הציבורי - ביקורת מעק</w:t>
                          </w:r>
                          <w:r>
                            <w:rPr>
                              <w:rFonts w:ascii="Tahoma" w:hAnsi="Tahoma" w:cs="Tahoma" w:hint="cs"/>
                              <w:b/>
                              <w:bCs/>
                              <w:rtl/>
                            </w:rPr>
                            <w:t>ב</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6"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708416" fillcolor="#00305f" strokecolor="#00305f">
              <v:textbox style="layout-flow:vertical;mso-layout-flow-alt:bottom-to-top" inset="0,0,0,0">
                <w:txbxContent>
                  <w:p w:rsidR="00327B4D" w:rsidRPr="009B7D1B" w:rsidP="00682815" w14:paraId="7E0B13A8" w14:textId="5474F55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Pr>
                        <w:rFonts w:ascii="Tahoma" w:hAnsi="Tahoma" w:cs="Tahoma" w:hint="cs"/>
                        <w:sz w:val="24"/>
                        <w:szCs w:val="24"/>
                        <w:rtl/>
                      </w:rPr>
                      <w:t xml:space="preserve"> </w:t>
                    </w:r>
                    <w:r w:rsidRPr="00565F1B">
                      <w:rPr>
                        <w:rFonts w:ascii="Tahoma" w:hAnsi="Tahoma" w:cs="Tahoma" w:hint="cs"/>
                        <w:rtl/>
                      </w:rPr>
                      <w:t xml:space="preserve"> </w:t>
                    </w:r>
                    <w:r w:rsidRPr="00682815">
                      <w:rPr>
                        <w:rFonts w:ascii="Tahoma" w:hAnsi="Tahoma" w:cs="Tahoma"/>
                        <w:b/>
                        <w:bCs/>
                        <w:rtl/>
                      </w:rPr>
                      <w:t>רכישה ומכירה של דירות הדיור הציבורי - ביקורת מעק</w:t>
                    </w:r>
                    <w:r>
                      <w:rPr>
                        <w:rFonts w:ascii="Tahoma" w:hAnsi="Tahoma" w:cs="Tahoma" w:hint="cs"/>
                        <w:b/>
                        <w:bCs/>
                        <w:rtl/>
                      </w:rPr>
                      <w:t>ב</w:t>
                    </w:r>
                  </w:p>
                </w:txbxContent>
              </v:textbox>
              <w10:wrap type="square"/>
            </v:shape>
          </w:pict>
        </mc:Fallback>
      </mc:AlternateContent>
    </w:r>
  </w:p>
  <w:p w:rsidR="00327B4D" w:rsidP="001526AC" w14:paraId="656ADD91" w14:textId="77777777">
    <w:pPr>
      <w:pStyle w:val="Header"/>
      <w:tabs>
        <w:tab w:val="left" w:pos="493"/>
        <w:tab w:val="center" w:pos="4111"/>
        <w:tab w:val="clear" w:pos="4153"/>
        <w:tab w:val="right" w:pos="7478"/>
        <w:tab w:val="right" w:pos="8222"/>
        <w:tab w:val="clear" w:pos="8306"/>
      </w:tabs>
      <w:jc w:val="left"/>
      <w:rPr>
        <w:rtl/>
      </w:rPr>
    </w:pPr>
  </w:p>
  <w:p w:rsidR="00327B4D" w:rsidRPr="001526AC" w:rsidP="00005B23" w14:paraId="4FC2F99D" w14:textId="277A0210">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705344"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57" name="Straight Connector 57"/>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2067" style="flip:x;mso-height-percent:0;mso-height-relative:margin;mso-width-percent:0;mso-width-relative:margin;mso-wrap-distance-bottom:0;mso-wrap-distance-left:9pt;mso-wrap-distance-right:9pt;mso-wrap-distance-top:0;mso-wrap-style:square;position:absolute;visibility:visible;z-index:251706368" from="-4.4pt,52.45pt" to="524.85pt,52.45pt" strokecolor="#0d0d0d" strokeweight="0.25pt"/>
          </w:pict>
        </mc:Fallback>
      </mc:AlternateContent>
    </w:r>
    <w:r w:rsidRPr="00BB30F3">
      <w:rPr>
        <w:rFonts w:ascii="Tahoma" w:hAnsi="Tahoma" w:cs="Tahoma"/>
        <w:noProof/>
        <w:color w:val="002060"/>
        <w:sz w:val="18"/>
        <w:szCs w:val="18"/>
      </w:rPr>
      <mc:AlternateContent>
        <mc:Choice Requires="wps">
          <w:drawing>
            <wp:anchor distT="45720" distB="45720" distL="114300" distR="114300" simplePos="0" relativeHeight="2517032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327B4D" w:rsidRPr="00136A3E" w:rsidP="00C55DC9" w14:textId="64762810">
                          <w:pPr>
                            <w:jc w:val="right"/>
                            <w:rPr>
                              <w:color w:val="0D0D0D" w:themeColor="text1" w:themeTint="F2"/>
                              <w:sz w:val="16"/>
                              <w:szCs w:val="16"/>
                            </w:rPr>
                          </w:pPr>
                          <w:r w:rsidRPr="00200396">
                            <w:rPr>
                              <w:rFonts w:ascii="Tahoma" w:hAnsi="Tahoma" w:cs="Tahoma" w:hint="cs"/>
                              <w:color w:val="0D0D0D"/>
                              <w:sz w:val="16"/>
                              <w:szCs w:val="16"/>
                              <w:rtl/>
                            </w:rPr>
                            <w:t xml:space="preserve">דוח מבקר המדינה | תמוז </w:t>
                          </w:r>
                          <w:r w:rsidRPr="00200396">
                            <w:rPr>
                              <w:rFonts w:ascii="Tahoma" w:hAnsi="Tahoma" w:cs="Tahoma" w:hint="cs"/>
                              <w:color w:val="0D0D0D"/>
                              <w:sz w:val="16"/>
                              <w:szCs w:val="16"/>
                              <w:rtl/>
                            </w:rPr>
                            <w:t>התשפ"ד</w:t>
                          </w:r>
                          <w:r w:rsidRPr="00200396">
                            <w:rPr>
                              <w:rFonts w:ascii="Tahoma" w:hAnsi="Tahoma" w:cs="Tahoma" w:hint="cs"/>
                              <w:color w:val="0D0D0D"/>
                              <w:sz w:val="16"/>
                              <w:szCs w:val="16"/>
                              <w:rtl/>
                            </w:rPr>
                            <w:t xml:space="preserve"> </w:t>
                          </w:r>
                          <w:r w:rsidRPr="00200396">
                            <w:rPr>
                              <w:rFonts w:ascii="Tahoma" w:hAnsi="Tahoma" w:cs="Tahoma"/>
                              <w:color w:val="0D0D0D"/>
                              <w:sz w:val="16"/>
                              <w:szCs w:val="16"/>
                              <w:rtl/>
                            </w:rPr>
                            <w:t>|</w:t>
                          </w:r>
                          <w:r w:rsidRPr="00200396">
                            <w:rPr>
                              <w:rFonts w:ascii="Tahoma" w:hAnsi="Tahoma" w:cs="Tahoma" w:hint="cs"/>
                              <w:color w:val="0D0D0D"/>
                              <w:sz w:val="16"/>
                              <w:szCs w:val="16"/>
                              <w:rtl/>
                            </w:rPr>
                            <w:t xml:space="preserve"> יולי </w:t>
                          </w:r>
                          <w:r>
                            <w:rPr>
                              <w:rFonts w:ascii="Tahoma" w:hAnsi="Tahoma" w:cs="Tahoma" w:hint="cs"/>
                              <w:color w:val="0D0D0D"/>
                              <w:sz w:val="16"/>
                              <w:szCs w:val="16"/>
                              <w:rtl/>
                            </w:rPr>
                            <w:t>2</w:t>
                          </w:r>
                          <w:r w:rsidRPr="00236161">
                            <w:rPr>
                              <w:rFonts w:ascii="Tahoma" w:hAnsi="Tahoma" w:cs="Tahoma" w:hint="cs"/>
                              <w:color w:val="0D0D0D"/>
                              <w:sz w:val="16"/>
                              <w:szCs w:val="16"/>
                              <w:rtl/>
                            </w:rPr>
                            <w:t>024</w:t>
                          </w:r>
                        </w:p>
                        <w:p w:rsidR="00327B4D" w:rsidRPr="00136A3E"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8"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704320" strokecolor="white">
              <v:textbox>
                <w:txbxContent>
                  <w:p w:rsidR="00327B4D" w:rsidRPr="00136A3E" w:rsidP="00C55DC9" w14:paraId="09FE05C7" w14:textId="64762810">
                    <w:pPr>
                      <w:jc w:val="right"/>
                      <w:rPr>
                        <w:color w:val="0D0D0D" w:themeColor="text1" w:themeTint="F2"/>
                        <w:sz w:val="16"/>
                        <w:szCs w:val="16"/>
                      </w:rPr>
                    </w:pPr>
                    <w:r w:rsidRPr="00200396">
                      <w:rPr>
                        <w:rFonts w:ascii="Tahoma" w:hAnsi="Tahoma" w:cs="Tahoma" w:hint="cs"/>
                        <w:color w:val="0D0D0D"/>
                        <w:sz w:val="16"/>
                        <w:szCs w:val="16"/>
                        <w:rtl/>
                      </w:rPr>
                      <w:t xml:space="preserve">דוח מבקר המדינה | תמוז </w:t>
                    </w:r>
                    <w:r w:rsidRPr="00200396">
                      <w:rPr>
                        <w:rFonts w:ascii="Tahoma" w:hAnsi="Tahoma" w:cs="Tahoma" w:hint="cs"/>
                        <w:color w:val="0D0D0D"/>
                        <w:sz w:val="16"/>
                        <w:szCs w:val="16"/>
                        <w:rtl/>
                      </w:rPr>
                      <w:t>התשפ"ד</w:t>
                    </w:r>
                    <w:r w:rsidRPr="00200396">
                      <w:rPr>
                        <w:rFonts w:ascii="Tahoma" w:hAnsi="Tahoma" w:cs="Tahoma" w:hint="cs"/>
                        <w:color w:val="0D0D0D"/>
                        <w:sz w:val="16"/>
                        <w:szCs w:val="16"/>
                        <w:rtl/>
                      </w:rPr>
                      <w:t xml:space="preserve"> </w:t>
                    </w:r>
                    <w:r w:rsidRPr="00200396">
                      <w:rPr>
                        <w:rFonts w:ascii="Tahoma" w:hAnsi="Tahoma" w:cs="Tahoma"/>
                        <w:color w:val="0D0D0D"/>
                        <w:sz w:val="16"/>
                        <w:szCs w:val="16"/>
                        <w:rtl/>
                      </w:rPr>
                      <w:t>|</w:t>
                    </w:r>
                    <w:r w:rsidRPr="00200396">
                      <w:rPr>
                        <w:rFonts w:ascii="Tahoma" w:hAnsi="Tahoma" w:cs="Tahoma" w:hint="cs"/>
                        <w:color w:val="0D0D0D"/>
                        <w:sz w:val="16"/>
                        <w:szCs w:val="16"/>
                        <w:rtl/>
                      </w:rPr>
                      <w:t xml:space="preserve"> יולי </w:t>
                    </w:r>
                    <w:r>
                      <w:rPr>
                        <w:rFonts w:ascii="Tahoma" w:hAnsi="Tahoma" w:cs="Tahoma" w:hint="cs"/>
                        <w:color w:val="0D0D0D"/>
                        <w:sz w:val="16"/>
                        <w:szCs w:val="16"/>
                        <w:rtl/>
                      </w:rPr>
                      <w:t>2</w:t>
                    </w:r>
                    <w:r w:rsidRPr="00236161">
                      <w:rPr>
                        <w:rFonts w:ascii="Tahoma" w:hAnsi="Tahoma" w:cs="Tahoma" w:hint="cs"/>
                        <w:color w:val="0D0D0D"/>
                        <w:sz w:val="16"/>
                        <w:szCs w:val="16"/>
                        <w:rtl/>
                      </w:rPr>
                      <w:t>024</w:t>
                    </w:r>
                  </w:p>
                  <w:p w:rsidR="00327B4D" w:rsidRPr="00136A3E" w:rsidP="00B244B0" w14:paraId="71304C93" w14:textId="7777777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094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58"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2582C75F"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9"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5D0E3567"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6A1B17"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70"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6A1B17" w14:paraId="40FA2673" w14:textId="7777777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E56721" w:rsidP="001526AC" w14:paraId="252757D6"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71617BCA"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9D4244">
                            <w:rPr>
                              <w:rFonts w:ascii="Tahoma" w:hAnsi="Tahoma" w:cs="Tahoma" w:hint="cs"/>
                              <w:color w:val="0D0D0D"/>
                              <w:sz w:val="16"/>
                              <w:szCs w:val="16"/>
                              <w:rtl/>
                            </w:rPr>
                            <w:t>סיוון</w:t>
                          </w:r>
                          <w:r w:rsidRPr="00A80DC3">
                            <w:rPr>
                              <w:rFonts w:ascii="Tahoma" w:hAnsi="Tahoma" w:cs="Tahoma"/>
                              <w:color w:val="0D0D0D"/>
                              <w:sz w:val="16"/>
                              <w:szCs w:val="16"/>
                              <w:rtl/>
                            </w:rPr>
                            <w:t xml:space="preserve"> התשפ״ג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777777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71"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C55DC9" w:rsidRPr="00136A3E" w:rsidP="00C55DC9" w14:paraId="76EE29DB" w14:textId="77777777">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9D4244">
                      <w:rPr>
                        <w:rFonts w:ascii="Tahoma" w:hAnsi="Tahoma" w:cs="Tahoma" w:hint="cs"/>
                        <w:color w:val="0D0D0D"/>
                        <w:sz w:val="16"/>
                        <w:szCs w:val="16"/>
                        <w:rtl/>
                      </w:rPr>
                      <w:t>סיוון</w:t>
                    </w:r>
                    <w:r w:rsidRPr="00A80DC3">
                      <w:rPr>
                        <w:rFonts w:ascii="Tahoma" w:hAnsi="Tahoma" w:cs="Tahoma"/>
                        <w:color w:val="0D0D0D"/>
                        <w:sz w:val="16"/>
                        <w:szCs w:val="16"/>
                        <w:rtl/>
                      </w:rPr>
                      <w:t xml:space="preserve"> התשפ״ג | </w:t>
                    </w:r>
                    <w:r w:rsidR="009D4244">
                      <w:rPr>
                        <w:rFonts w:ascii="Tahoma" w:hAnsi="Tahoma" w:cs="Tahoma" w:hint="cs"/>
                        <w:color w:val="0D0D0D"/>
                        <w:sz w:val="16"/>
                        <w:szCs w:val="16"/>
                        <w:rtl/>
                      </w:rPr>
                      <w:t>מאי</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29C8A0A9" w14:textId="7777777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72"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E0860BEA"/>
    <w:lvl w:ilvl="0">
      <w:start w:val="1"/>
      <w:numFmt w:val="decimal"/>
      <w:lvlText w:val="%1."/>
      <w:lvlJc w:val="left"/>
      <w:pPr>
        <w:tabs>
          <w:tab w:val="num" w:pos="1492"/>
        </w:tabs>
        <w:ind w:left="1492" w:hanging="360"/>
      </w:pPr>
    </w:lvl>
  </w:abstractNum>
  <w:abstractNum w:abstractNumId="1">
    <w:nsid w:val="FFFFFF7D"/>
    <w:multiLevelType w:val="singleLevel"/>
    <w:tmpl w:val="7C8A5762"/>
    <w:lvl w:ilvl="0">
      <w:start w:val="1"/>
      <w:numFmt w:val="decimal"/>
      <w:lvlText w:val="%1."/>
      <w:lvlJc w:val="left"/>
      <w:pPr>
        <w:tabs>
          <w:tab w:val="num" w:pos="1209"/>
        </w:tabs>
        <w:ind w:left="1209" w:hanging="360"/>
      </w:pPr>
    </w:lvl>
  </w:abstractNum>
  <w:abstractNum w:abstractNumId="2">
    <w:nsid w:val="FFFFFF7F"/>
    <w:multiLevelType w:val="singleLevel"/>
    <w:tmpl w:val="82DE22C6"/>
    <w:lvl w:ilvl="0">
      <w:start w:val="1"/>
      <w:numFmt w:val="decimal"/>
      <w:lvlText w:val="%1."/>
      <w:lvlJc w:val="left"/>
      <w:pPr>
        <w:tabs>
          <w:tab w:val="num" w:pos="643"/>
        </w:tabs>
        <w:ind w:left="643" w:hanging="360"/>
      </w:pPr>
    </w:lvl>
  </w:abstractNum>
  <w:abstractNum w:abstractNumId="3">
    <w:nsid w:val="FFFFFF80"/>
    <w:multiLevelType w:val="singleLevel"/>
    <w:tmpl w:val="B782693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62E518C"/>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D3C23CF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57D28BC0"/>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8B92F89E"/>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24EA7DE2"/>
    <w:lvl w:ilvl="0">
      <w:start w:val="2"/>
      <w:numFmt w:val="decimal"/>
      <w:lvlText w:val="%1."/>
      <w:lvlJc w:val="left"/>
      <w:pPr>
        <w:ind w:left="794"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17"/>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FF5AD226"/>
    <w:lvl w:ilvl="0">
      <w:start w:val="6"/>
      <w:numFmt w:val="decimal"/>
      <w:lvlText w:val="%1."/>
      <w:lvlJc w:val="left"/>
      <w:pPr>
        <w:ind w:left="680" w:hanging="39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0"/>
  </w:num>
  <w:num w:numId="2">
    <w:abstractNumId w:val="13"/>
  </w:num>
  <w:num w:numId="3">
    <w:abstractNumId w:val="16"/>
  </w:num>
  <w:num w:numId="4">
    <w:abstractNumId w:val="27"/>
  </w:num>
  <w:num w:numId="5">
    <w:abstractNumId w:val="9"/>
  </w:num>
  <w:num w:numId="6">
    <w:abstractNumId w:val="17"/>
  </w:num>
  <w:num w:numId="7">
    <w:abstractNumId w:val="22"/>
  </w:num>
  <w:num w:numId="8">
    <w:abstractNumId w:val="11"/>
  </w:num>
  <w:num w:numId="9">
    <w:abstractNumId w:val="10"/>
  </w:num>
  <w:num w:numId="10">
    <w:abstractNumId w:val="8"/>
  </w:num>
  <w:num w:numId="11">
    <w:abstractNumId w:val="18"/>
  </w:num>
  <w:num w:numId="12">
    <w:abstractNumId w:val="21"/>
  </w:num>
  <w:num w:numId="13">
    <w:abstractNumId w:val="24"/>
  </w:num>
  <w:num w:numId="14">
    <w:abstractNumId w:val="19"/>
  </w:num>
  <w:num w:numId="15">
    <w:abstractNumId w:val="25"/>
  </w:num>
  <w:num w:numId="16">
    <w:abstractNumId w:val="12"/>
  </w:num>
  <w:num w:numId="17">
    <w:abstractNumId w:val="26"/>
  </w:num>
  <w:num w:numId="18">
    <w:abstractNumId w:val="23"/>
  </w:num>
  <w:num w:numId="19">
    <w:abstractNumId w:val="15"/>
  </w:num>
  <w:num w:numId="20">
    <w:abstractNumId w:val="14"/>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2F84"/>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3D4B"/>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388"/>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2EAB"/>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252"/>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39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97F76"/>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396"/>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161"/>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6DE0"/>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E65"/>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B4D"/>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AE8"/>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4AD"/>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34C4"/>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A47"/>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4CA0"/>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81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E82"/>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04E"/>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5FCA"/>
    <w:rsid w:val="008B694B"/>
    <w:rsid w:val="008B6972"/>
    <w:rsid w:val="008B72B6"/>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6A10"/>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A68"/>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719"/>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73"/>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49E"/>
    <w:rsid w:val="00C0153B"/>
    <w:rsid w:val="00C0163D"/>
    <w:rsid w:val="00C017CA"/>
    <w:rsid w:val="00C02152"/>
    <w:rsid w:val="00C0264E"/>
    <w:rsid w:val="00C03CE8"/>
    <w:rsid w:val="00C04252"/>
    <w:rsid w:val="00C0494D"/>
    <w:rsid w:val="00C0531C"/>
    <w:rsid w:val="00C05806"/>
    <w:rsid w:val="00C05FA3"/>
    <w:rsid w:val="00C06A1F"/>
    <w:rsid w:val="00C06D0D"/>
    <w:rsid w:val="00C07157"/>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5FD0"/>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853"/>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0D8"/>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AFF"/>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2D84"/>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5D41CB0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BodyTextIndentChar"/>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197F76"/>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1">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character" w:customStyle="1" w:styleId="16">
    <w:name w:val="הפניה להערת שוליים1"/>
    <w:unhideWhenUsed/>
    <w:rsid w:val="002516DF"/>
    <w:rPr>
      <w:vertAlign w:val="superscript"/>
    </w:rPr>
  </w:style>
  <w:style w:type="paragraph" w:customStyle="1" w:styleId="17">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8">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8"/>
    <w:uiPriority w:val="99"/>
    <w:semiHidden/>
    <w:rsid w:val="002516DF"/>
    <w:rPr>
      <w:rFonts w:ascii="Tahoma" w:eastAsia="Calibri" w:hAnsi="Tahoma" w:cs="Tahoma"/>
      <w:sz w:val="18"/>
      <w:szCs w:val="18"/>
    </w:rPr>
  </w:style>
  <w:style w:type="paragraph" w:customStyle="1" w:styleId="19">
    <w:name w:val="גוף טקסט1"/>
    <w:basedOn w:val="Normal"/>
    <w:link w:val="111"/>
    <w:uiPriority w:val="99"/>
    <w:rsid w:val="002516DF"/>
    <w:pPr>
      <w:spacing w:before="180" w:after="120" w:line="230" w:lineRule="exact"/>
    </w:pPr>
    <w:rPr>
      <w:rFonts w:eastAsia="Times New Roman" w:cs="FrankRuehl"/>
      <w:sz w:val="22"/>
      <w:szCs w:val="22"/>
    </w:rPr>
  </w:style>
  <w:style w:type="character" w:customStyle="1" w:styleId="a8">
    <w:name w:val="גוף טקסט תו"/>
    <w:basedOn w:val="DefaultParagraphFont"/>
    <w:rsid w:val="002516DF"/>
  </w:style>
  <w:style w:type="character" w:customStyle="1" w:styleId="111">
    <w:name w:val="גוף טקסט תו1"/>
    <w:link w:val="19"/>
    <w:uiPriority w:val="99"/>
    <w:rsid w:val="002516DF"/>
    <w:rPr>
      <w:rFonts w:eastAsia="Times New Roman" w:cs="FrankRuehl"/>
      <w:sz w:val="22"/>
      <w:szCs w:val="22"/>
    </w:rPr>
  </w:style>
  <w:style w:type="character" w:customStyle="1" w:styleId="112">
    <w:name w:val="כותרת תחתונה תו1"/>
    <w:uiPriority w:val="99"/>
    <w:rsid w:val="002516DF"/>
    <w:rPr>
      <w:rFonts w:cs="David"/>
      <w:sz w:val="24"/>
      <w:szCs w:val="24"/>
    </w:rPr>
  </w:style>
  <w:style w:type="character" w:customStyle="1" w:styleId="113">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4">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5">
    <w:name w:val="הפניה להערה1"/>
    <w:uiPriority w:val="99"/>
    <w:semiHidden/>
    <w:unhideWhenUsed/>
    <w:rsid w:val="002516DF"/>
    <w:rPr>
      <w:sz w:val="16"/>
      <w:szCs w:val="16"/>
    </w:rPr>
  </w:style>
  <w:style w:type="paragraph" w:customStyle="1" w:styleId="116">
    <w:name w:val="טקסט הערה1"/>
    <w:basedOn w:val="Normal"/>
    <w:link w:val="a9"/>
    <w:uiPriority w:val="99"/>
    <w:unhideWhenUsed/>
    <w:rsid w:val="002516DF"/>
    <w:pPr>
      <w:spacing w:line="240" w:lineRule="auto"/>
    </w:pPr>
    <w:rPr>
      <w:rFonts w:eastAsia="Calibri"/>
      <w:szCs w:val="20"/>
    </w:rPr>
  </w:style>
  <w:style w:type="character" w:customStyle="1" w:styleId="a9">
    <w:name w:val="טקסט הערה תו"/>
    <w:link w:val="116"/>
    <w:uiPriority w:val="99"/>
    <w:rsid w:val="002516DF"/>
    <w:rPr>
      <w:rFonts w:eastAsia="Calibri"/>
      <w:szCs w:val="20"/>
    </w:rPr>
  </w:style>
  <w:style w:type="paragraph" w:customStyle="1" w:styleId="117">
    <w:name w:val="נושא הערה1"/>
    <w:basedOn w:val="116"/>
    <w:next w:val="116"/>
    <w:link w:val="a10"/>
    <w:uiPriority w:val="99"/>
    <w:semiHidden/>
    <w:unhideWhenUsed/>
    <w:rsid w:val="002516DF"/>
    <w:rPr>
      <w:b/>
      <w:bCs/>
    </w:rPr>
  </w:style>
  <w:style w:type="character" w:customStyle="1" w:styleId="a10">
    <w:name w:val="נושא הערה תו"/>
    <w:link w:val="117"/>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1">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0">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2">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3">
    <w:name w:val="אורח"/>
    <w:basedOn w:val="Normal"/>
    <w:next w:val="Normal"/>
    <w:rsid w:val="00CF1EB5"/>
    <w:pPr>
      <w:spacing w:line="240" w:lineRule="exact"/>
    </w:pPr>
    <w:rPr>
      <w:rFonts w:ascii="David" w:eastAsia="Times New Roman" w:hAnsi="David"/>
      <w:sz w:val="24"/>
      <w:u w:val="single"/>
    </w:rPr>
  </w:style>
  <w:style w:type="paragraph" w:customStyle="1" w:styleId="a1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1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4">
    <w:name w:val="ציטוט בג&quot;צ Char"/>
    <w:link w:val="a16"/>
    <w:locked/>
    <w:rsid w:val="00CF1EB5"/>
    <w:rPr>
      <w:bCs/>
      <w:noProof/>
      <w:sz w:val="24"/>
      <w:lang w:eastAsia="he-IL"/>
    </w:rPr>
  </w:style>
  <w:style w:type="paragraph" w:customStyle="1" w:styleId="a16">
    <w:name w:val="ציטוט בג&quot;צ"/>
    <w:basedOn w:val="Normal"/>
    <w:link w:val="Char4"/>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17">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8">
    <w:name w:val="טקסט רץ"/>
    <w:basedOn w:val="100"/>
    <w:link w:val="Char5"/>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5">
    <w:name w:val="טקסט רץ Char"/>
    <w:basedOn w:val="10Char"/>
    <w:link w:val="a18"/>
    <w:rsid w:val="00D17911"/>
    <w:rPr>
      <w:rFonts w:ascii="Tahoma" w:hAnsi="Tahoma" w:cs="Tahoma"/>
      <w:color w:val="0D0D0D"/>
      <w:szCs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19">
    <w:name w:val="אייקון טורקיז רקע"/>
    <w:basedOn w:val="121"/>
    <w:link w:val="Char6"/>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6">
    <w:name w:val="אייקון טורקיז רקע Char"/>
    <w:basedOn w:val="121Char"/>
    <w:link w:val="a19"/>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0">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FootnoteTextChar"/>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1">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1"/>
    <w:link w:val="7333"/>
    <w:qFormat/>
    <w:rsid w:val="009D41AC"/>
  </w:style>
  <w:style w:type="character" w:customStyle="1" w:styleId="Char7">
    <w:name w:val="כותרת לבנה בתוך תבנית אדומה בתקציר Char"/>
    <w:basedOn w:val="DefaultParagraphFont"/>
    <w:link w:val="a21"/>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7"/>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ListParagraphChar"/>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2">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3">
    <w:name w:val="נבנצאל תו"/>
    <w:basedOn w:val="DefaultParagraphFont"/>
    <w:link w:val="a24"/>
    <w:uiPriority w:val="99"/>
    <w:locked/>
    <w:rsid w:val="00905FB1"/>
    <w:rPr>
      <w:szCs w:val="20"/>
    </w:rPr>
  </w:style>
  <w:style w:type="paragraph" w:customStyle="1" w:styleId="a24">
    <w:name w:val="נבנצאל"/>
    <w:basedOn w:val="Normal"/>
    <w:next w:val="Normal"/>
    <w:link w:val="a23"/>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5">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26">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7">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8"/>
    <w:link w:val="7393"/>
    <w:qFormat/>
    <w:rsid w:val="0078358A"/>
    <w:rPr>
      <w:color w:val="0D0D0D" w:themeColor="text1" w:themeTint="F2"/>
      <w:sz w:val="18"/>
    </w:rPr>
  </w:style>
  <w:style w:type="character" w:customStyle="1" w:styleId="7393">
    <w:name w:val="73א טקסט רץ 9 תו"/>
    <w:basedOn w:val="Char5"/>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8">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9">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0">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437586"/>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42">
    <w:name w:val="73 הביקורת הנוכחית"/>
    <w:qFormat/>
    <w:rsid w:val="009B1FD6"/>
    <w:pPr>
      <w:spacing w:before="240" w:after="180" w:line="240" w:lineRule="atLeast"/>
      <w:outlineLvl w:val="4"/>
    </w:pPr>
    <w:rPr>
      <w:rFonts w:ascii="Tahoma" w:eastAsia="Times New Roman" w:hAnsi="Tahoma" w:cs="Tahoma"/>
      <w:b/>
      <w:bCs/>
      <w:color w:val="00305F"/>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2.xml"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header" Target="header6.xml"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jpeg" /><Relationship Id="rId29" Type="http://schemas.openxmlformats.org/officeDocument/2006/relationships/image" Target="media/image14.jpeg" /><Relationship Id="rId3" Type="http://schemas.openxmlformats.org/officeDocument/2006/relationships/settings" Target="settings.xml" /><Relationship Id="rId30" Type="http://schemas.openxmlformats.org/officeDocument/2006/relationships/header" Target="header7.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_rels/header6.xml.rels><?xml version="1.0" encoding="utf-8" standalone="yes"?><Relationships xmlns="http://schemas.openxmlformats.org/package/2006/relationships"><Relationship Id="rId1" Type="http://schemas.openxmlformats.org/officeDocument/2006/relationships/image" Target="media/image4.jpeg" /></Relationships>
</file>

<file path=word/_rels/header7.xml.rels><?xml version="1.0" encoding="utf-8" standalone="yes"?><Relationships xmlns="http://schemas.openxmlformats.org/package/2006/relationships"><Relationship Id="rId1" Type="http://schemas.openxmlformats.org/officeDocument/2006/relationships/image" Target="media/image4.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76B4F7-57C3-4E77-900A-C73689D7D82F}"/>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elements/1.1/"/>
    <ds:schemaRef ds:uri="http://purl.org/dc/term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41</TotalTime>
  <Pages>12</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שושנה שחר שחר</cp:lastModifiedBy>
  <cp:revision>12</cp:revision>
  <cp:lastPrinted>2024-07-17T21:14:00Z</cp:lastPrinted>
  <dcterms:created xsi:type="dcterms:W3CDTF">2024-07-14T11:06:00Z</dcterms:created>
  <dcterms:modified xsi:type="dcterms:W3CDTF">2024-07-17T21:15:00Z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