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1.xml" ContentType="application/xml"/>
  <Override PartName="/customXml/item2.xml" ContentType="application/xml"/>
  <Override PartName="/customXml/item3.xml" ContentType="application/xml"/>
  <Override PartName="/customXml/item4.xml" ContentType="application/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8.0 -->
  <w:background w:color="ffffff">
    <v:background id="_x0000_s1025" filled="t"/>
  </w:background>
  <w:body>
    <w:p w:rsidR="008B2E28" w:rsidP="001F3363" w14:paraId="77BCECBB" w14:textId="766BD6B1">
      <w:pPr>
        <w:rPr>
          <w:rtl/>
        </w:rPr>
      </w:pPr>
      <w:r>
        <w:rPr>
          <w:noProof/>
        </w:rPr>
        <mc:AlternateContent>
          <mc:Choice Requires="wps">
            <w:drawing>
              <wp:anchor distT="0" distB="0" distL="114300" distR="114300" simplePos="0" relativeHeight="251672576" behindDoc="1" locked="0" layoutInCell="1" allowOverlap="1">
                <wp:simplePos x="0" y="0"/>
                <wp:positionH relativeFrom="column">
                  <wp:posOffset>-589915</wp:posOffset>
                </wp:positionH>
                <wp:positionV relativeFrom="paragraph">
                  <wp:posOffset>-243673</wp:posOffset>
                </wp:positionV>
                <wp:extent cx="6721475" cy="0"/>
                <wp:effectExtent l="0" t="0" r="9525" b="1270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42880" from="-46.45pt,-19.2pt" to="482.8pt,-19.2pt" strokecolor="white"/>
            </w:pict>
          </mc:Fallback>
        </mc:AlternateContent>
      </w:r>
      <w:r w:rsidR="003C32FE">
        <w:rPr>
          <w:noProof/>
          <w:szCs w:val="18"/>
        </w:rPr>
        <mc:AlternateContent>
          <mc:Choice Requires="wps">
            <w:drawing>
              <wp:anchor distT="0" distB="0" distL="114300" distR="114300" simplePos="0" relativeHeight="251661312" behindDoc="0" locked="0" layoutInCell="1" allowOverlap="1">
                <wp:simplePos x="0" y="0"/>
                <wp:positionH relativeFrom="column">
                  <wp:posOffset>-15163846</wp:posOffset>
                </wp:positionH>
                <wp:positionV relativeFrom="paragraph">
                  <wp:posOffset>-5918996</wp:posOffset>
                </wp:positionV>
                <wp:extent cx="20269200" cy="15478699"/>
                <wp:effectExtent l="0" t="0" r="12700" b="15875"/>
                <wp:wrapNone/>
                <wp:docPr id="11" name="Rectangle 1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style="width:0.75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2336" fillcolor="#00305f" strokecolor="#00305f" strokeweight="1.25pt"/>
            </w:pict>
          </mc:Fallback>
        </mc:AlternateContent>
      </w:r>
      <w:r w:rsidR="003C32FE">
        <w:rPr>
          <w:rFonts w:hint="cs"/>
          <w:noProof/>
          <w:rtl/>
          <w:lang w:val="he-IL"/>
        </w:rPr>
        <w:drawing>
          <wp:anchor distT="0" distB="0" distL="114300" distR="114300" simplePos="0" relativeHeight="251665408"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rsidR="008B694B" w:rsidP="005169B9" w14:paraId="25D2BB18" w14:textId="1BED57DD">
      <w:pPr>
        <w:rPr>
          <w:rtl/>
        </w:rPr>
      </w:pPr>
      <w:bookmarkStart w:id="0" w:name="_Hlk63775048"/>
      <w:bookmarkEnd w:id="0"/>
    </w:p>
    <w:p w:rsidR="008B2E28" w:rsidP="008D2388" w14:paraId="2060569F" w14:textId="69D9038A">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9264"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60288" from="564.25pt,22.15pt" to="564.25pt,198.2pt" strokecolor="white" strokeweight="3.5pt"/>
            </w:pict>
          </mc:Fallback>
        </mc:AlternateContent>
      </w:r>
    </w:p>
    <w:p w:rsidR="008B2E28" w:rsidP="008D2388" w14:paraId="2AE7CF81" w14:textId="77777777">
      <w:pPr>
        <w:spacing w:line="240" w:lineRule="atLeast"/>
        <w:jc w:val="center"/>
        <w:rPr>
          <w:rFonts w:ascii="Tahoma" w:hAnsi="Tahoma" w:cs="Tahoma"/>
          <w:sz w:val="22"/>
          <w:szCs w:val="22"/>
          <w:rtl/>
        </w:rPr>
      </w:pPr>
    </w:p>
    <w:p w:rsidR="008B2E28" w:rsidP="008D2388" w14:paraId="1A10551E" w14:textId="2C322BF1">
      <w:pPr>
        <w:spacing w:line="240" w:lineRule="atLeast"/>
        <w:jc w:val="center"/>
        <w:rPr>
          <w:rFonts w:ascii="Tahoma" w:hAnsi="Tahoma" w:cs="Tahoma"/>
          <w:sz w:val="22"/>
          <w:szCs w:val="22"/>
          <w:rtl/>
        </w:rPr>
      </w:pPr>
    </w:p>
    <w:p w:rsidR="003C32FE" w:rsidRPr="00170230" w:rsidP="003C32FE" w14:paraId="7F9E1DC9" w14:textId="3572D167">
      <w:pPr>
        <w:spacing w:line="240" w:lineRule="atLeast"/>
        <w:jc w:val="center"/>
        <w:rPr>
          <w:rFonts w:ascii="Tahoma" w:hAnsi="Tahoma" w:cs="Tahoma"/>
          <w:szCs w:val="18"/>
          <w:rtl/>
        </w:rPr>
      </w:pPr>
    </w:p>
    <w:p w:rsidR="003C32FE" w:rsidP="003C32FE" w14:paraId="6FE9A991" w14:textId="673EA834">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109220</wp:posOffset>
                </wp:positionH>
                <wp:positionV relativeFrom="paragraph">
                  <wp:posOffset>1845946</wp:posOffset>
                </wp:positionV>
                <wp:extent cx="2824480" cy="0"/>
                <wp:effectExtent l="0" t="0" r="0" b="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282448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9" style="flip:x;mso-height-percent:0;mso-height-relative:margin;mso-width-percent:0;mso-width-relative:margin;mso-wrap-distance-bottom:0;mso-wrap-distance-left:9pt;mso-wrap-distance-right:9pt;mso-wrap-distance-top:0;mso-wrap-style:square;position:absolute;visibility:visible;z-index:251669504" from="8.6pt,145.35pt" to="231pt,145.35pt" strokecolor="white" strokeweight="1.5pt"/>
            </w:pict>
          </mc:Fallback>
        </mc:AlternateContent>
      </w:r>
      <w:r w:rsidRPr="0030415A" w:rsidR="004C7396">
        <w:rPr>
          <w:rFonts w:ascii="Tahoma" w:hAnsi="Tahoma" w:cs="Tahoma"/>
          <w:noProof/>
          <w:sz w:val="22"/>
          <w:szCs w:val="22"/>
          <w:rtl/>
        </w:rPr>
        <mc:AlternateContent>
          <mc:Choice Requires="wps">
            <w:drawing>
              <wp:anchor distT="45720" distB="45720" distL="114300" distR="114300" simplePos="0" relativeHeight="251663360" behindDoc="0" locked="0" layoutInCell="1" allowOverlap="1">
                <wp:simplePos x="0" y="0"/>
                <wp:positionH relativeFrom="column">
                  <wp:posOffset>-200025</wp:posOffset>
                </wp:positionH>
                <wp:positionV relativeFrom="paragraph">
                  <wp:posOffset>332105</wp:posOffset>
                </wp:positionV>
                <wp:extent cx="4662170" cy="4273550"/>
                <wp:effectExtent l="0" t="0" r="5080" b="0"/>
                <wp:wrapSquare wrapText="bothSides"/>
                <wp:docPr id="13"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62170" cy="4273550"/>
                        </a:xfrm>
                        <a:prstGeom prst="rect">
                          <a:avLst/>
                        </a:prstGeom>
                        <a:solidFill>
                          <a:srgbClr val="00305F"/>
                        </a:solidFill>
                        <a:ln w="9525">
                          <a:noFill/>
                          <a:miter lim="800000"/>
                          <a:headEnd/>
                          <a:tailEnd/>
                        </a:ln>
                      </wps:spPr>
                      <wps:txbx>
                        <w:txbxContent>
                          <w:p w:rsidR="00F73EE0" w:rsidP="0052031E" w14:textId="77777777">
                            <w:pPr>
                              <w:ind w:left="2268"/>
                              <w:rPr>
                                <w:rFonts w:ascii="Tahoma" w:hAnsi="Tahoma" w:cs="Tahoma"/>
                                <w:sz w:val="18"/>
                                <w:szCs w:val="18"/>
                                <w:rtl/>
                              </w:rPr>
                            </w:pPr>
                          </w:p>
                          <w:p w:rsidR="00F73EE0" w:rsidP="0052031E" w14:textId="77777777">
                            <w:pPr>
                              <w:ind w:left="2268"/>
                              <w:rPr>
                                <w:rFonts w:ascii="Tahoma" w:hAnsi="Tahoma" w:cs="Tahoma"/>
                                <w:sz w:val="18"/>
                                <w:szCs w:val="18"/>
                                <w:rtl/>
                              </w:rPr>
                            </w:pPr>
                          </w:p>
                          <w:p w:rsidR="001370CF" w:rsidRPr="0052031E" w:rsidP="001370CF" w14:textId="3E0DD516">
                            <w:pPr>
                              <w:pStyle w:val="a26"/>
                              <w:bidi/>
                              <w:rPr>
                                <w:rtl/>
                              </w:rPr>
                            </w:pPr>
                            <w:r>
                              <w:rPr>
                                <w:rFonts w:hint="cs"/>
                                <w:rtl/>
                              </w:rPr>
                              <w:t xml:space="preserve">דוח </w:t>
                            </w:r>
                            <w:r w:rsidR="00D41FED">
                              <w:rPr>
                                <w:rFonts w:hint="cs"/>
                                <w:rtl/>
                              </w:rPr>
                              <w:t xml:space="preserve">מבקר המדינה | </w:t>
                            </w:r>
                            <w:r>
                              <w:rPr>
                                <w:rFonts w:hint="cs"/>
                                <w:rtl/>
                              </w:rPr>
                              <w:t xml:space="preserve">תמוז </w:t>
                            </w:r>
                            <w:r>
                              <w:rPr>
                                <w:rFonts w:hint="cs"/>
                                <w:rtl/>
                              </w:rPr>
                              <w:t>התשפ"ד</w:t>
                            </w:r>
                            <w:r w:rsidR="004C7396">
                              <w:rPr>
                                <w:rFonts w:hint="cs"/>
                                <w:rtl/>
                              </w:rPr>
                              <w:t xml:space="preserve"> </w:t>
                            </w:r>
                            <w:r w:rsidRPr="0052031E">
                              <w:rPr>
                                <w:rtl/>
                              </w:rPr>
                              <w:t>|</w:t>
                            </w:r>
                            <w:r>
                              <w:rPr>
                                <w:rFonts w:hint="cs"/>
                                <w:rtl/>
                              </w:rPr>
                              <w:t xml:space="preserve"> </w:t>
                            </w:r>
                            <w:r>
                              <w:rPr>
                                <w:rFonts w:hint="cs"/>
                                <w:rtl/>
                              </w:rPr>
                              <w:t>יולי 2024</w:t>
                            </w:r>
                          </w:p>
                          <w:p w:rsidR="008A71D4" w:rsidRPr="0052031E" w:rsidP="008A71D4" w14:textId="0C20DA9A">
                            <w:pPr>
                              <w:pStyle w:val="a26"/>
                              <w:bidi/>
                              <w:rPr>
                                <w:rtl/>
                              </w:rPr>
                            </w:pPr>
                          </w:p>
                          <w:p w:rsidR="00F73EE0" w:rsidP="0052031E" w14:textId="77777777">
                            <w:pPr>
                              <w:ind w:left="2268"/>
                              <w:rPr>
                                <w:rtl/>
                              </w:rPr>
                            </w:pPr>
                          </w:p>
                          <w:p w:rsidR="005D0F8C" w:rsidRPr="000A3ED4" w:rsidP="000F5023" w14:textId="14BD607D">
                            <w:pPr>
                              <w:pStyle w:val="-1"/>
                              <w:rPr>
                                <w:rtl/>
                              </w:rPr>
                            </w:pPr>
                            <w:r w:rsidRPr="009014C8">
                              <w:rPr>
                                <w:rtl/>
                              </w:rPr>
                              <w:t xml:space="preserve">משרד </w:t>
                            </w:r>
                            <w:r w:rsidR="001C0B1B">
                              <w:rPr>
                                <w:rFonts w:hint="cs"/>
                                <w:rtl/>
                              </w:rPr>
                              <w:t>הבריאות</w:t>
                            </w:r>
                          </w:p>
                          <w:p w:rsidR="00F73EE0" w:rsidRPr="000F5023" w:rsidP="0072357A" w14:textId="56B545BA">
                            <w:pPr>
                              <w:pStyle w:val="a25"/>
                              <w:bidi/>
                              <w:spacing w:before="120"/>
                              <w:rPr>
                                <w:rtl/>
                              </w:rPr>
                            </w:pPr>
                            <w:r>
                              <w:rPr>
                                <w:rFonts w:hint="cs"/>
                                <w:rtl/>
                              </w:rPr>
                              <w:t xml:space="preserve">הסדרת ההכשרה הקלינית של רופאים בין מערכת הבריאות ובין האקדמיה </w:t>
                            </w:r>
                            <w:r w:rsidR="00226676">
                              <w:rPr>
                                <w:rFonts w:hint="cs"/>
                                <w:rtl/>
                              </w:rPr>
                              <w:t>-</w:t>
                            </w:r>
                            <w:r>
                              <w:rPr>
                                <w:rFonts w:hint="cs"/>
                                <w:rtl/>
                              </w:rPr>
                              <w:t xml:space="preserve">    ביקורת מעקב</w:t>
                            </w:r>
                            <w:r w:rsidRPr="00582DA9">
                              <w:rPr>
                                <w:rtl/>
                              </w:rPr>
                              <w:t xml:space="preserve"> </w:t>
                            </w:r>
                            <w:r>
                              <w:rPr>
                                <w:rFonts w:hint="cs"/>
                                <w:rtl/>
                              </w:rPr>
                              <w:t xml:space="preserve"> </w:t>
                            </w:r>
                          </w:p>
                          <w:p w:rsidR="00C30482" w:rsidRPr="000F5023" w:rsidP="000F5023" w14:textId="66C24F23">
                            <w:pPr>
                              <w:pStyle w:val="a25"/>
                              <w:bidi/>
                              <w:rPr>
                                <w:rtl/>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alt="&quot;&quot;" style="width:367.1pt;height:336.5pt;margin-top:26.15pt;margin-left:-15.75pt;mso-height-percent:0;mso-height-relative:margin;mso-width-percent:0;mso-width-relative:margin;mso-wrap-distance-bottom:3.6pt;mso-wrap-distance-left:9pt;mso-wrap-distance-right:9pt;mso-wrap-distance-top:3.6pt;mso-wrap-style:square;position:absolute;visibility:visible;v-text-anchor:top;z-index:251664384" fillcolor="#00305f" stroked="f">
                <v:textbox>
                  <w:txbxContent>
                    <w:p w:rsidR="00F73EE0" w:rsidP="0052031E" w14:paraId="1BD45611" w14:textId="77777777">
                      <w:pPr>
                        <w:ind w:left="2268"/>
                        <w:rPr>
                          <w:rFonts w:ascii="Tahoma" w:hAnsi="Tahoma" w:cs="Tahoma"/>
                          <w:sz w:val="18"/>
                          <w:szCs w:val="18"/>
                          <w:rtl/>
                        </w:rPr>
                      </w:pPr>
                    </w:p>
                    <w:p w:rsidR="00F73EE0" w:rsidP="0052031E" w14:paraId="3BF6855F" w14:textId="77777777">
                      <w:pPr>
                        <w:ind w:left="2268"/>
                        <w:rPr>
                          <w:rFonts w:ascii="Tahoma" w:hAnsi="Tahoma" w:cs="Tahoma"/>
                          <w:sz w:val="18"/>
                          <w:szCs w:val="18"/>
                          <w:rtl/>
                        </w:rPr>
                      </w:pPr>
                    </w:p>
                    <w:p w:rsidR="001370CF" w:rsidRPr="0052031E" w:rsidP="001370CF" w14:paraId="636F0CD3" w14:textId="3E0DD516">
                      <w:pPr>
                        <w:pStyle w:val="a26"/>
                        <w:bidi/>
                        <w:rPr>
                          <w:rtl/>
                        </w:rPr>
                      </w:pPr>
                      <w:r>
                        <w:rPr>
                          <w:rFonts w:hint="cs"/>
                          <w:rtl/>
                        </w:rPr>
                        <w:t xml:space="preserve">דוח </w:t>
                      </w:r>
                      <w:r w:rsidR="00D41FED">
                        <w:rPr>
                          <w:rFonts w:hint="cs"/>
                          <w:rtl/>
                        </w:rPr>
                        <w:t xml:space="preserve">מבקר המדינה | </w:t>
                      </w:r>
                      <w:r>
                        <w:rPr>
                          <w:rFonts w:hint="cs"/>
                          <w:rtl/>
                        </w:rPr>
                        <w:t xml:space="preserve">תמוז </w:t>
                      </w:r>
                      <w:r>
                        <w:rPr>
                          <w:rFonts w:hint="cs"/>
                          <w:rtl/>
                        </w:rPr>
                        <w:t>התשפ"ד</w:t>
                      </w:r>
                      <w:r w:rsidR="004C7396">
                        <w:rPr>
                          <w:rFonts w:hint="cs"/>
                          <w:rtl/>
                        </w:rPr>
                        <w:t xml:space="preserve"> </w:t>
                      </w:r>
                      <w:r w:rsidRPr="0052031E">
                        <w:rPr>
                          <w:rtl/>
                        </w:rPr>
                        <w:t>|</w:t>
                      </w:r>
                      <w:r>
                        <w:rPr>
                          <w:rFonts w:hint="cs"/>
                          <w:rtl/>
                        </w:rPr>
                        <w:t xml:space="preserve"> </w:t>
                      </w:r>
                      <w:r>
                        <w:rPr>
                          <w:rFonts w:hint="cs"/>
                          <w:rtl/>
                        </w:rPr>
                        <w:t>יולי 2024</w:t>
                      </w:r>
                    </w:p>
                    <w:p w:rsidR="008A71D4" w:rsidRPr="0052031E" w:rsidP="008A71D4" w14:paraId="7B675404" w14:textId="0C20DA9A">
                      <w:pPr>
                        <w:pStyle w:val="a26"/>
                        <w:bidi/>
                        <w:rPr>
                          <w:rtl/>
                        </w:rPr>
                      </w:pPr>
                    </w:p>
                    <w:p w:rsidR="00F73EE0" w:rsidP="0052031E" w14:paraId="460F1ABC" w14:textId="77777777">
                      <w:pPr>
                        <w:ind w:left="2268"/>
                        <w:rPr>
                          <w:rtl/>
                        </w:rPr>
                      </w:pPr>
                    </w:p>
                    <w:p w:rsidR="005D0F8C" w:rsidRPr="000A3ED4" w:rsidP="000F5023" w14:paraId="547BD7F9" w14:textId="14BD607D">
                      <w:pPr>
                        <w:pStyle w:val="-1"/>
                        <w:rPr>
                          <w:rtl/>
                        </w:rPr>
                      </w:pPr>
                      <w:r w:rsidRPr="009014C8">
                        <w:rPr>
                          <w:rtl/>
                        </w:rPr>
                        <w:t xml:space="preserve">משרד </w:t>
                      </w:r>
                      <w:r w:rsidR="001C0B1B">
                        <w:rPr>
                          <w:rFonts w:hint="cs"/>
                          <w:rtl/>
                        </w:rPr>
                        <w:t>הבריאות</w:t>
                      </w:r>
                    </w:p>
                    <w:p w:rsidR="00F73EE0" w:rsidRPr="000F5023" w:rsidP="0072357A" w14:paraId="2E194D77" w14:textId="56B545BA">
                      <w:pPr>
                        <w:pStyle w:val="a25"/>
                        <w:bidi/>
                        <w:spacing w:before="120"/>
                        <w:rPr>
                          <w:rtl/>
                        </w:rPr>
                      </w:pPr>
                      <w:r>
                        <w:rPr>
                          <w:rFonts w:hint="cs"/>
                          <w:rtl/>
                        </w:rPr>
                        <w:t xml:space="preserve">הסדרת ההכשרה הקלינית של רופאים בין מערכת הבריאות ובין האקדמיה </w:t>
                      </w:r>
                      <w:r w:rsidR="00226676">
                        <w:rPr>
                          <w:rFonts w:hint="cs"/>
                          <w:rtl/>
                        </w:rPr>
                        <w:t>-</w:t>
                      </w:r>
                      <w:r>
                        <w:rPr>
                          <w:rFonts w:hint="cs"/>
                          <w:rtl/>
                        </w:rPr>
                        <w:t xml:space="preserve">    ביקורת מעקב</w:t>
                      </w:r>
                      <w:r w:rsidRPr="00582DA9">
                        <w:rPr>
                          <w:rtl/>
                        </w:rPr>
                        <w:t xml:space="preserve"> </w:t>
                      </w:r>
                      <w:r>
                        <w:rPr>
                          <w:rFonts w:hint="cs"/>
                          <w:rtl/>
                        </w:rPr>
                        <w:t xml:space="preserve"> </w:t>
                      </w:r>
                    </w:p>
                    <w:p w:rsidR="00C30482" w:rsidRPr="000F5023" w:rsidP="000F5023" w14:paraId="1BBD9830" w14:textId="66C24F23">
                      <w:pPr>
                        <w:pStyle w:val="a25"/>
                        <w:bidi/>
                        <w:rPr>
                          <w:rtl/>
                        </w:rPr>
                      </w:pPr>
                    </w:p>
                  </w:txbxContent>
                </v:textbox>
                <w10:wrap type="square"/>
              </v:shape>
            </w:pict>
          </mc:Fallback>
        </mc:AlternateContent>
      </w:r>
      <w:r w:rsidR="006A0663">
        <w:rPr>
          <w:noProof/>
        </w:rPr>
        <w:drawing>
          <wp:anchor distT="0" distB="0" distL="114300" distR="114300" simplePos="0" relativeHeight="251741184" behindDoc="0" locked="0" layoutInCell="1" allowOverlap="1">
            <wp:simplePos x="0" y="0"/>
            <wp:positionH relativeFrom="column">
              <wp:posOffset>3274060</wp:posOffset>
            </wp:positionH>
            <wp:positionV relativeFrom="paragraph">
              <wp:posOffset>517856</wp:posOffset>
            </wp:positionV>
            <wp:extent cx="948055" cy="617855"/>
            <wp:effectExtent l="0" t="0" r="4445" b="0"/>
            <wp:wrapSquare wrapText="bothSides"/>
            <wp:docPr id="29" name="Picture 29"/>
            <wp:cNvGraphicFramePr/>
            <a:graphic xmlns:a="http://schemas.openxmlformats.org/drawingml/2006/main">
              <a:graphicData uri="http://schemas.openxmlformats.org/drawingml/2006/picture">
                <pic:pic xmlns:pic="http://schemas.openxmlformats.org/drawingml/2006/picture">
                  <pic:nvPicPr>
                    <pic:cNvPr id="29" name="Picture 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948055" cy="617855"/>
                    </a:xfrm>
                    <a:prstGeom prst="rect">
                      <a:avLst/>
                    </a:prstGeom>
                  </pic:spPr>
                </pic:pic>
              </a:graphicData>
            </a:graphic>
            <wp14:sizeRelH relativeFrom="margin">
              <wp14:pctWidth>0</wp14:pctWidth>
            </wp14:sizeRelH>
            <wp14:sizeRelV relativeFrom="margin">
              <wp14:pctHeight>0</wp14:pctHeight>
            </wp14:sizeRelV>
          </wp:anchor>
        </w:drawing>
      </w:r>
      <w:r w:rsidR="00D41FED">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3069921</wp:posOffset>
                </wp:positionH>
                <wp:positionV relativeFrom="paragraph">
                  <wp:posOffset>258445</wp:posOffset>
                </wp:positionV>
                <wp:extent cx="0" cy="3943350"/>
                <wp:effectExtent l="19050" t="0" r="38100" b="38100"/>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394335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31" style="mso-height-percent:0;mso-height-relative:margin;mso-width-percent:0;mso-width-relative:margin;mso-wrap-distance-bottom:0;mso-wrap-distance-left:9pt;mso-wrap-distance-right:9pt;mso-wrap-distance-top:0;mso-wrap-style:square;position:absolute;visibility:visible;z-index:251667456" from="241.75pt,20.35pt" to="241.75pt,330.85pt" strokecolor="white" strokeweight="4pt"/>
            </w:pict>
          </mc:Fallback>
        </mc:AlternateContent>
      </w:r>
    </w:p>
    <w:p w:rsidR="003C32FE" w:rsidP="003C32FE" w14:paraId="721B2220" w14:textId="77777777">
      <w:pPr>
        <w:spacing w:line="240" w:lineRule="atLeast"/>
        <w:jc w:val="center"/>
        <w:rPr>
          <w:rFonts w:ascii="Tahoma" w:hAnsi="Tahoma" w:cs="Tahoma"/>
          <w:sz w:val="22"/>
          <w:szCs w:val="22"/>
          <w:rtl/>
        </w:rPr>
      </w:pPr>
    </w:p>
    <w:p w:rsidR="00E35DF9" w:rsidRPr="00406E80" w:rsidP="008D2388" w14:paraId="15F9089C" w14:textId="77777777">
      <w:pPr>
        <w:spacing w:line="240" w:lineRule="atLeast"/>
        <w:jc w:val="center"/>
        <w:rPr>
          <w:rFonts w:ascii="Tahoma" w:hAnsi="Tahoma" w:cs="Tahoma"/>
          <w:color w:val="C6D9F1"/>
          <w:sz w:val="22"/>
          <w:szCs w:val="22"/>
          <w:rtl/>
        </w:rPr>
      </w:pPr>
    </w:p>
    <w:p w:rsidR="008C0B8B" w:rsidP="008D2388" w14:paraId="0DCBFA34" w14:textId="77777777">
      <w:pPr>
        <w:spacing w:line="240" w:lineRule="atLeast"/>
        <w:jc w:val="center"/>
        <w:rPr>
          <w:rFonts w:ascii="Tahoma" w:hAnsi="Tahoma" w:cs="Tahoma"/>
          <w:sz w:val="22"/>
          <w:szCs w:val="22"/>
          <w:rtl/>
        </w:rPr>
      </w:pPr>
    </w:p>
    <w:p w:rsidR="008C0B8B" w:rsidP="008D2388" w14:paraId="654A52D6" w14:textId="77777777">
      <w:pPr>
        <w:spacing w:line="240" w:lineRule="atLeast"/>
        <w:jc w:val="center"/>
        <w:rPr>
          <w:rFonts w:ascii="Tahoma" w:hAnsi="Tahoma" w:cs="Tahoma"/>
          <w:sz w:val="22"/>
          <w:szCs w:val="22"/>
          <w:rtl/>
        </w:rPr>
      </w:pPr>
    </w:p>
    <w:p w:rsidR="00E35DF9" w:rsidP="008D2388" w14:paraId="6F58D38D" w14:textId="77777777">
      <w:pPr>
        <w:spacing w:line="240" w:lineRule="atLeast"/>
        <w:jc w:val="center"/>
        <w:rPr>
          <w:rFonts w:ascii="Tahoma" w:hAnsi="Tahoma" w:cs="Tahoma"/>
          <w:sz w:val="22"/>
          <w:szCs w:val="22"/>
          <w:rtl/>
        </w:rPr>
      </w:pPr>
    </w:p>
    <w:p w:rsidR="00035688" w:rsidP="008D2388" w14:paraId="3DB8B312" w14:textId="77777777">
      <w:pPr>
        <w:spacing w:line="240" w:lineRule="atLeast"/>
        <w:jc w:val="center"/>
        <w:rPr>
          <w:rFonts w:ascii="Tahoma" w:hAnsi="Tahoma" w:cs="Tahoma"/>
          <w:sz w:val="22"/>
          <w:szCs w:val="22"/>
          <w:rtl/>
        </w:rPr>
        <w:sectPr w:rsidSect="002970CC">
          <w:headerReference w:type="even" r:id="rId12"/>
          <w:headerReference w:type="default" r:id="rId13"/>
          <w:footerReference w:type="default" r:id="rId14"/>
          <w:pgSz w:w="11906" w:h="16838" w:code="9"/>
          <w:pgMar w:top="3062" w:right="2268" w:bottom="2552" w:left="2268" w:header="1134" w:footer="1361" w:gutter="0"/>
          <w:cols w:space="720"/>
          <w:titlePg/>
          <w:bidi/>
          <w:rtlGutter/>
          <w:docGrid w:linePitch="272"/>
        </w:sectPr>
      </w:pPr>
    </w:p>
    <w:p w:rsidR="00BF5BF6" w:rsidP="000E64A1" w14:paraId="71BA9446" w14:textId="77777777">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0528" behindDoc="0" locked="0" layoutInCell="1" allowOverlap="1">
                <wp:simplePos x="0" y="0"/>
                <wp:positionH relativeFrom="column">
                  <wp:posOffset>-1604010</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2" style="width:598.55pt;height:121.5pt;margin-top:-93.1pt;margin-left:-126.3pt;flip:y;mso-height-percent:0;mso-height-relative:margin;mso-width-percent:0;mso-width-relative:margin;mso-wrap-distance-bottom:0;mso-wrap-distance-left:9pt;mso-wrap-distance-right:9pt;mso-wrap-distance-top:0;mso-wrap-style:square;position:absolute;visibility:visible;v-text-anchor:middle;z-index:251671552" fillcolor="white" stroked="f" strokeweight="1.25pt"/>
            </w:pict>
          </mc:Fallback>
        </mc:AlternateContent>
      </w:r>
    </w:p>
    <w:p w:rsidR="000E64A1" w:rsidP="000E64A1" w14:paraId="1DD7405C" w14:textId="77777777">
      <w:pPr>
        <w:jc w:val="left"/>
        <w:rPr>
          <w:rFonts w:ascii="Tahoma" w:hAnsi="Tahoma" w:cs="Tahoma"/>
          <w:sz w:val="22"/>
          <w:szCs w:val="22"/>
          <w:rtl/>
        </w:rPr>
        <w:sectPr w:rsidSect="00DA022A">
          <w:headerReference w:type="even" r:id="rId15"/>
          <w:pgSz w:w="11906" w:h="16838" w:code="9"/>
          <w:pgMar w:top="3062" w:right="2268" w:bottom="2552" w:left="2268" w:header="709" w:footer="709" w:gutter="0"/>
          <w:pgNumType w:start="2"/>
          <w:cols w:space="720"/>
          <w:bidi/>
          <w:rtlGutter/>
          <w:docGrid w:linePitch="272"/>
        </w:sectPr>
      </w:pPr>
    </w:p>
    <w:p w:rsidR="00B93C72" w:rsidP="00AF3B73" w14:paraId="65CCD7DF" w14:textId="5702767E">
      <w:pPr>
        <w:pStyle w:val="752"/>
        <w:spacing w:after="1080"/>
        <w:rPr>
          <w:rtl/>
        </w:rPr>
      </w:pPr>
      <w:bookmarkStart w:id="1" w:name="_Hlk154557781"/>
      <w:r w:rsidRPr="00A513AD">
        <w:rPr>
          <w:noProof/>
          <w:rtl/>
        </w:rPr>
        <w:t>הסדרת ההכשרה הקלינית של רופאים בין</w:t>
      </w:r>
      <w:bookmarkEnd w:id="1"/>
      <w:r w:rsidRPr="00A513AD">
        <w:rPr>
          <w:noProof/>
          <w:rtl/>
        </w:rPr>
        <w:t xml:space="preserve"> מערכת הבריאות ובין האקדמיה - </w:t>
      </w:r>
      <w:r>
        <w:rPr>
          <w:rFonts w:hint="cs"/>
          <w:noProof/>
          <w:rtl/>
        </w:rPr>
        <w:t xml:space="preserve">           </w:t>
      </w:r>
      <w:r w:rsidRPr="00802F2E" w:rsidR="00235CF1">
        <w:rPr>
          <w:noProof/>
          <w:rtl/>
        </w:rPr>
        <w:drawing>
          <wp:anchor distT="0" distB="0" distL="114300" distR="114300" simplePos="0" relativeHeight="251679744" behindDoc="0" locked="0" layoutInCell="1" allowOverlap="1">
            <wp:simplePos x="0" y="0"/>
            <wp:positionH relativeFrom="column">
              <wp:posOffset>3332480</wp:posOffset>
            </wp:positionH>
            <wp:positionV relativeFrom="paragraph">
              <wp:posOffset>1304681</wp:posOffset>
            </wp:positionV>
            <wp:extent cx="1386840" cy="421640"/>
            <wp:effectExtent l="0" t="0" r="0" b="0"/>
            <wp:wrapTopAndBottom/>
            <wp:docPr id="12" name="Picture 12" descr="רק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רקע"/>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Pr>
          <w:rFonts w:hint="cs"/>
          <w:noProof/>
          <w:rtl/>
        </w:rPr>
        <w:t>ביקורת מעקב</w:t>
      </w:r>
      <w:r w:rsidRPr="00582DA9" w:rsidR="00582DA9">
        <w:rPr>
          <w:noProof/>
          <w:rtl/>
        </w:rPr>
        <w:t xml:space="preserve"> </w:t>
      </w:r>
    </w:p>
    <w:p w:rsidR="007F4A1C" w:rsidRPr="00DA2BB3" w:rsidP="007F4A1C" w14:paraId="237CCCAB" w14:textId="77777777">
      <w:pPr>
        <w:pStyle w:val="759"/>
        <w:rPr>
          <w:rtl/>
        </w:rPr>
      </w:pPr>
      <w:r w:rsidRPr="00DA2BB3">
        <w:rPr>
          <w:rtl/>
        </w:rPr>
        <w:t xml:space="preserve">בשנת </w:t>
      </w:r>
      <w:r w:rsidRPr="00DA2BB3">
        <w:rPr>
          <w:rFonts w:hint="cs"/>
          <w:rtl/>
        </w:rPr>
        <w:t>2020</w:t>
      </w:r>
      <w:r w:rsidRPr="00DA2BB3">
        <w:rPr>
          <w:rtl/>
        </w:rPr>
        <w:t xml:space="preserve"> היה שיעור הרופאים בישראל 3.3 רופאים </w:t>
      </w:r>
      <w:r w:rsidRPr="00DA2BB3">
        <w:rPr>
          <w:rFonts w:hint="cs"/>
          <w:rtl/>
        </w:rPr>
        <w:t>ל-1,000</w:t>
      </w:r>
      <w:r w:rsidRPr="00DA2BB3">
        <w:rPr>
          <w:rtl/>
        </w:rPr>
        <w:t xml:space="preserve"> נפש</w:t>
      </w:r>
      <w:r w:rsidRPr="00DA2BB3">
        <w:rPr>
          <w:rFonts w:hint="cs"/>
          <w:rtl/>
        </w:rPr>
        <w:t>,</w:t>
      </w:r>
      <w:r w:rsidRPr="00DA2BB3">
        <w:rPr>
          <w:rtl/>
        </w:rPr>
        <w:t xml:space="preserve"> שיעור </w:t>
      </w:r>
      <w:r w:rsidRPr="00DA2BB3">
        <w:rPr>
          <w:rFonts w:hint="cs"/>
          <w:rtl/>
        </w:rPr>
        <w:t>קטן</w:t>
      </w:r>
      <w:r w:rsidRPr="00DA2BB3">
        <w:rPr>
          <w:rtl/>
        </w:rPr>
        <w:t xml:space="preserve"> מעט </w:t>
      </w:r>
      <w:r w:rsidRPr="00DA2BB3">
        <w:rPr>
          <w:rFonts w:hint="cs"/>
          <w:rtl/>
        </w:rPr>
        <w:t>מ</w:t>
      </w:r>
      <w:r w:rsidRPr="00DA2BB3">
        <w:rPr>
          <w:rtl/>
        </w:rPr>
        <w:t>ממוצע ה-</w:t>
      </w:r>
      <w:r w:rsidRPr="00DA2BB3">
        <w:t>OECD</w:t>
      </w:r>
      <w:r w:rsidRPr="00DA2BB3">
        <w:rPr>
          <w:rFonts w:hint="cs"/>
          <w:rtl/>
        </w:rPr>
        <w:t>,</w:t>
      </w:r>
      <w:r w:rsidRPr="00DA2BB3">
        <w:rPr>
          <w:rtl/>
        </w:rPr>
        <w:t xml:space="preserve"> שהיה </w:t>
      </w:r>
      <w:r w:rsidRPr="00DA2BB3">
        <w:rPr>
          <w:rFonts w:hint="cs"/>
          <w:rtl/>
        </w:rPr>
        <w:t>3.7</w:t>
      </w:r>
      <w:r w:rsidRPr="00DA2BB3">
        <w:rPr>
          <w:rtl/>
        </w:rPr>
        <w:t xml:space="preserve"> רופאים ל</w:t>
      </w:r>
      <w:r w:rsidRPr="00DA2BB3">
        <w:rPr>
          <w:rFonts w:hint="cs"/>
          <w:rtl/>
        </w:rPr>
        <w:t>-1,000</w:t>
      </w:r>
      <w:r w:rsidRPr="00DA2BB3">
        <w:rPr>
          <w:rtl/>
        </w:rPr>
        <w:t xml:space="preserve"> נפש</w:t>
      </w:r>
      <w:r>
        <w:rPr>
          <w:vertAlign w:val="superscript"/>
          <w:rtl/>
        </w:rPr>
        <w:footnoteReference w:id="2"/>
      </w:r>
      <w:r w:rsidRPr="00DA2BB3">
        <w:rPr>
          <w:rtl/>
        </w:rPr>
        <w:t>.</w:t>
      </w:r>
      <w:r w:rsidRPr="00DA2BB3">
        <w:rPr>
          <w:rFonts w:hint="cs"/>
          <w:rtl/>
        </w:rPr>
        <w:t xml:space="preserve"> </w:t>
      </w:r>
      <w:r w:rsidRPr="00DA2BB3">
        <w:rPr>
          <w:rtl/>
        </w:rPr>
        <w:t xml:space="preserve">לאורך השנים חלה עלייה במתן הרישיונות החדשים לרופאים שמנפיק </w:t>
      </w:r>
      <w:r w:rsidRPr="007F4A1C">
        <w:rPr>
          <w:rtl/>
        </w:rPr>
        <w:t>משרד</w:t>
      </w:r>
      <w:r w:rsidRPr="00DA2BB3">
        <w:rPr>
          <w:rtl/>
        </w:rPr>
        <w:t xml:space="preserve"> הבריאות, מ-919 רישיונות בשנת 2012 ל-</w:t>
      </w:r>
      <w:r w:rsidRPr="00DA2BB3">
        <w:rPr>
          <w:rFonts w:hint="cs"/>
          <w:rtl/>
        </w:rPr>
        <w:t>2,429</w:t>
      </w:r>
      <w:r w:rsidRPr="00DA2BB3">
        <w:rPr>
          <w:rtl/>
        </w:rPr>
        <w:t xml:space="preserve"> רישיונות בשנת 202</w:t>
      </w:r>
      <w:r w:rsidRPr="00DA2BB3">
        <w:rPr>
          <w:rFonts w:hint="cs"/>
          <w:rtl/>
        </w:rPr>
        <w:t>3</w:t>
      </w:r>
      <w:r w:rsidRPr="00DA2BB3">
        <w:rPr>
          <w:rtl/>
        </w:rPr>
        <w:t xml:space="preserve">. בשנת </w:t>
      </w:r>
      <w:r w:rsidRPr="00DA2BB3">
        <w:rPr>
          <w:rFonts w:hint="cs"/>
          <w:rtl/>
        </w:rPr>
        <w:t>2023</w:t>
      </w:r>
      <w:r w:rsidRPr="00DA2BB3">
        <w:rPr>
          <w:rtl/>
        </w:rPr>
        <w:t xml:space="preserve"> ניתנו </w:t>
      </w:r>
      <w:r w:rsidRPr="00DA2BB3">
        <w:rPr>
          <w:rFonts w:hint="cs"/>
          <w:rtl/>
        </w:rPr>
        <w:t xml:space="preserve">1,211 </w:t>
      </w:r>
      <w:r w:rsidRPr="00DA2BB3">
        <w:rPr>
          <w:rtl/>
        </w:rPr>
        <w:t>מהרישיונות לישראלים בוגרי אוניברסיטאות בחו"ל (</w:t>
      </w:r>
      <w:r w:rsidRPr="00DA2BB3">
        <w:rPr>
          <w:rFonts w:hint="cs"/>
          <w:rtl/>
        </w:rPr>
        <w:t>50</w:t>
      </w:r>
      <w:r w:rsidRPr="00DA2BB3">
        <w:rPr>
          <w:rtl/>
        </w:rPr>
        <w:t xml:space="preserve">%), </w:t>
      </w:r>
      <w:r w:rsidRPr="00DA2BB3">
        <w:rPr>
          <w:rFonts w:hint="cs"/>
          <w:rtl/>
        </w:rPr>
        <w:t>749</w:t>
      </w:r>
      <w:r w:rsidRPr="00DA2BB3">
        <w:rPr>
          <w:rtl/>
        </w:rPr>
        <w:t xml:space="preserve"> לבוגרי אוניברסיטאות בישראל (</w:t>
      </w:r>
      <w:r w:rsidRPr="00DA2BB3">
        <w:rPr>
          <w:rFonts w:hint="cs"/>
          <w:rtl/>
        </w:rPr>
        <w:t>31</w:t>
      </w:r>
      <w:r w:rsidRPr="00DA2BB3">
        <w:rPr>
          <w:rtl/>
        </w:rPr>
        <w:t>%) ו-</w:t>
      </w:r>
      <w:r w:rsidRPr="00DA2BB3">
        <w:rPr>
          <w:rFonts w:hint="cs"/>
          <w:rtl/>
        </w:rPr>
        <w:t xml:space="preserve">469 </w:t>
      </w:r>
      <w:r w:rsidRPr="00DA2BB3">
        <w:rPr>
          <w:rtl/>
        </w:rPr>
        <w:t>לעולים שסיימו לימודיהם בחו"ל (</w:t>
      </w:r>
      <w:r w:rsidRPr="00DA2BB3">
        <w:rPr>
          <w:rFonts w:hint="cs"/>
          <w:rtl/>
        </w:rPr>
        <w:t>19</w:t>
      </w:r>
      <w:r w:rsidRPr="00DA2BB3">
        <w:rPr>
          <w:rtl/>
        </w:rPr>
        <w:t>%)</w:t>
      </w:r>
      <w:r w:rsidRPr="00DA2BB3">
        <w:rPr>
          <w:rFonts w:hint="cs"/>
          <w:rtl/>
        </w:rPr>
        <w:t xml:space="preserve">. </w:t>
      </w:r>
    </w:p>
    <w:p w:rsidR="007F4A1C" w:rsidRPr="00DA2BB3" w:rsidP="007F4A1C" w14:paraId="05C47DD6" w14:textId="77777777">
      <w:pPr>
        <w:pStyle w:val="759"/>
        <w:rPr>
          <w:rtl/>
        </w:rPr>
      </w:pPr>
      <w:r w:rsidRPr="00DA2BB3">
        <w:rPr>
          <w:rtl/>
        </w:rPr>
        <w:t xml:space="preserve">כדי להיות רופא מומחה נדרשים הן לימודים </w:t>
      </w:r>
      <w:r w:rsidRPr="00DA2BB3">
        <w:rPr>
          <w:rFonts w:hint="cs"/>
          <w:rtl/>
        </w:rPr>
        <w:t>ו</w:t>
      </w:r>
      <w:r w:rsidRPr="00DA2BB3">
        <w:rPr>
          <w:rtl/>
        </w:rPr>
        <w:t>הן הכשרה. מדובר ב-9 - 11 שנים לפחות לפי החלוקה הזאת: 4 או 6 שנים של לימודי רפואה</w:t>
      </w:r>
      <w:r w:rsidRPr="00DA2BB3">
        <w:rPr>
          <w:rFonts w:hint="cs"/>
          <w:rtl/>
        </w:rPr>
        <w:t>,</w:t>
      </w:r>
      <w:r w:rsidRPr="00DA2BB3">
        <w:rPr>
          <w:rtl/>
        </w:rPr>
        <w:t xml:space="preserve"> מחציתם לימודים קדם-קליניים באוניברסיטה ומחציתם לימודים קליניים בעיקר בבתי החולים</w:t>
      </w:r>
      <w:r w:rsidRPr="00DA2BB3">
        <w:rPr>
          <w:rFonts w:hint="cs"/>
          <w:rtl/>
        </w:rPr>
        <w:t xml:space="preserve"> בארבע מחלקות </w:t>
      </w:r>
      <w:r w:rsidRPr="00DA2BB3">
        <w:rPr>
          <w:rtl/>
        </w:rPr>
        <w:t>עיקריות: נשים, ילדים, כירורגית ופנימית</w:t>
      </w:r>
      <w:r w:rsidRPr="00DA2BB3">
        <w:rPr>
          <w:rFonts w:hint="cs"/>
          <w:rtl/>
        </w:rPr>
        <w:t>;</w:t>
      </w:r>
      <w:r w:rsidRPr="00DA2BB3">
        <w:rPr>
          <w:rtl/>
        </w:rPr>
        <w:t xml:space="preserve"> שנת </w:t>
      </w:r>
      <w:r w:rsidRPr="00DA2BB3">
        <w:rPr>
          <w:rtl/>
        </w:rPr>
        <w:t>סטז</w:t>
      </w:r>
      <w:r w:rsidRPr="00DA2BB3">
        <w:rPr>
          <w:rtl/>
        </w:rPr>
        <w:t>' (צוֹעֲרוּת) אחת בבתי החולים, שבסופה ניתן לקבל רישיון לעסוק ברפואה</w:t>
      </w:r>
      <w:r>
        <w:rPr>
          <w:vertAlign w:val="superscript"/>
          <w:rtl/>
        </w:rPr>
        <w:footnoteReference w:id="3"/>
      </w:r>
      <w:r w:rsidRPr="00DA2BB3">
        <w:rPr>
          <w:rtl/>
        </w:rPr>
        <w:t>;</w:t>
      </w:r>
      <w:r w:rsidRPr="00DA2BB3">
        <w:rPr>
          <w:rFonts w:hint="cs"/>
          <w:rtl/>
        </w:rPr>
        <w:t xml:space="preserve"> חלק מהרופאים ממשיכים ל-</w:t>
      </w:r>
      <w:r w:rsidRPr="00DA2BB3">
        <w:rPr>
          <w:rtl/>
        </w:rPr>
        <w:t xml:space="preserve">4 - 7 שנים </w:t>
      </w:r>
      <w:r w:rsidRPr="00DA2BB3">
        <w:rPr>
          <w:rFonts w:hint="cs"/>
          <w:rtl/>
        </w:rPr>
        <w:t xml:space="preserve">נוספות </w:t>
      </w:r>
      <w:r w:rsidRPr="00DA2BB3">
        <w:rPr>
          <w:rtl/>
        </w:rPr>
        <w:t>של התמחות שבסופ</w:t>
      </w:r>
      <w:r w:rsidRPr="00DA2BB3">
        <w:rPr>
          <w:rFonts w:hint="cs"/>
          <w:rtl/>
        </w:rPr>
        <w:t>ן</w:t>
      </w:r>
      <w:r w:rsidRPr="00DA2BB3">
        <w:rPr>
          <w:rtl/>
        </w:rPr>
        <w:t xml:space="preserve"> אפשר לקבל תואר רופא </w:t>
      </w:r>
      <w:r w:rsidRPr="00DA2BB3">
        <w:rPr>
          <w:rFonts w:hint="cs"/>
          <w:rtl/>
        </w:rPr>
        <w:t>"</w:t>
      </w:r>
      <w:r w:rsidRPr="00DA2BB3">
        <w:rPr>
          <w:rtl/>
        </w:rPr>
        <w:t>מומחה</w:t>
      </w:r>
      <w:r w:rsidRPr="00DA2BB3">
        <w:rPr>
          <w:rFonts w:hint="cs"/>
          <w:rtl/>
        </w:rPr>
        <w:t>";</w:t>
      </w:r>
      <w:r w:rsidRPr="00DA2BB3">
        <w:rPr>
          <w:rtl/>
        </w:rPr>
        <w:t xml:space="preserve"> כדי להיות </w:t>
      </w:r>
      <w:r w:rsidRPr="00DA2BB3">
        <w:rPr>
          <w:rFonts w:hint="cs"/>
          <w:rtl/>
        </w:rPr>
        <w:t>"</w:t>
      </w:r>
      <w:r w:rsidRPr="00DA2BB3">
        <w:rPr>
          <w:rtl/>
        </w:rPr>
        <w:t>מומחה-על</w:t>
      </w:r>
      <w:r w:rsidRPr="00DA2BB3">
        <w:rPr>
          <w:rFonts w:hint="cs"/>
          <w:rtl/>
        </w:rPr>
        <w:t>"</w:t>
      </w:r>
      <w:r w:rsidRPr="00DA2BB3">
        <w:rPr>
          <w:rtl/>
        </w:rPr>
        <w:t xml:space="preserve"> נדרשות</w:t>
      </w:r>
      <w:r w:rsidRPr="00DA2BB3">
        <w:rPr>
          <w:rFonts w:hint="cs"/>
          <w:rtl/>
        </w:rPr>
        <w:t xml:space="preserve"> עוד</w:t>
      </w:r>
      <w:r w:rsidRPr="00DA2BB3">
        <w:rPr>
          <w:rtl/>
        </w:rPr>
        <w:t xml:space="preserve"> 2 - 4 שנ</w:t>
      </w:r>
      <w:r w:rsidRPr="00DA2BB3">
        <w:rPr>
          <w:rFonts w:hint="cs"/>
          <w:rtl/>
        </w:rPr>
        <w:t>ות הכשרה.</w:t>
      </w:r>
    </w:p>
    <w:p w:rsidR="007F4A1C" w:rsidRPr="00DA2BB3" w:rsidP="007F4A1C" w14:paraId="5E1C39AE" w14:textId="77777777">
      <w:pPr>
        <w:pStyle w:val="759"/>
        <w:rPr>
          <w:rtl/>
        </w:rPr>
      </w:pPr>
      <w:r w:rsidRPr="00DA2BB3">
        <w:rPr>
          <w:rtl/>
        </w:rPr>
        <w:t>שני גופים מרכזיים מעורבים בהסדרת ההכשרה של הרופאים בישראל: האחד - המועצה להשכלה גבוהה (</w:t>
      </w:r>
      <w:r w:rsidRPr="00DA2BB3">
        <w:rPr>
          <w:rtl/>
        </w:rPr>
        <w:t>המל"ג</w:t>
      </w:r>
      <w:r w:rsidRPr="00DA2BB3">
        <w:rPr>
          <w:rtl/>
        </w:rPr>
        <w:t>), שהיא הגוף המאסדר (הרגולטור) של מערכת ההשכלה הגבוהה בישראל והגוף המפקח על האוניברסיטאות ועל אישור תארים</w:t>
      </w:r>
      <w:r w:rsidRPr="00DA2BB3">
        <w:rPr>
          <w:rFonts w:hint="cs"/>
          <w:rtl/>
        </w:rPr>
        <w:t>, והיא כפופה לשר החינוך</w:t>
      </w:r>
      <w:r w:rsidRPr="00DA2BB3">
        <w:rPr>
          <w:rtl/>
        </w:rPr>
        <w:t xml:space="preserve">. </w:t>
      </w:r>
      <w:r w:rsidRPr="00DA2BB3">
        <w:rPr>
          <w:rtl/>
        </w:rPr>
        <w:t>במל"ג</w:t>
      </w:r>
      <w:r w:rsidRPr="00DA2BB3">
        <w:rPr>
          <w:rtl/>
        </w:rPr>
        <w:t xml:space="preserve"> פועלת הוועדה לתכנון ותקצוב (</w:t>
      </w:r>
      <w:r w:rsidRPr="00DA2BB3">
        <w:rPr>
          <w:rtl/>
        </w:rPr>
        <w:t>הוות"ת</w:t>
      </w:r>
      <w:r w:rsidRPr="00DA2BB3">
        <w:rPr>
          <w:rtl/>
        </w:rPr>
        <w:t xml:space="preserve">), שמסדירה ומתקצבת את לימודי הרפואה מתוקף סמכותה </w:t>
      </w:r>
      <w:r w:rsidRPr="00DA2BB3">
        <w:rPr>
          <w:rtl/>
        </w:rPr>
        <w:t>כמאסדרת</w:t>
      </w:r>
      <w:r w:rsidRPr="00DA2BB3">
        <w:rPr>
          <w:rtl/>
        </w:rPr>
        <w:t xml:space="preserve"> של מערכת ההשכלה הגבוהה.</w:t>
      </w:r>
      <w:r w:rsidRPr="00DA2BB3">
        <w:rPr>
          <w:rFonts w:hint="cs"/>
          <w:rtl/>
        </w:rPr>
        <w:t xml:space="preserve"> </w:t>
      </w:r>
      <w:r w:rsidRPr="00DA2BB3">
        <w:rPr>
          <w:rtl/>
        </w:rPr>
        <w:t xml:space="preserve">השני הוא משרד הבריאות - המאסדר של מערכת הבריאות. בכלל זה הוא אחראי לבתי החולים, למרפאות ולמוסדות רפואיים אחרים. המשרד מחזיק בבתי החולים הממשלתיים, מפעיל ומתקצב אותם. המשרד מפקח גם על קופות החולים (הקופות) מתוקף חוק </w:t>
      </w:r>
      <w:r w:rsidRPr="00601CE8">
        <w:rPr>
          <w:rtl/>
        </w:rPr>
        <w:t>ביטוח</w:t>
      </w:r>
      <w:r w:rsidRPr="00DA2BB3">
        <w:rPr>
          <w:rtl/>
        </w:rPr>
        <w:t xml:space="preserve"> בריאות ממלכתי, התשנ"ד-1994. במסגרת אחריותו המשרד מופקד על תכנון כוח האדם בכלל מערכת הבריאות, הוא מנחה את כלל בתי החולים וגם אחראי לרישוי כל מקצועות הבריאות ובהם רופאים, אחים, פיזיותרפיסטים ופסיכולוגים.</w:t>
      </w:r>
    </w:p>
    <w:p w:rsidR="007F4A1C" w:rsidP="007F4A1C" w14:paraId="7BDDB83A" w14:textId="1CBC398C">
      <w:pPr>
        <w:pStyle w:val="759"/>
        <w:rPr>
          <w:rtl/>
        </w:rPr>
      </w:pPr>
      <w:r w:rsidRPr="00DA2BB3">
        <w:rPr>
          <w:rFonts w:hint="cs"/>
          <w:rtl/>
        </w:rPr>
        <w:t>דוח זה הוא דוח מעקב על תיקון ליקויים שעלו בדוח קודם של מבקר המדינה מ</w:t>
      </w:r>
      <w:r w:rsidRPr="00DA2BB3">
        <w:rPr>
          <w:rtl/>
        </w:rPr>
        <w:t>שנת 2018 בנושא "הסדרת ההכשרה הקלינית של רופאים בין מערכת הבריאות ובין האקדמיה" (הדוח הקודם). בשנת 2022, לאחר פרסום הדוח הקודם, הגישו שתי ועדות את מסקנותיהן</w:t>
      </w:r>
      <w:r w:rsidRPr="00DA2BB3">
        <w:rPr>
          <w:rFonts w:hint="cs"/>
          <w:rtl/>
        </w:rPr>
        <w:t>:</w:t>
      </w:r>
      <w:r w:rsidRPr="00DA2BB3">
        <w:rPr>
          <w:rtl/>
        </w:rPr>
        <w:t xml:space="preserve"> הוועדה לתכנון ארוך טווח של כוח אדם רפואי בישראל, שהקים משרד הבריאות וכבר החל לפעול על פי המלצותיה, </w:t>
      </w:r>
      <w:r w:rsidRPr="00DA2BB3">
        <w:rPr>
          <w:rtl/>
        </w:rPr>
        <w:t>והוועדה לבחינת מבנה הלימודים ברפואה ולמיפוי השדות הקליניים</w:t>
      </w:r>
      <w:r>
        <w:rPr>
          <w:vertAlign w:val="superscript"/>
          <w:rtl/>
        </w:rPr>
        <w:footnoteReference w:id="4"/>
      </w:r>
      <w:r w:rsidRPr="00DA2BB3">
        <w:rPr>
          <w:rtl/>
        </w:rPr>
        <w:t xml:space="preserve"> בלימודי הרפואה </w:t>
      </w:r>
      <w:r w:rsidRPr="00DA2BB3">
        <w:rPr>
          <w:rFonts w:hint="cs"/>
          <w:rtl/>
        </w:rPr>
        <w:t>שהקימה</w:t>
      </w:r>
      <w:r w:rsidRPr="00DA2BB3">
        <w:rPr>
          <w:rtl/>
        </w:rPr>
        <w:t xml:space="preserve"> </w:t>
      </w:r>
      <w:r w:rsidRPr="00DA2BB3">
        <w:rPr>
          <w:rtl/>
        </w:rPr>
        <w:t>המל"ג</w:t>
      </w:r>
      <w:r w:rsidRPr="00DA2BB3">
        <w:rPr>
          <w:rtl/>
        </w:rPr>
        <w:t xml:space="preserve"> בשיתוף משרד הבריאות. שתי הוועדות המליצו שעד שנת 2025 יגדל מספר הסטודנטים שיתחילו את לימודי הרפואה </w:t>
      </w:r>
      <w:r w:rsidRPr="00DA2BB3">
        <w:rPr>
          <w:rFonts w:hint="cs"/>
          <w:rtl/>
        </w:rPr>
        <w:t xml:space="preserve">בישראל </w:t>
      </w:r>
      <w:r w:rsidRPr="00DA2BB3">
        <w:rPr>
          <w:rtl/>
        </w:rPr>
        <w:t>ל-1,200 סטודנטים, לעומת 800 שהתחילו ב</w:t>
      </w:r>
      <w:r w:rsidRPr="00DA2BB3">
        <w:rPr>
          <w:rFonts w:hint="cs"/>
          <w:rtl/>
        </w:rPr>
        <w:t>שנת הלימודים (</w:t>
      </w:r>
      <w:r w:rsidRPr="00DA2BB3">
        <w:rPr>
          <w:rtl/>
        </w:rPr>
        <w:t>שנה"ל</w:t>
      </w:r>
      <w:r w:rsidRPr="00DA2BB3">
        <w:rPr>
          <w:rFonts w:hint="cs"/>
          <w:rtl/>
        </w:rPr>
        <w:t>)</w:t>
      </w:r>
      <w:r w:rsidRPr="00DA2BB3">
        <w:rPr>
          <w:rtl/>
        </w:rPr>
        <w:t xml:space="preserve"> </w:t>
      </w:r>
      <w:r w:rsidRPr="00DA2BB3">
        <w:rPr>
          <w:rtl/>
        </w:rPr>
        <w:t>התשפ"א</w:t>
      </w:r>
      <w:r w:rsidRPr="00DA2BB3">
        <w:rPr>
          <w:rtl/>
        </w:rPr>
        <w:t xml:space="preserve"> (אוקטובר 2020 - ספטמבר 2021). במאי 2023 (במהלך הביקורת הנוכחית) הקים משרד</w:t>
      </w:r>
      <w:r w:rsidRPr="00DA2BB3">
        <w:rPr>
          <w:rFonts w:hint="cs"/>
          <w:rtl/>
        </w:rPr>
        <w:t xml:space="preserve"> הבריאות</w:t>
      </w:r>
      <w:r w:rsidRPr="00DA2BB3">
        <w:rPr>
          <w:rtl/>
        </w:rPr>
        <w:t xml:space="preserve"> ועדה נוספת שמטרתה לטפל במצוקת כוח האדם הרפואי במערכת הבריאות, ומינה תחתיה שלוש ועדות משנה.</w:t>
      </w:r>
    </w:p>
    <w:p w:rsidR="008F7C68" w:rsidP="007F4A1C" w14:paraId="7BF86940" w14:textId="44E02742">
      <w:pPr>
        <w:pStyle w:val="759"/>
        <w:rPr>
          <w:rtl/>
        </w:rPr>
      </w:pPr>
    </w:p>
    <w:p w:rsidR="001D1307" w:rsidRPr="00B0202C" w:rsidP="007F4A1C" w14:paraId="449D1F5F" w14:textId="716F057E">
      <w:pPr>
        <w:pStyle w:val="759"/>
        <w:rPr>
          <w:rtl/>
        </w:rPr>
      </w:pPr>
    </w:p>
    <w:p w:rsidR="007F4A20" w:rsidP="00C00585" w14:paraId="0E6CCD42" w14:textId="05A51796">
      <w:pPr>
        <w:pStyle w:val="7392"/>
        <w:rPr>
          <w:rtl/>
        </w:rPr>
      </w:pPr>
      <w:r w:rsidRPr="00F16A67">
        <w:rPr>
          <w:rtl/>
        </w:rPr>
        <w:t xml:space="preserve"> </w:t>
      </w:r>
    </w:p>
    <w:p w:rsidR="00042893" w:rsidP="00C00585" w14:paraId="3F36C8AD" w14:textId="348B547A">
      <w:pPr>
        <w:pStyle w:val="7392"/>
        <w:rPr>
          <w:rtl/>
        </w:rPr>
      </w:pPr>
    </w:p>
    <w:p w:rsidR="00042893" w:rsidP="00C00585" w14:paraId="05F2E01D" w14:textId="725A45BF">
      <w:pPr>
        <w:pStyle w:val="7392"/>
        <w:rPr>
          <w:rtl/>
        </w:rPr>
      </w:pPr>
    </w:p>
    <w:p w:rsidR="00042893" w:rsidP="00C00585" w14:paraId="11B410CD" w14:textId="267DBB0D">
      <w:pPr>
        <w:pStyle w:val="7392"/>
        <w:rPr>
          <w:rtl/>
        </w:rPr>
      </w:pPr>
    </w:p>
    <w:p w:rsidR="008930B4" w:rsidP="00C00585" w14:paraId="40E243E8" w14:textId="2CCA9776">
      <w:pPr>
        <w:pStyle w:val="7392"/>
        <w:rPr>
          <w:rtl/>
        </w:rPr>
      </w:pPr>
    </w:p>
    <w:p w:rsidR="008930B4" w:rsidP="00C00585" w14:paraId="08EF20EB" w14:textId="47EA29D1">
      <w:pPr>
        <w:pStyle w:val="7392"/>
        <w:rPr>
          <w:rtl/>
        </w:rPr>
      </w:pPr>
    </w:p>
    <w:p w:rsidR="008930B4" w:rsidP="00C00585" w14:paraId="2B452C0D" w14:textId="77777777">
      <w:pPr>
        <w:pStyle w:val="7392"/>
        <w:rPr>
          <w:rtl/>
        </w:rPr>
        <w:sectPr w:rsidSect="003E22D5">
          <w:headerReference w:type="even" r:id="rId17"/>
          <w:footerReference w:type="even" r:id="rId18"/>
          <w:pgSz w:w="11906" w:h="16838" w:code="9"/>
          <w:pgMar w:top="3062" w:right="2268" w:bottom="2552" w:left="2268" w:header="1134" w:footer="1361" w:gutter="0"/>
          <w:pgNumType w:start="151"/>
          <w:cols w:space="708"/>
          <w:bidi/>
          <w:rtlGutter/>
          <w:docGrid w:linePitch="360"/>
        </w:sectPr>
      </w:pPr>
    </w:p>
    <w:p w:rsidR="005D0F8C" w:rsidP="007F4A20" w14:paraId="688B4C67" w14:textId="691D2561">
      <w:pPr>
        <w:pStyle w:val="7392"/>
        <w:spacing w:before="360"/>
        <w:rPr>
          <w:b/>
          <w:bCs/>
          <w:color w:val="00305F"/>
          <w:sz w:val="32"/>
          <w:szCs w:val="32"/>
          <w:rtl/>
        </w:rPr>
      </w:pPr>
      <w:r w:rsidRPr="001F3363">
        <w:rPr>
          <w:noProof/>
          <w:rtl/>
        </w:rPr>
        <w:drawing>
          <wp:anchor distT="0" distB="0" distL="114300" distR="114300" simplePos="0" relativeHeight="251674624" behindDoc="0" locked="0" layoutInCell="1" allowOverlap="1">
            <wp:simplePos x="0" y="0"/>
            <wp:positionH relativeFrom="column">
              <wp:posOffset>3298825</wp:posOffset>
            </wp:positionH>
            <wp:positionV relativeFrom="paragraph">
              <wp:posOffset>488</wp:posOffset>
            </wp:positionV>
            <wp:extent cx="1405255" cy="431800"/>
            <wp:effectExtent l="0" t="0" r="4445" b="0"/>
            <wp:wrapSquare wrapText="bothSides"/>
            <wp:docPr id="6" name="Picture 6" descr="נתוני מפת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נתוני מפתח"/>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bidiVisual/>
        <w:tblW w:w="7519" w:type="dxa"/>
        <w:tblInd w:w="-1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1727"/>
        <w:gridCol w:w="519"/>
        <w:gridCol w:w="1425"/>
        <w:gridCol w:w="266"/>
        <w:gridCol w:w="1620"/>
        <w:gridCol w:w="276"/>
        <w:gridCol w:w="1686"/>
      </w:tblGrid>
      <w:tr w14:paraId="7F3F42F8" w14:textId="77777777" w:rsidTr="0032587B">
        <w:tblPrEx>
          <w:tblW w:w="7519" w:type="dxa"/>
          <w:tblInd w:w="-1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Ex>
        <w:trPr>
          <w:trHeight w:val="1134"/>
        </w:trPr>
        <w:tc>
          <w:tcPr>
            <w:tcW w:w="1727" w:type="dxa"/>
            <w:tcBorders>
              <w:bottom w:val="single" w:sz="12" w:space="0" w:color="auto"/>
            </w:tcBorders>
            <w:vAlign w:val="bottom"/>
          </w:tcPr>
          <w:p w:rsidR="00A541A4" w:rsidRPr="00B56334" w:rsidP="00DB23D7" w14:paraId="09775EFE" w14:textId="2AF5646E">
            <w:pPr>
              <w:spacing w:line="240" w:lineRule="auto"/>
              <w:jc w:val="left"/>
              <w:rPr>
                <w:rFonts w:ascii="Tahoma" w:hAnsi="Tahoma" w:cs="Tahoma"/>
                <w:b/>
                <w:bCs/>
                <w:sz w:val="34"/>
                <w:szCs w:val="34"/>
                <w:rtl/>
              </w:rPr>
            </w:pPr>
            <w:r w:rsidRPr="00E512B9">
              <w:rPr>
                <w:rFonts w:ascii="Tahoma" w:hAnsi="Tahoma" w:cs="Tahoma" w:hint="cs"/>
                <w:b/>
                <w:bCs/>
                <w:sz w:val="24"/>
                <w:rtl/>
              </w:rPr>
              <w:t>כ-</w:t>
            </w:r>
            <w:r w:rsidRPr="00E512B9">
              <w:rPr>
                <w:rFonts w:ascii="Tahoma" w:hAnsi="Tahoma" w:cs="Tahoma" w:hint="cs"/>
                <w:b/>
                <w:bCs/>
                <w:spacing w:val="-16"/>
                <w:sz w:val="34"/>
                <w:szCs w:val="34"/>
                <w:rtl/>
              </w:rPr>
              <w:t xml:space="preserve">1,100 </w:t>
            </w:r>
            <w:r w:rsidRPr="00E066B5">
              <w:rPr>
                <w:rFonts w:ascii="Tahoma" w:hAnsi="Tahoma" w:cs="Tahoma" w:hint="cs"/>
                <w:b/>
                <w:bCs/>
                <w:sz w:val="24"/>
                <w:rtl/>
              </w:rPr>
              <w:t>סטודנטים</w:t>
            </w:r>
          </w:p>
        </w:tc>
        <w:tc>
          <w:tcPr>
            <w:tcW w:w="519" w:type="dxa"/>
          </w:tcPr>
          <w:p w:rsidR="0032587B" w:rsidP="0032587B" w14:paraId="17C164D5" w14:textId="77777777">
            <w:pPr>
              <w:spacing w:line="240" w:lineRule="auto"/>
              <w:jc w:val="right"/>
              <w:rPr>
                <w:rFonts w:ascii="Tahoma" w:hAnsi="Tahoma" w:eastAsiaTheme="minorEastAsia" w:cs="Tahoma"/>
                <w:b/>
                <w:bCs/>
                <w:color w:val="0D0D0D" w:themeColor="text1" w:themeTint="F2"/>
                <w:spacing w:val="-4"/>
                <w:w w:val="90"/>
                <w:sz w:val="14"/>
                <w:szCs w:val="14"/>
                <w:rtl/>
              </w:rPr>
            </w:pPr>
          </w:p>
          <w:p w:rsidR="0032587B" w:rsidP="0032587B" w14:paraId="251DA63E" w14:textId="77777777">
            <w:pPr>
              <w:spacing w:line="240" w:lineRule="auto"/>
              <w:jc w:val="right"/>
              <w:rPr>
                <w:rFonts w:ascii="Tahoma" w:hAnsi="Tahoma" w:eastAsiaTheme="minorEastAsia" w:cs="Tahoma"/>
                <w:b/>
                <w:bCs/>
                <w:color w:val="0D0D0D" w:themeColor="text1" w:themeTint="F2"/>
                <w:spacing w:val="-4"/>
                <w:w w:val="90"/>
                <w:sz w:val="14"/>
                <w:szCs w:val="14"/>
                <w:rtl/>
              </w:rPr>
            </w:pPr>
          </w:p>
          <w:p w:rsidR="0032587B" w:rsidP="0032587B" w14:paraId="17A4ACE6" w14:textId="77777777">
            <w:pPr>
              <w:spacing w:line="240" w:lineRule="auto"/>
              <w:jc w:val="right"/>
              <w:rPr>
                <w:rFonts w:ascii="Tahoma" w:hAnsi="Tahoma" w:eastAsiaTheme="minorEastAsia" w:cs="Tahoma"/>
                <w:b/>
                <w:bCs/>
                <w:color w:val="0D0D0D" w:themeColor="text1" w:themeTint="F2"/>
                <w:spacing w:val="-4"/>
                <w:w w:val="90"/>
                <w:sz w:val="14"/>
                <w:szCs w:val="14"/>
                <w:rtl/>
              </w:rPr>
            </w:pPr>
          </w:p>
          <w:p w:rsidR="0032587B" w:rsidP="0032587B" w14:paraId="74D398D0" w14:textId="77777777">
            <w:pPr>
              <w:spacing w:line="240" w:lineRule="auto"/>
              <w:jc w:val="right"/>
              <w:rPr>
                <w:rFonts w:ascii="Tahoma" w:hAnsi="Tahoma" w:eastAsiaTheme="minorEastAsia" w:cs="Tahoma"/>
                <w:b/>
                <w:bCs/>
                <w:color w:val="0D0D0D" w:themeColor="text1" w:themeTint="F2"/>
                <w:spacing w:val="-4"/>
                <w:w w:val="90"/>
                <w:sz w:val="14"/>
                <w:szCs w:val="14"/>
                <w:rtl/>
              </w:rPr>
            </w:pPr>
          </w:p>
          <w:p w:rsidR="00A541A4" w:rsidRPr="0032587B" w:rsidP="0032587B" w14:paraId="4383DD9C" w14:textId="2389B438">
            <w:pPr>
              <w:spacing w:line="240" w:lineRule="auto"/>
              <w:jc w:val="left"/>
              <w:rPr>
                <w:rFonts w:ascii="Tahoma" w:hAnsi="Tahoma" w:cs="Tahoma"/>
                <w:b/>
                <w:bCs/>
                <w:sz w:val="14"/>
                <w:szCs w:val="14"/>
                <w:rtl/>
              </w:rPr>
            </w:pPr>
            <w:r w:rsidRPr="0032587B">
              <w:rPr>
                <w:rFonts w:ascii="Tahoma" w:hAnsi="Tahoma" w:eastAsiaTheme="minorEastAsia" w:cs="Tahoma" w:hint="cs"/>
                <w:b/>
                <w:bCs/>
                <w:color w:val="0D0D0D" w:themeColor="text1" w:themeTint="F2"/>
                <w:spacing w:val="-4"/>
                <w:w w:val="90"/>
                <w:sz w:val="14"/>
                <w:szCs w:val="14"/>
                <w:rtl/>
              </w:rPr>
              <w:t>לעומת</w:t>
            </w:r>
          </w:p>
        </w:tc>
        <w:tc>
          <w:tcPr>
            <w:tcW w:w="1425" w:type="dxa"/>
            <w:tcBorders>
              <w:bottom w:val="single" w:sz="12" w:space="0" w:color="auto"/>
            </w:tcBorders>
            <w:vAlign w:val="bottom"/>
          </w:tcPr>
          <w:p w:rsidR="00A541A4" w:rsidRPr="00B56334" w:rsidP="00DB23D7" w14:paraId="34D99160" w14:textId="7A190609">
            <w:pPr>
              <w:spacing w:line="240" w:lineRule="auto"/>
              <w:jc w:val="left"/>
              <w:rPr>
                <w:rFonts w:ascii="Tahoma" w:hAnsi="Tahoma" w:cs="Tahoma"/>
                <w:b/>
                <w:bCs/>
                <w:sz w:val="34"/>
                <w:szCs w:val="34"/>
                <w:rtl/>
              </w:rPr>
            </w:pPr>
            <w:r w:rsidRPr="00B56334">
              <w:rPr>
                <w:rFonts w:ascii="Tahoma" w:hAnsi="Tahoma" w:cs="Tahoma" w:hint="cs"/>
                <w:b/>
                <w:bCs/>
                <w:sz w:val="34"/>
                <w:szCs w:val="34"/>
                <w:rtl/>
              </w:rPr>
              <w:t xml:space="preserve">2,000 </w:t>
            </w:r>
            <w:r w:rsidRPr="00E066B5">
              <w:rPr>
                <w:rFonts w:ascii="Tahoma" w:hAnsi="Tahoma" w:cs="Tahoma" w:hint="cs"/>
                <w:b/>
                <w:bCs/>
                <w:sz w:val="24"/>
                <w:rtl/>
              </w:rPr>
              <w:t>סטודנטים</w:t>
            </w:r>
          </w:p>
        </w:tc>
        <w:tc>
          <w:tcPr>
            <w:tcW w:w="266" w:type="dxa"/>
          </w:tcPr>
          <w:p w:rsidR="00A541A4" w:rsidRPr="00B56334" w:rsidP="00DB23D7" w14:paraId="19AAD257" w14:textId="77777777">
            <w:pPr>
              <w:spacing w:line="240" w:lineRule="auto"/>
              <w:jc w:val="left"/>
              <w:rPr>
                <w:rFonts w:ascii="Tahoma" w:hAnsi="Tahoma" w:cs="Tahoma"/>
                <w:b/>
                <w:bCs/>
                <w:sz w:val="34"/>
                <w:szCs w:val="34"/>
                <w:rtl/>
              </w:rPr>
            </w:pPr>
          </w:p>
        </w:tc>
        <w:tc>
          <w:tcPr>
            <w:tcW w:w="1620" w:type="dxa"/>
            <w:tcBorders>
              <w:bottom w:val="single" w:sz="12" w:space="0" w:color="auto"/>
            </w:tcBorders>
            <w:vAlign w:val="center"/>
          </w:tcPr>
          <w:p w:rsidR="00A541A4" w:rsidRPr="00B56334" w:rsidP="00DB23D7" w14:paraId="49540B80" w14:textId="77777777">
            <w:pPr>
              <w:spacing w:line="240" w:lineRule="auto"/>
              <w:jc w:val="left"/>
              <w:rPr>
                <w:rFonts w:ascii="Tahoma" w:hAnsi="Tahoma" w:cs="Tahoma"/>
                <w:b/>
                <w:bCs/>
                <w:sz w:val="34"/>
                <w:szCs w:val="34"/>
                <w:rtl/>
              </w:rPr>
            </w:pPr>
            <w:r w:rsidRPr="00B56334">
              <w:rPr>
                <w:rFonts w:ascii="Tahoma" w:hAnsi="Tahoma" w:cs="Tahoma" w:hint="cs"/>
                <w:b/>
                <w:bCs/>
                <w:sz w:val="34"/>
                <w:szCs w:val="34"/>
                <w:rtl/>
              </w:rPr>
              <w:t xml:space="preserve">3.3 </w:t>
            </w:r>
            <w:r w:rsidRPr="00B56334">
              <w:rPr>
                <w:rFonts w:ascii="Tahoma" w:hAnsi="Tahoma" w:cs="Tahoma" w:hint="cs"/>
                <w:b/>
                <w:bCs/>
                <w:sz w:val="24"/>
                <w:rtl/>
              </w:rPr>
              <w:t xml:space="preserve">רופאים </w:t>
            </w:r>
            <w:r w:rsidRPr="00B56334">
              <w:rPr>
                <w:rFonts w:ascii="Tahoma" w:hAnsi="Tahoma" w:cs="Tahoma"/>
                <w:b/>
                <w:bCs/>
                <w:sz w:val="24"/>
                <w:rtl/>
              </w:rPr>
              <w:br/>
            </w:r>
            <w:r w:rsidRPr="00B56334">
              <w:rPr>
                <w:rFonts w:ascii="Tahoma" w:hAnsi="Tahoma" w:cs="Tahoma" w:hint="cs"/>
                <w:b/>
                <w:bCs/>
                <w:sz w:val="24"/>
                <w:rtl/>
              </w:rPr>
              <w:t>ל-</w:t>
            </w:r>
            <w:r w:rsidRPr="00AD5BCF">
              <w:rPr>
                <w:rFonts w:ascii="Tahoma" w:hAnsi="Tahoma" w:cs="Tahoma" w:hint="cs"/>
                <w:b/>
                <w:bCs/>
                <w:sz w:val="34"/>
                <w:szCs w:val="34"/>
                <w:rtl/>
              </w:rPr>
              <w:t>1,000</w:t>
            </w:r>
            <w:r w:rsidRPr="00B56334">
              <w:rPr>
                <w:rFonts w:ascii="Tahoma" w:hAnsi="Tahoma" w:cs="Tahoma" w:hint="cs"/>
                <w:b/>
                <w:bCs/>
                <w:sz w:val="34"/>
                <w:szCs w:val="34"/>
                <w:rtl/>
              </w:rPr>
              <w:t xml:space="preserve"> </w:t>
            </w:r>
            <w:r w:rsidRPr="00B56334">
              <w:rPr>
                <w:rFonts w:ascii="Tahoma" w:hAnsi="Tahoma" w:cs="Tahoma" w:hint="cs"/>
                <w:b/>
                <w:bCs/>
                <w:sz w:val="24"/>
                <w:rtl/>
              </w:rPr>
              <w:t>נפש</w:t>
            </w:r>
          </w:p>
        </w:tc>
        <w:tc>
          <w:tcPr>
            <w:tcW w:w="276" w:type="dxa"/>
          </w:tcPr>
          <w:p w:rsidR="00A541A4" w:rsidRPr="00B56334" w:rsidP="00DB23D7" w14:paraId="384A1AAC" w14:textId="77777777">
            <w:pPr>
              <w:spacing w:line="240" w:lineRule="auto"/>
              <w:jc w:val="left"/>
              <w:rPr>
                <w:rFonts w:ascii="Tahoma" w:hAnsi="Tahoma" w:cs="Tahoma"/>
                <w:b/>
                <w:bCs/>
                <w:sz w:val="34"/>
                <w:szCs w:val="34"/>
                <w:rtl/>
              </w:rPr>
            </w:pPr>
          </w:p>
        </w:tc>
        <w:tc>
          <w:tcPr>
            <w:tcW w:w="1686" w:type="dxa"/>
            <w:tcBorders>
              <w:bottom w:val="single" w:sz="12" w:space="0" w:color="auto"/>
            </w:tcBorders>
            <w:vAlign w:val="bottom"/>
          </w:tcPr>
          <w:p w:rsidR="00A541A4" w:rsidRPr="00B56334" w:rsidP="00DB23D7" w14:paraId="0DEE04EA" w14:textId="77777777">
            <w:pPr>
              <w:spacing w:line="240" w:lineRule="auto"/>
              <w:jc w:val="left"/>
              <w:rPr>
                <w:rFonts w:ascii="Tahoma" w:hAnsi="Tahoma" w:cs="Tahoma"/>
                <w:b/>
                <w:bCs/>
                <w:sz w:val="34"/>
                <w:szCs w:val="34"/>
                <w:rtl/>
              </w:rPr>
            </w:pPr>
            <w:r w:rsidRPr="00B56334">
              <w:rPr>
                <w:rFonts w:ascii="Tahoma" w:hAnsi="Tahoma" w:cs="Tahoma" w:hint="cs"/>
                <w:b/>
                <w:bCs/>
                <w:sz w:val="34"/>
                <w:szCs w:val="34"/>
                <w:rtl/>
              </w:rPr>
              <w:t xml:space="preserve">31% </w:t>
            </w:r>
            <w:r w:rsidRPr="00B56334">
              <w:rPr>
                <w:rFonts w:ascii="Tahoma" w:hAnsi="Tahoma" w:cs="Tahoma" w:hint="cs"/>
                <w:b/>
                <w:bCs/>
                <w:sz w:val="24"/>
                <w:rtl/>
              </w:rPr>
              <w:t>בלבד</w:t>
            </w:r>
          </w:p>
        </w:tc>
      </w:tr>
      <w:tr w14:paraId="3B2A75EF" w14:textId="77777777" w:rsidTr="0032587B">
        <w:tblPrEx>
          <w:tblW w:w="7519" w:type="dxa"/>
          <w:tblInd w:w="-156" w:type="dxa"/>
          <w:tblCellMar>
            <w:left w:w="57" w:type="dxa"/>
            <w:right w:w="57" w:type="dxa"/>
          </w:tblCellMar>
          <w:tblLook w:val="04A0"/>
        </w:tblPrEx>
        <w:tc>
          <w:tcPr>
            <w:tcW w:w="1727" w:type="dxa"/>
            <w:tcBorders>
              <w:top w:val="single" w:sz="12" w:space="0" w:color="auto"/>
            </w:tcBorders>
          </w:tcPr>
          <w:p w:rsidR="00A541A4" w:rsidRPr="00EE210F" w:rsidP="00DB23D7" w14:paraId="38F92C9D" w14:textId="23107689">
            <w:pPr>
              <w:pStyle w:val="752024"/>
              <w:rPr>
                <w:spacing w:val="-4"/>
                <w:rtl/>
              </w:rPr>
            </w:pPr>
            <w:r w:rsidRPr="00EE210F">
              <w:rPr>
                <w:rFonts w:hint="cs"/>
                <w:spacing w:val="-4"/>
                <w:rtl/>
              </w:rPr>
              <w:t xml:space="preserve">החלו את לימודי הרפואה בישראל בשנה"ל </w:t>
            </w:r>
            <w:r w:rsidRPr="00EE210F" w:rsidR="00EE210F">
              <w:rPr>
                <w:rFonts w:hint="cs"/>
                <w:spacing w:val="-4"/>
                <w:rtl/>
              </w:rPr>
              <w:t>ה</w:t>
            </w:r>
            <w:r w:rsidRPr="00EE210F">
              <w:rPr>
                <w:rFonts w:hint="cs"/>
                <w:spacing w:val="-4"/>
                <w:rtl/>
              </w:rPr>
              <w:t>תשפ"ד</w:t>
            </w:r>
            <w:r w:rsidRPr="00EE210F">
              <w:rPr>
                <w:rFonts w:hint="cs"/>
                <w:spacing w:val="-4"/>
                <w:rtl/>
              </w:rPr>
              <w:t xml:space="preserve"> </w:t>
            </w:r>
            <w:r w:rsidRPr="00EE210F">
              <w:rPr>
                <w:spacing w:val="-4"/>
                <w:rtl/>
              </w:rPr>
              <w:t>(אוקטובר 202</w:t>
            </w:r>
            <w:r w:rsidRPr="00EE210F">
              <w:rPr>
                <w:rFonts w:hint="cs"/>
                <w:spacing w:val="-4"/>
                <w:rtl/>
              </w:rPr>
              <w:t>3</w:t>
            </w:r>
            <w:r w:rsidRPr="00EE210F">
              <w:rPr>
                <w:spacing w:val="-4"/>
                <w:rtl/>
              </w:rPr>
              <w:t xml:space="preserve"> - ספטמבר 202</w:t>
            </w:r>
            <w:r w:rsidRPr="00EE210F">
              <w:rPr>
                <w:rFonts w:hint="cs"/>
                <w:spacing w:val="-4"/>
                <w:rtl/>
              </w:rPr>
              <w:t>4</w:t>
            </w:r>
            <w:r w:rsidRPr="00EE210F">
              <w:rPr>
                <w:spacing w:val="-4"/>
                <w:rtl/>
              </w:rPr>
              <w:t>)</w:t>
            </w:r>
          </w:p>
        </w:tc>
        <w:tc>
          <w:tcPr>
            <w:tcW w:w="519" w:type="dxa"/>
          </w:tcPr>
          <w:p w:rsidR="00A541A4" w:rsidP="00DB23D7" w14:paraId="4A315B13" w14:textId="77777777">
            <w:pPr>
              <w:pStyle w:val="752024"/>
              <w:spacing w:after="0"/>
              <w:rPr>
                <w:rtl/>
              </w:rPr>
            </w:pPr>
          </w:p>
        </w:tc>
        <w:tc>
          <w:tcPr>
            <w:tcW w:w="1425" w:type="dxa"/>
            <w:tcBorders>
              <w:top w:val="single" w:sz="12" w:space="0" w:color="auto"/>
            </w:tcBorders>
          </w:tcPr>
          <w:p w:rsidR="00A541A4" w:rsidP="00DB23D7" w14:paraId="627FD226" w14:textId="644204CC">
            <w:pPr>
              <w:pStyle w:val="752024"/>
              <w:rPr>
                <w:rtl/>
              </w:rPr>
            </w:pPr>
            <w:r>
              <w:rPr>
                <w:rFonts w:hint="cs"/>
                <w:rtl/>
              </w:rPr>
              <w:t xml:space="preserve">היעד של משרד </w:t>
            </w:r>
            <w:r w:rsidRPr="00F51DCB">
              <w:rPr>
                <w:rFonts w:hint="cs"/>
                <w:rtl/>
              </w:rPr>
              <w:t>הבריאות</w:t>
            </w:r>
            <w:r>
              <w:rPr>
                <w:rFonts w:hint="cs"/>
                <w:rtl/>
              </w:rPr>
              <w:t xml:space="preserve"> בנוגע למספר הסטודנטים לרפואה שילמדו בישראל </w:t>
            </w:r>
            <w:r w:rsidRPr="00F025D5">
              <w:rPr>
                <w:rFonts w:hint="cs"/>
                <w:rtl/>
              </w:rPr>
              <w:t>(בשנה א' של</w:t>
            </w:r>
            <w:r w:rsidR="00D53FE0">
              <w:rPr>
                <w:rFonts w:hint="cs"/>
                <w:rtl/>
              </w:rPr>
              <w:t xml:space="preserve"> </w:t>
            </w:r>
            <w:r w:rsidRPr="00D53FE0">
              <w:rPr>
                <w:rFonts w:hint="cs"/>
                <w:spacing w:val="-4"/>
                <w:rtl/>
              </w:rPr>
              <w:t>הלימודים)</w:t>
            </w:r>
            <w:r>
              <w:rPr>
                <w:rFonts w:hint="cs"/>
                <w:rtl/>
              </w:rPr>
              <w:t xml:space="preserve"> בשנת 2030</w:t>
            </w:r>
          </w:p>
          <w:p w:rsidR="00A541A4" w:rsidRPr="002A26E5" w:rsidP="00DB23D7" w14:paraId="5CADEB5F" w14:textId="77777777">
            <w:pPr>
              <w:pStyle w:val="752024"/>
              <w:spacing w:after="0"/>
              <w:rPr>
                <w:sz w:val="19"/>
                <w:szCs w:val="19"/>
                <w:rtl/>
              </w:rPr>
            </w:pPr>
          </w:p>
        </w:tc>
        <w:tc>
          <w:tcPr>
            <w:tcW w:w="266" w:type="dxa"/>
          </w:tcPr>
          <w:p w:rsidR="00A541A4" w:rsidP="00DB23D7" w14:paraId="172B871D" w14:textId="77777777">
            <w:pPr>
              <w:pStyle w:val="752024"/>
              <w:spacing w:after="0"/>
              <w:rPr>
                <w:rtl/>
              </w:rPr>
            </w:pPr>
          </w:p>
        </w:tc>
        <w:tc>
          <w:tcPr>
            <w:tcW w:w="1620" w:type="dxa"/>
            <w:tcBorders>
              <w:top w:val="single" w:sz="12" w:space="0" w:color="auto"/>
            </w:tcBorders>
          </w:tcPr>
          <w:p w:rsidR="00A541A4" w:rsidP="00DB23D7" w14:paraId="7BEB10B7" w14:textId="53BEE112">
            <w:pPr>
              <w:pStyle w:val="752024"/>
              <w:rPr>
                <w:b/>
                <w:bCs/>
                <w:sz w:val="19"/>
                <w:szCs w:val="19"/>
                <w:rtl/>
              </w:rPr>
            </w:pPr>
            <w:r>
              <w:rPr>
                <w:rFonts w:hint="cs"/>
                <w:sz w:val="19"/>
                <w:szCs w:val="19"/>
                <w:rtl/>
              </w:rPr>
              <w:t xml:space="preserve">היחס שהיה בישראל בשנת 2020, לעומת יחס של </w:t>
            </w:r>
            <w:r w:rsidRPr="00216D51">
              <w:rPr>
                <w:sz w:val="19"/>
                <w:szCs w:val="19"/>
                <w:rtl/>
              </w:rPr>
              <w:t xml:space="preserve">3.7 רופאים </w:t>
            </w:r>
            <w:r w:rsidR="00D53FE0">
              <w:rPr>
                <w:rFonts w:hint="cs"/>
                <w:sz w:val="19"/>
                <w:szCs w:val="19"/>
                <w:rtl/>
              </w:rPr>
              <w:t xml:space="preserve"> </w:t>
            </w:r>
            <w:r w:rsidRPr="00216D51">
              <w:rPr>
                <w:sz w:val="19"/>
                <w:szCs w:val="19"/>
                <w:rtl/>
              </w:rPr>
              <w:t>ל-1,000 נפש</w:t>
            </w:r>
            <w:r w:rsidRPr="00216D51">
              <w:rPr>
                <w:rFonts w:hint="cs"/>
                <w:sz w:val="19"/>
                <w:szCs w:val="19"/>
                <w:rtl/>
              </w:rPr>
              <w:t xml:space="preserve"> בממוצע ה-</w:t>
            </w:r>
            <w:r w:rsidRPr="00216D51">
              <w:rPr>
                <w:rFonts w:hint="cs"/>
                <w:sz w:val="19"/>
                <w:szCs w:val="19"/>
              </w:rPr>
              <w:t>OECD</w:t>
            </w:r>
            <w:r w:rsidRPr="00284A97">
              <w:rPr>
                <w:rFonts w:hint="cs"/>
                <w:sz w:val="19"/>
                <w:szCs w:val="19"/>
                <w:rtl/>
              </w:rPr>
              <w:t xml:space="preserve"> באותה השנה</w:t>
            </w:r>
          </w:p>
          <w:p w:rsidR="00A541A4" w:rsidRPr="00294AB8" w:rsidP="00DB23D7" w14:paraId="03ED2AA1" w14:textId="77777777">
            <w:pPr>
              <w:pStyle w:val="752024"/>
              <w:spacing w:after="0"/>
              <w:jc w:val="center"/>
              <w:rPr>
                <w:sz w:val="19"/>
                <w:szCs w:val="19"/>
                <w:rtl/>
              </w:rPr>
            </w:pPr>
          </w:p>
        </w:tc>
        <w:tc>
          <w:tcPr>
            <w:tcW w:w="276" w:type="dxa"/>
          </w:tcPr>
          <w:p w:rsidR="00A541A4" w:rsidP="00DB23D7" w14:paraId="3C891690" w14:textId="77777777">
            <w:pPr>
              <w:pStyle w:val="752024"/>
              <w:spacing w:after="0"/>
              <w:jc w:val="center"/>
              <w:rPr>
                <w:rtl/>
              </w:rPr>
            </w:pPr>
          </w:p>
        </w:tc>
        <w:tc>
          <w:tcPr>
            <w:tcW w:w="1686" w:type="dxa"/>
            <w:tcBorders>
              <w:top w:val="single" w:sz="12" w:space="0" w:color="auto"/>
            </w:tcBorders>
          </w:tcPr>
          <w:p w:rsidR="00A541A4" w:rsidRPr="00B5316A" w:rsidP="00DB23D7" w14:paraId="7233755D" w14:textId="77777777">
            <w:pPr>
              <w:pStyle w:val="752024"/>
              <w:spacing w:after="0"/>
              <w:rPr>
                <w:rtl/>
              </w:rPr>
            </w:pPr>
            <w:r w:rsidRPr="00B5316A">
              <w:rPr>
                <w:rFonts w:hint="cs"/>
                <w:rtl/>
              </w:rPr>
              <w:t>שיעור מקבלי הרישיון לעסוק ברפואה בשנת 2023 שלמדו באוניברסיטאות בארץ (749 בוגרים) מתוך 2,429 רישיונו</w:t>
            </w:r>
            <w:r w:rsidRPr="00B5316A">
              <w:rPr>
                <w:rFonts w:hint="eastAsia"/>
                <w:rtl/>
              </w:rPr>
              <w:t>ת</w:t>
            </w:r>
            <w:r w:rsidRPr="00B5316A">
              <w:rPr>
                <w:rFonts w:hint="cs"/>
                <w:rtl/>
              </w:rPr>
              <w:t xml:space="preserve"> שניתנו בשנה זו בסך הכול. היתר: 50% ישראלים בוגרי אוניברסיטאו</w:t>
            </w:r>
            <w:r w:rsidRPr="00B5316A">
              <w:rPr>
                <w:rFonts w:hint="eastAsia"/>
                <w:rtl/>
              </w:rPr>
              <w:t>ת</w:t>
            </w:r>
            <w:r w:rsidRPr="00B5316A">
              <w:rPr>
                <w:rFonts w:hint="cs"/>
                <w:rtl/>
              </w:rPr>
              <w:t xml:space="preserve"> בחו"ל ו-19% עולים לארץ שלמדו בחו"ל</w:t>
            </w:r>
          </w:p>
        </w:tc>
      </w:tr>
      <w:tr w14:paraId="1A9C8890" w14:textId="77777777" w:rsidTr="0032587B">
        <w:tblPrEx>
          <w:tblW w:w="7519" w:type="dxa"/>
          <w:tblInd w:w="-156" w:type="dxa"/>
          <w:tblCellMar>
            <w:left w:w="57" w:type="dxa"/>
            <w:right w:w="57" w:type="dxa"/>
          </w:tblCellMar>
          <w:tblLook w:val="04A0"/>
        </w:tblPrEx>
        <w:tc>
          <w:tcPr>
            <w:tcW w:w="1727" w:type="dxa"/>
            <w:tcBorders>
              <w:bottom w:val="single" w:sz="12" w:space="0" w:color="auto"/>
            </w:tcBorders>
            <w:vAlign w:val="bottom"/>
          </w:tcPr>
          <w:p w:rsidR="00A541A4" w:rsidRPr="00E066B5" w:rsidP="00DB23D7" w14:paraId="66FB231F" w14:textId="77777777">
            <w:pPr>
              <w:spacing w:line="240" w:lineRule="auto"/>
              <w:jc w:val="left"/>
              <w:rPr>
                <w:rFonts w:ascii="Tahoma" w:hAnsi="Tahoma" w:cs="Tahoma"/>
                <w:b/>
                <w:bCs/>
                <w:sz w:val="34"/>
                <w:szCs w:val="34"/>
                <w:rtl/>
              </w:rPr>
            </w:pPr>
            <w:r w:rsidRPr="00E066B5">
              <w:rPr>
                <w:rFonts w:ascii="Tahoma" w:hAnsi="Tahoma" w:cs="Tahoma" w:hint="cs"/>
                <w:b/>
                <w:bCs/>
                <w:sz w:val="34"/>
                <w:szCs w:val="34"/>
                <w:rtl/>
              </w:rPr>
              <w:t>1,025</w:t>
            </w:r>
          </w:p>
        </w:tc>
        <w:tc>
          <w:tcPr>
            <w:tcW w:w="519" w:type="dxa"/>
          </w:tcPr>
          <w:p w:rsidR="00A541A4" w:rsidRPr="008E52B9" w:rsidP="00DB23D7" w14:paraId="4B7F392C" w14:textId="77777777">
            <w:pPr>
              <w:rPr>
                <w:spacing w:val="-20"/>
                <w:rtl/>
              </w:rPr>
            </w:pPr>
          </w:p>
        </w:tc>
        <w:tc>
          <w:tcPr>
            <w:tcW w:w="1425" w:type="dxa"/>
            <w:tcBorders>
              <w:bottom w:val="single" w:sz="12" w:space="0" w:color="auto"/>
            </w:tcBorders>
            <w:vAlign w:val="bottom"/>
          </w:tcPr>
          <w:p w:rsidR="00A541A4" w:rsidRPr="00E066B5" w:rsidP="00DB23D7" w14:paraId="6AC12FD0" w14:textId="0A28C6FC">
            <w:pPr>
              <w:spacing w:line="240" w:lineRule="auto"/>
              <w:jc w:val="left"/>
              <w:rPr>
                <w:rFonts w:ascii="Tahoma" w:hAnsi="Tahoma" w:cs="Tahoma"/>
                <w:b/>
                <w:bCs/>
                <w:sz w:val="34"/>
                <w:szCs w:val="34"/>
                <w:rtl/>
              </w:rPr>
            </w:pPr>
            <w:r w:rsidRPr="00E066B5">
              <w:rPr>
                <w:rFonts w:ascii="Tahoma" w:hAnsi="Tahoma" w:cs="Tahoma" w:hint="cs"/>
                <w:b/>
                <w:bCs/>
                <w:sz w:val="34"/>
                <w:szCs w:val="34"/>
                <w:rtl/>
              </w:rPr>
              <w:t xml:space="preserve">24 </w:t>
            </w:r>
            <w:r w:rsidRPr="00E066B5">
              <w:rPr>
                <w:rFonts w:ascii="Tahoma" w:hAnsi="Tahoma" w:cs="Tahoma" w:hint="cs"/>
                <w:b/>
                <w:bCs/>
                <w:sz w:val="24"/>
                <w:rtl/>
              </w:rPr>
              <w:t xml:space="preserve">סטודנטים בלבד </w:t>
            </w:r>
            <w:r w:rsidR="00DB60C6">
              <w:rPr>
                <w:rFonts w:ascii="Tahoma" w:hAnsi="Tahoma" w:cs="Tahoma" w:hint="cs"/>
                <w:b/>
                <w:bCs/>
                <w:sz w:val="24"/>
                <w:rtl/>
              </w:rPr>
              <w:t xml:space="preserve">            </w:t>
            </w:r>
            <w:r w:rsidRPr="00E066B5">
              <w:rPr>
                <w:rFonts w:ascii="Tahoma" w:hAnsi="Tahoma" w:cs="Tahoma" w:hint="cs"/>
                <w:b/>
                <w:bCs/>
                <w:sz w:val="24"/>
                <w:rtl/>
              </w:rPr>
              <w:t>ל-</w:t>
            </w:r>
            <w:r w:rsidRPr="00AD5BCF">
              <w:rPr>
                <w:rFonts w:ascii="Tahoma" w:hAnsi="Tahoma" w:cs="Tahoma" w:hint="cs"/>
                <w:b/>
                <w:bCs/>
                <w:spacing w:val="-20"/>
                <w:sz w:val="34"/>
                <w:szCs w:val="34"/>
                <w:rtl/>
              </w:rPr>
              <w:t>1,000</w:t>
            </w:r>
            <w:r w:rsidRPr="00E066B5">
              <w:rPr>
                <w:rFonts w:ascii="Tahoma" w:hAnsi="Tahoma" w:cs="Tahoma" w:hint="cs"/>
                <w:b/>
                <w:bCs/>
                <w:sz w:val="34"/>
                <w:szCs w:val="34"/>
                <w:rtl/>
              </w:rPr>
              <w:t xml:space="preserve"> </w:t>
            </w:r>
            <w:r w:rsidRPr="00E066B5">
              <w:rPr>
                <w:rFonts w:ascii="Tahoma" w:hAnsi="Tahoma" w:cs="Tahoma" w:hint="cs"/>
                <w:b/>
                <w:bCs/>
                <w:sz w:val="24"/>
                <w:rtl/>
              </w:rPr>
              <w:t>מיטות אשפוז</w:t>
            </w:r>
            <w:r w:rsidRPr="00E066B5">
              <w:rPr>
                <w:rFonts w:ascii="Tahoma" w:hAnsi="Tahoma" w:cs="Tahoma" w:hint="cs"/>
                <w:b/>
                <w:bCs/>
                <w:sz w:val="34"/>
                <w:szCs w:val="34"/>
                <w:rtl/>
              </w:rPr>
              <w:t xml:space="preserve"> </w:t>
            </w:r>
          </w:p>
        </w:tc>
        <w:tc>
          <w:tcPr>
            <w:tcW w:w="266" w:type="dxa"/>
          </w:tcPr>
          <w:p w:rsidR="00A541A4" w:rsidRPr="008E52B9" w:rsidP="00DB23D7" w14:paraId="10542ECF" w14:textId="77777777">
            <w:pPr>
              <w:rPr>
                <w:spacing w:val="-20"/>
                <w:rtl/>
              </w:rPr>
            </w:pPr>
          </w:p>
        </w:tc>
        <w:tc>
          <w:tcPr>
            <w:tcW w:w="1620" w:type="dxa"/>
            <w:tcBorders>
              <w:bottom w:val="single" w:sz="12" w:space="0" w:color="auto"/>
            </w:tcBorders>
            <w:vAlign w:val="bottom"/>
          </w:tcPr>
          <w:p w:rsidR="00A541A4" w:rsidRPr="00E066B5" w:rsidP="009828CF" w14:paraId="0894726D" w14:textId="77777777">
            <w:pPr>
              <w:spacing w:line="240" w:lineRule="auto"/>
              <w:jc w:val="left"/>
              <w:rPr>
                <w:rFonts w:ascii="Tahoma" w:hAnsi="Tahoma" w:cs="Tahoma"/>
                <w:b/>
                <w:bCs/>
                <w:sz w:val="34"/>
                <w:szCs w:val="34"/>
                <w:rtl/>
              </w:rPr>
            </w:pPr>
          </w:p>
          <w:p w:rsidR="00A541A4" w:rsidRPr="00E066B5" w:rsidP="009828CF" w14:paraId="41F66E0E" w14:textId="77777777">
            <w:pPr>
              <w:spacing w:line="240" w:lineRule="auto"/>
              <w:jc w:val="left"/>
              <w:rPr>
                <w:rFonts w:ascii="Tahoma" w:hAnsi="Tahoma" w:cs="Tahoma"/>
                <w:b/>
                <w:bCs/>
                <w:sz w:val="34"/>
                <w:szCs w:val="34"/>
                <w:rtl/>
              </w:rPr>
            </w:pPr>
            <w:r w:rsidRPr="00E066B5">
              <w:rPr>
                <w:rFonts w:ascii="Tahoma" w:hAnsi="Tahoma" w:cs="Tahoma" w:hint="cs"/>
                <w:b/>
                <w:bCs/>
                <w:sz w:val="34"/>
                <w:szCs w:val="34"/>
                <w:rtl/>
              </w:rPr>
              <w:t xml:space="preserve">40 </w:t>
            </w:r>
          </w:p>
        </w:tc>
        <w:tc>
          <w:tcPr>
            <w:tcW w:w="276" w:type="dxa"/>
          </w:tcPr>
          <w:p w:rsidR="00A541A4" w:rsidRPr="008E52B9" w:rsidP="00DB23D7" w14:paraId="25E8DA3E" w14:textId="77777777">
            <w:pPr>
              <w:jc w:val="center"/>
              <w:rPr>
                <w:spacing w:val="-20"/>
                <w:rtl/>
              </w:rPr>
            </w:pPr>
          </w:p>
        </w:tc>
        <w:tc>
          <w:tcPr>
            <w:tcW w:w="1686" w:type="dxa"/>
            <w:tcBorders>
              <w:bottom w:val="single" w:sz="12" w:space="0" w:color="auto"/>
            </w:tcBorders>
            <w:vAlign w:val="bottom"/>
          </w:tcPr>
          <w:p w:rsidR="00A541A4" w:rsidRPr="00E066B5" w:rsidP="00DB23D7" w14:paraId="7109371D" w14:textId="77777777">
            <w:pPr>
              <w:spacing w:line="240" w:lineRule="auto"/>
              <w:jc w:val="left"/>
              <w:rPr>
                <w:rFonts w:ascii="Tahoma" w:hAnsi="Tahoma" w:cs="Tahoma"/>
                <w:b/>
                <w:bCs/>
                <w:sz w:val="34"/>
                <w:szCs w:val="34"/>
                <w:rtl/>
              </w:rPr>
            </w:pPr>
          </w:p>
          <w:p w:rsidR="00A541A4" w:rsidRPr="00E066B5" w:rsidP="00DB23D7" w14:paraId="09945564" w14:textId="77777777">
            <w:pPr>
              <w:spacing w:line="240" w:lineRule="auto"/>
              <w:jc w:val="left"/>
              <w:rPr>
                <w:rFonts w:ascii="Tahoma" w:hAnsi="Tahoma" w:cs="Tahoma"/>
                <w:b/>
                <w:bCs/>
                <w:sz w:val="34"/>
                <w:szCs w:val="34"/>
                <w:rtl/>
              </w:rPr>
            </w:pPr>
            <w:r w:rsidRPr="00E066B5">
              <w:rPr>
                <w:rFonts w:ascii="Tahoma" w:hAnsi="Tahoma" w:cs="Tahoma" w:hint="cs"/>
                <w:b/>
                <w:bCs/>
                <w:sz w:val="34"/>
                <w:szCs w:val="34"/>
                <w:rtl/>
              </w:rPr>
              <w:t xml:space="preserve">16% </w:t>
            </w:r>
            <w:r>
              <w:rPr>
                <w:rFonts w:ascii="Tahoma" w:hAnsi="Tahoma" w:cs="Tahoma" w:hint="cs"/>
                <w:b/>
                <w:bCs/>
                <w:sz w:val="34"/>
                <w:szCs w:val="34"/>
                <w:rtl/>
              </w:rPr>
              <w:t xml:space="preserve">     </w:t>
            </w:r>
            <w:r w:rsidRPr="00E066B5">
              <w:rPr>
                <w:rFonts w:ascii="Tahoma" w:hAnsi="Tahoma" w:cs="Tahoma" w:hint="cs"/>
                <w:b/>
                <w:bCs/>
                <w:sz w:val="24"/>
                <w:rtl/>
              </w:rPr>
              <w:t>ו-</w:t>
            </w:r>
            <w:r w:rsidRPr="00E066B5">
              <w:rPr>
                <w:rFonts w:ascii="Tahoma" w:hAnsi="Tahoma" w:cs="Tahoma" w:hint="cs"/>
                <w:b/>
                <w:bCs/>
                <w:sz w:val="34"/>
                <w:szCs w:val="34"/>
                <w:rtl/>
              </w:rPr>
              <w:t>4%</w:t>
            </w:r>
          </w:p>
        </w:tc>
      </w:tr>
      <w:tr w14:paraId="0FE605DF" w14:textId="77777777" w:rsidTr="0032587B">
        <w:tblPrEx>
          <w:tblW w:w="7519" w:type="dxa"/>
          <w:tblInd w:w="-156" w:type="dxa"/>
          <w:tblCellMar>
            <w:left w:w="57" w:type="dxa"/>
            <w:right w:w="57" w:type="dxa"/>
          </w:tblCellMar>
          <w:tblLook w:val="04A0"/>
        </w:tblPrEx>
        <w:tc>
          <w:tcPr>
            <w:tcW w:w="1727" w:type="dxa"/>
            <w:tcBorders>
              <w:top w:val="single" w:sz="12" w:space="0" w:color="auto"/>
            </w:tcBorders>
          </w:tcPr>
          <w:p w:rsidR="0032587B" w:rsidRPr="0032587B" w:rsidP="0032587B" w14:paraId="022FCEBD" w14:textId="3C7D7220">
            <w:pPr>
              <w:pStyle w:val="752024"/>
              <w:rPr>
                <w:spacing w:val="-4"/>
                <w:rtl/>
              </w:rPr>
            </w:pPr>
            <w:r w:rsidRPr="0032587B">
              <w:rPr>
                <w:rFonts w:hint="cs"/>
                <w:spacing w:val="-4"/>
                <w:rtl/>
              </w:rPr>
              <w:t xml:space="preserve">מספר הרישיונות </w:t>
            </w:r>
            <w:r w:rsidRPr="0032587B">
              <w:rPr>
                <w:spacing w:val="-4"/>
                <w:rtl/>
              </w:rPr>
              <w:t>לעסוק ברפואה</w:t>
            </w:r>
            <w:r w:rsidRPr="0032587B">
              <w:rPr>
                <w:rFonts w:hint="cs"/>
                <w:spacing w:val="-4"/>
                <w:rtl/>
              </w:rPr>
              <w:t xml:space="preserve"> שניתנו בישראל בשנת 2022 לישראלים בוגרי אוניברסיטאות מחו"ל; 634 מהם (כ-62%) למדו </w:t>
            </w:r>
            <w:r w:rsidRPr="0032587B">
              <w:rPr>
                <w:spacing w:val="-4"/>
                <w:rtl/>
              </w:rPr>
              <w:t>ב</w:t>
            </w:r>
            <w:r w:rsidRPr="0032587B">
              <w:rPr>
                <w:rFonts w:hint="cs"/>
                <w:spacing w:val="-4"/>
                <w:rtl/>
              </w:rPr>
              <w:t xml:space="preserve">מוסדות </w:t>
            </w:r>
            <w:r w:rsidRPr="0032587B">
              <w:rPr>
                <w:spacing w:val="-4"/>
                <w:rtl/>
              </w:rPr>
              <w:t>שלגביה</w:t>
            </w:r>
            <w:r w:rsidRPr="0032587B">
              <w:rPr>
                <w:rFonts w:hint="cs"/>
                <w:spacing w:val="-4"/>
                <w:rtl/>
              </w:rPr>
              <w:t>ם</w:t>
            </w:r>
            <w:r w:rsidRPr="0032587B">
              <w:rPr>
                <w:spacing w:val="-4"/>
                <w:rtl/>
              </w:rPr>
              <w:t xml:space="preserve"> הוחלט, במסגרת </w:t>
            </w:r>
            <w:r w:rsidRPr="0032587B">
              <w:rPr>
                <w:rFonts w:hint="cs"/>
                <w:spacing w:val="-4"/>
                <w:rtl/>
              </w:rPr>
              <w:t>"</w:t>
            </w:r>
            <w:r w:rsidRPr="0032587B">
              <w:rPr>
                <w:spacing w:val="-4"/>
                <w:rtl/>
              </w:rPr>
              <w:t>רפורמת יציב</w:t>
            </w:r>
            <w:r w:rsidRPr="0032587B">
              <w:rPr>
                <w:rFonts w:hint="cs"/>
                <w:spacing w:val="-4"/>
                <w:rtl/>
              </w:rPr>
              <w:t>"</w:t>
            </w:r>
            <w:r w:rsidRPr="0032587B">
              <w:rPr>
                <w:spacing w:val="-4"/>
                <w:rtl/>
              </w:rPr>
              <w:t xml:space="preserve">, </w:t>
            </w:r>
            <w:r w:rsidRPr="0032587B">
              <w:rPr>
                <w:rFonts w:hint="cs"/>
                <w:spacing w:val="-4"/>
                <w:rtl/>
              </w:rPr>
              <w:t xml:space="preserve">שמשנת 2026 </w:t>
            </w:r>
            <w:r w:rsidRPr="0032587B">
              <w:rPr>
                <w:spacing w:val="-4"/>
                <w:rtl/>
              </w:rPr>
              <w:t xml:space="preserve">לא יוכלו </w:t>
            </w:r>
            <w:r w:rsidRPr="0032587B">
              <w:rPr>
                <w:rFonts w:hint="cs"/>
                <w:spacing w:val="-4"/>
                <w:rtl/>
              </w:rPr>
              <w:t xml:space="preserve">הסטודנטים הלומדים בהם </w:t>
            </w:r>
            <w:r w:rsidRPr="0032587B">
              <w:rPr>
                <w:spacing w:val="-4"/>
                <w:rtl/>
              </w:rPr>
              <w:t>לגשת למבחן רישוי בישראל</w:t>
            </w:r>
            <w:r w:rsidRPr="0032587B">
              <w:rPr>
                <w:rFonts w:hint="cs"/>
                <w:spacing w:val="-4"/>
                <w:rtl/>
              </w:rPr>
              <w:t>, ולפיכך לא יוכלו לעסוק ברפואה בישראל</w:t>
            </w:r>
          </w:p>
        </w:tc>
        <w:tc>
          <w:tcPr>
            <w:tcW w:w="519" w:type="dxa"/>
          </w:tcPr>
          <w:p w:rsidR="0032587B" w:rsidP="0032587B" w14:paraId="7F1AD4A4" w14:textId="77777777">
            <w:pPr>
              <w:pStyle w:val="752024"/>
              <w:spacing w:after="0"/>
              <w:rPr>
                <w:rtl/>
              </w:rPr>
            </w:pPr>
          </w:p>
        </w:tc>
        <w:tc>
          <w:tcPr>
            <w:tcW w:w="1425" w:type="dxa"/>
            <w:tcBorders>
              <w:top w:val="single" w:sz="12" w:space="0" w:color="auto"/>
            </w:tcBorders>
          </w:tcPr>
          <w:p w:rsidR="0032587B" w:rsidRPr="002C6C74" w:rsidP="0032587B" w14:paraId="435C8952" w14:textId="3AF5ED1F">
            <w:pPr>
              <w:pStyle w:val="752024"/>
              <w:rPr>
                <w:rtl/>
              </w:rPr>
            </w:pPr>
            <w:r w:rsidRPr="002C6C74">
              <w:rPr>
                <w:rFonts w:hint="cs"/>
                <w:rtl/>
              </w:rPr>
              <w:t xml:space="preserve">הוכשרו במדינת ישראל בשנת 2020, לעומת 38 סטודנטים </w:t>
            </w:r>
            <w:r>
              <w:rPr>
                <w:rFonts w:hint="cs"/>
                <w:rtl/>
              </w:rPr>
              <w:t xml:space="preserve">              </w:t>
            </w:r>
            <w:r w:rsidRPr="002C6C74">
              <w:rPr>
                <w:rFonts w:hint="cs"/>
                <w:rtl/>
              </w:rPr>
              <w:t xml:space="preserve">ל-1,000 מיטות אשפוז בממוצע </w:t>
            </w:r>
            <w:r w:rsidRPr="002C6C74">
              <w:rPr>
                <w:rtl/>
              </w:rPr>
              <w:br/>
            </w:r>
            <w:r w:rsidRPr="002C6C74">
              <w:rPr>
                <w:rFonts w:hint="cs"/>
                <w:rtl/>
              </w:rPr>
              <w:t>ה-</w:t>
            </w:r>
            <w:r w:rsidRPr="002C6C74">
              <w:rPr>
                <w:rFonts w:hint="cs"/>
              </w:rPr>
              <w:t>OECD</w:t>
            </w:r>
            <w:r w:rsidRPr="002C6C74">
              <w:rPr>
                <w:rFonts w:hint="cs"/>
                <w:rtl/>
              </w:rPr>
              <w:t xml:space="preserve"> באותה השנה</w:t>
            </w:r>
          </w:p>
        </w:tc>
        <w:tc>
          <w:tcPr>
            <w:tcW w:w="266" w:type="dxa"/>
          </w:tcPr>
          <w:p w:rsidR="0032587B" w:rsidP="0032587B" w14:paraId="500CF55E" w14:textId="77777777">
            <w:pPr>
              <w:pStyle w:val="752024"/>
              <w:spacing w:after="0"/>
              <w:rPr>
                <w:rtl/>
              </w:rPr>
            </w:pPr>
          </w:p>
        </w:tc>
        <w:tc>
          <w:tcPr>
            <w:tcW w:w="1620" w:type="dxa"/>
            <w:tcBorders>
              <w:top w:val="single" w:sz="12" w:space="0" w:color="auto"/>
            </w:tcBorders>
          </w:tcPr>
          <w:p w:rsidR="0032587B" w:rsidRPr="002C6C74" w:rsidP="0032587B" w14:paraId="1C2DE42D" w14:textId="07968932">
            <w:pPr>
              <w:pStyle w:val="752024"/>
              <w:rPr>
                <w:rtl/>
              </w:rPr>
            </w:pPr>
            <w:r w:rsidRPr="002C6C74">
              <w:rPr>
                <w:rFonts w:hint="cs"/>
                <w:rtl/>
              </w:rPr>
              <w:t>מספר השבועות הדרוש בשנה להכשרה הקלינית של סטודנטים</w:t>
            </w:r>
            <w:r w:rsidRPr="002C6C74">
              <w:rPr>
                <w:rtl/>
              </w:rPr>
              <w:t xml:space="preserve"> ב</w:t>
            </w:r>
            <w:r w:rsidRPr="002C6C74">
              <w:rPr>
                <w:rFonts w:hint="cs"/>
                <w:rtl/>
              </w:rPr>
              <w:t>כל אחת מ</w:t>
            </w:r>
            <w:r w:rsidRPr="002C6C74">
              <w:rPr>
                <w:rtl/>
              </w:rPr>
              <w:t>ארבע המחלקות</w:t>
            </w:r>
            <w:r>
              <w:rPr>
                <w:rFonts w:hint="cs"/>
                <w:rtl/>
              </w:rPr>
              <w:t xml:space="preserve"> </w:t>
            </w:r>
            <w:r w:rsidRPr="002C6C74">
              <w:rPr>
                <w:rtl/>
              </w:rPr>
              <w:t xml:space="preserve"> העיקריות </w:t>
            </w:r>
            <w:r w:rsidRPr="002C6C74">
              <w:rPr>
                <w:rFonts w:hint="cs"/>
                <w:rtl/>
              </w:rPr>
              <w:t>שבהן היא מתבצעת, כדי לעמוד ביעד השנתי של 2,000 סטודנטים לרפואה בשנת 2030; זאת לעומת 12 - 38 שבועות בלבד של הכשרה במחלקות אלו בשנת 2022</w:t>
            </w:r>
          </w:p>
        </w:tc>
        <w:tc>
          <w:tcPr>
            <w:tcW w:w="276" w:type="dxa"/>
          </w:tcPr>
          <w:p w:rsidR="0032587B" w:rsidP="0032587B" w14:paraId="279761B3" w14:textId="77777777">
            <w:pPr>
              <w:pStyle w:val="752024"/>
              <w:spacing w:after="0"/>
              <w:jc w:val="center"/>
              <w:rPr>
                <w:rtl/>
              </w:rPr>
            </w:pPr>
          </w:p>
        </w:tc>
        <w:tc>
          <w:tcPr>
            <w:tcW w:w="1686" w:type="dxa"/>
            <w:tcBorders>
              <w:top w:val="single" w:sz="12" w:space="0" w:color="auto"/>
            </w:tcBorders>
          </w:tcPr>
          <w:p w:rsidR="0032587B" w:rsidRPr="002C6C74" w:rsidP="0032587B" w14:paraId="758BD136" w14:textId="77777777">
            <w:pPr>
              <w:pStyle w:val="752024"/>
              <w:rPr>
                <w:rtl/>
              </w:rPr>
            </w:pPr>
            <w:r w:rsidRPr="002C6C74">
              <w:rPr>
                <w:rFonts w:hint="cs"/>
                <w:rtl/>
              </w:rPr>
              <w:t>שיעור הגידול במספר הסטז'רים (צוערים) בשנים 2017 - 2023 היה 16%, לעומת גידול של כ-4% בלבד במספר מיטות האשפוז המשמשות תשתית להכשרתם</w:t>
            </w:r>
          </w:p>
        </w:tc>
      </w:tr>
    </w:tbl>
    <w:p w:rsidR="00420374" w:rsidRPr="00C62692" w:rsidP="00420374" w14:paraId="7BCB45AA" w14:textId="386B45B0">
      <w:pPr>
        <w:pStyle w:val="75"/>
        <w:rPr>
          <w:rtl/>
        </w:rPr>
      </w:pPr>
      <w:r w:rsidRPr="00C62692">
        <w:rPr>
          <w:rtl/>
        </w:rPr>
        <w:t>פעולות הביקורת</w:t>
      </w:r>
    </w:p>
    <w:p w:rsidR="00EB672B" w:rsidP="00785F19" w14:paraId="403C8BA3" w14:textId="1ADE2FEA">
      <w:pPr>
        <w:pStyle w:val="7315"/>
        <w:rPr>
          <w:rtl/>
        </w:rPr>
      </w:pPr>
      <w:r w:rsidRPr="001F3363">
        <w:rPr>
          <w:noProof/>
        </w:rPr>
        <w:drawing>
          <wp:anchor distT="0" distB="0" distL="71755" distR="71755" simplePos="0" relativeHeight="251678720" behindDoc="0" locked="0" layoutInCell="1" allowOverlap="1">
            <wp:simplePos x="0" y="0"/>
            <wp:positionH relativeFrom="column">
              <wp:posOffset>4529260</wp:posOffset>
            </wp:positionH>
            <wp:positionV relativeFrom="paragraph">
              <wp:posOffset>50165</wp:posOffset>
            </wp:positionV>
            <wp:extent cx="162000" cy="162000"/>
            <wp:effectExtent l="0" t="0" r="3175" b="3175"/>
            <wp:wrapSquare wrapText="bothSides"/>
            <wp:docPr id="25" name="תמונה 3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 name="תמונה 33">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A74F3" w:rsidR="00785F19">
        <w:rPr>
          <w:rFonts w:hint="cs"/>
          <w:b/>
          <w:bCs/>
          <w:rtl/>
        </w:rPr>
        <w:t>הדוח הקודם:</w:t>
      </w:r>
      <w:r w:rsidR="00785F19">
        <w:rPr>
          <w:rFonts w:hint="cs"/>
          <w:rtl/>
        </w:rPr>
        <w:t xml:space="preserve"> </w:t>
      </w:r>
      <w:r w:rsidRPr="00E86EED" w:rsidR="00785F19">
        <w:rPr>
          <w:rtl/>
        </w:rPr>
        <w:t>בחודשים מרץ</w:t>
      </w:r>
      <w:r w:rsidR="00785F19">
        <w:rPr>
          <w:rFonts w:hint="cs"/>
          <w:rtl/>
        </w:rPr>
        <w:t xml:space="preserve"> עד</w:t>
      </w:r>
      <w:r w:rsidRPr="00E86EED" w:rsidR="00785F19">
        <w:rPr>
          <w:rtl/>
        </w:rPr>
        <w:t xml:space="preserve"> ספטמבר</w:t>
      </w:r>
      <w:r w:rsidR="00785F19">
        <w:rPr>
          <w:rtl/>
        </w:rPr>
        <w:t xml:space="preserve"> </w:t>
      </w:r>
      <w:r w:rsidRPr="00E86EED" w:rsidR="00785F19">
        <w:rPr>
          <w:rtl/>
        </w:rPr>
        <w:t>2017 בדק משרד מבקר המדינה את הסדרת</w:t>
      </w:r>
      <w:r w:rsidR="00785F19">
        <w:rPr>
          <w:rFonts w:hint="cs"/>
          <w:rtl/>
        </w:rPr>
        <w:t xml:space="preserve"> </w:t>
      </w:r>
      <w:r w:rsidRPr="00E86EED" w:rsidR="00785F19">
        <w:rPr>
          <w:rtl/>
        </w:rPr>
        <w:t>ההכשרה של רופאים בין גופי הבריאות ובין האקדמיה. בין השאר נבדקו:</w:t>
      </w:r>
      <w:r w:rsidR="00785F19">
        <w:rPr>
          <w:rFonts w:hint="cs"/>
          <w:rtl/>
        </w:rPr>
        <w:t xml:space="preserve"> </w:t>
      </w:r>
      <w:r w:rsidRPr="00E86EED" w:rsidR="00785F19">
        <w:rPr>
          <w:rtl/>
        </w:rPr>
        <w:t xml:space="preserve">עומס הסטודנטים בשדות </w:t>
      </w:r>
      <w:r w:rsidRPr="00785F19" w:rsidR="00785F19">
        <w:rPr>
          <w:rtl/>
        </w:rPr>
        <w:t>הקליניים</w:t>
      </w:r>
      <w:r w:rsidRPr="00E86EED" w:rsidR="00785F19">
        <w:rPr>
          <w:rtl/>
        </w:rPr>
        <w:t>; ההסכמים בין בתי החולים</w:t>
      </w:r>
      <w:r w:rsidR="00785F19">
        <w:rPr>
          <w:rFonts w:hint="cs"/>
          <w:rtl/>
        </w:rPr>
        <w:t xml:space="preserve"> </w:t>
      </w:r>
      <w:r w:rsidRPr="00E86EED" w:rsidR="00785F19">
        <w:rPr>
          <w:rtl/>
        </w:rPr>
        <w:t xml:space="preserve">לאוניברסיטאות; בחינת הרישוי לבוגרי חו"ל; שנת </w:t>
      </w:r>
      <w:r w:rsidRPr="00E86EED" w:rsidR="00785F19">
        <w:rPr>
          <w:rtl/>
        </w:rPr>
        <w:t>הסטז</w:t>
      </w:r>
      <w:r w:rsidRPr="00E86EED" w:rsidR="00785F19">
        <w:rPr>
          <w:rtl/>
        </w:rPr>
        <w:t>'; אי</w:t>
      </w:r>
      <w:r w:rsidR="00785F19">
        <w:rPr>
          <w:rFonts w:hint="cs"/>
          <w:rtl/>
        </w:rPr>
        <w:t>-</w:t>
      </w:r>
      <w:r w:rsidRPr="00E86EED" w:rsidR="00785F19">
        <w:rPr>
          <w:rtl/>
        </w:rPr>
        <w:t>תכנון מקומות</w:t>
      </w:r>
      <w:r w:rsidR="00785F19">
        <w:rPr>
          <w:rFonts w:hint="cs"/>
          <w:rtl/>
        </w:rPr>
        <w:t xml:space="preserve"> </w:t>
      </w:r>
      <w:r w:rsidRPr="00E86EED" w:rsidR="00785F19">
        <w:rPr>
          <w:rtl/>
        </w:rPr>
        <w:t>לביצוע התמחות; איכות לימודי הרפואה</w:t>
      </w:r>
      <w:r w:rsidR="00785F19">
        <w:rPr>
          <w:rFonts w:hint="cs"/>
          <w:rtl/>
        </w:rPr>
        <w:t>;</w:t>
      </w:r>
      <w:r w:rsidRPr="00E86EED" w:rsidR="00785F19">
        <w:rPr>
          <w:rtl/>
        </w:rPr>
        <w:t xml:space="preserve"> והיעדר תמונת מצב בנוגע למספר</w:t>
      </w:r>
      <w:r w:rsidR="00785F19">
        <w:rPr>
          <w:rFonts w:hint="cs"/>
          <w:rtl/>
        </w:rPr>
        <w:t xml:space="preserve"> </w:t>
      </w:r>
      <w:r w:rsidRPr="00E86EED" w:rsidR="00785F19">
        <w:rPr>
          <w:rtl/>
        </w:rPr>
        <w:t>הרופאים המועסקים במערכת הבריאות</w:t>
      </w:r>
      <w:r>
        <w:rPr>
          <w:rFonts w:hint="cs"/>
          <w:rtl/>
        </w:rPr>
        <w:t>.</w:t>
      </w:r>
      <w:r w:rsidRPr="001F3363">
        <w:rPr>
          <w:rFonts w:hint="cs"/>
          <w:rtl/>
        </w:rPr>
        <w:t xml:space="preserve"> </w:t>
      </w:r>
    </w:p>
    <w:p w:rsidR="00785F19" w:rsidP="00785F19" w14:paraId="58E0DDB4" w14:textId="45140E76">
      <w:pPr>
        <w:pStyle w:val="7315"/>
        <w:rPr>
          <w:rtl/>
        </w:rPr>
      </w:pPr>
      <w:r w:rsidRPr="007A74F3">
        <w:rPr>
          <w:rFonts w:hint="cs"/>
          <w:b/>
          <w:bCs/>
          <w:rtl/>
        </w:rPr>
        <w:t>ביקורת המעקב:</w:t>
      </w:r>
      <w:r>
        <w:rPr>
          <w:rFonts w:hint="cs"/>
          <w:rtl/>
        </w:rPr>
        <w:t xml:space="preserve"> </w:t>
      </w:r>
      <w:r w:rsidRPr="00141D6A">
        <w:rPr>
          <w:rtl/>
        </w:rPr>
        <w:t xml:space="preserve">בחודשים פברואר עד אוגוסט 2023 ביצע משרד מבקר המדינה ביקורת מעקב אחר תיקון הליקויים שהועלו בדוח הקודם. הדוח מציג גם ממצאים נוספים שעלו בביקורת הנוכחית. הביקורת נעשתה במשרד הבריאות, </w:t>
      </w:r>
      <w:r w:rsidRPr="00141D6A">
        <w:rPr>
          <w:rtl/>
        </w:rPr>
        <w:t>במל"ג</w:t>
      </w:r>
      <w:r w:rsidRPr="00141D6A">
        <w:rPr>
          <w:rtl/>
        </w:rPr>
        <w:t>-ות"ת, במשרד האוצר</w:t>
      </w:r>
      <w:r>
        <w:rPr>
          <w:rFonts w:hint="cs"/>
          <w:rtl/>
        </w:rPr>
        <w:t>, ב</w:t>
      </w:r>
      <w:r w:rsidRPr="00141D6A">
        <w:rPr>
          <w:rtl/>
        </w:rPr>
        <w:t>בתי הספר לרפואה באוניברסיטאות</w:t>
      </w:r>
      <w:r>
        <w:rPr>
          <w:rFonts w:hint="cs"/>
          <w:rtl/>
        </w:rPr>
        <w:t xml:space="preserve"> </w:t>
      </w:r>
      <w:r>
        <w:rPr>
          <w:rtl/>
        </w:rPr>
        <w:t>–</w:t>
      </w:r>
      <w:r>
        <w:rPr>
          <w:rFonts w:hint="cs"/>
          <w:rtl/>
        </w:rPr>
        <w:t xml:space="preserve"> </w:t>
      </w:r>
      <w:r w:rsidRPr="00BD73E5">
        <w:rPr>
          <w:rtl/>
        </w:rPr>
        <w:t>האוניברסיטה העברית בירושלים, הטכניון בחיפה, אוניברסיטת תל אביב, אוניברסיטת בן-גוריון בנגב, אוניברסיטת בר-אילן (הפקולטה לרפואה בצפת) ואוניברסיטת אריאל בשומרון</w:t>
      </w:r>
      <w:r>
        <w:rPr>
          <w:rFonts w:hint="cs"/>
          <w:rtl/>
        </w:rPr>
        <w:t>, ב</w:t>
      </w:r>
      <w:r w:rsidRPr="00141D6A">
        <w:rPr>
          <w:rtl/>
        </w:rPr>
        <w:t>בתי חולים כלליים - 11 המרכזים הרפואיים הממשלתיים</w:t>
      </w:r>
      <w:r>
        <w:rPr>
          <w:rStyle w:val="FootnoteReference1"/>
          <w:sz w:val="19"/>
          <w:szCs w:val="19"/>
          <w:rtl/>
        </w:rPr>
        <w:footnoteReference w:id="5"/>
      </w:r>
      <w:r>
        <w:rPr>
          <w:rFonts w:hint="cs"/>
          <w:rtl/>
        </w:rPr>
        <w:t>, שבעה</w:t>
      </w:r>
      <w:r w:rsidRPr="00141D6A">
        <w:rPr>
          <w:rtl/>
        </w:rPr>
        <w:t xml:space="preserve"> מרכזים רפואיים של </w:t>
      </w:r>
      <w:r>
        <w:rPr>
          <w:rFonts w:hint="cs"/>
          <w:rtl/>
        </w:rPr>
        <w:t>שירותי בריאות כללית (</w:t>
      </w:r>
      <w:r w:rsidRPr="00141D6A">
        <w:rPr>
          <w:rtl/>
        </w:rPr>
        <w:t>הכללית</w:t>
      </w:r>
      <w:r>
        <w:rPr>
          <w:rFonts w:hint="cs"/>
          <w:rtl/>
        </w:rPr>
        <w:t>)</w:t>
      </w:r>
      <w:r>
        <w:rPr>
          <w:rStyle w:val="FootnoteReference1"/>
          <w:sz w:val="19"/>
          <w:szCs w:val="19"/>
          <w:rtl/>
        </w:rPr>
        <w:footnoteReference w:id="6"/>
      </w:r>
      <w:r>
        <w:rPr>
          <w:rFonts w:hint="cs"/>
          <w:rtl/>
        </w:rPr>
        <w:t xml:space="preserve">, </w:t>
      </w:r>
      <w:r w:rsidRPr="00141D6A">
        <w:rPr>
          <w:rtl/>
        </w:rPr>
        <w:t>שני מרכזים רפואיים ציבוריים: המרכז הרפואי הדסה והמרכז הרפואי אסותא אשדוד</w:t>
      </w:r>
      <w:r>
        <w:rPr>
          <w:rFonts w:hint="cs"/>
          <w:rtl/>
        </w:rPr>
        <w:t>, ו</w:t>
      </w:r>
      <w:r w:rsidRPr="006B42BA">
        <w:rPr>
          <w:rtl/>
        </w:rPr>
        <w:t>בארבע קופות החולים - הכללית, מכבי שירותי בריאות (מכבי), קופת חולים מאוחדת (מאוחדת) ולאומית שירותי בריאות (לאומית).</w:t>
      </w:r>
    </w:p>
    <w:p w:rsidR="00EB672B" w:rsidP="00C00585" w14:paraId="6DC5AFDF" w14:textId="77777777">
      <w:pPr>
        <w:pStyle w:val="75"/>
        <w:spacing w:before="600"/>
        <w:rPr>
          <w:rtl/>
        </w:rPr>
      </w:pPr>
      <w:r w:rsidRPr="00275281">
        <w:rPr>
          <w:rFonts w:hint="cs"/>
          <w:rtl/>
        </w:rPr>
        <w:t>תמונת המצב העולה מן הביקורת</w:t>
      </w:r>
    </w:p>
    <w:p w:rsidR="00EB672B" w:rsidRPr="00CF6518" w:rsidP="00EB672B" w14:paraId="53F8FF0A" w14:textId="77777777">
      <w:pPr>
        <w:spacing w:after="240"/>
        <w:rPr>
          <w:rtl/>
        </w:rPr>
      </w:pPr>
      <w:r>
        <w:rPr>
          <w:noProof/>
          <w:rtl/>
          <w:lang w:val="he-IL"/>
        </w:rPr>
        <w:drawing>
          <wp:inline distT="0" distB="0" distL="0" distR="0">
            <wp:extent cx="1981200" cy="190500"/>
            <wp:effectExtent l="0" t="0" r="0" b="0"/>
            <wp:docPr id="1310143038" name="תמונה 4" descr="ליקויים">
              <a:extLst xmlns:a="http://schemas.openxmlformats.org/drawingml/2006/main">
                <a:ext xmlns:a="http://schemas.openxmlformats.org/drawingml/2006/main"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143038" name="תמונה 4" descr="ליקויים">
                      <a:extLst>
                        <a:ext xmlns:a="http://schemas.openxmlformats.org/drawingml/2006/main" uri="{C183D7F6-B498-43B3-948B-1728B52AA6E4}">
                          <adec:decorative xmlns:adec="http://schemas.microsoft.com/office/drawing/2017/decorative" val="0"/>
                        </a:ext>
                      </a:extLst>
                    </pic:cNvPr>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81200" cy="190500"/>
                    </a:xfrm>
                    <a:prstGeom prst="rect">
                      <a:avLst/>
                    </a:prstGeom>
                  </pic:spPr>
                </pic:pic>
              </a:graphicData>
            </a:graphic>
          </wp:inline>
        </w:drawing>
      </w:r>
    </w:p>
    <w:p w:rsidR="00AD39FB" w:rsidP="00AD39FB" w14:paraId="48A50A22" w14:textId="0E2E6602">
      <w:pPr>
        <w:pStyle w:val="7315"/>
        <w:rPr>
          <w:rtl/>
        </w:rPr>
      </w:pPr>
      <w:r w:rsidRPr="003F0A00">
        <w:rPr>
          <w:rStyle w:val="7371"/>
          <w:rFonts w:hint="cs"/>
          <w:noProof/>
          <w:rtl/>
        </w:rPr>
        <w:drawing>
          <wp:anchor distT="0" distB="0" distL="71755" distR="0" simplePos="0" relativeHeight="25168691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5"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7E6E58">
        <w:rPr>
          <w:rFonts w:hint="cs"/>
          <w:b/>
          <w:bCs/>
          <w:rtl/>
        </w:rPr>
        <w:t>מחסור ברופאים במקצועות מסוימים</w:t>
      </w:r>
      <w:r w:rsidRPr="007E6E58">
        <w:rPr>
          <w:rFonts w:hint="cs"/>
          <w:rtl/>
        </w:rPr>
        <w:t xml:space="preserve"> </w:t>
      </w:r>
      <w:r>
        <w:rPr>
          <w:rFonts w:hint="cs"/>
          <w:rtl/>
        </w:rPr>
        <w:t>-</w:t>
      </w:r>
      <w:r w:rsidRPr="007E6E58">
        <w:rPr>
          <w:rFonts w:hint="cs"/>
          <w:rtl/>
        </w:rPr>
        <w:t xml:space="preserve"> בביקורת הנוכחית עלה כי לפי נתוניהם של</w:t>
      </w:r>
      <w:r w:rsidRPr="00876AD6">
        <w:rPr>
          <w:rFonts w:hint="cs"/>
          <w:rtl/>
        </w:rPr>
        <w:t xml:space="preserve"> </w:t>
      </w:r>
      <w:r w:rsidRPr="007E6E58">
        <w:rPr>
          <w:rtl/>
        </w:rPr>
        <w:t xml:space="preserve">נציבות שירות המדינה </w:t>
      </w:r>
      <w:r w:rsidRPr="007E6E58">
        <w:rPr>
          <w:rFonts w:hint="cs"/>
          <w:rtl/>
        </w:rPr>
        <w:t xml:space="preserve">ומשרד הבריאות קיים מחסור ברופאים במקצועות האלה: </w:t>
      </w:r>
      <w:r w:rsidRPr="007E6E58">
        <w:rPr>
          <w:rtl/>
        </w:rPr>
        <w:t>גריאטרייה</w:t>
      </w:r>
      <w:r w:rsidRPr="007E6E58">
        <w:rPr>
          <w:rtl/>
        </w:rPr>
        <w:t xml:space="preserve">, </w:t>
      </w:r>
      <w:r w:rsidRPr="007E6E58">
        <w:rPr>
          <w:rtl/>
        </w:rPr>
        <w:t>נוירולוגיית</w:t>
      </w:r>
      <w:r w:rsidRPr="007E6E58">
        <w:rPr>
          <w:rtl/>
        </w:rPr>
        <w:t xml:space="preserve"> ילדים, הרדמה, טיפול נמרץ, </w:t>
      </w:r>
      <w:r w:rsidRPr="007E6E58">
        <w:rPr>
          <w:rtl/>
        </w:rPr>
        <w:t>כירורגייה</w:t>
      </w:r>
      <w:r w:rsidRPr="007E6E58">
        <w:rPr>
          <w:rtl/>
        </w:rPr>
        <w:t xml:space="preserve"> כללית, כירורגיית ילדים</w:t>
      </w:r>
      <w:r w:rsidRPr="007E6E58">
        <w:rPr>
          <w:rFonts w:hint="cs"/>
          <w:rtl/>
        </w:rPr>
        <w:t xml:space="preserve">, רפואה פנימית, </w:t>
      </w:r>
      <w:r w:rsidRPr="007E6E58">
        <w:rPr>
          <w:rtl/>
        </w:rPr>
        <w:t xml:space="preserve">אונקולוגיה, רפואה דחופה (טיפול נמרץ), פתולוגיה, רדיולוגיה, שיקום, נוירולוגיה, רפואה משפטית </w:t>
      </w:r>
      <w:r w:rsidRPr="007E6E58">
        <w:rPr>
          <w:rtl/>
        </w:rPr>
        <w:t>ופסיכיאטרייה</w:t>
      </w:r>
      <w:r w:rsidRPr="007E6E58">
        <w:rPr>
          <w:rFonts w:hint="cs"/>
          <w:rtl/>
        </w:rPr>
        <w:t xml:space="preserve">. כך למשל, </w:t>
      </w:r>
      <w:r w:rsidRPr="007E6E58">
        <w:rPr>
          <w:rtl/>
        </w:rPr>
        <w:t>בשנת 2022 המליצה הוועדה לבחינת מקצוע הנוירולוגיה בבתי החולים ובקהילה להגדיל את מספר הנוירולוגים בכ-300 רופאים מומחים כדי למלא את צורכי האוכלוסייה באותה העת</w:t>
      </w:r>
      <w:r w:rsidRPr="007E6E58">
        <w:rPr>
          <w:rFonts w:hint="cs"/>
          <w:rtl/>
        </w:rPr>
        <w:t>.</w:t>
      </w:r>
      <w:r w:rsidRPr="007E6E58">
        <w:rPr>
          <w:rtl/>
        </w:rPr>
        <w:t xml:space="preserve"> בתחום </w:t>
      </w:r>
      <w:r w:rsidRPr="007E6E58">
        <w:rPr>
          <w:rtl/>
        </w:rPr>
        <w:t>הפסיכיאטרייה</w:t>
      </w:r>
      <w:r w:rsidRPr="007E6E58">
        <w:rPr>
          <w:rtl/>
        </w:rPr>
        <w:t xml:space="preserve"> </w:t>
      </w:r>
      <w:r w:rsidRPr="007E6E58">
        <w:rPr>
          <w:rtl/>
        </w:rPr>
        <w:t>נאמד המחסור בשנת 2019 בכ-280 רופאים (בבתי חולים ובקהילה)</w:t>
      </w:r>
      <w:r>
        <w:rPr>
          <w:rFonts w:hint="cs"/>
          <w:rtl/>
        </w:rPr>
        <w:t>.</w:t>
      </w:r>
      <w:r w:rsidRPr="007E6E58">
        <w:rPr>
          <w:rFonts w:hint="cs"/>
          <w:rtl/>
        </w:rPr>
        <w:t xml:space="preserve"> </w:t>
      </w:r>
      <w:r w:rsidRPr="007E6E58">
        <w:rPr>
          <w:rtl/>
        </w:rPr>
        <w:t xml:space="preserve">הצורך ברופאים פסיכיאטריים והמחסור בהם בשירות הציבורי בולט במיוחד נוכח המלחמה שפרצה </w:t>
      </w:r>
      <w:r>
        <w:rPr>
          <w:rFonts w:hint="cs"/>
          <w:rtl/>
        </w:rPr>
        <w:t>בשבעה</w:t>
      </w:r>
      <w:r w:rsidRPr="007E6E58">
        <w:rPr>
          <w:rtl/>
        </w:rPr>
        <w:t xml:space="preserve"> באוקטובר 2023 ("חרבות ברזל") אשר לה השלכות על הבריאות הנפשית והחוסן הנפשי של כלל הציבור בישראל.</w:t>
      </w:r>
      <w:r>
        <w:rPr>
          <w:rFonts w:hint="cs"/>
          <w:rtl/>
        </w:rPr>
        <w:t xml:space="preserve"> </w:t>
      </w:r>
      <w:r w:rsidRPr="00F31A4A">
        <w:rPr>
          <w:rtl/>
        </w:rPr>
        <w:t>לפי חישוב של משרד הבריאות לחיזוי שיעור הרופאים בשנים הבאות</w:t>
      </w:r>
      <w:r>
        <w:rPr>
          <w:rFonts w:hint="cs"/>
          <w:rtl/>
        </w:rPr>
        <w:t xml:space="preserve"> (החישוב לא כלל גידול במספר הסטודנטים לרפואה)</w:t>
      </w:r>
      <w:r w:rsidRPr="00F31A4A">
        <w:rPr>
          <w:rtl/>
        </w:rPr>
        <w:t xml:space="preserve">, בשנת 2035 </w:t>
      </w:r>
      <w:r w:rsidRPr="00F31A4A">
        <w:rPr>
          <w:rFonts w:hint="cs"/>
          <w:rtl/>
        </w:rPr>
        <w:t>המחסור ברופאים אף יגדל כך ש</w:t>
      </w:r>
      <w:r w:rsidRPr="00F31A4A">
        <w:rPr>
          <w:rtl/>
        </w:rPr>
        <w:t>שיעור הרופאים</w:t>
      </w:r>
      <w:r w:rsidRPr="00F31A4A">
        <w:rPr>
          <w:rFonts w:hint="cs"/>
          <w:rtl/>
        </w:rPr>
        <w:t xml:space="preserve"> י</w:t>
      </w:r>
      <w:r>
        <w:rPr>
          <w:rFonts w:hint="cs"/>
          <w:rtl/>
        </w:rPr>
        <w:t>היה</w:t>
      </w:r>
      <w:r w:rsidRPr="00F31A4A">
        <w:rPr>
          <w:rtl/>
        </w:rPr>
        <w:t xml:space="preserve"> 3.</w:t>
      </w:r>
      <w:r w:rsidRPr="00805AF2">
        <w:rPr>
          <w:rtl/>
        </w:rPr>
        <w:t>02 רופאים ל-1,</w:t>
      </w:r>
      <w:r w:rsidRPr="00F31A4A">
        <w:rPr>
          <w:rtl/>
        </w:rPr>
        <w:t xml:space="preserve">000 נפש, </w:t>
      </w:r>
      <w:r>
        <w:rPr>
          <w:rFonts w:hint="cs"/>
          <w:rtl/>
        </w:rPr>
        <w:t>קטן</w:t>
      </w:r>
      <w:r w:rsidRPr="00F31A4A">
        <w:rPr>
          <w:rtl/>
        </w:rPr>
        <w:t xml:space="preserve"> משיעורם בשנת 2020 - 3.3 רופאים ל-1,000 נפש</w:t>
      </w:r>
      <w:r w:rsidRPr="00AF3B73">
        <w:rPr>
          <w:rtl/>
        </w:rPr>
        <w:t>.</w:t>
      </w:r>
    </w:p>
    <w:p w:rsidR="00BC6DAD" w:rsidP="00BC6DAD" w14:paraId="597E5E97" w14:textId="362A9849">
      <w:pPr>
        <w:pStyle w:val="7315"/>
        <w:rPr>
          <w:rtl/>
        </w:rPr>
      </w:pPr>
      <w:r w:rsidRPr="003F0A00">
        <w:rPr>
          <w:rStyle w:val="7371"/>
          <w:rFonts w:hint="cs"/>
          <w:noProof/>
          <w:rtl/>
        </w:rPr>
        <w:drawing>
          <wp:anchor distT="0" distB="0" distL="71755" distR="0" simplePos="0" relativeHeight="251687936"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1"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Pr>
          <w:rFonts w:hint="cs"/>
          <w:b/>
          <w:bCs/>
          <w:rtl/>
        </w:rPr>
        <w:t xml:space="preserve">השפעת </w:t>
      </w:r>
      <w:r w:rsidRPr="00D56516">
        <w:rPr>
          <w:rFonts w:hint="cs"/>
          <w:b/>
          <w:bCs/>
          <w:rtl/>
        </w:rPr>
        <w:t>רפורמת יציב</w:t>
      </w:r>
      <w:r>
        <w:rPr>
          <w:rStyle w:val="FootnoteReference1"/>
          <w:b/>
          <w:bCs/>
          <w:sz w:val="19"/>
          <w:szCs w:val="19"/>
          <w:rtl/>
        </w:rPr>
        <w:footnoteReference w:id="7"/>
      </w:r>
      <w:r>
        <w:rPr>
          <w:rFonts w:hint="cs"/>
          <w:b/>
          <w:bCs/>
          <w:rtl/>
        </w:rPr>
        <w:t xml:space="preserve"> על </w:t>
      </w:r>
      <w:r w:rsidRPr="00D56516">
        <w:rPr>
          <w:b/>
          <w:bCs/>
          <w:rtl/>
        </w:rPr>
        <w:t xml:space="preserve">הצורך בתכנון </w:t>
      </w:r>
      <w:r>
        <w:rPr>
          <w:rFonts w:hint="cs"/>
          <w:b/>
          <w:bCs/>
          <w:rtl/>
        </w:rPr>
        <w:t>מספר הרופאים</w:t>
      </w:r>
      <w:r w:rsidRPr="00D56516">
        <w:rPr>
          <w:rFonts w:hint="cs"/>
          <w:b/>
          <w:bCs/>
          <w:rtl/>
        </w:rPr>
        <w:t xml:space="preserve"> </w:t>
      </w:r>
      <w:r w:rsidRPr="009B03C9">
        <w:rPr>
          <w:rFonts w:hint="cs"/>
          <w:rtl/>
        </w:rPr>
        <w:t>-</w:t>
      </w:r>
      <w:r w:rsidRPr="00D56516">
        <w:rPr>
          <w:rFonts w:hint="cs"/>
          <w:b/>
          <w:bCs/>
          <w:rtl/>
        </w:rPr>
        <w:t xml:space="preserve"> </w:t>
      </w:r>
      <w:r w:rsidRPr="00D56516">
        <w:rPr>
          <w:rtl/>
        </w:rPr>
        <w:t xml:space="preserve">בשנת 2022 ניתנו </w:t>
      </w:r>
      <w:r>
        <w:rPr>
          <w:rFonts w:hint="cs"/>
          <w:rtl/>
        </w:rPr>
        <w:t>1,025</w:t>
      </w:r>
      <w:r w:rsidRPr="00D56516">
        <w:rPr>
          <w:rtl/>
        </w:rPr>
        <w:t xml:space="preserve"> רישיונות רפואה בישראל לבוגרי חו"ל; </w:t>
      </w:r>
      <w:r>
        <w:rPr>
          <w:rFonts w:hint="cs"/>
          <w:rtl/>
        </w:rPr>
        <w:t>634</w:t>
      </w:r>
      <w:r w:rsidRPr="00D56516">
        <w:rPr>
          <w:rtl/>
        </w:rPr>
        <w:t xml:space="preserve"> (כ-6</w:t>
      </w:r>
      <w:r>
        <w:rPr>
          <w:rFonts w:hint="cs"/>
          <w:rtl/>
        </w:rPr>
        <w:t>2</w:t>
      </w:r>
      <w:r w:rsidRPr="00D56516">
        <w:rPr>
          <w:rtl/>
        </w:rPr>
        <w:t xml:space="preserve">%) מהם ניתנו לישראלים שלמדו רפואה באוניברסיטאות שלגביהן הוחלט, במסגרת רפורמת יציב, שסטודנטים </w:t>
      </w:r>
      <w:r w:rsidRPr="00E954A2">
        <w:rPr>
          <w:rtl/>
        </w:rPr>
        <w:t>שהתחילו את לימודי הרפואה בהן החל ב</w:t>
      </w:r>
      <w:r w:rsidRPr="00E954A2">
        <w:rPr>
          <w:rFonts w:hint="cs"/>
          <w:rtl/>
        </w:rPr>
        <w:t xml:space="preserve">שנת </w:t>
      </w:r>
      <w:r w:rsidRPr="00E954A2">
        <w:rPr>
          <w:rtl/>
        </w:rPr>
        <w:t xml:space="preserve">2019 לא יוכלו לגשת למבחן רישוי ברפואה בישראל וממילא לא יוכלו לעסוק ברפואה בישראל. </w:t>
      </w:r>
      <w:r w:rsidRPr="00E954A2">
        <w:rPr>
          <w:rFonts w:hint="cs"/>
          <w:rtl/>
        </w:rPr>
        <w:t>רפורמת יציב א</w:t>
      </w:r>
      <w:r w:rsidRPr="00E954A2">
        <w:rPr>
          <w:rtl/>
        </w:rPr>
        <w:t>מורה להבטיח ש</w:t>
      </w:r>
      <w:r w:rsidRPr="00E954A2">
        <w:rPr>
          <w:rFonts w:hint="cs"/>
          <w:rtl/>
        </w:rPr>
        <w:t xml:space="preserve">רק </w:t>
      </w:r>
      <w:r w:rsidRPr="00E954A2">
        <w:rPr>
          <w:rtl/>
        </w:rPr>
        <w:t>סטודנטים בוגרי אוניברסיטאות בחו"ל</w:t>
      </w:r>
      <w:r w:rsidRPr="00E954A2">
        <w:rPr>
          <w:rFonts w:hint="cs"/>
          <w:rtl/>
        </w:rPr>
        <w:t>,</w:t>
      </w:r>
      <w:r w:rsidRPr="00E954A2">
        <w:rPr>
          <w:rtl/>
        </w:rPr>
        <w:t xml:space="preserve"> שהאגף לרישוי מקצועות רפואיים הכיר בהן</w:t>
      </w:r>
      <w:r w:rsidRPr="00E954A2">
        <w:rPr>
          <w:rFonts w:hint="cs"/>
          <w:rtl/>
        </w:rPr>
        <w:t xml:space="preserve"> </w:t>
      </w:r>
      <w:r w:rsidRPr="00BC6DAD">
        <w:rPr>
          <w:rFonts w:hint="cs"/>
          <w:rtl/>
        </w:rPr>
        <w:t>כעומדות</w:t>
      </w:r>
      <w:r w:rsidRPr="00E954A2">
        <w:rPr>
          <w:rFonts w:hint="cs"/>
          <w:rtl/>
        </w:rPr>
        <w:t xml:space="preserve"> </w:t>
      </w:r>
      <w:r w:rsidRPr="00E954A2">
        <w:rPr>
          <w:rtl/>
        </w:rPr>
        <w:t>בסטנדרטים מקצועיים שקבעו מומחים בארץ</w:t>
      </w:r>
      <w:r w:rsidRPr="00E954A2">
        <w:rPr>
          <w:rFonts w:hint="cs"/>
          <w:rtl/>
        </w:rPr>
        <w:t>, יוכלו לגשת לבחינת הרישוי בישראל</w:t>
      </w:r>
      <w:r w:rsidRPr="00E954A2">
        <w:rPr>
          <w:rtl/>
        </w:rPr>
        <w:t>.</w:t>
      </w:r>
      <w:r w:rsidRPr="00E954A2">
        <w:rPr>
          <w:rFonts w:hint="cs"/>
          <w:rtl/>
        </w:rPr>
        <w:t xml:space="preserve"> עם זאת </w:t>
      </w:r>
      <w:r w:rsidRPr="00E954A2">
        <w:rPr>
          <w:rtl/>
        </w:rPr>
        <w:t xml:space="preserve">יצוין כי רופאים שלמדו בחו"ל באוניברסיטאות שנפסלו השתלבו בעיקר בפריפריה: על פי נתוני משרד הבריאות בנוגע לרופאים שקיבלו רישיון בשנת 2022, שיעורם הוא 51% מהרופאים בנגב ו-63% מהרופאים בגליל, ובסך הכול שיעורם עמד על 34% מכלל הרופאים </w:t>
      </w:r>
      <w:r w:rsidRPr="00E954A2">
        <w:rPr>
          <w:rFonts w:hint="cs"/>
          <w:rtl/>
        </w:rPr>
        <w:t xml:space="preserve">שקיבלו רישיון בשנה זו </w:t>
      </w:r>
      <w:r w:rsidRPr="00E954A2">
        <w:rPr>
          <w:rtl/>
        </w:rPr>
        <w:t>בישראל.</w:t>
      </w:r>
      <w:r w:rsidRPr="00E21419">
        <w:rPr>
          <w:rtl/>
        </w:rPr>
        <w:t xml:space="preserve"> </w:t>
      </w:r>
      <w:r w:rsidRPr="00E21419">
        <w:rPr>
          <w:rFonts w:hint="cs"/>
          <w:rtl/>
        </w:rPr>
        <w:t>מכאן שר</w:t>
      </w:r>
      <w:r w:rsidRPr="00E954A2">
        <w:rPr>
          <w:rtl/>
        </w:rPr>
        <w:t>פורמת</w:t>
      </w:r>
      <w:r w:rsidRPr="001D60F8">
        <w:rPr>
          <w:rtl/>
        </w:rPr>
        <w:t xml:space="preserve"> יציב </w:t>
      </w:r>
      <w:r w:rsidRPr="001D60F8">
        <w:rPr>
          <w:rFonts w:hint="cs"/>
          <w:rtl/>
        </w:rPr>
        <w:t>ת</w:t>
      </w:r>
      <w:r w:rsidRPr="001D60F8">
        <w:rPr>
          <w:rtl/>
        </w:rPr>
        <w:t xml:space="preserve">פגע בעיקר </w:t>
      </w:r>
      <w:r>
        <w:rPr>
          <w:rFonts w:hint="cs"/>
          <w:rtl/>
        </w:rPr>
        <w:t xml:space="preserve">במספר הרופאים </w:t>
      </w:r>
      <w:r w:rsidRPr="001D60F8">
        <w:rPr>
          <w:rtl/>
        </w:rPr>
        <w:t>באזורי הפריפריה (בצפון ובדרום)</w:t>
      </w:r>
      <w:r w:rsidRPr="00AF3B73">
        <w:rPr>
          <w:rtl/>
        </w:rPr>
        <w:t>.</w:t>
      </w:r>
    </w:p>
    <w:p w:rsidR="003C1B3C" w:rsidP="00BC6DAD" w14:paraId="5867E301" w14:textId="53B619AE">
      <w:pPr>
        <w:pStyle w:val="7315"/>
        <w:rPr>
          <w:rtl/>
        </w:rPr>
      </w:pPr>
      <w:r w:rsidRPr="003F0A00">
        <w:rPr>
          <w:rStyle w:val="7371"/>
          <w:rFonts w:hint="cs"/>
          <w:noProof/>
          <w:rtl/>
        </w:rPr>
        <w:drawing>
          <wp:anchor distT="0" distB="0" distL="71755" distR="0" simplePos="0" relativeHeight="25168896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3"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Pr>
          <w:rFonts w:hint="cs"/>
          <w:b/>
          <w:bCs/>
          <w:rtl/>
        </w:rPr>
        <w:t xml:space="preserve">תכנון כוח אדם ברפואה </w:t>
      </w:r>
      <w:r w:rsidRPr="005313FD">
        <w:rPr>
          <w:rFonts w:hint="cs"/>
          <w:rtl/>
        </w:rPr>
        <w:t>-</w:t>
      </w:r>
      <w:r>
        <w:rPr>
          <w:rFonts w:hint="cs"/>
          <w:b/>
          <w:bCs/>
          <w:rtl/>
        </w:rPr>
        <w:t xml:space="preserve"> </w:t>
      </w:r>
      <w:r w:rsidRPr="00CA2D4E">
        <w:rPr>
          <w:rFonts w:hint="cs"/>
          <w:rtl/>
        </w:rPr>
        <w:t>בביקורת הקודמת עלה כי</w:t>
      </w:r>
      <w:r>
        <w:rPr>
          <w:rFonts w:hint="cs"/>
          <w:rtl/>
        </w:rPr>
        <w:t xml:space="preserve"> </w:t>
      </w:r>
      <w:r w:rsidRPr="00034AEB">
        <w:rPr>
          <w:rtl/>
        </w:rPr>
        <w:t>למשרד הבריאות אין תוכנית רב-שנתית שתקבע את הצרכים העתידיים בכל תחום התמחות</w:t>
      </w:r>
      <w:r>
        <w:rPr>
          <w:rFonts w:hint="cs"/>
          <w:rtl/>
        </w:rPr>
        <w:t xml:space="preserve"> של רופאים</w:t>
      </w:r>
      <w:r w:rsidRPr="00034AEB">
        <w:rPr>
          <w:rtl/>
        </w:rPr>
        <w:t xml:space="preserve"> וכמה מקומות </w:t>
      </w:r>
      <w:r>
        <w:rPr>
          <w:rFonts w:hint="cs"/>
          <w:rtl/>
        </w:rPr>
        <w:t xml:space="preserve">(תקנים) </w:t>
      </w:r>
      <w:r w:rsidRPr="00034AEB">
        <w:rPr>
          <w:rtl/>
        </w:rPr>
        <w:t>הוא מתעתד להוסיף בכל תחום ובכל בית חולים.</w:t>
      </w:r>
      <w:r>
        <w:rPr>
          <w:rFonts w:hint="cs"/>
          <w:rtl/>
        </w:rPr>
        <w:t xml:space="preserve"> </w:t>
      </w:r>
      <w:r w:rsidRPr="005313FD">
        <w:rPr>
          <w:rFonts w:hint="cs"/>
          <w:rtl/>
        </w:rPr>
        <w:t>בביקורת המעקב נמצא כי הליקוי תוקן</w:t>
      </w:r>
      <w:r w:rsidRPr="002A4CE9">
        <w:rPr>
          <w:rFonts w:hint="cs"/>
          <w:b/>
          <w:bCs/>
          <w:rtl/>
        </w:rPr>
        <w:t xml:space="preserve"> במידה מועטה</w:t>
      </w:r>
      <w:r>
        <w:rPr>
          <w:rFonts w:hint="cs"/>
          <w:rtl/>
        </w:rPr>
        <w:t xml:space="preserve">. </w:t>
      </w:r>
      <w:r w:rsidRPr="00034AEB">
        <w:rPr>
          <w:rtl/>
        </w:rPr>
        <w:t>עלה כי אומנם למשרד הבריאות יש מודל לחיזוי שיעור הרופאים הצפוי ל-1,000 נפש</w:t>
      </w:r>
      <w:r>
        <w:rPr>
          <w:rFonts w:hint="cs"/>
          <w:rtl/>
        </w:rPr>
        <w:t>,</w:t>
      </w:r>
      <w:r w:rsidRPr="00034AEB">
        <w:rPr>
          <w:rtl/>
        </w:rPr>
        <w:t xml:space="preserve"> והוא גיבש תוכנית פרטנית להגדלת מספרם של לומדי הרפואה בישראל, אך שלא כמו מדינות מתקדמות בעולם כדוגמת אר</w:t>
      </w:r>
      <w:r>
        <w:rPr>
          <w:rFonts w:hint="cs"/>
          <w:rtl/>
        </w:rPr>
        <w:t xml:space="preserve">צות </w:t>
      </w:r>
      <w:r w:rsidRPr="00034AEB">
        <w:rPr>
          <w:rtl/>
        </w:rPr>
        <w:t>הב</w:t>
      </w:r>
      <w:r>
        <w:rPr>
          <w:rFonts w:hint="cs"/>
          <w:rtl/>
        </w:rPr>
        <w:t>רית</w:t>
      </w:r>
      <w:r w:rsidRPr="00034AEB">
        <w:rPr>
          <w:rtl/>
        </w:rPr>
        <w:t xml:space="preserve">, אנגלייה, קנדה, צרפת, </w:t>
      </w:r>
      <w:r w:rsidRPr="00BC6DAD">
        <w:rPr>
          <w:rtl/>
        </w:rPr>
        <w:t>אוסטרליה</w:t>
      </w:r>
      <w:r w:rsidRPr="00034AEB">
        <w:rPr>
          <w:rtl/>
        </w:rPr>
        <w:t xml:space="preserve"> </w:t>
      </w:r>
      <w:r w:rsidRPr="00034AEB">
        <w:rPr>
          <w:rtl/>
        </w:rPr>
        <w:t>ובלגייה</w:t>
      </w:r>
      <w:r w:rsidRPr="00034AEB">
        <w:rPr>
          <w:rtl/>
        </w:rPr>
        <w:t>, אין לו מנגנון מקצועי לתכנון אסטרטגי של כוח אדם רפואי שיאפשר לו לגבש תוכנית רב-שנתית מתאימה</w:t>
      </w:r>
      <w:r>
        <w:rPr>
          <w:rFonts w:hint="cs"/>
          <w:rtl/>
        </w:rPr>
        <w:t xml:space="preserve"> לצורכי האוכלוסייה</w:t>
      </w:r>
      <w:r w:rsidRPr="00034AEB">
        <w:rPr>
          <w:rtl/>
        </w:rPr>
        <w:t>. המשרד גם לא ביצע הערכת מצב מדויקת ובפרט לא מיפה את הנתונים לגבי הרופאים המומחים בכל תחום והמחסור בהם ולא העריך את הצורך העתידי ברופאים על פי תחומי</w:t>
      </w:r>
      <w:r>
        <w:rPr>
          <w:rFonts w:hint="cs"/>
          <w:rtl/>
        </w:rPr>
        <w:t xml:space="preserve"> התמחות</w:t>
      </w:r>
      <w:r w:rsidRPr="00034AEB">
        <w:rPr>
          <w:rtl/>
        </w:rPr>
        <w:t xml:space="preserve"> ופיזור גיאוגרפי.</w:t>
      </w:r>
      <w:r w:rsidRPr="00972EBF">
        <w:rPr>
          <w:rtl/>
        </w:rPr>
        <w:t xml:space="preserve"> </w:t>
      </w:r>
      <w:r>
        <w:rPr>
          <w:rFonts w:hint="cs"/>
          <w:rtl/>
        </w:rPr>
        <w:t xml:space="preserve">עוד </w:t>
      </w:r>
      <w:r w:rsidRPr="00972EBF">
        <w:rPr>
          <w:rtl/>
        </w:rPr>
        <w:t xml:space="preserve">עלה שלמשרד הבריאות אין נתונים מלאים על </w:t>
      </w:r>
      <w:r>
        <w:rPr>
          <w:rFonts w:hint="cs"/>
          <w:rtl/>
        </w:rPr>
        <w:t xml:space="preserve">אלפי </w:t>
      </w:r>
      <w:r w:rsidRPr="00972EBF">
        <w:rPr>
          <w:rtl/>
        </w:rPr>
        <w:t>רופאים ה</w:t>
      </w:r>
      <w:r>
        <w:rPr>
          <w:rFonts w:hint="cs"/>
          <w:rtl/>
        </w:rPr>
        <w:t>שוהים</w:t>
      </w:r>
      <w:r w:rsidRPr="00972EBF">
        <w:rPr>
          <w:rtl/>
        </w:rPr>
        <w:t xml:space="preserve"> </w:t>
      </w:r>
      <w:r>
        <w:rPr>
          <w:rFonts w:hint="cs"/>
          <w:rtl/>
        </w:rPr>
        <w:t>ב</w:t>
      </w:r>
      <w:r w:rsidRPr="00972EBF">
        <w:rPr>
          <w:rtl/>
        </w:rPr>
        <w:t>חו"ל</w:t>
      </w:r>
      <w:r>
        <w:rPr>
          <w:rFonts w:hint="cs"/>
          <w:rtl/>
        </w:rPr>
        <w:t xml:space="preserve"> (משרד הבריאות העריך כי</w:t>
      </w:r>
      <w:r w:rsidRPr="00573535">
        <w:rPr>
          <w:rtl/>
        </w:rPr>
        <w:t xml:space="preserve"> בשנת 2022 כ-3,700 רופאים שהו בחו"ל</w:t>
      </w:r>
      <w:r>
        <w:rPr>
          <w:rFonts w:hint="cs"/>
          <w:rtl/>
        </w:rPr>
        <w:t>)</w:t>
      </w:r>
      <w:r w:rsidRPr="00972EBF">
        <w:rPr>
          <w:rtl/>
        </w:rPr>
        <w:t>, על משך שהייתם שם, על רופאים שעברו לחו"ל ושבים ארצה ועל מועד חזרתם הצפוי</w:t>
      </w:r>
      <w:r>
        <w:rPr>
          <w:rFonts w:hint="cs"/>
          <w:rtl/>
        </w:rPr>
        <w:t>, ואין</w:t>
      </w:r>
      <w:r w:rsidRPr="00972EBF">
        <w:rPr>
          <w:rtl/>
        </w:rPr>
        <w:t xml:space="preserve"> למשרד מערך או תוכנית סדורה להשב</w:t>
      </w:r>
      <w:r>
        <w:rPr>
          <w:rFonts w:hint="cs"/>
          <w:rtl/>
        </w:rPr>
        <w:t>תם.</w:t>
      </w:r>
    </w:p>
    <w:p w:rsidR="003C1B3C" w14:paraId="0C040679" w14:textId="77777777">
      <w:pPr>
        <w:bidi w:val="0"/>
        <w:spacing w:after="200" w:line="276" w:lineRule="auto"/>
        <w:rPr>
          <w:rFonts w:ascii="Tahoma" w:hAnsi="Tahoma" w:cs="Tahoma"/>
          <w:color w:val="0D0D0D" w:themeColor="text1" w:themeTint="F2"/>
          <w:sz w:val="18"/>
          <w:szCs w:val="18"/>
          <w:rtl/>
        </w:rPr>
      </w:pPr>
      <w:r>
        <w:rPr>
          <w:rtl/>
        </w:rPr>
        <w:br w:type="page"/>
      </w:r>
    </w:p>
    <w:p w:rsidR="003C1B3C" w:rsidRPr="003C1B3C" w:rsidP="003C1B3C" w14:paraId="117916C4" w14:textId="3502B3D9">
      <w:pPr>
        <w:pStyle w:val="7315"/>
        <w:rPr>
          <w:b/>
          <w:bCs/>
          <w:rtl/>
        </w:rPr>
      </w:pPr>
      <w:r w:rsidRPr="003F0A00">
        <w:rPr>
          <w:rStyle w:val="7371"/>
          <w:rFonts w:hint="cs"/>
          <w:noProof/>
          <w:rtl/>
        </w:rPr>
        <w:drawing>
          <wp:anchor distT="0" distB="0" distL="71755" distR="0" simplePos="0" relativeHeight="251691008" behindDoc="1" locked="0" layoutInCell="1" allowOverlap="1">
            <wp:simplePos x="0" y="0"/>
            <wp:positionH relativeFrom="column">
              <wp:posOffset>4530090</wp:posOffset>
            </wp:positionH>
            <wp:positionV relativeFrom="paragraph">
              <wp:posOffset>29845</wp:posOffset>
            </wp:positionV>
            <wp:extent cx="161925" cy="161925"/>
            <wp:effectExtent l="0" t="0" r="9525" b="9525"/>
            <wp:wrapTight wrapText="bothSides">
              <wp:wrapPolygon>
                <wp:start x="0" y="0"/>
                <wp:lineTo x="0" y="20329"/>
                <wp:lineTo x="20329" y="20329"/>
                <wp:lineTo x="20329" y="0"/>
                <wp:lineTo x="0" y="0"/>
              </wp:wrapPolygon>
            </wp:wrapTight>
            <wp:docPr id="2"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3C1B3C">
        <w:rPr>
          <w:rtl/>
        </w:rPr>
        <w:t xml:space="preserve"> </w:t>
      </w:r>
      <w:r>
        <w:rPr>
          <w:rtl/>
        </w:rPr>
        <w:tab/>
      </w:r>
      <w:r w:rsidRPr="003C1B3C">
        <w:rPr>
          <w:b/>
          <w:bCs/>
          <w:rtl/>
        </w:rPr>
        <w:t>שימוש במשאב הלאומי "שדות קליניים" בבתי החולים בישראל</w:t>
      </w:r>
    </w:p>
    <w:p w:rsidR="009641EB" w:rsidP="000152F7" w14:paraId="554EA05A" w14:textId="67464BFA">
      <w:pPr>
        <w:pStyle w:val="754"/>
      </w:pPr>
      <w:r>
        <w:rPr>
          <w:rFonts w:hint="cs"/>
          <w:b/>
          <w:bCs/>
          <w:rtl/>
        </w:rPr>
        <w:t xml:space="preserve">הכשרת סטודנטים בשדות הקליניים בישראל </w:t>
      </w:r>
      <w:r w:rsidRPr="00AA0321">
        <w:rPr>
          <w:rFonts w:hint="cs"/>
          <w:rtl/>
        </w:rPr>
        <w:t>-</w:t>
      </w:r>
      <w:r>
        <w:rPr>
          <w:rFonts w:hint="cs"/>
          <w:b/>
          <w:bCs/>
          <w:rtl/>
        </w:rPr>
        <w:t xml:space="preserve"> </w:t>
      </w:r>
      <w:r w:rsidRPr="005B0054">
        <w:rPr>
          <w:rtl/>
        </w:rPr>
        <w:t xml:space="preserve">סטודנטים לרפואה מישראל לומדים חלק גדול מלימודיהם הקליניים בשדות קליניים - מדובר בקבוצות לימוד ליד מיטת החולה בהדרכתם של רופאי בית החולים. בית חולים שמפעיל שדות קליניים נדרש לקבל לשם כך הסמכה מטעם האוניברסיטה שיש לה הסכם </w:t>
      </w:r>
      <w:r w:rsidRPr="005B0054">
        <w:rPr>
          <w:rtl/>
        </w:rPr>
        <w:t>איתו</w:t>
      </w:r>
      <w:r w:rsidRPr="005B0054">
        <w:rPr>
          <w:rtl/>
        </w:rPr>
        <w:t>.</w:t>
      </w:r>
      <w:r>
        <w:rPr>
          <w:rFonts w:hint="cs"/>
          <w:rtl/>
        </w:rPr>
        <w:t xml:space="preserve"> </w:t>
      </w:r>
      <w:r w:rsidRPr="005B0054">
        <w:rPr>
          <w:rtl/>
        </w:rPr>
        <w:t>איכות ההכשרה הקלינית תלויה בכמה מרכיבים</w:t>
      </w:r>
      <w:r>
        <w:rPr>
          <w:rFonts w:hint="cs"/>
          <w:rtl/>
        </w:rPr>
        <w:t>;</w:t>
      </w:r>
      <w:r w:rsidRPr="005B0054">
        <w:rPr>
          <w:rtl/>
        </w:rPr>
        <w:t xml:space="preserve"> חלק</w:t>
      </w:r>
      <w:r>
        <w:rPr>
          <w:rFonts w:hint="cs"/>
          <w:rtl/>
        </w:rPr>
        <w:t xml:space="preserve"> מהמרכיבים הם</w:t>
      </w:r>
      <w:r w:rsidRPr="005B0054">
        <w:rPr>
          <w:rtl/>
        </w:rPr>
        <w:t xml:space="preserve"> כמותניים, למשל מספר המיטות המתאימות להכשרה במחלקות של בתי החולים, מספר הסטודנטים בקבוצת הלימוד שליד מיטת החולה ומספר שבועות ההוראה במחלקות בבתי החולים.</w:t>
      </w:r>
      <w:r>
        <w:rPr>
          <w:rFonts w:hint="cs"/>
          <w:rtl/>
        </w:rPr>
        <w:t xml:space="preserve"> בביקורת עלה כי </w:t>
      </w:r>
      <w:r w:rsidRPr="005B0054">
        <w:rPr>
          <w:rtl/>
        </w:rPr>
        <w:t>על פי נתוני ה-</w:t>
      </w:r>
      <w:r w:rsidRPr="005B0054">
        <w:t>OECD</w:t>
      </w:r>
      <w:r w:rsidRPr="005B0054">
        <w:rPr>
          <w:rtl/>
        </w:rPr>
        <w:t>, בשנת 2020 הכשירה מדינת ישראל</w:t>
      </w:r>
      <w:r>
        <w:rPr>
          <w:rFonts w:hint="cs"/>
          <w:rtl/>
        </w:rPr>
        <w:t xml:space="preserve"> רק</w:t>
      </w:r>
      <w:r w:rsidRPr="005B0054">
        <w:rPr>
          <w:rtl/>
        </w:rPr>
        <w:t xml:space="preserve"> 24 סטודנטים לכל 1,000 מיטות</w:t>
      </w:r>
      <w:r>
        <w:rPr>
          <w:rFonts w:hint="cs"/>
          <w:rtl/>
        </w:rPr>
        <w:t xml:space="preserve"> אשפוז</w:t>
      </w:r>
      <w:r w:rsidRPr="005B0054">
        <w:rPr>
          <w:rtl/>
        </w:rPr>
        <w:t>, פחות מממוצע ה-</w:t>
      </w:r>
      <w:r w:rsidRPr="005B0054">
        <w:t>OECD</w:t>
      </w:r>
      <w:r w:rsidRPr="005B0054">
        <w:rPr>
          <w:rtl/>
        </w:rPr>
        <w:t xml:space="preserve"> שהיה 38 סטודנטים לכל 1,000 מיטות</w:t>
      </w:r>
      <w:r>
        <w:rPr>
          <w:rFonts w:hint="cs"/>
          <w:rtl/>
        </w:rPr>
        <w:t xml:space="preserve"> אשפוז</w:t>
      </w:r>
      <w:r w:rsidRPr="005B0054">
        <w:rPr>
          <w:rtl/>
        </w:rPr>
        <w:t>, ואף הגיע ל-80 סטודנטים בדנמרק</w:t>
      </w:r>
      <w:r w:rsidRPr="003C68AA">
        <w:rPr>
          <w:rFonts w:hint="cs"/>
          <w:rtl/>
        </w:rPr>
        <w:t>.</w:t>
      </w:r>
    </w:p>
    <w:p w:rsidR="002C169F" w:rsidP="00F846CD" w14:paraId="67699AB5" w14:textId="39234C4B">
      <w:pPr>
        <w:pStyle w:val="754"/>
      </w:pPr>
      <w:r w:rsidRPr="004B4291">
        <w:rPr>
          <w:b/>
          <w:bCs/>
          <w:rtl/>
        </w:rPr>
        <w:t>האחריות לניהול מצאי השדות הקליניים בישראל</w:t>
      </w:r>
      <w:r w:rsidRPr="004B4291">
        <w:rPr>
          <w:rFonts w:hint="cs"/>
          <w:b/>
          <w:bCs/>
          <w:rtl/>
        </w:rPr>
        <w:t xml:space="preserve"> </w:t>
      </w:r>
      <w:r w:rsidRPr="00AA0321">
        <w:rPr>
          <w:rFonts w:hint="cs"/>
          <w:rtl/>
        </w:rPr>
        <w:t>-</w:t>
      </w:r>
      <w:r>
        <w:rPr>
          <w:rFonts w:hint="cs"/>
          <w:rtl/>
        </w:rPr>
        <w:t xml:space="preserve"> בביקורת הקודמת עלה כי </w:t>
      </w:r>
      <w:r w:rsidRPr="00856515">
        <w:rPr>
          <w:rtl/>
        </w:rPr>
        <w:t xml:space="preserve">אף שמשרד הבריאות ומל"ג נושאים באחריות משותפת, כל אחד בתחומו, להסדרת מערך ההכשרה הקלינית ולפיקוח עליה, מתברר כי ההוראה הקלינית במסגרת השדות הקליניים אינה מוסדרת כלל. משרד הבריאות, האמור להיות גם גוף מנחה, לא קבע הוראות להפעלתם של שדות קליניים, ואף </w:t>
      </w:r>
      <w:r w:rsidRPr="00856515">
        <w:rPr>
          <w:rtl/>
        </w:rPr>
        <w:t>המל"ג</w:t>
      </w:r>
      <w:r w:rsidRPr="00856515">
        <w:rPr>
          <w:rtl/>
        </w:rPr>
        <w:t xml:space="preserve"> לא הסדיר זאת.</w:t>
      </w:r>
      <w:r>
        <w:rPr>
          <w:rFonts w:hint="cs"/>
          <w:rtl/>
        </w:rPr>
        <w:t xml:space="preserve"> </w:t>
      </w:r>
      <w:r w:rsidRPr="00AA0321">
        <w:rPr>
          <w:rFonts w:hint="cs"/>
          <w:rtl/>
        </w:rPr>
        <w:t>בביקורת המעקב עלה כי</w:t>
      </w:r>
      <w:r w:rsidRPr="0099057E">
        <w:rPr>
          <w:rFonts w:hint="cs"/>
          <w:b/>
          <w:bCs/>
          <w:rtl/>
        </w:rPr>
        <w:t xml:space="preserve"> </w:t>
      </w:r>
      <w:r w:rsidRPr="00AA0321">
        <w:rPr>
          <w:rFonts w:hint="cs"/>
          <w:rtl/>
        </w:rPr>
        <w:t>הליקוי</w:t>
      </w:r>
      <w:r w:rsidRPr="0099057E">
        <w:rPr>
          <w:rFonts w:hint="cs"/>
          <w:b/>
          <w:bCs/>
          <w:rtl/>
        </w:rPr>
        <w:t xml:space="preserve"> לא תוקן</w:t>
      </w:r>
      <w:r>
        <w:rPr>
          <w:rFonts w:hint="cs"/>
          <w:rtl/>
        </w:rPr>
        <w:t xml:space="preserve">. </w:t>
      </w:r>
      <w:r w:rsidRPr="001B1D10">
        <w:rPr>
          <w:rtl/>
        </w:rPr>
        <w:t>עלה כי אף ש</w:t>
      </w:r>
      <w:r>
        <w:rPr>
          <w:rFonts w:hint="cs"/>
          <w:rtl/>
        </w:rPr>
        <w:t xml:space="preserve">משרד הבריאות </w:t>
      </w:r>
      <w:r>
        <w:rPr>
          <w:rFonts w:hint="cs"/>
          <w:rtl/>
        </w:rPr>
        <w:t>והמל"ג</w:t>
      </w:r>
      <w:r w:rsidRPr="001B1D10">
        <w:rPr>
          <w:rtl/>
        </w:rPr>
        <w:t xml:space="preserve"> אחראים לתוכנית לימודי הרפואה, הם לא קבעו את תחומי האחריות של כל אחד מהם בנוגע לתכנון, לניהול ולהפעלה של השדות הקליניים המשולבים בתוכנית הלימודים</w:t>
      </w:r>
      <w:r w:rsidRPr="003C68AA">
        <w:rPr>
          <w:rFonts w:hint="cs"/>
          <w:rtl/>
        </w:rPr>
        <w:t>.</w:t>
      </w:r>
    </w:p>
    <w:p w:rsidR="002C169F" w:rsidP="002C169F" w14:paraId="0EDDA0AC" w14:textId="3D310DE2">
      <w:pPr>
        <w:pStyle w:val="754"/>
      </w:pPr>
      <w:r w:rsidRPr="00BB6D50">
        <w:rPr>
          <w:b/>
          <w:bCs/>
          <w:rtl/>
        </w:rPr>
        <w:t>תמונת המצב בנוגע למספר השדות הקליניים</w:t>
      </w:r>
      <w:r w:rsidRPr="00BB6D50">
        <w:rPr>
          <w:rFonts w:hint="cs"/>
          <w:b/>
          <w:bCs/>
          <w:rtl/>
        </w:rPr>
        <w:t xml:space="preserve"> </w:t>
      </w:r>
      <w:r w:rsidRPr="00BB6D50">
        <w:rPr>
          <w:rFonts w:hint="cs"/>
          <w:rtl/>
        </w:rPr>
        <w:t>-</w:t>
      </w:r>
      <w:r w:rsidRPr="00BB6D50">
        <w:rPr>
          <w:rFonts w:hint="cs"/>
          <w:b/>
          <w:bCs/>
          <w:rtl/>
        </w:rPr>
        <w:t xml:space="preserve"> </w:t>
      </w:r>
      <w:r w:rsidRPr="00BB6D50">
        <w:rPr>
          <w:rFonts w:hint="cs"/>
          <w:rtl/>
        </w:rPr>
        <w:t xml:space="preserve">בביקורת הקודמת עלה כי </w:t>
      </w:r>
      <w:r w:rsidRPr="00BB6D50">
        <w:rPr>
          <w:rtl/>
        </w:rPr>
        <w:t>ההוראה בבתי החולים במסגרת השדות הקליניים אינה מוסדרת</w:t>
      </w:r>
      <w:r w:rsidRPr="00BB6D50">
        <w:rPr>
          <w:rFonts w:hint="cs"/>
          <w:rtl/>
        </w:rPr>
        <w:t>,</w:t>
      </w:r>
      <w:r w:rsidRPr="00BB6D50">
        <w:rPr>
          <w:rtl/>
        </w:rPr>
        <w:t xml:space="preserve"> </w:t>
      </w:r>
      <w:r w:rsidRPr="00BB6D50">
        <w:rPr>
          <w:rtl/>
        </w:rPr>
        <w:t>ולמל"ג</w:t>
      </w:r>
      <w:r w:rsidRPr="00BB6D50">
        <w:rPr>
          <w:rtl/>
        </w:rPr>
        <w:t>-ות"ת ולמשרד הבריאות אין תמונת מצב מלאה בנוגע למספר השדות הקליניים הקיימים ולפיזורם בין כלל בתי החולים.</w:t>
      </w:r>
      <w:r w:rsidRPr="00BB6D50">
        <w:rPr>
          <w:rFonts w:hint="cs"/>
          <w:rtl/>
        </w:rPr>
        <w:t xml:space="preserve"> בביקורת המעקב נמצא כי</w:t>
      </w:r>
      <w:r w:rsidRPr="00BB6D50">
        <w:rPr>
          <w:rFonts w:hint="cs"/>
          <w:b/>
          <w:bCs/>
          <w:rtl/>
        </w:rPr>
        <w:t xml:space="preserve"> </w:t>
      </w:r>
      <w:r w:rsidRPr="00BB6D50">
        <w:rPr>
          <w:rFonts w:hint="cs"/>
          <w:rtl/>
        </w:rPr>
        <w:t>הליקוי</w:t>
      </w:r>
      <w:r w:rsidRPr="00BB6D50">
        <w:rPr>
          <w:rFonts w:hint="cs"/>
          <w:b/>
          <w:bCs/>
          <w:rtl/>
        </w:rPr>
        <w:t xml:space="preserve"> תוקן במידה חלקית</w:t>
      </w:r>
      <w:r w:rsidRPr="00BB6D50">
        <w:rPr>
          <w:rFonts w:hint="cs"/>
          <w:rtl/>
        </w:rPr>
        <w:t>.</w:t>
      </w:r>
      <w:r w:rsidRPr="00BB6D50">
        <w:rPr>
          <w:rtl/>
        </w:rPr>
        <w:t xml:space="preserve"> עלה</w:t>
      </w:r>
      <w:r w:rsidRPr="00BB6D50">
        <w:rPr>
          <w:rFonts w:hint="cs"/>
          <w:rtl/>
        </w:rPr>
        <w:t xml:space="preserve"> כי </w:t>
      </w:r>
      <w:r w:rsidRPr="00BB6D50">
        <w:rPr>
          <w:rtl/>
        </w:rPr>
        <w:t xml:space="preserve">משרד הבריאות </w:t>
      </w:r>
      <w:r w:rsidRPr="00BB6D50">
        <w:rPr>
          <w:rtl/>
        </w:rPr>
        <w:t>והמל"ג</w:t>
      </w:r>
      <w:r w:rsidRPr="00BB6D50">
        <w:rPr>
          <w:rtl/>
        </w:rPr>
        <w:t xml:space="preserve"> ערכו בשנת 2022 מיפוי מלא של השדות הקליניים </w:t>
      </w:r>
      <w:r w:rsidRPr="00BB6D50">
        <w:rPr>
          <w:rFonts w:hint="cs"/>
          <w:rtl/>
        </w:rPr>
        <w:t xml:space="preserve">רק </w:t>
      </w:r>
      <w:r w:rsidRPr="00BB6D50">
        <w:rPr>
          <w:rtl/>
        </w:rPr>
        <w:t>בארבע</w:t>
      </w:r>
      <w:r w:rsidRPr="00BB6D50">
        <w:rPr>
          <w:rFonts w:hint="cs"/>
          <w:rtl/>
        </w:rPr>
        <w:t>ת</w:t>
      </w:r>
      <w:r w:rsidRPr="00BB6D50">
        <w:rPr>
          <w:rtl/>
        </w:rPr>
        <w:t xml:space="preserve"> סוגי </w:t>
      </w:r>
      <w:r w:rsidRPr="002C169F">
        <w:rPr>
          <w:rtl/>
        </w:rPr>
        <w:t>המחלקות</w:t>
      </w:r>
      <w:r w:rsidRPr="00BB6D50">
        <w:rPr>
          <w:rtl/>
        </w:rPr>
        <w:t xml:space="preserve"> העיקריות בבתי החולים שבהן מתבצעת ההכשרה ה</w:t>
      </w:r>
      <w:r>
        <w:rPr>
          <w:rFonts w:hint="cs"/>
          <w:rtl/>
        </w:rPr>
        <w:t>קלינית</w:t>
      </w:r>
      <w:r w:rsidRPr="00BB6D50">
        <w:rPr>
          <w:rFonts w:hint="cs"/>
          <w:rtl/>
        </w:rPr>
        <w:t xml:space="preserve"> (</w:t>
      </w:r>
      <w:r w:rsidRPr="00BB6D50">
        <w:rPr>
          <w:rtl/>
        </w:rPr>
        <w:t xml:space="preserve">מחלקת נשים, מחלקת ילדים, </w:t>
      </w:r>
      <w:r w:rsidRPr="00BB6D50">
        <w:rPr>
          <w:rFonts w:hint="cs"/>
          <w:rtl/>
        </w:rPr>
        <w:t>ה</w:t>
      </w:r>
      <w:r w:rsidRPr="00BB6D50">
        <w:rPr>
          <w:rtl/>
        </w:rPr>
        <w:t xml:space="preserve">מחלקה </w:t>
      </w:r>
      <w:r w:rsidRPr="00BB6D50">
        <w:rPr>
          <w:rFonts w:hint="cs"/>
          <w:rtl/>
        </w:rPr>
        <w:t>ה</w:t>
      </w:r>
      <w:r w:rsidRPr="00BB6D50">
        <w:rPr>
          <w:rtl/>
        </w:rPr>
        <w:t>כירורגית ו</w:t>
      </w:r>
      <w:r w:rsidRPr="00BB6D50">
        <w:rPr>
          <w:rFonts w:hint="cs"/>
          <w:rtl/>
        </w:rPr>
        <w:t>ה</w:t>
      </w:r>
      <w:r w:rsidRPr="00BB6D50">
        <w:rPr>
          <w:rtl/>
        </w:rPr>
        <w:t xml:space="preserve">מחלקה </w:t>
      </w:r>
      <w:r w:rsidRPr="00BB6D50">
        <w:rPr>
          <w:rFonts w:hint="cs"/>
          <w:rtl/>
        </w:rPr>
        <w:t>ה</w:t>
      </w:r>
      <w:r w:rsidRPr="00BB6D50">
        <w:rPr>
          <w:rtl/>
        </w:rPr>
        <w:t>פנימית</w:t>
      </w:r>
      <w:r w:rsidRPr="00BB6D50">
        <w:rPr>
          <w:rFonts w:hint="cs"/>
          <w:rtl/>
        </w:rPr>
        <w:t>)</w:t>
      </w:r>
      <w:r w:rsidRPr="00BB6D50">
        <w:rPr>
          <w:rtl/>
        </w:rPr>
        <w:t>.</w:t>
      </w:r>
      <w:r w:rsidRPr="00BB6D50">
        <w:rPr>
          <w:rFonts w:hint="cs"/>
          <w:rtl/>
        </w:rPr>
        <w:t xml:space="preserve"> </w:t>
      </w:r>
      <w:r w:rsidRPr="00BB6D50">
        <w:rPr>
          <w:rtl/>
        </w:rPr>
        <w:t xml:space="preserve">אשר ליתר המחלקות, שגם בהן הסטודנטים עוברים הכשרה קלינית </w:t>
      </w:r>
      <w:r w:rsidR="00FC3005">
        <w:rPr>
          <w:rFonts w:hint="cs"/>
          <w:rtl/>
        </w:rPr>
        <w:t xml:space="preserve">             </w:t>
      </w:r>
      <w:r w:rsidRPr="00BB6D50">
        <w:rPr>
          <w:rtl/>
        </w:rPr>
        <w:t xml:space="preserve">(כ-25 מחלקות), משרד הבריאות </w:t>
      </w:r>
      <w:r w:rsidRPr="00BB6D50">
        <w:rPr>
          <w:rtl/>
        </w:rPr>
        <w:t>והמל"ג</w:t>
      </w:r>
      <w:r w:rsidRPr="00BB6D50">
        <w:rPr>
          <w:rtl/>
        </w:rPr>
        <w:t xml:space="preserve"> לא ביצעו מיפוי</w:t>
      </w:r>
      <w:r>
        <w:rPr>
          <w:rFonts w:hint="cs"/>
          <w:rtl/>
        </w:rPr>
        <w:t>.</w:t>
      </w:r>
    </w:p>
    <w:p w:rsidR="00BC6DAD" w:rsidRPr="000152F7" w:rsidP="00FC3005" w14:paraId="1B20E7C3" w14:textId="3DC96E8B">
      <w:pPr>
        <w:pStyle w:val="754"/>
        <w:rPr>
          <w:rtl/>
        </w:rPr>
      </w:pPr>
      <w:r w:rsidRPr="00FD3F63">
        <w:rPr>
          <w:b/>
          <w:bCs/>
          <w:rtl/>
        </w:rPr>
        <w:t xml:space="preserve">סטודנטים ישראלים שלומדים בחו"ל </w:t>
      </w:r>
      <w:r w:rsidRPr="00FD3F63">
        <w:rPr>
          <w:rFonts w:hint="cs"/>
          <w:b/>
          <w:bCs/>
          <w:rtl/>
        </w:rPr>
        <w:t xml:space="preserve">ועוברים הכשרה קלינית </w:t>
      </w:r>
      <w:r w:rsidRPr="00FD3F63">
        <w:rPr>
          <w:b/>
          <w:bCs/>
          <w:rtl/>
        </w:rPr>
        <w:t>בבתי החולים בארץ</w:t>
      </w:r>
      <w:r w:rsidRPr="00FD3F63">
        <w:rPr>
          <w:rFonts w:hint="cs"/>
          <w:b/>
          <w:bCs/>
          <w:rtl/>
        </w:rPr>
        <w:t xml:space="preserve"> </w:t>
      </w:r>
      <w:r w:rsidRPr="00FD3F63">
        <w:rPr>
          <w:rFonts w:hint="cs"/>
          <w:rtl/>
        </w:rPr>
        <w:t>-</w:t>
      </w:r>
      <w:r w:rsidRPr="00FD3F63">
        <w:rPr>
          <w:rtl/>
        </w:rPr>
        <w:t xml:space="preserve"> עלה כי משרד הבריאות </w:t>
      </w:r>
      <w:r w:rsidRPr="00FD3F63">
        <w:rPr>
          <w:rtl/>
        </w:rPr>
        <w:t>והמל"ג</w:t>
      </w:r>
      <w:r w:rsidRPr="00FD3F63">
        <w:rPr>
          <w:rtl/>
        </w:rPr>
        <w:t xml:space="preserve"> לא הסדירו במשותף את הפעלת ההכשרה הקלינית של הסטודנטים הישראלים מחו"ל ש</w:t>
      </w:r>
      <w:r w:rsidRPr="00FD3F63">
        <w:rPr>
          <w:rFonts w:hint="cs"/>
          <w:rtl/>
        </w:rPr>
        <w:t>עובר</w:t>
      </w:r>
      <w:r w:rsidRPr="00FD3F63">
        <w:rPr>
          <w:rtl/>
        </w:rPr>
        <w:t>ים</w:t>
      </w:r>
      <w:r w:rsidRPr="00A51CD4">
        <w:rPr>
          <w:rtl/>
        </w:rPr>
        <w:t xml:space="preserve"> הכשרה בשדות קליניים בארץ</w:t>
      </w:r>
      <w:r>
        <w:rPr>
          <w:rFonts w:hint="cs"/>
          <w:rtl/>
        </w:rPr>
        <w:t>,</w:t>
      </w:r>
      <w:r w:rsidRPr="00A51CD4">
        <w:rPr>
          <w:rtl/>
        </w:rPr>
        <w:t xml:space="preserve"> ובפועל הם</w:t>
      </w:r>
      <w:r>
        <w:rPr>
          <w:rFonts w:hint="cs"/>
          <w:rtl/>
        </w:rPr>
        <w:t xml:space="preserve"> אינם</w:t>
      </w:r>
      <w:r w:rsidRPr="00A51CD4">
        <w:rPr>
          <w:rtl/>
        </w:rPr>
        <w:t xml:space="preserve"> </w:t>
      </w:r>
      <w:r w:rsidRPr="001C425A">
        <w:rPr>
          <w:rtl/>
        </w:rPr>
        <w:t>יודעים מה היקף הכשרה זו ואין להם מידע על הסטודנטים הלומדים במסגרתה. כך עלה ש</w:t>
      </w:r>
      <w:r w:rsidRPr="00A51CD4">
        <w:rPr>
          <w:rtl/>
        </w:rPr>
        <w:t xml:space="preserve">בשנה"ל </w:t>
      </w:r>
      <w:r w:rsidRPr="00A51CD4">
        <w:rPr>
          <w:rtl/>
        </w:rPr>
        <w:t>התשפ"ב</w:t>
      </w:r>
      <w:r w:rsidRPr="00A51CD4">
        <w:rPr>
          <w:rtl/>
        </w:rPr>
        <w:t xml:space="preserve"> (</w:t>
      </w:r>
      <w:r>
        <w:rPr>
          <w:rFonts w:hint="cs"/>
          <w:rtl/>
        </w:rPr>
        <w:t xml:space="preserve">אוקטובר </w:t>
      </w:r>
      <w:r w:rsidRPr="00A51CD4">
        <w:rPr>
          <w:rtl/>
        </w:rPr>
        <w:t xml:space="preserve">2021 - </w:t>
      </w:r>
      <w:r>
        <w:rPr>
          <w:rFonts w:hint="cs"/>
          <w:rtl/>
        </w:rPr>
        <w:t xml:space="preserve">ספטמבר </w:t>
      </w:r>
      <w:r w:rsidRPr="00A51CD4">
        <w:rPr>
          <w:rtl/>
        </w:rPr>
        <w:t xml:space="preserve">2022) הוכשרו בשדות הקליניים בארץ 900 </w:t>
      </w:r>
      <w:r w:rsidRPr="00FC3005">
        <w:rPr>
          <w:rtl/>
        </w:rPr>
        <w:t>סטודנטים</w:t>
      </w:r>
      <w:r w:rsidRPr="00A51CD4">
        <w:rPr>
          <w:rtl/>
        </w:rPr>
        <w:t xml:space="preserve"> ישראלים שלמדו רפואה באוניברסיטאות בחו"ל</w:t>
      </w:r>
      <w:r>
        <w:rPr>
          <w:rFonts w:hint="cs"/>
          <w:rtl/>
        </w:rPr>
        <w:t xml:space="preserve"> (לכל הפחות במשך שבוע אחד של הכשרה)</w:t>
      </w:r>
      <w:r w:rsidRPr="00A51CD4">
        <w:rPr>
          <w:rtl/>
        </w:rPr>
        <w:t xml:space="preserve">, ובשנה"ל </w:t>
      </w:r>
      <w:r w:rsidRPr="00A51CD4">
        <w:rPr>
          <w:rtl/>
        </w:rPr>
        <w:t>התשפ"ג</w:t>
      </w:r>
      <w:r w:rsidRPr="00881AA4">
        <w:rPr>
          <w:rtl/>
        </w:rPr>
        <w:t xml:space="preserve"> (</w:t>
      </w:r>
      <w:r>
        <w:rPr>
          <w:rFonts w:hint="cs"/>
          <w:rtl/>
        </w:rPr>
        <w:t xml:space="preserve">אוקטובר </w:t>
      </w:r>
      <w:r w:rsidRPr="00881AA4">
        <w:rPr>
          <w:rtl/>
        </w:rPr>
        <w:t>2022 -</w:t>
      </w:r>
      <w:r>
        <w:rPr>
          <w:rFonts w:hint="cs"/>
          <w:rtl/>
        </w:rPr>
        <w:t xml:space="preserve"> ספטמבר</w:t>
      </w:r>
      <w:r w:rsidRPr="00881AA4">
        <w:rPr>
          <w:rtl/>
        </w:rPr>
        <w:t xml:space="preserve"> 2023) </w:t>
      </w:r>
      <w:r>
        <w:rPr>
          <w:rFonts w:hint="cs"/>
          <w:rtl/>
        </w:rPr>
        <w:t>גדל</w:t>
      </w:r>
      <w:r w:rsidRPr="00881AA4">
        <w:rPr>
          <w:rtl/>
        </w:rPr>
        <w:t xml:space="preserve"> </w:t>
      </w:r>
      <w:r w:rsidRPr="00387703">
        <w:rPr>
          <w:rtl/>
        </w:rPr>
        <w:t>מספרם</w:t>
      </w:r>
      <w:r w:rsidRPr="00881AA4">
        <w:rPr>
          <w:rtl/>
        </w:rPr>
        <w:t xml:space="preserve"> לכ-1,050</w:t>
      </w:r>
      <w:r>
        <w:rPr>
          <w:rStyle w:val="FootnoteReference1"/>
          <w:sz w:val="19"/>
          <w:szCs w:val="19"/>
          <w:rtl/>
        </w:rPr>
        <w:footnoteReference w:id="8"/>
      </w:r>
      <w:r>
        <w:rPr>
          <w:rFonts w:hint="cs"/>
          <w:rtl/>
        </w:rPr>
        <w:t xml:space="preserve">, </w:t>
      </w:r>
      <w:r w:rsidRPr="003C1B3C">
        <w:rPr>
          <w:rFonts w:hint="cs"/>
          <w:rtl/>
        </w:rPr>
        <w:t>זאת</w:t>
      </w:r>
      <w:r>
        <w:rPr>
          <w:rFonts w:hint="cs"/>
          <w:rtl/>
        </w:rPr>
        <w:t xml:space="preserve"> לעומת </w:t>
      </w:r>
      <w:r w:rsidR="00FC3005">
        <w:rPr>
          <w:rFonts w:hint="cs"/>
          <w:rtl/>
        </w:rPr>
        <w:t xml:space="preserve">        </w:t>
      </w:r>
      <w:r>
        <w:rPr>
          <w:rFonts w:hint="cs"/>
          <w:rtl/>
        </w:rPr>
        <w:t xml:space="preserve">כ-2,100 סטודנטים ישראלים שלומדים בישראל שהוכשרו בשדות הקליניים בכל </w:t>
      </w:r>
      <w:r>
        <w:rPr>
          <w:rFonts w:hint="cs"/>
          <w:rtl/>
        </w:rPr>
        <w:t xml:space="preserve">אחת מהשנים האלה (יובהר כי הסטודנטים </w:t>
      </w:r>
      <w:r w:rsidRPr="004B3910">
        <w:rPr>
          <w:rFonts w:hint="cs"/>
          <w:rtl/>
        </w:rPr>
        <w:t>הישראלים</w:t>
      </w:r>
      <w:r>
        <w:rPr>
          <w:rFonts w:hint="cs"/>
          <w:rtl/>
        </w:rPr>
        <w:t xml:space="preserve"> שעוברים הכשרה קלינית בישראל עוברים הכשרה של עשרות שבועות). </w:t>
      </w:r>
      <w:r w:rsidRPr="00BF03F1">
        <w:rPr>
          <w:rtl/>
        </w:rPr>
        <w:t xml:space="preserve">נוצר מצב שבו משרד הבריאות </w:t>
      </w:r>
      <w:r w:rsidRPr="00BF03F1">
        <w:rPr>
          <w:rtl/>
        </w:rPr>
        <w:t>והמל"ג</w:t>
      </w:r>
      <w:r w:rsidRPr="00BF03F1">
        <w:rPr>
          <w:rtl/>
        </w:rPr>
        <w:t xml:space="preserve"> מצויים באי-בהירות בנוגע למיצוי השדות הקליניים בבתי החולים, ולכן תמונת המצב המצויה בידיהם בנוגע למשאב זה אינה משקפת את המצב לאשורו. הדבר פוגע בבסיס המידע הנדרש למשרד </w:t>
      </w:r>
      <w:r w:rsidRPr="00BF03F1">
        <w:rPr>
          <w:rtl/>
        </w:rPr>
        <w:t>ולמל"ג</w:t>
      </w:r>
      <w:r w:rsidRPr="00BF03F1">
        <w:rPr>
          <w:rtl/>
        </w:rPr>
        <w:t xml:space="preserve"> על מנת לבצע תכנון ארוך טווח למספר הסטודנטים שילמדו רפואה לצורך מיצוי פוטנציאל השדות הקליניים הקיימים, לרבות האפשרות להגדיל את מספר הסטודנטים</w:t>
      </w:r>
      <w:r w:rsidR="00FC3005">
        <w:rPr>
          <w:rFonts w:hint="cs"/>
          <w:rtl/>
        </w:rPr>
        <w:t>.</w:t>
      </w:r>
    </w:p>
    <w:p w:rsidR="00387703" w:rsidRPr="00C96EB9" w:rsidP="004B3910" w14:paraId="37CFE637" w14:textId="77777777">
      <w:pPr>
        <w:pStyle w:val="754"/>
      </w:pPr>
      <w:r w:rsidRPr="004B3910">
        <w:rPr>
          <w:b/>
          <w:bCs/>
          <w:rtl/>
        </w:rPr>
        <w:t>הפעלה של השדות הקליניים - עומס סטודנטים בהכשרה הקלינית</w:t>
      </w:r>
      <w:r w:rsidRPr="004B3910">
        <w:rPr>
          <w:rFonts w:hint="cs"/>
          <w:b/>
          <w:bCs/>
          <w:rtl/>
        </w:rPr>
        <w:t xml:space="preserve">: קביעת מתכונת ההפעלה של השדות הקליניים מבחינת גודל קבוצת הלימוד על ידי </w:t>
      </w:r>
      <w:r w:rsidRPr="004B3910">
        <w:rPr>
          <w:rFonts w:hint="cs"/>
          <w:b/>
          <w:bCs/>
          <w:rtl/>
        </w:rPr>
        <w:t>המל"ג</w:t>
      </w:r>
      <w:r w:rsidRPr="004B3910">
        <w:rPr>
          <w:rFonts w:hint="cs"/>
          <w:b/>
          <w:bCs/>
          <w:rtl/>
        </w:rPr>
        <w:t xml:space="preserve"> ומשרד הבריאות</w:t>
      </w:r>
      <w:r w:rsidRPr="00364C4E">
        <w:rPr>
          <w:rFonts w:hint="cs"/>
          <w:rtl/>
        </w:rPr>
        <w:t xml:space="preserve"> -</w:t>
      </w:r>
      <w:r>
        <w:rPr>
          <w:rFonts w:hint="cs"/>
          <w:rtl/>
        </w:rPr>
        <w:t xml:space="preserve"> </w:t>
      </w:r>
      <w:r w:rsidRPr="00C96EB9">
        <w:rPr>
          <w:rFonts w:hint="cs"/>
          <w:rtl/>
        </w:rPr>
        <w:t xml:space="preserve">בביקורת הקודמת עלה כי </w:t>
      </w:r>
      <w:r w:rsidRPr="00C96EB9">
        <w:rPr>
          <w:rtl/>
        </w:rPr>
        <w:t>המל"ג</w:t>
      </w:r>
      <w:r w:rsidRPr="00C96EB9">
        <w:rPr>
          <w:rtl/>
        </w:rPr>
        <w:t xml:space="preserve"> ומשרד הבריאות, בשיתוף הפקולטות לרפואה ובתי החולים, לא קבעו את מתכונת ההפעלה המחייבת של השדות הקליניים מבחינת </w:t>
      </w:r>
      <w:r w:rsidRPr="00387703">
        <w:rPr>
          <w:rtl/>
        </w:rPr>
        <w:t>גודלה</w:t>
      </w:r>
      <w:r w:rsidRPr="00C96EB9">
        <w:rPr>
          <w:rtl/>
        </w:rPr>
        <w:t xml:space="preserve"> של קבוצת הלימוד.</w:t>
      </w:r>
      <w:r w:rsidRPr="00C96EB9">
        <w:rPr>
          <w:rFonts w:hint="cs"/>
          <w:rtl/>
        </w:rPr>
        <w:t xml:space="preserve"> </w:t>
      </w:r>
      <w:r w:rsidRPr="00894A97">
        <w:rPr>
          <w:rFonts w:hint="cs"/>
          <w:rtl/>
        </w:rPr>
        <w:t>בביקורת המעקב עלה כי הליקוי</w:t>
      </w:r>
      <w:r w:rsidRPr="00C96EB9">
        <w:rPr>
          <w:rFonts w:hint="cs"/>
          <w:rtl/>
        </w:rPr>
        <w:t xml:space="preserve"> </w:t>
      </w:r>
      <w:r w:rsidRPr="000C368E">
        <w:rPr>
          <w:rFonts w:hint="cs"/>
          <w:b/>
          <w:bCs/>
          <w:rtl/>
        </w:rPr>
        <w:t>לא תוקן</w:t>
      </w:r>
      <w:r w:rsidRPr="004A19C4">
        <w:rPr>
          <w:rFonts w:hint="cs"/>
          <w:rtl/>
        </w:rPr>
        <w:t>.</w:t>
      </w:r>
      <w:r w:rsidRPr="00C96EB9">
        <w:rPr>
          <w:rFonts w:hint="cs"/>
          <w:rtl/>
        </w:rPr>
        <w:t xml:space="preserve"> </w:t>
      </w:r>
      <w:r w:rsidRPr="00C96EB9">
        <w:rPr>
          <w:rtl/>
        </w:rPr>
        <w:t>המל"ג</w:t>
      </w:r>
      <w:r w:rsidRPr="00C96EB9">
        <w:rPr>
          <w:rtl/>
        </w:rPr>
        <w:t xml:space="preserve"> </w:t>
      </w:r>
      <w:r w:rsidRPr="004B3910">
        <w:rPr>
          <w:rtl/>
        </w:rPr>
        <w:t>ומשרד</w:t>
      </w:r>
      <w:r w:rsidRPr="00C96EB9">
        <w:rPr>
          <w:rtl/>
        </w:rPr>
        <w:t xml:space="preserve"> הבריאות, בשיתוף הפקולטות לרפואה ובתי החולים, </w:t>
      </w:r>
      <w:r>
        <w:rPr>
          <w:rFonts w:hint="cs"/>
          <w:rtl/>
        </w:rPr>
        <w:t xml:space="preserve">עדיין </w:t>
      </w:r>
      <w:r w:rsidRPr="00C96EB9">
        <w:rPr>
          <w:rtl/>
        </w:rPr>
        <w:t>לא קבעו את מתכונת ההפעלה המחייבת של השדות הקליניים מבחינת גודל קבוצת הלימוד - מספר הסטודנטים המזערי, המיטבי והמרבי בכל קבוצה</w:t>
      </w:r>
      <w:r w:rsidRPr="00C96EB9">
        <w:rPr>
          <w:rFonts w:hint="cs"/>
          <w:rtl/>
        </w:rPr>
        <w:t>.</w:t>
      </w:r>
    </w:p>
    <w:p w:rsidR="00387703" w:rsidP="004B3910" w14:paraId="3DBFAC90" w14:textId="68E6CE2D">
      <w:pPr>
        <w:pStyle w:val="754"/>
      </w:pPr>
      <w:r>
        <w:rPr>
          <w:rFonts w:hint="cs"/>
          <w:b/>
          <w:bCs/>
          <w:rtl/>
        </w:rPr>
        <w:t>ה</w:t>
      </w:r>
      <w:r w:rsidRPr="004B4291">
        <w:rPr>
          <w:b/>
          <w:bCs/>
          <w:rtl/>
        </w:rPr>
        <w:t xml:space="preserve">הפעלה של </w:t>
      </w:r>
      <w:r>
        <w:rPr>
          <w:rFonts w:hint="cs"/>
          <w:b/>
          <w:bCs/>
          <w:rtl/>
        </w:rPr>
        <w:t>ה</w:t>
      </w:r>
      <w:r w:rsidRPr="004B4291">
        <w:rPr>
          <w:b/>
          <w:bCs/>
          <w:rtl/>
        </w:rPr>
        <w:t xml:space="preserve">שדות </w:t>
      </w:r>
      <w:r>
        <w:rPr>
          <w:rFonts w:hint="cs"/>
          <w:b/>
          <w:bCs/>
          <w:rtl/>
        </w:rPr>
        <w:t>ה</w:t>
      </w:r>
      <w:r w:rsidRPr="004B4291">
        <w:rPr>
          <w:b/>
          <w:bCs/>
          <w:rtl/>
        </w:rPr>
        <w:t>קליניים</w:t>
      </w:r>
      <w:r>
        <w:rPr>
          <w:rFonts w:hint="cs"/>
          <w:b/>
          <w:bCs/>
          <w:rtl/>
        </w:rPr>
        <w:t xml:space="preserve"> -</w:t>
      </w:r>
      <w:r w:rsidRPr="004B4291">
        <w:rPr>
          <w:b/>
          <w:bCs/>
          <w:rtl/>
        </w:rPr>
        <w:t xml:space="preserve"> שבועות הוראה </w:t>
      </w:r>
      <w:r>
        <w:rPr>
          <w:rFonts w:hint="cs"/>
          <w:b/>
          <w:bCs/>
          <w:rtl/>
        </w:rPr>
        <w:t xml:space="preserve">בשנה </w:t>
      </w:r>
      <w:r w:rsidRPr="004B4291">
        <w:rPr>
          <w:b/>
          <w:bCs/>
          <w:rtl/>
        </w:rPr>
        <w:t>במחלקות הקליניות</w:t>
      </w:r>
      <w:r w:rsidRPr="004B4291">
        <w:rPr>
          <w:rFonts w:hint="cs"/>
          <w:b/>
          <w:bCs/>
          <w:rtl/>
        </w:rPr>
        <w:t xml:space="preserve"> </w:t>
      </w:r>
      <w:r w:rsidRPr="00894A97">
        <w:rPr>
          <w:rFonts w:hint="cs"/>
          <w:rtl/>
        </w:rPr>
        <w:t>-</w:t>
      </w:r>
      <w:r>
        <w:rPr>
          <w:rFonts w:hint="cs"/>
          <w:rtl/>
        </w:rPr>
        <w:t xml:space="preserve"> בביקורת הקודמת עלה כי </w:t>
      </w:r>
      <w:r w:rsidRPr="009943CD">
        <w:rPr>
          <w:rtl/>
        </w:rPr>
        <w:t xml:space="preserve">משרד הבריאות </w:t>
      </w:r>
      <w:r w:rsidRPr="009943CD">
        <w:rPr>
          <w:rtl/>
        </w:rPr>
        <w:t>ו</w:t>
      </w:r>
      <w:r>
        <w:rPr>
          <w:rFonts w:hint="cs"/>
          <w:rtl/>
        </w:rPr>
        <w:t>ה</w:t>
      </w:r>
      <w:r w:rsidRPr="009943CD">
        <w:rPr>
          <w:rtl/>
        </w:rPr>
        <w:t>מל"ג</w:t>
      </w:r>
      <w:r w:rsidRPr="009943CD">
        <w:rPr>
          <w:rtl/>
        </w:rPr>
        <w:t xml:space="preserve"> לא קבעו את מספר השבועות המרבי שמחלקה יכולה ללמד ביעילות.</w:t>
      </w:r>
      <w:r>
        <w:rPr>
          <w:rFonts w:hint="cs"/>
          <w:rtl/>
        </w:rPr>
        <w:t xml:space="preserve"> </w:t>
      </w:r>
      <w:r w:rsidRPr="00894A97">
        <w:rPr>
          <w:rFonts w:hint="cs"/>
          <w:rtl/>
        </w:rPr>
        <w:t>בביקורת המעקב עלה כי הליקוי</w:t>
      </w:r>
      <w:r w:rsidRPr="00873E79">
        <w:rPr>
          <w:rFonts w:hint="cs"/>
          <w:b/>
          <w:bCs/>
          <w:rtl/>
        </w:rPr>
        <w:t xml:space="preserve"> תוקן במי</w:t>
      </w:r>
      <w:r w:rsidR="0015295A">
        <w:rPr>
          <w:rFonts w:hint="cs"/>
          <w:b/>
          <w:bCs/>
          <w:rtl/>
        </w:rPr>
        <w:t>ד</w:t>
      </w:r>
      <w:r w:rsidRPr="00873E79">
        <w:rPr>
          <w:rFonts w:hint="cs"/>
          <w:b/>
          <w:bCs/>
          <w:rtl/>
        </w:rPr>
        <w:t>ה מועטה</w:t>
      </w:r>
      <w:r w:rsidRPr="00894A97">
        <w:rPr>
          <w:rFonts w:hint="cs"/>
          <w:rtl/>
        </w:rPr>
        <w:t>.</w:t>
      </w:r>
      <w:r>
        <w:rPr>
          <w:rFonts w:hint="cs"/>
          <w:rtl/>
        </w:rPr>
        <w:t xml:space="preserve"> עלה כי </w:t>
      </w:r>
      <w:r w:rsidRPr="009943CD">
        <w:rPr>
          <w:rtl/>
        </w:rPr>
        <w:t xml:space="preserve">אף שמשרד הבריאות חישב את מספר השבועות המזערי שנדרש ללמידה בשדות </w:t>
      </w:r>
      <w:r w:rsidRPr="004B3910">
        <w:rPr>
          <w:rtl/>
        </w:rPr>
        <w:t>הקליניים</w:t>
      </w:r>
      <w:r>
        <w:rPr>
          <w:rFonts w:hint="cs"/>
          <w:rtl/>
        </w:rPr>
        <w:t xml:space="preserve"> (36 שבועות הוראה בשנה</w:t>
      </w:r>
      <w:r w:rsidRPr="006B3927">
        <w:rPr>
          <w:rtl/>
        </w:rPr>
        <w:t xml:space="preserve"> </w:t>
      </w:r>
      <w:r w:rsidRPr="00AA0700">
        <w:rPr>
          <w:rtl/>
        </w:rPr>
        <w:t>ב</w:t>
      </w:r>
      <w:r>
        <w:rPr>
          <w:rFonts w:hint="cs"/>
          <w:rtl/>
        </w:rPr>
        <w:t>כל אחת מ</w:t>
      </w:r>
      <w:r w:rsidRPr="00AA0700">
        <w:rPr>
          <w:rtl/>
        </w:rPr>
        <w:t>ארבע המחלקות העיקריות שבהן מתבצעת ההכשרה ה</w:t>
      </w:r>
      <w:r>
        <w:rPr>
          <w:rFonts w:hint="cs"/>
          <w:rtl/>
        </w:rPr>
        <w:t xml:space="preserve">קלינית, מתוך 52 </w:t>
      </w:r>
      <w:r w:rsidRPr="00387703">
        <w:rPr>
          <w:rFonts w:hint="cs"/>
          <w:rtl/>
        </w:rPr>
        <w:t>שבועות</w:t>
      </w:r>
      <w:r>
        <w:rPr>
          <w:rFonts w:hint="cs"/>
          <w:rtl/>
        </w:rPr>
        <w:t xml:space="preserve"> בשנה, לשם הכשרה של 1,200 סטודנטים ו-40 שבועות הוראה בשנה בכל אחת ממחלקות אלה לשם הכשרה של 2,000 סטודנטים - </w:t>
      </w:r>
      <w:r w:rsidRPr="00CA325C">
        <w:rPr>
          <w:rFonts w:hint="cs"/>
          <w:rtl/>
        </w:rPr>
        <w:t>היעד ש</w:t>
      </w:r>
      <w:r>
        <w:rPr>
          <w:rFonts w:hint="cs"/>
          <w:rtl/>
        </w:rPr>
        <w:t>ל משרד הבריאות</w:t>
      </w:r>
      <w:r w:rsidRPr="00CA325C">
        <w:rPr>
          <w:rFonts w:hint="cs"/>
          <w:rtl/>
        </w:rPr>
        <w:t xml:space="preserve"> ל-2030</w:t>
      </w:r>
      <w:r w:rsidRPr="00CA325C">
        <w:rPr>
          <w:rtl/>
        </w:rPr>
        <w:t>,</w:t>
      </w:r>
      <w:r w:rsidRPr="009943CD">
        <w:rPr>
          <w:rtl/>
        </w:rPr>
        <w:t xml:space="preserve"> המשרד </w:t>
      </w:r>
      <w:r w:rsidRPr="009943CD">
        <w:rPr>
          <w:rtl/>
        </w:rPr>
        <w:t>והמל"ג</w:t>
      </w:r>
      <w:r w:rsidRPr="009943CD">
        <w:rPr>
          <w:rtl/>
        </w:rPr>
        <w:t xml:space="preserve"> לא קבעו </w:t>
      </w:r>
      <w:r>
        <w:rPr>
          <w:rFonts w:hint="cs"/>
          <w:rtl/>
        </w:rPr>
        <w:t>תוכנית שתסדיר</w:t>
      </w:r>
      <w:r w:rsidRPr="009943CD">
        <w:rPr>
          <w:rtl/>
        </w:rPr>
        <w:t xml:space="preserve"> נושא זה </w:t>
      </w:r>
      <w:r w:rsidRPr="00117511">
        <w:rPr>
          <w:rtl/>
        </w:rPr>
        <w:t xml:space="preserve">לקראת הגידול במספר הסטודנטים </w:t>
      </w:r>
      <w:r w:rsidRPr="009943CD">
        <w:rPr>
          <w:rtl/>
        </w:rPr>
        <w:t xml:space="preserve">ובפרט בקשר </w:t>
      </w:r>
      <w:r w:rsidRPr="00DB15C3">
        <w:rPr>
          <w:rtl/>
        </w:rPr>
        <w:t>לכל סוג</w:t>
      </w:r>
      <w:r>
        <w:rPr>
          <w:rFonts w:hint="cs"/>
          <w:rtl/>
        </w:rPr>
        <w:t>י</w:t>
      </w:r>
      <w:r w:rsidRPr="00DB15C3">
        <w:rPr>
          <w:rtl/>
        </w:rPr>
        <w:t xml:space="preserve"> המחלקות ומאפייניהן</w:t>
      </w:r>
      <w:r w:rsidRPr="009943CD">
        <w:rPr>
          <w:rtl/>
        </w:rPr>
        <w:t>.</w:t>
      </w:r>
      <w:r>
        <w:rPr>
          <w:rFonts w:hint="cs"/>
          <w:rtl/>
        </w:rPr>
        <w:t xml:space="preserve"> בפועל</w:t>
      </w:r>
      <w:r w:rsidRPr="00F74806">
        <w:rPr>
          <w:rFonts w:hint="cs"/>
          <w:rtl/>
        </w:rPr>
        <w:t>,</w:t>
      </w:r>
      <w:r>
        <w:rPr>
          <w:rFonts w:hint="cs"/>
          <w:rtl/>
        </w:rPr>
        <w:t xml:space="preserve"> </w:t>
      </w:r>
      <w:r w:rsidRPr="001C72CC">
        <w:rPr>
          <w:rtl/>
        </w:rPr>
        <w:t>בשנת 2022</w:t>
      </w:r>
      <w:r>
        <w:rPr>
          <w:rFonts w:hint="cs"/>
          <w:rtl/>
        </w:rPr>
        <w:t xml:space="preserve"> </w:t>
      </w:r>
      <w:r w:rsidRPr="00F74806">
        <w:rPr>
          <w:rFonts w:hint="cs"/>
          <w:rtl/>
        </w:rPr>
        <w:t>לימדו המחלקות הפנימיות בבתי החולים 12 - 34 שבועות</w:t>
      </w:r>
      <w:r>
        <w:rPr>
          <w:rFonts w:hint="cs"/>
          <w:rtl/>
        </w:rPr>
        <w:t xml:space="preserve"> בממוצע,</w:t>
      </w:r>
      <w:r w:rsidRPr="00F74806">
        <w:rPr>
          <w:rFonts w:hint="cs"/>
          <w:rtl/>
        </w:rPr>
        <w:t xml:space="preserve"> מחלקות הילדים 23 - 38 שבועות בממוצע, המחלקות הכירורגיות 15 - 31 שבועות בממוצע ומחלקות הנשים 14 - 24 שבועות בממוצע</w:t>
      </w:r>
      <w:r>
        <w:rPr>
          <w:rFonts w:hint="cs"/>
          <w:rtl/>
        </w:rPr>
        <w:t>.</w:t>
      </w:r>
    </w:p>
    <w:p w:rsidR="00387703" w:rsidRPr="001D548E" w:rsidP="004B3910" w14:paraId="7D4BEF51" w14:textId="77777777">
      <w:pPr>
        <w:pStyle w:val="754"/>
      </w:pPr>
      <w:r w:rsidRPr="00CB3699">
        <w:rPr>
          <w:rFonts w:hint="cs"/>
          <w:b/>
          <w:bCs/>
          <w:rtl/>
        </w:rPr>
        <w:t xml:space="preserve">שימוש בשדות קליניים בשעות אחר הצוהריים </w:t>
      </w:r>
      <w:r w:rsidRPr="00CB3699">
        <w:rPr>
          <w:rFonts w:hint="cs"/>
          <w:rtl/>
        </w:rPr>
        <w:t xml:space="preserve">- </w:t>
      </w:r>
      <w:r w:rsidRPr="00CB3699">
        <w:rPr>
          <w:rtl/>
        </w:rPr>
        <w:t xml:space="preserve">משרד הבריאות הגדיר כחלק מתוכניתו להגדלת מספר הסטודנטים לרפואה בישראל </w:t>
      </w:r>
      <w:r w:rsidRPr="00CB3699">
        <w:rPr>
          <w:rFonts w:hint="cs"/>
          <w:rtl/>
        </w:rPr>
        <w:t>את הצורך ב</w:t>
      </w:r>
      <w:r w:rsidRPr="00CB3699">
        <w:rPr>
          <w:rtl/>
        </w:rPr>
        <w:t xml:space="preserve">הפעלת שדות קליניים </w:t>
      </w:r>
      <w:r w:rsidRPr="00387703">
        <w:rPr>
          <w:rtl/>
        </w:rPr>
        <w:t>בשעות</w:t>
      </w:r>
      <w:r w:rsidRPr="00CB3699">
        <w:rPr>
          <w:rtl/>
        </w:rPr>
        <w:t xml:space="preserve"> אחר הצוהריים</w:t>
      </w:r>
      <w:r w:rsidRPr="00CB3699">
        <w:rPr>
          <w:rFonts w:hint="cs"/>
          <w:rtl/>
        </w:rPr>
        <w:t xml:space="preserve"> בבתי החולים.</w:t>
      </w:r>
      <w:r w:rsidRPr="00CB3699">
        <w:rPr>
          <w:rtl/>
        </w:rPr>
        <w:t xml:space="preserve"> עלה כי למעט שיבא</w:t>
      </w:r>
      <w:r w:rsidRPr="00CB3699">
        <w:rPr>
          <w:rFonts w:hint="cs"/>
          <w:rtl/>
        </w:rPr>
        <w:t>,</w:t>
      </w:r>
      <w:r w:rsidRPr="002652F7">
        <w:rPr>
          <w:rtl/>
        </w:rPr>
        <w:t xml:space="preserve"> </w:t>
      </w:r>
      <w:r w:rsidRPr="00CB3699">
        <w:rPr>
          <w:rFonts w:hint="cs"/>
          <w:rtl/>
        </w:rPr>
        <w:t>ש</w:t>
      </w:r>
      <w:r w:rsidRPr="00CB3699">
        <w:rPr>
          <w:rtl/>
        </w:rPr>
        <w:t>ציין כי משנת 2020 הוא מלמד עשרות סטודנטים לרפואה בשעות אחר הצוהריים</w:t>
      </w:r>
      <w:r w:rsidRPr="00CB3699">
        <w:rPr>
          <w:rFonts w:hint="cs"/>
          <w:rtl/>
        </w:rPr>
        <w:t>,</w:t>
      </w:r>
      <w:r w:rsidRPr="00CB3699">
        <w:rPr>
          <w:rtl/>
        </w:rPr>
        <w:t xml:space="preserve"> כל יתר בתי החולים </w:t>
      </w:r>
      <w:r w:rsidRPr="00CB3699">
        <w:rPr>
          <w:rFonts w:hint="cs"/>
          <w:rtl/>
        </w:rPr>
        <w:t>(</w:t>
      </w:r>
      <w:r>
        <w:rPr>
          <w:rFonts w:hint="cs"/>
          <w:rtl/>
        </w:rPr>
        <w:t>19</w:t>
      </w:r>
      <w:r w:rsidRPr="00CB3699">
        <w:rPr>
          <w:rFonts w:hint="cs"/>
          <w:rtl/>
        </w:rPr>
        <w:t xml:space="preserve">) </w:t>
      </w:r>
      <w:r w:rsidRPr="00CB3699">
        <w:rPr>
          <w:rtl/>
        </w:rPr>
        <w:t xml:space="preserve">ציינו כי אינם </w:t>
      </w:r>
      <w:r w:rsidRPr="001D548E">
        <w:rPr>
          <w:rtl/>
        </w:rPr>
        <w:t xml:space="preserve">עושים </w:t>
      </w:r>
      <w:r w:rsidRPr="004B3910">
        <w:rPr>
          <w:rtl/>
        </w:rPr>
        <w:t>זאת</w:t>
      </w:r>
      <w:r w:rsidRPr="001D548E">
        <w:rPr>
          <w:rFonts w:hint="cs"/>
          <w:rtl/>
        </w:rPr>
        <w:t xml:space="preserve"> וציינו מספר סיבות לכך: </w:t>
      </w:r>
      <w:r w:rsidRPr="001D548E">
        <w:rPr>
          <w:rtl/>
        </w:rPr>
        <w:t xml:space="preserve">אי-תגמול </w:t>
      </w:r>
      <w:r w:rsidRPr="001D548E">
        <w:rPr>
          <w:rFonts w:hint="cs"/>
          <w:rtl/>
        </w:rPr>
        <w:t xml:space="preserve">עבור ההכשרה בשעות אלה או </w:t>
      </w:r>
      <w:r w:rsidRPr="001D548E">
        <w:rPr>
          <w:rtl/>
        </w:rPr>
        <w:t>ת</w:t>
      </w:r>
      <w:r w:rsidRPr="001D548E">
        <w:rPr>
          <w:rFonts w:hint="cs"/>
          <w:rtl/>
        </w:rPr>
        <w:t>גמול לא</w:t>
      </w:r>
      <w:r w:rsidRPr="001D548E">
        <w:rPr>
          <w:rtl/>
        </w:rPr>
        <w:t xml:space="preserve"> הולם</w:t>
      </w:r>
      <w:r w:rsidRPr="001D548E">
        <w:rPr>
          <w:rFonts w:hint="cs"/>
          <w:rtl/>
        </w:rPr>
        <w:t>,</w:t>
      </w:r>
      <w:r w:rsidRPr="001D548E">
        <w:rPr>
          <w:rtl/>
        </w:rPr>
        <w:t xml:space="preserve"> מחסור במשאבים לרבות בצוותים רפואיים ובתוכניות הכשרה מתאימות, העדפה של הכשרה בשעות הבוקר</w:t>
      </w:r>
      <w:r w:rsidRPr="001D548E">
        <w:rPr>
          <w:rFonts w:hint="cs"/>
          <w:rtl/>
        </w:rPr>
        <w:t>,</w:t>
      </w:r>
      <w:r w:rsidRPr="001D548E">
        <w:rPr>
          <w:rtl/>
        </w:rPr>
        <w:t xml:space="preserve"> </w:t>
      </w:r>
      <w:r w:rsidRPr="001D548E">
        <w:rPr>
          <w:rFonts w:hint="cs"/>
          <w:rtl/>
        </w:rPr>
        <w:t xml:space="preserve">וטענה שהמענה הקיים בשעות הבוקר מספק. </w:t>
      </w:r>
    </w:p>
    <w:p w:rsidR="00387703" w:rsidRPr="00FD3F63" w:rsidP="004B3910" w14:paraId="652902EA" w14:textId="14B12DDD">
      <w:pPr>
        <w:pStyle w:val="754"/>
      </w:pPr>
      <w:r w:rsidRPr="001D548E">
        <w:rPr>
          <w:b/>
          <w:bCs/>
          <w:rtl/>
        </w:rPr>
        <w:t>הסדרת כללים להתקשרויות בין בתי החולים לאוניברסיטאות להפעלת השדות הקליניים</w:t>
      </w:r>
      <w:r w:rsidRPr="001D548E">
        <w:rPr>
          <w:rFonts w:hint="cs"/>
          <w:rtl/>
        </w:rPr>
        <w:t xml:space="preserve"> - בביקורת הקודמת עלה כי </w:t>
      </w:r>
      <w:r w:rsidRPr="001D548E">
        <w:rPr>
          <w:rtl/>
        </w:rPr>
        <w:t>מל"ג-ות"ת ומשרד הבריאות</w:t>
      </w:r>
      <w:r w:rsidRPr="001D548E">
        <w:rPr>
          <w:rFonts w:hint="cs"/>
          <w:rtl/>
        </w:rPr>
        <w:t xml:space="preserve"> </w:t>
      </w:r>
      <w:r w:rsidRPr="001D548E">
        <w:rPr>
          <w:rtl/>
        </w:rPr>
        <w:t>לא קבעו כללים כלשהם בנוגע להסכמי ההתקשרות</w:t>
      </w:r>
      <w:r>
        <w:rPr>
          <w:rFonts w:hint="cs"/>
          <w:rtl/>
        </w:rPr>
        <w:t xml:space="preserve"> (הסינוף)</w:t>
      </w:r>
      <w:r w:rsidRPr="001D548E">
        <w:rPr>
          <w:rtl/>
        </w:rPr>
        <w:t xml:space="preserve"> בין הפקולטות לרפואה </w:t>
      </w:r>
      <w:r w:rsidRPr="001D548E">
        <w:rPr>
          <w:rtl/>
        </w:rPr>
        <w:t>ובין בתי החולים</w:t>
      </w:r>
      <w:r w:rsidRPr="001D548E">
        <w:rPr>
          <w:rFonts w:hint="cs"/>
          <w:rtl/>
        </w:rPr>
        <w:t>,</w:t>
      </w:r>
      <w:r w:rsidRPr="001D548E">
        <w:rPr>
          <w:rtl/>
        </w:rPr>
        <w:t xml:space="preserve"> ואף אינם דורשים שההסכמים יובאו לאישורם או אפילו לידיעתם. בביקורת </w:t>
      </w:r>
      <w:r w:rsidRPr="001D548E">
        <w:rPr>
          <w:rFonts w:hint="cs"/>
          <w:rtl/>
        </w:rPr>
        <w:t xml:space="preserve">הקודמת </w:t>
      </w:r>
      <w:r w:rsidRPr="001D548E">
        <w:rPr>
          <w:rtl/>
        </w:rPr>
        <w:t xml:space="preserve">עלו </w:t>
      </w:r>
      <w:r w:rsidRPr="001D548E">
        <w:rPr>
          <w:rFonts w:hint="cs"/>
          <w:rtl/>
        </w:rPr>
        <w:t xml:space="preserve">גם </w:t>
      </w:r>
      <w:r w:rsidRPr="001D548E">
        <w:rPr>
          <w:rtl/>
        </w:rPr>
        <w:t>מקרים שבהם נחתמו הסכמים מגבילים שבהם</w:t>
      </w:r>
      <w:r w:rsidRPr="002652F7">
        <w:rPr>
          <w:rtl/>
        </w:rPr>
        <w:t xml:space="preserve"> ניתנה </w:t>
      </w:r>
      <w:r w:rsidRPr="00387703">
        <w:rPr>
          <w:rtl/>
        </w:rPr>
        <w:t>בלעדיות</w:t>
      </w:r>
      <w:r w:rsidRPr="002652F7">
        <w:rPr>
          <w:rtl/>
        </w:rPr>
        <w:t xml:space="preserve"> לצד אחד - חלק מההסדרים הם בלעדיים וחד-צדדיים הקושרים במפורש בין בתי חולים </w:t>
      </w:r>
      <w:r w:rsidRPr="004B3910">
        <w:rPr>
          <w:rtl/>
        </w:rPr>
        <w:t>לפקולטות</w:t>
      </w:r>
      <w:r w:rsidRPr="002652F7">
        <w:rPr>
          <w:rtl/>
        </w:rPr>
        <w:t xml:space="preserve"> מסוימות, ואינם מאפשרים לבתי החולים להגיע להסדרים גם עם פקולטות אחרות. במצב כזה מוגבל חופש הפעולה של הצד שהבטיח בלעדיות, נפגעת התחרות החופשית</w:t>
      </w:r>
      <w:r>
        <w:rPr>
          <w:rFonts w:hint="cs"/>
          <w:rtl/>
        </w:rPr>
        <w:t>,</w:t>
      </w:r>
      <w:r w:rsidRPr="002652F7">
        <w:rPr>
          <w:rtl/>
        </w:rPr>
        <w:t xml:space="preserve"> וגם יעילות המיצוי של המשאבים המצומצמים ממילא עלולה להיפגע</w:t>
      </w:r>
      <w:r w:rsidRPr="002652F7">
        <w:rPr>
          <w:rFonts w:hint="cs"/>
          <w:rtl/>
        </w:rPr>
        <w:t xml:space="preserve">. </w:t>
      </w:r>
      <w:r w:rsidRPr="004A19C4">
        <w:rPr>
          <w:rFonts w:hint="cs"/>
          <w:rtl/>
        </w:rPr>
        <w:t>בביקורת המעקב עלה כי</w:t>
      </w:r>
      <w:r w:rsidRPr="002652F7">
        <w:rPr>
          <w:rFonts w:hint="cs"/>
          <w:b/>
          <w:bCs/>
          <w:rtl/>
        </w:rPr>
        <w:t xml:space="preserve"> </w:t>
      </w:r>
      <w:r w:rsidRPr="004A19C4">
        <w:rPr>
          <w:rFonts w:hint="cs"/>
          <w:rtl/>
        </w:rPr>
        <w:t>הליקוי</w:t>
      </w:r>
      <w:r w:rsidRPr="002652F7">
        <w:rPr>
          <w:rFonts w:hint="cs"/>
          <w:b/>
          <w:bCs/>
          <w:rtl/>
        </w:rPr>
        <w:t xml:space="preserve"> לא תוקן</w:t>
      </w:r>
      <w:r w:rsidRPr="004A19C4">
        <w:rPr>
          <w:rFonts w:hint="cs"/>
          <w:rtl/>
        </w:rPr>
        <w:t xml:space="preserve">. </w:t>
      </w:r>
      <w:r w:rsidRPr="002652F7">
        <w:rPr>
          <w:rtl/>
        </w:rPr>
        <w:t>עלה כי מל"ג-ות"ת ומשרד הבריאות לא קבעו הסכם בסיס קבוע לכלל הגורמים שיסדיר את שיתוף הפעולה בין הפקולטות לרפואה ובין בתי החולים להפעלת השדות הקליניים, שיכלול גם מודל לשיטת ההתחשבנות ביניהם ואת דרכי הפיקוח על ההסדר שנקבע.</w:t>
      </w:r>
      <w:r w:rsidRPr="00FA37B8">
        <w:rPr>
          <w:rtl/>
        </w:rPr>
        <w:t xml:space="preserve"> </w:t>
      </w:r>
      <w:r w:rsidRPr="002652F7">
        <w:rPr>
          <w:rFonts w:hint="cs"/>
          <w:rtl/>
        </w:rPr>
        <w:t xml:space="preserve">עוד עלה </w:t>
      </w:r>
      <w:r w:rsidRPr="002652F7">
        <w:rPr>
          <w:rtl/>
        </w:rPr>
        <w:t xml:space="preserve">שבהיעדר </w:t>
      </w:r>
      <w:r w:rsidRPr="00F364BB">
        <w:rPr>
          <w:rtl/>
        </w:rPr>
        <w:t>הסכם מחייב שמסדיר את שיתוף הפעולה בין האוניברסיטאות ובין בתי החולים בנוגע להפעלת השדות הקליניים בבתי החולים, גם לא נקבעו כללים מחייבים כלשהם אשר ימנעו מצב של מתן בלעדיות למי מן הצדדים בכל התקשרות שכזו</w:t>
      </w:r>
      <w:r w:rsidRPr="00F364BB">
        <w:rPr>
          <w:rFonts w:hint="cs"/>
          <w:rtl/>
        </w:rPr>
        <w:t>. לדוגמה, נכון לשנת 2023, ל</w:t>
      </w:r>
      <w:r w:rsidRPr="00F364BB">
        <w:rPr>
          <w:rtl/>
        </w:rPr>
        <w:t xml:space="preserve">פקולטה לרפואה באוניברסיטת אריאל </w:t>
      </w:r>
      <w:r>
        <w:rPr>
          <w:rFonts w:hint="cs"/>
          <w:rtl/>
        </w:rPr>
        <w:t xml:space="preserve">יש </w:t>
      </w:r>
      <w:r w:rsidRPr="00F364BB">
        <w:rPr>
          <w:rtl/>
        </w:rPr>
        <w:t xml:space="preserve">הסכם </w:t>
      </w:r>
      <w:bookmarkStart w:id="3" w:name="_Hlk153893354"/>
      <w:r w:rsidRPr="00F364BB">
        <w:rPr>
          <w:rFonts w:hint="cs"/>
          <w:rtl/>
        </w:rPr>
        <w:t xml:space="preserve">ישיר אחד בלבד </w:t>
      </w:r>
      <w:bookmarkEnd w:id="3"/>
      <w:r w:rsidRPr="00F364BB">
        <w:rPr>
          <w:rtl/>
        </w:rPr>
        <w:t xml:space="preserve">עם בית חולים </w:t>
      </w:r>
      <w:r w:rsidRPr="00F364BB">
        <w:rPr>
          <w:rFonts w:hint="cs"/>
          <w:rtl/>
        </w:rPr>
        <w:t xml:space="preserve">ציבורי </w:t>
      </w:r>
      <w:r>
        <w:rPr>
          <w:rFonts w:hint="cs"/>
          <w:rtl/>
        </w:rPr>
        <w:t>בינוני</w:t>
      </w:r>
      <w:r w:rsidR="002B1140">
        <w:rPr>
          <w:rFonts w:hint="cs"/>
          <w:rtl/>
        </w:rPr>
        <w:t xml:space="preserve"> - </w:t>
      </w:r>
      <w:r w:rsidRPr="002B1140" w:rsidR="002B1140">
        <w:rPr>
          <w:rtl/>
        </w:rPr>
        <w:t>לניאדו</w:t>
      </w:r>
      <w:r w:rsidRPr="002B1140" w:rsidR="002B1140">
        <w:rPr>
          <w:rtl/>
        </w:rPr>
        <w:t xml:space="preserve"> שבנתניה</w:t>
      </w:r>
      <w:r w:rsidR="003806D8">
        <w:rPr>
          <w:rFonts w:hint="cs"/>
          <w:rtl/>
        </w:rPr>
        <w:t>,</w:t>
      </w:r>
      <w:r w:rsidRPr="00F364BB">
        <w:rPr>
          <w:rtl/>
        </w:rPr>
        <w:t xml:space="preserve"> </w:t>
      </w:r>
      <w:r w:rsidRPr="00F364BB">
        <w:rPr>
          <w:rFonts w:hint="cs"/>
          <w:rtl/>
        </w:rPr>
        <w:t>ו</w:t>
      </w:r>
      <w:r w:rsidRPr="00F364BB">
        <w:rPr>
          <w:rtl/>
        </w:rPr>
        <w:t xml:space="preserve">היות </w:t>
      </w:r>
      <w:r w:rsidRPr="00F364BB">
        <w:rPr>
          <w:rFonts w:hint="cs"/>
          <w:rtl/>
        </w:rPr>
        <w:t>שכך</w:t>
      </w:r>
      <w:r w:rsidRPr="00F364BB">
        <w:rPr>
          <w:rtl/>
        </w:rPr>
        <w:t>, גם מספר השדות הקליניים ש</w:t>
      </w:r>
      <w:r w:rsidRPr="00F364BB">
        <w:rPr>
          <w:rFonts w:hint="cs"/>
          <w:rtl/>
        </w:rPr>
        <w:t>בית החולים</w:t>
      </w:r>
      <w:r w:rsidRPr="00F364BB">
        <w:rPr>
          <w:rtl/>
        </w:rPr>
        <w:t xml:space="preserve"> יכול להציע מוגבל ומאפשר להכשיר פחות סטודנטים מבתי החולים האחרים.</w:t>
      </w:r>
      <w:r w:rsidRPr="00F364BB">
        <w:rPr>
          <w:rFonts w:hint="cs"/>
          <w:rtl/>
        </w:rPr>
        <w:t xml:space="preserve"> </w:t>
      </w:r>
      <w:r w:rsidRPr="00F364BB">
        <w:rPr>
          <w:rtl/>
        </w:rPr>
        <w:t>במאי 2019 הגיעה אוניברסיטת אריאל</w:t>
      </w:r>
      <w:r w:rsidRPr="002652F7">
        <w:rPr>
          <w:rtl/>
        </w:rPr>
        <w:t xml:space="preserve"> להסכם עם אוניברסיטת תל אביב ולפיו אוניברסיטת תל אביב תאפשר לאוניברסיטת אריאל להשתמש בשדות הקליניים בבתי החולים המסונפים לה</w:t>
      </w:r>
      <w:r w:rsidRPr="002652F7">
        <w:rPr>
          <w:rFonts w:hint="cs"/>
          <w:rtl/>
        </w:rPr>
        <w:t>.</w:t>
      </w:r>
      <w:r w:rsidRPr="002652F7">
        <w:rPr>
          <w:rtl/>
        </w:rPr>
        <w:t xml:space="preserve"> בהסכם נקבע גם שאוניברסיטת אריאל לא תוכל לפנות ישירות לבתי חולים המסונפים לאוניברסיטת תל אביב כדי לברר אם יש להם שדות קליניים פנויים שניתן להעמיד לרשות הסטודנטים שלה. </w:t>
      </w:r>
      <w:r w:rsidRPr="00FD3F63">
        <w:rPr>
          <w:rtl/>
        </w:rPr>
        <w:t>בנסיבות אלו נוצר חוסר ודאות המקשה על אוניברסיטת אריאל לתכנן את מספר הסטודנטים לרפואה שהיא יכולה להכשיר, לרבות גידול במספרם, והיא תלויה למעשה בשיתוף הפעולה שלה עם אוניברסיטת תל אביב.</w:t>
      </w:r>
    </w:p>
    <w:p w:rsidR="00387703" w:rsidRPr="000C06DA" w:rsidP="004B3910" w14:paraId="7161BB06" w14:textId="77777777">
      <w:pPr>
        <w:pStyle w:val="754"/>
        <w:rPr>
          <w:b/>
          <w:bCs/>
        </w:rPr>
      </w:pPr>
      <w:r w:rsidRPr="00FD3F63">
        <w:rPr>
          <w:b/>
          <w:bCs/>
          <w:rtl/>
        </w:rPr>
        <w:t>תמרוץ</w:t>
      </w:r>
      <w:r w:rsidRPr="00FD3F63">
        <w:rPr>
          <w:b/>
          <w:bCs/>
          <w:rtl/>
        </w:rPr>
        <w:t xml:space="preserve"> המחלקות </w:t>
      </w:r>
      <w:r w:rsidRPr="00FD3F63">
        <w:rPr>
          <w:rFonts w:hint="cs"/>
          <w:b/>
          <w:bCs/>
          <w:rtl/>
        </w:rPr>
        <w:t xml:space="preserve">והרופאים </w:t>
      </w:r>
      <w:r w:rsidRPr="00FD3F63">
        <w:rPr>
          <w:b/>
          <w:bCs/>
          <w:rtl/>
        </w:rPr>
        <w:t>המכשיר</w:t>
      </w:r>
      <w:r w:rsidRPr="00FD3F63">
        <w:rPr>
          <w:rFonts w:hint="cs"/>
          <w:b/>
          <w:bCs/>
          <w:rtl/>
        </w:rPr>
        <w:t>ים</w:t>
      </w:r>
      <w:r w:rsidRPr="00FD3F63">
        <w:rPr>
          <w:b/>
          <w:bCs/>
          <w:rtl/>
        </w:rPr>
        <w:t xml:space="preserve"> סטודנטים לרפואה על ידי בתי החולים</w:t>
      </w:r>
      <w:r w:rsidRPr="00FD3F63">
        <w:rPr>
          <w:rFonts w:hint="cs"/>
          <w:b/>
          <w:bCs/>
          <w:rtl/>
        </w:rPr>
        <w:t xml:space="preserve"> </w:t>
      </w:r>
      <w:r w:rsidRPr="00FD3F63">
        <w:rPr>
          <w:rFonts w:hint="cs"/>
          <w:rtl/>
        </w:rPr>
        <w:t>- בביקורת הנוכחית עלה (נושא זה</w:t>
      </w:r>
      <w:r w:rsidRPr="000C06DA">
        <w:rPr>
          <w:rFonts w:hint="cs"/>
          <w:rtl/>
        </w:rPr>
        <w:t xml:space="preserve"> לא נידון בביקורת הקודמת) ש</w:t>
      </w:r>
      <w:r w:rsidRPr="000C06DA">
        <w:rPr>
          <w:rtl/>
        </w:rPr>
        <w:t xml:space="preserve">משרד הבריאות ומל"ג בשיתוף בתי החולים לא גיבשו מודל </w:t>
      </w:r>
      <w:r w:rsidRPr="000C06DA">
        <w:rPr>
          <w:rtl/>
        </w:rPr>
        <w:t>לתמרוץ</w:t>
      </w:r>
      <w:r w:rsidRPr="000C06DA">
        <w:rPr>
          <w:rtl/>
        </w:rPr>
        <w:t xml:space="preserve"> המחלקות שמפעילות שדות קליניים</w:t>
      </w:r>
      <w:r>
        <w:rPr>
          <w:rFonts w:hint="cs"/>
          <w:rtl/>
        </w:rPr>
        <w:t>,</w:t>
      </w:r>
      <w:r w:rsidRPr="000C06DA">
        <w:rPr>
          <w:rtl/>
        </w:rPr>
        <w:t xml:space="preserve"> ובפועל אין </w:t>
      </w:r>
      <w:r w:rsidRPr="004B3910">
        <w:rPr>
          <w:rtl/>
        </w:rPr>
        <w:t>מנגנון</w:t>
      </w:r>
      <w:r w:rsidRPr="000C06DA">
        <w:rPr>
          <w:rtl/>
        </w:rPr>
        <w:t xml:space="preserve"> כלכלי </w:t>
      </w:r>
      <w:r w:rsidRPr="000C06DA">
        <w:rPr>
          <w:rtl/>
        </w:rPr>
        <w:t>לתמרוץ</w:t>
      </w:r>
      <w:r w:rsidRPr="000C06DA">
        <w:rPr>
          <w:rtl/>
        </w:rPr>
        <w:t xml:space="preserve"> המחלקות</w:t>
      </w:r>
      <w:r>
        <w:rPr>
          <w:rFonts w:hint="cs"/>
          <w:rtl/>
        </w:rPr>
        <w:t xml:space="preserve"> והרופאים המלמדים</w:t>
      </w:r>
      <w:r w:rsidRPr="000C06DA">
        <w:rPr>
          <w:rtl/>
        </w:rPr>
        <w:t xml:space="preserve"> המבצע</w:t>
      </w:r>
      <w:r>
        <w:rPr>
          <w:rFonts w:hint="cs"/>
          <w:rtl/>
        </w:rPr>
        <w:t>ים</w:t>
      </w:r>
      <w:r w:rsidRPr="000C06DA">
        <w:rPr>
          <w:rtl/>
        </w:rPr>
        <w:t xml:space="preserve"> משימה מורכבת זו</w:t>
      </w:r>
      <w:r w:rsidRPr="000C06DA">
        <w:rPr>
          <w:rFonts w:hint="cs"/>
          <w:rtl/>
        </w:rPr>
        <w:t xml:space="preserve"> </w:t>
      </w:r>
      <w:r>
        <w:rPr>
          <w:rFonts w:hint="cs"/>
          <w:rtl/>
        </w:rPr>
        <w:t>ב</w:t>
      </w:r>
      <w:r w:rsidRPr="000C06DA">
        <w:rPr>
          <w:rFonts w:hint="cs"/>
          <w:rtl/>
        </w:rPr>
        <w:t xml:space="preserve">משך שבועות רבים. </w:t>
      </w:r>
      <w:r w:rsidRPr="000C06DA">
        <w:rPr>
          <w:rtl/>
        </w:rPr>
        <w:t>הצורך במנגנון חיוני במיוחד כדי לעמוד ביעד ש</w:t>
      </w:r>
      <w:r>
        <w:rPr>
          <w:rFonts w:hint="cs"/>
          <w:rtl/>
        </w:rPr>
        <w:t xml:space="preserve">ל משרד הבריאות </w:t>
      </w:r>
      <w:r w:rsidRPr="000C06DA">
        <w:rPr>
          <w:rtl/>
        </w:rPr>
        <w:t>לשנת 2030 - 2,000 סטודנטים, אשר משמעותו שנדרשת הכשרה קלינית בת 40 שבועות לפחות בארבע המחלקות העיקריות, לעומת 12 - 38 שבועות המבוצעים כיום.</w:t>
      </w:r>
    </w:p>
    <w:p w:rsidR="00EB672B" w:rsidP="00395BB1" w14:paraId="25196C54" w14:textId="4589C63A">
      <w:pPr>
        <w:pStyle w:val="7315"/>
        <w:ind w:firstLine="170"/>
        <w:rPr>
          <w:b/>
          <w:bCs/>
          <w:sz w:val="19"/>
          <w:szCs w:val="19"/>
          <w:rtl/>
        </w:rPr>
      </w:pPr>
      <w:r w:rsidRPr="003F0A00">
        <w:rPr>
          <w:rStyle w:val="7371"/>
          <w:rFonts w:hint="cs"/>
          <w:noProof/>
          <w:rtl/>
        </w:rPr>
        <w:drawing>
          <wp:anchor distT="0" distB="0" distL="71755" distR="0" simplePos="0" relativeHeight="251684864" behindDoc="1" locked="0" layoutInCell="1" allowOverlap="1">
            <wp:simplePos x="0" y="0"/>
            <wp:positionH relativeFrom="column">
              <wp:posOffset>4530090</wp:posOffset>
            </wp:positionH>
            <wp:positionV relativeFrom="paragraph">
              <wp:posOffset>29845</wp:posOffset>
            </wp:positionV>
            <wp:extent cx="162000" cy="162000"/>
            <wp:effectExtent l="0" t="0" r="9525" b="9525"/>
            <wp:wrapTight wrapText="bothSides">
              <wp:wrapPolygon>
                <wp:start x="0" y="0"/>
                <wp:lineTo x="0" y="20329"/>
                <wp:lineTo x="20329" y="20329"/>
                <wp:lineTo x="20329" y="0"/>
                <wp:lineTo x="0" y="0"/>
              </wp:wrapPolygon>
            </wp:wrapTight>
            <wp:docPr id="1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BC5717" w:rsidR="00395BB1">
        <w:rPr>
          <w:b/>
          <w:bCs/>
          <w:sz w:val="19"/>
          <w:szCs w:val="19"/>
          <w:rtl/>
        </w:rPr>
        <w:t>ישראלים בוגרי פקולטות לרפואה בחו"ל שנקלטים בארץ</w:t>
      </w:r>
    </w:p>
    <w:p w:rsidR="00395BB1" w:rsidRPr="00340AC1" w:rsidP="004B3910" w14:paraId="1D157225" w14:textId="20F94B89">
      <w:pPr>
        <w:pStyle w:val="754"/>
        <w:rPr>
          <w:b/>
          <w:bCs/>
        </w:rPr>
      </w:pPr>
      <w:r>
        <w:rPr>
          <w:rFonts w:hint="cs"/>
          <w:b/>
          <w:bCs/>
          <w:rtl/>
        </w:rPr>
        <w:t>מימון לימודי רפואה בחו"ל מול עמידה בתנאי הקבלה בארץ</w:t>
      </w:r>
      <w:r w:rsidRPr="00EB64AD">
        <w:rPr>
          <w:b/>
          <w:bCs/>
          <w:rtl/>
        </w:rPr>
        <w:t xml:space="preserve"> </w:t>
      </w:r>
      <w:r w:rsidRPr="00661B43">
        <w:rPr>
          <w:rFonts w:hint="cs"/>
          <w:rtl/>
        </w:rPr>
        <w:t>-</w:t>
      </w:r>
      <w:r>
        <w:rPr>
          <w:rFonts w:hint="cs"/>
          <w:rtl/>
        </w:rPr>
        <w:t xml:space="preserve"> </w:t>
      </w:r>
      <w:r w:rsidRPr="00414E6E">
        <w:rPr>
          <w:rtl/>
        </w:rPr>
        <w:t>בשל המכסה ה</w:t>
      </w:r>
      <w:r>
        <w:rPr>
          <w:rFonts w:hint="cs"/>
          <w:rtl/>
        </w:rPr>
        <w:t>מצומצמת</w:t>
      </w:r>
      <w:r w:rsidRPr="00414E6E">
        <w:rPr>
          <w:rtl/>
        </w:rPr>
        <w:t xml:space="preserve"> של מספר המקומות ללימודי רפואה בארץ, נאלצים מועמדים שלא התקבלו ללימודים</w:t>
      </w:r>
      <w:r>
        <w:rPr>
          <w:rFonts w:hint="cs"/>
          <w:rtl/>
        </w:rPr>
        <w:t xml:space="preserve"> בארץ</w:t>
      </w:r>
      <w:r w:rsidRPr="00414E6E">
        <w:rPr>
          <w:rtl/>
        </w:rPr>
        <w:t xml:space="preserve"> ללמוד באוניברסיטאות בחו"ל שמשרד</w:t>
      </w:r>
      <w:r>
        <w:rPr>
          <w:rFonts w:hint="cs"/>
          <w:rtl/>
        </w:rPr>
        <w:t xml:space="preserve"> הבריאות אינו</w:t>
      </w:r>
      <w:r w:rsidRPr="00414E6E">
        <w:rPr>
          <w:rtl/>
        </w:rPr>
        <w:t xml:space="preserve"> </w:t>
      </w:r>
      <w:r>
        <w:rPr>
          <w:rFonts w:hint="cs"/>
          <w:rtl/>
        </w:rPr>
        <w:t>מעורב בגיבוש</w:t>
      </w:r>
      <w:r w:rsidRPr="00414E6E">
        <w:rPr>
          <w:rtl/>
        </w:rPr>
        <w:t xml:space="preserve"> תוכני הלימוד בה</w:t>
      </w:r>
      <w:r>
        <w:rPr>
          <w:rFonts w:hint="cs"/>
          <w:rtl/>
        </w:rPr>
        <w:t>ן וב</w:t>
      </w:r>
      <w:r w:rsidRPr="00414E6E">
        <w:rPr>
          <w:rtl/>
        </w:rPr>
        <w:t>רמת</w:t>
      </w:r>
      <w:r>
        <w:rPr>
          <w:rFonts w:hint="cs"/>
          <w:rtl/>
        </w:rPr>
        <w:t>ן</w:t>
      </w:r>
      <w:r w:rsidRPr="00414E6E">
        <w:rPr>
          <w:rtl/>
        </w:rPr>
        <w:t xml:space="preserve"> האקדמית. </w:t>
      </w:r>
      <w:r w:rsidRPr="00352A8C">
        <w:rPr>
          <w:rtl/>
        </w:rPr>
        <w:t xml:space="preserve">בעוד ששכר הלימוד עבור שנת לימודי רפואה בארץ </w:t>
      </w:r>
      <w:r>
        <w:rPr>
          <w:rFonts w:hint="cs"/>
          <w:rtl/>
        </w:rPr>
        <w:t>הוא</w:t>
      </w:r>
      <w:r w:rsidRPr="00352A8C">
        <w:rPr>
          <w:rtl/>
        </w:rPr>
        <w:t xml:space="preserve"> כ-11,000 ש"ח לשנה בתואר הראשון וכ-15,000 ש"ח לשנה בתואר השני בשנ</w:t>
      </w:r>
      <w:r>
        <w:rPr>
          <w:rFonts w:hint="cs"/>
          <w:rtl/>
        </w:rPr>
        <w:t>ה"</w:t>
      </w:r>
      <w:r w:rsidRPr="00352A8C">
        <w:rPr>
          <w:rtl/>
        </w:rPr>
        <w:t xml:space="preserve"> </w:t>
      </w:r>
      <w:r>
        <w:rPr>
          <w:rFonts w:hint="cs"/>
          <w:rtl/>
        </w:rPr>
        <w:t>ה</w:t>
      </w:r>
      <w:r w:rsidRPr="00352A8C">
        <w:rPr>
          <w:rtl/>
        </w:rPr>
        <w:t>תשפ"ג</w:t>
      </w:r>
      <w:r w:rsidRPr="00352A8C">
        <w:rPr>
          <w:rtl/>
        </w:rPr>
        <w:t xml:space="preserve">, שכר הלימוד עבור לימודים אלו בחו"ל גבוה הרבה יותר ויכול להגיע לעשרות אלפי ש"ח בשנה. </w:t>
      </w:r>
      <w:r w:rsidRPr="00414E6E">
        <w:rPr>
          <w:rtl/>
        </w:rPr>
        <w:t xml:space="preserve">העלות הגבוהה </w:t>
      </w:r>
      <w:r>
        <w:rPr>
          <w:rFonts w:hint="cs"/>
          <w:rtl/>
        </w:rPr>
        <w:t>ש</w:t>
      </w:r>
      <w:r w:rsidRPr="00414E6E">
        <w:rPr>
          <w:rtl/>
        </w:rPr>
        <w:t>ל</w:t>
      </w:r>
      <w:r>
        <w:rPr>
          <w:rFonts w:hint="cs"/>
          <w:rtl/>
        </w:rPr>
        <w:t xml:space="preserve"> </w:t>
      </w:r>
      <w:r w:rsidRPr="00414E6E">
        <w:rPr>
          <w:rtl/>
        </w:rPr>
        <w:t xml:space="preserve">לימודי רפואה </w:t>
      </w:r>
      <w:r w:rsidRPr="00414E6E">
        <w:rPr>
          <w:rtl/>
        </w:rPr>
        <w:t>בחו"ל יכולה להוות חסם בפני ישראלים שלא התקבלו ללימודים בארץ, בשל ההוצאות הגבוהות הנדרשות לשם כך. המשמעות היא שיש מועמדים שהישגיהם במבחני הקבלה ללימודי רפואה בארץ לא היו גבוהים דיים כדי להיכלל במכסה המ</w:t>
      </w:r>
      <w:r>
        <w:rPr>
          <w:rFonts w:hint="cs"/>
          <w:rtl/>
        </w:rPr>
        <w:t>צומצמ</w:t>
      </w:r>
      <w:r w:rsidRPr="00414E6E">
        <w:rPr>
          <w:rtl/>
        </w:rPr>
        <w:t xml:space="preserve">ת של מקומות הלימוד בארץ, והם ויתרו על לימודים בחו"ל בשל הנטל הכלכלי הכרוך בכך, אך מי שהישגיו היו נמוכים יותר ושידו </w:t>
      </w:r>
      <w:r>
        <w:rPr>
          <w:rFonts w:hint="cs"/>
          <w:rtl/>
        </w:rPr>
        <w:t>משגת</w:t>
      </w:r>
      <w:r w:rsidRPr="00414E6E">
        <w:rPr>
          <w:rtl/>
        </w:rPr>
        <w:t>, ילמד בחו"ל ויוכל, לאחר ש</w:t>
      </w:r>
      <w:r>
        <w:rPr>
          <w:rFonts w:hint="cs"/>
          <w:rtl/>
        </w:rPr>
        <w:t>י</w:t>
      </w:r>
      <w:r w:rsidRPr="00414E6E">
        <w:rPr>
          <w:rtl/>
        </w:rPr>
        <w:t>סיים את לימודיו ו</w:t>
      </w:r>
      <w:r>
        <w:rPr>
          <w:rFonts w:hint="cs"/>
          <w:rtl/>
        </w:rPr>
        <w:t>י</w:t>
      </w:r>
      <w:r w:rsidRPr="00414E6E">
        <w:rPr>
          <w:rtl/>
        </w:rPr>
        <w:t>עמ</w:t>
      </w:r>
      <w:r>
        <w:rPr>
          <w:rFonts w:hint="cs"/>
          <w:rtl/>
        </w:rPr>
        <w:t>ו</w:t>
      </w:r>
      <w:r w:rsidRPr="00414E6E">
        <w:rPr>
          <w:rtl/>
        </w:rPr>
        <w:t>ד בדרישות, להשתלב במערכת הבריאות הישראלית. יתרה מכך, מערכת</w:t>
      </w:r>
      <w:r>
        <w:rPr>
          <w:rFonts w:hint="cs"/>
          <w:rtl/>
        </w:rPr>
        <w:t xml:space="preserve"> הבריאות</w:t>
      </w:r>
      <w:r w:rsidRPr="00414E6E">
        <w:rPr>
          <w:rtl/>
        </w:rPr>
        <w:t xml:space="preserve"> אינה מונעת ממנו מל</w:t>
      </w:r>
      <w:r>
        <w:rPr>
          <w:rFonts w:hint="cs"/>
          <w:rtl/>
        </w:rPr>
        <w:t>עבור</w:t>
      </w:r>
      <w:r w:rsidRPr="00414E6E">
        <w:rPr>
          <w:rtl/>
        </w:rPr>
        <w:t xml:space="preserve"> הכשרה בשדות קליניים בבתי החולים בארץ, בתנאי שיממן את ההכשרה בעצמו או באמצעות האוניברסיטה מחו"ל </w:t>
      </w:r>
      <w:r>
        <w:rPr>
          <w:rFonts w:hint="cs"/>
          <w:rtl/>
        </w:rPr>
        <w:t>ש</w:t>
      </w:r>
      <w:r w:rsidRPr="00414E6E">
        <w:rPr>
          <w:rtl/>
        </w:rPr>
        <w:t>בה הוא לומד</w:t>
      </w:r>
      <w:r w:rsidRPr="000C06DA">
        <w:rPr>
          <w:rtl/>
        </w:rPr>
        <w:t>.</w:t>
      </w:r>
    </w:p>
    <w:p w:rsidR="00340AC1" w:rsidRPr="00A955C0" w:rsidP="00340AC1" w14:paraId="4E63CDC0" w14:textId="62783B2B">
      <w:pPr>
        <w:pStyle w:val="754"/>
        <w:rPr>
          <w:b/>
          <w:bCs/>
        </w:rPr>
      </w:pPr>
      <w:r w:rsidRPr="00BC5717">
        <w:rPr>
          <w:b/>
          <w:bCs/>
          <w:rtl/>
        </w:rPr>
        <w:t>קורסי ההכנה לקראת בחינת הרישוי</w:t>
      </w:r>
      <w:r w:rsidRPr="00BC5717">
        <w:rPr>
          <w:rFonts w:hint="cs"/>
          <w:b/>
          <w:bCs/>
          <w:rtl/>
        </w:rPr>
        <w:t xml:space="preserve"> </w:t>
      </w:r>
      <w:r w:rsidRPr="00BC5717">
        <w:rPr>
          <w:b/>
          <w:bCs/>
          <w:rtl/>
        </w:rPr>
        <w:t>לבוגרי רפואה ישראלים שלמדו במוסדות בחו"ל</w:t>
      </w:r>
      <w:r w:rsidRPr="00BC5717">
        <w:rPr>
          <w:rFonts w:hint="cs"/>
          <w:b/>
          <w:bCs/>
          <w:rtl/>
        </w:rPr>
        <w:t xml:space="preserve"> </w:t>
      </w:r>
      <w:r w:rsidRPr="00661B43">
        <w:rPr>
          <w:rFonts w:hint="cs"/>
          <w:rtl/>
        </w:rPr>
        <w:t>-</w:t>
      </w:r>
      <w:r>
        <w:rPr>
          <w:rFonts w:hint="cs"/>
          <w:rtl/>
        </w:rPr>
        <w:t xml:space="preserve"> בביקורת הקודמת עלה כי </w:t>
      </w:r>
      <w:r w:rsidRPr="004E55ED">
        <w:rPr>
          <w:rtl/>
        </w:rPr>
        <w:t>משרד הבריאות לא קבע כללים או דרישות להכרה בקורס ההכנה. המשרד גם לא קבע הוראות לבקרה על האופן שבו פועלים קורסי ההכנה.</w:t>
      </w:r>
      <w:r>
        <w:rPr>
          <w:rFonts w:hint="cs"/>
          <w:rtl/>
        </w:rPr>
        <w:t xml:space="preserve"> </w:t>
      </w:r>
      <w:r w:rsidRPr="00661B43">
        <w:rPr>
          <w:rFonts w:hint="cs"/>
          <w:rtl/>
        </w:rPr>
        <w:t>בביקורת המעקב עלה כי הליקוי</w:t>
      </w:r>
      <w:r w:rsidRPr="00873E79">
        <w:rPr>
          <w:rFonts w:hint="cs"/>
          <w:b/>
          <w:bCs/>
          <w:rtl/>
        </w:rPr>
        <w:t xml:space="preserve"> תוקן במידה </w:t>
      </w:r>
      <w:r>
        <w:rPr>
          <w:rFonts w:hint="cs"/>
          <w:b/>
          <w:bCs/>
          <w:rtl/>
        </w:rPr>
        <w:t>חלקית</w:t>
      </w:r>
      <w:r w:rsidRPr="00661B43">
        <w:rPr>
          <w:rFonts w:hint="cs"/>
          <w:rtl/>
        </w:rPr>
        <w:t>.</w:t>
      </w:r>
      <w:r w:rsidRPr="00873E79">
        <w:rPr>
          <w:rFonts w:hint="cs"/>
          <w:b/>
          <w:bCs/>
          <w:rtl/>
        </w:rPr>
        <w:t xml:space="preserve"> </w:t>
      </w:r>
      <w:r w:rsidRPr="00873E79">
        <w:rPr>
          <w:rFonts w:hint="cs"/>
          <w:rtl/>
        </w:rPr>
        <w:t>עלה כי</w:t>
      </w:r>
      <w:r>
        <w:rPr>
          <w:rFonts w:hint="cs"/>
          <w:rtl/>
        </w:rPr>
        <w:t xml:space="preserve"> </w:t>
      </w:r>
      <w:r w:rsidRPr="004E55ED">
        <w:rPr>
          <w:rtl/>
        </w:rPr>
        <w:t>משרד הבריאות החליף את הספקים שהפעילו את קורסי ההכנה, ובמועד של ביקורת המעקב היו ארבעה מרכזים רפואיים</w:t>
      </w:r>
      <w:r>
        <w:rPr>
          <w:rFonts w:hint="cs"/>
          <w:rtl/>
        </w:rPr>
        <w:t xml:space="preserve"> שונים</w:t>
      </w:r>
      <w:r w:rsidRPr="004E55ED">
        <w:rPr>
          <w:rtl/>
        </w:rPr>
        <w:t xml:space="preserve"> שקיימו את הקורסים</w:t>
      </w:r>
      <w:r>
        <w:rPr>
          <w:rFonts w:hint="cs"/>
          <w:rtl/>
        </w:rPr>
        <w:t xml:space="preserve">. </w:t>
      </w:r>
      <w:r w:rsidRPr="004E55ED">
        <w:rPr>
          <w:rtl/>
        </w:rPr>
        <w:t>אשר לבקרה של אגף הרישוי על קורסי ההכנה, עלה בביקורת המעקב כי בסוף שנת 2022 ביקרו נציגי האגף במרכזי הלימוד של קורס ההכנה שהתקיימו בשני בתי חולים מתוך הארבעה המפעילים את קורסי ההכנה</w:t>
      </w:r>
      <w:r>
        <w:rPr>
          <w:rFonts w:hint="cs"/>
          <w:rtl/>
        </w:rPr>
        <w:t xml:space="preserve">, </w:t>
      </w:r>
      <w:r w:rsidRPr="004E55ED">
        <w:rPr>
          <w:rtl/>
        </w:rPr>
        <w:t>ואולם תוצאות הביקורים לא סוכמו בכתב</w:t>
      </w:r>
      <w:r>
        <w:rPr>
          <w:rFonts w:hint="cs"/>
          <w:rtl/>
        </w:rPr>
        <w:t>,</w:t>
      </w:r>
      <w:r w:rsidRPr="004E55ED">
        <w:rPr>
          <w:rtl/>
        </w:rPr>
        <w:t xml:space="preserve"> ואין </w:t>
      </w:r>
      <w:r>
        <w:rPr>
          <w:rFonts w:hint="cs"/>
          <w:rtl/>
        </w:rPr>
        <w:t>מסמכים המתעדים את</w:t>
      </w:r>
      <w:r w:rsidRPr="004E55ED">
        <w:rPr>
          <w:rtl/>
        </w:rPr>
        <w:t xml:space="preserve"> </w:t>
      </w:r>
      <w:r>
        <w:rPr>
          <w:rFonts w:hint="cs"/>
          <w:rtl/>
        </w:rPr>
        <w:t>ה</w:t>
      </w:r>
      <w:r w:rsidRPr="004E55ED">
        <w:rPr>
          <w:rtl/>
        </w:rPr>
        <w:t xml:space="preserve">מסקנות שעלו או </w:t>
      </w:r>
      <w:r>
        <w:rPr>
          <w:rFonts w:hint="cs"/>
          <w:rtl/>
        </w:rPr>
        <w:t>את ה</w:t>
      </w:r>
      <w:r w:rsidRPr="004E55ED">
        <w:rPr>
          <w:rtl/>
        </w:rPr>
        <w:t xml:space="preserve">הנחיות של משרד הבריאות </w:t>
      </w:r>
      <w:r>
        <w:rPr>
          <w:rFonts w:hint="cs"/>
          <w:rtl/>
        </w:rPr>
        <w:t xml:space="preserve">בנוגע </w:t>
      </w:r>
      <w:r w:rsidRPr="004E55ED">
        <w:rPr>
          <w:rtl/>
        </w:rPr>
        <w:t>לפעולות שעל מרכזי הלימוד לנקוט</w:t>
      </w:r>
      <w:r w:rsidRPr="000C06DA">
        <w:rPr>
          <w:rtl/>
        </w:rPr>
        <w:t>.</w:t>
      </w:r>
    </w:p>
    <w:p w:rsidR="00A955C0" w:rsidRPr="000C06DA" w:rsidP="004B3910" w14:paraId="6785C60C" w14:textId="13761499">
      <w:pPr>
        <w:pStyle w:val="754"/>
        <w:rPr>
          <w:b/>
          <w:bCs/>
        </w:rPr>
      </w:pPr>
      <w:r w:rsidRPr="00BC5717">
        <w:rPr>
          <w:b/>
          <w:bCs/>
          <w:rtl/>
        </w:rPr>
        <w:t>שינוי תקנות הרופאים (בחינת רישוי)</w:t>
      </w:r>
      <w:r>
        <w:rPr>
          <w:rStyle w:val="FootnoteReference1"/>
          <w:b/>
          <w:bCs/>
          <w:sz w:val="19"/>
          <w:szCs w:val="19"/>
          <w:rtl/>
        </w:rPr>
        <w:footnoteReference w:id="9"/>
      </w:r>
      <w:r w:rsidRPr="00BC5717">
        <w:rPr>
          <w:rFonts w:hint="cs"/>
          <w:b/>
          <w:bCs/>
          <w:rtl/>
        </w:rPr>
        <w:t xml:space="preserve"> </w:t>
      </w:r>
      <w:r w:rsidRPr="00661B43">
        <w:rPr>
          <w:rFonts w:hint="cs"/>
          <w:rtl/>
        </w:rPr>
        <w:t>-</w:t>
      </w:r>
      <w:r w:rsidRPr="00E071FC">
        <w:rPr>
          <w:rFonts w:hint="cs"/>
          <w:rtl/>
        </w:rPr>
        <w:t xml:space="preserve"> </w:t>
      </w:r>
      <w:r>
        <w:rPr>
          <w:rFonts w:hint="cs"/>
          <w:rtl/>
        </w:rPr>
        <w:t xml:space="preserve">בביקורת הקודמת עלה כי </w:t>
      </w:r>
      <w:r w:rsidRPr="00E071FC">
        <w:rPr>
          <w:rtl/>
        </w:rPr>
        <w:t>הלך וגדל</w:t>
      </w:r>
      <w:r>
        <w:rPr>
          <w:rFonts w:hint="cs"/>
          <w:rtl/>
        </w:rPr>
        <w:t xml:space="preserve"> </w:t>
      </w:r>
      <w:r w:rsidRPr="00E071FC">
        <w:rPr>
          <w:rtl/>
        </w:rPr>
        <w:t>מספרם של בוגרי מוסדות בארמניה ו</w:t>
      </w:r>
      <w:r>
        <w:rPr>
          <w:rFonts w:hint="cs"/>
          <w:rtl/>
        </w:rPr>
        <w:t>ב</w:t>
      </w:r>
      <w:r w:rsidRPr="00E071FC">
        <w:rPr>
          <w:rtl/>
        </w:rPr>
        <w:t>מולדובה שניגשו לבחינת הרישוי</w:t>
      </w:r>
      <w:r>
        <w:rPr>
          <w:rFonts w:hint="cs"/>
          <w:rtl/>
        </w:rPr>
        <w:t xml:space="preserve"> </w:t>
      </w:r>
      <w:r w:rsidRPr="00E071FC">
        <w:rPr>
          <w:rtl/>
        </w:rPr>
        <w:t xml:space="preserve">בשלוש השנים </w:t>
      </w:r>
      <w:r>
        <w:rPr>
          <w:rFonts w:hint="cs"/>
          <w:rtl/>
        </w:rPr>
        <w:t>שקדמו לביצוע הביקורת</w:t>
      </w:r>
      <w:r w:rsidRPr="00E071FC">
        <w:rPr>
          <w:rtl/>
        </w:rPr>
        <w:t xml:space="preserve">, ושיעור </w:t>
      </w:r>
      <w:r>
        <w:rPr>
          <w:rFonts w:hint="cs"/>
          <w:rtl/>
        </w:rPr>
        <w:t>קטן</w:t>
      </w:r>
      <w:r w:rsidRPr="00E071FC">
        <w:rPr>
          <w:rtl/>
        </w:rPr>
        <w:t xml:space="preserve"> מהם </w:t>
      </w:r>
      <w:r>
        <w:rPr>
          <w:rFonts w:hint="cs"/>
          <w:rtl/>
        </w:rPr>
        <w:t xml:space="preserve">עבר </w:t>
      </w:r>
      <w:r w:rsidRPr="00E071FC">
        <w:rPr>
          <w:rtl/>
        </w:rPr>
        <w:t>את הבחינה.</w:t>
      </w:r>
      <w:r w:rsidRPr="00E071FC">
        <w:rPr>
          <w:rFonts w:hint="cs"/>
          <w:rtl/>
        </w:rPr>
        <w:t xml:space="preserve"> </w:t>
      </w:r>
      <w:r w:rsidRPr="00E071FC">
        <w:rPr>
          <w:rtl/>
        </w:rPr>
        <w:t xml:space="preserve">משרד הבריאות ציין </w:t>
      </w:r>
      <w:r w:rsidRPr="00A955C0">
        <w:rPr>
          <w:rtl/>
        </w:rPr>
        <w:t>בתגובתו</w:t>
      </w:r>
      <w:r w:rsidRPr="00E071FC">
        <w:rPr>
          <w:rtl/>
        </w:rPr>
        <w:t xml:space="preserve"> לדוח הקודם כי בעקבות דוח הביקורת נושא בחינות הרישוי עבר הערכה מחדש, וכי יש כוונה לכלול בתוכני הבחינה מרכיבים קליניים כדי שהיא תשקף את הידע והמיומנות הקלינית של הנבחן.</w:t>
      </w:r>
      <w:r>
        <w:rPr>
          <w:rFonts w:hint="cs"/>
          <w:rtl/>
        </w:rPr>
        <w:t xml:space="preserve"> </w:t>
      </w:r>
      <w:r w:rsidRPr="00661B43">
        <w:rPr>
          <w:rFonts w:hint="cs"/>
          <w:rtl/>
        </w:rPr>
        <w:t>בביקורת המעקב עלה כי הליקוי</w:t>
      </w:r>
      <w:r w:rsidRPr="0099057E">
        <w:rPr>
          <w:rFonts w:hint="cs"/>
          <w:b/>
          <w:bCs/>
          <w:rtl/>
        </w:rPr>
        <w:t xml:space="preserve"> לא תוקן</w:t>
      </w:r>
      <w:r w:rsidRPr="00661B43">
        <w:rPr>
          <w:rFonts w:hint="cs"/>
          <w:rtl/>
        </w:rPr>
        <w:t>.</w:t>
      </w:r>
      <w:r>
        <w:rPr>
          <w:rFonts w:hint="cs"/>
          <w:rtl/>
        </w:rPr>
        <w:t xml:space="preserve"> </w:t>
      </w:r>
      <w:r w:rsidRPr="00E071FC">
        <w:rPr>
          <w:rtl/>
        </w:rPr>
        <w:t>נמצא כי בחלוף כחמש שנים ממועד פרסום הדוח הקודם, משרד הבריאות לא השלים את שינוי התקנות</w:t>
      </w:r>
      <w:r>
        <w:rPr>
          <w:rFonts w:hint="cs"/>
          <w:rtl/>
        </w:rPr>
        <w:t xml:space="preserve"> שנועד להסדיר את מתכונת הבחינה,</w:t>
      </w:r>
      <w:r w:rsidRPr="00BC066E">
        <w:rPr>
          <w:rtl/>
        </w:rPr>
        <w:t xml:space="preserve"> ועל כן קיימת אפשרות שבוגרי חו"ל שכשירותם אינם מתאימה מצליחים לעבור את הבחינה העיונית</w:t>
      </w:r>
      <w:r>
        <w:rPr>
          <w:rFonts w:hint="cs"/>
          <w:rtl/>
        </w:rPr>
        <w:t>,</w:t>
      </w:r>
      <w:r w:rsidRPr="00BC066E">
        <w:rPr>
          <w:rtl/>
        </w:rPr>
        <w:t xml:space="preserve"> ויש שנבחנים פעם אחר פעם ללא הגבלה עד להצלחתם, דבר שמעלה חשש לכשירותם</w:t>
      </w:r>
      <w:r w:rsidRPr="000C06DA">
        <w:rPr>
          <w:rtl/>
        </w:rPr>
        <w:t>.</w:t>
      </w:r>
    </w:p>
    <w:p w:rsidR="003F0A00" w:rsidP="003C1B3C" w14:paraId="5B5D9A72" w14:textId="65E1400F">
      <w:pPr>
        <w:pStyle w:val="7315"/>
        <w:rPr>
          <w:rtl/>
        </w:rPr>
      </w:pPr>
      <w:r w:rsidRPr="003F0A00">
        <w:rPr>
          <w:rStyle w:val="7371"/>
          <w:rFonts w:hint="cs"/>
          <w:noProof/>
          <w:rtl/>
        </w:rPr>
        <w:drawing>
          <wp:anchor distT="0" distB="0" distL="114300" distR="114300" simplePos="0" relativeHeight="25168588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45040C" w:rsidR="00AE7F44">
        <w:rPr>
          <w:rFonts w:hint="cs"/>
          <w:b/>
          <w:bCs/>
          <w:rtl/>
        </w:rPr>
        <w:t xml:space="preserve">שנת </w:t>
      </w:r>
      <w:r w:rsidRPr="0045040C" w:rsidR="00AE7F44">
        <w:rPr>
          <w:rFonts w:hint="cs"/>
          <w:b/>
          <w:bCs/>
          <w:rtl/>
        </w:rPr>
        <w:t>הסטז</w:t>
      </w:r>
      <w:r w:rsidRPr="0045040C" w:rsidR="00AE7F44">
        <w:rPr>
          <w:rFonts w:hint="cs"/>
          <w:b/>
          <w:bCs/>
          <w:rtl/>
        </w:rPr>
        <w:t xml:space="preserve">' </w:t>
      </w:r>
      <w:r w:rsidRPr="008B0D30" w:rsidR="00AE7F44">
        <w:rPr>
          <w:rFonts w:hint="cs"/>
          <w:rtl/>
        </w:rPr>
        <w:t>- בביקורת</w:t>
      </w:r>
      <w:r w:rsidRPr="00FB0F38" w:rsidR="00AE7F44">
        <w:rPr>
          <w:rFonts w:hint="cs"/>
          <w:rtl/>
        </w:rPr>
        <w:t xml:space="preserve"> הקודמת עלה כי </w:t>
      </w:r>
      <w:r w:rsidRPr="00FB0F38" w:rsidR="00AE7F44">
        <w:rPr>
          <w:rtl/>
        </w:rPr>
        <w:t xml:space="preserve">משרד הבריאות לא נקט שום צעד ממשי כדי לתת מענה לגידול הניכר במספר הסטז'רים </w:t>
      </w:r>
      <w:r w:rsidRPr="00FE1636" w:rsidR="00AE7F44">
        <w:rPr>
          <w:rtl/>
        </w:rPr>
        <w:t>מבחינת</w:t>
      </w:r>
      <w:r w:rsidRPr="00FB0F38" w:rsidR="00AE7F44">
        <w:rPr>
          <w:rtl/>
        </w:rPr>
        <w:t xml:space="preserve"> התשתיות וכוח </w:t>
      </w:r>
      <w:r w:rsidR="00AE7F44">
        <w:rPr>
          <w:rFonts w:hint="cs"/>
          <w:rtl/>
        </w:rPr>
        <w:t>ה</w:t>
      </w:r>
      <w:r w:rsidRPr="00FB0F38" w:rsidR="00AE7F44">
        <w:rPr>
          <w:rtl/>
        </w:rPr>
        <w:t xml:space="preserve">אדם (המיטות והצוות הרפואי האמור להכשירם). הדבר עלול להביא לכך ששנת </w:t>
      </w:r>
      <w:r w:rsidRPr="00FB0F38" w:rsidR="00AE7F44">
        <w:rPr>
          <w:rtl/>
        </w:rPr>
        <w:t>הסטז</w:t>
      </w:r>
      <w:r w:rsidRPr="00FB0F38" w:rsidR="00AE7F44">
        <w:rPr>
          <w:rtl/>
        </w:rPr>
        <w:t>' לא תהיה יעילה</w:t>
      </w:r>
      <w:r w:rsidR="00AE7F44">
        <w:rPr>
          <w:rFonts w:hint="cs"/>
          <w:rtl/>
        </w:rPr>
        <w:t xml:space="preserve">. </w:t>
      </w:r>
      <w:r w:rsidRPr="00661B43" w:rsidR="00AE7F44">
        <w:rPr>
          <w:rFonts w:hint="cs"/>
          <w:rtl/>
        </w:rPr>
        <w:t>בביקורת המעקב עלה כי הליקוי</w:t>
      </w:r>
      <w:r w:rsidRPr="004871B6" w:rsidR="00AE7F44">
        <w:rPr>
          <w:rFonts w:hint="cs"/>
          <w:b/>
          <w:bCs/>
          <w:rtl/>
        </w:rPr>
        <w:t xml:space="preserve"> לא תוקן</w:t>
      </w:r>
      <w:r w:rsidRPr="00661B43" w:rsidR="00AE7F44">
        <w:rPr>
          <w:rFonts w:hint="cs"/>
          <w:rtl/>
        </w:rPr>
        <w:t>.</w:t>
      </w:r>
      <w:r w:rsidR="00AE7F44">
        <w:rPr>
          <w:rFonts w:hint="cs"/>
          <w:rtl/>
        </w:rPr>
        <w:t xml:space="preserve"> </w:t>
      </w:r>
      <w:r w:rsidRPr="008D1717" w:rsidR="00AE7F44">
        <w:rPr>
          <w:rtl/>
        </w:rPr>
        <w:t xml:space="preserve">בשנים 2017 - 2023 </w:t>
      </w:r>
      <w:r w:rsidR="00AE7F44">
        <w:rPr>
          <w:rFonts w:hint="cs"/>
          <w:rtl/>
        </w:rPr>
        <w:t>גדל</w:t>
      </w:r>
      <w:r w:rsidRPr="008D1717" w:rsidR="00AE7F44">
        <w:rPr>
          <w:rtl/>
        </w:rPr>
        <w:t xml:space="preserve"> מספר הסטז'רים </w:t>
      </w:r>
      <w:r w:rsidR="00AE7F44">
        <w:rPr>
          <w:rFonts w:hint="cs"/>
          <w:rtl/>
        </w:rPr>
        <w:t xml:space="preserve">                   </w:t>
      </w:r>
      <w:r w:rsidRPr="008D1717" w:rsidR="00AE7F44">
        <w:rPr>
          <w:rtl/>
        </w:rPr>
        <w:t>מ-1,547</w:t>
      </w:r>
      <w:r w:rsidR="00AE7F44">
        <w:rPr>
          <w:rtl/>
        </w:rPr>
        <w:t xml:space="preserve"> </w:t>
      </w:r>
      <w:r w:rsidRPr="008D1717" w:rsidR="00AE7F44">
        <w:rPr>
          <w:rtl/>
        </w:rPr>
        <w:t>ל-1,</w:t>
      </w:r>
      <w:r w:rsidRPr="00823241" w:rsidR="00AE7F44">
        <w:rPr>
          <w:rtl/>
        </w:rPr>
        <w:t>793</w:t>
      </w:r>
      <w:r w:rsidRPr="00823241" w:rsidR="00AE7F44">
        <w:rPr>
          <w:rFonts w:hint="cs"/>
          <w:rtl/>
        </w:rPr>
        <w:t xml:space="preserve"> (</w:t>
      </w:r>
      <w:r w:rsidRPr="00823241" w:rsidR="00AE7F44">
        <w:rPr>
          <w:rtl/>
        </w:rPr>
        <w:t>כ-16%</w:t>
      </w:r>
      <w:r w:rsidRPr="00823241" w:rsidR="00AE7F44">
        <w:rPr>
          <w:rFonts w:hint="cs"/>
          <w:rtl/>
        </w:rPr>
        <w:t>)</w:t>
      </w:r>
      <w:r w:rsidRPr="00823241" w:rsidR="00AE7F44">
        <w:rPr>
          <w:rtl/>
        </w:rPr>
        <w:t xml:space="preserve">. לעומת זאת, תקן מיטות האשפוז באותן השנים </w:t>
      </w:r>
      <w:r w:rsidR="00AE7F44">
        <w:rPr>
          <w:rFonts w:hint="cs"/>
          <w:rtl/>
        </w:rPr>
        <w:t>גדל</w:t>
      </w:r>
      <w:r w:rsidRPr="00823241" w:rsidR="00AE7F44">
        <w:rPr>
          <w:rtl/>
        </w:rPr>
        <w:t xml:space="preserve"> מ-15,798 ל-16,408 מיטות - </w:t>
      </w:r>
      <w:r w:rsidR="00AE7F44">
        <w:rPr>
          <w:rFonts w:hint="cs"/>
          <w:rtl/>
        </w:rPr>
        <w:t>גידול</w:t>
      </w:r>
      <w:r w:rsidRPr="00823241" w:rsidR="00AE7F44">
        <w:rPr>
          <w:rtl/>
        </w:rPr>
        <w:t xml:space="preserve"> של כ-4%</w:t>
      </w:r>
      <w:r w:rsidRPr="00823241" w:rsidR="00AE7F44">
        <w:rPr>
          <w:rFonts w:hint="cs"/>
          <w:rtl/>
        </w:rPr>
        <w:t xml:space="preserve"> בלבד</w:t>
      </w:r>
      <w:r w:rsidRPr="00823241" w:rsidR="00AE7F44">
        <w:rPr>
          <w:rtl/>
        </w:rPr>
        <w:t xml:space="preserve">. מכאן שבחלוף כחמש שנים ממועד פרסום הדוח </w:t>
      </w:r>
      <w:r w:rsidRPr="00823241" w:rsidR="00AE7F44">
        <w:rPr>
          <w:rtl/>
        </w:rPr>
        <w:t>הקודם המגמה של גידול יתר במספר הסטז'רים ביחס לגידול</w:t>
      </w:r>
      <w:r w:rsidRPr="008D1717" w:rsidR="00AE7F44">
        <w:rPr>
          <w:rtl/>
        </w:rPr>
        <w:t xml:space="preserve"> במספר המיטות נותרה בעינה. עלה גם שהמשרד לא קבע את היחס הרצוי בין מספר הסטז'רים למספר המיטות</w:t>
      </w:r>
      <w:r w:rsidRPr="003F0C8F">
        <w:rPr>
          <w:rFonts w:hint="cs"/>
          <w:rtl/>
        </w:rPr>
        <w:t>.</w:t>
      </w:r>
    </w:p>
    <w:p w:rsidR="003C1B3C" w:rsidP="004B3910" w14:paraId="4A8EAD3B" w14:textId="7B2AAE06">
      <w:pPr>
        <w:pStyle w:val="7315"/>
        <w:rPr>
          <w:rtl/>
        </w:rPr>
      </w:pPr>
      <w:r w:rsidRPr="003F0A00">
        <w:rPr>
          <w:rStyle w:val="7371"/>
          <w:rFonts w:hint="cs"/>
          <w:noProof/>
          <w:rtl/>
        </w:rPr>
        <w:drawing>
          <wp:anchor distT="0" distB="0" distL="114300" distR="114300" simplePos="0" relativeHeight="25168998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62631C">
        <w:rPr>
          <w:b/>
          <w:bCs/>
          <w:rtl/>
        </w:rPr>
        <w:t xml:space="preserve">ריכוז המידע על מערך ההתמחויות </w:t>
      </w:r>
      <w:r>
        <w:rPr>
          <w:rFonts w:hint="cs"/>
          <w:b/>
          <w:bCs/>
          <w:rtl/>
        </w:rPr>
        <w:t xml:space="preserve">של הרופאים בישראל </w:t>
      </w:r>
      <w:r w:rsidRPr="0062631C">
        <w:rPr>
          <w:b/>
          <w:bCs/>
          <w:rtl/>
        </w:rPr>
        <w:t>ושקיפותו</w:t>
      </w:r>
      <w:r>
        <w:rPr>
          <w:rFonts w:hint="cs"/>
          <w:b/>
          <w:bCs/>
          <w:rtl/>
        </w:rPr>
        <w:t xml:space="preserve"> </w:t>
      </w:r>
      <w:r w:rsidRPr="00661B43">
        <w:rPr>
          <w:rFonts w:hint="cs"/>
          <w:rtl/>
        </w:rPr>
        <w:t>-</w:t>
      </w:r>
      <w:r>
        <w:rPr>
          <w:rFonts w:hint="cs"/>
          <w:b/>
          <w:bCs/>
          <w:rtl/>
        </w:rPr>
        <w:t xml:space="preserve"> </w:t>
      </w:r>
      <w:r w:rsidRPr="0062631C">
        <w:rPr>
          <w:rFonts w:hint="cs"/>
          <w:rtl/>
        </w:rPr>
        <w:t xml:space="preserve">בביקורת הקודמת עלה כי </w:t>
      </w:r>
      <w:r w:rsidRPr="0062631C">
        <w:rPr>
          <w:rtl/>
        </w:rPr>
        <w:t xml:space="preserve">למשרד הבריאות אין מידע מרוכז על מקומות ההתמחות. הוא אינו יודע כמה מהם מאוישים, כמה פנויים ומהו לוח הזמנים להתפנות של המקומות התפוסים. עוד עלה כי בתי </w:t>
      </w:r>
      <w:r w:rsidRPr="00E01C03">
        <w:rPr>
          <w:rtl/>
        </w:rPr>
        <w:t xml:space="preserve">החולים </w:t>
      </w:r>
      <w:r w:rsidRPr="0062631C">
        <w:rPr>
          <w:rtl/>
        </w:rPr>
        <w:t>א</w:t>
      </w:r>
      <w:r>
        <w:rPr>
          <w:rFonts w:hint="cs"/>
          <w:rtl/>
        </w:rPr>
        <w:t>ינם</w:t>
      </w:r>
      <w:r w:rsidRPr="0062631C">
        <w:rPr>
          <w:rtl/>
        </w:rPr>
        <w:t xml:space="preserve"> </w:t>
      </w:r>
      <w:r w:rsidRPr="004B3910">
        <w:rPr>
          <w:rtl/>
        </w:rPr>
        <w:t>מפרסמים</w:t>
      </w:r>
      <w:r w:rsidRPr="0062631C">
        <w:rPr>
          <w:rtl/>
        </w:rPr>
        <w:t xml:space="preserve"> את מספר מקומות ההתמחות לאיוש, והשיבוץ והקבלה להתמחות אינם שקופים </w:t>
      </w:r>
      <w:r w:rsidRPr="00661B43">
        <w:rPr>
          <w:rtl/>
        </w:rPr>
        <w:t>למועמדים</w:t>
      </w:r>
      <w:r w:rsidRPr="00661B43">
        <w:rPr>
          <w:rFonts w:hint="cs"/>
          <w:rtl/>
        </w:rPr>
        <w:t>. בביקורת המעקב עלה כי הליקוי</w:t>
      </w:r>
      <w:r w:rsidRPr="004871B6">
        <w:rPr>
          <w:rFonts w:hint="cs"/>
          <w:b/>
          <w:bCs/>
          <w:rtl/>
        </w:rPr>
        <w:t xml:space="preserve"> תוקן במידה מועטה</w:t>
      </w:r>
      <w:r w:rsidRPr="00661B43">
        <w:rPr>
          <w:rFonts w:hint="cs"/>
          <w:rtl/>
        </w:rPr>
        <w:t xml:space="preserve">. </w:t>
      </w:r>
      <w:r w:rsidRPr="00117FEF">
        <w:rPr>
          <w:rFonts w:hint="cs"/>
          <w:rtl/>
        </w:rPr>
        <w:t xml:space="preserve">עלה כי </w:t>
      </w:r>
      <w:r w:rsidRPr="00117FEF">
        <w:rPr>
          <w:rtl/>
        </w:rPr>
        <w:t xml:space="preserve">אומנם תקנות הרופאים שעדכן משרד הבריאות בסוף 2022 ולפיהן רופא המבקש להתמחות ובקשתו אושרה בידי המועצה המדעית </w:t>
      </w:r>
      <w:r w:rsidRPr="00BE7ED8">
        <w:rPr>
          <w:rtl/>
        </w:rPr>
        <w:t xml:space="preserve">ההסתדרות הרפואית בישראל </w:t>
      </w:r>
      <w:r>
        <w:rPr>
          <w:rFonts w:hint="cs"/>
          <w:rtl/>
        </w:rPr>
        <w:t>(</w:t>
      </w:r>
      <w:r w:rsidRPr="00117FEF">
        <w:rPr>
          <w:rtl/>
        </w:rPr>
        <w:t>הר"י</w:t>
      </w:r>
      <w:r>
        <w:rPr>
          <w:rFonts w:hint="cs"/>
          <w:rtl/>
        </w:rPr>
        <w:t>)</w:t>
      </w:r>
      <w:r>
        <w:rPr>
          <w:rStyle w:val="FootnoteReference1"/>
          <w:sz w:val="19"/>
          <w:szCs w:val="19"/>
          <w:rtl/>
        </w:rPr>
        <w:footnoteReference w:id="10"/>
      </w:r>
      <w:r w:rsidRPr="00117FEF">
        <w:rPr>
          <w:rtl/>
        </w:rPr>
        <w:t xml:space="preserve"> יגיש למשרד הבריאות בתוך חודשיים מיום אישור המועצה, ובאופן מקוון, דיווח על התמחותו בצירוף </w:t>
      </w:r>
      <w:r>
        <w:rPr>
          <w:rFonts w:hint="cs"/>
          <w:rtl/>
        </w:rPr>
        <w:t>כמה</w:t>
      </w:r>
      <w:r w:rsidRPr="00117FEF">
        <w:rPr>
          <w:rtl/>
        </w:rPr>
        <w:t xml:space="preserve"> נתונים</w:t>
      </w:r>
      <w:r w:rsidRPr="00117FEF">
        <w:rPr>
          <w:rFonts w:hint="cs"/>
          <w:rtl/>
        </w:rPr>
        <w:t>,</w:t>
      </w:r>
      <w:r w:rsidRPr="00117FEF">
        <w:rPr>
          <w:rtl/>
        </w:rPr>
        <w:t xml:space="preserve"> צפויות לאפשר למשרד לרכז מידע על מספר המתמחים החל מינואר 2023</w:t>
      </w:r>
      <w:r>
        <w:rPr>
          <w:rFonts w:hint="cs"/>
          <w:rtl/>
        </w:rPr>
        <w:t>;</w:t>
      </w:r>
      <w:r w:rsidRPr="00117FEF">
        <w:rPr>
          <w:rtl/>
        </w:rPr>
        <w:t xml:space="preserve"> עם זאת במועד סיום הביקורת </w:t>
      </w:r>
      <w:r>
        <w:rPr>
          <w:rFonts w:hint="cs"/>
          <w:rtl/>
        </w:rPr>
        <w:t xml:space="preserve">(באוגוסט 2023) </w:t>
      </w:r>
      <w:r w:rsidRPr="00117FEF">
        <w:rPr>
          <w:rtl/>
        </w:rPr>
        <w:t>למשרד הבריאות עדיין אין מידע מרוכז על מספר מקומות ההתמחות בכל מחלקה ובכל בית חולים</w:t>
      </w:r>
      <w:r>
        <w:rPr>
          <w:rFonts w:hint="cs"/>
          <w:rtl/>
        </w:rPr>
        <w:t xml:space="preserve"> ועל שיעורי האיוש שלהם</w:t>
      </w:r>
      <w:r w:rsidRPr="003F0C8F">
        <w:rPr>
          <w:rFonts w:hint="cs"/>
          <w:rtl/>
        </w:rPr>
        <w:t>.</w:t>
      </w:r>
    </w:p>
    <w:p w:rsidR="00F22CA7" w:rsidP="00F22CA7" w14:paraId="08B4C862" w14:textId="722FE8AB">
      <w:pPr>
        <w:pStyle w:val="7315"/>
        <w:rPr>
          <w:rtl/>
        </w:rPr>
      </w:pPr>
      <w:r w:rsidRPr="003F0A00">
        <w:rPr>
          <w:rStyle w:val="7371"/>
          <w:rFonts w:hint="cs"/>
          <w:noProof/>
          <w:rtl/>
        </w:rPr>
        <w:drawing>
          <wp:anchor distT="0" distB="0" distL="114300" distR="114300" simplePos="0" relativeHeight="25169203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7478E7">
        <w:rPr>
          <w:b/>
          <w:bCs/>
          <w:rtl/>
        </w:rPr>
        <w:t>הכשרת סטודנטים בקהילה - הוספת שדות קליניים בקהילה במהלך לימודי הרפואה</w:t>
      </w:r>
      <w:r>
        <w:rPr>
          <w:rFonts w:hint="cs"/>
          <w:b/>
          <w:bCs/>
          <w:rtl/>
        </w:rPr>
        <w:t xml:space="preserve"> </w:t>
      </w:r>
      <w:r w:rsidRPr="00661B43">
        <w:rPr>
          <w:rFonts w:hint="cs"/>
          <w:rtl/>
        </w:rPr>
        <w:t>-</w:t>
      </w:r>
      <w:r>
        <w:rPr>
          <w:rFonts w:hint="cs"/>
          <w:b/>
          <w:bCs/>
          <w:rtl/>
        </w:rPr>
        <w:t xml:space="preserve"> </w:t>
      </w:r>
      <w:r w:rsidRPr="007478E7">
        <w:rPr>
          <w:rFonts w:hint="cs"/>
          <w:rtl/>
        </w:rPr>
        <w:t xml:space="preserve">בביקורת </w:t>
      </w:r>
      <w:r w:rsidRPr="00FA2480">
        <w:rPr>
          <w:rFonts w:hint="cs"/>
          <w:rtl/>
        </w:rPr>
        <w:t xml:space="preserve">הקודמת הומלץ כי </w:t>
      </w:r>
      <w:r w:rsidRPr="00FA2480">
        <w:rPr>
          <w:rtl/>
        </w:rPr>
        <w:t xml:space="preserve">פורום הדיקנים בשיתוף משרד הבריאות </w:t>
      </w:r>
      <w:r w:rsidRPr="00FA2480">
        <w:rPr>
          <w:rFonts w:hint="cs"/>
          <w:rtl/>
        </w:rPr>
        <w:t xml:space="preserve">יפעלו </w:t>
      </w:r>
      <w:r w:rsidRPr="00FA2480">
        <w:rPr>
          <w:rtl/>
        </w:rPr>
        <w:t>להנגיש</w:t>
      </w:r>
      <w:r w:rsidRPr="00FA2480">
        <w:rPr>
          <w:rtl/>
        </w:rPr>
        <w:t xml:space="preserve"> את נושא הרפואה בקהילה עוד בתקופת ההכשרה האקדמית.</w:t>
      </w:r>
      <w:r w:rsidRPr="00FA2480">
        <w:rPr>
          <w:rFonts w:hint="cs"/>
          <w:b/>
          <w:bCs/>
          <w:rtl/>
        </w:rPr>
        <w:t xml:space="preserve"> </w:t>
      </w:r>
      <w:r w:rsidRPr="00661B43">
        <w:rPr>
          <w:rFonts w:hint="cs"/>
          <w:rtl/>
        </w:rPr>
        <w:t>בביקורת המעקב עלה כי הליקוי</w:t>
      </w:r>
      <w:r w:rsidRPr="00FA2480">
        <w:rPr>
          <w:rFonts w:hint="cs"/>
          <w:b/>
          <w:bCs/>
          <w:rtl/>
        </w:rPr>
        <w:t xml:space="preserve"> תוקן במידה מועטה.</w:t>
      </w:r>
      <w:r w:rsidRPr="00FA2480">
        <w:rPr>
          <w:rFonts w:hint="cs"/>
          <w:rtl/>
        </w:rPr>
        <w:t xml:space="preserve"> </w:t>
      </w:r>
      <w:r w:rsidRPr="00FA2480">
        <w:rPr>
          <w:rtl/>
        </w:rPr>
        <w:t xml:space="preserve">עלה כי מאז הדוח הקודם החלו הקופות לפעול להרחבה </w:t>
      </w:r>
      <w:r w:rsidRPr="00F22CA7">
        <w:rPr>
          <w:rtl/>
        </w:rPr>
        <w:t>של</w:t>
      </w:r>
      <w:r w:rsidRPr="00FA2480">
        <w:rPr>
          <w:rtl/>
        </w:rPr>
        <w:t xml:space="preserve"> הכשרת סטודנטים בקהילה בשדות הקליניים, ועם זאת, לעומת הגישה הרווחת בקרב ארגוני בריאות בחו"ל כדוגמת הפדרציה העולמית לחינוך רפואי, המועצה </w:t>
      </w:r>
      <w:r w:rsidRPr="00DA56A0">
        <w:rPr>
          <w:rtl/>
        </w:rPr>
        <w:t>הרפואית</w:t>
      </w:r>
      <w:r w:rsidRPr="00FA2480">
        <w:rPr>
          <w:rtl/>
        </w:rPr>
        <w:t xml:space="preserve"> הכללית בבריטניה וגורמי הבריאות</w:t>
      </w:r>
      <w:r w:rsidRPr="007478E7">
        <w:rPr>
          <w:rtl/>
        </w:rPr>
        <w:t xml:space="preserve"> באוסטרליה, שעמדתם היא שלקהילה יש מקום מרכזי בהכשרת הסטודנטים לרפואה, </w:t>
      </w:r>
      <w:r>
        <w:rPr>
          <w:rFonts w:hint="cs"/>
          <w:rtl/>
        </w:rPr>
        <w:t xml:space="preserve">נוסף על בתי החולים, </w:t>
      </w:r>
      <w:r w:rsidRPr="007478E7">
        <w:rPr>
          <w:rtl/>
        </w:rPr>
        <w:t>בישראל עדיין לא כל הסטודנטים עוברים הכשרה קלינית בקהילה</w:t>
      </w:r>
      <w:r w:rsidRPr="003F0C8F">
        <w:rPr>
          <w:rFonts w:hint="cs"/>
          <w:rtl/>
        </w:rPr>
        <w:t>.</w:t>
      </w:r>
    </w:p>
    <w:p w:rsidR="00D536DC" w:rsidP="004B3910" w14:paraId="1CCD9E07" w14:textId="6A398579">
      <w:pPr>
        <w:pStyle w:val="7315"/>
        <w:rPr>
          <w:rtl/>
        </w:rPr>
      </w:pPr>
      <w:r w:rsidRPr="003F0A00">
        <w:rPr>
          <w:rStyle w:val="7371"/>
          <w:rFonts w:hint="cs"/>
          <w:noProof/>
          <w:rtl/>
        </w:rPr>
        <w:drawing>
          <wp:anchor distT="0" distB="0" distL="114300" distR="114300" simplePos="0" relativeHeight="251693056"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B50ED2">
        <w:rPr>
          <w:b/>
          <w:bCs/>
          <w:rtl/>
        </w:rPr>
        <w:t>הכשרת רופאים בקהילה לקראת תואר מומחה - חלוקת תקופת ההתמחות בין בתי החולים ובין הקהילה</w:t>
      </w:r>
      <w:r>
        <w:rPr>
          <w:rFonts w:hint="cs"/>
          <w:b/>
          <w:bCs/>
          <w:rtl/>
        </w:rPr>
        <w:t xml:space="preserve"> </w:t>
      </w:r>
      <w:r w:rsidRPr="00661B43">
        <w:rPr>
          <w:rFonts w:hint="cs"/>
          <w:rtl/>
        </w:rPr>
        <w:t>-</w:t>
      </w:r>
      <w:r>
        <w:rPr>
          <w:rFonts w:hint="cs"/>
          <w:b/>
          <w:bCs/>
          <w:rtl/>
        </w:rPr>
        <w:t xml:space="preserve"> </w:t>
      </w:r>
      <w:r w:rsidRPr="00B50ED2">
        <w:rPr>
          <w:rtl/>
        </w:rPr>
        <w:t>על אף המגמה הקיימת והצפויה להתרחב של מ</w:t>
      </w:r>
      <w:r>
        <w:rPr>
          <w:rFonts w:hint="cs"/>
          <w:rtl/>
        </w:rPr>
        <w:t xml:space="preserve">חסור ברופאים </w:t>
      </w:r>
      <w:r w:rsidRPr="00B50ED2">
        <w:rPr>
          <w:rtl/>
        </w:rPr>
        <w:t>ברפואת הקהילה</w:t>
      </w:r>
      <w:r>
        <w:rPr>
          <w:rFonts w:hint="cs"/>
          <w:rtl/>
        </w:rPr>
        <w:t>,</w:t>
      </w:r>
      <w:r w:rsidRPr="00B50ED2">
        <w:rPr>
          <w:rtl/>
        </w:rPr>
        <w:t xml:space="preserve"> משרד הבריאות לא עסק במתכונת הרצויה להתמחות בקהילה ו</w:t>
      </w:r>
      <w:r>
        <w:rPr>
          <w:rFonts w:hint="cs"/>
          <w:rtl/>
        </w:rPr>
        <w:t>ב</w:t>
      </w:r>
      <w:r w:rsidRPr="00B50ED2">
        <w:rPr>
          <w:rtl/>
        </w:rPr>
        <w:t xml:space="preserve">יכולת לתת מענה לצרכים </w:t>
      </w:r>
      <w:r w:rsidRPr="004B3910">
        <w:rPr>
          <w:rtl/>
        </w:rPr>
        <w:t>המתפתחים</w:t>
      </w:r>
      <w:r w:rsidRPr="00B50ED2">
        <w:rPr>
          <w:rtl/>
        </w:rPr>
        <w:t>, ורק מיעוט מקרב ה</w:t>
      </w:r>
      <w:r>
        <w:rPr>
          <w:rFonts w:hint="cs"/>
          <w:rtl/>
        </w:rPr>
        <w:t>רופאים ה</w:t>
      </w:r>
      <w:r w:rsidRPr="00B50ED2">
        <w:rPr>
          <w:rtl/>
        </w:rPr>
        <w:t xml:space="preserve">מתמחים עובר הכשרה בקהילה. רק במועד סיום הביקורת הקודמת (בשנת </w:t>
      </w:r>
      <w:r w:rsidRPr="00DA56A0">
        <w:rPr>
          <w:rtl/>
        </w:rPr>
        <w:t>2018)</w:t>
      </w:r>
      <w:r w:rsidRPr="00B50ED2">
        <w:rPr>
          <w:rtl/>
        </w:rPr>
        <w:t xml:space="preserve"> המשרד החל לעסוק בנושא.</w:t>
      </w:r>
      <w:r>
        <w:rPr>
          <w:rFonts w:hint="cs"/>
          <w:b/>
          <w:bCs/>
          <w:rtl/>
        </w:rPr>
        <w:t xml:space="preserve"> </w:t>
      </w:r>
      <w:r w:rsidRPr="00661B43">
        <w:rPr>
          <w:rFonts w:hint="cs"/>
          <w:rtl/>
        </w:rPr>
        <w:t>בביקורת המעקב עלה כי הליקוי</w:t>
      </w:r>
      <w:r w:rsidRPr="004871B6">
        <w:rPr>
          <w:rFonts w:hint="cs"/>
          <w:b/>
          <w:bCs/>
          <w:rtl/>
        </w:rPr>
        <w:t xml:space="preserve"> תוקן במידה חלקית</w:t>
      </w:r>
      <w:r w:rsidRPr="00661B43">
        <w:rPr>
          <w:rFonts w:hint="cs"/>
          <w:rtl/>
        </w:rPr>
        <w:t xml:space="preserve">. </w:t>
      </w:r>
      <w:r w:rsidRPr="00E7455A">
        <w:rPr>
          <w:rtl/>
        </w:rPr>
        <w:t xml:space="preserve">מאז הדוח הקודם </w:t>
      </w:r>
      <w:r w:rsidRPr="00342F3E">
        <w:rPr>
          <w:rtl/>
        </w:rPr>
        <w:t xml:space="preserve">מספר המתמחים ברפואת ילדים שביצעו תקופת התמחות כלשהי בקהילה היה </w:t>
      </w:r>
      <w:r>
        <w:rPr>
          <w:rFonts w:hint="cs"/>
          <w:rtl/>
        </w:rPr>
        <w:t>ב</w:t>
      </w:r>
      <w:r w:rsidRPr="00342F3E">
        <w:rPr>
          <w:rtl/>
        </w:rPr>
        <w:t>סך הכ</w:t>
      </w:r>
      <w:r>
        <w:rPr>
          <w:rFonts w:hint="cs"/>
          <w:rtl/>
        </w:rPr>
        <w:t>ו</w:t>
      </w:r>
      <w:r w:rsidRPr="00342F3E">
        <w:rPr>
          <w:rtl/>
        </w:rPr>
        <w:t>ל 27 מתמחים בשנת 2018 בארבע הקופות ו-98 מתמחים בשנת 2023</w:t>
      </w:r>
      <w:r>
        <w:rPr>
          <w:rFonts w:hint="cs"/>
          <w:rtl/>
        </w:rPr>
        <w:t xml:space="preserve">, </w:t>
      </w:r>
      <w:r w:rsidRPr="00342F3E">
        <w:rPr>
          <w:rtl/>
        </w:rPr>
        <w:t xml:space="preserve">על פי נתוני </w:t>
      </w:r>
      <w:r>
        <w:rPr>
          <w:rFonts w:hint="cs"/>
          <w:rtl/>
        </w:rPr>
        <w:t xml:space="preserve">הקופות. </w:t>
      </w:r>
      <w:r w:rsidRPr="00342F3E">
        <w:rPr>
          <w:rtl/>
        </w:rPr>
        <w:t xml:space="preserve">מספר הרופאים המתמחים שביצעו תקופת התמחות כלשהי </w:t>
      </w:r>
      <w:r w:rsidRPr="00F22CA7">
        <w:rPr>
          <w:rtl/>
        </w:rPr>
        <w:t>בקהילה</w:t>
      </w:r>
      <w:r w:rsidRPr="00342F3E">
        <w:rPr>
          <w:rtl/>
        </w:rPr>
        <w:t xml:space="preserve"> ברפואת משפחה </w:t>
      </w:r>
      <w:r>
        <w:rPr>
          <w:rFonts w:hint="cs"/>
          <w:rtl/>
        </w:rPr>
        <w:t>גדל</w:t>
      </w:r>
      <w:r w:rsidRPr="00342F3E">
        <w:rPr>
          <w:rtl/>
        </w:rPr>
        <w:t xml:space="preserve"> מ-596 מתמחים בשנת 2018 בארבע קופות החולים ל-961 מתמחים בשנת 2023</w:t>
      </w:r>
      <w:r>
        <w:rPr>
          <w:rFonts w:hint="cs"/>
          <w:rtl/>
        </w:rPr>
        <w:t>. עוד עלה כי</w:t>
      </w:r>
      <w:r w:rsidRPr="00342F3E">
        <w:rPr>
          <w:rtl/>
        </w:rPr>
        <w:t xml:space="preserve"> משרד הבריאות לא הגדיר את מספר ה</w:t>
      </w:r>
      <w:r w:rsidRPr="00342F3E">
        <w:rPr>
          <w:rFonts w:hint="cs"/>
          <w:rtl/>
        </w:rPr>
        <w:t>רופאים ה</w:t>
      </w:r>
      <w:r w:rsidRPr="00342F3E">
        <w:rPr>
          <w:rtl/>
        </w:rPr>
        <w:t>מומחים הנדרש ברפואת הקהילה</w:t>
      </w:r>
      <w:r w:rsidRPr="00342F3E">
        <w:rPr>
          <w:rFonts w:hint="cs"/>
          <w:rtl/>
        </w:rPr>
        <w:t>,</w:t>
      </w:r>
      <w:r w:rsidRPr="00342F3E">
        <w:rPr>
          <w:rtl/>
        </w:rPr>
        <w:t xml:space="preserve"> </w:t>
      </w:r>
      <w:r>
        <w:rPr>
          <w:rFonts w:hint="cs"/>
          <w:rtl/>
        </w:rPr>
        <w:t>לצורך הרחבת השירותים הניתנים לציבור</w:t>
      </w:r>
      <w:r w:rsidRPr="003F0C8F">
        <w:rPr>
          <w:rFonts w:hint="cs"/>
          <w:rtl/>
        </w:rPr>
        <w:t>.</w:t>
      </w:r>
    </w:p>
    <w:p w:rsidR="00D536DC" w14:paraId="3BC25EC8" w14:textId="77777777">
      <w:pPr>
        <w:bidi w:val="0"/>
        <w:spacing w:after="200" w:line="276" w:lineRule="auto"/>
        <w:rPr>
          <w:rFonts w:ascii="Tahoma" w:hAnsi="Tahoma" w:cs="Tahoma"/>
          <w:color w:val="0D0D0D" w:themeColor="text1" w:themeTint="F2"/>
          <w:sz w:val="18"/>
          <w:szCs w:val="18"/>
          <w:rtl/>
        </w:rPr>
      </w:pPr>
      <w:r>
        <w:rPr>
          <w:rtl/>
        </w:rPr>
        <w:br w:type="page"/>
      </w:r>
    </w:p>
    <w:p w:rsidR="00F22CA7" w:rsidP="004B3910" w14:paraId="380F9183" w14:textId="2AAA4DEB">
      <w:pPr>
        <w:pStyle w:val="755"/>
        <w:rPr>
          <w:rtl/>
        </w:rPr>
      </w:pPr>
      <w:r w:rsidRPr="003F0A00">
        <w:rPr>
          <w:rStyle w:val="7371"/>
          <w:rFonts w:hint="cs"/>
          <w:noProof/>
          <w:rtl/>
        </w:rPr>
        <w:drawing>
          <wp:anchor distT="0" distB="0" distL="114300" distR="114300" simplePos="0" relativeHeight="25169408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CD5C55">
        <w:rPr>
          <w:b/>
          <w:bCs/>
          <w:rtl/>
        </w:rPr>
        <w:t>שיפור איכות לימודי הרפואה בישראל שביכולתו גם להגדיל את מספר הלומדים</w:t>
      </w:r>
      <w:r w:rsidRPr="00CD5C55">
        <w:rPr>
          <w:rFonts w:hint="cs"/>
          <w:b/>
          <w:bCs/>
          <w:rtl/>
        </w:rPr>
        <w:t xml:space="preserve"> </w:t>
      </w:r>
      <w:r w:rsidRPr="00661B43">
        <w:rPr>
          <w:rFonts w:hint="cs"/>
          <w:rtl/>
        </w:rPr>
        <w:t>-</w:t>
      </w:r>
      <w:r>
        <w:rPr>
          <w:rFonts w:hint="cs"/>
          <w:rtl/>
        </w:rPr>
        <w:t xml:space="preserve"> בביקורת הקודמת עלה כי </w:t>
      </w:r>
      <w:r w:rsidRPr="0064553F">
        <w:rPr>
          <w:rtl/>
        </w:rPr>
        <w:t xml:space="preserve">הנושאים שעליהם החליטה </w:t>
      </w:r>
      <w:r>
        <w:rPr>
          <w:rFonts w:hint="cs"/>
          <w:rtl/>
        </w:rPr>
        <w:t xml:space="preserve">הוועדה של </w:t>
      </w:r>
      <w:r>
        <w:rPr>
          <w:rFonts w:hint="cs"/>
          <w:rtl/>
        </w:rPr>
        <w:t>המל"ג</w:t>
      </w:r>
      <w:r>
        <w:rPr>
          <w:rFonts w:hint="cs"/>
          <w:rtl/>
        </w:rPr>
        <w:t xml:space="preserve"> - למשל לפתח אמצעים נוספים להכשרה כמו סימולטורים - </w:t>
      </w:r>
      <w:r w:rsidRPr="0064553F">
        <w:rPr>
          <w:rtl/>
        </w:rPr>
        <w:t>לא נדונו בפורום כלשהו, והטיפול בהם לא קודם</w:t>
      </w:r>
      <w:r>
        <w:rPr>
          <w:rFonts w:hint="cs"/>
          <w:rtl/>
        </w:rPr>
        <w:t xml:space="preserve"> כיוון ש</w:t>
      </w:r>
      <w:r w:rsidRPr="00940234">
        <w:rPr>
          <w:rtl/>
        </w:rPr>
        <w:t>פורום מקצועות הבריאות</w:t>
      </w:r>
      <w:r>
        <w:rPr>
          <w:rStyle w:val="FootnoteReference1"/>
          <w:sz w:val="19"/>
          <w:szCs w:val="19"/>
          <w:rtl/>
        </w:rPr>
        <w:footnoteReference w:id="11"/>
      </w:r>
      <w:r w:rsidRPr="00940234">
        <w:rPr>
          <w:rtl/>
        </w:rPr>
        <w:t xml:space="preserve"> לא הוקם מחדש</w:t>
      </w:r>
      <w:r w:rsidRPr="0064553F">
        <w:rPr>
          <w:rtl/>
        </w:rPr>
        <w:t>.</w:t>
      </w:r>
      <w:r>
        <w:rPr>
          <w:rFonts w:hint="cs"/>
          <w:rtl/>
        </w:rPr>
        <w:t xml:space="preserve"> </w:t>
      </w:r>
      <w:r w:rsidRPr="00661B43">
        <w:rPr>
          <w:rFonts w:hint="cs"/>
          <w:rtl/>
        </w:rPr>
        <w:t>בביקורת המעקב עלה כי הליקוי</w:t>
      </w:r>
      <w:r w:rsidRPr="004871B6">
        <w:rPr>
          <w:rFonts w:hint="cs"/>
          <w:b/>
          <w:bCs/>
          <w:rtl/>
        </w:rPr>
        <w:t xml:space="preserve"> תוקן במידה חלקית</w:t>
      </w:r>
      <w:r w:rsidRPr="00661B43">
        <w:rPr>
          <w:rFonts w:hint="cs"/>
          <w:rtl/>
        </w:rPr>
        <w:t xml:space="preserve">. </w:t>
      </w:r>
      <w:r>
        <w:rPr>
          <w:rFonts w:hint="cs"/>
          <w:rtl/>
        </w:rPr>
        <w:t xml:space="preserve">עלה כי </w:t>
      </w:r>
      <w:r w:rsidRPr="00A2232B">
        <w:rPr>
          <w:rtl/>
        </w:rPr>
        <w:t xml:space="preserve">כל ששת בתי הספר לרפואה החלו לשלב שיטות חדשניות להוראה, בהתאם להמלצות הוועדה של </w:t>
      </w:r>
      <w:r w:rsidRPr="00A2232B">
        <w:rPr>
          <w:rtl/>
        </w:rPr>
        <w:t>המל"</w:t>
      </w:r>
      <w:r>
        <w:rPr>
          <w:rFonts w:hint="cs"/>
          <w:rtl/>
        </w:rPr>
        <w:t>ג</w:t>
      </w:r>
      <w:r>
        <w:rPr>
          <w:rFonts w:hint="cs"/>
          <w:rtl/>
        </w:rPr>
        <w:t xml:space="preserve">. </w:t>
      </w:r>
      <w:r w:rsidRPr="001A3AB0">
        <w:rPr>
          <w:rtl/>
        </w:rPr>
        <w:t>עם זאת תוכניות הלימודים של חלקם לא עודכנו כך שעוד לפני לימודי השלב הקליני</w:t>
      </w:r>
      <w:r>
        <w:rPr>
          <w:rFonts w:hint="cs"/>
          <w:rtl/>
        </w:rPr>
        <w:t>,</w:t>
      </w:r>
      <w:r w:rsidRPr="001A3AB0">
        <w:rPr>
          <w:rtl/>
        </w:rPr>
        <w:t xml:space="preserve"> </w:t>
      </w:r>
      <w:r>
        <w:rPr>
          <w:rFonts w:hint="cs"/>
          <w:rtl/>
        </w:rPr>
        <w:t xml:space="preserve">ישולבו </w:t>
      </w:r>
      <w:r w:rsidRPr="001A3AB0">
        <w:rPr>
          <w:rtl/>
        </w:rPr>
        <w:t>שיטות למידה המבוססות על טכנולוגיה מתקדמת, סימולציות מרובות רכיבים וחשיפה לכלי אבחון קליניים חדשניים.</w:t>
      </w:r>
      <w:r w:rsidRPr="00A2232B">
        <w:rPr>
          <w:rtl/>
        </w:rPr>
        <w:t xml:space="preserve"> עוד עלה כי </w:t>
      </w:r>
      <w:r w:rsidRPr="00A2232B">
        <w:rPr>
          <w:rtl/>
        </w:rPr>
        <w:t>המל"ג</w:t>
      </w:r>
      <w:r w:rsidRPr="00A2232B">
        <w:rPr>
          <w:rtl/>
        </w:rPr>
        <w:t xml:space="preserve"> לא השלימה את ההליכים </w:t>
      </w:r>
      <w:r>
        <w:rPr>
          <w:rFonts w:hint="cs"/>
          <w:rtl/>
        </w:rPr>
        <w:t xml:space="preserve">הפנימיים </w:t>
      </w:r>
      <w:r w:rsidRPr="00A2232B">
        <w:rPr>
          <w:rtl/>
        </w:rPr>
        <w:t>הנדרשים לשיפור איכות ההוראה והחינוך הרפואי בישראל</w:t>
      </w:r>
      <w:r>
        <w:rPr>
          <w:rFonts w:hint="cs"/>
          <w:rtl/>
        </w:rPr>
        <w:t xml:space="preserve">, ואף לא את ההליכים </w:t>
      </w:r>
      <w:r w:rsidRPr="00A2232B">
        <w:rPr>
          <w:rtl/>
        </w:rPr>
        <w:t>עם בתי הספר לרפואה</w:t>
      </w:r>
      <w:r w:rsidRPr="003F0C8F">
        <w:rPr>
          <w:rFonts w:hint="cs"/>
          <w:rtl/>
        </w:rPr>
        <w:t>.</w:t>
      </w:r>
    </w:p>
    <w:p w:rsidR="00487083" w:rsidP="00487083" w14:paraId="145965F7" w14:textId="77777777">
      <w:pPr>
        <w:pStyle w:val="714"/>
        <w:rPr>
          <w:rtl/>
        </w:rPr>
      </w:pPr>
      <w:r w:rsidRPr="00362C00">
        <w:rPr>
          <w:rFonts w:hint="cs"/>
          <w:noProof/>
          <w:sz w:val="19"/>
          <w:szCs w:val="19"/>
          <w:rtl/>
        </w:rPr>
        <w:drawing>
          <wp:anchor distT="0" distB="0" distL="114300" distR="114300" simplePos="0" relativeHeight="251695104" behindDoc="1" locked="0" layoutInCell="1" allowOverlap="1">
            <wp:simplePos x="0" y="0"/>
            <wp:positionH relativeFrom="column">
              <wp:posOffset>2391410</wp:posOffset>
            </wp:positionH>
            <wp:positionV relativeFrom="paragraph">
              <wp:posOffset>0</wp:posOffset>
            </wp:positionV>
            <wp:extent cx="2355215" cy="180340"/>
            <wp:effectExtent l="0" t="0" r="6985" b="0"/>
            <wp:wrapNone/>
            <wp:docPr id="36"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like.png"/>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p>
    <w:p w:rsidR="00487083" w:rsidRPr="00FC6C88" w:rsidP="004B3910" w14:paraId="3CECD113" w14:textId="77777777">
      <w:pPr>
        <w:pStyle w:val="755"/>
        <w:rPr>
          <w:rtl/>
        </w:rPr>
      </w:pPr>
      <w:bookmarkStart w:id="4" w:name="_Hlk155546745"/>
      <w:r w:rsidRPr="00FB28C8">
        <w:rPr>
          <w:rFonts w:hint="cs"/>
          <w:b/>
          <w:bCs/>
          <w:rtl/>
        </w:rPr>
        <w:t>פעולות משרד הבריאות מאז הדוח הקודם</w:t>
      </w:r>
      <w:r>
        <w:rPr>
          <w:rFonts w:hint="cs"/>
          <w:rtl/>
        </w:rPr>
        <w:t xml:space="preserve"> - </w:t>
      </w:r>
      <w:r w:rsidRPr="00FB28C8">
        <w:rPr>
          <w:rtl/>
        </w:rPr>
        <w:t xml:space="preserve">בביקורת המעקב עלה כי מאז הדוח הקודם משרד הבריאות העלה על סדר יומו את נושא תכנון כוח האדם הרפואי וגיבש מודל לחיזוי שיעור </w:t>
      </w:r>
      <w:r w:rsidRPr="00487083">
        <w:rPr>
          <w:rtl/>
        </w:rPr>
        <w:t>הרופאים</w:t>
      </w:r>
      <w:r w:rsidRPr="00FB28C8">
        <w:rPr>
          <w:rtl/>
        </w:rPr>
        <w:t xml:space="preserve"> הצפוי ל-1,000 נפש. כמו כן</w:t>
      </w:r>
      <w:r>
        <w:rPr>
          <w:rFonts w:hint="cs"/>
          <w:rtl/>
        </w:rPr>
        <w:t>,</w:t>
      </w:r>
      <w:r w:rsidRPr="00FB28C8">
        <w:rPr>
          <w:rtl/>
        </w:rPr>
        <w:t xml:space="preserve"> המשרד גיבש תוכנית להגדלת מספר </w:t>
      </w:r>
      <w:r w:rsidRPr="004B3910">
        <w:rPr>
          <w:rtl/>
        </w:rPr>
        <w:t>הסטודנטים</w:t>
      </w:r>
      <w:r w:rsidRPr="00FB28C8">
        <w:rPr>
          <w:rtl/>
        </w:rPr>
        <w:t xml:space="preserve"> לרפואה </w:t>
      </w:r>
      <w:r w:rsidRPr="00B91632">
        <w:rPr>
          <w:rtl/>
        </w:rPr>
        <w:t>בישראל ומינה ועדה ייעודית</w:t>
      </w:r>
      <w:r w:rsidRPr="00FB28C8">
        <w:rPr>
          <w:rtl/>
        </w:rPr>
        <w:t xml:space="preserve"> לטיפול במצוקת כוח האדם הרפואי במערכת הבריאות שתעסוק בנושא.</w:t>
      </w:r>
      <w:r>
        <w:rPr>
          <w:rFonts w:hint="cs"/>
          <w:b/>
          <w:bCs/>
          <w:rtl/>
        </w:rPr>
        <w:t xml:space="preserve"> </w:t>
      </w:r>
      <w:r w:rsidRPr="00FC6C88">
        <w:rPr>
          <w:rFonts w:hint="cs"/>
          <w:rtl/>
        </w:rPr>
        <w:t xml:space="preserve">מספר הסטודנטים שלמדו בשנה א' של לימודי הרפואה </w:t>
      </w:r>
      <w:r>
        <w:rPr>
          <w:rFonts w:hint="cs"/>
          <w:rtl/>
        </w:rPr>
        <w:t>גדל</w:t>
      </w:r>
      <w:r w:rsidRPr="00FC6C88">
        <w:rPr>
          <w:rFonts w:hint="cs"/>
          <w:rtl/>
        </w:rPr>
        <w:t xml:space="preserve"> מ-800</w:t>
      </w:r>
      <w:r>
        <w:rPr>
          <w:rFonts w:hint="cs"/>
          <w:rtl/>
        </w:rPr>
        <w:t xml:space="preserve"> </w:t>
      </w:r>
      <w:r w:rsidRPr="00092A35">
        <w:rPr>
          <w:rtl/>
        </w:rPr>
        <w:t xml:space="preserve">בשנה"ל </w:t>
      </w:r>
      <w:r w:rsidRPr="00092A35">
        <w:rPr>
          <w:rtl/>
        </w:rPr>
        <w:t>התשפ"א</w:t>
      </w:r>
      <w:r w:rsidRPr="00092A35">
        <w:rPr>
          <w:rtl/>
        </w:rPr>
        <w:t xml:space="preserve"> (אוקטובר 2020 - ספטמבר 2021)</w:t>
      </w:r>
      <w:r>
        <w:rPr>
          <w:rFonts w:hint="cs"/>
          <w:rtl/>
        </w:rPr>
        <w:t xml:space="preserve"> לכ-1,100 בשנה"ל </w:t>
      </w:r>
      <w:r>
        <w:rPr>
          <w:rFonts w:hint="cs"/>
          <w:rtl/>
        </w:rPr>
        <w:t>התשפ"ד</w:t>
      </w:r>
      <w:r>
        <w:rPr>
          <w:rFonts w:hint="cs"/>
          <w:rtl/>
        </w:rPr>
        <w:t xml:space="preserve"> </w:t>
      </w:r>
      <w:r w:rsidRPr="00FC6C88">
        <w:rPr>
          <w:rtl/>
        </w:rPr>
        <w:t>(אוקטובר 2023 - ספטמבר 2024)</w:t>
      </w:r>
      <w:r>
        <w:rPr>
          <w:rFonts w:hint="cs"/>
          <w:rtl/>
        </w:rPr>
        <w:t>.</w:t>
      </w:r>
    </w:p>
    <w:p w:rsidR="00487083" w:rsidP="004B3910" w14:paraId="641D9E3E" w14:textId="77777777">
      <w:pPr>
        <w:pStyle w:val="755"/>
      </w:pPr>
      <w:r>
        <w:rPr>
          <w:rFonts w:hint="cs"/>
          <w:b/>
          <w:bCs/>
          <w:rtl/>
        </w:rPr>
        <w:t xml:space="preserve">גיבוש </w:t>
      </w:r>
      <w:r w:rsidRPr="00E8443B">
        <w:rPr>
          <w:b/>
          <w:bCs/>
          <w:rtl/>
        </w:rPr>
        <w:t xml:space="preserve">תוכנית רב-שנתית להגדלת מספר הסטודנטים </w:t>
      </w:r>
      <w:r w:rsidRPr="00E8443B">
        <w:rPr>
          <w:rFonts w:hint="cs"/>
          <w:b/>
          <w:bCs/>
          <w:rtl/>
        </w:rPr>
        <w:t>ל</w:t>
      </w:r>
      <w:r w:rsidRPr="00E8443B">
        <w:rPr>
          <w:b/>
          <w:bCs/>
          <w:rtl/>
        </w:rPr>
        <w:t>רפואה בישראל</w:t>
      </w:r>
      <w:r w:rsidRPr="00E8443B">
        <w:rPr>
          <w:rFonts w:hint="cs"/>
          <w:rtl/>
        </w:rPr>
        <w:t xml:space="preserve"> - בביקורת הקודמת עלה כי </w:t>
      </w:r>
      <w:r w:rsidRPr="00E8443B">
        <w:rPr>
          <w:rtl/>
        </w:rPr>
        <w:t>מ</w:t>
      </w:r>
      <w:r>
        <w:rPr>
          <w:rFonts w:hint="cs"/>
          <w:rtl/>
        </w:rPr>
        <w:t>שנת</w:t>
      </w:r>
      <w:r w:rsidRPr="00E8443B">
        <w:rPr>
          <w:rtl/>
        </w:rPr>
        <w:t xml:space="preserve"> 2011, אז עלה הצורך בהגדלת מספר הסטודנטים</w:t>
      </w:r>
      <w:r w:rsidRPr="00E8443B">
        <w:rPr>
          <w:rFonts w:hint="cs"/>
          <w:rtl/>
        </w:rPr>
        <w:t xml:space="preserve"> לרפואה</w:t>
      </w:r>
      <w:r w:rsidRPr="00E8443B">
        <w:rPr>
          <w:rtl/>
        </w:rPr>
        <w:t xml:space="preserve"> (בישראל) על פי </w:t>
      </w:r>
      <w:r w:rsidRPr="004B3910">
        <w:rPr>
          <w:rtl/>
        </w:rPr>
        <w:t>תוכנית</w:t>
      </w:r>
      <w:r w:rsidRPr="00E8443B">
        <w:rPr>
          <w:rtl/>
        </w:rPr>
        <w:t xml:space="preserve"> סדורה ובהתאם לבדיקת עומס ההוראה הקלינית בבתי החולים והצרכים הנובעים מכך, ועד למועד סיום הדוח הקודם - </w:t>
      </w:r>
      <w:r w:rsidRPr="00E8443B">
        <w:rPr>
          <w:rFonts w:hint="cs"/>
          <w:rtl/>
        </w:rPr>
        <w:t xml:space="preserve">משרד הבריאות </w:t>
      </w:r>
      <w:r w:rsidRPr="00E8443B">
        <w:rPr>
          <w:rtl/>
        </w:rPr>
        <w:t>לא עשה דבר.</w:t>
      </w:r>
      <w:r w:rsidRPr="00E8443B">
        <w:rPr>
          <w:rFonts w:hint="cs"/>
          <w:rtl/>
        </w:rPr>
        <w:t xml:space="preserve"> </w:t>
      </w:r>
      <w:r w:rsidRPr="004A47E2">
        <w:rPr>
          <w:rFonts w:hint="cs"/>
          <w:rtl/>
        </w:rPr>
        <w:t>בביקורת המעקב נמצא כי הליקוי</w:t>
      </w:r>
      <w:r w:rsidRPr="004249E6">
        <w:rPr>
          <w:rFonts w:hint="cs"/>
          <w:b/>
          <w:bCs/>
          <w:rtl/>
        </w:rPr>
        <w:t xml:space="preserve"> תוקן במידה רבה</w:t>
      </w:r>
      <w:r w:rsidRPr="004A47E2">
        <w:rPr>
          <w:rFonts w:hint="cs"/>
          <w:rtl/>
        </w:rPr>
        <w:t>.</w:t>
      </w:r>
      <w:r w:rsidRPr="004249E6">
        <w:rPr>
          <w:rtl/>
        </w:rPr>
        <w:t xml:space="preserve"> עלה</w:t>
      </w:r>
      <w:r w:rsidRPr="00E8443B">
        <w:rPr>
          <w:rtl/>
        </w:rPr>
        <w:t xml:space="preserve"> </w:t>
      </w:r>
      <w:r w:rsidRPr="00E8443B">
        <w:rPr>
          <w:rFonts w:hint="cs"/>
          <w:rtl/>
        </w:rPr>
        <w:t xml:space="preserve">כי </w:t>
      </w:r>
      <w:r w:rsidRPr="00E66113">
        <w:rPr>
          <w:rtl/>
        </w:rPr>
        <w:t xml:space="preserve">בינואר 2023 הציגו נציגי משרד הבריאות בפני הנהלת משרד הבריאות תוכנית שגיבשו </w:t>
      </w:r>
      <w:r w:rsidRPr="00E8443B">
        <w:rPr>
          <w:rtl/>
        </w:rPr>
        <w:t>להגדלת מספר הסטודנטים בפקולטות לרפואה בישראל (בשנה א' של הלימודים)</w:t>
      </w:r>
      <w:r w:rsidRPr="00E8443B">
        <w:rPr>
          <w:rFonts w:hint="cs"/>
          <w:rtl/>
        </w:rPr>
        <w:t xml:space="preserve"> מ-800 בשנת הלימודים </w:t>
      </w:r>
      <w:r w:rsidRPr="00E8443B">
        <w:rPr>
          <w:rtl/>
        </w:rPr>
        <w:t>התשפ"א</w:t>
      </w:r>
      <w:r w:rsidRPr="00E8443B">
        <w:rPr>
          <w:rtl/>
        </w:rPr>
        <w:t xml:space="preserve"> (אוקטובר 2020 - ספטמבר 2021) ל</w:t>
      </w:r>
      <w:r w:rsidRPr="004249E6">
        <w:rPr>
          <w:rtl/>
        </w:rPr>
        <w:t>-1,200 סטודנטים בשנת 2024 ול-2,000 בשנת 2030</w:t>
      </w:r>
      <w:r w:rsidRPr="004249E6">
        <w:rPr>
          <w:rFonts w:hint="cs"/>
          <w:rtl/>
        </w:rPr>
        <w:t xml:space="preserve"> ובה מפורטות </w:t>
      </w:r>
      <w:r w:rsidRPr="004249E6">
        <w:rPr>
          <w:rtl/>
        </w:rPr>
        <w:t>פעולות שיש לנקוט כדי לעמוד ביעדים</w:t>
      </w:r>
      <w:r w:rsidRPr="004249E6">
        <w:rPr>
          <w:rFonts w:hint="cs"/>
          <w:rtl/>
        </w:rPr>
        <w:t xml:space="preserve">. </w:t>
      </w:r>
      <w:r>
        <w:rPr>
          <w:rFonts w:hint="cs"/>
          <w:rtl/>
        </w:rPr>
        <w:t xml:space="preserve">עם זאת, </w:t>
      </w:r>
      <w:r w:rsidRPr="004249E6">
        <w:rPr>
          <w:rFonts w:hint="cs"/>
          <w:rtl/>
        </w:rPr>
        <w:t xml:space="preserve">עלה </w:t>
      </w:r>
      <w:r w:rsidRPr="004249E6">
        <w:rPr>
          <w:rtl/>
        </w:rPr>
        <w:t>כי</w:t>
      </w:r>
      <w:r w:rsidRPr="004249E6">
        <w:rPr>
          <w:rFonts w:hint="cs"/>
          <w:rtl/>
        </w:rPr>
        <w:t xml:space="preserve"> </w:t>
      </w:r>
      <w:r w:rsidRPr="004249E6">
        <w:rPr>
          <w:rtl/>
        </w:rPr>
        <w:t>אף שתוכנית פעולה חשובה כמו התוכנית הרב-שנתית להגדלת מספר הסטודנטים לרפואה בארץ נדרשת לתכנון</w:t>
      </w:r>
      <w:r w:rsidRPr="00E8443B">
        <w:rPr>
          <w:rtl/>
        </w:rPr>
        <w:t xml:space="preserve"> סדור, היא חסרה מרכיבים מהותיים שיאפשרו את </w:t>
      </w:r>
      <w:r w:rsidRPr="004B3910">
        <w:rPr>
          <w:rtl/>
        </w:rPr>
        <w:t>הצלחתה</w:t>
      </w:r>
      <w:r w:rsidRPr="00E8443B">
        <w:rPr>
          <w:rtl/>
        </w:rPr>
        <w:t>. כפי שנקבע גם במדריך התכנון הממשלתי, לבד מהגדרת מטרת התוכנית, נדרש להגדיר גם יעדים ומדדים להערכת הביצוע, ואולם התוכנית של משרד הבריאות אינה מפרטת יעדים ומדדי ביצוע עבור כל אחד מבתי הספר לרפואה ו</w:t>
      </w:r>
      <w:r>
        <w:rPr>
          <w:rFonts w:hint="cs"/>
          <w:rtl/>
        </w:rPr>
        <w:t xml:space="preserve">עבור </w:t>
      </w:r>
      <w:r w:rsidRPr="00E8443B">
        <w:rPr>
          <w:rtl/>
        </w:rPr>
        <w:t>כל אחד מבתי החולים.</w:t>
      </w:r>
      <w:r w:rsidRPr="00E8443B">
        <w:rPr>
          <w:rFonts w:hint="cs"/>
          <w:rtl/>
        </w:rPr>
        <w:t xml:space="preserve"> </w:t>
      </w:r>
      <w:r>
        <w:rPr>
          <w:rFonts w:hint="cs"/>
          <w:rtl/>
        </w:rPr>
        <w:t xml:space="preserve">עוד יצוין כי הליקויים בנוגע ליישום התוכנית מפורטים לעיל. </w:t>
      </w:r>
    </w:p>
    <w:p w:rsidR="00487083" w:rsidP="004B3910" w14:paraId="5F4C9048" w14:textId="77777777">
      <w:pPr>
        <w:pStyle w:val="755"/>
        <w:rPr>
          <w:b/>
          <w:bCs/>
          <w:rtl/>
        </w:rPr>
      </w:pPr>
      <w:r w:rsidRPr="004B4291">
        <w:rPr>
          <w:b/>
          <w:bCs/>
          <w:rtl/>
        </w:rPr>
        <w:t>הפעלה של השדות הקליניים - עומס סטודנטים בהכשרה הקלינית</w:t>
      </w:r>
      <w:r w:rsidRPr="004B4291">
        <w:rPr>
          <w:rFonts w:hint="cs"/>
          <w:b/>
          <w:bCs/>
          <w:rtl/>
        </w:rPr>
        <w:t xml:space="preserve"> </w:t>
      </w:r>
      <w:r w:rsidRPr="004A47E2">
        <w:rPr>
          <w:rFonts w:hint="cs"/>
          <w:rtl/>
        </w:rPr>
        <w:t>-</w:t>
      </w:r>
      <w:r>
        <w:rPr>
          <w:rFonts w:hint="cs"/>
          <w:rtl/>
        </w:rPr>
        <w:t xml:space="preserve"> בביקורת הקודמת עלה </w:t>
      </w:r>
      <w:r w:rsidRPr="00647055">
        <w:rPr>
          <w:rtl/>
        </w:rPr>
        <w:t>מבדיקת עומס הסטודנטים בשדות הקליניים</w:t>
      </w:r>
      <w:r>
        <w:rPr>
          <w:rFonts w:hint="cs"/>
          <w:rtl/>
        </w:rPr>
        <w:t xml:space="preserve"> כי</w:t>
      </w:r>
      <w:r w:rsidRPr="00647055">
        <w:rPr>
          <w:rtl/>
        </w:rPr>
        <w:t xml:space="preserve"> </w:t>
      </w:r>
      <w:r>
        <w:rPr>
          <w:rFonts w:hint="cs"/>
          <w:rtl/>
        </w:rPr>
        <w:t xml:space="preserve">הייתה </w:t>
      </w:r>
      <w:r w:rsidRPr="00647055">
        <w:rPr>
          <w:rtl/>
        </w:rPr>
        <w:t xml:space="preserve">קיימת מצוקה בשדות הקליניים. במצב זה, לעיתים הפקולטה והמחלקה הגדילו את מספר הסטודנטים בקבוצת הלימוד בשדה הקליני למספר שלא </w:t>
      </w:r>
      <w:r w:rsidRPr="00647055">
        <w:rPr>
          <w:rtl/>
        </w:rPr>
        <w:t>א</w:t>
      </w:r>
      <w:r>
        <w:rPr>
          <w:rFonts w:hint="cs"/>
          <w:rtl/>
        </w:rPr>
        <w:t>י</w:t>
      </w:r>
      <w:r w:rsidRPr="00647055">
        <w:rPr>
          <w:rtl/>
        </w:rPr>
        <w:t>פשר</w:t>
      </w:r>
      <w:r w:rsidRPr="00647055">
        <w:rPr>
          <w:rtl/>
        </w:rPr>
        <w:t xml:space="preserve"> לימוד מועיל ויעיל. בביקורת</w:t>
      </w:r>
      <w:r>
        <w:rPr>
          <w:rFonts w:hint="cs"/>
          <w:rtl/>
        </w:rPr>
        <w:t xml:space="preserve"> הקודמת</w:t>
      </w:r>
      <w:r w:rsidRPr="00647055">
        <w:rPr>
          <w:rtl/>
        </w:rPr>
        <w:t xml:space="preserve"> נמצאו </w:t>
      </w:r>
      <w:r w:rsidRPr="00647055">
        <w:rPr>
          <w:rtl/>
        </w:rPr>
        <w:t>מחלקות רבות בבתי החולים שבהן היו יותר משמונה סטודנטים בשדות קליניים, ולעיתים אף 12 סטודנטים ויותר</w:t>
      </w:r>
      <w:r>
        <w:rPr>
          <w:rFonts w:hint="cs"/>
          <w:rtl/>
        </w:rPr>
        <w:t xml:space="preserve">. </w:t>
      </w:r>
      <w:r w:rsidRPr="004A47E2">
        <w:rPr>
          <w:rFonts w:hint="cs"/>
          <w:rtl/>
        </w:rPr>
        <w:t>בביקורת המעקב עלה כי</w:t>
      </w:r>
      <w:r w:rsidRPr="001B3D1D">
        <w:rPr>
          <w:rFonts w:hint="cs"/>
          <w:b/>
          <w:bCs/>
          <w:rtl/>
        </w:rPr>
        <w:t xml:space="preserve"> הליקוי תוקן במידה רבה</w:t>
      </w:r>
      <w:r w:rsidRPr="004A47E2">
        <w:rPr>
          <w:rFonts w:hint="cs"/>
          <w:rtl/>
        </w:rPr>
        <w:t xml:space="preserve">. </w:t>
      </w:r>
      <w:r w:rsidRPr="00647055">
        <w:rPr>
          <w:rtl/>
        </w:rPr>
        <w:t>ברוב המוחלט של המחלקות</w:t>
      </w:r>
      <w:r>
        <w:rPr>
          <w:rFonts w:hint="cs"/>
          <w:rtl/>
        </w:rPr>
        <w:t xml:space="preserve"> בכל בתי החולים </w:t>
      </w:r>
      <w:r w:rsidRPr="00647055">
        <w:rPr>
          <w:rtl/>
        </w:rPr>
        <w:t>יש לכל היותר עשרה סטודנטים.</w:t>
      </w:r>
    </w:p>
    <w:p w:rsidR="00487083" w:rsidP="004B3910" w14:paraId="1747F93E" w14:textId="77777777">
      <w:pPr>
        <w:pStyle w:val="7315"/>
        <w:rPr>
          <w:rtl/>
        </w:rPr>
      </w:pPr>
      <w:r w:rsidRPr="0080294F">
        <w:rPr>
          <w:b/>
          <w:bCs/>
          <w:rtl/>
        </w:rPr>
        <w:t>צמצום מספר הסטודנטים הזרים מחו״ל הלומדים בתוכניות ללימודי רפואה בארץ</w:t>
      </w:r>
      <w:r w:rsidRPr="0080294F">
        <w:rPr>
          <w:rFonts w:hint="cs"/>
          <w:b/>
          <w:bCs/>
          <w:rtl/>
        </w:rPr>
        <w:t xml:space="preserve"> </w:t>
      </w:r>
      <w:r w:rsidRPr="004A47E2">
        <w:rPr>
          <w:rFonts w:hint="cs"/>
          <w:rtl/>
        </w:rPr>
        <w:t>-</w:t>
      </w:r>
      <w:r w:rsidRPr="0080294F">
        <w:rPr>
          <w:rFonts w:hint="cs"/>
          <w:b/>
          <w:bCs/>
          <w:rtl/>
        </w:rPr>
        <w:t xml:space="preserve"> </w:t>
      </w:r>
      <w:r>
        <w:rPr>
          <w:rFonts w:hint="cs"/>
          <w:rtl/>
        </w:rPr>
        <w:t xml:space="preserve">בביקורת הקודמת עלה כי </w:t>
      </w:r>
      <w:r w:rsidRPr="00970E67">
        <w:rPr>
          <w:rtl/>
        </w:rPr>
        <w:t>מל"ג-ות"ת לא אכפה על האוניברסיטאות ליישם את החלטתה לצמצם בהדרגה את מספר הסטודנטים הזרים הלומדים בפקולטות לרפואה. וכך</w:t>
      </w:r>
      <w:r>
        <w:rPr>
          <w:rFonts w:hint="cs"/>
          <w:rtl/>
        </w:rPr>
        <w:t>,</w:t>
      </w:r>
      <w:r w:rsidRPr="00970E67">
        <w:rPr>
          <w:rtl/>
        </w:rPr>
        <w:t xml:space="preserve"> אף שחלפו כחמש שנים מאז אימצה ות"ת את המלצות ועדת </w:t>
      </w:r>
      <w:r w:rsidRPr="00970E67">
        <w:rPr>
          <w:rtl/>
        </w:rPr>
        <w:t>אנדורן</w:t>
      </w:r>
      <w:r>
        <w:rPr>
          <w:rStyle w:val="FootnoteReference1"/>
          <w:sz w:val="19"/>
          <w:szCs w:val="19"/>
          <w:rtl/>
        </w:rPr>
        <w:footnoteReference w:id="12"/>
      </w:r>
      <w:r w:rsidRPr="00970E67">
        <w:rPr>
          <w:rtl/>
        </w:rPr>
        <w:t xml:space="preserve"> - הן לא יושמו. כך למשל בשנת </w:t>
      </w:r>
      <w:r w:rsidRPr="00970E67">
        <w:rPr>
          <w:rtl/>
        </w:rPr>
        <w:t>התשע"ו</w:t>
      </w:r>
      <w:r w:rsidRPr="00970E67">
        <w:rPr>
          <w:rtl/>
        </w:rPr>
        <w:t xml:space="preserve"> (2015 - 2016) למדו בארץ כ-170 סטודנטים זרים במחזור, ולא 130 כפי שנקבע; </w:t>
      </w:r>
      <w:r w:rsidRPr="004A47E2">
        <w:rPr>
          <w:rFonts w:hint="cs"/>
          <w:rtl/>
        </w:rPr>
        <w:t>בביקורת המעקב עלה כי הליקוי</w:t>
      </w:r>
      <w:r w:rsidRPr="004871B6">
        <w:rPr>
          <w:rFonts w:hint="cs"/>
          <w:b/>
          <w:bCs/>
          <w:rtl/>
        </w:rPr>
        <w:t xml:space="preserve"> תוקן באופן מלא</w:t>
      </w:r>
      <w:r w:rsidRPr="004A47E2">
        <w:rPr>
          <w:rFonts w:hint="cs"/>
          <w:rtl/>
        </w:rPr>
        <w:t>.</w:t>
      </w:r>
      <w:r>
        <w:rPr>
          <w:rFonts w:hint="cs"/>
          <w:rtl/>
        </w:rPr>
        <w:t xml:space="preserve"> </w:t>
      </w:r>
      <w:r w:rsidRPr="00E30991">
        <w:rPr>
          <w:rtl/>
        </w:rPr>
        <w:t xml:space="preserve">משנה"ל </w:t>
      </w:r>
      <w:r w:rsidRPr="00E30991">
        <w:rPr>
          <w:rtl/>
        </w:rPr>
        <w:t>התשפ"ד</w:t>
      </w:r>
      <w:r w:rsidRPr="00E30991">
        <w:rPr>
          <w:rtl/>
        </w:rPr>
        <w:t xml:space="preserve"> </w:t>
      </w:r>
      <w:r>
        <w:rPr>
          <w:rFonts w:hint="cs"/>
          <w:rtl/>
        </w:rPr>
        <w:t>ה</w:t>
      </w:r>
      <w:r w:rsidRPr="00E30991">
        <w:rPr>
          <w:rtl/>
        </w:rPr>
        <w:t>ופסק הרישום לתוכניות לסטודנטים זרים, דבר שמאפשר לפתוח עוד 130 מקומות לסטודנטים ישראלים לרפואה</w:t>
      </w:r>
      <w:r>
        <w:rPr>
          <w:rFonts w:hint="cs"/>
          <w:rtl/>
        </w:rPr>
        <w:t>.</w:t>
      </w:r>
    </w:p>
    <w:p w:rsidR="00487083" w:rsidP="004B3910" w14:paraId="3F318642" w14:textId="77777777">
      <w:pPr>
        <w:pStyle w:val="755"/>
        <w:rPr>
          <w:rtl/>
        </w:rPr>
      </w:pPr>
      <w:r w:rsidRPr="00A631F6">
        <w:rPr>
          <w:rFonts w:hint="cs"/>
          <w:b/>
          <w:bCs/>
          <w:rtl/>
        </w:rPr>
        <w:t xml:space="preserve">הסתמכות על בוגרי רפואה ישראלים שלמדו בחו"ל </w:t>
      </w:r>
      <w:r w:rsidRPr="004A47E2">
        <w:rPr>
          <w:rFonts w:hint="cs"/>
          <w:rtl/>
        </w:rPr>
        <w:t>-</w:t>
      </w:r>
      <w:r w:rsidRPr="00A631F6">
        <w:rPr>
          <w:rFonts w:hint="cs"/>
          <w:rtl/>
        </w:rPr>
        <w:t xml:space="preserve"> בביקורת הקודמת עלה כי </w:t>
      </w:r>
      <w:r w:rsidRPr="00A631F6">
        <w:rPr>
          <w:rtl/>
        </w:rPr>
        <w:t>השיעור הגבוה של רופאים ישראלים שלמדו בחו"ל וקיבלו רישיון לעבוד בארץ מצביע על כך שמדינת ישראל נסמכת במידה רבה על בוגרי רפואה שלא למדו בארץ</w:t>
      </w:r>
      <w:r>
        <w:rPr>
          <w:rFonts w:hint="cs"/>
          <w:rtl/>
        </w:rPr>
        <w:t>,</w:t>
      </w:r>
      <w:r w:rsidRPr="00A631F6">
        <w:rPr>
          <w:rtl/>
        </w:rPr>
        <w:t xml:space="preserve"> </w:t>
      </w:r>
      <w:r>
        <w:rPr>
          <w:rFonts w:hint="cs"/>
          <w:rtl/>
        </w:rPr>
        <w:t>ו</w:t>
      </w:r>
      <w:r w:rsidRPr="00A631F6">
        <w:rPr>
          <w:rtl/>
        </w:rPr>
        <w:t xml:space="preserve">אין לה שום </w:t>
      </w:r>
      <w:r w:rsidRPr="004B3910">
        <w:rPr>
          <w:rtl/>
        </w:rPr>
        <w:t>השפעה</w:t>
      </w:r>
      <w:r w:rsidRPr="00A631F6">
        <w:rPr>
          <w:rtl/>
        </w:rPr>
        <w:t xml:space="preserve"> על קביעת </w:t>
      </w:r>
      <w:r w:rsidRPr="004B3910">
        <w:rPr>
          <w:rtl/>
        </w:rPr>
        <w:t>המרכיבים</w:t>
      </w:r>
      <w:r w:rsidRPr="00A631F6">
        <w:rPr>
          <w:rtl/>
        </w:rPr>
        <w:t xml:space="preserve"> השונים של התוכנית להכשרתם ולהתאמתם למערכת הבריאות בישראל, לדרישותיה ולצרכיה.</w:t>
      </w:r>
      <w:r w:rsidRPr="00A631F6">
        <w:rPr>
          <w:rFonts w:hint="cs"/>
          <w:rtl/>
        </w:rPr>
        <w:t xml:space="preserve"> </w:t>
      </w:r>
      <w:r w:rsidRPr="004A47E2">
        <w:rPr>
          <w:rFonts w:hint="cs"/>
          <w:rtl/>
        </w:rPr>
        <w:t>בביקורת המעקב עלה כי הליקוי</w:t>
      </w:r>
      <w:r w:rsidRPr="004871B6">
        <w:rPr>
          <w:rFonts w:hint="cs"/>
          <w:b/>
          <w:bCs/>
          <w:rtl/>
        </w:rPr>
        <w:t xml:space="preserve"> תוקן</w:t>
      </w:r>
      <w:r>
        <w:rPr>
          <w:rFonts w:hint="cs"/>
          <w:b/>
          <w:bCs/>
          <w:rtl/>
        </w:rPr>
        <w:t xml:space="preserve"> באופן מלא</w:t>
      </w:r>
      <w:r w:rsidRPr="004A47E2">
        <w:rPr>
          <w:rFonts w:hint="cs"/>
          <w:rtl/>
        </w:rPr>
        <w:t xml:space="preserve">. </w:t>
      </w:r>
      <w:r w:rsidRPr="00A631F6">
        <w:rPr>
          <w:rtl/>
        </w:rPr>
        <w:t>רפורמת יציב, שנכנסה לתוקף בשנת 2019, אמורה להבטיח ש</w:t>
      </w:r>
      <w:r>
        <w:rPr>
          <w:rFonts w:hint="cs"/>
          <w:rtl/>
        </w:rPr>
        <w:t xml:space="preserve">רק </w:t>
      </w:r>
      <w:r w:rsidRPr="00A631F6">
        <w:rPr>
          <w:rtl/>
        </w:rPr>
        <w:t xml:space="preserve">סטודנטים בוגרי אוניברסיטאות בחו"ל שהאגף לרישוי מקצועות רפואיים הכיר בהן, </w:t>
      </w:r>
      <w:r>
        <w:rPr>
          <w:rFonts w:hint="cs"/>
          <w:rtl/>
        </w:rPr>
        <w:t>כעומדות</w:t>
      </w:r>
      <w:r w:rsidRPr="00A631F6">
        <w:rPr>
          <w:rtl/>
        </w:rPr>
        <w:t xml:space="preserve"> בסטנדרטים מקצועיים של לימודי רפואה שקבעו המומחים בארץ</w:t>
      </w:r>
      <w:r>
        <w:rPr>
          <w:rFonts w:hint="cs"/>
          <w:rtl/>
        </w:rPr>
        <w:t>, יוכלו לגשת לבחינת הרישוי בישראל</w:t>
      </w:r>
      <w:r w:rsidRPr="00A631F6">
        <w:rPr>
          <w:rtl/>
        </w:rPr>
        <w:t>. ביטול ההכרה במוסדות מסוימים</w:t>
      </w:r>
      <w:r>
        <w:rPr>
          <w:rFonts w:hint="cs"/>
          <w:rtl/>
        </w:rPr>
        <w:t xml:space="preserve"> אכן </w:t>
      </w:r>
      <w:r w:rsidRPr="00A631F6">
        <w:rPr>
          <w:rtl/>
        </w:rPr>
        <w:t>צפוי למנוע ממי שלא הוכשר על פי סטנדרטים אלו להשתלב במערכת הבריאות בישראל.</w:t>
      </w:r>
      <w:r>
        <w:rPr>
          <w:rFonts w:hint="cs"/>
          <w:rtl/>
        </w:rPr>
        <w:t xml:space="preserve"> </w:t>
      </w:r>
      <w:r w:rsidRPr="00CA009A">
        <w:rPr>
          <w:rtl/>
        </w:rPr>
        <w:t>משמעות הדבר שמשנת 2026 צפוי מספר הרופאים בוגרי חו"ל השבים לישראל להצטמצם</w:t>
      </w:r>
      <w:r>
        <w:rPr>
          <w:rFonts w:hint="cs"/>
          <w:rtl/>
        </w:rPr>
        <w:t>.</w:t>
      </w:r>
    </w:p>
    <w:p w:rsidR="00487083" w:rsidP="004B3910" w14:paraId="69F8576F" w14:textId="77777777">
      <w:pPr>
        <w:pStyle w:val="755"/>
        <w:rPr>
          <w:rtl/>
        </w:rPr>
      </w:pPr>
      <w:r w:rsidRPr="007B4BDB">
        <w:rPr>
          <w:b/>
          <w:bCs/>
          <w:rtl/>
        </w:rPr>
        <w:t xml:space="preserve">מנגנון </w:t>
      </w:r>
      <w:r w:rsidRPr="00C45585">
        <w:rPr>
          <w:b/>
          <w:bCs/>
          <w:rtl/>
        </w:rPr>
        <w:t xml:space="preserve">הבונוס </w:t>
      </w:r>
      <w:r w:rsidRPr="00C45585">
        <w:rPr>
          <w:rFonts w:hint="cs"/>
          <w:b/>
          <w:bCs/>
          <w:rtl/>
        </w:rPr>
        <w:t>לנבחנים ב</w:t>
      </w:r>
      <w:r w:rsidRPr="00C45585">
        <w:rPr>
          <w:b/>
          <w:bCs/>
          <w:rtl/>
        </w:rPr>
        <w:t>בחינת הרישוי</w:t>
      </w:r>
      <w:r w:rsidRPr="007B4BDB">
        <w:rPr>
          <w:rFonts w:hint="cs"/>
          <w:b/>
          <w:bCs/>
          <w:rtl/>
        </w:rPr>
        <w:t xml:space="preserve"> לרפואה </w:t>
      </w:r>
      <w:r w:rsidRPr="004A47E2">
        <w:rPr>
          <w:rFonts w:hint="cs"/>
          <w:rtl/>
        </w:rPr>
        <w:t>-</w:t>
      </w:r>
      <w:r w:rsidRPr="007B4BDB">
        <w:rPr>
          <w:rFonts w:hint="cs"/>
          <w:b/>
          <w:bCs/>
          <w:rtl/>
        </w:rPr>
        <w:t xml:space="preserve"> </w:t>
      </w:r>
      <w:r>
        <w:rPr>
          <w:rFonts w:hint="cs"/>
          <w:rtl/>
        </w:rPr>
        <w:t>ב</w:t>
      </w:r>
      <w:r w:rsidRPr="007B4BDB">
        <w:rPr>
          <w:rtl/>
        </w:rPr>
        <w:t xml:space="preserve">דוח הקודם </w:t>
      </w:r>
      <w:r>
        <w:rPr>
          <w:rFonts w:hint="cs"/>
          <w:rtl/>
        </w:rPr>
        <w:t xml:space="preserve">עלה </w:t>
      </w:r>
      <w:r w:rsidRPr="007B4BDB">
        <w:rPr>
          <w:rtl/>
        </w:rPr>
        <w:t xml:space="preserve">כי ציון המגן למי שעמד בהצלחה בבחינה בקורס </w:t>
      </w:r>
      <w:r>
        <w:rPr>
          <w:rFonts w:hint="cs"/>
          <w:rtl/>
        </w:rPr>
        <w:t xml:space="preserve">ההכנה לקראת בחינת רישוי, </w:t>
      </w:r>
      <w:r w:rsidRPr="007B4BDB">
        <w:rPr>
          <w:rtl/>
        </w:rPr>
        <w:t>ז</w:t>
      </w:r>
      <w:r>
        <w:rPr>
          <w:rFonts w:hint="cs"/>
          <w:rtl/>
        </w:rPr>
        <w:t>י</w:t>
      </w:r>
      <w:r w:rsidRPr="007B4BDB">
        <w:rPr>
          <w:rtl/>
        </w:rPr>
        <w:t>כה את הנבחן בבונוס שערכו 10 נקודות</w:t>
      </w:r>
      <w:r>
        <w:rPr>
          <w:rFonts w:hint="cs"/>
          <w:rtl/>
        </w:rPr>
        <w:t xml:space="preserve"> נוספות לציון;</w:t>
      </w:r>
      <w:r w:rsidRPr="007B4BDB">
        <w:rPr>
          <w:rFonts w:hint="cs"/>
          <w:rtl/>
        </w:rPr>
        <w:t xml:space="preserve"> </w:t>
      </w:r>
      <w:r w:rsidRPr="007B4BDB">
        <w:rPr>
          <w:rtl/>
        </w:rPr>
        <w:t xml:space="preserve">הבונוס </w:t>
      </w:r>
      <w:r w:rsidRPr="004B3910">
        <w:rPr>
          <w:rtl/>
        </w:rPr>
        <w:t>הנדיב</w:t>
      </w:r>
      <w:r>
        <w:rPr>
          <w:rFonts w:hint="cs"/>
          <w:rtl/>
        </w:rPr>
        <w:t xml:space="preserve"> </w:t>
      </w:r>
      <w:r>
        <w:rPr>
          <w:rFonts w:hint="cs"/>
          <w:rtl/>
        </w:rPr>
        <w:t>איפשר</w:t>
      </w:r>
      <w:r>
        <w:rPr>
          <w:rFonts w:hint="cs"/>
          <w:rtl/>
        </w:rPr>
        <w:t xml:space="preserve"> ל</w:t>
      </w:r>
      <w:r w:rsidRPr="007B4BDB">
        <w:rPr>
          <w:rtl/>
        </w:rPr>
        <w:t>בוגרי הקורסים לעמוד בדרישות לקבלת רישיון לרפואה, והדבר העלה חשש כבד בנוגע לכשירותם המקצועית של אותם רופאים.</w:t>
      </w:r>
      <w:r w:rsidRPr="007B4BDB">
        <w:rPr>
          <w:rFonts w:hint="cs"/>
          <w:rtl/>
        </w:rPr>
        <w:t xml:space="preserve"> </w:t>
      </w:r>
      <w:r w:rsidRPr="004A47E2">
        <w:rPr>
          <w:rFonts w:hint="cs"/>
          <w:rtl/>
        </w:rPr>
        <w:t>בביקורת המעקב עלה כי הליקוי</w:t>
      </w:r>
      <w:r w:rsidRPr="007B4BDB">
        <w:rPr>
          <w:rFonts w:hint="cs"/>
          <w:b/>
          <w:bCs/>
          <w:rtl/>
        </w:rPr>
        <w:t xml:space="preserve"> תוקן במידה רבה</w:t>
      </w:r>
      <w:r w:rsidRPr="004A47E2">
        <w:rPr>
          <w:rFonts w:hint="cs"/>
          <w:rtl/>
        </w:rPr>
        <w:t>,</w:t>
      </w:r>
      <w:r w:rsidRPr="007B4BDB">
        <w:rPr>
          <w:rFonts w:hint="cs"/>
          <w:rtl/>
        </w:rPr>
        <w:t xml:space="preserve"> ו</w:t>
      </w:r>
      <w:r w:rsidRPr="007B4BDB">
        <w:rPr>
          <w:rtl/>
        </w:rPr>
        <w:t>מאז הדוח הקודם חלו כמה שינויים</w:t>
      </w:r>
      <w:r w:rsidRPr="007B4BDB">
        <w:rPr>
          <w:rFonts w:hint="cs"/>
          <w:rtl/>
        </w:rPr>
        <w:t xml:space="preserve"> במנגנון הבונוס של בחינת הרישוי; כך למשל</w:t>
      </w:r>
      <w:r w:rsidRPr="000E68DE">
        <w:rPr>
          <w:rtl/>
        </w:rPr>
        <w:t xml:space="preserve"> </w:t>
      </w:r>
      <w:r w:rsidRPr="007B4BDB">
        <w:rPr>
          <w:rFonts w:hint="cs"/>
          <w:rtl/>
        </w:rPr>
        <w:t>נדרש</w:t>
      </w:r>
      <w:r w:rsidRPr="007B4BDB">
        <w:rPr>
          <w:rtl/>
        </w:rPr>
        <w:t xml:space="preserve"> ציון עובר </w:t>
      </w:r>
      <w:r w:rsidRPr="004B3910">
        <w:rPr>
          <w:rtl/>
        </w:rPr>
        <w:t>של</w:t>
      </w:r>
      <w:r w:rsidRPr="007B4BDB">
        <w:rPr>
          <w:rtl/>
        </w:rPr>
        <w:t xml:space="preserve"> 62 בבחינת המגן </w:t>
      </w:r>
      <w:r w:rsidRPr="007B4BDB">
        <w:rPr>
          <w:rFonts w:hint="cs"/>
          <w:rtl/>
        </w:rPr>
        <w:t>כדי לזכות</w:t>
      </w:r>
      <w:r w:rsidRPr="007B4BDB">
        <w:rPr>
          <w:rtl/>
        </w:rPr>
        <w:t xml:space="preserve"> בנקודות הבונוס, </w:t>
      </w:r>
      <w:r w:rsidRPr="007B4BDB">
        <w:rPr>
          <w:rFonts w:hint="cs"/>
          <w:rtl/>
        </w:rPr>
        <w:t xml:space="preserve">וכן </w:t>
      </w:r>
      <w:r>
        <w:rPr>
          <w:rFonts w:hint="cs"/>
          <w:rtl/>
        </w:rPr>
        <w:t xml:space="preserve">נקבע שהבונוס </w:t>
      </w:r>
      <w:r w:rsidRPr="007B4BDB">
        <w:rPr>
          <w:rtl/>
        </w:rPr>
        <w:t>יהיה 8% מציון בחינת המגן, ולא מספר מוחלט כפי שהיה נהוג בעבר</w:t>
      </w:r>
      <w:r w:rsidRPr="007B4BDB">
        <w:rPr>
          <w:rFonts w:hint="cs"/>
          <w:rtl/>
        </w:rPr>
        <w:t>.</w:t>
      </w:r>
      <w:r>
        <w:rPr>
          <w:rFonts w:hint="cs"/>
          <w:rtl/>
        </w:rPr>
        <w:t xml:space="preserve"> עם זאת, </w:t>
      </w:r>
      <w:r w:rsidRPr="003973CC">
        <w:rPr>
          <w:rtl/>
        </w:rPr>
        <w:t>מומלץ שמשרד הבריאות יבחן</w:t>
      </w:r>
      <w:r>
        <w:rPr>
          <w:rFonts w:hint="cs"/>
          <w:rtl/>
        </w:rPr>
        <w:t>,</w:t>
      </w:r>
      <w:r w:rsidRPr="003973CC">
        <w:rPr>
          <w:rtl/>
        </w:rPr>
        <w:t xml:space="preserve"> מ</w:t>
      </w:r>
      <w:r>
        <w:rPr>
          <w:rFonts w:hint="cs"/>
          <w:rtl/>
        </w:rPr>
        <w:t>פעם</w:t>
      </w:r>
      <w:r w:rsidRPr="003973CC">
        <w:rPr>
          <w:rtl/>
        </w:rPr>
        <w:t xml:space="preserve"> ל</w:t>
      </w:r>
      <w:r>
        <w:rPr>
          <w:rFonts w:hint="cs"/>
          <w:rtl/>
        </w:rPr>
        <w:t>פעם,</w:t>
      </w:r>
      <w:r w:rsidRPr="003973CC">
        <w:rPr>
          <w:rtl/>
        </w:rPr>
        <w:t xml:space="preserve"> </w:t>
      </w:r>
      <w:r>
        <w:rPr>
          <w:rFonts w:hint="cs"/>
          <w:rtl/>
        </w:rPr>
        <w:t>ו</w:t>
      </w:r>
      <w:r w:rsidRPr="003973CC">
        <w:rPr>
          <w:rtl/>
        </w:rPr>
        <w:t>על פי מדדים שיגדיר</w:t>
      </w:r>
      <w:r>
        <w:rPr>
          <w:rFonts w:hint="cs"/>
          <w:rtl/>
        </w:rPr>
        <w:t>,</w:t>
      </w:r>
      <w:r w:rsidRPr="003973CC">
        <w:rPr>
          <w:rtl/>
        </w:rPr>
        <w:t xml:space="preserve"> אם השינויים שנעשו במתן הבונוס בציוני בחינת המגן אכן מבטיחים כי כשירות בוגרי לימודי הרפואה מחו"ל שמקבלים רישיון לעסוק ברפואה בישראל, אכן עלתה</w:t>
      </w:r>
      <w:r>
        <w:rPr>
          <w:rFonts w:hint="cs"/>
          <w:rtl/>
        </w:rPr>
        <w:t>.</w:t>
      </w:r>
    </w:p>
    <w:bookmarkEnd w:id="4"/>
    <w:p w:rsidR="00EB672B" w:rsidRPr="006F49D3" w:rsidP="006F49D3" w14:paraId="1FC3C430" w14:textId="77777777">
      <w:pPr>
        <w:pStyle w:val="751"/>
        <w:rPr>
          <w:rtl/>
        </w:rPr>
      </w:pPr>
      <w:r w:rsidRPr="006F49D3">
        <w:rPr>
          <w:rFonts w:hint="cs"/>
          <w:rtl/>
        </w:rPr>
        <w:t>עיקרי המלצות הביקורת</w:t>
      </w:r>
    </w:p>
    <w:p w:rsidR="00EB672B" w:rsidRPr="007C7D40" w:rsidP="00654BA4" w14:paraId="344A34B6" w14:textId="7527A50C">
      <w:pPr>
        <w:pStyle w:val="755"/>
      </w:pPr>
      <w:r w:rsidRPr="0063556C">
        <w:rPr>
          <w:rStyle w:val="7372"/>
          <w:rFonts w:hint="cs"/>
          <w:noProof/>
          <w:rtl/>
        </w:rPr>
        <w:drawing>
          <wp:anchor distT="0" distB="1440180" distL="107950" distR="114300" simplePos="0" relativeHeight="251680768"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972EBF" w:rsidR="006A5AB7">
        <w:rPr>
          <w:rtl/>
        </w:rPr>
        <w:t xml:space="preserve">מומלץ שמשרד הבריאות יעריך את מספר הרופאים הנדרש בכל תחום רפואי הן בטווח הקצר והן בטווח הארוך </w:t>
      </w:r>
      <w:r w:rsidRPr="00972EBF" w:rsidR="006A5AB7">
        <w:rPr>
          <w:rtl/>
        </w:rPr>
        <w:t>וי</w:t>
      </w:r>
      <w:r w:rsidR="006A5AB7">
        <w:rPr>
          <w:rFonts w:hint="cs"/>
          <w:rtl/>
        </w:rPr>
        <w:t>אמוד</w:t>
      </w:r>
      <w:r w:rsidRPr="00972EBF" w:rsidR="006A5AB7">
        <w:rPr>
          <w:rtl/>
        </w:rPr>
        <w:t xml:space="preserve"> בהתאם את המחסור הצפוי. בכלל זה עליו להביא בחשבון כמה משתנים: תנועות כוח אדם רפואי במערכת - הצטרפות רופאים חדשים ועזיבת רופאים, לרבות פרישה לגמלאות ועזיבה לחו"ל; מגמות דמוגרפיות - גידול האוכלוסייה והרכבה, הזדקנות האוכלוסייה ודפוסי עלייה; מגמות צפויות בתחלואה ובמצב הבריאותי של הציבור; מספר הרופאים הצפוי לרדת בעקבות רפורמת יציב</w:t>
      </w:r>
      <w:r w:rsidRPr="00E9364E" w:rsidR="006A5AB7">
        <w:rPr>
          <w:rtl/>
        </w:rPr>
        <w:t xml:space="preserve"> </w:t>
      </w:r>
      <w:r w:rsidRPr="000A0282" w:rsidR="006A5AB7">
        <w:rPr>
          <w:rtl/>
        </w:rPr>
        <w:t>ובעיקר השפעתה על אזורי הפריפריה</w:t>
      </w:r>
      <w:r w:rsidR="006A5AB7">
        <w:rPr>
          <w:rFonts w:hint="cs"/>
          <w:rtl/>
        </w:rPr>
        <w:t>;</w:t>
      </w:r>
      <w:r w:rsidRPr="00972EBF" w:rsidR="006A5AB7">
        <w:rPr>
          <w:rtl/>
        </w:rPr>
        <w:t xml:space="preserve"> קיצור המשמרות של המתמחים; שיעור השימוש ברפואת מומחים בכלל ועל פי מאפיינים של הציבור הצורך אותה לצורך קביעת היחס הרצוי בין מספר הרופאים לגודל האוכלוסייה; התפתחויות טכנולוגיות; ונסיבות אחרות שבכוחן להשפיע על הצורך ברופאים מומחים. </w:t>
      </w:r>
      <w:r w:rsidRPr="00145AA5" w:rsidR="006A5AB7">
        <w:rPr>
          <w:rtl/>
        </w:rPr>
        <w:t xml:space="preserve">מומלץ גם שבמסגרת בחינה זו יובאו בחשבון הנתונים לגבי מצבת הרופאים הפעילים בארץ, שכן חלק מבעלי הרישיונות לעסוק ברפואה אינם פעילים במקצועם. </w:t>
      </w:r>
      <w:r w:rsidRPr="00972EBF" w:rsidR="006A5AB7">
        <w:rPr>
          <w:rtl/>
        </w:rPr>
        <w:t>מומלץ שכמו מדינות מתקדמות בעולם,</w:t>
      </w:r>
      <w:r w:rsidR="006A5AB7">
        <w:rPr>
          <w:rtl/>
        </w:rPr>
        <w:t xml:space="preserve"> </w:t>
      </w:r>
      <w:r w:rsidRPr="00972EBF" w:rsidR="006A5AB7">
        <w:rPr>
          <w:rtl/>
        </w:rPr>
        <w:t>המשרד ישקול</w:t>
      </w:r>
      <w:r w:rsidR="006A5AB7">
        <w:rPr>
          <w:rFonts w:hint="cs"/>
          <w:rtl/>
        </w:rPr>
        <w:t>,</w:t>
      </w:r>
      <w:r w:rsidRPr="00E9364E" w:rsidR="006A5AB7">
        <w:rPr>
          <w:rtl/>
        </w:rPr>
        <w:t xml:space="preserve"> </w:t>
      </w:r>
      <w:r w:rsidRPr="007F737C" w:rsidR="006A5AB7">
        <w:rPr>
          <w:rtl/>
        </w:rPr>
        <w:t>בשיתוף</w:t>
      </w:r>
      <w:r w:rsidR="006A5AB7">
        <w:rPr>
          <w:rtl/>
        </w:rPr>
        <w:t xml:space="preserve"> </w:t>
      </w:r>
      <w:r w:rsidRPr="007F737C" w:rsidR="006A5AB7">
        <w:rPr>
          <w:rtl/>
        </w:rPr>
        <w:t>הר"י</w:t>
      </w:r>
      <w:r w:rsidR="006A5AB7">
        <w:rPr>
          <w:rFonts w:hint="cs"/>
          <w:rtl/>
        </w:rPr>
        <w:t>,</w:t>
      </w:r>
      <w:r w:rsidRPr="007F737C" w:rsidR="006A5AB7">
        <w:rPr>
          <w:rtl/>
        </w:rPr>
        <w:t xml:space="preserve"> </w:t>
      </w:r>
      <w:r w:rsidRPr="00972EBF" w:rsidR="006A5AB7">
        <w:rPr>
          <w:rtl/>
        </w:rPr>
        <w:t>לאמץ מנגנון מקצועי לתכנון אסטרטגי של כוח האדם הרפואי שלו</w:t>
      </w:r>
      <w:r w:rsidR="006A5AB7">
        <w:rPr>
          <w:rFonts w:hint="cs"/>
          <w:rtl/>
        </w:rPr>
        <w:t xml:space="preserve"> </w:t>
      </w:r>
      <w:r w:rsidRPr="00AB1A11" w:rsidR="006A5AB7">
        <w:rPr>
          <w:rtl/>
        </w:rPr>
        <w:t>ויפעל ליישמו כבר משלב הכשרת הסטודנטים לרפואה</w:t>
      </w:r>
      <w:r w:rsidRPr="007C7D40">
        <w:rPr>
          <w:rFonts w:hint="cs"/>
          <w:rtl/>
        </w:rPr>
        <w:t xml:space="preserve">. </w:t>
      </w:r>
    </w:p>
    <w:p w:rsidR="00EB672B" w:rsidRPr="007C7D40" w:rsidP="00654BA4" w14:paraId="1DD50AB4" w14:textId="206778B0">
      <w:pPr>
        <w:pStyle w:val="755"/>
      </w:pPr>
      <w:r w:rsidRPr="0063556C">
        <w:rPr>
          <w:rStyle w:val="7372"/>
          <w:rFonts w:hint="cs"/>
          <w:noProof/>
          <w:rtl/>
        </w:rPr>
        <w:drawing>
          <wp:anchor distT="0" distB="1440180" distL="107950" distR="114300" simplePos="0" relativeHeight="251681792" behindDoc="1" locked="0" layoutInCell="1" allowOverlap="1">
            <wp:simplePos x="0" y="0"/>
            <wp:positionH relativeFrom="column">
              <wp:posOffset>4521200</wp:posOffset>
            </wp:positionH>
            <wp:positionV relativeFrom="paragraph">
              <wp:posOffset>23624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DB5CD5" w:rsidR="006A5AB7">
        <w:rPr>
          <w:rtl/>
        </w:rPr>
        <w:t xml:space="preserve">מומלץ שמשרד הבריאות, בשיתוף </w:t>
      </w:r>
      <w:r w:rsidRPr="00DB5CD5" w:rsidR="006A5AB7">
        <w:rPr>
          <w:rtl/>
        </w:rPr>
        <w:t>המל"ג</w:t>
      </w:r>
      <w:r w:rsidRPr="00DB5CD5" w:rsidR="006A5AB7">
        <w:rPr>
          <w:rtl/>
        </w:rPr>
        <w:t xml:space="preserve">, ישלים את הגיבוש של התוכנית הרב-שנתית להגדלת מספר </w:t>
      </w:r>
      <w:r w:rsidRPr="006A5AB7" w:rsidR="006A5AB7">
        <w:rPr>
          <w:rtl/>
        </w:rPr>
        <w:t>הסטודנטים</w:t>
      </w:r>
      <w:r w:rsidRPr="00B40599" w:rsidR="006A5AB7">
        <w:rPr>
          <w:rtl/>
        </w:rPr>
        <w:t xml:space="preserve"> לרפואה בישראל, יגדיר יעדים ומדדים ברורים לביצוע התוכנית ולבחינת הישגיה בפרט בכל אחד מבתי הספר לרפואה ובבתי החולים; מומלץ שי</w:t>
      </w:r>
      <w:r w:rsidR="006A5AB7">
        <w:rPr>
          <w:rFonts w:hint="cs"/>
          <w:rtl/>
        </w:rPr>
        <w:t>י</w:t>
      </w:r>
      <w:r w:rsidRPr="00B40599" w:rsidR="006A5AB7">
        <w:rPr>
          <w:rtl/>
        </w:rPr>
        <w:t>קבע לשם כך לוח זמנים מדורג ומגובה בתקציב לביצועה</w:t>
      </w:r>
      <w:r w:rsidRPr="007C7D40">
        <w:rPr>
          <w:rtl/>
        </w:rPr>
        <w:t xml:space="preserve">. </w:t>
      </w:r>
    </w:p>
    <w:p w:rsidR="00EB672B" w:rsidRPr="007C7D40" w:rsidP="00AC4232" w14:paraId="1108540A" w14:textId="6EDF18F1">
      <w:pPr>
        <w:pStyle w:val="755"/>
        <w:rPr>
          <w:rtl/>
        </w:rPr>
      </w:pPr>
      <w:r w:rsidRPr="00AC4232">
        <w:rPr>
          <w:rFonts w:hint="cs"/>
          <w:bCs/>
          <w:noProof/>
          <w:rtl/>
        </w:rPr>
        <w:drawing>
          <wp:anchor distT="0" distB="1440180" distL="107950" distR="114300" simplePos="0" relativeHeight="251682816"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AC4232" w:rsidR="006A5AB7">
        <w:rPr>
          <w:rtl/>
        </w:rPr>
        <w:t xml:space="preserve">מומלץ שמשרד הבריאות </w:t>
      </w:r>
      <w:r w:rsidRPr="00AC4232" w:rsidR="006A5AB7">
        <w:rPr>
          <w:rtl/>
        </w:rPr>
        <w:t>והמל"ג</w:t>
      </w:r>
      <w:r w:rsidRPr="00AC4232" w:rsidR="006A5AB7">
        <w:rPr>
          <w:rtl/>
        </w:rPr>
        <w:t xml:space="preserve"> ישלימו את הליך המיפוי של השדות הקליניים בכלל המחלקות</w:t>
      </w:r>
      <w:r w:rsidRPr="00AC4232" w:rsidR="006A5AB7">
        <w:rPr>
          <w:rFonts w:hint="cs"/>
          <w:rtl/>
        </w:rPr>
        <w:t>,</w:t>
      </w:r>
      <w:r w:rsidRPr="00AC4232" w:rsidR="006A5AB7">
        <w:rPr>
          <w:rtl/>
        </w:rPr>
        <w:t xml:space="preserve"> וללא תלות במשך ההכשרה בשדות הקליניים במחלקות</w:t>
      </w:r>
      <w:r w:rsidRPr="00AC4232" w:rsidR="00AC4232">
        <w:rPr>
          <w:rFonts w:hint="cs"/>
          <w:rtl/>
        </w:rPr>
        <w:t>,</w:t>
      </w:r>
      <w:r w:rsidRPr="00AC4232" w:rsidR="00AC4232">
        <w:rPr>
          <w:rtl/>
        </w:rPr>
        <w:t xml:space="preserve"> וכך גם של הסטודנטים הישראלים מחו"ל שעוברים הכשרה בשדות קליניים בארץ</w:t>
      </w:r>
      <w:r w:rsidRPr="00C33EE6" w:rsidR="006A5AB7">
        <w:rPr>
          <w:rtl/>
        </w:rPr>
        <w:t xml:space="preserve">. המיפוי </w:t>
      </w:r>
      <w:r w:rsidR="006A5AB7">
        <w:rPr>
          <w:rFonts w:hint="cs"/>
          <w:rtl/>
        </w:rPr>
        <w:t xml:space="preserve">נדרש </w:t>
      </w:r>
      <w:r w:rsidRPr="00C33EE6" w:rsidR="006A5AB7">
        <w:rPr>
          <w:rtl/>
        </w:rPr>
        <w:t xml:space="preserve">נוכח הגידול הצפוי במספר הסטודנטים והצורך המקביל בהרחבת השימוש בשדות הקליניים. הדבר יאפשר תכנון מושכל של לימודי הרפואה ושל הכשרה קלינית יעילה וכן </w:t>
      </w:r>
      <w:r w:rsidRPr="006A5AB7" w:rsidR="006A5AB7">
        <w:rPr>
          <w:rtl/>
        </w:rPr>
        <w:t>הסדרה</w:t>
      </w:r>
      <w:r w:rsidRPr="00C33EE6" w:rsidR="006A5AB7">
        <w:rPr>
          <w:rtl/>
        </w:rPr>
        <w:t xml:space="preserve"> ופיקוח על השימוש בשדות הקליניים ומיצוי מיטבי של המשאבים הקיימים. </w:t>
      </w:r>
      <w:r w:rsidRPr="00B40599" w:rsidR="006A5AB7">
        <w:rPr>
          <w:rtl/>
        </w:rPr>
        <w:t xml:space="preserve">עוד מומלץ כי משרד הבריאות </w:t>
      </w:r>
      <w:r w:rsidRPr="00B40599" w:rsidR="006A5AB7">
        <w:rPr>
          <w:rtl/>
        </w:rPr>
        <w:t>והמל"ג</w:t>
      </w:r>
      <w:r w:rsidRPr="00B40599" w:rsidR="006A5AB7">
        <w:rPr>
          <w:rtl/>
        </w:rPr>
        <w:t xml:space="preserve"> יגיעו להסכמות בנוגע לאחריות של כל אחד מהם בקשר לכלל ההיבטים הנוגעים לשדות הקליניים ויסדירו את תחומי האחריות. אם הם לא יגיעו להסכמות בזמן קצר, מומלץ כי שר הבריאות ושר החינוך, בתפקידו כיו"ר </w:t>
      </w:r>
      <w:r w:rsidRPr="00B40599" w:rsidR="006A5AB7">
        <w:rPr>
          <w:rtl/>
        </w:rPr>
        <w:t>המל"ג</w:t>
      </w:r>
      <w:r w:rsidRPr="00B40599" w:rsidR="006A5AB7">
        <w:rPr>
          <w:rtl/>
        </w:rPr>
        <w:t>, יקימו ועדת מומחים שתכריע בנושא</w:t>
      </w:r>
      <w:r w:rsidRPr="007C7D40">
        <w:rPr>
          <w:rFonts w:hint="cs"/>
          <w:rtl/>
        </w:rPr>
        <w:t>.</w:t>
      </w:r>
    </w:p>
    <w:p w:rsidR="003F0A00" w:rsidP="00956B15" w14:paraId="078CC367" w14:textId="5D5DD7BB">
      <w:pPr>
        <w:pStyle w:val="755"/>
        <w:rPr>
          <w:rtl/>
        </w:rPr>
      </w:pPr>
      <w:r w:rsidRPr="0063556C">
        <w:rPr>
          <w:rStyle w:val="7372"/>
          <w:rFonts w:hint="cs"/>
          <w:noProof/>
          <w:rtl/>
        </w:rPr>
        <w:drawing>
          <wp:anchor distT="0" distB="1440180" distL="107950" distR="114300" simplePos="0" relativeHeight="251683840"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2"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F63511" w:rsidR="006A5AB7">
        <w:rPr>
          <w:rtl/>
        </w:rPr>
        <w:t xml:space="preserve">מומלץ כי משרד הבריאות, </w:t>
      </w:r>
      <w:r w:rsidRPr="00F63511" w:rsidR="006A5AB7">
        <w:rPr>
          <w:rtl/>
        </w:rPr>
        <w:t>המל"ג</w:t>
      </w:r>
      <w:r w:rsidRPr="00F63511" w:rsidR="006A5AB7">
        <w:rPr>
          <w:rtl/>
        </w:rPr>
        <w:t xml:space="preserve">, בתי הספר לרפואה ובתי החולים יגדירו את מתכונת ההפעלה של השדות הקליניים מבחינת גודל קבוצת הלימוד - מספר הסטודנטים המזערי, המיטבי והמרבי בכל קבוצה בהתאם למאפיינים של השדות הקליניים במחלקות השונות ובכך יביאו למיצוי השדות הקליניים הקיימים. </w:t>
      </w:r>
      <w:r w:rsidRPr="00F63511" w:rsidR="006A5AB7">
        <w:rPr>
          <w:rFonts w:hint="cs"/>
          <w:rtl/>
        </w:rPr>
        <w:t>מומלץ</w:t>
      </w:r>
      <w:r w:rsidRPr="00F63511" w:rsidR="006A5AB7">
        <w:rPr>
          <w:rtl/>
        </w:rPr>
        <w:t xml:space="preserve"> </w:t>
      </w:r>
      <w:r w:rsidRPr="00F63511" w:rsidR="006A5AB7">
        <w:rPr>
          <w:rFonts w:hint="cs"/>
          <w:rtl/>
        </w:rPr>
        <w:t xml:space="preserve">גם </w:t>
      </w:r>
      <w:r w:rsidRPr="00F63511" w:rsidR="006A5AB7">
        <w:rPr>
          <w:rtl/>
        </w:rPr>
        <w:t xml:space="preserve">שמשרד הבריאות </w:t>
      </w:r>
      <w:r w:rsidRPr="00F63511" w:rsidR="006A5AB7">
        <w:rPr>
          <w:rtl/>
        </w:rPr>
        <w:t>והמל"ג</w:t>
      </w:r>
      <w:r w:rsidRPr="00F63511" w:rsidR="006A5AB7">
        <w:rPr>
          <w:rtl/>
        </w:rPr>
        <w:t xml:space="preserve">, בשיתוף </w:t>
      </w:r>
      <w:r w:rsidR="006A5AB7">
        <w:rPr>
          <w:rFonts w:hint="cs"/>
          <w:rtl/>
        </w:rPr>
        <w:t>בתי הספר</w:t>
      </w:r>
      <w:r w:rsidRPr="00F63511" w:rsidR="006A5AB7">
        <w:rPr>
          <w:rtl/>
        </w:rPr>
        <w:t xml:space="preserve"> לרפואה ומנהלי בתי החולים, יקבעו את טווח התקן, המזערי והמרבי, של מספר שבועות ההוראה בשנה במחלקות הקליניות השונות בהתאם למאפייניהן</w:t>
      </w:r>
      <w:r w:rsidR="006A5AB7">
        <w:rPr>
          <w:rFonts w:hint="cs"/>
          <w:rtl/>
        </w:rPr>
        <w:t>,</w:t>
      </w:r>
      <w:r w:rsidRPr="00E9364E" w:rsidR="006A5AB7">
        <w:rPr>
          <w:rtl/>
        </w:rPr>
        <w:t xml:space="preserve"> </w:t>
      </w:r>
      <w:r w:rsidRPr="00916996" w:rsidR="006A5AB7">
        <w:rPr>
          <w:rtl/>
        </w:rPr>
        <w:t>יבחנו מה המשאבים הנדרשים לצורך כך</w:t>
      </w:r>
      <w:r w:rsidRPr="00F63511" w:rsidR="006A5AB7">
        <w:rPr>
          <w:rtl/>
        </w:rPr>
        <w:t xml:space="preserve"> ויעגנו זאת בנוהל מתאים. מומלץ לקבוע יעדים מדורגים כדי לעמוד בתוכנית משרד הבריאות להגיע ל-40 שבועות הוראה בשנה עד לשנת 2030.</w:t>
      </w:r>
      <w:r w:rsidRPr="00E9364E" w:rsidR="006A5AB7">
        <w:rPr>
          <w:rtl/>
        </w:rPr>
        <w:t xml:space="preserve"> </w:t>
      </w:r>
      <w:r w:rsidR="006A5AB7">
        <w:rPr>
          <w:rFonts w:hint="cs"/>
          <w:rtl/>
        </w:rPr>
        <w:t xml:space="preserve">עוד </w:t>
      </w:r>
      <w:r w:rsidRPr="00F63511" w:rsidR="006A5AB7">
        <w:rPr>
          <w:rtl/>
        </w:rPr>
        <w:t xml:space="preserve">מומלץ </w:t>
      </w:r>
      <w:r w:rsidRPr="00956B15" w:rsidR="006A5AB7">
        <w:rPr>
          <w:rtl/>
        </w:rPr>
        <w:t>שמשרד</w:t>
      </w:r>
      <w:r w:rsidRPr="00F63511" w:rsidR="006A5AB7">
        <w:rPr>
          <w:rtl/>
        </w:rPr>
        <w:t xml:space="preserve"> הבריאות יבחן את החסמים להכשרת סטודנטים </w:t>
      </w:r>
      <w:r w:rsidR="006A5AB7">
        <w:rPr>
          <w:rFonts w:hint="cs"/>
          <w:rtl/>
        </w:rPr>
        <w:t xml:space="preserve">לרפואה </w:t>
      </w:r>
      <w:r w:rsidRPr="00F63511" w:rsidR="006A5AB7">
        <w:rPr>
          <w:rtl/>
        </w:rPr>
        <w:t xml:space="preserve">בשדות הקליניים </w:t>
      </w:r>
      <w:r w:rsidR="006A5AB7">
        <w:rPr>
          <w:rFonts w:hint="cs"/>
          <w:rtl/>
        </w:rPr>
        <w:t xml:space="preserve">בבתי החולים </w:t>
      </w:r>
      <w:r w:rsidRPr="00F63511" w:rsidR="006A5AB7">
        <w:rPr>
          <w:rtl/>
        </w:rPr>
        <w:t>בשעות אחר הצוהריים</w:t>
      </w:r>
      <w:r w:rsidR="006A5AB7">
        <w:rPr>
          <w:rFonts w:hint="cs"/>
          <w:rtl/>
        </w:rPr>
        <w:t>,</w:t>
      </w:r>
      <w:r w:rsidRPr="00F63511" w:rsidR="006A5AB7">
        <w:rPr>
          <w:rtl/>
        </w:rPr>
        <w:t xml:space="preserve"> ויפעל </w:t>
      </w:r>
      <w:r w:rsidR="006A5AB7">
        <w:rPr>
          <w:rFonts w:hint="cs"/>
          <w:rtl/>
        </w:rPr>
        <w:t xml:space="preserve">להסרתם, כך שהם יוכלו ללמד גם </w:t>
      </w:r>
      <w:r w:rsidR="006A5AB7">
        <w:rPr>
          <w:rFonts w:hint="cs"/>
          <w:rtl/>
        </w:rPr>
        <w:t xml:space="preserve">בשעות אלו וכך ניתן יהיה גם להגדיל את מספר הסטודנטים הלומדים רפואה. </w:t>
      </w:r>
      <w:r w:rsidRPr="00F63511" w:rsidR="006A5AB7">
        <w:rPr>
          <w:rtl/>
        </w:rPr>
        <w:t>בפרט מומלץ ש</w:t>
      </w:r>
      <w:r w:rsidR="006A5AB7">
        <w:rPr>
          <w:rFonts w:hint="cs"/>
          <w:rtl/>
        </w:rPr>
        <w:t xml:space="preserve">המשרד </w:t>
      </w:r>
      <w:r w:rsidRPr="00F63511" w:rsidR="006A5AB7">
        <w:rPr>
          <w:rtl/>
        </w:rPr>
        <w:t xml:space="preserve">יבחן יצירת מנגנוני תגמול </w:t>
      </w:r>
      <w:r w:rsidR="006A5AB7">
        <w:rPr>
          <w:rFonts w:hint="cs"/>
          <w:rtl/>
        </w:rPr>
        <w:t>יעילים</w:t>
      </w:r>
      <w:r w:rsidRPr="00F63511" w:rsidR="006A5AB7">
        <w:rPr>
          <w:rtl/>
        </w:rPr>
        <w:t xml:space="preserve"> לבתי החולים</w:t>
      </w:r>
      <w:r w:rsidR="006A5AB7">
        <w:rPr>
          <w:rtl/>
        </w:rPr>
        <w:t xml:space="preserve"> </w:t>
      </w:r>
      <w:r w:rsidR="006A5AB7">
        <w:rPr>
          <w:rFonts w:hint="cs"/>
          <w:rtl/>
        </w:rPr>
        <w:t>ולמחלקות ולרופאים המלמדים</w:t>
      </w:r>
      <w:r w:rsidRPr="00E9364E" w:rsidR="006A5AB7">
        <w:rPr>
          <w:rtl/>
        </w:rPr>
        <w:t xml:space="preserve"> </w:t>
      </w:r>
      <w:r w:rsidRPr="00433759" w:rsidR="006A5AB7">
        <w:rPr>
          <w:rtl/>
        </w:rPr>
        <w:t>ויגדיר את היקף הצוותים הרפואיים הנדרשים לשם כך</w:t>
      </w:r>
      <w:r w:rsidRPr="007C7D40">
        <w:rPr>
          <w:rFonts w:hint="cs"/>
          <w:rtl/>
        </w:rPr>
        <w:t>.</w:t>
      </w:r>
    </w:p>
    <w:p w:rsidR="006A5AB7" w:rsidP="00654BA4" w14:paraId="0A07A9C9" w14:textId="324EC38B">
      <w:pPr>
        <w:pStyle w:val="755"/>
        <w:rPr>
          <w:rtl/>
        </w:rPr>
      </w:pPr>
      <w:r w:rsidRPr="0063556C">
        <w:rPr>
          <w:rStyle w:val="7372"/>
          <w:rFonts w:hint="cs"/>
          <w:noProof/>
          <w:rtl/>
        </w:rPr>
        <w:drawing>
          <wp:anchor distT="0" distB="1440180" distL="107950" distR="114300" simplePos="0" relativeHeight="251696128"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33"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414302">
        <w:rPr>
          <w:rtl/>
        </w:rPr>
        <w:t xml:space="preserve">מומלץ כי משרד הבריאות ומל"ג-ות"ת יקבעו לוח זמנים מזורז להשלמת עבודת הוועדה </w:t>
      </w:r>
      <w:r>
        <w:rPr>
          <w:rFonts w:hint="cs"/>
          <w:rtl/>
        </w:rPr>
        <w:t xml:space="preserve">שאותה החליטו להקים באפריל 2023 ושתפקידה לבחון את הניהול הלאומי של השדות הקליניים וכן להסדיר מיידית את המחיר המזערי והמרבי של השדה הקליני, </w:t>
      </w:r>
      <w:r w:rsidRPr="00414302">
        <w:rPr>
          <w:rtl/>
        </w:rPr>
        <w:t xml:space="preserve">כך שיגובש הסכם בסיס קבוע, רחב וכתוב להסדרת התקשרות בין הפקולטות לרפואה ובין בתי החולים, הכולל גם את אופן ההתחשבנות בין בתי החולים לאוניברסיטאות. עוד מומלץ לקבוע את מקורות התקציב להגדרת הסכם זה ולהסדיר את דרכי הפיקוח של משרד הבריאות </w:t>
      </w:r>
      <w:r w:rsidRPr="00414302">
        <w:rPr>
          <w:rtl/>
        </w:rPr>
        <w:t>והמל"ג</w:t>
      </w:r>
      <w:r w:rsidRPr="00414302">
        <w:rPr>
          <w:rtl/>
        </w:rPr>
        <w:t xml:space="preserve"> על עמידתם של האוניברסיטאות ובתי החולים בכללים </w:t>
      </w:r>
      <w:r w:rsidRPr="006A5AB7">
        <w:rPr>
          <w:rtl/>
        </w:rPr>
        <w:t>שי</w:t>
      </w:r>
      <w:r w:rsidRPr="006A5AB7">
        <w:rPr>
          <w:rFonts w:hint="cs"/>
          <w:rtl/>
        </w:rPr>
        <w:t>י</w:t>
      </w:r>
      <w:r w:rsidRPr="006A5AB7">
        <w:rPr>
          <w:rtl/>
        </w:rPr>
        <w:t>קבעו</w:t>
      </w:r>
      <w:r w:rsidRPr="00414302">
        <w:rPr>
          <w:rtl/>
        </w:rPr>
        <w:t>. מומלץ ל</w:t>
      </w:r>
      <w:r>
        <w:rPr>
          <w:rFonts w:hint="cs"/>
          <w:rtl/>
        </w:rPr>
        <w:t>שתף</w:t>
      </w:r>
      <w:r w:rsidRPr="00414302">
        <w:rPr>
          <w:rtl/>
        </w:rPr>
        <w:t xml:space="preserve"> בעניין זה </w:t>
      </w:r>
      <w:r>
        <w:rPr>
          <w:rFonts w:hint="cs"/>
          <w:rtl/>
        </w:rPr>
        <w:t>את</w:t>
      </w:r>
      <w:r w:rsidRPr="00414302">
        <w:rPr>
          <w:rtl/>
        </w:rPr>
        <w:t xml:space="preserve"> פורום הדיקנים</w:t>
      </w:r>
      <w:r>
        <w:rPr>
          <w:rFonts w:hint="cs"/>
          <w:rtl/>
        </w:rPr>
        <w:t xml:space="preserve"> של </w:t>
      </w:r>
      <w:r w:rsidRPr="00414302">
        <w:rPr>
          <w:rtl/>
        </w:rPr>
        <w:t>בתי הספר לרפואה ו</w:t>
      </w:r>
      <w:r>
        <w:rPr>
          <w:rFonts w:hint="cs"/>
          <w:rtl/>
        </w:rPr>
        <w:t>את</w:t>
      </w:r>
      <w:r w:rsidRPr="00414302">
        <w:rPr>
          <w:rtl/>
        </w:rPr>
        <w:t xml:space="preserve"> בתי החולים.</w:t>
      </w:r>
      <w:r w:rsidRPr="00E9364E">
        <w:rPr>
          <w:rtl/>
        </w:rPr>
        <w:t xml:space="preserve"> </w:t>
      </w:r>
      <w:r w:rsidRPr="00FA37B8">
        <w:rPr>
          <w:rtl/>
        </w:rPr>
        <w:t xml:space="preserve">מומלץ שוועדת המשנה לקביעת מנגנונים להגדלה ולהסדרה לאומית של השדות הקליניים </w:t>
      </w:r>
      <w:r>
        <w:rPr>
          <w:rFonts w:hint="cs"/>
          <w:rtl/>
        </w:rPr>
        <w:t xml:space="preserve">במשרד הבריאות </w:t>
      </w:r>
      <w:r w:rsidRPr="00FA37B8">
        <w:rPr>
          <w:rtl/>
        </w:rPr>
        <w:t>תקבע את המתכונת הראויה למיצוי מיטבי ויעיל של השדות הקליניים בכל בתי החולים,</w:t>
      </w:r>
      <w:r>
        <w:rPr>
          <w:rFonts w:hint="cs"/>
          <w:rtl/>
        </w:rPr>
        <w:t xml:space="preserve"> לרבות בנושא של מתן מינוי אקדמי,</w:t>
      </w:r>
      <w:r w:rsidRPr="00FA37B8">
        <w:rPr>
          <w:rtl/>
        </w:rPr>
        <w:t xml:space="preserve"> ותביא בחשבון את הצורך לאפשר לבתי החולים להקנות הוראה קלינית גם לפקולטות לרפואה שהם אינם מסונפים אליהן. בכך יתאפשר גם לתכנן את הגידול במספר הסטודנטים לרפואה שיתחילו את לימודיהם בכל פקולטה</w:t>
      </w:r>
      <w:r w:rsidRPr="007C7D40">
        <w:rPr>
          <w:rFonts w:hint="cs"/>
          <w:rtl/>
        </w:rPr>
        <w:t>.</w:t>
      </w:r>
    </w:p>
    <w:p w:rsidR="006A5AB7" w:rsidP="00654BA4" w14:paraId="178DD636" w14:textId="0F8761D9">
      <w:pPr>
        <w:pStyle w:val="755"/>
        <w:rPr>
          <w:rtl/>
        </w:rPr>
      </w:pPr>
      <w:r w:rsidRPr="0063556C">
        <w:rPr>
          <w:rStyle w:val="7372"/>
          <w:rFonts w:hint="cs"/>
          <w:noProof/>
          <w:rtl/>
        </w:rPr>
        <w:drawing>
          <wp:anchor distT="0" distB="1440180" distL="107950" distR="114300" simplePos="0" relativeHeight="251697152"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35"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F83A93">
        <w:rPr>
          <w:rFonts w:hint="cs"/>
          <w:rtl/>
        </w:rPr>
        <w:t>מומלץ</w:t>
      </w:r>
      <w:r w:rsidRPr="00F83A93">
        <w:rPr>
          <w:rtl/>
        </w:rPr>
        <w:t xml:space="preserve"> למשרד הבריאות בשיתוף בתי החולים ומל"ג-ות"ת לבנות מודל לתגמול המחלקות המלמדות והרופאים המ</w:t>
      </w:r>
      <w:r>
        <w:rPr>
          <w:rFonts w:hint="cs"/>
          <w:rtl/>
        </w:rPr>
        <w:t>למדים</w:t>
      </w:r>
      <w:r w:rsidRPr="00F83A93">
        <w:rPr>
          <w:rtl/>
        </w:rPr>
        <w:t xml:space="preserve"> במטרה לייצר תמריצים להבטחת הוראה קלינית </w:t>
      </w:r>
      <w:r w:rsidRPr="006A5AB7">
        <w:rPr>
          <w:rtl/>
        </w:rPr>
        <w:t>באיכות</w:t>
      </w:r>
      <w:r w:rsidRPr="00F83A93">
        <w:rPr>
          <w:rtl/>
        </w:rPr>
        <w:t xml:space="preserve"> הגבוהה ביותר</w:t>
      </w:r>
      <w:r>
        <w:rPr>
          <w:rFonts w:hint="cs"/>
          <w:rtl/>
        </w:rPr>
        <w:t xml:space="preserve"> </w:t>
      </w:r>
      <w:r w:rsidRPr="00F83A93">
        <w:rPr>
          <w:rtl/>
        </w:rPr>
        <w:t xml:space="preserve">ולאפשר </w:t>
      </w:r>
      <w:r>
        <w:rPr>
          <w:rFonts w:hint="cs"/>
          <w:rtl/>
        </w:rPr>
        <w:t>תכנון ארוך טווח שיבטיח גידול ב</w:t>
      </w:r>
      <w:r w:rsidRPr="00F83A93">
        <w:rPr>
          <w:rtl/>
        </w:rPr>
        <w:t>מספר הסטודנטים הלומדים רפואה</w:t>
      </w:r>
      <w:r w:rsidRPr="007C7D40">
        <w:rPr>
          <w:rFonts w:hint="cs"/>
          <w:rtl/>
        </w:rPr>
        <w:t>.</w:t>
      </w:r>
    </w:p>
    <w:p w:rsidR="006A5AB7" w:rsidP="00654BA4" w14:paraId="31CCDFBF" w14:textId="6259E39C">
      <w:pPr>
        <w:pStyle w:val="755"/>
        <w:rPr>
          <w:rtl/>
        </w:rPr>
      </w:pPr>
      <w:r w:rsidRPr="0063556C">
        <w:rPr>
          <w:rStyle w:val="7372"/>
          <w:rFonts w:hint="cs"/>
          <w:noProof/>
          <w:rtl/>
        </w:rPr>
        <w:drawing>
          <wp:anchor distT="0" distB="1440180" distL="107950" distR="114300" simplePos="0" relativeHeight="251698176"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3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145AA5">
        <w:rPr>
          <w:rtl/>
        </w:rPr>
        <w:t xml:space="preserve">מומלץ שמשרד הבריאות </w:t>
      </w:r>
      <w:r w:rsidRPr="00145AA5">
        <w:rPr>
          <w:rtl/>
        </w:rPr>
        <w:t>והמל"ג</w:t>
      </w:r>
      <w:r w:rsidRPr="00145AA5">
        <w:rPr>
          <w:rtl/>
        </w:rPr>
        <w:t xml:space="preserve"> יבחנו את היתרונות מול החסרונות של המכסה שנקבעה למספר הסטודנטים לרפואה הלומדים בארץ - עלות לימודי הרפואה המושתת על תקציב המדינה אל מול המטרה להבטיח שהרופאים בישראל יהיו בעלי הכישורים הגבוהים ביותר, ללא קשר למצבם הכלכלי, ושהם הוכשרו להיות רופאים בהתאם לסטנדרטים הנדרשים בישראל. מומלץ גם שיובא בחשבון שמרבית הלומדים רפואה בחו"ל, חוזרים בתום לימודיהם לעבוד במערכת הבריאות הישראלית על אף שלא התקבלו ללימודי רפואה בארץ</w:t>
      </w:r>
      <w:r w:rsidRPr="00145AA5">
        <w:rPr>
          <w:rFonts w:hint="cs"/>
          <w:rtl/>
        </w:rPr>
        <w:t xml:space="preserve">, </w:t>
      </w:r>
      <w:r w:rsidRPr="00145AA5">
        <w:rPr>
          <w:rtl/>
        </w:rPr>
        <w:t>חלקם אף הוכשר בשדות הקליניים בבתי החולים בארץ, אף שמדובר במשאב המגביל את מספר לומדי הרפואה בארץ</w:t>
      </w:r>
      <w:r w:rsidRPr="007C7D40">
        <w:rPr>
          <w:rFonts w:hint="cs"/>
          <w:rtl/>
        </w:rPr>
        <w:t>.</w:t>
      </w:r>
    </w:p>
    <w:p w:rsidR="006A5AB7" w:rsidP="00654BA4" w14:paraId="4B5491A6" w14:textId="2898E1A5">
      <w:pPr>
        <w:pStyle w:val="755"/>
        <w:rPr>
          <w:rtl/>
        </w:rPr>
      </w:pPr>
      <w:r w:rsidRPr="0063556C">
        <w:rPr>
          <w:rStyle w:val="7372"/>
          <w:rFonts w:hint="cs"/>
          <w:noProof/>
          <w:rtl/>
        </w:rPr>
        <w:drawing>
          <wp:anchor distT="0" distB="1440180" distL="107950" distR="114300" simplePos="0" relativeHeight="251699200"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42"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145AA5">
        <w:rPr>
          <w:rFonts w:hint="cs"/>
          <w:rtl/>
        </w:rPr>
        <w:t>מומלץ</w:t>
      </w:r>
      <w:r w:rsidRPr="00145AA5">
        <w:rPr>
          <w:rtl/>
        </w:rPr>
        <w:t xml:space="preserve"> למשרד הבריאות, לפורום הדיקנים ולבתי החולים לקבוע את מספר הסטז'רים שכל אחד מבתי החולים יכול להכשיר בהתאם להיקף הצוות, המיטות במחלקות החובה והבחירה ומספר החולים, כדי שלא תיפגע העבודה השוטפת של המחלקות ו</w:t>
      </w:r>
      <w:r w:rsidRPr="00145AA5">
        <w:rPr>
          <w:rFonts w:hint="cs"/>
          <w:rtl/>
        </w:rPr>
        <w:t xml:space="preserve">גם </w:t>
      </w:r>
      <w:r w:rsidRPr="00145AA5">
        <w:rPr>
          <w:rtl/>
        </w:rPr>
        <w:t>לא איכות ההכשרה של הסטז'ר.</w:t>
      </w:r>
      <w:r>
        <w:rPr>
          <w:rFonts w:hint="cs"/>
          <w:rtl/>
        </w:rPr>
        <w:t xml:space="preserve"> </w:t>
      </w:r>
      <w:r w:rsidRPr="00145AA5">
        <w:rPr>
          <w:rFonts w:hint="cs"/>
          <w:rtl/>
        </w:rPr>
        <w:t xml:space="preserve">עוד מומלץ כי משרד הבריאות ידון בהמלצות </w:t>
      </w:r>
      <w:r w:rsidRPr="00145AA5">
        <w:rPr>
          <w:rtl/>
        </w:rPr>
        <w:t xml:space="preserve">הוועדה לבחינת </w:t>
      </w:r>
      <w:r w:rsidRPr="00145AA5">
        <w:rPr>
          <w:rtl/>
        </w:rPr>
        <w:t>הסטז</w:t>
      </w:r>
      <w:r w:rsidRPr="00145AA5">
        <w:rPr>
          <w:rtl/>
        </w:rPr>
        <w:t>' ברפואה</w:t>
      </w:r>
      <w:r w:rsidRPr="00145AA5">
        <w:rPr>
          <w:rFonts w:hint="cs"/>
          <w:rtl/>
        </w:rPr>
        <w:t>,</w:t>
      </w:r>
      <w:r w:rsidRPr="00145AA5">
        <w:rPr>
          <w:rtl/>
        </w:rPr>
        <w:t xml:space="preserve"> </w:t>
      </w:r>
      <w:r w:rsidRPr="00145AA5">
        <w:rPr>
          <w:rFonts w:hint="cs"/>
          <w:rtl/>
        </w:rPr>
        <w:t>שהתפרסמו ב</w:t>
      </w:r>
      <w:r w:rsidRPr="00145AA5">
        <w:rPr>
          <w:rtl/>
        </w:rPr>
        <w:t>יוני 2023</w:t>
      </w:r>
      <w:r>
        <w:rPr>
          <w:vertAlign w:val="superscript"/>
          <w:rtl/>
        </w:rPr>
        <w:footnoteReference w:id="13"/>
      </w:r>
      <w:r w:rsidRPr="00E9364E">
        <w:rPr>
          <w:rFonts w:hint="cs"/>
          <w:rtl/>
        </w:rPr>
        <w:t xml:space="preserve">, </w:t>
      </w:r>
      <w:r w:rsidRPr="00145AA5">
        <w:rPr>
          <w:rFonts w:hint="cs"/>
          <w:rtl/>
        </w:rPr>
        <w:t>ויחליט בנוגע ליישומן</w:t>
      </w:r>
      <w:r w:rsidRPr="007C7D40">
        <w:rPr>
          <w:rFonts w:hint="cs"/>
          <w:rtl/>
        </w:rPr>
        <w:t>.</w:t>
      </w:r>
    </w:p>
    <w:p w:rsidR="006A5AB7" w:rsidP="00654BA4" w14:paraId="27EE6429" w14:textId="2AD88EAB">
      <w:pPr>
        <w:pStyle w:val="755"/>
        <w:rPr>
          <w:rtl/>
        </w:rPr>
      </w:pPr>
      <w:r w:rsidRPr="0063556C">
        <w:rPr>
          <w:rStyle w:val="7372"/>
          <w:rFonts w:hint="cs"/>
          <w:noProof/>
          <w:rtl/>
        </w:rPr>
        <w:drawing>
          <wp:anchor distT="0" distB="1440180" distL="107950" distR="114300" simplePos="0" relativeHeight="251700224"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44"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3766BB">
        <w:rPr>
          <w:rtl/>
        </w:rPr>
        <w:t xml:space="preserve">מומלץ שלמשרד הבריאות כמאסדר יהיו נתונים מעודכנים וכוללים בנוגע להתמחויות </w:t>
      </w:r>
      <w:r>
        <w:rPr>
          <w:rFonts w:hint="cs"/>
          <w:rtl/>
        </w:rPr>
        <w:t xml:space="preserve">של רופאים </w:t>
      </w:r>
      <w:r w:rsidRPr="003766BB">
        <w:rPr>
          <w:rtl/>
        </w:rPr>
        <w:t xml:space="preserve">ולמקומות ההתמחות: התחומים הנדרשים להתמחות, היכן מתפנים מקומות </w:t>
      </w:r>
      <w:r w:rsidRPr="003766BB">
        <w:rPr>
          <w:rtl/>
        </w:rPr>
        <w:t xml:space="preserve">להתמחות, התחומים שבהם יש תור להתמחות, מספר </w:t>
      </w:r>
      <w:r w:rsidRPr="00F85EB9">
        <w:rPr>
          <w:rtl/>
        </w:rPr>
        <w:t xml:space="preserve">המקומות הפנויים והמועד שבו מתפנים מקומות להתמחות. עוד מומלץ שלאחר איסוף הנתונים ישפר המשרד את מידת השקיפות בעניין זה, בעיקר לסטודנטים לרפואה, </w:t>
      </w:r>
      <w:r w:rsidRPr="00F85EB9">
        <w:rPr>
          <w:rFonts w:hint="cs"/>
          <w:rtl/>
        </w:rPr>
        <w:t xml:space="preserve">ויעדכן אותם באופן שוטף </w:t>
      </w:r>
      <w:r w:rsidRPr="00F85EB9">
        <w:rPr>
          <w:rtl/>
        </w:rPr>
        <w:t xml:space="preserve">כדי שיוכלו לתכנן </w:t>
      </w:r>
      <w:r w:rsidRPr="00F85EB9">
        <w:rPr>
          <w:rFonts w:hint="cs"/>
          <w:rtl/>
        </w:rPr>
        <w:t xml:space="preserve">את </w:t>
      </w:r>
      <w:r w:rsidRPr="00F85EB9">
        <w:rPr>
          <w:rtl/>
        </w:rPr>
        <w:t xml:space="preserve">עתידם. מומלץ גם להסדיר את אחריות משרד הבריאות עם </w:t>
      </w:r>
      <w:r w:rsidRPr="00F85EB9">
        <w:rPr>
          <w:rtl/>
        </w:rPr>
        <w:t>הר"י</w:t>
      </w:r>
      <w:r w:rsidRPr="00F85EB9">
        <w:rPr>
          <w:rtl/>
        </w:rPr>
        <w:t xml:space="preserve"> לריכוז המידע ולתכנון תחומי המומחיות </w:t>
      </w:r>
      <w:r w:rsidRPr="00F85EB9">
        <w:rPr>
          <w:rFonts w:hint="cs"/>
          <w:rtl/>
        </w:rPr>
        <w:t xml:space="preserve">הרפואית </w:t>
      </w:r>
      <w:r w:rsidRPr="00F85EB9">
        <w:rPr>
          <w:rtl/>
        </w:rPr>
        <w:t>השונים</w:t>
      </w:r>
      <w:r w:rsidRPr="007C7D40">
        <w:rPr>
          <w:rFonts w:hint="cs"/>
          <w:rtl/>
        </w:rPr>
        <w:t>.</w:t>
      </w:r>
    </w:p>
    <w:p w:rsidR="006A5AB7" w:rsidP="00654BA4" w14:paraId="217E4A64" w14:textId="7CD2A599">
      <w:pPr>
        <w:pStyle w:val="755"/>
        <w:rPr>
          <w:rtl/>
        </w:rPr>
      </w:pPr>
      <w:r w:rsidRPr="0063556C">
        <w:rPr>
          <w:rStyle w:val="7372"/>
          <w:rFonts w:hint="cs"/>
          <w:noProof/>
          <w:rtl/>
        </w:rPr>
        <w:drawing>
          <wp:anchor distT="0" distB="1440180" distL="107950" distR="114300" simplePos="0" relativeHeight="251701248"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46"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F85EB9">
        <w:rPr>
          <w:rtl/>
        </w:rPr>
        <w:t xml:space="preserve">מומלץ </w:t>
      </w:r>
      <w:r w:rsidRPr="00F85EB9">
        <w:rPr>
          <w:rtl/>
        </w:rPr>
        <w:t>ש</w:t>
      </w:r>
      <w:r w:rsidRPr="00F85EB9">
        <w:rPr>
          <w:rFonts w:hint="cs"/>
          <w:rtl/>
        </w:rPr>
        <w:t>המל"ג</w:t>
      </w:r>
      <w:r w:rsidRPr="00F85EB9">
        <w:rPr>
          <w:rFonts w:hint="cs"/>
          <w:rtl/>
        </w:rPr>
        <w:t xml:space="preserve">, </w:t>
      </w:r>
      <w:r w:rsidRPr="00F85EB9">
        <w:rPr>
          <w:rtl/>
        </w:rPr>
        <w:t>משרד הבריאות, בתי הספר לרפואה</w:t>
      </w:r>
      <w:r w:rsidRPr="00F85EB9">
        <w:rPr>
          <w:rFonts w:hint="cs"/>
          <w:rtl/>
        </w:rPr>
        <w:t>,</w:t>
      </w:r>
      <w:r w:rsidRPr="00F85EB9">
        <w:rPr>
          <w:rtl/>
        </w:rPr>
        <w:t xml:space="preserve"> פורום הדיקנים </w:t>
      </w:r>
      <w:r w:rsidRPr="00F85EB9">
        <w:rPr>
          <w:rFonts w:hint="cs"/>
          <w:rtl/>
        </w:rPr>
        <w:t xml:space="preserve">וקופות החולים </w:t>
      </w:r>
      <w:r w:rsidRPr="00F85EB9">
        <w:rPr>
          <w:rtl/>
        </w:rPr>
        <w:t xml:space="preserve">ישלימו את תוכנית הלימודים להכשרה קלינית </w:t>
      </w:r>
      <w:r w:rsidRPr="00F85EB9">
        <w:rPr>
          <w:rFonts w:hint="cs"/>
          <w:rtl/>
        </w:rPr>
        <w:t xml:space="preserve">של סטודנטים </w:t>
      </w:r>
      <w:r w:rsidRPr="00F85EB9">
        <w:rPr>
          <w:rtl/>
        </w:rPr>
        <w:t>בקהילה וישלבו אותה בתוכנית ההכשרה הקלינית הכוללת. מומלץ גם לגבש הסכמים בין בתי הספר לרפואה</w:t>
      </w:r>
      <w:r w:rsidRPr="00154F34">
        <w:rPr>
          <w:rtl/>
        </w:rPr>
        <w:t xml:space="preserve"> לקופות החולים לעידוד הכשרה כזו, שיכללו גם מנגנון של תגמול כספי מתאים לקופות.</w:t>
      </w:r>
      <w:r w:rsidRPr="00154F34">
        <w:rPr>
          <w:rFonts w:hint="cs"/>
          <w:rtl/>
        </w:rPr>
        <w:t xml:space="preserve"> עוד </w:t>
      </w:r>
      <w:r w:rsidRPr="00154F34">
        <w:rPr>
          <w:rtl/>
        </w:rPr>
        <w:t xml:space="preserve">מומלץ שמשרד הבריאות יבחן את מספר המומחים הנדרש ברפואת הקהילה. מומלץ גם שמשרדי הבריאות והאוצר יבחנו אילו תמריצים ניתן לתת לרופאים המומחים בקהילה כדי לעודדם ללמד רופאים מתמחים. </w:t>
      </w:r>
      <w:r w:rsidRPr="00154F34">
        <w:rPr>
          <w:rFonts w:hint="cs"/>
          <w:rtl/>
        </w:rPr>
        <w:t>אף</w:t>
      </w:r>
      <w:r w:rsidRPr="00154F34">
        <w:rPr>
          <w:rtl/>
        </w:rPr>
        <w:t xml:space="preserve"> מומלץ כי משרד הבריאות בשיתוף המועצה המדעית של </w:t>
      </w:r>
      <w:r w:rsidRPr="00154F34">
        <w:rPr>
          <w:rtl/>
        </w:rPr>
        <w:t>הר"י</w:t>
      </w:r>
      <w:r w:rsidRPr="00154F34">
        <w:rPr>
          <w:rtl/>
        </w:rPr>
        <w:t xml:space="preserve"> והנהלות הקופות יגבשו תוכנית סדורה לפיתוח ההתמחות ברפואת הקהילה בתחומים הנדרשים, ויגדירו את מספר השבועות המיטבי וההכרחי להתמחות במרפאות הקהילה, וברפואת ילדים בפרט</w:t>
      </w:r>
      <w:r w:rsidRPr="007C7D40">
        <w:rPr>
          <w:rFonts w:hint="cs"/>
          <w:rtl/>
        </w:rPr>
        <w:t>.</w:t>
      </w:r>
    </w:p>
    <w:p w:rsidR="006A5AB7" w:rsidP="00654BA4" w14:paraId="6C0DBD2D" w14:textId="4A7E0311">
      <w:pPr>
        <w:pStyle w:val="755"/>
        <w:rPr>
          <w:rtl/>
        </w:rPr>
      </w:pPr>
      <w:r w:rsidRPr="0063556C">
        <w:rPr>
          <w:rStyle w:val="7372"/>
          <w:rFonts w:hint="cs"/>
          <w:noProof/>
          <w:rtl/>
        </w:rPr>
        <w:drawing>
          <wp:anchor distT="0" distB="1440180" distL="107950" distR="114300" simplePos="0" relativeHeight="251702272"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4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154F34">
        <w:rPr>
          <w:rtl/>
        </w:rPr>
        <w:t xml:space="preserve">מומלץ </w:t>
      </w:r>
      <w:r w:rsidRPr="00154F34">
        <w:rPr>
          <w:rtl/>
        </w:rPr>
        <w:t>שהמל"ג</w:t>
      </w:r>
      <w:r w:rsidRPr="00154F34">
        <w:rPr>
          <w:rtl/>
        </w:rPr>
        <w:t xml:space="preserve"> בשיתוף פורום הדיקנים ובתי הספר לרפואה ימשיכו לפעול לשיפור מתכונת לימודי הרפואה </w:t>
      </w:r>
      <w:r>
        <w:rPr>
          <w:rFonts w:hint="cs"/>
          <w:rtl/>
        </w:rPr>
        <w:t xml:space="preserve">והתשתיות הנדרשות, </w:t>
      </w:r>
      <w:r w:rsidRPr="00154F34">
        <w:rPr>
          <w:rtl/>
        </w:rPr>
        <w:t>כך שיתאימו להתפתחות עולם הרפואה, להתפתחות הטכנולוגיה והחדשנות שבו</w:t>
      </w:r>
      <w:r>
        <w:rPr>
          <w:rFonts w:hint="cs"/>
          <w:rtl/>
        </w:rPr>
        <w:t xml:space="preserve"> </w:t>
      </w:r>
      <w:r w:rsidRPr="00A32F53">
        <w:rPr>
          <w:rtl/>
        </w:rPr>
        <w:t>ולגידול הצפוי במספר הסטודנטים</w:t>
      </w:r>
      <w:r w:rsidRPr="00154F34">
        <w:rPr>
          <w:rtl/>
        </w:rPr>
        <w:t>. במיוחד עליהם לבחון ולשפר את השימוש בשיטות הוראה חדשניות כמו סימולטורים ובינה מלאכותית</w:t>
      </w:r>
      <w:r w:rsidRPr="00E9364E">
        <w:rPr>
          <w:rtl/>
        </w:rPr>
        <w:t xml:space="preserve"> </w:t>
      </w:r>
      <w:r w:rsidRPr="00A32F53">
        <w:rPr>
          <w:rtl/>
        </w:rPr>
        <w:t>ולבחון את המקורות התקציביים לשימוש באמצעים כאלה</w:t>
      </w:r>
      <w:r w:rsidRPr="00154F34">
        <w:rPr>
          <w:rtl/>
        </w:rPr>
        <w:t xml:space="preserve">. שיפורים מסוג זה יכולים </w:t>
      </w:r>
      <w:r w:rsidRPr="006A5AB7">
        <w:rPr>
          <w:rtl/>
        </w:rPr>
        <w:t>לקדם</w:t>
      </w:r>
      <w:r w:rsidRPr="00154F34">
        <w:rPr>
          <w:rtl/>
        </w:rPr>
        <w:t xml:space="preserve"> את </w:t>
      </w:r>
      <w:r w:rsidRPr="00B86606">
        <w:rPr>
          <w:rtl/>
        </w:rPr>
        <w:t>מדינת</w:t>
      </w:r>
      <w:r w:rsidRPr="00154F34">
        <w:rPr>
          <w:rtl/>
        </w:rPr>
        <w:t xml:space="preserve"> ישראל ליעד </w:t>
      </w:r>
      <w:r>
        <w:rPr>
          <w:rFonts w:hint="cs"/>
          <w:rtl/>
        </w:rPr>
        <w:t xml:space="preserve">של משרד הבריאות - </w:t>
      </w:r>
      <w:r w:rsidRPr="00154F34">
        <w:rPr>
          <w:rtl/>
        </w:rPr>
        <w:t>2,000 סטודנטים לרפואה ב</w:t>
      </w:r>
      <w:r>
        <w:rPr>
          <w:rFonts w:hint="cs"/>
          <w:rtl/>
        </w:rPr>
        <w:t>שנה א' ב</w:t>
      </w:r>
      <w:r w:rsidRPr="00154F34">
        <w:rPr>
          <w:rtl/>
        </w:rPr>
        <w:t>ישראל בשנת 2030</w:t>
      </w:r>
      <w:r w:rsidRPr="007C7D40">
        <w:rPr>
          <w:rFonts w:hint="cs"/>
          <w:rtl/>
        </w:rPr>
        <w:t>.</w:t>
      </w:r>
    </w:p>
    <w:p w:rsidR="00654BA4" w14:paraId="3827DB1D" w14:textId="09846B4C">
      <w:pPr>
        <w:bidi w:val="0"/>
        <w:spacing w:after="200" w:line="276" w:lineRule="auto"/>
        <w:rPr>
          <w:rFonts w:ascii="Tahoma" w:hAnsi="Tahoma" w:cs="Tahoma"/>
          <w:color w:val="0D0D0D" w:themeColor="text1" w:themeTint="F2"/>
          <w:sz w:val="18"/>
          <w:szCs w:val="18"/>
          <w:rtl/>
        </w:rPr>
      </w:pPr>
      <w:r>
        <w:rPr>
          <w:rtl/>
        </w:rPr>
        <w:br w:type="page"/>
      </w:r>
    </w:p>
    <w:p w:rsidR="005D0F8C" w:rsidP="00EB672B" w14:paraId="757FD3ED" w14:textId="77777777">
      <w:pPr>
        <w:pStyle w:val="7315"/>
        <w:rPr>
          <w:rtl/>
        </w:rPr>
      </w:pPr>
      <w:r w:rsidRPr="00D527BD">
        <w:rPr>
          <w:noProof/>
          <w:szCs w:val="20"/>
          <w:rtl/>
        </w:rPr>
        <w:drawing>
          <wp:anchor distT="0" distB="0" distL="114300" distR="114300" simplePos="0" relativeHeight="251675648" behindDoc="0" locked="0" layoutInCell="1" allowOverlap="1">
            <wp:simplePos x="0" y="0"/>
            <wp:positionH relativeFrom="column">
              <wp:posOffset>-58420</wp:posOffset>
            </wp:positionH>
            <wp:positionV relativeFrom="paragraph">
              <wp:posOffset>-33655</wp:posOffset>
            </wp:positionV>
            <wp:extent cx="4775102" cy="762619"/>
            <wp:effectExtent l="0" t="0" r="0" b="0"/>
            <wp:wrapNone/>
            <wp:docPr id="1451066646" name="Picture 5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6" name="Picture 54">
                      <a:extLst>
                        <a:ext xmlns:a="http://schemas.openxmlformats.org/drawingml/2006/main" uri="{C183D7F6-B498-43B3-948B-1728B52AA6E4}">
                          <adec:decorative xmlns:adec="http://schemas.microsoft.com/office/drawing/2017/decorative" val="1"/>
                        </a:ext>
                      </a:extLst>
                    </pic:cNvPr>
                    <pic:cNvPicPr>
                      <a:picLocks noChangeAspect="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75102" cy="762619"/>
                    </a:xfrm>
                    <a:prstGeom prst="rect">
                      <a:avLst/>
                    </a:prstGeom>
                  </pic:spPr>
                </pic:pic>
              </a:graphicData>
            </a:graphic>
            <wp14:sizeRelH relativeFrom="margin">
              <wp14:pctWidth>0</wp14:pctWidth>
            </wp14:sizeRelH>
            <wp14:sizeRelV relativeFrom="margin">
              <wp14:pctHeight>0</wp14:pctHeight>
            </wp14:sizeRelV>
          </wp:anchor>
        </w:drawing>
      </w:r>
      <w:r w:rsidRPr="00D527BD" w:rsidR="004E71DD">
        <w:rPr>
          <w:noProof/>
          <w:szCs w:val="20"/>
          <w:rtl/>
        </w:rPr>
        <mc:AlternateContent>
          <mc:Choice Requires="wps">
            <w:drawing>
              <wp:anchor distT="0" distB="0" distL="114300" distR="114300" simplePos="0" relativeHeight="251676672" behindDoc="0" locked="0" layoutInCell="1" allowOverlap="1">
                <wp:simplePos x="0" y="0"/>
                <wp:positionH relativeFrom="column">
                  <wp:posOffset>86976</wp:posOffset>
                </wp:positionH>
                <wp:positionV relativeFrom="paragraph">
                  <wp:posOffset>44978</wp:posOffset>
                </wp:positionV>
                <wp:extent cx="4436745" cy="435128"/>
                <wp:effectExtent l="0" t="0" r="0" b="0"/>
                <wp:wrapNone/>
                <wp:docPr id="145106662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36745" cy="435128"/>
                        </a:xfrm>
                        <a:prstGeom prst="rect">
                          <a:avLst/>
                        </a:prstGeom>
                        <a:solidFill>
                          <a:srgbClr val="F05260"/>
                        </a:solidFill>
                        <a:ln w="9525">
                          <a:noFill/>
                          <a:miter lim="800000"/>
                          <a:headEnd/>
                          <a:tailEnd/>
                        </a:ln>
                      </wps:spPr>
                      <wps:txbx>
                        <w:txbxContent>
                          <w:p w:rsidR="005D0F8C" w:rsidRPr="005C7ABF" w:rsidP="00524400" w14:textId="74DC9D50">
                            <w:pPr>
                              <w:pStyle w:val="7327"/>
                              <w:rPr>
                                <w:rtl/>
                              </w:rPr>
                            </w:pPr>
                            <w:r w:rsidRPr="006C07A7">
                              <w:rPr>
                                <w:noProof/>
                                <w:rtl/>
                              </w:rPr>
                              <w:t>גורמים המשפיעים על הצורך בהגדלת מספר הרופאים בישראל</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33" type="#_x0000_t202" style="width:349.35pt;height:34.25pt;margin-top:3.55pt;margin-left:6.85pt;mso-height-percent:0;mso-height-relative:margin;mso-width-percent:0;mso-width-relative:margin;mso-wrap-distance-bottom:0;mso-wrap-distance-left:9pt;mso-wrap-distance-right:9pt;mso-wrap-distance-top:0;mso-wrap-style:square;position:absolute;visibility:visible;v-text-anchor:middle;z-index:251677696" fillcolor="#f05260" stroked="f">
                <v:textbox>
                  <w:txbxContent>
                    <w:p w:rsidR="005D0F8C" w:rsidRPr="005C7ABF" w:rsidP="00524400" w14:paraId="0FF11C30" w14:textId="74DC9D50">
                      <w:pPr>
                        <w:pStyle w:val="7327"/>
                        <w:rPr>
                          <w:rtl/>
                        </w:rPr>
                      </w:pPr>
                      <w:r w:rsidRPr="006C07A7">
                        <w:rPr>
                          <w:noProof/>
                          <w:rtl/>
                        </w:rPr>
                        <w:t>גורמים המשפיעים על הצורך בהגדלת מספר הרופאים בישראל</w:t>
                      </w:r>
                    </w:p>
                  </w:txbxContent>
                </v:textbox>
              </v:shape>
            </w:pict>
          </mc:Fallback>
        </mc:AlternateContent>
      </w:r>
      <w:r>
        <w:rPr>
          <w:rtl/>
        </w:rPr>
        <w:t xml:space="preserve"> </w:t>
      </w:r>
    </w:p>
    <w:p w:rsidR="005D0F8C" w:rsidP="005D0F8C" w14:paraId="43F21067" w14:textId="77777777">
      <w:pPr>
        <w:pStyle w:val="7315"/>
        <w:rPr>
          <w:rtl/>
        </w:rPr>
      </w:pPr>
    </w:p>
    <w:p w:rsidR="005D0F8C" w:rsidRPr="00D57BE9" w:rsidP="00D57BE9" w14:paraId="386C0913" w14:textId="5C056851">
      <w:pPr>
        <w:rPr>
          <w:rtl/>
        </w:rPr>
      </w:pPr>
      <w:r>
        <w:rPr>
          <w:noProof/>
          <w:rtl/>
          <w:lang w:val="he-IL"/>
        </w:rPr>
        <w:drawing>
          <wp:anchor distT="0" distB="0" distL="114300" distR="114300" simplePos="0" relativeHeight="251740160" behindDoc="0" locked="0" layoutInCell="1" allowOverlap="1">
            <wp:simplePos x="0" y="0"/>
            <wp:positionH relativeFrom="column">
              <wp:posOffset>-95250</wp:posOffset>
            </wp:positionH>
            <wp:positionV relativeFrom="paragraph">
              <wp:posOffset>198120</wp:posOffset>
            </wp:positionV>
            <wp:extent cx="4679950" cy="3039110"/>
            <wp:effectExtent l="0" t="0" r="6350" b="889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3039110"/>
                    </a:xfrm>
                    <a:prstGeom prst="rect">
                      <a:avLst/>
                    </a:prstGeom>
                  </pic:spPr>
                </pic:pic>
              </a:graphicData>
            </a:graphic>
          </wp:anchor>
        </w:drawing>
      </w:r>
    </w:p>
    <w:p w:rsidR="00555321" w14:paraId="2479C045" w14:textId="77777777">
      <w:pPr>
        <w:bidi w:val="0"/>
        <w:spacing w:after="200" w:line="276" w:lineRule="auto"/>
        <w:rPr>
          <w:rFonts w:ascii="Tahoma" w:hAnsi="Tahoma" w:cs="Tahoma"/>
          <w:color w:val="0D0D0D" w:themeColor="text1" w:themeTint="F2"/>
          <w:sz w:val="16"/>
          <w:szCs w:val="16"/>
          <w:rtl/>
        </w:rPr>
      </w:pPr>
      <w:r>
        <w:rPr>
          <w:rtl/>
        </w:rPr>
        <w:br w:type="page"/>
      </w:r>
    </w:p>
    <w:p w:rsidR="00362505" w:rsidP="00B227D8" w14:paraId="1048C3E1" w14:textId="60547E2F">
      <w:pPr>
        <w:pStyle w:val="750"/>
        <w:rPr>
          <w:rtl/>
        </w:rPr>
      </w:pPr>
      <w:r w:rsidRPr="006C07A7">
        <w:rPr>
          <w:rtl/>
        </w:rPr>
        <w:t xml:space="preserve">בתרשים שלהלן </w:t>
      </w:r>
      <w:r w:rsidRPr="006C07A7">
        <w:rPr>
          <w:rFonts w:hint="cs"/>
          <w:rtl/>
        </w:rPr>
        <w:t xml:space="preserve">מוצג </w:t>
      </w:r>
      <w:r w:rsidRPr="00B227D8">
        <w:rPr>
          <w:rtl/>
        </w:rPr>
        <w:t>מספר</w:t>
      </w:r>
      <w:r w:rsidRPr="006C07A7">
        <w:rPr>
          <w:rtl/>
        </w:rPr>
        <w:t xml:space="preserve"> הרישיונות שקיבלו בוגרי אוניברסיטאות לרפואה בחו"ל בשנת 2022 </w:t>
      </w:r>
      <w:r w:rsidRPr="006C07A7">
        <w:rPr>
          <w:rFonts w:hint="cs"/>
          <w:rtl/>
        </w:rPr>
        <w:t>(</w:t>
      </w:r>
      <w:r w:rsidRPr="006C07A7">
        <w:rPr>
          <w:rtl/>
        </w:rPr>
        <w:t>מדובר בסטודנטים שהחלו את לימודיהם לפני 2019</w:t>
      </w:r>
      <w:r w:rsidRPr="006C07A7">
        <w:rPr>
          <w:rFonts w:hint="cs"/>
          <w:rtl/>
        </w:rPr>
        <w:t>)</w:t>
      </w:r>
      <w:r w:rsidRPr="006C07A7">
        <w:rPr>
          <w:rtl/>
        </w:rPr>
        <w:t>. בתי הספר לרפואה במדינות המסומנות באדום נפסלו במסגרת רפורמת יציב</w:t>
      </w:r>
      <w:r w:rsidRPr="006C07A7">
        <w:rPr>
          <w:rFonts w:hint="cs"/>
          <w:rtl/>
        </w:rPr>
        <w:t>, ו</w:t>
      </w:r>
      <w:r w:rsidRPr="006C07A7">
        <w:rPr>
          <w:rtl/>
        </w:rPr>
        <w:t>בתי הספר לרפואה במדינות המסומנות ב</w:t>
      </w:r>
      <w:r w:rsidRPr="006C07A7">
        <w:rPr>
          <w:rFonts w:hint="cs"/>
          <w:rtl/>
        </w:rPr>
        <w:t>כחול מוכרים על ידי משרד הבריאות</w:t>
      </w:r>
      <w:r w:rsidRPr="00D57BE9" w:rsidR="005D0F8C">
        <w:rPr>
          <w:rFonts w:hint="cs"/>
          <w:rtl/>
        </w:rPr>
        <w:t>.</w:t>
      </w:r>
    </w:p>
    <w:p w:rsidR="00B227D8" w:rsidP="00B227D8" w14:paraId="55C763E9" w14:textId="6DD1DFD2">
      <w:pPr>
        <w:pStyle w:val="7315"/>
        <w:rPr>
          <w:rtl/>
        </w:rPr>
      </w:pPr>
      <w:r w:rsidRPr="00D527BD">
        <w:rPr>
          <w:noProof/>
          <w:szCs w:val="20"/>
          <w:rtl/>
        </w:rPr>
        <mc:AlternateContent>
          <mc:Choice Requires="wps">
            <w:drawing>
              <wp:anchor distT="0" distB="0" distL="114300" distR="114300" simplePos="0" relativeHeight="251704320" behindDoc="0" locked="0" layoutInCell="1" allowOverlap="1">
                <wp:simplePos x="0" y="0"/>
                <wp:positionH relativeFrom="column">
                  <wp:posOffset>133985</wp:posOffset>
                </wp:positionH>
                <wp:positionV relativeFrom="paragraph">
                  <wp:posOffset>44450</wp:posOffset>
                </wp:positionV>
                <wp:extent cx="4436745" cy="434975"/>
                <wp:effectExtent l="0" t="0" r="1905" b="3175"/>
                <wp:wrapNone/>
                <wp:docPr id="5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36745" cy="434975"/>
                        </a:xfrm>
                        <a:prstGeom prst="rect">
                          <a:avLst/>
                        </a:prstGeom>
                        <a:solidFill>
                          <a:srgbClr val="F05260"/>
                        </a:solidFill>
                        <a:ln w="9525">
                          <a:noFill/>
                          <a:miter lim="800000"/>
                          <a:headEnd/>
                          <a:tailEnd/>
                        </a:ln>
                      </wps:spPr>
                      <wps:txbx>
                        <w:txbxContent>
                          <w:p w:rsidR="00B227D8" w:rsidRPr="00A34CCC" w:rsidP="00B227D8" w14:textId="77777777">
                            <w:pPr>
                              <w:spacing w:line="240" w:lineRule="auto"/>
                              <w:ind w:left="311"/>
                              <w:jc w:val="left"/>
                              <w:rPr>
                                <w:rFonts w:ascii="Tahoma" w:hAnsi="Tahoma" w:cs="Tahoma"/>
                                <w:b/>
                                <w:bCs/>
                                <w:noProof/>
                                <w:color w:val="FFFFFF" w:themeColor="background1"/>
                                <w:sz w:val="22"/>
                                <w:szCs w:val="22"/>
                                <w:rtl/>
                              </w:rPr>
                            </w:pPr>
                            <w:r w:rsidRPr="00A34CCC">
                              <w:rPr>
                                <w:rFonts w:ascii="Tahoma" w:hAnsi="Tahoma" w:cs="Tahoma"/>
                                <w:b/>
                                <w:bCs/>
                                <w:noProof/>
                                <w:color w:val="FFFFFF" w:themeColor="background1"/>
                                <w:sz w:val="22"/>
                                <w:szCs w:val="22"/>
                                <w:rtl/>
                              </w:rPr>
                              <w:t xml:space="preserve">מספר הרישיונות לעסוק ברפואה בישראל שקיבלו בוגרי </w:t>
                            </w:r>
                          </w:p>
                          <w:p w:rsidR="00B227D8" w:rsidRPr="00A34CCC" w:rsidP="00B227D8" w14:textId="77777777">
                            <w:pPr>
                              <w:spacing w:after="120" w:line="288" w:lineRule="auto"/>
                              <w:ind w:left="312"/>
                              <w:jc w:val="left"/>
                              <w:rPr>
                                <w:rFonts w:ascii="Tahoma" w:hAnsi="Tahoma" w:cs="Tahoma"/>
                                <w:color w:val="FFFFFF" w:themeColor="background1"/>
                                <w:sz w:val="22"/>
                                <w:szCs w:val="22"/>
                                <w:rtl/>
                              </w:rPr>
                            </w:pPr>
                            <w:r w:rsidRPr="00A34CCC">
                              <w:rPr>
                                <w:rFonts w:ascii="Tahoma" w:hAnsi="Tahoma" w:cs="Tahoma"/>
                                <w:b/>
                                <w:bCs/>
                                <w:noProof/>
                                <w:color w:val="FFFFFF" w:themeColor="background1"/>
                                <w:sz w:val="22"/>
                                <w:szCs w:val="22"/>
                                <w:rtl/>
                              </w:rPr>
                              <w:t>אוניברסיטאות לרפואה בחו"ל, 2022</w:t>
                            </w:r>
                          </w:p>
                          <w:p w:rsidR="00B227D8" w:rsidRPr="005C7ABF" w:rsidP="00B227D8" w14:textId="72DCE2F0">
                            <w:pPr>
                              <w:pStyle w:val="7327"/>
                              <w:rPr>
                                <w:rtl/>
                              </w:rPr>
                            </w:pP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34" type="#_x0000_t202" style="width:349.35pt;height:34.25pt;margin-top:3.5pt;margin-left:10.55pt;mso-height-percent:0;mso-height-relative:margin;mso-width-percent:0;mso-width-relative:margin;mso-wrap-distance-bottom:0;mso-wrap-distance-left:9pt;mso-wrap-distance-right:9pt;mso-wrap-distance-top:0;mso-wrap-style:square;position:absolute;visibility:visible;v-text-anchor:middle;z-index:251705344" fillcolor="#f05260" stroked="f">
                <v:textbox>
                  <w:txbxContent>
                    <w:p w:rsidR="00B227D8" w:rsidRPr="00A34CCC" w:rsidP="00B227D8" w14:paraId="1EFB16A3" w14:textId="77777777">
                      <w:pPr>
                        <w:spacing w:line="240" w:lineRule="auto"/>
                        <w:ind w:left="311"/>
                        <w:jc w:val="left"/>
                        <w:rPr>
                          <w:rFonts w:ascii="Tahoma" w:hAnsi="Tahoma" w:cs="Tahoma"/>
                          <w:b/>
                          <w:bCs/>
                          <w:noProof/>
                          <w:color w:val="FFFFFF" w:themeColor="background1"/>
                          <w:sz w:val="22"/>
                          <w:szCs w:val="22"/>
                          <w:rtl/>
                        </w:rPr>
                      </w:pPr>
                      <w:r w:rsidRPr="00A34CCC">
                        <w:rPr>
                          <w:rFonts w:ascii="Tahoma" w:hAnsi="Tahoma" w:cs="Tahoma"/>
                          <w:b/>
                          <w:bCs/>
                          <w:noProof/>
                          <w:color w:val="FFFFFF" w:themeColor="background1"/>
                          <w:sz w:val="22"/>
                          <w:szCs w:val="22"/>
                          <w:rtl/>
                        </w:rPr>
                        <w:t xml:space="preserve">מספר הרישיונות לעסוק ברפואה בישראל שקיבלו בוגרי </w:t>
                      </w:r>
                    </w:p>
                    <w:p w:rsidR="00B227D8" w:rsidRPr="00A34CCC" w:rsidP="00B227D8" w14:paraId="21A03206" w14:textId="77777777">
                      <w:pPr>
                        <w:spacing w:after="120" w:line="288" w:lineRule="auto"/>
                        <w:ind w:left="312"/>
                        <w:jc w:val="left"/>
                        <w:rPr>
                          <w:rFonts w:ascii="Tahoma" w:hAnsi="Tahoma" w:cs="Tahoma"/>
                          <w:color w:val="FFFFFF" w:themeColor="background1"/>
                          <w:sz w:val="22"/>
                          <w:szCs w:val="22"/>
                          <w:rtl/>
                        </w:rPr>
                      </w:pPr>
                      <w:r w:rsidRPr="00A34CCC">
                        <w:rPr>
                          <w:rFonts w:ascii="Tahoma" w:hAnsi="Tahoma" w:cs="Tahoma"/>
                          <w:b/>
                          <w:bCs/>
                          <w:noProof/>
                          <w:color w:val="FFFFFF" w:themeColor="background1"/>
                          <w:sz w:val="22"/>
                          <w:szCs w:val="22"/>
                          <w:rtl/>
                        </w:rPr>
                        <w:t>אוניברסיטאות לרפואה בחו"ל, 2022</w:t>
                      </w:r>
                    </w:p>
                    <w:p w:rsidR="00B227D8" w:rsidRPr="005C7ABF" w:rsidP="00B227D8" w14:paraId="4E596012" w14:textId="72DCE2F0">
                      <w:pPr>
                        <w:pStyle w:val="7327"/>
                        <w:rPr>
                          <w:rtl/>
                        </w:rPr>
                      </w:pPr>
                    </w:p>
                  </w:txbxContent>
                </v:textbox>
              </v:shape>
            </w:pict>
          </mc:Fallback>
        </mc:AlternateContent>
      </w:r>
      <w:r w:rsidRPr="00D527BD">
        <w:rPr>
          <w:noProof/>
          <w:szCs w:val="20"/>
          <w:rtl/>
        </w:rPr>
        <w:drawing>
          <wp:anchor distT="0" distB="0" distL="114300" distR="114300" simplePos="0" relativeHeight="251703296" behindDoc="0" locked="0" layoutInCell="1" allowOverlap="1">
            <wp:simplePos x="0" y="0"/>
            <wp:positionH relativeFrom="column">
              <wp:posOffset>-58420</wp:posOffset>
            </wp:positionH>
            <wp:positionV relativeFrom="paragraph">
              <wp:posOffset>-33655</wp:posOffset>
            </wp:positionV>
            <wp:extent cx="4775102" cy="762619"/>
            <wp:effectExtent l="0" t="0" r="0" b="0"/>
            <wp:wrapNone/>
            <wp:docPr id="56" name="Picture 5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4">
                      <a:extLst>
                        <a:ext xmlns:a="http://schemas.openxmlformats.org/drawingml/2006/main" uri="{C183D7F6-B498-43B3-948B-1728B52AA6E4}">
                          <adec:decorative xmlns:adec="http://schemas.microsoft.com/office/drawing/2017/decorative" val="1"/>
                        </a:ext>
                      </a:extLst>
                    </pic:cNvPr>
                    <pic:cNvPicPr>
                      <a:picLocks noChangeAspect="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75102" cy="762619"/>
                    </a:xfrm>
                    <a:prstGeom prst="rect">
                      <a:avLst/>
                    </a:prstGeom>
                  </pic:spPr>
                </pic:pic>
              </a:graphicData>
            </a:graphic>
            <wp14:sizeRelH relativeFrom="margin">
              <wp14:pctWidth>0</wp14:pctWidth>
            </wp14:sizeRelH>
            <wp14:sizeRelV relativeFrom="margin">
              <wp14:pctHeight>0</wp14:pctHeight>
            </wp14:sizeRelV>
          </wp:anchor>
        </w:drawing>
      </w:r>
      <w:r>
        <w:rPr>
          <w:rtl/>
        </w:rPr>
        <w:t xml:space="preserve"> </w:t>
      </w:r>
    </w:p>
    <w:p w:rsidR="00B227D8" w:rsidP="00B227D8" w14:paraId="5D50C586" w14:textId="77777777">
      <w:pPr>
        <w:pStyle w:val="7315"/>
        <w:rPr>
          <w:rtl/>
        </w:rPr>
      </w:pPr>
    </w:p>
    <w:p w:rsidR="00B227D8" w:rsidRPr="00D57BE9" w:rsidP="00B227D8" w14:paraId="7EB68463" w14:textId="776CA45F">
      <w:pPr>
        <w:rPr>
          <w:rtl/>
        </w:rPr>
      </w:pPr>
      <w:r>
        <w:rPr>
          <w:noProof/>
        </w:rPr>
        <w:drawing>
          <wp:anchor distT="0" distB="0" distL="114300" distR="114300" simplePos="0" relativeHeight="251706368" behindDoc="0" locked="0" layoutInCell="1" allowOverlap="1">
            <wp:simplePos x="0" y="0"/>
            <wp:positionH relativeFrom="column">
              <wp:posOffset>798195</wp:posOffset>
            </wp:positionH>
            <wp:positionV relativeFrom="paragraph">
              <wp:posOffset>201930</wp:posOffset>
            </wp:positionV>
            <wp:extent cx="3058795" cy="4300220"/>
            <wp:effectExtent l="0" t="0" r="8255" b="5080"/>
            <wp:wrapTopAndBottom/>
            <wp:docPr id="27" name="תמונה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1"/>
                    <pic:cNvPicPr>
                      <a:picLocks noChangeAspect="1" noChangeArrowheads="1"/>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058795" cy="4300220"/>
                    </a:xfrm>
                    <a:prstGeom prst="rect">
                      <a:avLst/>
                    </a:prstGeom>
                    <a:noFill/>
                    <a:ln>
                      <a:noFill/>
                    </a:ln>
                  </pic:spPr>
                </pic:pic>
              </a:graphicData>
            </a:graphic>
          </wp:anchor>
        </w:drawing>
      </w:r>
    </w:p>
    <w:p w:rsidR="00B227D8" w:rsidRPr="00D57BE9" w:rsidP="00B227D8" w14:paraId="3B01BA95" w14:textId="1C43FDCF">
      <w:pPr>
        <w:rPr>
          <w:rtl/>
        </w:rPr>
      </w:pPr>
    </w:p>
    <w:p w:rsidR="00B227D8" w:rsidP="00B227D8" w14:paraId="70CFEA79" w14:textId="77777777">
      <w:pPr>
        <w:spacing w:line="240" w:lineRule="auto"/>
        <w:rPr>
          <w:rFonts w:ascii="Tahoma" w:hAnsi="Tahoma" w:cs="Tahoma"/>
          <w:sz w:val="16"/>
          <w:szCs w:val="16"/>
          <w:rtl/>
        </w:rPr>
      </w:pPr>
      <w:r w:rsidRPr="00572B42">
        <w:rPr>
          <w:rFonts w:ascii="Tahoma" w:hAnsi="Tahoma" w:cs="Tahoma" w:hint="cs"/>
          <w:sz w:val="16"/>
          <w:szCs w:val="16"/>
          <w:rtl/>
        </w:rPr>
        <w:t>על פי נתוני משרד הבריאות, בעיבוד משרד מבקר המדינה.</w:t>
      </w:r>
    </w:p>
    <w:p w:rsidR="00B227D8" w14:paraId="4C5FC044" w14:textId="448AA05D">
      <w:pPr>
        <w:bidi w:val="0"/>
        <w:spacing w:after="200" w:line="276" w:lineRule="auto"/>
        <w:rPr>
          <w:rFonts w:ascii="Tahoma" w:hAnsi="Tahoma" w:cs="Tahoma"/>
          <w:color w:val="0D0D0D" w:themeColor="text1" w:themeTint="F2"/>
          <w:sz w:val="16"/>
          <w:szCs w:val="16"/>
          <w:rtl/>
        </w:rPr>
      </w:pPr>
      <w:r>
        <w:rPr>
          <w:rtl/>
        </w:rPr>
        <w:br w:type="page"/>
      </w:r>
    </w:p>
    <w:p w:rsidR="004E71DD" w:rsidP="001D6BF7" w14:paraId="60AEFE54" w14:textId="17A98C0F">
      <w:pPr>
        <w:pStyle w:val="756"/>
        <w:rPr>
          <w:rtl/>
        </w:rPr>
      </w:pPr>
      <w:r w:rsidRPr="00EF3061">
        <w:rPr>
          <w:rFonts w:hint="cs"/>
          <w:rtl/>
        </w:rPr>
        <w:t>סיכום</w:t>
      </w:r>
    </w:p>
    <w:p w:rsidR="005E1558" w:rsidRPr="006C07A7" w:rsidP="005E1558" w14:paraId="4BE50A04" w14:textId="38BD4517">
      <w:pPr>
        <w:pStyle w:val="759"/>
        <w:rPr>
          <w:rtl/>
        </w:rPr>
      </w:pPr>
      <w:r w:rsidRPr="006C07A7">
        <w:rPr>
          <w:rtl/>
        </w:rPr>
        <w:t xml:space="preserve">שיעור הרופאים בישראל בשנת 2020 היה 3.3 רופאים ל-1,000 נפש, </w:t>
      </w:r>
      <w:r w:rsidRPr="006C07A7">
        <w:rPr>
          <w:rFonts w:hint="cs"/>
          <w:rtl/>
        </w:rPr>
        <w:t>קטן</w:t>
      </w:r>
      <w:r w:rsidRPr="006C07A7">
        <w:rPr>
          <w:rtl/>
        </w:rPr>
        <w:t xml:space="preserve"> מעט מממוצע ה-</w:t>
      </w:r>
      <w:r w:rsidRPr="006C07A7">
        <w:t>OECD - 3.7</w:t>
      </w:r>
      <w:r w:rsidRPr="006C07A7">
        <w:rPr>
          <w:rtl/>
        </w:rPr>
        <w:t xml:space="preserve"> רופאים ל-1,000 נפש. כפי שעלה מנתוניהם של נציבות שירות המדינה, משרד הבריאות וועדות מקצועיות, ניכר חוסר ברופאים מומחים במגוון תחומים </w:t>
      </w:r>
      <w:r w:rsidRPr="006C07A7">
        <w:rPr>
          <w:rFonts w:hint="cs"/>
          <w:rtl/>
        </w:rPr>
        <w:t>ובהם</w:t>
      </w:r>
      <w:r w:rsidRPr="006C07A7">
        <w:rPr>
          <w:rtl/>
        </w:rPr>
        <w:t xml:space="preserve"> </w:t>
      </w:r>
      <w:r w:rsidRPr="006C07A7">
        <w:rPr>
          <w:rtl/>
        </w:rPr>
        <w:t>גריאטרייה</w:t>
      </w:r>
      <w:r w:rsidRPr="006C07A7">
        <w:rPr>
          <w:rtl/>
        </w:rPr>
        <w:t xml:space="preserve">, </w:t>
      </w:r>
      <w:r w:rsidRPr="006C07A7">
        <w:rPr>
          <w:rFonts w:hint="cs"/>
          <w:rtl/>
        </w:rPr>
        <w:t>פסיכיאטרייה</w:t>
      </w:r>
      <w:r w:rsidRPr="006C07A7">
        <w:rPr>
          <w:rtl/>
        </w:rPr>
        <w:t xml:space="preserve">, הרדמה </w:t>
      </w:r>
      <w:r w:rsidRPr="005E1558">
        <w:rPr>
          <w:rFonts w:hint="cs"/>
          <w:rtl/>
        </w:rPr>
        <w:t>ו</w:t>
      </w:r>
      <w:r w:rsidRPr="005E1558">
        <w:rPr>
          <w:rtl/>
        </w:rPr>
        <w:t>טיפול</w:t>
      </w:r>
      <w:r w:rsidRPr="006C07A7">
        <w:rPr>
          <w:rtl/>
        </w:rPr>
        <w:t xml:space="preserve"> נמרץ. </w:t>
      </w:r>
      <w:r w:rsidRPr="006C07A7">
        <w:rPr>
          <w:rFonts w:hint="cs"/>
          <w:rtl/>
        </w:rPr>
        <w:t>ה</w:t>
      </w:r>
      <w:r w:rsidRPr="006C07A7">
        <w:rPr>
          <w:rtl/>
        </w:rPr>
        <w:t xml:space="preserve">מחסור ברופאים </w:t>
      </w:r>
      <w:r w:rsidRPr="006C07A7">
        <w:rPr>
          <w:rFonts w:hint="cs"/>
          <w:rtl/>
        </w:rPr>
        <w:t xml:space="preserve">במקצועות מסוימים </w:t>
      </w:r>
      <w:r w:rsidRPr="006C07A7">
        <w:rPr>
          <w:rtl/>
        </w:rPr>
        <w:t xml:space="preserve">יוצר תחרות קשה על כל רופא; פיתוי של מרכזים רפואיים חזקים לגייס רופאים על חשבון מרכזים חלשים ופריפריאליים; התארכות תורים וסגירת שירותים בפריפריה; וזינוק במחירי הרפואה הפרטית. כך כבר קורה </w:t>
      </w:r>
      <w:r w:rsidRPr="006C07A7">
        <w:rPr>
          <w:rFonts w:hint="cs"/>
          <w:rtl/>
        </w:rPr>
        <w:t xml:space="preserve">למשל </w:t>
      </w:r>
      <w:r w:rsidRPr="006C07A7">
        <w:rPr>
          <w:rtl/>
        </w:rPr>
        <w:t>בתחום בריאות הנפש, אבל נוכח המחסור הקיים והצפוי ברופאים בישראל, המצב עתיד להחריף לתחומי מומחיות נוספים ברפואה.</w:t>
      </w:r>
    </w:p>
    <w:p w:rsidR="005E1558" w:rsidRPr="006C07A7" w:rsidP="005E1558" w14:paraId="2CBE2B2C" w14:textId="747029EE">
      <w:pPr>
        <w:pStyle w:val="759"/>
        <w:rPr>
          <w:rtl/>
        </w:rPr>
      </w:pPr>
      <w:r w:rsidRPr="006C07A7">
        <w:rPr>
          <w:rtl/>
        </w:rPr>
        <w:t xml:space="preserve">מאז דוח הביקורת הקודם של משרד מבקר המדינה משנת 2018, </w:t>
      </w:r>
      <w:r w:rsidRPr="005E1558">
        <w:rPr>
          <w:rtl/>
        </w:rPr>
        <w:t>משרד</w:t>
      </w:r>
      <w:r w:rsidRPr="006C07A7">
        <w:rPr>
          <w:rtl/>
        </w:rPr>
        <w:t xml:space="preserve"> הבריאות העלה על סדר יומו את הגדלת מספר הרופאים בישראל, הוא פועל בדרכים שונות להשגת המטרה ואף פעל לתיקון חלק מהליקויים שעלו בדוח הקודם. עם זאת בביקורת המעקב עלו ליקויים מהותיים בהסדרת </w:t>
      </w:r>
      <w:r w:rsidRPr="005E1558">
        <w:rPr>
          <w:rtl/>
        </w:rPr>
        <w:t>ההכשרה</w:t>
      </w:r>
      <w:r w:rsidRPr="006C07A7">
        <w:rPr>
          <w:rtl/>
        </w:rPr>
        <w:t xml:space="preserve"> הקלינית של הרופאים</w:t>
      </w:r>
      <w:r w:rsidRPr="006C07A7">
        <w:rPr>
          <w:rFonts w:hint="cs"/>
          <w:rtl/>
        </w:rPr>
        <w:t>,</w:t>
      </w:r>
      <w:r w:rsidRPr="006C07A7">
        <w:rPr>
          <w:rtl/>
        </w:rPr>
        <w:t xml:space="preserve"> ובפרט בגיבוש מנגנון לתכנון אסטרטגי של כוח האדם הרפואי ובגיבוש תוכנית ארוכת טווח להגדלת מספר הרופאים בישראל, בתכנון מספר המומחים הנדרש בכל תחום מומחיות רפואי ובהערכת המחסור הצפוי בכל תחום בשנים הבאות, בהקצאה לאומית יעילה של השדות הקליניים בבתי החולים ובקהילה - שהם משאב לאומי</w:t>
      </w:r>
      <w:r w:rsidRPr="006C07A7">
        <w:rPr>
          <w:rFonts w:hint="cs"/>
          <w:rtl/>
        </w:rPr>
        <w:t xml:space="preserve">, </w:t>
      </w:r>
      <w:r w:rsidRPr="006C07A7">
        <w:rPr>
          <w:rtl/>
        </w:rPr>
        <w:t xml:space="preserve">בהסדרת שנת </w:t>
      </w:r>
      <w:r w:rsidRPr="006C07A7">
        <w:rPr>
          <w:rtl/>
        </w:rPr>
        <w:t>הסטז</w:t>
      </w:r>
      <w:r w:rsidRPr="006C07A7">
        <w:rPr>
          <w:rtl/>
        </w:rPr>
        <w:t>' ובקידום איכות לימודי הרפואה באמצעות שימוש בשיטות הוראה חדשניות.</w:t>
      </w:r>
    </w:p>
    <w:p w:rsidR="005E1558" w:rsidP="005E1558" w14:paraId="345FB66E" w14:textId="38D17327">
      <w:pPr>
        <w:pStyle w:val="759"/>
        <w:rPr>
          <w:rtl/>
        </w:rPr>
      </w:pPr>
      <w:r w:rsidRPr="006C07A7">
        <w:rPr>
          <w:rtl/>
        </w:rPr>
        <w:t xml:space="preserve">הצורך בהגדלת </w:t>
      </w:r>
      <w:r w:rsidRPr="005E1558">
        <w:rPr>
          <w:rtl/>
        </w:rPr>
        <w:t>מספר</w:t>
      </w:r>
      <w:r w:rsidRPr="006C07A7">
        <w:rPr>
          <w:rtl/>
        </w:rPr>
        <w:t xml:space="preserve"> הרופאים בישראל בכלל ובחלק מתחומי המומחיות בפרט וכן בחלוקתם באזורים שונים בארץ מחייב </w:t>
      </w:r>
      <w:r w:rsidRPr="006C07A7">
        <w:rPr>
          <w:rFonts w:hint="cs"/>
          <w:rtl/>
        </w:rPr>
        <w:t xml:space="preserve">את משרד הבריאות </w:t>
      </w:r>
      <w:r w:rsidRPr="006C07A7">
        <w:rPr>
          <w:rFonts w:hint="cs"/>
          <w:rtl/>
        </w:rPr>
        <w:t>והמל"ג</w:t>
      </w:r>
      <w:r w:rsidRPr="006C07A7">
        <w:rPr>
          <w:rFonts w:hint="cs"/>
          <w:rtl/>
        </w:rPr>
        <w:t xml:space="preserve"> לגבש </w:t>
      </w:r>
      <w:r w:rsidRPr="006C07A7">
        <w:rPr>
          <w:rtl/>
        </w:rPr>
        <w:t xml:space="preserve">תכנון אסטרטגי ארוך טווח של כוח האדם הרפואי, </w:t>
      </w:r>
      <w:r w:rsidRPr="006C07A7">
        <w:rPr>
          <w:rFonts w:hint="cs"/>
          <w:rtl/>
        </w:rPr>
        <w:t>ל</w:t>
      </w:r>
      <w:r w:rsidRPr="006C07A7">
        <w:rPr>
          <w:rtl/>
        </w:rPr>
        <w:t>קב</w:t>
      </w:r>
      <w:r w:rsidRPr="006C07A7">
        <w:rPr>
          <w:rFonts w:hint="cs"/>
          <w:rtl/>
        </w:rPr>
        <w:t>ו</w:t>
      </w:r>
      <w:r w:rsidRPr="006C07A7">
        <w:rPr>
          <w:rtl/>
        </w:rPr>
        <w:t xml:space="preserve">ע יעדים ברורים </w:t>
      </w:r>
      <w:r w:rsidRPr="006C07A7">
        <w:rPr>
          <w:rFonts w:hint="cs"/>
          <w:rtl/>
        </w:rPr>
        <w:t>ול</w:t>
      </w:r>
      <w:r w:rsidRPr="006C07A7">
        <w:rPr>
          <w:rtl/>
        </w:rPr>
        <w:t xml:space="preserve">גבש תוכנית עבודה להשגתם תוך הסרת החסמים הקיימים להפעלת </w:t>
      </w:r>
      <w:r w:rsidRPr="006C07A7">
        <w:rPr>
          <w:rFonts w:hint="cs"/>
          <w:rtl/>
        </w:rPr>
        <w:t xml:space="preserve">השדות הקליניים </w:t>
      </w:r>
      <w:r w:rsidRPr="006C07A7">
        <w:rPr>
          <w:rtl/>
        </w:rPr>
        <w:t>בקהילה ותקצוב</w:t>
      </w:r>
      <w:r w:rsidRPr="006C07A7">
        <w:rPr>
          <w:rFonts w:hint="cs"/>
          <w:rtl/>
        </w:rPr>
        <w:t>ם</w:t>
      </w:r>
      <w:r w:rsidRPr="006C07A7">
        <w:rPr>
          <w:rtl/>
        </w:rPr>
        <w:t xml:space="preserve"> בהתאם. מומלץ כי שר הבריאות ו</w:t>
      </w:r>
      <w:r w:rsidRPr="006C07A7">
        <w:rPr>
          <w:rFonts w:hint="cs"/>
          <w:rtl/>
        </w:rPr>
        <w:t xml:space="preserve">שר </w:t>
      </w:r>
      <w:r w:rsidRPr="006C07A7">
        <w:rPr>
          <w:rtl/>
        </w:rPr>
        <w:t>החינוך</w:t>
      </w:r>
      <w:r w:rsidRPr="006C07A7">
        <w:rPr>
          <w:rFonts w:hint="cs"/>
          <w:rtl/>
        </w:rPr>
        <w:t xml:space="preserve"> בתפקידו כיו"ר </w:t>
      </w:r>
      <w:r w:rsidRPr="006C07A7">
        <w:rPr>
          <w:rFonts w:hint="cs"/>
          <w:rtl/>
        </w:rPr>
        <w:t>המל"ג</w:t>
      </w:r>
      <w:r w:rsidRPr="006C07A7">
        <w:rPr>
          <w:rtl/>
        </w:rPr>
        <w:t xml:space="preserve"> יעקבו אחר תיקון הליקויים שעלו בדוח זה, כדי להבטיח את הגדלת מספר הרופאים והסדרת הכשרתם</w:t>
      </w:r>
      <w:r w:rsidRPr="006C07A7">
        <w:rPr>
          <w:rFonts w:hint="cs"/>
          <w:rtl/>
        </w:rPr>
        <w:t>, ואלה</w:t>
      </w:r>
      <w:r w:rsidRPr="006C07A7">
        <w:rPr>
          <w:rtl/>
        </w:rPr>
        <w:t xml:space="preserve"> יאפשרו להעניק שירות רפואי מיטבי לכל תושבי מדינת ישראל</w:t>
      </w:r>
      <w:r w:rsidRPr="003F0C8F" w:rsidR="00235CF1">
        <w:rPr>
          <w:rtl/>
        </w:rPr>
        <w:t>.</w:t>
      </w:r>
    </w:p>
    <w:p w:rsidR="00767502" w:rsidP="005E1558" w14:paraId="563B6E37" w14:textId="41002606">
      <w:pPr>
        <w:pStyle w:val="759"/>
        <w:rPr>
          <w:rtl/>
        </w:rPr>
      </w:pPr>
    </w:p>
    <w:p w:rsidR="00767502" w:rsidP="005E1558" w14:paraId="3DBF7930" w14:textId="75990B70">
      <w:pPr>
        <w:pStyle w:val="759"/>
        <w:rPr>
          <w:rtl/>
        </w:rPr>
      </w:pPr>
    </w:p>
    <w:p w:rsidR="00767502" w:rsidP="005E1558" w14:paraId="0B58C233" w14:textId="671ED167">
      <w:pPr>
        <w:pStyle w:val="759"/>
        <w:rPr>
          <w:rtl/>
        </w:rPr>
      </w:pPr>
    </w:p>
    <w:p w:rsidR="00767502" w:rsidP="005E1558" w14:paraId="24544312" w14:textId="4F9DDD88">
      <w:pPr>
        <w:pStyle w:val="759"/>
        <w:rPr>
          <w:rtl/>
        </w:rPr>
      </w:pPr>
    </w:p>
    <w:p w:rsidR="00767502" w:rsidP="005E1558" w14:paraId="76489BFF" w14:textId="5A956D90">
      <w:pPr>
        <w:pStyle w:val="759"/>
        <w:rPr>
          <w:rtl/>
        </w:rPr>
      </w:pPr>
    </w:p>
    <w:p w:rsidR="00767502" w:rsidP="005E1558" w14:paraId="319904C1" w14:textId="565838FA">
      <w:pPr>
        <w:pStyle w:val="759"/>
        <w:rPr>
          <w:rtl/>
        </w:rPr>
      </w:pPr>
    </w:p>
    <w:p w:rsidR="00767502" w:rsidP="005E1558" w14:paraId="118EB8FF" w14:textId="2B5BD0E0">
      <w:pPr>
        <w:pStyle w:val="759"/>
        <w:rPr>
          <w:rtl/>
        </w:rPr>
      </w:pPr>
    </w:p>
    <w:p w:rsidR="00767502" w:rsidP="005E1558" w14:paraId="7C68EABA" w14:textId="6001DB1A">
      <w:pPr>
        <w:pStyle w:val="759"/>
        <w:rPr>
          <w:rtl/>
        </w:rPr>
      </w:pPr>
    </w:p>
    <w:p w:rsidR="00BA7B4B" w:rsidP="005E1558" w14:paraId="5FDA3CDD" w14:textId="59DB6E07">
      <w:pPr>
        <w:pStyle w:val="759"/>
        <w:rPr>
          <w:rtl/>
        </w:rPr>
      </w:pPr>
      <w:r w:rsidRPr="00BA7B4B">
        <w:rPr>
          <w:noProof/>
          <w:rtl/>
        </w:rPr>
        <mc:AlternateContent>
          <mc:Choice Requires="wps">
            <w:drawing>
              <wp:anchor distT="0" distB="0" distL="114300" distR="114300" simplePos="0" relativeHeight="251707392" behindDoc="0" locked="0" layoutInCell="1" allowOverlap="1">
                <wp:simplePos x="0" y="0"/>
                <wp:positionH relativeFrom="column">
                  <wp:posOffset>234315</wp:posOffset>
                </wp:positionH>
                <wp:positionV relativeFrom="paragraph">
                  <wp:posOffset>39370</wp:posOffset>
                </wp:positionV>
                <wp:extent cx="4436745" cy="342900"/>
                <wp:effectExtent l="0" t="0" r="1905" b="0"/>
                <wp:wrapNone/>
                <wp:docPr id="111357588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36745" cy="342900"/>
                        </a:xfrm>
                        <a:prstGeom prst="rect">
                          <a:avLst/>
                        </a:prstGeom>
                        <a:solidFill>
                          <a:srgbClr val="F05260"/>
                        </a:solidFill>
                        <a:ln w="9525">
                          <a:noFill/>
                          <a:miter lim="800000"/>
                          <a:headEnd/>
                          <a:tailEnd/>
                        </a:ln>
                      </wps:spPr>
                      <wps:txbx>
                        <w:txbxContent>
                          <w:p w:rsidR="00BA7B4B" w:rsidRPr="00A34CCC" w:rsidP="00BA7B4B" w14:textId="77777777">
                            <w:pPr>
                              <w:spacing w:after="120" w:line="288" w:lineRule="auto"/>
                              <w:ind w:left="312"/>
                              <w:jc w:val="left"/>
                              <w:rPr>
                                <w:rFonts w:ascii="Tahoma" w:hAnsi="Tahoma" w:cs="Tahoma"/>
                                <w:color w:val="FFFFFF" w:themeColor="background1"/>
                                <w:sz w:val="22"/>
                                <w:szCs w:val="22"/>
                                <w:rtl/>
                              </w:rPr>
                            </w:pPr>
                            <w:r>
                              <w:rPr>
                                <w:rFonts w:ascii="Tahoma" w:hAnsi="Tahoma" w:cs="Tahoma" w:hint="cs"/>
                                <w:b/>
                                <w:bCs/>
                                <w:noProof/>
                                <w:color w:val="FFFFFF" w:themeColor="background1"/>
                                <w:sz w:val="22"/>
                                <w:szCs w:val="22"/>
                                <w:rtl/>
                              </w:rPr>
                              <w:t>מיד</w:t>
                            </w:r>
                            <w:r w:rsidRPr="006C4033">
                              <w:rPr>
                                <w:rFonts w:ascii="Tahoma" w:hAnsi="Tahoma" w:cs="Tahoma" w:hint="cs"/>
                                <w:b/>
                                <w:bCs/>
                                <w:noProof/>
                                <w:color w:val="FFFFFF" w:themeColor="background1"/>
                                <w:sz w:val="22"/>
                                <w:szCs w:val="22"/>
                                <w:rtl/>
                              </w:rPr>
                              <w:t>ת</w:t>
                            </w:r>
                            <w:r>
                              <w:rPr>
                                <w:rFonts w:ascii="Tahoma" w:hAnsi="Tahoma" w:cs="Tahoma" w:hint="cs"/>
                                <w:b/>
                                <w:bCs/>
                                <w:noProof/>
                                <w:color w:val="FFFFFF" w:themeColor="background1"/>
                                <w:sz w:val="22"/>
                                <w:szCs w:val="22"/>
                                <w:rtl/>
                              </w:rPr>
                              <w:t xml:space="preserve"> תיקון עיקרי הליקויים שעלו בדוח הקודם</w:t>
                            </w:r>
                          </w:p>
                          <w:p w:rsidR="00BA7B4B" w:rsidRPr="005C7ABF" w:rsidP="00BA7B4B" w14:textId="77777777">
                            <w:pPr>
                              <w:pStyle w:val="7327"/>
                              <w:rPr>
                                <w:rtl/>
                              </w:rPr>
                            </w:pP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35" type="#_x0000_t202" style="width:349.35pt;height:27pt;margin-top:3.1pt;margin-left:18.45pt;mso-height-percent:0;mso-height-relative:margin;mso-width-percent:0;mso-width-relative:margin;mso-wrap-distance-bottom:0;mso-wrap-distance-left:9pt;mso-wrap-distance-right:9pt;mso-wrap-distance-top:0;mso-wrap-style:square;position:absolute;visibility:visible;v-text-anchor:middle;z-index:251708416" fillcolor="#f05260" stroked="f">
                <v:textbox>
                  <w:txbxContent>
                    <w:p w:rsidR="00BA7B4B" w:rsidRPr="00A34CCC" w:rsidP="00BA7B4B" w14:paraId="528514DD" w14:textId="77777777">
                      <w:pPr>
                        <w:spacing w:after="120" w:line="288" w:lineRule="auto"/>
                        <w:ind w:left="312"/>
                        <w:jc w:val="left"/>
                        <w:rPr>
                          <w:rFonts w:ascii="Tahoma" w:hAnsi="Tahoma" w:cs="Tahoma"/>
                          <w:color w:val="FFFFFF" w:themeColor="background1"/>
                          <w:sz w:val="22"/>
                          <w:szCs w:val="22"/>
                          <w:rtl/>
                        </w:rPr>
                      </w:pPr>
                      <w:r>
                        <w:rPr>
                          <w:rFonts w:ascii="Tahoma" w:hAnsi="Tahoma" w:cs="Tahoma" w:hint="cs"/>
                          <w:b/>
                          <w:bCs/>
                          <w:noProof/>
                          <w:color w:val="FFFFFF" w:themeColor="background1"/>
                          <w:sz w:val="22"/>
                          <w:szCs w:val="22"/>
                          <w:rtl/>
                        </w:rPr>
                        <w:t>מיד</w:t>
                      </w:r>
                      <w:r w:rsidRPr="006C4033">
                        <w:rPr>
                          <w:rFonts w:ascii="Tahoma" w:hAnsi="Tahoma" w:cs="Tahoma" w:hint="cs"/>
                          <w:b/>
                          <w:bCs/>
                          <w:noProof/>
                          <w:color w:val="FFFFFF" w:themeColor="background1"/>
                          <w:sz w:val="22"/>
                          <w:szCs w:val="22"/>
                          <w:rtl/>
                        </w:rPr>
                        <w:t>ת</w:t>
                      </w:r>
                      <w:r>
                        <w:rPr>
                          <w:rFonts w:ascii="Tahoma" w:hAnsi="Tahoma" w:cs="Tahoma" w:hint="cs"/>
                          <w:b/>
                          <w:bCs/>
                          <w:noProof/>
                          <w:color w:val="FFFFFF" w:themeColor="background1"/>
                          <w:sz w:val="22"/>
                          <w:szCs w:val="22"/>
                          <w:rtl/>
                        </w:rPr>
                        <w:t xml:space="preserve"> תיקון עיקרי הליקויים שעלו בדוח הקודם</w:t>
                      </w:r>
                    </w:p>
                    <w:p w:rsidR="00BA7B4B" w:rsidRPr="005C7ABF" w:rsidP="00BA7B4B" w14:paraId="567E42F1" w14:textId="77777777">
                      <w:pPr>
                        <w:pStyle w:val="7327"/>
                        <w:rPr>
                          <w:rtl/>
                        </w:rPr>
                      </w:pPr>
                    </w:p>
                  </w:txbxContent>
                </v:textbox>
              </v:shape>
            </w:pict>
          </mc:Fallback>
        </mc:AlternateContent>
      </w:r>
      <w:r w:rsidRPr="00BA7B4B">
        <w:rPr>
          <w:noProof/>
          <w:rtl/>
        </w:rPr>
        <w:drawing>
          <wp:anchor distT="0" distB="0" distL="114300" distR="114300" simplePos="0" relativeHeight="251658240" behindDoc="0" locked="0" layoutInCell="1" allowOverlap="1">
            <wp:simplePos x="0" y="0"/>
            <wp:positionH relativeFrom="column">
              <wp:posOffset>1270</wp:posOffset>
            </wp:positionH>
            <wp:positionV relativeFrom="paragraph">
              <wp:posOffset>-96520</wp:posOffset>
            </wp:positionV>
            <wp:extent cx="4774565" cy="704850"/>
            <wp:effectExtent l="0" t="0" r="6985" b="0"/>
            <wp:wrapNone/>
            <wp:docPr id="1113575882" name="Picture 5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75882" name="Picture 54">
                      <a:extLst>
                        <a:ext xmlns:a="http://schemas.openxmlformats.org/drawingml/2006/main" uri="{C183D7F6-B498-43B3-948B-1728B52AA6E4}">
                          <adec:decorative xmlns:adec="http://schemas.microsoft.com/office/drawing/2017/decorative" val="1"/>
                        </a:ext>
                      </a:extLst>
                    </pic:cNvPr>
                    <pic:cNvPicPr>
                      <a:picLocks noChangeAspect="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74565" cy="704850"/>
                    </a:xfrm>
                    <a:prstGeom prst="rect">
                      <a:avLst/>
                    </a:prstGeom>
                  </pic:spPr>
                </pic:pic>
              </a:graphicData>
            </a:graphic>
            <wp14:sizeRelH relativeFrom="margin">
              <wp14:pctWidth>0</wp14:pctWidth>
            </wp14:sizeRelH>
            <wp14:sizeRelV relativeFrom="margin">
              <wp14:pctHeight>0</wp14:pctHeight>
            </wp14:sizeRelV>
          </wp:anchor>
        </w:drawing>
      </w:r>
    </w:p>
    <w:p w:rsidR="00BA7B4B" w:rsidP="005E1558" w14:paraId="2C0EE572" w14:textId="7C741B38">
      <w:pPr>
        <w:pStyle w:val="759"/>
        <w:rPr>
          <w:rtl/>
        </w:rPr>
      </w:pPr>
    </w:p>
    <w:tbl>
      <w:tblPr>
        <w:tblStyle w:val="TableGrid"/>
        <w:bidiVisual/>
        <w:tblW w:w="7366" w:type="dxa"/>
        <w:jc w:val="center"/>
        <w:tblLook w:val="04A0"/>
      </w:tblPr>
      <w:tblGrid>
        <w:gridCol w:w="1374"/>
        <w:gridCol w:w="997"/>
        <w:gridCol w:w="1889"/>
        <w:gridCol w:w="720"/>
        <w:gridCol w:w="786"/>
        <w:gridCol w:w="6"/>
        <w:gridCol w:w="765"/>
        <w:gridCol w:w="829"/>
      </w:tblGrid>
      <w:tr w14:paraId="238EE978" w14:textId="77777777" w:rsidTr="00146402">
        <w:tblPrEx>
          <w:tblW w:w="7366" w:type="dxa"/>
          <w:jc w:val="center"/>
          <w:tblLook w:val="04A0"/>
        </w:tblPrEx>
        <w:trPr>
          <w:tblHeader/>
          <w:jc w:val="center"/>
        </w:trPr>
        <w:tc>
          <w:tcPr>
            <w:tcW w:w="1375" w:type="dxa"/>
            <w:vMerge w:val="restart"/>
            <w:tcBorders>
              <w:top w:val="nil"/>
              <w:left w:val="single" w:sz="2" w:space="0" w:color="auto"/>
              <w:bottom w:val="single" w:sz="2" w:space="0" w:color="auto"/>
              <w:right w:val="single" w:sz="2" w:space="0" w:color="auto"/>
            </w:tcBorders>
            <w:shd w:val="clear" w:color="auto" w:fill="C6DCE4"/>
            <w:vAlign w:val="bottom"/>
          </w:tcPr>
          <w:p w:rsidR="0052209E" w:rsidP="002937B5" w14:paraId="39508805" w14:textId="28220BEA">
            <w:pPr>
              <w:pStyle w:val="71R"/>
              <w:rPr>
                <w:b/>
                <w:bCs/>
                <w:rtl/>
              </w:rPr>
            </w:pPr>
            <w:r>
              <w:rPr>
                <w:rtl/>
              </w:rPr>
              <w:br w:type="page"/>
            </w:r>
          </w:p>
          <w:p w:rsidR="0052209E" w:rsidP="002937B5" w14:paraId="617EFDAF" w14:textId="77777777">
            <w:pPr>
              <w:pStyle w:val="71R"/>
              <w:rPr>
                <w:b/>
                <w:bCs/>
                <w:rtl/>
              </w:rPr>
            </w:pPr>
          </w:p>
          <w:p w:rsidR="0052209E" w:rsidRPr="00B334E3" w:rsidP="002937B5" w14:paraId="5FD7028E" w14:textId="77777777">
            <w:pPr>
              <w:pStyle w:val="71R"/>
              <w:rPr>
                <w:b/>
                <w:bCs/>
                <w:sz w:val="17"/>
                <w:szCs w:val="17"/>
                <w:rtl/>
              </w:rPr>
            </w:pPr>
            <w:r w:rsidRPr="00B334E3">
              <w:rPr>
                <w:b/>
                <w:bCs/>
                <w:sz w:val="17"/>
                <w:szCs w:val="17"/>
                <w:rtl/>
              </w:rPr>
              <w:t>פרק הביקורת</w:t>
            </w:r>
          </w:p>
        </w:tc>
        <w:tc>
          <w:tcPr>
            <w:tcW w:w="997" w:type="dxa"/>
            <w:vMerge w:val="restart"/>
            <w:tcBorders>
              <w:top w:val="nil"/>
              <w:left w:val="single" w:sz="2" w:space="0" w:color="auto"/>
              <w:bottom w:val="single" w:sz="2" w:space="0" w:color="auto"/>
              <w:right w:val="single" w:sz="2" w:space="0" w:color="auto"/>
            </w:tcBorders>
            <w:shd w:val="clear" w:color="auto" w:fill="C6DCE4"/>
            <w:vAlign w:val="bottom"/>
          </w:tcPr>
          <w:p w:rsidR="0052209E" w:rsidP="002937B5" w14:paraId="5689F593" w14:textId="77777777">
            <w:pPr>
              <w:pStyle w:val="71R"/>
              <w:rPr>
                <w:b/>
                <w:bCs/>
                <w:rtl/>
              </w:rPr>
            </w:pPr>
          </w:p>
          <w:p w:rsidR="0052209E" w:rsidP="002937B5" w14:paraId="524919CE" w14:textId="77777777">
            <w:pPr>
              <w:pStyle w:val="71R"/>
              <w:rPr>
                <w:b/>
                <w:bCs/>
                <w:rtl/>
              </w:rPr>
            </w:pPr>
          </w:p>
          <w:p w:rsidR="0052209E" w:rsidP="002937B5" w14:paraId="7D9F9623" w14:textId="3C3EDA4A">
            <w:pPr>
              <w:pStyle w:val="71R"/>
              <w:rPr>
                <w:b/>
                <w:bCs/>
                <w:rtl/>
              </w:rPr>
            </w:pPr>
            <w:r w:rsidRPr="00B334E3">
              <w:rPr>
                <w:rFonts w:hint="cs"/>
                <w:b/>
                <w:bCs/>
                <w:sz w:val="17"/>
                <w:szCs w:val="17"/>
                <w:rtl/>
              </w:rPr>
              <w:t>הגוף המבוקר</w:t>
            </w:r>
          </w:p>
        </w:tc>
        <w:tc>
          <w:tcPr>
            <w:tcW w:w="1956" w:type="dxa"/>
            <w:vMerge w:val="restart"/>
            <w:tcBorders>
              <w:top w:val="nil"/>
              <w:left w:val="single" w:sz="2" w:space="0" w:color="auto"/>
              <w:bottom w:val="single" w:sz="2" w:space="0" w:color="auto"/>
              <w:right w:val="single" w:sz="2" w:space="0" w:color="auto"/>
            </w:tcBorders>
            <w:shd w:val="clear" w:color="auto" w:fill="C6DCE4"/>
            <w:vAlign w:val="bottom"/>
          </w:tcPr>
          <w:p w:rsidR="0052209E" w:rsidRPr="00D9313A" w:rsidP="002937B5" w14:paraId="3C62AA4C" w14:textId="45D3F74B">
            <w:pPr>
              <w:pStyle w:val="71R"/>
              <w:rPr>
                <w:b/>
                <w:bCs/>
                <w:rtl/>
              </w:rPr>
            </w:pPr>
            <w:r w:rsidRPr="00B334E3">
              <w:rPr>
                <w:b/>
                <w:bCs/>
                <w:sz w:val="17"/>
                <w:szCs w:val="17"/>
                <w:rtl/>
              </w:rPr>
              <w:t>הליקוי בדוח הביקורת הקודם</w:t>
            </w:r>
          </w:p>
        </w:tc>
        <w:tc>
          <w:tcPr>
            <w:tcW w:w="3038" w:type="dxa"/>
            <w:gridSpan w:val="5"/>
            <w:tcBorders>
              <w:top w:val="nil"/>
              <w:left w:val="single" w:sz="2" w:space="0" w:color="auto"/>
              <w:bottom w:val="nil"/>
              <w:right w:val="single" w:sz="2" w:space="0" w:color="auto"/>
            </w:tcBorders>
            <w:shd w:val="clear" w:color="auto" w:fill="C6DCE4"/>
          </w:tcPr>
          <w:p w:rsidR="0052209E" w:rsidRPr="00B334E3" w:rsidP="00FF0729" w14:paraId="302C037F" w14:textId="55B62A67">
            <w:pPr>
              <w:pStyle w:val="71R"/>
              <w:spacing w:after="0"/>
              <w:jc w:val="center"/>
              <w:rPr>
                <w:b/>
                <w:bCs/>
                <w:sz w:val="17"/>
                <w:szCs w:val="17"/>
                <w:rtl/>
              </w:rPr>
            </w:pPr>
            <w:r w:rsidRPr="00B334E3">
              <w:rPr>
                <w:b/>
                <w:bCs/>
                <w:sz w:val="17"/>
                <w:szCs w:val="17"/>
                <w:rtl/>
              </w:rPr>
              <w:t>מידת תיקון הליקוי</w:t>
            </w:r>
            <w:r w:rsidRPr="00B334E3" w:rsidR="00C65077">
              <w:rPr>
                <w:rFonts w:hint="cs"/>
                <w:b/>
                <w:bCs/>
                <w:sz w:val="17"/>
                <w:szCs w:val="17"/>
                <w:rtl/>
              </w:rPr>
              <w:t xml:space="preserve"> </w:t>
            </w:r>
            <w:r w:rsidRPr="00B334E3" w:rsidR="00C65077">
              <w:rPr>
                <w:b/>
                <w:bCs/>
                <w:sz w:val="17"/>
                <w:szCs w:val="17"/>
                <w:rtl/>
              </w:rPr>
              <w:t>כפי שעלה בביקורת המעקב</w:t>
            </w:r>
          </w:p>
        </w:tc>
      </w:tr>
      <w:tr w14:paraId="38D2ECFB" w14:textId="77777777" w:rsidTr="00146402">
        <w:tblPrEx>
          <w:tblW w:w="7366" w:type="dxa"/>
          <w:jc w:val="center"/>
          <w:tblLook w:val="04A0"/>
        </w:tblPrEx>
        <w:trPr>
          <w:tblHeader/>
          <w:jc w:val="center"/>
        </w:trPr>
        <w:tc>
          <w:tcPr>
            <w:tcW w:w="1375" w:type="dxa"/>
            <w:vMerge/>
            <w:tcBorders>
              <w:top w:val="single" w:sz="2" w:space="0" w:color="auto"/>
              <w:left w:val="single" w:sz="2" w:space="0" w:color="auto"/>
              <w:bottom w:val="single" w:sz="2" w:space="0" w:color="auto"/>
              <w:right w:val="single" w:sz="2" w:space="0" w:color="auto"/>
            </w:tcBorders>
            <w:shd w:val="clear" w:color="auto" w:fill="DBE8EE"/>
          </w:tcPr>
          <w:p w:rsidR="0052209E" w:rsidRPr="0027392D" w:rsidP="00DB23D7" w14:paraId="3C9F5B43" w14:textId="77777777">
            <w:pPr>
              <w:pStyle w:val="71R"/>
              <w:rPr>
                <w:rtl/>
              </w:rPr>
            </w:pPr>
          </w:p>
        </w:tc>
        <w:tc>
          <w:tcPr>
            <w:tcW w:w="997" w:type="dxa"/>
            <w:vMerge/>
            <w:tcBorders>
              <w:top w:val="single" w:sz="2" w:space="0" w:color="auto"/>
              <w:left w:val="single" w:sz="2" w:space="0" w:color="auto"/>
              <w:bottom w:val="single" w:sz="2" w:space="0" w:color="auto"/>
              <w:right w:val="single" w:sz="2" w:space="0" w:color="auto"/>
            </w:tcBorders>
            <w:shd w:val="clear" w:color="auto" w:fill="DBE8EE"/>
          </w:tcPr>
          <w:p w:rsidR="0052209E" w:rsidRPr="0027392D" w:rsidP="00DB23D7" w14:paraId="0F16ED70" w14:textId="77777777">
            <w:pPr>
              <w:pStyle w:val="71R"/>
              <w:rPr>
                <w:rtl/>
              </w:rPr>
            </w:pPr>
          </w:p>
        </w:tc>
        <w:tc>
          <w:tcPr>
            <w:tcW w:w="1956" w:type="dxa"/>
            <w:vMerge/>
            <w:tcBorders>
              <w:top w:val="single" w:sz="2" w:space="0" w:color="auto"/>
              <w:left w:val="single" w:sz="2" w:space="0" w:color="auto"/>
              <w:bottom w:val="single" w:sz="2" w:space="0" w:color="auto"/>
              <w:right w:val="single" w:sz="2" w:space="0" w:color="auto"/>
            </w:tcBorders>
            <w:shd w:val="clear" w:color="auto" w:fill="DBE8EE"/>
          </w:tcPr>
          <w:p w:rsidR="0052209E" w:rsidRPr="0027392D" w:rsidP="00DB23D7" w14:paraId="487CFBCC" w14:textId="0323CA5C">
            <w:pPr>
              <w:pStyle w:val="71R"/>
              <w:rPr>
                <w:rtl/>
              </w:rPr>
            </w:pPr>
          </w:p>
        </w:tc>
        <w:tc>
          <w:tcPr>
            <w:tcW w:w="735" w:type="dxa"/>
            <w:tcBorders>
              <w:top w:val="nil"/>
              <w:left w:val="single" w:sz="2" w:space="0" w:color="auto"/>
              <w:bottom w:val="single" w:sz="2" w:space="0" w:color="auto"/>
            </w:tcBorders>
            <w:shd w:val="clear" w:color="auto" w:fill="FF0B00"/>
          </w:tcPr>
          <w:p w:rsidR="0052209E" w:rsidRPr="00CF7740" w:rsidP="00DB23D7" w14:paraId="7DD48E82" w14:textId="77777777">
            <w:pPr>
              <w:pStyle w:val="71R"/>
              <w:rPr>
                <w:b/>
                <w:bCs/>
                <w:sz w:val="17"/>
                <w:szCs w:val="17"/>
                <w:rtl/>
              </w:rPr>
            </w:pPr>
            <w:r w:rsidRPr="00CF7740">
              <w:rPr>
                <w:b/>
                <w:bCs/>
                <w:sz w:val="17"/>
                <w:szCs w:val="17"/>
                <w:rtl/>
              </w:rPr>
              <w:t xml:space="preserve">לא </w:t>
            </w:r>
            <w:r w:rsidRPr="00CF7740">
              <w:rPr>
                <w:rFonts w:hint="cs"/>
                <w:b/>
                <w:bCs/>
                <w:sz w:val="17"/>
                <w:szCs w:val="17"/>
                <w:rtl/>
              </w:rPr>
              <w:t xml:space="preserve">    </w:t>
            </w:r>
            <w:r w:rsidRPr="00CF7740">
              <w:rPr>
                <w:b/>
                <w:bCs/>
                <w:sz w:val="17"/>
                <w:szCs w:val="17"/>
                <w:rtl/>
              </w:rPr>
              <w:t>תוקן</w:t>
            </w:r>
          </w:p>
        </w:tc>
        <w:tc>
          <w:tcPr>
            <w:tcW w:w="758" w:type="dxa"/>
            <w:gridSpan w:val="2"/>
            <w:tcBorders>
              <w:top w:val="nil"/>
              <w:bottom w:val="single" w:sz="2" w:space="0" w:color="auto"/>
            </w:tcBorders>
            <w:shd w:val="clear" w:color="auto" w:fill="FFC002"/>
          </w:tcPr>
          <w:p w:rsidR="0052209E" w:rsidRPr="00CF7740" w:rsidP="00DB23D7" w14:paraId="5E6C036A" w14:textId="7E9951CE">
            <w:pPr>
              <w:pStyle w:val="71R"/>
              <w:rPr>
                <w:b/>
                <w:bCs/>
                <w:sz w:val="17"/>
                <w:szCs w:val="17"/>
                <w:rtl/>
              </w:rPr>
            </w:pPr>
            <w:r w:rsidRPr="00CF7740">
              <w:rPr>
                <w:b/>
                <w:bCs/>
                <w:sz w:val="17"/>
                <w:szCs w:val="17"/>
                <w:rtl/>
              </w:rPr>
              <w:t>תוקן במידה מועטה</w:t>
            </w:r>
          </w:p>
        </w:tc>
        <w:tc>
          <w:tcPr>
            <w:tcW w:w="701" w:type="dxa"/>
            <w:tcBorders>
              <w:top w:val="nil"/>
              <w:bottom w:val="single" w:sz="2" w:space="0" w:color="auto"/>
            </w:tcBorders>
            <w:shd w:val="clear" w:color="auto" w:fill="FDF000"/>
          </w:tcPr>
          <w:p w:rsidR="0052209E" w:rsidRPr="00CF7740" w:rsidP="00DB23D7" w14:paraId="70CBF2D0" w14:textId="68812C94">
            <w:pPr>
              <w:pStyle w:val="71R"/>
              <w:rPr>
                <w:b/>
                <w:bCs/>
                <w:sz w:val="17"/>
                <w:szCs w:val="17"/>
                <w:rtl/>
              </w:rPr>
            </w:pPr>
            <w:r w:rsidRPr="00CF7740">
              <w:rPr>
                <w:b/>
                <w:bCs/>
                <w:sz w:val="17"/>
                <w:szCs w:val="17"/>
                <w:rtl/>
              </w:rPr>
              <w:t>תוקן במידה רבה</w:t>
            </w:r>
          </w:p>
        </w:tc>
        <w:tc>
          <w:tcPr>
            <w:tcW w:w="844" w:type="dxa"/>
            <w:tcBorders>
              <w:top w:val="nil"/>
              <w:bottom w:val="single" w:sz="2" w:space="0" w:color="auto"/>
              <w:right w:val="single" w:sz="2" w:space="0" w:color="auto"/>
            </w:tcBorders>
            <w:shd w:val="clear" w:color="auto" w:fill="91CE50"/>
          </w:tcPr>
          <w:p w:rsidR="0052209E" w:rsidRPr="00CF7740" w:rsidP="00DB23D7" w14:paraId="5B2F18B0" w14:textId="77777777">
            <w:pPr>
              <w:pStyle w:val="71R"/>
              <w:rPr>
                <w:b/>
                <w:bCs/>
                <w:sz w:val="17"/>
                <w:szCs w:val="17"/>
                <w:rtl/>
              </w:rPr>
            </w:pPr>
            <w:r w:rsidRPr="00CF7740">
              <w:rPr>
                <w:b/>
                <w:bCs/>
                <w:sz w:val="17"/>
                <w:szCs w:val="17"/>
                <w:rtl/>
              </w:rPr>
              <w:t>תוקן באופן מלא</w:t>
            </w:r>
          </w:p>
        </w:tc>
      </w:tr>
      <w:tr w14:paraId="1A74F065" w14:textId="77777777" w:rsidTr="00146402">
        <w:tblPrEx>
          <w:tblW w:w="7366" w:type="dxa"/>
          <w:jc w:val="center"/>
          <w:tblLook w:val="04A0"/>
        </w:tblPrEx>
        <w:trPr>
          <w:jc w:val="center"/>
        </w:trPr>
        <w:tc>
          <w:tcPr>
            <w:tcW w:w="1375" w:type="dxa"/>
            <w:vMerge w:val="restart"/>
            <w:tcBorders>
              <w:top w:val="single" w:sz="2" w:space="0" w:color="auto"/>
              <w:left w:val="single" w:sz="2" w:space="0" w:color="auto"/>
              <w:bottom w:val="single" w:sz="2" w:space="0" w:color="auto"/>
              <w:right w:val="single" w:sz="2" w:space="0" w:color="auto"/>
            </w:tcBorders>
            <w:shd w:val="clear" w:color="auto" w:fill="DBE8EE"/>
          </w:tcPr>
          <w:p w:rsidR="003A065D" w:rsidRPr="004737E7" w:rsidP="006B1D79" w14:paraId="0EDA393F" w14:textId="69C7692E">
            <w:pPr>
              <w:pStyle w:val="71R"/>
              <w:spacing w:before="0" w:after="0"/>
              <w:rPr>
                <w:b/>
                <w:sz w:val="17"/>
                <w:szCs w:val="17"/>
                <w:rtl/>
              </w:rPr>
            </w:pPr>
            <w:r w:rsidRPr="004737E7">
              <w:rPr>
                <w:rFonts w:hint="cs"/>
                <w:b/>
                <w:bCs/>
                <w:sz w:val="17"/>
                <w:szCs w:val="17"/>
                <w:rtl/>
              </w:rPr>
              <w:t>תכנון כוח אדם ברפואה</w:t>
            </w:r>
          </w:p>
        </w:tc>
        <w:tc>
          <w:tcPr>
            <w:tcW w:w="997" w:type="dxa"/>
            <w:vMerge w:val="restart"/>
            <w:tcBorders>
              <w:top w:val="single" w:sz="2" w:space="0" w:color="auto"/>
              <w:left w:val="single" w:sz="2" w:space="0" w:color="auto"/>
              <w:bottom w:val="single" w:sz="2" w:space="0" w:color="auto"/>
              <w:right w:val="single" w:sz="2" w:space="0" w:color="auto"/>
            </w:tcBorders>
            <w:shd w:val="clear" w:color="auto" w:fill="DBE8EE"/>
          </w:tcPr>
          <w:p w:rsidR="003A065D" w:rsidRPr="004737E7" w:rsidP="006B1D79" w14:paraId="2AFD19F0" w14:textId="7DE8BAC3">
            <w:pPr>
              <w:pStyle w:val="71R"/>
              <w:spacing w:before="0" w:after="0"/>
              <w:rPr>
                <w:b/>
                <w:sz w:val="17"/>
                <w:szCs w:val="17"/>
                <w:rtl/>
              </w:rPr>
            </w:pPr>
            <w:r w:rsidRPr="004737E7">
              <w:rPr>
                <w:rFonts w:hint="cs"/>
                <w:b/>
                <w:sz w:val="17"/>
                <w:szCs w:val="17"/>
                <w:rtl/>
              </w:rPr>
              <w:t>משרד הבריאות</w:t>
            </w:r>
          </w:p>
        </w:tc>
        <w:tc>
          <w:tcPr>
            <w:tcW w:w="1956" w:type="dxa"/>
            <w:vMerge w:val="restart"/>
            <w:tcBorders>
              <w:top w:val="single" w:sz="2" w:space="0" w:color="auto"/>
              <w:left w:val="single" w:sz="2" w:space="0" w:color="auto"/>
              <w:bottom w:val="single" w:sz="2" w:space="0" w:color="auto"/>
              <w:right w:val="single" w:sz="2" w:space="0" w:color="auto"/>
            </w:tcBorders>
            <w:shd w:val="clear" w:color="auto" w:fill="DBE8EE"/>
            <w:vAlign w:val="center"/>
          </w:tcPr>
          <w:p w:rsidR="003A065D" w:rsidRPr="004737E7" w:rsidP="006B1D79" w14:paraId="64D2D41E" w14:textId="2D917D3B">
            <w:pPr>
              <w:pStyle w:val="71R"/>
              <w:spacing w:before="0" w:after="0"/>
              <w:rPr>
                <w:b/>
                <w:sz w:val="17"/>
                <w:szCs w:val="17"/>
                <w:rtl/>
              </w:rPr>
            </w:pPr>
            <w:r w:rsidRPr="004737E7">
              <w:rPr>
                <w:b/>
                <w:sz w:val="17"/>
                <w:szCs w:val="17"/>
                <w:rtl/>
              </w:rPr>
              <w:t xml:space="preserve">למשרד הבריאות אין תוכנית רב-שנתית שתקבע את הצרכים העתידיים בכל תחום התמחות </w:t>
            </w:r>
            <w:r w:rsidRPr="004737E7">
              <w:rPr>
                <w:rFonts w:hint="cs"/>
                <w:b/>
                <w:sz w:val="17"/>
                <w:szCs w:val="17"/>
                <w:rtl/>
              </w:rPr>
              <w:t>ואת מספר ה</w:t>
            </w:r>
            <w:r w:rsidRPr="004737E7">
              <w:rPr>
                <w:b/>
                <w:sz w:val="17"/>
                <w:szCs w:val="17"/>
                <w:rtl/>
              </w:rPr>
              <w:t>מקומות</w:t>
            </w:r>
            <w:r w:rsidRPr="004737E7">
              <w:rPr>
                <w:rFonts w:hint="cs"/>
                <w:b/>
                <w:sz w:val="17"/>
                <w:szCs w:val="17"/>
                <w:rtl/>
              </w:rPr>
              <w:t xml:space="preserve"> (תקנים)</w:t>
            </w:r>
            <w:r w:rsidRPr="004737E7">
              <w:rPr>
                <w:b/>
                <w:sz w:val="17"/>
                <w:szCs w:val="17"/>
                <w:rtl/>
              </w:rPr>
              <w:t xml:space="preserve"> </w:t>
            </w:r>
            <w:r w:rsidRPr="004737E7">
              <w:rPr>
                <w:rFonts w:hint="cs"/>
                <w:b/>
                <w:sz w:val="17"/>
                <w:szCs w:val="17"/>
                <w:rtl/>
              </w:rPr>
              <w:t>ש</w:t>
            </w:r>
            <w:r w:rsidRPr="004737E7">
              <w:rPr>
                <w:b/>
                <w:sz w:val="17"/>
                <w:szCs w:val="17"/>
                <w:rtl/>
              </w:rPr>
              <w:t>הוא מתעתד להוסיף בכל תחום ובכל בית חולים.</w:t>
            </w:r>
          </w:p>
        </w:tc>
        <w:tc>
          <w:tcPr>
            <w:tcW w:w="735" w:type="dxa"/>
            <w:tcBorders>
              <w:top w:val="single" w:sz="2" w:space="0" w:color="auto"/>
              <w:left w:val="single" w:sz="2" w:space="0" w:color="auto"/>
              <w:bottom w:val="nil"/>
            </w:tcBorders>
            <w:shd w:val="clear" w:color="auto" w:fill="DBE8EE"/>
          </w:tcPr>
          <w:p w:rsidR="003A065D" w:rsidRPr="0027392D" w:rsidP="006B1D79" w14:paraId="07205F83" w14:textId="77777777">
            <w:pPr>
              <w:pStyle w:val="71R"/>
              <w:spacing w:before="0" w:after="0"/>
              <w:rPr>
                <w:b/>
                <w:rtl/>
              </w:rPr>
            </w:pPr>
          </w:p>
        </w:tc>
        <w:tc>
          <w:tcPr>
            <w:tcW w:w="752" w:type="dxa"/>
            <w:tcBorders>
              <w:top w:val="single" w:sz="2" w:space="0" w:color="auto"/>
              <w:bottom w:val="nil"/>
            </w:tcBorders>
            <w:shd w:val="clear" w:color="auto" w:fill="DBE8EE"/>
          </w:tcPr>
          <w:p w:rsidR="003A065D" w:rsidRPr="0027392D" w:rsidP="006B1D79" w14:paraId="7FFCEB8B" w14:textId="65820A49">
            <w:pPr>
              <w:pStyle w:val="71R"/>
              <w:spacing w:before="0" w:after="0"/>
              <w:rPr>
                <w:b/>
                <w:rtl/>
              </w:rPr>
            </w:pPr>
          </w:p>
        </w:tc>
        <w:tc>
          <w:tcPr>
            <w:tcW w:w="707" w:type="dxa"/>
            <w:gridSpan w:val="2"/>
            <w:tcBorders>
              <w:top w:val="single" w:sz="2" w:space="0" w:color="auto"/>
              <w:bottom w:val="nil"/>
            </w:tcBorders>
            <w:shd w:val="clear" w:color="auto" w:fill="DBE8EE"/>
          </w:tcPr>
          <w:p w:rsidR="003A065D" w:rsidRPr="0027392D" w:rsidP="006B1D79" w14:paraId="24E5343A" w14:textId="77777777">
            <w:pPr>
              <w:pStyle w:val="71R"/>
              <w:spacing w:before="0" w:after="0"/>
              <w:rPr>
                <w:b/>
                <w:rtl/>
              </w:rPr>
            </w:pPr>
          </w:p>
        </w:tc>
        <w:tc>
          <w:tcPr>
            <w:tcW w:w="844" w:type="dxa"/>
            <w:tcBorders>
              <w:top w:val="single" w:sz="2" w:space="0" w:color="auto"/>
              <w:bottom w:val="nil"/>
            </w:tcBorders>
            <w:shd w:val="clear" w:color="auto" w:fill="DBE8EE"/>
          </w:tcPr>
          <w:p w:rsidR="003A065D" w:rsidRPr="0027392D" w:rsidP="006B1D79" w14:paraId="08114AF3" w14:textId="77777777">
            <w:pPr>
              <w:pStyle w:val="71R"/>
              <w:spacing w:before="0" w:after="0"/>
              <w:rPr>
                <w:b/>
                <w:rtl/>
              </w:rPr>
            </w:pPr>
          </w:p>
        </w:tc>
      </w:tr>
      <w:tr w14:paraId="2AF7F1A8" w14:textId="77777777" w:rsidTr="00146402">
        <w:tblPrEx>
          <w:tblW w:w="7366" w:type="dxa"/>
          <w:jc w:val="center"/>
          <w:tblLook w:val="04A0"/>
        </w:tblPrEx>
        <w:trPr>
          <w:jc w:val="center"/>
        </w:trPr>
        <w:tc>
          <w:tcPr>
            <w:tcW w:w="1375" w:type="dxa"/>
            <w:vMerge/>
            <w:tcBorders>
              <w:top w:val="single" w:sz="2" w:space="0" w:color="auto"/>
              <w:left w:val="single" w:sz="2" w:space="0" w:color="auto"/>
              <w:bottom w:val="single" w:sz="2" w:space="0" w:color="auto"/>
              <w:right w:val="single" w:sz="2" w:space="0" w:color="auto"/>
            </w:tcBorders>
            <w:shd w:val="clear" w:color="auto" w:fill="DBE8EE"/>
            <w:vAlign w:val="center"/>
          </w:tcPr>
          <w:p w:rsidR="003A065D" w:rsidP="00DB23D7" w14:paraId="13371B4D" w14:textId="77777777">
            <w:pPr>
              <w:pStyle w:val="71R"/>
              <w:rPr>
                <w:b/>
                <w:rtl/>
              </w:rPr>
            </w:pPr>
          </w:p>
        </w:tc>
        <w:tc>
          <w:tcPr>
            <w:tcW w:w="997" w:type="dxa"/>
            <w:vMerge/>
            <w:tcBorders>
              <w:top w:val="single" w:sz="2" w:space="0" w:color="auto"/>
              <w:left w:val="single" w:sz="2" w:space="0" w:color="auto"/>
              <w:bottom w:val="single" w:sz="2" w:space="0" w:color="auto"/>
              <w:right w:val="single" w:sz="2" w:space="0" w:color="auto"/>
            </w:tcBorders>
            <w:shd w:val="clear" w:color="auto" w:fill="DBE8EE"/>
          </w:tcPr>
          <w:p w:rsidR="003A065D" w:rsidP="00DB23D7" w14:paraId="17718CFC" w14:textId="77777777">
            <w:pPr>
              <w:pStyle w:val="71R"/>
              <w:rPr>
                <w:b/>
                <w:rtl/>
              </w:rPr>
            </w:pPr>
          </w:p>
        </w:tc>
        <w:tc>
          <w:tcPr>
            <w:tcW w:w="1956" w:type="dxa"/>
            <w:vMerge/>
            <w:tcBorders>
              <w:top w:val="single" w:sz="2" w:space="0" w:color="auto"/>
              <w:left w:val="single" w:sz="2" w:space="0" w:color="auto"/>
              <w:bottom w:val="single" w:sz="2" w:space="0" w:color="auto"/>
              <w:right w:val="single" w:sz="2" w:space="0" w:color="auto"/>
            </w:tcBorders>
            <w:shd w:val="clear" w:color="auto" w:fill="DBE8EE"/>
          </w:tcPr>
          <w:p w:rsidR="003A065D" w:rsidP="00DB23D7" w14:paraId="441F0CD3" w14:textId="4ABEDEAE">
            <w:pPr>
              <w:pStyle w:val="71R"/>
              <w:rPr>
                <w:b/>
                <w:rtl/>
              </w:rPr>
            </w:pPr>
          </w:p>
        </w:tc>
        <w:tc>
          <w:tcPr>
            <w:tcW w:w="735" w:type="dxa"/>
            <w:tcBorders>
              <w:top w:val="nil"/>
              <w:left w:val="single" w:sz="2" w:space="0" w:color="auto"/>
              <w:bottom w:val="nil"/>
              <w:right w:val="single" w:sz="2" w:space="0" w:color="auto"/>
            </w:tcBorders>
            <w:shd w:val="clear" w:color="auto" w:fill="DBE8EE"/>
          </w:tcPr>
          <w:p w:rsidR="003A065D" w:rsidRPr="0027392D" w:rsidP="00DB23D7" w14:paraId="763BC8CD" w14:textId="77777777">
            <w:pPr>
              <w:pStyle w:val="71R"/>
              <w:rPr>
                <w:b/>
                <w:rtl/>
              </w:rPr>
            </w:pPr>
          </w:p>
        </w:tc>
        <w:tc>
          <w:tcPr>
            <w:tcW w:w="752" w:type="dxa"/>
            <w:tcBorders>
              <w:top w:val="nil"/>
              <w:left w:val="single" w:sz="2" w:space="0" w:color="auto"/>
              <w:bottom w:val="nil"/>
              <w:right w:val="single" w:sz="2" w:space="0" w:color="auto"/>
            </w:tcBorders>
            <w:shd w:val="clear" w:color="auto" w:fill="DBE8EE"/>
          </w:tcPr>
          <w:p w:rsidR="003A065D" w:rsidRPr="00606EF9" w:rsidP="00DB23D7" w14:paraId="6E934B9E" w14:textId="48D17054">
            <w:pPr>
              <w:pStyle w:val="71R"/>
              <w:rPr>
                <w:rFonts w:ascii="Times New Roman" w:hAnsi="Times New Roman" w:cs="David"/>
                <w:noProof/>
                <w:rtl/>
              </w:rPr>
            </w:pPr>
          </w:p>
        </w:tc>
        <w:tc>
          <w:tcPr>
            <w:tcW w:w="707" w:type="dxa"/>
            <w:gridSpan w:val="2"/>
            <w:tcBorders>
              <w:top w:val="nil"/>
              <w:left w:val="single" w:sz="2" w:space="0" w:color="auto"/>
              <w:bottom w:val="nil"/>
              <w:right w:val="single" w:sz="2" w:space="0" w:color="auto"/>
            </w:tcBorders>
            <w:shd w:val="clear" w:color="auto" w:fill="DBE8EE"/>
          </w:tcPr>
          <w:p w:rsidR="003A065D" w:rsidRPr="0027392D" w:rsidP="00DB23D7" w14:paraId="23C8E303" w14:textId="6ACE452F">
            <w:pPr>
              <w:pStyle w:val="71R"/>
              <w:rPr>
                <w:b/>
                <w:rtl/>
              </w:rPr>
            </w:pPr>
          </w:p>
        </w:tc>
        <w:tc>
          <w:tcPr>
            <w:tcW w:w="844" w:type="dxa"/>
            <w:tcBorders>
              <w:top w:val="nil"/>
              <w:left w:val="single" w:sz="2" w:space="0" w:color="auto"/>
              <w:bottom w:val="nil"/>
              <w:right w:val="single" w:sz="2" w:space="0" w:color="auto"/>
            </w:tcBorders>
            <w:shd w:val="clear" w:color="auto" w:fill="DBE8EE"/>
          </w:tcPr>
          <w:p w:rsidR="003A065D" w:rsidRPr="0027392D" w:rsidP="00DB23D7" w14:paraId="6CB9B23E" w14:textId="77777777">
            <w:pPr>
              <w:pStyle w:val="71R"/>
              <w:rPr>
                <w:b/>
                <w:rtl/>
              </w:rPr>
            </w:pPr>
          </w:p>
        </w:tc>
      </w:tr>
      <w:tr w14:paraId="7C73751F" w14:textId="77777777" w:rsidTr="00146402">
        <w:tblPrEx>
          <w:tblW w:w="7366" w:type="dxa"/>
          <w:jc w:val="center"/>
          <w:tblLook w:val="04A0"/>
        </w:tblPrEx>
        <w:trPr>
          <w:jc w:val="center"/>
        </w:trPr>
        <w:tc>
          <w:tcPr>
            <w:tcW w:w="1375" w:type="dxa"/>
            <w:vMerge/>
            <w:tcBorders>
              <w:top w:val="single" w:sz="2" w:space="0" w:color="auto"/>
              <w:left w:val="single" w:sz="2" w:space="0" w:color="auto"/>
              <w:bottom w:val="single" w:sz="2" w:space="0" w:color="auto"/>
              <w:right w:val="single" w:sz="2" w:space="0" w:color="auto"/>
            </w:tcBorders>
            <w:shd w:val="clear" w:color="auto" w:fill="DBE8EE"/>
            <w:vAlign w:val="center"/>
          </w:tcPr>
          <w:p w:rsidR="003A065D" w:rsidP="00DB23D7" w14:paraId="04FE7AB3" w14:textId="77777777">
            <w:pPr>
              <w:pStyle w:val="71R"/>
              <w:rPr>
                <w:b/>
                <w:rtl/>
              </w:rPr>
            </w:pPr>
          </w:p>
        </w:tc>
        <w:tc>
          <w:tcPr>
            <w:tcW w:w="997" w:type="dxa"/>
            <w:vMerge/>
            <w:tcBorders>
              <w:top w:val="single" w:sz="2" w:space="0" w:color="auto"/>
              <w:left w:val="single" w:sz="2" w:space="0" w:color="auto"/>
              <w:bottom w:val="single" w:sz="2" w:space="0" w:color="auto"/>
              <w:right w:val="single" w:sz="2" w:space="0" w:color="auto"/>
            </w:tcBorders>
            <w:shd w:val="clear" w:color="auto" w:fill="DBE8EE"/>
          </w:tcPr>
          <w:p w:rsidR="003A065D" w:rsidP="00DB23D7" w14:paraId="221996E7" w14:textId="77777777">
            <w:pPr>
              <w:pStyle w:val="71R"/>
              <w:rPr>
                <w:b/>
                <w:rtl/>
              </w:rPr>
            </w:pPr>
          </w:p>
        </w:tc>
        <w:tc>
          <w:tcPr>
            <w:tcW w:w="1956" w:type="dxa"/>
            <w:vMerge/>
            <w:tcBorders>
              <w:top w:val="single" w:sz="2" w:space="0" w:color="auto"/>
              <w:left w:val="single" w:sz="2" w:space="0" w:color="auto"/>
              <w:bottom w:val="single" w:sz="2" w:space="0" w:color="auto"/>
              <w:right w:val="single" w:sz="2" w:space="0" w:color="auto"/>
            </w:tcBorders>
            <w:shd w:val="clear" w:color="auto" w:fill="DBE8EE"/>
          </w:tcPr>
          <w:p w:rsidR="003A065D" w:rsidP="00DB23D7" w14:paraId="31B5CF23" w14:textId="7D8994AC">
            <w:pPr>
              <w:pStyle w:val="71R"/>
              <w:rPr>
                <w:b/>
                <w:rtl/>
              </w:rPr>
            </w:pPr>
          </w:p>
        </w:tc>
        <w:tc>
          <w:tcPr>
            <w:tcW w:w="735" w:type="dxa"/>
            <w:tcBorders>
              <w:top w:val="nil"/>
              <w:left w:val="single" w:sz="2" w:space="0" w:color="auto"/>
              <w:bottom w:val="single" w:sz="2" w:space="0" w:color="auto"/>
              <w:right w:val="single" w:sz="2" w:space="0" w:color="auto"/>
            </w:tcBorders>
            <w:shd w:val="clear" w:color="auto" w:fill="DBE8EE"/>
          </w:tcPr>
          <w:p w:rsidR="003A065D" w:rsidRPr="0027392D" w:rsidP="00DB23D7" w14:paraId="26D84EB4" w14:textId="575E42B9">
            <w:pPr>
              <w:pStyle w:val="71R"/>
              <w:rPr>
                <w:b/>
                <w:rtl/>
              </w:rPr>
            </w:pPr>
          </w:p>
        </w:tc>
        <w:tc>
          <w:tcPr>
            <w:tcW w:w="752" w:type="dxa"/>
            <w:tcBorders>
              <w:top w:val="nil"/>
              <w:left w:val="single" w:sz="2" w:space="0" w:color="auto"/>
              <w:bottom w:val="single" w:sz="2" w:space="0" w:color="auto"/>
              <w:right w:val="single" w:sz="2" w:space="0" w:color="auto"/>
            </w:tcBorders>
            <w:shd w:val="clear" w:color="auto" w:fill="DBE8EE"/>
          </w:tcPr>
          <w:p w:rsidR="003A065D" w:rsidRPr="00606EF9" w:rsidP="00DB23D7" w14:paraId="535012D3" w14:textId="795A0F06">
            <w:pPr>
              <w:pStyle w:val="71R"/>
              <w:rPr>
                <w:rFonts w:ascii="Times New Roman" w:hAnsi="Times New Roman" w:cs="David"/>
                <w:noProof/>
                <w:rtl/>
              </w:rPr>
            </w:pPr>
            <w:r w:rsidRPr="00606EF9">
              <w:rPr>
                <w:rFonts w:ascii="Times New Roman" w:hAnsi="Times New Roman" w:cs="David"/>
                <w:noProof/>
                <w:rtl/>
              </w:rPr>
              <mc:AlternateContent>
                <mc:Choice Requires="wps">
                  <w:drawing>
                    <wp:anchor distT="0" distB="0" distL="114300" distR="114300" simplePos="0" relativeHeight="251709440" behindDoc="0" locked="0" layoutInCell="1" allowOverlap="1">
                      <wp:simplePos x="0" y="0"/>
                      <wp:positionH relativeFrom="column">
                        <wp:posOffset>-33655</wp:posOffset>
                      </wp:positionH>
                      <wp:positionV relativeFrom="paragraph">
                        <wp:posOffset>17780</wp:posOffset>
                      </wp:positionV>
                      <wp:extent cx="915670" cy="287655"/>
                      <wp:effectExtent l="0" t="0" r="17780" b="17145"/>
                      <wp:wrapNone/>
                      <wp:docPr id="63" name="חץ שמאלה 38"/>
                      <wp:cNvGraphicFramePr/>
                      <a:graphic xmlns:a="http://schemas.openxmlformats.org/drawingml/2006/main">
                        <a:graphicData uri="http://schemas.microsoft.com/office/word/2010/wordprocessingShape">
                          <wps:wsp xmlns:wps="http://schemas.microsoft.com/office/word/2010/wordprocessingShape">
                            <wps:cNvSpPr/>
                            <wps:spPr>
                              <a:xfrm>
                                <a:off x="0" y="0"/>
                                <a:ext cx="915670" cy="287655"/>
                              </a:xfrm>
                              <a:prstGeom prst="leftArrow">
                                <a:avLst/>
                              </a:prstGeom>
                              <a:solidFill>
                                <a:srgbClr val="FFC002"/>
                              </a:solidFill>
                              <a:ln w="25400">
                                <a:solidFill>
                                  <a:srgbClr val="FFC002"/>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חץ שמאלה 38" o:spid="_x0000_s1036" type="#_x0000_t66" style="width:72.1pt;height:22.65pt;margin-top:1.4pt;margin-left:-2.65pt;mso-height-percent:0;mso-height-relative:margin;mso-width-percent:0;mso-width-relative:margin;mso-wrap-distance-bottom:0;mso-wrap-distance-left:9pt;mso-wrap-distance-right:9pt;mso-wrap-distance-top:0;mso-wrap-style:square;position:absolute;visibility:visible;v-text-anchor:middle;z-index:251710464" adj="3393" fillcolor="#ffc002" strokecolor="#ffc002" strokeweight="2pt"/>
                  </w:pict>
                </mc:Fallback>
              </mc:AlternateContent>
            </w:r>
          </w:p>
        </w:tc>
        <w:tc>
          <w:tcPr>
            <w:tcW w:w="707" w:type="dxa"/>
            <w:gridSpan w:val="2"/>
            <w:tcBorders>
              <w:top w:val="nil"/>
              <w:left w:val="single" w:sz="2" w:space="0" w:color="auto"/>
              <w:bottom w:val="single" w:sz="2" w:space="0" w:color="auto"/>
              <w:right w:val="single" w:sz="2" w:space="0" w:color="auto"/>
            </w:tcBorders>
            <w:shd w:val="clear" w:color="auto" w:fill="DBE8EE"/>
          </w:tcPr>
          <w:p w:rsidR="003A065D" w:rsidRPr="0027392D" w:rsidP="00DB23D7" w14:paraId="41EF14C6" w14:textId="11796666">
            <w:pPr>
              <w:pStyle w:val="71R"/>
              <w:rPr>
                <w:b/>
                <w:rtl/>
              </w:rPr>
            </w:pPr>
          </w:p>
        </w:tc>
        <w:tc>
          <w:tcPr>
            <w:tcW w:w="844" w:type="dxa"/>
            <w:tcBorders>
              <w:top w:val="nil"/>
              <w:left w:val="single" w:sz="2" w:space="0" w:color="auto"/>
              <w:bottom w:val="single" w:sz="2" w:space="0" w:color="auto"/>
              <w:right w:val="single" w:sz="2" w:space="0" w:color="auto"/>
            </w:tcBorders>
            <w:shd w:val="clear" w:color="auto" w:fill="DBE8EE"/>
          </w:tcPr>
          <w:p w:rsidR="003A065D" w:rsidRPr="0027392D" w:rsidP="00DB23D7" w14:paraId="0BFCCDE5" w14:textId="77777777">
            <w:pPr>
              <w:pStyle w:val="71R"/>
              <w:rPr>
                <w:b/>
                <w:rtl/>
              </w:rPr>
            </w:pPr>
          </w:p>
        </w:tc>
      </w:tr>
      <w:tr w14:paraId="05571793" w14:textId="77777777" w:rsidTr="00146402">
        <w:tblPrEx>
          <w:tblW w:w="7366" w:type="dxa"/>
          <w:jc w:val="center"/>
          <w:tblLook w:val="04A0"/>
        </w:tblPrEx>
        <w:trPr>
          <w:jc w:val="center"/>
        </w:trPr>
        <w:tc>
          <w:tcPr>
            <w:tcW w:w="1375" w:type="dxa"/>
            <w:vMerge w:val="restart"/>
            <w:tcBorders>
              <w:top w:val="single" w:sz="2" w:space="0" w:color="auto"/>
              <w:left w:val="single" w:sz="2" w:space="0" w:color="auto"/>
              <w:bottom w:val="single" w:sz="2" w:space="0" w:color="auto"/>
              <w:right w:val="single" w:sz="2" w:space="0" w:color="auto"/>
            </w:tcBorders>
            <w:shd w:val="clear" w:color="auto" w:fill="ECF4F5"/>
          </w:tcPr>
          <w:p w:rsidR="001F4340" w:rsidRPr="004737E7" w:rsidP="006B1D79" w14:paraId="74612989" w14:textId="557EB7BD">
            <w:pPr>
              <w:pStyle w:val="71R"/>
              <w:spacing w:before="0" w:after="0"/>
              <w:rPr>
                <w:b/>
                <w:bCs/>
                <w:sz w:val="17"/>
                <w:szCs w:val="17"/>
                <w:rtl/>
              </w:rPr>
            </w:pPr>
            <w:r w:rsidRPr="004737E7">
              <w:rPr>
                <w:rFonts w:hint="cs"/>
                <w:b/>
                <w:bCs/>
                <w:sz w:val="17"/>
                <w:szCs w:val="17"/>
                <w:rtl/>
              </w:rPr>
              <w:t xml:space="preserve">גיבוש </w:t>
            </w:r>
            <w:r w:rsidRPr="004737E7">
              <w:rPr>
                <w:b/>
                <w:bCs/>
                <w:sz w:val="17"/>
                <w:szCs w:val="17"/>
                <w:rtl/>
              </w:rPr>
              <w:t xml:space="preserve">תוכנית רב-שנתית להגדלת מספר הסטודנטים </w:t>
            </w:r>
            <w:r w:rsidRPr="004737E7">
              <w:rPr>
                <w:rFonts w:hint="cs"/>
                <w:b/>
                <w:bCs/>
                <w:sz w:val="17"/>
                <w:szCs w:val="17"/>
                <w:rtl/>
              </w:rPr>
              <w:t>ל</w:t>
            </w:r>
            <w:r w:rsidRPr="004737E7">
              <w:rPr>
                <w:b/>
                <w:bCs/>
                <w:sz w:val="17"/>
                <w:szCs w:val="17"/>
                <w:rtl/>
              </w:rPr>
              <w:t>רפואה בישראל</w:t>
            </w:r>
          </w:p>
        </w:tc>
        <w:tc>
          <w:tcPr>
            <w:tcW w:w="997" w:type="dxa"/>
            <w:vMerge w:val="restart"/>
            <w:tcBorders>
              <w:top w:val="single" w:sz="2" w:space="0" w:color="auto"/>
              <w:left w:val="single" w:sz="2" w:space="0" w:color="auto"/>
              <w:bottom w:val="single" w:sz="2" w:space="0" w:color="auto"/>
              <w:right w:val="single" w:sz="2" w:space="0" w:color="auto"/>
            </w:tcBorders>
            <w:shd w:val="clear" w:color="auto" w:fill="ECF4F5"/>
          </w:tcPr>
          <w:p w:rsidR="001F4340" w:rsidP="006B1D79" w14:paraId="634F8AB8" w14:textId="795BB103">
            <w:pPr>
              <w:pStyle w:val="71R"/>
              <w:spacing w:before="0" w:after="0"/>
              <w:rPr>
                <w:b/>
                <w:rtl/>
              </w:rPr>
            </w:pPr>
            <w:r w:rsidRPr="004737E7">
              <w:rPr>
                <w:rFonts w:hint="cs"/>
                <w:b/>
                <w:sz w:val="17"/>
                <w:szCs w:val="17"/>
                <w:rtl/>
              </w:rPr>
              <w:t>משרד הבריאות</w:t>
            </w:r>
          </w:p>
        </w:tc>
        <w:tc>
          <w:tcPr>
            <w:tcW w:w="1956" w:type="dxa"/>
            <w:vMerge w:val="restart"/>
            <w:tcBorders>
              <w:top w:val="single" w:sz="2" w:space="0" w:color="auto"/>
              <w:left w:val="single" w:sz="2" w:space="0" w:color="auto"/>
              <w:bottom w:val="single" w:sz="2" w:space="0" w:color="auto"/>
              <w:right w:val="single" w:sz="2" w:space="0" w:color="auto"/>
            </w:tcBorders>
            <w:shd w:val="clear" w:color="auto" w:fill="ECF4F5"/>
            <w:vAlign w:val="center"/>
          </w:tcPr>
          <w:p w:rsidR="001F4340" w:rsidRPr="004737E7" w:rsidP="006B1D79" w14:paraId="4E834F99" w14:textId="4BB83116">
            <w:pPr>
              <w:pStyle w:val="71R"/>
              <w:spacing w:before="0" w:after="0"/>
              <w:rPr>
                <w:b/>
                <w:sz w:val="17"/>
                <w:szCs w:val="17"/>
                <w:rtl/>
              </w:rPr>
            </w:pPr>
            <w:r w:rsidRPr="004737E7">
              <w:rPr>
                <w:b/>
                <w:sz w:val="17"/>
                <w:szCs w:val="17"/>
                <w:rtl/>
              </w:rPr>
              <w:t>מ</w:t>
            </w:r>
            <w:r w:rsidRPr="004737E7">
              <w:rPr>
                <w:rFonts w:hint="cs"/>
                <w:b/>
                <w:sz w:val="17"/>
                <w:szCs w:val="17"/>
                <w:rtl/>
              </w:rPr>
              <w:t>שנת</w:t>
            </w:r>
            <w:r w:rsidRPr="004737E7">
              <w:rPr>
                <w:b/>
                <w:sz w:val="17"/>
                <w:szCs w:val="17"/>
                <w:rtl/>
              </w:rPr>
              <w:t xml:space="preserve"> 2011, אז עלה הצורך בהגדלת מספר הסטודנטים</w:t>
            </w:r>
            <w:r w:rsidRPr="004737E7">
              <w:rPr>
                <w:rFonts w:hint="cs"/>
                <w:b/>
                <w:sz w:val="17"/>
                <w:szCs w:val="17"/>
                <w:rtl/>
              </w:rPr>
              <w:t xml:space="preserve"> לרפואה</w:t>
            </w:r>
            <w:r w:rsidRPr="004737E7">
              <w:rPr>
                <w:b/>
                <w:sz w:val="17"/>
                <w:szCs w:val="17"/>
                <w:rtl/>
              </w:rPr>
              <w:t xml:space="preserve"> (בישראל) על פי תוכנית סדורה ובהתאם לבדיקת עומס ההוראה הקלינית בבתי החולים והצרכים הנובעים מכך, ועד למועד סיום הדוח הקודם - משרד הבריאות לא עשה דבר.</w:t>
            </w:r>
          </w:p>
        </w:tc>
        <w:tc>
          <w:tcPr>
            <w:tcW w:w="735" w:type="dxa"/>
            <w:tcBorders>
              <w:top w:val="single" w:sz="2" w:space="0" w:color="auto"/>
              <w:left w:val="single" w:sz="2" w:space="0" w:color="auto"/>
              <w:bottom w:val="nil"/>
            </w:tcBorders>
            <w:shd w:val="clear" w:color="auto" w:fill="ECF4F5"/>
          </w:tcPr>
          <w:p w:rsidR="001F4340" w:rsidRPr="0027392D" w:rsidP="006B1D79" w14:paraId="1E9190E7" w14:textId="77777777">
            <w:pPr>
              <w:pStyle w:val="71R"/>
              <w:spacing w:before="0" w:after="0"/>
              <w:rPr>
                <w:b/>
                <w:rtl/>
              </w:rPr>
            </w:pPr>
          </w:p>
        </w:tc>
        <w:tc>
          <w:tcPr>
            <w:tcW w:w="752" w:type="dxa"/>
            <w:tcBorders>
              <w:top w:val="single" w:sz="2" w:space="0" w:color="auto"/>
              <w:bottom w:val="nil"/>
            </w:tcBorders>
            <w:shd w:val="clear" w:color="auto" w:fill="ECF4F5"/>
          </w:tcPr>
          <w:p w:rsidR="001F4340" w:rsidRPr="00606EF9" w:rsidP="006B1D79" w14:paraId="5170AC1C" w14:textId="5D155BF9">
            <w:pPr>
              <w:pStyle w:val="71R"/>
              <w:spacing w:before="0" w:after="0"/>
              <w:rPr>
                <w:rFonts w:ascii="Times New Roman" w:hAnsi="Times New Roman" w:cs="David"/>
                <w:noProof/>
                <w:rtl/>
              </w:rPr>
            </w:pPr>
          </w:p>
        </w:tc>
        <w:tc>
          <w:tcPr>
            <w:tcW w:w="707" w:type="dxa"/>
            <w:gridSpan w:val="2"/>
            <w:tcBorders>
              <w:top w:val="single" w:sz="2" w:space="0" w:color="auto"/>
              <w:bottom w:val="nil"/>
            </w:tcBorders>
            <w:shd w:val="clear" w:color="auto" w:fill="ECF4F5"/>
          </w:tcPr>
          <w:p w:rsidR="001F4340" w:rsidRPr="0027392D" w:rsidP="006B1D79" w14:paraId="6A877EDE" w14:textId="77777777">
            <w:pPr>
              <w:pStyle w:val="71R"/>
              <w:spacing w:before="0" w:after="0"/>
              <w:rPr>
                <w:b/>
                <w:rtl/>
              </w:rPr>
            </w:pPr>
          </w:p>
        </w:tc>
        <w:tc>
          <w:tcPr>
            <w:tcW w:w="844" w:type="dxa"/>
            <w:tcBorders>
              <w:top w:val="single" w:sz="2" w:space="0" w:color="auto"/>
              <w:bottom w:val="nil"/>
            </w:tcBorders>
            <w:shd w:val="clear" w:color="auto" w:fill="ECF4F5"/>
          </w:tcPr>
          <w:p w:rsidR="001F4340" w:rsidRPr="0027392D" w:rsidP="006B1D79" w14:paraId="6B1AFC8A" w14:textId="77777777">
            <w:pPr>
              <w:pStyle w:val="71R"/>
              <w:spacing w:before="0" w:after="0"/>
              <w:rPr>
                <w:b/>
                <w:rtl/>
              </w:rPr>
            </w:pPr>
          </w:p>
        </w:tc>
      </w:tr>
      <w:tr w14:paraId="22058309" w14:textId="77777777" w:rsidTr="00146402">
        <w:tblPrEx>
          <w:tblW w:w="7366" w:type="dxa"/>
          <w:jc w:val="center"/>
          <w:tblLook w:val="04A0"/>
        </w:tblPrEx>
        <w:trPr>
          <w:jc w:val="center"/>
        </w:trPr>
        <w:tc>
          <w:tcPr>
            <w:tcW w:w="1375" w:type="dxa"/>
            <w:vMerge/>
            <w:tcBorders>
              <w:top w:val="single" w:sz="2" w:space="0" w:color="auto"/>
              <w:left w:val="single" w:sz="2" w:space="0" w:color="auto"/>
              <w:bottom w:val="single" w:sz="2" w:space="0" w:color="auto"/>
              <w:right w:val="single" w:sz="2" w:space="0" w:color="auto"/>
            </w:tcBorders>
            <w:shd w:val="clear" w:color="auto" w:fill="ECF4F5"/>
            <w:vAlign w:val="center"/>
          </w:tcPr>
          <w:p w:rsidR="001F4340" w:rsidP="00DB23D7" w14:paraId="793002FE" w14:textId="77777777">
            <w:pPr>
              <w:pStyle w:val="71R"/>
              <w:rPr>
                <w:b/>
                <w:rtl/>
              </w:rPr>
            </w:pPr>
          </w:p>
        </w:tc>
        <w:tc>
          <w:tcPr>
            <w:tcW w:w="997" w:type="dxa"/>
            <w:vMerge/>
            <w:tcBorders>
              <w:top w:val="single" w:sz="2" w:space="0" w:color="auto"/>
              <w:left w:val="single" w:sz="2" w:space="0" w:color="auto"/>
              <w:bottom w:val="single" w:sz="2" w:space="0" w:color="auto"/>
              <w:right w:val="single" w:sz="2" w:space="0" w:color="auto"/>
            </w:tcBorders>
            <w:shd w:val="clear" w:color="auto" w:fill="DBE8EE"/>
          </w:tcPr>
          <w:p w:rsidR="001F4340" w:rsidP="00DB23D7" w14:paraId="75C0874C" w14:textId="77777777">
            <w:pPr>
              <w:pStyle w:val="71R"/>
              <w:rPr>
                <w:b/>
                <w:rtl/>
              </w:rPr>
            </w:pPr>
          </w:p>
        </w:tc>
        <w:tc>
          <w:tcPr>
            <w:tcW w:w="1956" w:type="dxa"/>
            <w:vMerge/>
            <w:tcBorders>
              <w:top w:val="single" w:sz="2" w:space="0" w:color="auto"/>
              <w:left w:val="single" w:sz="2" w:space="0" w:color="auto"/>
              <w:bottom w:val="single" w:sz="2" w:space="0" w:color="auto"/>
              <w:right w:val="single" w:sz="2" w:space="0" w:color="auto"/>
            </w:tcBorders>
            <w:shd w:val="clear" w:color="auto" w:fill="DBE8EE"/>
          </w:tcPr>
          <w:p w:rsidR="001F4340" w:rsidP="00DB23D7" w14:paraId="41EFCB00" w14:textId="4E3F843A">
            <w:pPr>
              <w:pStyle w:val="71R"/>
              <w:rPr>
                <w:b/>
                <w:rtl/>
              </w:rPr>
            </w:pPr>
          </w:p>
        </w:tc>
        <w:tc>
          <w:tcPr>
            <w:tcW w:w="735" w:type="dxa"/>
            <w:tcBorders>
              <w:top w:val="nil"/>
              <w:left w:val="single" w:sz="2" w:space="0" w:color="auto"/>
              <w:bottom w:val="nil"/>
              <w:right w:val="single" w:sz="2" w:space="0" w:color="auto"/>
            </w:tcBorders>
            <w:shd w:val="clear" w:color="auto" w:fill="ECF4F5"/>
          </w:tcPr>
          <w:p w:rsidR="001F4340" w:rsidRPr="0027392D" w:rsidP="00DB23D7" w14:paraId="274B9B3D" w14:textId="2DC26D01">
            <w:pPr>
              <w:pStyle w:val="71R"/>
              <w:rPr>
                <w:b/>
                <w:rtl/>
              </w:rPr>
            </w:pPr>
          </w:p>
        </w:tc>
        <w:tc>
          <w:tcPr>
            <w:tcW w:w="752" w:type="dxa"/>
            <w:tcBorders>
              <w:top w:val="nil"/>
              <w:left w:val="single" w:sz="2" w:space="0" w:color="auto"/>
              <w:bottom w:val="nil"/>
              <w:right w:val="single" w:sz="2" w:space="0" w:color="auto"/>
            </w:tcBorders>
            <w:shd w:val="clear" w:color="auto" w:fill="ECF4F5"/>
          </w:tcPr>
          <w:p w:rsidR="001F4340" w:rsidRPr="00606EF9" w:rsidP="00DB23D7" w14:paraId="1A8F3DA4" w14:textId="77777777">
            <w:pPr>
              <w:pStyle w:val="71R"/>
              <w:rPr>
                <w:rFonts w:ascii="Times New Roman" w:hAnsi="Times New Roman" w:cs="David"/>
                <w:noProof/>
                <w:rtl/>
              </w:rPr>
            </w:pPr>
          </w:p>
        </w:tc>
        <w:tc>
          <w:tcPr>
            <w:tcW w:w="707" w:type="dxa"/>
            <w:gridSpan w:val="2"/>
            <w:tcBorders>
              <w:top w:val="nil"/>
              <w:left w:val="single" w:sz="2" w:space="0" w:color="auto"/>
              <w:bottom w:val="nil"/>
              <w:right w:val="single" w:sz="2" w:space="0" w:color="auto"/>
            </w:tcBorders>
            <w:shd w:val="clear" w:color="auto" w:fill="ECF4F5"/>
          </w:tcPr>
          <w:p w:rsidR="001F4340" w:rsidRPr="0027392D" w:rsidP="00DB23D7" w14:paraId="043C8530" w14:textId="77777777">
            <w:pPr>
              <w:pStyle w:val="71R"/>
              <w:rPr>
                <w:b/>
                <w:rtl/>
              </w:rPr>
            </w:pPr>
          </w:p>
        </w:tc>
        <w:tc>
          <w:tcPr>
            <w:tcW w:w="844" w:type="dxa"/>
            <w:tcBorders>
              <w:top w:val="nil"/>
              <w:left w:val="single" w:sz="2" w:space="0" w:color="auto"/>
              <w:bottom w:val="nil"/>
              <w:right w:val="single" w:sz="2" w:space="0" w:color="auto"/>
            </w:tcBorders>
            <w:shd w:val="clear" w:color="auto" w:fill="ECF4F5"/>
          </w:tcPr>
          <w:p w:rsidR="001F4340" w:rsidRPr="0027392D" w:rsidP="00DB23D7" w14:paraId="20CE364A" w14:textId="77777777">
            <w:pPr>
              <w:pStyle w:val="71R"/>
              <w:rPr>
                <w:b/>
                <w:rtl/>
              </w:rPr>
            </w:pPr>
          </w:p>
        </w:tc>
      </w:tr>
      <w:tr w14:paraId="1B629994" w14:textId="77777777" w:rsidTr="00146402">
        <w:tblPrEx>
          <w:tblW w:w="7366" w:type="dxa"/>
          <w:jc w:val="center"/>
          <w:tblLook w:val="04A0"/>
        </w:tblPrEx>
        <w:trPr>
          <w:jc w:val="center"/>
        </w:trPr>
        <w:tc>
          <w:tcPr>
            <w:tcW w:w="1375" w:type="dxa"/>
            <w:vMerge/>
            <w:tcBorders>
              <w:top w:val="single" w:sz="2" w:space="0" w:color="auto"/>
              <w:left w:val="single" w:sz="2" w:space="0" w:color="auto"/>
              <w:bottom w:val="nil"/>
              <w:right w:val="single" w:sz="2" w:space="0" w:color="auto"/>
            </w:tcBorders>
            <w:shd w:val="clear" w:color="auto" w:fill="ECF4F5"/>
            <w:vAlign w:val="center"/>
          </w:tcPr>
          <w:p w:rsidR="001F4340" w:rsidP="00DB23D7" w14:paraId="4880B50E" w14:textId="77777777">
            <w:pPr>
              <w:pStyle w:val="71R"/>
              <w:rPr>
                <w:b/>
                <w:rtl/>
              </w:rPr>
            </w:pPr>
          </w:p>
        </w:tc>
        <w:tc>
          <w:tcPr>
            <w:tcW w:w="997" w:type="dxa"/>
            <w:vMerge/>
            <w:tcBorders>
              <w:top w:val="single" w:sz="2" w:space="0" w:color="auto"/>
              <w:left w:val="single" w:sz="2" w:space="0" w:color="auto"/>
              <w:bottom w:val="nil"/>
              <w:right w:val="single" w:sz="2" w:space="0" w:color="auto"/>
            </w:tcBorders>
            <w:shd w:val="clear" w:color="auto" w:fill="DBE8EE"/>
          </w:tcPr>
          <w:p w:rsidR="001F4340" w:rsidP="00DB23D7" w14:paraId="71CC860D" w14:textId="77777777">
            <w:pPr>
              <w:pStyle w:val="71R"/>
              <w:rPr>
                <w:b/>
                <w:rtl/>
              </w:rPr>
            </w:pPr>
          </w:p>
        </w:tc>
        <w:tc>
          <w:tcPr>
            <w:tcW w:w="1956" w:type="dxa"/>
            <w:vMerge/>
            <w:tcBorders>
              <w:top w:val="single" w:sz="2" w:space="0" w:color="auto"/>
              <w:left w:val="single" w:sz="2" w:space="0" w:color="auto"/>
              <w:bottom w:val="nil"/>
              <w:right w:val="single" w:sz="2" w:space="0" w:color="auto"/>
            </w:tcBorders>
            <w:shd w:val="clear" w:color="auto" w:fill="DBE8EE"/>
          </w:tcPr>
          <w:p w:rsidR="001F4340" w:rsidP="00DB23D7" w14:paraId="0CAEAA30" w14:textId="0B8E6BDC">
            <w:pPr>
              <w:pStyle w:val="71R"/>
              <w:rPr>
                <w:b/>
                <w:rtl/>
              </w:rPr>
            </w:pPr>
          </w:p>
        </w:tc>
        <w:tc>
          <w:tcPr>
            <w:tcW w:w="735" w:type="dxa"/>
            <w:tcBorders>
              <w:top w:val="nil"/>
              <w:left w:val="single" w:sz="2" w:space="0" w:color="auto"/>
              <w:bottom w:val="nil"/>
              <w:right w:val="single" w:sz="2" w:space="0" w:color="auto"/>
            </w:tcBorders>
            <w:shd w:val="clear" w:color="auto" w:fill="ECF4F5"/>
          </w:tcPr>
          <w:p w:rsidR="001F4340" w:rsidRPr="0027392D" w:rsidP="00DB23D7" w14:paraId="23C3AD95" w14:textId="64ECEA29">
            <w:pPr>
              <w:pStyle w:val="71R"/>
              <w:rPr>
                <w:b/>
                <w:rtl/>
              </w:rPr>
            </w:pPr>
          </w:p>
        </w:tc>
        <w:tc>
          <w:tcPr>
            <w:tcW w:w="752" w:type="dxa"/>
            <w:tcBorders>
              <w:top w:val="nil"/>
              <w:left w:val="single" w:sz="2" w:space="0" w:color="auto"/>
              <w:bottom w:val="nil"/>
              <w:right w:val="single" w:sz="2" w:space="0" w:color="auto"/>
            </w:tcBorders>
            <w:shd w:val="clear" w:color="auto" w:fill="ECF4F5"/>
          </w:tcPr>
          <w:p w:rsidR="001F4340" w:rsidRPr="00606EF9" w:rsidP="00DB23D7" w14:paraId="24E7052C" w14:textId="452919CC">
            <w:pPr>
              <w:pStyle w:val="71R"/>
              <w:rPr>
                <w:rFonts w:ascii="Times New Roman" w:hAnsi="Times New Roman" w:cs="David"/>
                <w:noProof/>
                <w:rtl/>
              </w:rPr>
            </w:pPr>
          </w:p>
        </w:tc>
        <w:tc>
          <w:tcPr>
            <w:tcW w:w="707" w:type="dxa"/>
            <w:gridSpan w:val="2"/>
            <w:tcBorders>
              <w:top w:val="nil"/>
              <w:left w:val="single" w:sz="2" w:space="0" w:color="auto"/>
              <w:bottom w:val="nil"/>
              <w:right w:val="single" w:sz="2" w:space="0" w:color="auto"/>
            </w:tcBorders>
            <w:shd w:val="clear" w:color="auto" w:fill="ECF4F5"/>
          </w:tcPr>
          <w:p w:rsidR="001F4340" w:rsidRPr="0027392D" w:rsidP="00DB23D7" w14:paraId="4DBE2CDE" w14:textId="69D94B2D">
            <w:pPr>
              <w:pStyle w:val="71R"/>
              <w:rPr>
                <w:b/>
                <w:rtl/>
              </w:rPr>
            </w:pPr>
            <w:r w:rsidRPr="00606EF9">
              <w:rPr>
                <w:rFonts w:ascii="Times New Roman" w:hAnsi="Times New Roman" w:cs="David"/>
                <w:noProof/>
                <w:rtl/>
              </w:rPr>
              <mc:AlternateContent>
                <mc:Choice Requires="wps">
                  <w:drawing>
                    <wp:anchor distT="0" distB="0" distL="114300" distR="114300" simplePos="0" relativeHeight="251713536" behindDoc="0" locked="0" layoutInCell="1" allowOverlap="1">
                      <wp:simplePos x="0" y="0"/>
                      <wp:positionH relativeFrom="column">
                        <wp:posOffset>-41275</wp:posOffset>
                      </wp:positionH>
                      <wp:positionV relativeFrom="paragraph">
                        <wp:posOffset>287655</wp:posOffset>
                      </wp:positionV>
                      <wp:extent cx="1407795" cy="287655"/>
                      <wp:effectExtent l="0" t="0" r="20955" b="17145"/>
                      <wp:wrapNone/>
                      <wp:docPr id="3788746" name="חץ שמאלה 38"/>
                      <wp:cNvGraphicFramePr/>
                      <a:graphic xmlns:a="http://schemas.openxmlformats.org/drawingml/2006/main">
                        <a:graphicData uri="http://schemas.microsoft.com/office/word/2010/wordprocessingShape">
                          <wps:wsp xmlns:wps="http://schemas.microsoft.com/office/word/2010/wordprocessingShape">
                            <wps:cNvSpPr/>
                            <wps:spPr>
                              <a:xfrm>
                                <a:off x="0" y="0"/>
                                <a:ext cx="1407795" cy="287655"/>
                              </a:xfrm>
                              <a:prstGeom prst="leftArrow">
                                <a:avLst/>
                              </a:prstGeom>
                              <a:solidFill>
                                <a:srgbClr val="FDF000"/>
                              </a:solidFill>
                              <a:ln w="25400">
                                <a:solidFill>
                                  <a:srgbClr val="FDF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38" o:spid="_x0000_s1037" type="#_x0000_t66" style="width:110.85pt;height:22.65pt;margin-top:22.65pt;margin-left:-3.25pt;mso-height-percent:0;mso-height-relative:margin;mso-width-percent:0;mso-width-relative:margin;mso-wrap-distance-bottom:0;mso-wrap-distance-left:9pt;mso-wrap-distance-right:9pt;mso-wrap-distance-top:0;mso-wrap-style:square;position:absolute;visibility:visible;v-text-anchor:middle;z-index:251714560" adj="2207" fillcolor="#fdf000" strokecolor="#fdf000" strokeweight="2pt"/>
                  </w:pict>
                </mc:Fallback>
              </mc:AlternateContent>
            </w:r>
          </w:p>
        </w:tc>
        <w:tc>
          <w:tcPr>
            <w:tcW w:w="844" w:type="dxa"/>
            <w:tcBorders>
              <w:top w:val="nil"/>
              <w:left w:val="single" w:sz="2" w:space="0" w:color="auto"/>
              <w:bottom w:val="nil"/>
              <w:right w:val="single" w:sz="2" w:space="0" w:color="auto"/>
            </w:tcBorders>
            <w:shd w:val="clear" w:color="auto" w:fill="ECF4F5"/>
          </w:tcPr>
          <w:p w:rsidR="001F4340" w:rsidRPr="0027392D" w:rsidP="00DB23D7" w14:paraId="13CC3038" w14:textId="5B97CE7C">
            <w:pPr>
              <w:pStyle w:val="71R"/>
              <w:rPr>
                <w:b/>
                <w:rtl/>
              </w:rPr>
            </w:pPr>
          </w:p>
        </w:tc>
      </w:tr>
      <w:tr w14:paraId="63736159" w14:textId="77777777" w:rsidTr="001D0D99">
        <w:tblPrEx>
          <w:tblW w:w="7366" w:type="dxa"/>
          <w:jc w:val="center"/>
          <w:tblLook w:val="04A0"/>
        </w:tblPrEx>
        <w:trPr>
          <w:jc w:val="center"/>
        </w:trPr>
        <w:tc>
          <w:tcPr>
            <w:tcW w:w="1375" w:type="dxa"/>
            <w:tcBorders>
              <w:top w:val="nil"/>
              <w:left w:val="single" w:sz="2" w:space="0" w:color="auto"/>
              <w:bottom w:val="single" w:sz="2" w:space="0" w:color="auto"/>
              <w:right w:val="single" w:sz="2" w:space="0" w:color="auto"/>
            </w:tcBorders>
            <w:shd w:val="clear" w:color="auto" w:fill="DBE8EE"/>
          </w:tcPr>
          <w:p w:rsidR="001F4340" w:rsidRPr="004737E7" w:rsidP="006B1D79" w14:paraId="2B76F199" w14:textId="0C4FFF2B">
            <w:pPr>
              <w:pStyle w:val="71R"/>
              <w:spacing w:before="0" w:after="0"/>
              <w:rPr>
                <w:b/>
                <w:sz w:val="17"/>
                <w:szCs w:val="17"/>
                <w:rtl/>
              </w:rPr>
            </w:pPr>
            <w:r w:rsidRPr="004737E7">
              <w:rPr>
                <w:b/>
                <w:bCs/>
                <w:sz w:val="17"/>
                <w:szCs w:val="17"/>
                <w:rtl/>
              </w:rPr>
              <w:t>שימוש במשאב הלאומי "שדות קליניים" בבתי החולים בישראל</w:t>
            </w:r>
            <w:r w:rsidRPr="004737E7">
              <w:rPr>
                <w:rFonts w:hint="cs"/>
                <w:b/>
                <w:bCs/>
                <w:sz w:val="17"/>
                <w:szCs w:val="17"/>
                <w:rtl/>
              </w:rPr>
              <w:t xml:space="preserve"> -</w:t>
            </w:r>
            <w:r w:rsidRPr="004737E7">
              <w:rPr>
                <w:rFonts w:hint="cs"/>
                <w:sz w:val="17"/>
                <w:szCs w:val="17"/>
                <w:rtl/>
              </w:rPr>
              <w:t xml:space="preserve"> </w:t>
            </w:r>
            <w:r w:rsidRPr="004737E7">
              <w:rPr>
                <w:b/>
                <w:sz w:val="17"/>
                <w:szCs w:val="17"/>
                <w:rtl/>
              </w:rPr>
              <w:t>האחריות לניהול מצאי השדות הקליניים בישראל</w:t>
            </w:r>
          </w:p>
        </w:tc>
        <w:tc>
          <w:tcPr>
            <w:tcW w:w="997" w:type="dxa"/>
            <w:tcBorders>
              <w:top w:val="nil"/>
              <w:left w:val="single" w:sz="2" w:space="0" w:color="auto"/>
              <w:bottom w:val="single" w:sz="2" w:space="0" w:color="auto"/>
              <w:right w:val="single" w:sz="2" w:space="0" w:color="auto"/>
            </w:tcBorders>
            <w:shd w:val="clear" w:color="auto" w:fill="DBE8EE"/>
          </w:tcPr>
          <w:p w:rsidR="001F4340" w:rsidRPr="004737E7" w:rsidP="006B1D79" w14:paraId="0D1F5626" w14:textId="3DA8B139">
            <w:pPr>
              <w:pStyle w:val="71R"/>
              <w:spacing w:before="0" w:after="0"/>
              <w:rPr>
                <w:b/>
                <w:sz w:val="17"/>
                <w:szCs w:val="17"/>
                <w:rtl/>
              </w:rPr>
            </w:pPr>
            <w:r w:rsidRPr="004737E7">
              <w:rPr>
                <w:rFonts w:hint="cs"/>
                <w:b/>
                <w:sz w:val="17"/>
                <w:szCs w:val="17"/>
                <w:rtl/>
              </w:rPr>
              <w:t xml:space="preserve">משרד הבריאות </w:t>
            </w:r>
            <w:r w:rsidRPr="004737E7">
              <w:rPr>
                <w:rFonts w:hint="cs"/>
                <w:b/>
                <w:sz w:val="17"/>
                <w:szCs w:val="17"/>
                <w:rtl/>
              </w:rPr>
              <w:t>והמל"ג</w:t>
            </w:r>
          </w:p>
        </w:tc>
        <w:tc>
          <w:tcPr>
            <w:tcW w:w="1956" w:type="dxa"/>
            <w:tcBorders>
              <w:top w:val="nil"/>
              <w:left w:val="single" w:sz="2" w:space="0" w:color="auto"/>
              <w:bottom w:val="single" w:sz="2" w:space="0" w:color="auto"/>
              <w:right w:val="single" w:sz="2" w:space="0" w:color="auto"/>
            </w:tcBorders>
            <w:shd w:val="clear" w:color="auto" w:fill="DBE8EE"/>
          </w:tcPr>
          <w:p w:rsidR="001F4340" w:rsidRPr="004737E7" w:rsidP="006B1D79" w14:paraId="0638A1F0" w14:textId="10BA8321">
            <w:pPr>
              <w:pStyle w:val="71R"/>
              <w:spacing w:before="0" w:after="0"/>
              <w:rPr>
                <w:b/>
                <w:sz w:val="17"/>
                <w:szCs w:val="17"/>
                <w:rtl/>
              </w:rPr>
            </w:pPr>
            <w:r w:rsidRPr="004737E7">
              <w:rPr>
                <w:b/>
                <w:sz w:val="17"/>
                <w:szCs w:val="17"/>
                <w:rtl/>
              </w:rPr>
              <w:t>אף שמשרד הבריאות ומל"ג נושאים באחריות משותפת, כל אחד בתחומו, להסדרת מערך ההכשרה הקלינית ולפיקוח עליה, מתברר כי ההוראה הקלינית במסגרת השדות הקליניים אינה מוסדרת כלל.</w:t>
            </w:r>
          </w:p>
        </w:tc>
        <w:tc>
          <w:tcPr>
            <w:tcW w:w="735" w:type="dxa"/>
            <w:tcBorders>
              <w:top w:val="nil"/>
              <w:left w:val="single" w:sz="2" w:space="0" w:color="auto"/>
              <w:bottom w:val="single" w:sz="2" w:space="0" w:color="auto"/>
              <w:right w:val="single" w:sz="2" w:space="0" w:color="auto"/>
            </w:tcBorders>
            <w:shd w:val="clear" w:color="auto" w:fill="DBE8EE"/>
          </w:tcPr>
          <w:p w:rsidR="001F4340" w:rsidRPr="00606EF9" w:rsidP="006B1D79" w14:paraId="45A91528" w14:textId="19BF8914">
            <w:pPr>
              <w:pStyle w:val="71R"/>
              <w:spacing w:before="0" w:after="0"/>
              <w:rPr>
                <w:rFonts w:ascii="Times New Roman" w:hAnsi="Times New Roman" w:cs="David"/>
                <w:noProof/>
                <w:rtl/>
              </w:rPr>
            </w:pPr>
            <w:r w:rsidRPr="00606EF9">
              <w:rPr>
                <w:rFonts w:ascii="Times New Roman" w:hAnsi="Times New Roman" w:cs="David"/>
                <w:noProof/>
                <w:rtl/>
              </w:rPr>
              <mc:AlternateContent>
                <mc:Choice Requires="wps">
                  <w:drawing>
                    <wp:anchor distT="0" distB="0" distL="114300" distR="114300" simplePos="0" relativeHeight="251711488" behindDoc="0" locked="0" layoutInCell="1" allowOverlap="1">
                      <wp:simplePos x="0" y="0"/>
                      <wp:positionH relativeFrom="column">
                        <wp:posOffset>-64770</wp:posOffset>
                      </wp:positionH>
                      <wp:positionV relativeFrom="paragraph">
                        <wp:posOffset>732155</wp:posOffset>
                      </wp:positionV>
                      <wp:extent cx="439420" cy="287655"/>
                      <wp:effectExtent l="0" t="0" r="17780" b="17145"/>
                      <wp:wrapNone/>
                      <wp:docPr id="39" name="חץ שמאלה 38"/>
                      <wp:cNvGraphicFramePr/>
                      <a:graphic xmlns:a="http://schemas.openxmlformats.org/drawingml/2006/main">
                        <a:graphicData uri="http://schemas.microsoft.com/office/word/2010/wordprocessingShape">
                          <wps:wsp xmlns:wps="http://schemas.microsoft.com/office/word/2010/wordprocessingShape">
                            <wps:cNvSpPr/>
                            <wps:spPr>
                              <a:xfrm>
                                <a:off x="0" y="0"/>
                                <a:ext cx="439420" cy="287655"/>
                              </a:xfrm>
                              <a:prstGeom prst="leftArrow">
                                <a:avLst/>
                              </a:prstGeom>
                              <a:solidFill>
                                <a:srgbClr val="FF0B00"/>
                              </a:solidFill>
                              <a:ln w="25400">
                                <a:solidFill>
                                  <a:srgbClr val="FF0B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38" o:spid="_x0000_s1038" type="#_x0000_t66" style="width:34.6pt;height:22.65pt;margin-top:57.65pt;margin-left:-5.1pt;mso-height-percent:0;mso-height-relative:margin;mso-width-percent:0;mso-width-relative:margin;mso-wrap-distance-bottom:0;mso-wrap-distance-left:9pt;mso-wrap-distance-right:9pt;mso-wrap-distance-top:0;mso-wrap-style:square;position:absolute;visibility:visible;v-text-anchor:middle;z-index:251712512" adj="7070" fillcolor="#ff0b00" strokecolor="#ff0b00" strokeweight="2pt"/>
                  </w:pict>
                </mc:Fallback>
              </mc:AlternateContent>
            </w:r>
          </w:p>
        </w:tc>
        <w:tc>
          <w:tcPr>
            <w:tcW w:w="752" w:type="dxa"/>
            <w:tcBorders>
              <w:top w:val="nil"/>
              <w:left w:val="single" w:sz="2" w:space="0" w:color="auto"/>
              <w:bottom w:val="single" w:sz="2" w:space="0" w:color="auto"/>
              <w:right w:val="single" w:sz="2" w:space="0" w:color="auto"/>
            </w:tcBorders>
            <w:shd w:val="clear" w:color="auto" w:fill="DBE8EE"/>
          </w:tcPr>
          <w:p w:rsidR="001F4340" w:rsidRPr="00606EF9" w:rsidP="006B1D79" w14:paraId="029D7661" w14:textId="48A9160B">
            <w:pPr>
              <w:pStyle w:val="71R"/>
              <w:spacing w:before="0" w:after="0"/>
              <w:rPr>
                <w:rFonts w:ascii="Times New Roman" w:hAnsi="Times New Roman" w:cs="David"/>
                <w:noProof/>
                <w:rtl/>
              </w:rPr>
            </w:pPr>
          </w:p>
        </w:tc>
        <w:tc>
          <w:tcPr>
            <w:tcW w:w="707" w:type="dxa"/>
            <w:gridSpan w:val="2"/>
            <w:tcBorders>
              <w:top w:val="nil"/>
              <w:left w:val="single" w:sz="2" w:space="0" w:color="auto"/>
              <w:bottom w:val="single" w:sz="2" w:space="0" w:color="auto"/>
              <w:right w:val="single" w:sz="2" w:space="0" w:color="auto"/>
            </w:tcBorders>
            <w:shd w:val="clear" w:color="auto" w:fill="DBE8EE"/>
          </w:tcPr>
          <w:p w:rsidR="001F4340" w:rsidRPr="0027392D" w:rsidP="006B1D79" w14:paraId="6DD3085B" w14:textId="77777777">
            <w:pPr>
              <w:pStyle w:val="71R"/>
              <w:spacing w:before="0" w:after="0"/>
              <w:rPr>
                <w:b/>
                <w:rtl/>
              </w:rPr>
            </w:pPr>
          </w:p>
        </w:tc>
        <w:tc>
          <w:tcPr>
            <w:tcW w:w="844" w:type="dxa"/>
            <w:tcBorders>
              <w:top w:val="nil"/>
              <w:left w:val="single" w:sz="2" w:space="0" w:color="auto"/>
              <w:bottom w:val="single" w:sz="2" w:space="0" w:color="auto"/>
              <w:right w:val="single" w:sz="2" w:space="0" w:color="auto"/>
            </w:tcBorders>
            <w:shd w:val="clear" w:color="auto" w:fill="DBE8EE"/>
          </w:tcPr>
          <w:p w:rsidR="001F4340" w:rsidRPr="0027392D" w:rsidP="006B1D79" w14:paraId="53F46FD7" w14:textId="77777777">
            <w:pPr>
              <w:pStyle w:val="71R"/>
              <w:spacing w:before="0" w:after="0"/>
              <w:rPr>
                <w:b/>
                <w:rtl/>
              </w:rPr>
            </w:pPr>
          </w:p>
        </w:tc>
      </w:tr>
      <w:tr w14:paraId="5DC09A4F" w14:textId="77777777" w:rsidTr="00AC653D">
        <w:tblPrEx>
          <w:tblW w:w="7366" w:type="dxa"/>
          <w:jc w:val="center"/>
          <w:tblLook w:val="04A0"/>
        </w:tblPrEx>
        <w:trPr>
          <w:jc w:val="center"/>
        </w:trPr>
        <w:tc>
          <w:tcPr>
            <w:tcW w:w="1375" w:type="dxa"/>
            <w:tcBorders>
              <w:top w:val="single" w:sz="2" w:space="0" w:color="auto"/>
              <w:left w:val="single" w:sz="2" w:space="0" w:color="auto"/>
              <w:bottom w:val="single" w:sz="2" w:space="0" w:color="auto"/>
              <w:right w:val="single" w:sz="2" w:space="0" w:color="auto"/>
            </w:tcBorders>
            <w:shd w:val="clear" w:color="auto" w:fill="ECF4F5"/>
          </w:tcPr>
          <w:p w:rsidR="00F81EDE" w:rsidRPr="009348FC" w:rsidP="00EE2EAC" w14:paraId="4774EBBB" w14:textId="1FCADA82">
            <w:pPr>
              <w:pStyle w:val="71R"/>
              <w:spacing w:before="0" w:after="0"/>
              <w:rPr>
                <w:b/>
                <w:sz w:val="17"/>
                <w:szCs w:val="17"/>
                <w:rtl/>
              </w:rPr>
            </w:pPr>
            <w:r w:rsidRPr="009348FC">
              <w:rPr>
                <w:b/>
                <w:sz w:val="17"/>
                <w:szCs w:val="17"/>
                <w:rtl/>
              </w:rPr>
              <w:t>תמונת המצב בנוגע למספר השדות הקליניים</w:t>
            </w:r>
          </w:p>
        </w:tc>
        <w:tc>
          <w:tcPr>
            <w:tcW w:w="997" w:type="dxa"/>
            <w:tcBorders>
              <w:top w:val="single" w:sz="2" w:space="0" w:color="auto"/>
              <w:left w:val="single" w:sz="2" w:space="0" w:color="auto"/>
              <w:bottom w:val="single" w:sz="2" w:space="0" w:color="auto"/>
              <w:right w:val="single" w:sz="2" w:space="0" w:color="auto"/>
            </w:tcBorders>
            <w:shd w:val="clear" w:color="auto" w:fill="ECF4F5"/>
          </w:tcPr>
          <w:p w:rsidR="00F81EDE" w:rsidRPr="009348FC" w:rsidP="00EE2EAC" w14:paraId="6B843B8C" w14:textId="442D72FC">
            <w:pPr>
              <w:pStyle w:val="71R"/>
              <w:spacing w:before="0" w:after="0"/>
              <w:rPr>
                <w:b/>
                <w:sz w:val="17"/>
                <w:szCs w:val="17"/>
                <w:rtl/>
              </w:rPr>
            </w:pPr>
            <w:r w:rsidRPr="009348FC">
              <w:rPr>
                <w:rFonts w:hint="cs"/>
                <w:b/>
                <w:sz w:val="17"/>
                <w:szCs w:val="17"/>
                <w:rtl/>
              </w:rPr>
              <w:t xml:space="preserve">משרד הבריאות </w:t>
            </w:r>
            <w:r w:rsidRPr="009348FC">
              <w:rPr>
                <w:rFonts w:hint="cs"/>
                <w:b/>
                <w:sz w:val="17"/>
                <w:szCs w:val="17"/>
                <w:rtl/>
              </w:rPr>
              <w:t>והמל"ג</w:t>
            </w:r>
          </w:p>
        </w:tc>
        <w:tc>
          <w:tcPr>
            <w:tcW w:w="1956" w:type="dxa"/>
            <w:tcBorders>
              <w:top w:val="single" w:sz="2" w:space="0" w:color="auto"/>
              <w:left w:val="single" w:sz="2" w:space="0" w:color="auto"/>
              <w:bottom w:val="single" w:sz="2" w:space="0" w:color="auto"/>
              <w:right w:val="single" w:sz="2" w:space="0" w:color="auto"/>
            </w:tcBorders>
            <w:shd w:val="clear" w:color="auto" w:fill="ECF4F5"/>
            <w:vAlign w:val="center"/>
          </w:tcPr>
          <w:p w:rsidR="00F81EDE" w:rsidRPr="009348FC" w:rsidP="00EE2EAC" w14:paraId="4AED692A" w14:textId="1EA10B82">
            <w:pPr>
              <w:pStyle w:val="71R"/>
              <w:spacing w:before="0" w:after="0"/>
              <w:rPr>
                <w:b/>
                <w:sz w:val="17"/>
                <w:szCs w:val="17"/>
                <w:rtl/>
              </w:rPr>
            </w:pPr>
            <w:r w:rsidRPr="009348FC">
              <w:rPr>
                <w:b/>
                <w:sz w:val="17"/>
                <w:szCs w:val="17"/>
                <w:rtl/>
              </w:rPr>
              <w:t>ההוראה בבתי החולים במסגרת השדות הקליניים אינה מוסדרת</w:t>
            </w:r>
            <w:r w:rsidRPr="009348FC">
              <w:rPr>
                <w:rFonts w:hint="cs"/>
                <w:b/>
                <w:sz w:val="17"/>
                <w:szCs w:val="17"/>
                <w:rtl/>
              </w:rPr>
              <w:t>,</w:t>
            </w:r>
            <w:r w:rsidRPr="009348FC">
              <w:rPr>
                <w:b/>
                <w:sz w:val="17"/>
                <w:szCs w:val="17"/>
                <w:rtl/>
              </w:rPr>
              <w:t xml:space="preserve"> </w:t>
            </w:r>
            <w:r w:rsidRPr="009348FC">
              <w:rPr>
                <w:b/>
                <w:sz w:val="17"/>
                <w:szCs w:val="17"/>
                <w:rtl/>
              </w:rPr>
              <w:t>ולמל"ג</w:t>
            </w:r>
            <w:r w:rsidRPr="009348FC">
              <w:rPr>
                <w:b/>
                <w:sz w:val="17"/>
                <w:szCs w:val="17"/>
                <w:rtl/>
              </w:rPr>
              <w:t>-ות"ת ולמשרד הבריאות אין תמונת מצב מלאה בנוגע למספר השדות הקליניים הקיימים ולפיזורם בין כלל בתי החולים.</w:t>
            </w:r>
          </w:p>
        </w:tc>
        <w:tc>
          <w:tcPr>
            <w:tcW w:w="735" w:type="dxa"/>
            <w:tcBorders>
              <w:top w:val="single" w:sz="2" w:space="0" w:color="auto"/>
              <w:left w:val="single" w:sz="2" w:space="0" w:color="auto"/>
              <w:bottom w:val="single" w:sz="2" w:space="0" w:color="auto"/>
              <w:right w:val="single" w:sz="2" w:space="0" w:color="auto"/>
            </w:tcBorders>
            <w:shd w:val="clear" w:color="auto" w:fill="ECF4F5"/>
          </w:tcPr>
          <w:p w:rsidR="00F81EDE" w:rsidRPr="00606EF9" w:rsidP="00EE2EAC" w14:paraId="10E83B1D" w14:textId="090D8FC2">
            <w:pPr>
              <w:pStyle w:val="71R"/>
              <w:spacing w:before="0" w:after="0"/>
              <w:rPr>
                <w:rFonts w:ascii="Times New Roman" w:hAnsi="Times New Roman" w:cs="David"/>
                <w:noProof/>
                <w:rtl/>
              </w:rPr>
            </w:pPr>
          </w:p>
        </w:tc>
        <w:tc>
          <w:tcPr>
            <w:tcW w:w="752" w:type="dxa"/>
            <w:tcBorders>
              <w:top w:val="single" w:sz="2" w:space="0" w:color="auto"/>
              <w:left w:val="single" w:sz="2" w:space="0" w:color="auto"/>
              <w:bottom w:val="single" w:sz="2" w:space="0" w:color="auto"/>
              <w:right w:val="single" w:sz="2" w:space="0" w:color="auto"/>
            </w:tcBorders>
            <w:shd w:val="clear" w:color="auto" w:fill="ECF4F5"/>
          </w:tcPr>
          <w:p w:rsidR="00F81EDE" w:rsidRPr="009348FC" w:rsidP="00EE2EAC" w14:paraId="38308C9F" w14:textId="7CE86775">
            <w:pPr>
              <w:pStyle w:val="71R"/>
              <w:spacing w:before="0" w:after="0"/>
              <w:rPr>
                <w:b/>
                <w:sz w:val="17"/>
                <w:szCs w:val="17"/>
                <w:rtl/>
              </w:rPr>
            </w:pPr>
            <w:r w:rsidRPr="009348FC">
              <w:rPr>
                <w:rFonts w:hint="cs"/>
                <w:b/>
                <w:sz w:val="17"/>
                <w:szCs w:val="17"/>
                <w:rtl/>
              </w:rPr>
              <w:t>תוקן במידה חלקית</w:t>
            </w:r>
          </w:p>
        </w:tc>
        <w:tc>
          <w:tcPr>
            <w:tcW w:w="707" w:type="dxa"/>
            <w:gridSpan w:val="2"/>
            <w:tcBorders>
              <w:top w:val="single" w:sz="2" w:space="0" w:color="auto"/>
              <w:left w:val="single" w:sz="2" w:space="0" w:color="auto"/>
              <w:bottom w:val="single" w:sz="2" w:space="0" w:color="auto"/>
              <w:right w:val="single" w:sz="2" w:space="0" w:color="auto"/>
            </w:tcBorders>
            <w:shd w:val="clear" w:color="auto" w:fill="ECF4F5"/>
          </w:tcPr>
          <w:p w:rsidR="00F81EDE" w:rsidRPr="0027392D" w:rsidP="00EE2EAC" w14:paraId="398F755F" w14:textId="6850A8C4">
            <w:pPr>
              <w:pStyle w:val="71R"/>
              <w:spacing w:before="0" w:after="0"/>
              <w:rPr>
                <w:b/>
                <w:rtl/>
              </w:rPr>
            </w:pPr>
            <w:r w:rsidRPr="00606EF9">
              <w:rPr>
                <w:rFonts w:ascii="Times New Roman" w:hAnsi="Times New Roman" w:cs="David"/>
                <w:noProof/>
                <w:rtl/>
              </w:rPr>
              <mc:AlternateContent>
                <mc:Choice Requires="wps">
                  <w:drawing>
                    <wp:anchor distT="0" distB="0" distL="114300" distR="114300" simplePos="0" relativeHeight="251715584" behindDoc="0" locked="0" layoutInCell="1" allowOverlap="1">
                      <wp:simplePos x="0" y="0"/>
                      <wp:positionH relativeFrom="column">
                        <wp:posOffset>175260</wp:posOffset>
                      </wp:positionH>
                      <wp:positionV relativeFrom="paragraph">
                        <wp:posOffset>557530</wp:posOffset>
                      </wp:positionV>
                      <wp:extent cx="1188720" cy="287655"/>
                      <wp:effectExtent l="0" t="0" r="11430" b="17145"/>
                      <wp:wrapNone/>
                      <wp:docPr id="1113575883" name="חץ שמאלה 38"/>
                      <wp:cNvGraphicFramePr/>
                      <a:graphic xmlns:a="http://schemas.openxmlformats.org/drawingml/2006/main">
                        <a:graphicData uri="http://schemas.microsoft.com/office/word/2010/wordprocessingShape">
                          <wps:wsp xmlns:wps="http://schemas.microsoft.com/office/word/2010/wordprocessingShape">
                            <wps:cNvSpPr/>
                            <wps:spPr>
                              <a:xfrm>
                                <a:off x="0" y="0"/>
                                <a:ext cx="1188720" cy="287655"/>
                              </a:xfrm>
                              <a:prstGeom prst="leftArrow">
                                <a:avLst/>
                              </a:prstGeom>
                              <a:solidFill>
                                <a:srgbClr val="FDF000"/>
                              </a:solidFill>
                              <a:ln w="25400">
                                <a:solidFill>
                                  <a:srgbClr val="FDF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38" o:spid="_x0000_s1039" type="#_x0000_t66" style="width:93.6pt;height:22.65pt;margin-top:43.9pt;margin-left:13.8pt;mso-height-percent:0;mso-height-relative:margin;mso-width-percent:0;mso-width-relative:margin;mso-wrap-distance-bottom:0;mso-wrap-distance-left:9pt;mso-wrap-distance-right:9pt;mso-wrap-distance-top:0;mso-wrap-style:square;position:absolute;visibility:visible;v-text-anchor:middle;z-index:251716608" adj="2613" fillcolor="#fdf000" strokecolor="#fdf000" strokeweight="2pt"/>
                  </w:pict>
                </mc:Fallback>
              </mc:AlternateContent>
            </w:r>
          </w:p>
        </w:tc>
        <w:tc>
          <w:tcPr>
            <w:tcW w:w="844" w:type="dxa"/>
            <w:tcBorders>
              <w:top w:val="single" w:sz="2" w:space="0" w:color="auto"/>
              <w:left w:val="single" w:sz="2" w:space="0" w:color="auto"/>
              <w:bottom w:val="single" w:sz="2" w:space="0" w:color="auto"/>
              <w:right w:val="single" w:sz="2" w:space="0" w:color="auto"/>
            </w:tcBorders>
            <w:shd w:val="clear" w:color="auto" w:fill="ECF4F5"/>
          </w:tcPr>
          <w:p w:rsidR="00F81EDE" w:rsidRPr="0027392D" w:rsidP="00EE2EAC" w14:paraId="4F968D89" w14:textId="77777777">
            <w:pPr>
              <w:pStyle w:val="71R"/>
              <w:spacing w:before="0" w:after="0"/>
              <w:rPr>
                <w:b/>
                <w:rtl/>
              </w:rPr>
            </w:pPr>
          </w:p>
        </w:tc>
      </w:tr>
      <w:tr w14:paraId="490EAE1A" w14:textId="77777777" w:rsidTr="001D0D99">
        <w:tblPrEx>
          <w:tblW w:w="7366" w:type="dxa"/>
          <w:jc w:val="center"/>
          <w:tblLook w:val="04A0"/>
        </w:tblPrEx>
        <w:trPr>
          <w:jc w:val="center"/>
        </w:trPr>
        <w:tc>
          <w:tcPr>
            <w:tcW w:w="1375" w:type="dxa"/>
            <w:tcBorders>
              <w:top w:val="single" w:sz="2" w:space="0" w:color="auto"/>
              <w:left w:val="single" w:sz="2" w:space="0" w:color="auto"/>
              <w:bottom w:val="single" w:sz="4" w:space="0" w:color="auto"/>
            </w:tcBorders>
            <w:shd w:val="clear" w:color="auto" w:fill="DBE8EE"/>
          </w:tcPr>
          <w:p w:rsidR="00991E0C" w:rsidRPr="009348FC" w:rsidP="00EE2EAC" w14:paraId="545F0F6D" w14:textId="2BEBB4D4">
            <w:pPr>
              <w:pStyle w:val="71R"/>
              <w:spacing w:before="0" w:after="0"/>
              <w:rPr>
                <w:b/>
                <w:sz w:val="17"/>
                <w:szCs w:val="17"/>
                <w:rtl/>
              </w:rPr>
            </w:pPr>
            <w:r w:rsidRPr="009348FC">
              <w:rPr>
                <w:b/>
                <w:sz w:val="17"/>
                <w:szCs w:val="17"/>
                <w:rtl/>
              </w:rPr>
              <w:t>הפעלה של השדות הקליניים - עומס סטודנטים בהכשרה הקלינית</w:t>
            </w:r>
          </w:p>
        </w:tc>
        <w:tc>
          <w:tcPr>
            <w:tcW w:w="997" w:type="dxa"/>
            <w:tcBorders>
              <w:top w:val="single" w:sz="2" w:space="0" w:color="auto"/>
              <w:bottom w:val="single" w:sz="4" w:space="0" w:color="auto"/>
            </w:tcBorders>
            <w:shd w:val="clear" w:color="auto" w:fill="DBE8EE"/>
          </w:tcPr>
          <w:p w:rsidR="00991E0C" w:rsidRPr="009348FC" w:rsidP="00EE2EAC" w14:paraId="5DDFB937" w14:textId="0C84FD8A">
            <w:pPr>
              <w:pStyle w:val="71R"/>
              <w:spacing w:before="0" w:after="0"/>
              <w:rPr>
                <w:b/>
                <w:sz w:val="17"/>
                <w:szCs w:val="17"/>
                <w:rtl/>
              </w:rPr>
            </w:pPr>
            <w:r w:rsidRPr="009348FC">
              <w:rPr>
                <w:rFonts w:hint="cs"/>
                <w:b/>
                <w:sz w:val="17"/>
                <w:szCs w:val="17"/>
                <w:rtl/>
              </w:rPr>
              <w:t xml:space="preserve">משרד הבריאות, </w:t>
            </w:r>
            <w:r w:rsidRPr="009348FC">
              <w:rPr>
                <w:rFonts w:hint="cs"/>
                <w:b/>
                <w:sz w:val="17"/>
                <w:szCs w:val="17"/>
                <w:rtl/>
              </w:rPr>
              <w:t>המל"ג</w:t>
            </w:r>
            <w:r w:rsidRPr="009348FC">
              <w:rPr>
                <w:rFonts w:hint="cs"/>
                <w:b/>
                <w:sz w:val="17"/>
                <w:szCs w:val="17"/>
                <w:rtl/>
              </w:rPr>
              <w:t>, הפקולטות לרפואה ובתי החולים</w:t>
            </w:r>
          </w:p>
        </w:tc>
        <w:tc>
          <w:tcPr>
            <w:tcW w:w="1956" w:type="dxa"/>
            <w:tcBorders>
              <w:top w:val="single" w:sz="2" w:space="0" w:color="auto"/>
              <w:bottom w:val="single" w:sz="4" w:space="0" w:color="auto"/>
            </w:tcBorders>
            <w:shd w:val="clear" w:color="auto" w:fill="DBE8EE"/>
          </w:tcPr>
          <w:p w:rsidR="00991E0C" w:rsidRPr="009348FC" w:rsidP="00EE2EAC" w14:paraId="6AD14D0B" w14:textId="64FF4669">
            <w:pPr>
              <w:pStyle w:val="71R"/>
              <w:spacing w:before="0" w:after="0"/>
              <w:rPr>
                <w:b/>
                <w:sz w:val="17"/>
                <w:szCs w:val="17"/>
                <w:rtl/>
              </w:rPr>
            </w:pPr>
            <w:r w:rsidRPr="009348FC">
              <w:rPr>
                <w:b/>
                <w:sz w:val="17"/>
                <w:szCs w:val="17"/>
                <w:rtl/>
              </w:rPr>
              <w:t>המל"ג</w:t>
            </w:r>
            <w:r w:rsidRPr="009348FC">
              <w:rPr>
                <w:b/>
                <w:sz w:val="17"/>
                <w:szCs w:val="17"/>
                <w:rtl/>
              </w:rPr>
              <w:t xml:space="preserve"> ומשרד הבריאות, בשיתוף הפקולטות לרפואה ובתי החולים, </w:t>
            </w:r>
            <w:r w:rsidRPr="009348FC">
              <w:rPr>
                <w:rFonts w:hint="cs"/>
                <w:b/>
                <w:sz w:val="17"/>
                <w:szCs w:val="17"/>
                <w:rtl/>
              </w:rPr>
              <w:t xml:space="preserve">עדיין </w:t>
            </w:r>
            <w:r w:rsidRPr="009348FC">
              <w:rPr>
                <w:b/>
                <w:sz w:val="17"/>
                <w:szCs w:val="17"/>
                <w:rtl/>
              </w:rPr>
              <w:t>לא קבעו את מתכונת ההפעלה המחייבת של השדות הקליניים מבחינת גודלה של קבוצת הלימוד.</w:t>
            </w:r>
          </w:p>
        </w:tc>
        <w:tc>
          <w:tcPr>
            <w:tcW w:w="735" w:type="dxa"/>
            <w:tcBorders>
              <w:top w:val="single" w:sz="2" w:space="0" w:color="auto"/>
              <w:bottom w:val="single" w:sz="4" w:space="0" w:color="auto"/>
            </w:tcBorders>
            <w:shd w:val="clear" w:color="auto" w:fill="DBE8EE"/>
          </w:tcPr>
          <w:p w:rsidR="00991E0C" w:rsidRPr="00606EF9" w:rsidP="00EE2EAC" w14:paraId="7A858592" w14:textId="253C8C95">
            <w:pPr>
              <w:pStyle w:val="71R"/>
              <w:spacing w:before="0" w:after="0"/>
              <w:rPr>
                <w:rFonts w:ascii="Times New Roman" w:hAnsi="Times New Roman" w:cs="David"/>
                <w:noProof/>
                <w:rtl/>
              </w:rPr>
            </w:pPr>
            <w:r w:rsidRPr="00606EF9">
              <w:rPr>
                <w:rFonts w:ascii="Times New Roman" w:hAnsi="Times New Roman" w:cs="David"/>
                <w:noProof/>
                <w:rtl/>
              </w:rPr>
              <mc:AlternateContent>
                <mc:Choice Requires="wps">
                  <w:drawing>
                    <wp:anchor distT="0" distB="0" distL="114300" distR="114300" simplePos="0" relativeHeight="251717632" behindDoc="0" locked="0" layoutInCell="1" allowOverlap="1">
                      <wp:simplePos x="0" y="0"/>
                      <wp:positionH relativeFrom="column">
                        <wp:posOffset>-57785</wp:posOffset>
                      </wp:positionH>
                      <wp:positionV relativeFrom="paragraph">
                        <wp:posOffset>610870</wp:posOffset>
                      </wp:positionV>
                      <wp:extent cx="445770" cy="287655"/>
                      <wp:effectExtent l="0" t="0" r="11430" b="17145"/>
                      <wp:wrapNone/>
                      <wp:docPr id="1113575891" name="חץ שמאלה 38"/>
                      <wp:cNvGraphicFramePr/>
                      <a:graphic xmlns:a="http://schemas.openxmlformats.org/drawingml/2006/main">
                        <a:graphicData uri="http://schemas.microsoft.com/office/word/2010/wordprocessingShape">
                          <wps:wsp xmlns:wps="http://schemas.microsoft.com/office/word/2010/wordprocessingShape">
                            <wps:cNvSpPr/>
                            <wps:spPr>
                              <a:xfrm>
                                <a:off x="0" y="0"/>
                                <a:ext cx="445770" cy="287655"/>
                              </a:xfrm>
                              <a:prstGeom prst="leftArrow">
                                <a:avLst/>
                              </a:prstGeom>
                              <a:solidFill>
                                <a:srgbClr val="FF0B00"/>
                              </a:solidFill>
                              <a:ln w="25400">
                                <a:solidFill>
                                  <a:srgbClr val="FF0B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38" o:spid="_x0000_s1040" type="#_x0000_t66" style="width:35.1pt;height:22.65pt;margin-top:48.1pt;margin-left:-4.55pt;mso-height-percent:0;mso-height-relative:margin;mso-width-percent:0;mso-width-relative:margin;mso-wrap-distance-bottom:0;mso-wrap-distance-left:9pt;mso-wrap-distance-right:9pt;mso-wrap-distance-top:0;mso-wrap-style:square;position:absolute;visibility:visible;v-text-anchor:middle;z-index:251718656" adj="6969" fillcolor="#ff0b00" strokecolor="#ff0b00" strokeweight="2pt"/>
                  </w:pict>
                </mc:Fallback>
              </mc:AlternateContent>
            </w:r>
          </w:p>
        </w:tc>
        <w:tc>
          <w:tcPr>
            <w:tcW w:w="752" w:type="dxa"/>
            <w:tcBorders>
              <w:top w:val="single" w:sz="2" w:space="0" w:color="auto"/>
              <w:bottom w:val="single" w:sz="4" w:space="0" w:color="auto"/>
            </w:tcBorders>
            <w:shd w:val="clear" w:color="auto" w:fill="DBE8EE"/>
          </w:tcPr>
          <w:p w:rsidR="00991E0C" w:rsidRPr="00F81EDE" w:rsidP="00EE2EAC" w14:paraId="6F622580" w14:textId="77777777">
            <w:pPr>
              <w:pStyle w:val="71R"/>
              <w:spacing w:before="0" w:after="0"/>
              <w:rPr>
                <w:b/>
                <w:rtl/>
              </w:rPr>
            </w:pPr>
          </w:p>
        </w:tc>
        <w:tc>
          <w:tcPr>
            <w:tcW w:w="707" w:type="dxa"/>
            <w:gridSpan w:val="2"/>
            <w:tcBorders>
              <w:top w:val="single" w:sz="2" w:space="0" w:color="auto"/>
              <w:bottom w:val="single" w:sz="4" w:space="0" w:color="auto"/>
            </w:tcBorders>
            <w:shd w:val="clear" w:color="auto" w:fill="DBE8EE"/>
          </w:tcPr>
          <w:p w:rsidR="00991E0C" w:rsidRPr="0027392D" w:rsidP="00EE2EAC" w14:paraId="23459C42" w14:textId="77777777">
            <w:pPr>
              <w:pStyle w:val="71R"/>
              <w:spacing w:before="0" w:after="0"/>
              <w:rPr>
                <w:b/>
                <w:rtl/>
              </w:rPr>
            </w:pPr>
          </w:p>
        </w:tc>
        <w:tc>
          <w:tcPr>
            <w:tcW w:w="844" w:type="dxa"/>
            <w:tcBorders>
              <w:top w:val="single" w:sz="2" w:space="0" w:color="auto"/>
              <w:bottom w:val="single" w:sz="4" w:space="0" w:color="auto"/>
              <w:right w:val="single" w:sz="2" w:space="0" w:color="auto"/>
            </w:tcBorders>
            <w:shd w:val="clear" w:color="auto" w:fill="DBE8EE"/>
          </w:tcPr>
          <w:p w:rsidR="00991E0C" w:rsidRPr="0027392D" w:rsidP="00EE2EAC" w14:paraId="40885416" w14:textId="77777777">
            <w:pPr>
              <w:pStyle w:val="71R"/>
              <w:spacing w:before="0" w:after="0"/>
              <w:rPr>
                <w:b/>
                <w:rtl/>
              </w:rPr>
            </w:pPr>
          </w:p>
        </w:tc>
      </w:tr>
      <w:tr w14:paraId="4401EA01" w14:textId="77777777" w:rsidTr="001D0D99">
        <w:tblPrEx>
          <w:tblW w:w="7366" w:type="dxa"/>
          <w:jc w:val="center"/>
          <w:tblLook w:val="04A0"/>
        </w:tblPrEx>
        <w:trPr>
          <w:jc w:val="center"/>
        </w:trPr>
        <w:tc>
          <w:tcPr>
            <w:tcW w:w="1375" w:type="dxa"/>
            <w:tcBorders>
              <w:left w:val="single" w:sz="2" w:space="0" w:color="auto"/>
              <w:bottom w:val="single" w:sz="4" w:space="0" w:color="auto"/>
            </w:tcBorders>
            <w:shd w:val="clear" w:color="auto" w:fill="ECF4F5"/>
          </w:tcPr>
          <w:p w:rsidR="004737E7" w:rsidRPr="009348FC" w:rsidP="00EE2EAC" w14:paraId="6DE900D1" w14:textId="285B35B7">
            <w:pPr>
              <w:pStyle w:val="71R"/>
              <w:spacing w:before="0" w:after="0"/>
              <w:rPr>
                <w:b/>
                <w:sz w:val="17"/>
                <w:szCs w:val="17"/>
                <w:rtl/>
              </w:rPr>
            </w:pPr>
            <w:r w:rsidRPr="009348FC">
              <w:rPr>
                <w:b/>
                <w:sz w:val="17"/>
                <w:szCs w:val="17"/>
                <w:rtl/>
              </w:rPr>
              <w:t>הפעלה של השדות הקליניים - עומס סטודנטים בהכשרה הקלינית</w:t>
            </w:r>
          </w:p>
        </w:tc>
        <w:tc>
          <w:tcPr>
            <w:tcW w:w="997" w:type="dxa"/>
            <w:tcBorders>
              <w:bottom w:val="single" w:sz="4" w:space="0" w:color="auto"/>
            </w:tcBorders>
            <w:shd w:val="clear" w:color="auto" w:fill="ECF4F5"/>
          </w:tcPr>
          <w:p w:rsidR="004737E7" w:rsidRPr="009348FC" w:rsidP="00EE2EAC" w14:paraId="1ED137C1" w14:textId="4E287CFB">
            <w:pPr>
              <w:pStyle w:val="71R"/>
              <w:spacing w:before="0" w:after="0"/>
              <w:rPr>
                <w:b/>
                <w:sz w:val="17"/>
                <w:szCs w:val="17"/>
                <w:rtl/>
              </w:rPr>
            </w:pPr>
            <w:r w:rsidRPr="009348FC">
              <w:rPr>
                <w:rFonts w:hint="cs"/>
                <w:b/>
                <w:sz w:val="17"/>
                <w:szCs w:val="17"/>
                <w:rtl/>
              </w:rPr>
              <w:t>משרד הבריאות ובתי החולים</w:t>
            </w:r>
          </w:p>
        </w:tc>
        <w:tc>
          <w:tcPr>
            <w:tcW w:w="1956" w:type="dxa"/>
            <w:tcBorders>
              <w:bottom w:val="single" w:sz="4" w:space="0" w:color="auto"/>
            </w:tcBorders>
            <w:shd w:val="clear" w:color="auto" w:fill="ECF4F5"/>
          </w:tcPr>
          <w:p w:rsidR="004737E7" w:rsidRPr="009348FC" w:rsidP="00EE2EAC" w14:paraId="5B54BB42" w14:textId="14DE36F2">
            <w:pPr>
              <w:pStyle w:val="71R"/>
              <w:spacing w:before="0" w:after="0"/>
              <w:rPr>
                <w:b/>
                <w:sz w:val="17"/>
                <w:szCs w:val="17"/>
                <w:rtl/>
              </w:rPr>
            </w:pPr>
            <w:r w:rsidRPr="009348FC">
              <w:rPr>
                <w:b/>
                <w:sz w:val="17"/>
                <w:szCs w:val="17"/>
                <w:rtl/>
              </w:rPr>
              <w:t xml:space="preserve">מבדיקת עומס הסטודנטים בשדות הקליניים קיימת מצוקה בשדות הקליניים. במצב זה, לעיתים הפקולטה והמחלקה הגדילו את מספר הסטודנטים בקבוצת הלימוד בשדה הקליני למספר שלא </w:t>
            </w:r>
            <w:r w:rsidRPr="009348FC">
              <w:rPr>
                <w:b/>
                <w:sz w:val="17"/>
                <w:szCs w:val="17"/>
                <w:rtl/>
              </w:rPr>
              <w:t>א</w:t>
            </w:r>
            <w:r w:rsidRPr="009348FC">
              <w:rPr>
                <w:rFonts w:hint="cs"/>
                <w:b/>
                <w:sz w:val="17"/>
                <w:szCs w:val="17"/>
                <w:rtl/>
              </w:rPr>
              <w:t>י</w:t>
            </w:r>
            <w:r w:rsidRPr="009348FC">
              <w:rPr>
                <w:b/>
                <w:sz w:val="17"/>
                <w:szCs w:val="17"/>
                <w:rtl/>
              </w:rPr>
              <w:t>פשר</w:t>
            </w:r>
            <w:r w:rsidRPr="009348FC">
              <w:rPr>
                <w:b/>
                <w:sz w:val="17"/>
                <w:szCs w:val="17"/>
                <w:rtl/>
              </w:rPr>
              <w:t xml:space="preserve"> לימוד מועיל ויעיל.</w:t>
            </w:r>
          </w:p>
        </w:tc>
        <w:tc>
          <w:tcPr>
            <w:tcW w:w="735" w:type="dxa"/>
            <w:tcBorders>
              <w:top w:val="single" w:sz="4" w:space="0" w:color="auto"/>
              <w:bottom w:val="single" w:sz="4" w:space="0" w:color="auto"/>
            </w:tcBorders>
            <w:shd w:val="clear" w:color="auto" w:fill="ECF4F5"/>
          </w:tcPr>
          <w:p w:rsidR="004737E7" w:rsidRPr="00606EF9" w:rsidP="00EE2EAC" w14:paraId="5CA0AC24" w14:textId="5679F771">
            <w:pPr>
              <w:pStyle w:val="71R"/>
              <w:spacing w:before="0" w:after="0"/>
              <w:rPr>
                <w:rFonts w:ascii="Times New Roman" w:hAnsi="Times New Roman" w:cs="David"/>
                <w:noProof/>
                <w:rtl/>
              </w:rPr>
            </w:pPr>
          </w:p>
        </w:tc>
        <w:tc>
          <w:tcPr>
            <w:tcW w:w="752" w:type="dxa"/>
            <w:tcBorders>
              <w:top w:val="single" w:sz="4" w:space="0" w:color="auto"/>
              <w:bottom w:val="single" w:sz="4" w:space="0" w:color="auto"/>
            </w:tcBorders>
            <w:shd w:val="clear" w:color="auto" w:fill="ECF4F5"/>
          </w:tcPr>
          <w:p w:rsidR="004737E7" w:rsidRPr="00F81EDE" w:rsidP="00EE2EAC" w14:paraId="1AF8C0C4" w14:textId="688D03CF">
            <w:pPr>
              <w:pStyle w:val="71R"/>
              <w:spacing w:before="0" w:after="0"/>
              <w:rPr>
                <w:b/>
                <w:rtl/>
              </w:rPr>
            </w:pPr>
          </w:p>
        </w:tc>
        <w:tc>
          <w:tcPr>
            <w:tcW w:w="707" w:type="dxa"/>
            <w:gridSpan w:val="2"/>
            <w:tcBorders>
              <w:top w:val="single" w:sz="4" w:space="0" w:color="auto"/>
              <w:bottom w:val="single" w:sz="4" w:space="0" w:color="auto"/>
            </w:tcBorders>
            <w:shd w:val="clear" w:color="auto" w:fill="ECF4F5"/>
          </w:tcPr>
          <w:p w:rsidR="004737E7" w:rsidRPr="0027392D" w:rsidP="00EE2EAC" w14:paraId="5407D0F4" w14:textId="04D80CF8">
            <w:pPr>
              <w:pStyle w:val="71R"/>
              <w:spacing w:before="0" w:after="0"/>
              <w:rPr>
                <w:b/>
                <w:rtl/>
              </w:rPr>
            </w:pPr>
            <w:r w:rsidRPr="00606EF9">
              <w:rPr>
                <w:rFonts w:ascii="Times New Roman" w:hAnsi="Times New Roman" w:cs="David"/>
                <w:noProof/>
                <w:rtl/>
              </w:rPr>
              <mc:AlternateContent>
                <mc:Choice Requires="wps">
                  <w:drawing>
                    <wp:anchor distT="0" distB="0" distL="114300" distR="114300" simplePos="0" relativeHeight="251719680" behindDoc="0" locked="0" layoutInCell="1" allowOverlap="1">
                      <wp:simplePos x="0" y="0"/>
                      <wp:positionH relativeFrom="column">
                        <wp:posOffset>-10160</wp:posOffset>
                      </wp:positionH>
                      <wp:positionV relativeFrom="paragraph">
                        <wp:posOffset>766445</wp:posOffset>
                      </wp:positionV>
                      <wp:extent cx="1369695" cy="287655"/>
                      <wp:effectExtent l="0" t="0" r="20955" b="17145"/>
                      <wp:wrapNone/>
                      <wp:docPr id="1113575892" name="חץ שמאלה 38"/>
                      <wp:cNvGraphicFramePr/>
                      <a:graphic xmlns:a="http://schemas.openxmlformats.org/drawingml/2006/main">
                        <a:graphicData uri="http://schemas.microsoft.com/office/word/2010/wordprocessingShape">
                          <wps:wsp xmlns:wps="http://schemas.microsoft.com/office/word/2010/wordprocessingShape">
                            <wps:cNvSpPr/>
                            <wps:spPr>
                              <a:xfrm>
                                <a:off x="0" y="0"/>
                                <a:ext cx="1369695" cy="287655"/>
                              </a:xfrm>
                              <a:prstGeom prst="leftArrow">
                                <a:avLst/>
                              </a:prstGeom>
                              <a:solidFill>
                                <a:srgbClr val="FDF000"/>
                              </a:solidFill>
                              <a:ln w="25400">
                                <a:solidFill>
                                  <a:srgbClr val="FDF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38" o:spid="_x0000_s1041" type="#_x0000_t66" style="width:107.85pt;height:22.65pt;margin-top:60.35pt;margin-left:-0.8pt;mso-height-percent:0;mso-height-relative:margin;mso-width-percent:0;mso-width-relative:margin;mso-wrap-distance-bottom:0;mso-wrap-distance-left:9pt;mso-wrap-distance-right:9pt;mso-wrap-distance-top:0;mso-wrap-style:square;position:absolute;visibility:visible;v-text-anchor:middle;z-index:251720704" adj="2268" fillcolor="#fdf000" strokecolor="#fdf000" strokeweight="2pt"/>
                  </w:pict>
                </mc:Fallback>
              </mc:AlternateContent>
            </w:r>
          </w:p>
        </w:tc>
        <w:tc>
          <w:tcPr>
            <w:tcW w:w="844" w:type="dxa"/>
            <w:tcBorders>
              <w:top w:val="single" w:sz="4" w:space="0" w:color="auto"/>
              <w:bottom w:val="single" w:sz="4" w:space="0" w:color="auto"/>
              <w:right w:val="single" w:sz="2" w:space="0" w:color="auto"/>
            </w:tcBorders>
            <w:shd w:val="clear" w:color="auto" w:fill="ECF4F5"/>
          </w:tcPr>
          <w:p w:rsidR="004737E7" w:rsidRPr="0027392D" w:rsidP="00EE2EAC" w14:paraId="4AE811DB" w14:textId="77777777">
            <w:pPr>
              <w:pStyle w:val="71R"/>
              <w:spacing w:before="0" w:after="0"/>
              <w:rPr>
                <w:b/>
                <w:rtl/>
              </w:rPr>
            </w:pPr>
          </w:p>
        </w:tc>
      </w:tr>
      <w:tr w14:paraId="4208B100" w14:textId="77777777" w:rsidTr="001D0D99">
        <w:tblPrEx>
          <w:tblW w:w="7366" w:type="dxa"/>
          <w:jc w:val="center"/>
          <w:tblLook w:val="04A0"/>
        </w:tblPrEx>
        <w:trPr>
          <w:jc w:val="center"/>
        </w:trPr>
        <w:tc>
          <w:tcPr>
            <w:tcW w:w="1375" w:type="dxa"/>
            <w:tcBorders>
              <w:left w:val="single" w:sz="2" w:space="0" w:color="auto"/>
              <w:bottom w:val="single" w:sz="2" w:space="0" w:color="auto"/>
            </w:tcBorders>
            <w:shd w:val="clear" w:color="auto" w:fill="DBE8EE"/>
          </w:tcPr>
          <w:p w:rsidR="000E1102" w:rsidRPr="009348FC" w:rsidP="00EE2EAC" w14:paraId="37E74258" w14:textId="572E45E7">
            <w:pPr>
              <w:pStyle w:val="71R"/>
              <w:spacing w:before="0" w:after="0"/>
              <w:rPr>
                <w:b/>
                <w:sz w:val="17"/>
                <w:szCs w:val="17"/>
                <w:rtl/>
              </w:rPr>
            </w:pPr>
            <w:r w:rsidRPr="000E1102">
              <w:rPr>
                <w:b/>
                <w:sz w:val="17"/>
                <w:szCs w:val="17"/>
                <w:rtl/>
              </w:rPr>
              <w:t>הפעלה של השדות הקליניים - עומס שבועות ההוראה במחלקות הקליניות</w:t>
            </w:r>
          </w:p>
        </w:tc>
        <w:tc>
          <w:tcPr>
            <w:tcW w:w="997" w:type="dxa"/>
            <w:tcBorders>
              <w:bottom w:val="single" w:sz="2" w:space="0" w:color="auto"/>
            </w:tcBorders>
            <w:shd w:val="clear" w:color="auto" w:fill="DBE8EE"/>
          </w:tcPr>
          <w:p w:rsidR="000E1102" w:rsidRPr="009348FC" w:rsidP="00EE2EAC" w14:paraId="3DE8F127" w14:textId="4F7D1A01">
            <w:pPr>
              <w:pStyle w:val="71R"/>
              <w:spacing w:before="0" w:after="0"/>
              <w:rPr>
                <w:b/>
                <w:sz w:val="17"/>
                <w:szCs w:val="17"/>
                <w:rtl/>
              </w:rPr>
            </w:pPr>
            <w:r w:rsidRPr="000E1102">
              <w:rPr>
                <w:rFonts w:hint="cs"/>
                <w:b/>
                <w:sz w:val="17"/>
                <w:szCs w:val="17"/>
                <w:rtl/>
              </w:rPr>
              <w:t xml:space="preserve">משרד הבריאות </w:t>
            </w:r>
            <w:r w:rsidRPr="000E1102">
              <w:rPr>
                <w:rFonts w:hint="cs"/>
                <w:b/>
                <w:sz w:val="17"/>
                <w:szCs w:val="17"/>
                <w:rtl/>
              </w:rPr>
              <w:t>והמל"ג</w:t>
            </w:r>
          </w:p>
        </w:tc>
        <w:tc>
          <w:tcPr>
            <w:tcW w:w="1956" w:type="dxa"/>
            <w:tcBorders>
              <w:bottom w:val="single" w:sz="2" w:space="0" w:color="auto"/>
            </w:tcBorders>
            <w:shd w:val="clear" w:color="auto" w:fill="DBE8EE"/>
          </w:tcPr>
          <w:p w:rsidR="000E1102" w:rsidRPr="009348FC" w:rsidP="00EE2EAC" w14:paraId="2C782E13" w14:textId="724244BD">
            <w:pPr>
              <w:pStyle w:val="71R"/>
              <w:spacing w:before="0" w:after="0"/>
              <w:rPr>
                <w:b/>
                <w:sz w:val="17"/>
                <w:szCs w:val="17"/>
                <w:rtl/>
              </w:rPr>
            </w:pPr>
            <w:r w:rsidRPr="000E1102">
              <w:rPr>
                <w:b/>
                <w:sz w:val="17"/>
                <w:szCs w:val="17"/>
                <w:rtl/>
              </w:rPr>
              <w:t xml:space="preserve">משרד הבריאות </w:t>
            </w:r>
            <w:r w:rsidRPr="000E1102">
              <w:rPr>
                <w:b/>
                <w:sz w:val="17"/>
                <w:szCs w:val="17"/>
                <w:rtl/>
              </w:rPr>
              <w:t>ו</w:t>
            </w:r>
            <w:r w:rsidRPr="000E1102">
              <w:rPr>
                <w:rFonts w:hint="cs"/>
                <w:b/>
                <w:sz w:val="17"/>
                <w:szCs w:val="17"/>
                <w:rtl/>
              </w:rPr>
              <w:t>ה</w:t>
            </w:r>
            <w:r w:rsidRPr="000E1102">
              <w:rPr>
                <w:b/>
                <w:sz w:val="17"/>
                <w:szCs w:val="17"/>
                <w:rtl/>
              </w:rPr>
              <w:t>מל"ג</w:t>
            </w:r>
            <w:r w:rsidRPr="000E1102">
              <w:rPr>
                <w:b/>
                <w:sz w:val="17"/>
                <w:szCs w:val="17"/>
                <w:rtl/>
              </w:rPr>
              <w:t xml:space="preserve"> לא קבעו את מספר השבועות המרבי שמחלקה יכולה ללמד ביעילות.</w:t>
            </w:r>
          </w:p>
        </w:tc>
        <w:tc>
          <w:tcPr>
            <w:tcW w:w="735" w:type="dxa"/>
            <w:tcBorders>
              <w:top w:val="single" w:sz="4" w:space="0" w:color="auto"/>
              <w:bottom w:val="single" w:sz="2" w:space="0" w:color="auto"/>
            </w:tcBorders>
            <w:shd w:val="clear" w:color="auto" w:fill="DBE8EE"/>
          </w:tcPr>
          <w:p w:rsidR="000E1102" w:rsidRPr="00606EF9" w:rsidP="00EE2EAC" w14:paraId="198C5EA1" w14:textId="3B42584A">
            <w:pPr>
              <w:pStyle w:val="71R"/>
              <w:spacing w:before="0" w:after="0"/>
              <w:rPr>
                <w:rFonts w:ascii="Times New Roman" w:hAnsi="Times New Roman" w:cs="David"/>
                <w:noProof/>
                <w:rtl/>
              </w:rPr>
            </w:pPr>
          </w:p>
        </w:tc>
        <w:tc>
          <w:tcPr>
            <w:tcW w:w="752" w:type="dxa"/>
            <w:tcBorders>
              <w:top w:val="single" w:sz="4" w:space="0" w:color="auto"/>
              <w:bottom w:val="single" w:sz="2" w:space="0" w:color="auto"/>
            </w:tcBorders>
            <w:shd w:val="clear" w:color="auto" w:fill="DBE8EE"/>
          </w:tcPr>
          <w:p w:rsidR="000E1102" w:rsidRPr="00F81EDE" w:rsidP="00EE2EAC" w14:paraId="39170428" w14:textId="7B41EC17">
            <w:pPr>
              <w:pStyle w:val="71R"/>
              <w:spacing w:before="0" w:after="0"/>
              <w:rPr>
                <w:b/>
                <w:rtl/>
              </w:rPr>
            </w:pPr>
            <w:r w:rsidRPr="00606EF9">
              <w:rPr>
                <w:rFonts w:ascii="Times New Roman" w:hAnsi="Times New Roman" w:cs="David"/>
                <w:noProof/>
                <w:rtl/>
              </w:rPr>
              <mc:AlternateContent>
                <mc:Choice Requires="wps">
                  <w:drawing>
                    <wp:anchor distT="0" distB="0" distL="114300" distR="114300" simplePos="0" relativeHeight="251721728" behindDoc="0" locked="0" layoutInCell="1" allowOverlap="1">
                      <wp:simplePos x="0" y="0"/>
                      <wp:positionH relativeFrom="column">
                        <wp:posOffset>-33655</wp:posOffset>
                      </wp:positionH>
                      <wp:positionV relativeFrom="paragraph">
                        <wp:posOffset>290830</wp:posOffset>
                      </wp:positionV>
                      <wp:extent cx="904875" cy="287655"/>
                      <wp:effectExtent l="0" t="0" r="28575" b="17145"/>
                      <wp:wrapNone/>
                      <wp:docPr id="1113575893" name="חץ שמאלה 38"/>
                      <wp:cNvGraphicFramePr/>
                      <a:graphic xmlns:a="http://schemas.openxmlformats.org/drawingml/2006/main">
                        <a:graphicData uri="http://schemas.microsoft.com/office/word/2010/wordprocessingShape">
                          <wps:wsp xmlns:wps="http://schemas.microsoft.com/office/word/2010/wordprocessingShape">
                            <wps:cNvSpPr/>
                            <wps:spPr>
                              <a:xfrm>
                                <a:off x="0" y="0"/>
                                <a:ext cx="904875" cy="287655"/>
                              </a:xfrm>
                              <a:prstGeom prst="leftArrow">
                                <a:avLst/>
                              </a:prstGeom>
                              <a:solidFill>
                                <a:srgbClr val="FFC002"/>
                              </a:solidFill>
                              <a:ln w="25400">
                                <a:solidFill>
                                  <a:srgbClr val="FFC002"/>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38" o:spid="_x0000_s1042" type="#_x0000_t66" style="width:71.25pt;height:22.65pt;margin-top:22.9pt;margin-left:-2.65pt;mso-height-percent:0;mso-height-relative:margin;mso-width-percent:0;mso-width-relative:margin;mso-wrap-distance-bottom:0;mso-wrap-distance-left:9pt;mso-wrap-distance-right:9pt;mso-wrap-distance-top:0;mso-wrap-style:square;position:absolute;visibility:visible;v-text-anchor:middle;z-index:251722752" adj="3433" fillcolor="#ffc002" strokecolor="#ffc002" strokeweight="2pt"/>
                  </w:pict>
                </mc:Fallback>
              </mc:AlternateContent>
            </w:r>
          </w:p>
        </w:tc>
        <w:tc>
          <w:tcPr>
            <w:tcW w:w="707" w:type="dxa"/>
            <w:gridSpan w:val="2"/>
            <w:tcBorders>
              <w:top w:val="single" w:sz="4" w:space="0" w:color="auto"/>
              <w:bottom w:val="single" w:sz="2" w:space="0" w:color="auto"/>
            </w:tcBorders>
            <w:shd w:val="clear" w:color="auto" w:fill="DBE8EE"/>
          </w:tcPr>
          <w:p w:rsidR="000E1102" w:rsidRPr="0027392D" w:rsidP="00EE2EAC" w14:paraId="430738D0" w14:textId="77777777">
            <w:pPr>
              <w:pStyle w:val="71R"/>
              <w:spacing w:before="0" w:after="0"/>
              <w:rPr>
                <w:b/>
                <w:rtl/>
              </w:rPr>
            </w:pPr>
          </w:p>
        </w:tc>
        <w:tc>
          <w:tcPr>
            <w:tcW w:w="844" w:type="dxa"/>
            <w:tcBorders>
              <w:top w:val="single" w:sz="4" w:space="0" w:color="auto"/>
              <w:bottom w:val="single" w:sz="2" w:space="0" w:color="auto"/>
              <w:right w:val="single" w:sz="2" w:space="0" w:color="auto"/>
            </w:tcBorders>
            <w:shd w:val="clear" w:color="auto" w:fill="DBE8EE"/>
          </w:tcPr>
          <w:p w:rsidR="000E1102" w:rsidRPr="0027392D" w:rsidP="00EE2EAC" w14:paraId="071B6BF1" w14:textId="77777777">
            <w:pPr>
              <w:pStyle w:val="71R"/>
              <w:spacing w:before="0" w:after="0"/>
              <w:rPr>
                <w:b/>
                <w:rtl/>
              </w:rPr>
            </w:pPr>
          </w:p>
        </w:tc>
      </w:tr>
      <w:tr w14:paraId="6E4536F3" w14:textId="77777777" w:rsidTr="001D0D99">
        <w:tblPrEx>
          <w:tblW w:w="7366" w:type="dxa"/>
          <w:jc w:val="center"/>
          <w:tblLook w:val="04A0"/>
        </w:tblPrEx>
        <w:trPr>
          <w:jc w:val="center"/>
        </w:trPr>
        <w:tc>
          <w:tcPr>
            <w:tcW w:w="1375" w:type="dxa"/>
            <w:tcBorders>
              <w:top w:val="single" w:sz="2" w:space="0" w:color="auto"/>
              <w:bottom w:val="single" w:sz="4" w:space="0" w:color="auto"/>
            </w:tcBorders>
            <w:shd w:val="clear" w:color="auto" w:fill="ECF4F5"/>
          </w:tcPr>
          <w:p w:rsidR="000E1102" w:rsidRPr="000E1102" w:rsidP="00AC4346" w14:paraId="148B55A5" w14:textId="0BCF501F">
            <w:pPr>
              <w:pStyle w:val="71R"/>
              <w:spacing w:before="0" w:after="0"/>
              <w:rPr>
                <w:b/>
                <w:sz w:val="17"/>
                <w:szCs w:val="17"/>
                <w:rtl/>
              </w:rPr>
            </w:pPr>
            <w:r w:rsidRPr="000E1102">
              <w:rPr>
                <w:b/>
                <w:sz w:val="17"/>
                <w:szCs w:val="17"/>
                <w:rtl/>
              </w:rPr>
              <w:t>הסדרת כללים להתקשרויות בין בתי החולים לאוניברסיטאות להפעלת השדות הקליניים</w:t>
            </w:r>
          </w:p>
        </w:tc>
        <w:tc>
          <w:tcPr>
            <w:tcW w:w="997" w:type="dxa"/>
            <w:tcBorders>
              <w:top w:val="single" w:sz="2" w:space="0" w:color="auto"/>
              <w:bottom w:val="single" w:sz="4" w:space="0" w:color="auto"/>
            </w:tcBorders>
            <w:shd w:val="clear" w:color="auto" w:fill="ECF4F5"/>
          </w:tcPr>
          <w:p w:rsidR="000E1102" w:rsidRPr="000E1102" w:rsidP="00AC4346" w14:paraId="40614C9F" w14:textId="2B417314">
            <w:pPr>
              <w:pStyle w:val="71R"/>
              <w:spacing w:before="0" w:after="0"/>
              <w:rPr>
                <w:b/>
                <w:sz w:val="17"/>
                <w:szCs w:val="17"/>
                <w:rtl/>
              </w:rPr>
            </w:pPr>
            <w:r w:rsidRPr="000E1102">
              <w:rPr>
                <w:rFonts w:hint="cs"/>
                <w:b/>
                <w:sz w:val="17"/>
                <w:szCs w:val="17"/>
                <w:rtl/>
              </w:rPr>
              <w:t xml:space="preserve">משרד הבריאות </w:t>
            </w:r>
            <w:r w:rsidRPr="000E1102">
              <w:rPr>
                <w:rFonts w:hint="cs"/>
                <w:b/>
                <w:sz w:val="17"/>
                <w:szCs w:val="17"/>
                <w:rtl/>
              </w:rPr>
              <w:t>והמל"ג</w:t>
            </w:r>
          </w:p>
        </w:tc>
        <w:tc>
          <w:tcPr>
            <w:tcW w:w="1956" w:type="dxa"/>
            <w:tcBorders>
              <w:top w:val="single" w:sz="2" w:space="0" w:color="auto"/>
              <w:bottom w:val="single" w:sz="4" w:space="0" w:color="auto"/>
            </w:tcBorders>
            <w:shd w:val="clear" w:color="auto" w:fill="ECF4F5"/>
          </w:tcPr>
          <w:p w:rsidR="000E1102" w:rsidRPr="000E1102" w:rsidP="00AC4346" w14:paraId="6FC533A5" w14:textId="08E89A7D">
            <w:pPr>
              <w:pStyle w:val="71R"/>
              <w:spacing w:before="0" w:after="0"/>
              <w:rPr>
                <w:b/>
                <w:sz w:val="17"/>
                <w:szCs w:val="17"/>
                <w:rtl/>
              </w:rPr>
            </w:pPr>
            <w:r w:rsidRPr="000E1102">
              <w:rPr>
                <w:b/>
                <w:sz w:val="17"/>
                <w:szCs w:val="17"/>
                <w:rtl/>
              </w:rPr>
              <w:t xml:space="preserve">מל"ג-ות"ת ומשרד הבריאות, האמורים להיות הגופים </w:t>
            </w:r>
            <w:r w:rsidRPr="000E1102">
              <w:rPr>
                <w:b/>
                <w:sz w:val="17"/>
                <w:szCs w:val="17"/>
                <w:rtl/>
              </w:rPr>
              <w:t>המאסדרים</w:t>
            </w:r>
            <w:r w:rsidRPr="000E1102">
              <w:rPr>
                <w:b/>
                <w:sz w:val="17"/>
                <w:szCs w:val="17"/>
                <w:rtl/>
              </w:rPr>
              <w:t xml:space="preserve"> של הפעילות האקדמית בבתי החולים והאחראים לתקצובה, לא קבעו כללים כלשהם בנוגע להסכמי ההתקשרות בין הפקולטות לרפואה ובין בתי החולים, ואף אינם דורשים שההסכמים יובאו לאישורם או אפילו לידיעתם</w:t>
            </w:r>
            <w:r w:rsidRPr="000E1102">
              <w:rPr>
                <w:rFonts w:hint="cs"/>
                <w:b/>
                <w:sz w:val="17"/>
                <w:szCs w:val="17"/>
                <w:rtl/>
              </w:rPr>
              <w:t>.</w:t>
            </w:r>
          </w:p>
        </w:tc>
        <w:tc>
          <w:tcPr>
            <w:tcW w:w="735" w:type="dxa"/>
            <w:tcBorders>
              <w:top w:val="single" w:sz="2" w:space="0" w:color="auto"/>
              <w:bottom w:val="single" w:sz="4" w:space="0" w:color="auto"/>
            </w:tcBorders>
            <w:shd w:val="clear" w:color="auto" w:fill="ECF4F5"/>
          </w:tcPr>
          <w:p w:rsidR="000E1102" w:rsidRPr="00606EF9" w:rsidP="00AC4346" w14:paraId="7B5B3082" w14:textId="23258C09">
            <w:pPr>
              <w:pStyle w:val="71R"/>
              <w:spacing w:before="0" w:after="0"/>
              <w:rPr>
                <w:rFonts w:ascii="Times New Roman" w:hAnsi="Times New Roman" w:cs="David"/>
                <w:noProof/>
                <w:rtl/>
              </w:rPr>
            </w:pPr>
            <w:r w:rsidRPr="00606EF9">
              <w:rPr>
                <w:rFonts w:ascii="Times New Roman" w:hAnsi="Times New Roman" w:cs="David"/>
                <w:noProof/>
                <w:rtl/>
              </w:rPr>
              <mc:AlternateContent>
                <mc:Choice Requires="wps">
                  <w:drawing>
                    <wp:anchor distT="0" distB="0" distL="114300" distR="114300" simplePos="0" relativeHeight="251723776" behindDoc="0" locked="0" layoutInCell="1" allowOverlap="1">
                      <wp:simplePos x="0" y="0"/>
                      <wp:positionH relativeFrom="column">
                        <wp:posOffset>-34925</wp:posOffset>
                      </wp:positionH>
                      <wp:positionV relativeFrom="paragraph">
                        <wp:posOffset>1122680</wp:posOffset>
                      </wp:positionV>
                      <wp:extent cx="414020" cy="287655"/>
                      <wp:effectExtent l="0" t="0" r="24130" b="17145"/>
                      <wp:wrapNone/>
                      <wp:docPr id="1113575894" name="חץ שמאלה 38"/>
                      <wp:cNvGraphicFramePr/>
                      <a:graphic xmlns:a="http://schemas.openxmlformats.org/drawingml/2006/main">
                        <a:graphicData uri="http://schemas.microsoft.com/office/word/2010/wordprocessingShape">
                          <wps:wsp xmlns:wps="http://schemas.microsoft.com/office/word/2010/wordprocessingShape">
                            <wps:cNvSpPr/>
                            <wps:spPr>
                              <a:xfrm>
                                <a:off x="0" y="0"/>
                                <a:ext cx="414020" cy="287655"/>
                              </a:xfrm>
                              <a:prstGeom prst="leftArrow">
                                <a:avLst/>
                              </a:prstGeom>
                              <a:solidFill>
                                <a:srgbClr val="FF0B00"/>
                              </a:solidFill>
                              <a:ln w="25400">
                                <a:solidFill>
                                  <a:srgbClr val="FF0B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38" o:spid="_x0000_s1043" type="#_x0000_t66" style="width:32.6pt;height:22.65pt;margin-top:88.4pt;margin-left:-2.75pt;mso-height-percent:0;mso-height-relative:margin;mso-width-percent:0;mso-width-relative:margin;mso-wrap-distance-bottom:0;mso-wrap-distance-left:9pt;mso-wrap-distance-right:9pt;mso-wrap-distance-top:0;mso-wrap-style:square;position:absolute;visibility:visible;v-text-anchor:middle;z-index:251724800" adj="7504" fillcolor="#ff0b00" strokecolor="#ff0b00" strokeweight="2pt"/>
                  </w:pict>
                </mc:Fallback>
              </mc:AlternateContent>
            </w:r>
          </w:p>
        </w:tc>
        <w:tc>
          <w:tcPr>
            <w:tcW w:w="752" w:type="dxa"/>
            <w:tcBorders>
              <w:top w:val="single" w:sz="2" w:space="0" w:color="auto"/>
              <w:bottom w:val="single" w:sz="4" w:space="0" w:color="auto"/>
            </w:tcBorders>
            <w:shd w:val="clear" w:color="auto" w:fill="ECF4F5"/>
          </w:tcPr>
          <w:p w:rsidR="000E1102" w:rsidRPr="00F81EDE" w:rsidP="00AC4346" w14:paraId="7460D6E5" w14:textId="40FC1E5C">
            <w:pPr>
              <w:pStyle w:val="71R"/>
              <w:spacing w:before="0" w:after="0"/>
              <w:rPr>
                <w:b/>
                <w:rtl/>
              </w:rPr>
            </w:pPr>
          </w:p>
        </w:tc>
        <w:tc>
          <w:tcPr>
            <w:tcW w:w="707" w:type="dxa"/>
            <w:gridSpan w:val="2"/>
            <w:tcBorders>
              <w:top w:val="single" w:sz="2" w:space="0" w:color="auto"/>
              <w:bottom w:val="single" w:sz="4" w:space="0" w:color="auto"/>
            </w:tcBorders>
            <w:shd w:val="clear" w:color="auto" w:fill="ECF4F5"/>
          </w:tcPr>
          <w:p w:rsidR="000E1102" w:rsidRPr="0027392D" w:rsidP="00AC4346" w14:paraId="42211025" w14:textId="77777777">
            <w:pPr>
              <w:pStyle w:val="71R"/>
              <w:spacing w:before="0" w:after="0"/>
              <w:rPr>
                <w:b/>
                <w:rtl/>
              </w:rPr>
            </w:pPr>
          </w:p>
        </w:tc>
        <w:tc>
          <w:tcPr>
            <w:tcW w:w="844" w:type="dxa"/>
            <w:tcBorders>
              <w:top w:val="single" w:sz="2" w:space="0" w:color="auto"/>
              <w:bottom w:val="single" w:sz="4" w:space="0" w:color="auto"/>
            </w:tcBorders>
            <w:shd w:val="clear" w:color="auto" w:fill="ECF4F5"/>
          </w:tcPr>
          <w:p w:rsidR="000E1102" w:rsidRPr="0027392D" w:rsidP="00AC4346" w14:paraId="09752626" w14:textId="77777777">
            <w:pPr>
              <w:pStyle w:val="71R"/>
              <w:spacing w:before="0" w:after="0"/>
              <w:rPr>
                <w:b/>
                <w:rtl/>
              </w:rPr>
            </w:pPr>
          </w:p>
        </w:tc>
      </w:tr>
      <w:tr w14:paraId="364777FC" w14:textId="77777777" w:rsidTr="00862660">
        <w:tblPrEx>
          <w:tblW w:w="7366" w:type="dxa"/>
          <w:jc w:val="center"/>
          <w:tblLook w:val="04A0"/>
        </w:tblPrEx>
        <w:trPr>
          <w:jc w:val="center"/>
        </w:trPr>
        <w:tc>
          <w:tcPr>
            <w:tcW w:w="1375" w:type="dxa"/>
            <w:tcBorders>
              <w:bottom w:val="single" w:sz="4" w:space="0" w:color="auto"/>
            </w:tcBorders>
            <w:shd w:val="clear" w:color="auto" w:fill="DBE8EE"/>
          </w:tcPr>
          <w:p w:rsidR="000E1102" w:rsidRPr="000E1102" w:rsidP="00AC4346" w14:paraId="348532E8" w14:textId="63EBD119">
            <w:pPr>
              <w:pStyle w:val="71R"/>
              <w:spacing w:before="0" w:after="0"/>
              <w:rPr>
                <w:bCs/>
                <w:sz w:val="17"/>
                <w:szCs w:val="17"/>
                <w:rtl/>
              </w:rPr>
            </w:pPr>
            <w:r w:rsidRPr="000E1102">
              <w:rPr>
                <w:bCs/>
                <w:sz w:val="17"/>
                <w:szCs w:val="17"/>
                <w:rtl/>
              </w:rPr>
              <w:t>צמצום מספר הסטודנטים הזרים מחו״ל הלומדים בתוכניות ללימודי רפואה בארץ</w:t>
            </w:r>
          </w:p>
        </w:tc>
        <w:tc>
          <w:tcPr>
            <w:tcW w:w="997" w:type="dxa"/>
            <w:tcBorders>
              <w:bottom w:val="single" w:sz="4" w:space="0" w:color="auto"/>
            </w:tcBorders>
            <w:shd w:val="clear" w:color="auto" w:fill="DBE8EE"/>
          </w:tcPr>
          <w:p w:rsidR="000E1102" w:rsidRPr="000E1102" w:rsidP="00AC4346" w14:paraId="74FEBAC8" w14:textId="65A5B943">
            <w:pPr>
              <w:pStyle w:val="71R"/>
              <w:spacing w:before="0" w:after="0"/>
              <w:rPr>
                <w:b/>
                <w:sz w:val="17"/>
                <w:szCs w:val="17"/>
                <w:rtl/>
              </w:rPr>
            </w:pPr>
            <w:r w:rsidRPr="000E1102">
              <w:rPr>
                <w:rFonts w:hint="cs"/>
                <w:b/>
                <w:sz w:val="17"/>
                <w:szCs w:val="17"/>
                <w:rtl/>
              </w:rPr>
              <w:t>מל"ג-ות"ת</w:t>
            </w:r>
          </w:p>
        </w:tc>
        <w:tc>
          <w:tcPr>
            <w:tcW w:w="1956" w:type="dxa"/>
            <w:tcBorders>
              <w:bottom w:val="single" w:sz="4" w:space="0" w:color="auto"/>
            </w:tcBorders>
            <w:shd w:val="clear" w:color="auto" w:fill="DBE8EE"/>
          </w:tcPr>
          <w:p w:rsidR="000E1102" w:rsidRPr="000E1102" w:rsidP="00AC4346" w14:paraId="6B5075F4" w14:textId="6AC5E73D">
            <w:pPr>
              <w:pStyle w:val="71R"/>
              <w:spacing w:before="0" w:after="0"/>
              <w:rPr>
                <w:b/>
                <w:sz w:val="17"/>
                <w:szCs w:val="17"/>
                <w:rtl/>
              </w:rPr>
            </w:pPr>
            <w:r w:rsidRPr="000E1102">
              <w:rPr>
                <w:b/>
                <w:sz w:val="17"/>
                <w:szCs w:val="17"/>
                <w:rtl/>
              </w:rPr>
              <w:t>מל"ג-ות"ת לא אכפה על האוניברסיטאות ליישם את החלטתה לצמצם בהדרגה את מספר הסטודנטים הזרים הלומדים בפקולטות לרפואה.</w:t>
            </w:r>
          </w:p>
        </w:tc>
        <w:tc>
          <w:tcPr>
            <w:tcW w:w="735" w:type="dxa"/>
            <w:tcBorders>
              <w:top w:val="single" w:sz="4" w:space="0" w:color="auto"/>
              <w:bottom w:val="single" w:sz="4" w:space="0" w:color="auto"/>
            </w:tcBorders>
            <w:shd w:val="clear" w:color="auto" w:fill="DBE8EE"/>
          </w:tcPr>
          <w:p w:rsidR="000E1102" w:rsidRPr="00606EF9" w:rsidP="00AC4346" w14:paraId="08C9EFAE" w14:textId="17A5A21D">
            <w:pPr>
              <w:pStyle w:val="71R"/>
              <w:spacing w:before="0" w:after="0"/>
              <w:rPr>
                <w:rFonts w:ascii="Times New Roman" w:hAnsi="Times New Roman" w:cs="David"/>
                <w:noProof/>
                <w:rtl/>
              </w:rPr>
            </w:pPr>
          </w:p>
        </w:tc>
        <w:tc>
          <w:tcPr>
            <w:tcW w:w="752" w:type="dxa"/>
            <w:tcBorders>
              <w:top w:val="single" w:sz="4" w:space="0" w:color="auto"/>
              <w:bottom w:val="single" w:sz="4" w:space="0" w:color="auto"/>
            </w:tcBorders>
            <w:shd w:val="clear" w:color="auto" w:fill="DBE8EE"/>
          </w:tcPr>
          <w:p w:rsidR="000E1102" w:rsidRPr="00F81EDE" w:rsidP="00AC4346" w14:paraId="45FC9830" w14:textId="77777777">
            <w:pPr>
              <w:pStyle w:val="71R"/>
              <w:spacing w:before="0" w:after="0"/>
              <w:rPr>
                <w:b/>
                <w:rtl/>
              </w:rPr>
            </w:pPr>
          </w:p>
        </w:tc>
        <w:tc>
          <w:tcPr>
            <w:tcW w:w="707" w:type="dxa"/>
            <w:gridSpan w:val="2"/>
            <w:tcBorders>
              <w:top w:val="single" w:sz="4" w:space="0" w:color="auto"/>
              <w:bottom w:val="single" w:sz="4" w:space="0" w:color="auto"/>
            </w:tcBorders>
            <w:shd w:val="clear" w:color="auto" w:fill="DBE8EE"/>
          </w:tcPr>
          <w:p w:rsidR="000E1102" w:rsidRPr="0027392D" w:rsidP="00AC4346" w14:paraId="06674933" w14:textId="77777777">
            <w:pPr>
              <w:pStyle w:val="71R"/>
              <w:spacing w:before="0" w:after="0"/>
              <w:rPr>
                <w:b/>
                <w:rtl/>
              </w:rPr>
            </w:pPr>
          </w:p>
        </w:tc>
        <w:tc>
          <w:tcPr>
            <w:tcW w:w="844" w:type="dxa"/>
            <w:tcBorders>
              <w:top w:val="single" w:sz="4" w:space="0" w:color="auto"/>
              <w:bottom w:val="single" w:sz="4" w:space="0" w:color="auto"/>
            </w:tcBorders>
            <w:shd w:val="clear" w:color="auto" w:fill="DBE8EE"/>
          </w:tcPr>
          <w:p w:rsidR="000E1102" w:rsidRPr="0027392D" w:rsidP="00AC4346" w14:paraId="436FE240" w14:textId="4848E7BC">
            <w:pPr>
              <w:pStyle w:val="71R"/>
              <w:spacing w:before="0" w:after="0"/>
              <w:rPr>
                <w:b/>
                <w:rtl/>
              </w:rPr>
            </w:pPr>
            <w:r w:rsidRPr="00606EF9">
              <w:rPr>
                <w:rFonts w:ascii="Times New Roman" w:hAnsi="Times New Roman" w:cs="David"/>
                <w:noProof/>
                <w:rtl/>
              </w:rPr>
              <mc:AlternateContent>
                <mc:Choice Requires="wps">
                  <w:drawing>
                    <wp:anchor distT="0" distB="0" distL="114300" distR="114300" simplePos="0" relativeHeight="251725824" behindDoc="0" locked="0" layoutInCell="1" allowOverlap="1">
                      <wp:simplePos x="0" y="0"/>
                      <wp:positionH relativeFrom="column">
                        <wp:posOffset>-29210</wp:posOffset>
                      </wp:positionH>
                      <wp:positionV relativeFrom="paragraph">
                        <wp:posOffset>411480</wp:posOffset>
                      </wp:positionV>
                      <wp:extent cx="1922145" cy="287655"/>
                      <wp:effectExtent l="0" t="0" r="20955" b="17145"/>
                      <wp:wrapNone/>
                      <wp:docPr id="1113575895" name="חץ שמאלה 38"/>
                      <wp:cNvGraphicFramePr/>
                      <a:graphic xmlns:a="http://schemas.openxmlformats.org/drawingml/2006/main">
                        <a:graphicData uri="http://schemas.microsoft.com/office/word/2010/wordprocessingShape">
                          <wps:wsp xmlns:wps="http://schemas.microsoft.com/office/word/2010/wordprocessingShape">
                            <wps:cNvSpPr/>
                            <wps:spPr>
                              <a:xfrm>
                                <a:off x="0" y="0"/>
                                <a:ext cx="1922145" cy="287655"/>
                              </a:xfrm>
                              <a:prstGeom prst="leftArrow">
                                <a:avLst/>
                              </a:prstGeom>
                              <a:solidFill>
                                <a:srgbClr val="91CE50"/>
                              </a:solidFill>
                              <a:ln w="25400">
                                <a:solidFill>
                                  <a:srgbClr val="91CE5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38" o:spid="_x0000_s1044" type="#_x0000_t66" style="width:151.35pt;height:22.65pt;margin-top:32.4pt;margin-left:-2.3pt;mso-height-percent:0;mso-height-relative:margin;mso-width-percent:0;mso-width-relative:margin;mso-wrap-distance-bottom:0;mso-wrap-distance-left:9pt;mso-wrap-distance-right:9pt;mso-wrap-distance-top:0;mso-wrap-style:square;position:absolute;visibility:visible;v-text-anchor:middle;z-index:251726848" adj="1616" fillcolor="#91ce50" strokecolor="#91ce50" strokeweight="2pt"/>
                  </w:pict>
                </mc:Fallback>
              </mc:AlternateContent>
            </w:r>
          </w:p>
        </w:tc>
      </w:tr>
      <w:tr w14:paraId="24D21234" w14:textId="77777777" w:rsidTr="001D0D99">
        <w:tblPrEx>
          <w:tblW w:w="7366" w:type="dxa"/>
          <w:jc w:val="center"/>
          <w:tblLook w:val="04A0"/>
        </w:tblPrEx>
        <w:trPr>
          <w:jc w:val="center"/>
        </w:trPr>
        <w:tc>
          <w:tcPr>
            <w:tcW w:w="1375" w:type="dxa"/>
            <w:tcBorders>
              <w:bottom w:val="single" w:sz="2" w:space="0" w:color="auto"/>
            </w:tcBorders>
            <w:shd w:val="clear" w:color="auto" w:fill="ECF4F5"/>
          </w:tcPr>
          <w:p w:rsidR="000E1102" w:rsidRPr="000E1102" w:rsidP="00AC4346" w14:paraId="3DCCF136" w14:textId="4029F6D8">
            <w:pPr>
              <w:pStyle w:val="71R"/>
              <w:spacing w:before="0" w:after="0"/>
              <w:rPr>
                <w:bCs/>
                <w:sz w:val="17"/>
                <w:szCs w:val="17"/>
                <w:rtl/>
              </w:rPr>
            </w:pPr>
            <w:r w:rsidRPr="000E1102">
              <w:rPr>
                <w:bCs/>
                <w:sz w:val="17"/>
                <w:szCs w:val="17"/>
                <w:rtl/>
              </w:rPr>
              <w:t>ישראלים בוגרי פקולטות לרפואה בחו"ל שנקלטים בארץ -</w:t>
            </w:r>
            <w:r w:rsidRPr="000E1102">
              <w:rPr>
                <w:rFonts w:hint="cs"/>
                <w:bCs/>
                <w:sz w:val="17"/>
                <w:szCs w:val="17"/>
                <w:rtl/>
              </w:rPr>
              <w:t xml:space="preserve"> </w:t>
            </w:r>
            <w:r w:rsidRPr="000E1102">
              <w:rPr>
                <w:b/>
                <w:sz w:val="17"/>
                <w:szCs w:val="17"/>
                <w:rtl/>
              </w:rPr>
              <w:t>הסתמכות על בוגרי רפואה ישראלים שלמדו בחו"ל</w:t>
            </w:r>
          </w:p>
        </w:tc>
        <w:tc>
          <w:tcPr>
            <w:tcW w:w="997" w:type="dxa"/>
            <w:tcBorders>
              <w:bottom w:val="single" w:sz="2" w:space="0" w:color="auto"/>
            </w:tcBorders>
            <w:shd w:val="clear" w:color="auto" w:fill="ECF4F5"/>
          </w:tcPr>
          <w:p w:rsidR="000E1102" w:rsidRPr="00EC78AA" w:rsidP="00AC4346" w14:paraId="7A4E778F" w14:textId="24EF8E5E">
            <w:pPr>
              <w:pStyle w:val="71R"/>
              <w:spacing w:before="0" w:after="0"/>
              <w:rPr>
                <w:sz w:val="18"/>
                <w:szCs w:val="18"/>
                <w:rtl/>
              </w:rPr>
            </w:pPr>
            <w:r w:rsidRPr="000E1102">
              <w:rPr>
                <w:rFonts w:hint="cs"/>
                <w:b/>
                <w:sz w:val="17"/>
                <w:szCs w:val="17"/>
                <w:rtl/>
              </w:rPr>
              <w:t xml:space="preserve">משרד הבריאות </w:t>
            </w:r>
            <w:r w:rsidRPr="000E1102">
              <w:rPr>
                <w:rFonts w:hint="cs"/>
                <w:b/>
                <w:sz w:val="17"/>
                <w:szCs w:val="17"/>
                <w:rtl/>
              </w:rPr>
              <w:t>והמל"ג</w:t>
            </w:r>
          </w:p>
        </w:tc>
        <w:tc>
          <w:tcPr>
            <w:tcW w:w="1956" w:type="dxa"/>
            <w:tcBorders>
              <w:bottom w:val="single" w:sz="2" w:space="0" w:color="auto"/>
            </w:tcBorders>
            <w:shd w:val="clear" w:color="auto" w:fill="ECF4F5"/>
          </w:tcPr>
          <w:p w:rsidR="000E1102" w:rsidRPr="000E1102" w:rsidP="00AC4346" w14:paraId="2F4DAC13" w14:textId="15357415">
            <w:pPr>
              <w:pStyle w:val="71R"/>
              <w:spacing w:before="0" w:after="0"/>
              <w:rPr>
                <w:b/>
                <w:sz w:val="17"/>
                <w:szCs w:val="17"/>
                <w:rtl/>
              </w:rPr>
            </w:pPr>
            <w:r w:rsidRPr="000E1102">
              <w:rPr>
                <w:b/>
                <w:sz w:val="17"/>
                <w:szCs w:val="17"/>
                <w:rtl/>
              </w:rPr>
              <w:t>השיעור הגבוה של רופאים ישראלים שלמדו בחו"ל וקיבלו רישיון לעבוד בארץ מצביע על כך שמדינת ישראל נסמכת במידה רבה על בוגרי רפואה שלא למדו בארץ אך אין לה שום השפעה על קביעת המרכיבים השונים של התוכנית להכשרתם ולהתאמתם למערכת הבריאות בישראל, לדרישותיה ולצרכיה.</w:t>
            </w:r>
          </w:p>
        </w:tc>
        <w:tc>
          <w:tcPr>
            <w:tcW w:w="735" w:type="dxa"/>
            <w:tcBorders>
              <w:top w:val="single" w:sz="4" w:space="0" w:color="auto"/>
              <w:bottom w:val="single" w:sz="2" w:space="0" w:color="auto"/>
            </w:tcBorders>
            <w:shd w:val="clear" w:color="auto" w:fill="ECF4F5"/>
          </w:tcPr>
          <w:p w:rsidR="000E1102" w:rsidRPr="00606EF9" w:rsidP="00AC4346" w14:paraId="51CF29F2" w14:textId="55543900">
            <w:pPr>
              <w:pStyle w:val="71R"/>
              <w:spacing w:before="0" w:after="0"/>
              <w:rPr>
                <w:rFonts w:ascii="Times New Roman" w:hAnsi="Times New Roman" w:cs="David"/>
                <w:noProof/>
                <w:rtl/>
              </w:rPr>
            </w:pPr>
          </w:p>
        </w:tc>
        <w:tc>
          <w:tcPr>
            <w:tcW w:w="752" w:type="dxa"/>
            <w:tcBorders>
              <w:top w:val="single" w:sz="4" w:space="0" w:color="auto"/>
              <w:bottom w:val="single" w:sz="2" w:space="0" w:color="auto"/>
            </w:tcBorders>
            <w:shd w:val="clear" w:color="auto" w:fill="ECF4F5"/>
          </w:tcPr>
          <w:p w:rsidR="000E1102" w:rsidRPr="00F81EDE" w:rsidP="00AC4346" w14:paraId="138908FA" w14:textId="6F9423B3">
            <w:pPr>
              <w:pStyle w:val="71R"/>
              <w:spacing w:before="0" w:after="0"/>
              <w:rPr>
                <w:b/>
                <w:rtl/>
              </w:rPr>
            </w:pPr>
          </w:p>
        </w:tc>
        <w:tc>
          <w:tcPr>
            <w:tcW w:w="707" w:type="dxa"/>
            <w:gridSpan w:val="2"/>
            <w:tcBorders>
              <w:top w:val="single" w:sz="4" w:space="0" w:color="auto"/>
              <w:bottom w:val="single" w:sz="2" w:space="0" w:color="auto"/>
            </w:tcBorders>
            <w:shd w:val="clear" w:color="auto" w:fill="ECF4F5"/>
          </w:tcPr>
          <w:p w:rsidR="000E1102" w:rsidRPr="0027392D" w:rsidP="00AC4346" w14:paraId="0B2A0D0E" w14:textId="3341A6B2">
            <w:pPr>
              <w:pStyle w:val="71R"/>
              <w:spacing w:before="0" w:after="0"/>
              <w:rPr>
                <w:b/>
                <w:rtl/>
              </w:rPr>
            </w:pPr>
          </w:p>
        </w:tc>
        <w:tc>
          <w:tcPr>
            <w:tcW w:w="844" w:type="dxa"/>
            <w:tcBorders>
              <w:top w:val="single" w:sz="4" w:space="0" w:color="auto"/>
              <w:bottom w:val="single" w:sz="2" w:space="0" w:color="auto"/>
            </w:tcBorders>
            <w:shd w:val="clear" w:color="auto" w:fill="ECF4F5"/>
          </w:tcPr>
          <w:p w:rsidR="000E1102" w:rsidRPr="0027392D" w:rsidP="00AC4346" w14:paraId="67438855" w14:textId="1B1BA9BE">
            <w:pPr>
              <w:pStyle w:val="71R"/>
              <w:spacing w:before="0" w:after="0"/>
              <w:rPr>
                <w:b/>
                <w:rtl/>
              </w:rPr>
            </w:pPr>
            <w:r w:rsidRPr="00606EF9">
              <w:rPr>
                <w:rFonts w:ascii="Times New Roman" w:hAnsi="Times New Roman" w:cs="David"/>
                <w:noProof/>
                <w:rtl/>
              </w:rPr>
              <mc:AlternateContent>
                <mc:Choice Requires="wps">
                  <w:drawing>
                    <wp:anchor distT="0" distB="0" distL="114300" distR="114300" simplePos="0" relativeHeight="251727872" behindDoc="0" locked="0" layoutInCell="1" allowOverlap="1">
                      <wp:simplePos x="0" y="0"/>
                      <wp:positionH relativeFrom="column">
                        <wp:posOffset>-35560</wp:posOffset>
                      </wp:positionH>
                      <wp:positionV relativeFrom="paragraph">
                        <wp:posOffset>900430</wp:posOffset>
                      </wp:positionV>
                      <wp:extent cx="1928495" cy="287655"/>
                      <wp:effectExtent l="0" t="0" r="14605" b="17145"/>
                      <wp:wrapNone/>
                      <wp:docPr id="1113575896" name="חץ שמאלה 38"/>
                      <wp:cNvGraphicFramePr/>
                      <a:graphic xmlns:a="http://schemas.openxmlformats.org/drawingml/2006/main">
                        <a:graphicData uri="http://schemas.microsoft.com/office/word/2010/wordprocessingShape">
                          <wps:wsp xmlns:wps="http://schemas.microsoft.com/office/word/2010/wordprocessingShape">
                            <wps:cNvSpPr/>
                            <wps:spPr>
                              <a:xfrm>
                                <a:off x="0" y="0"/>
                                <a:ext cx="1928495" cy="287655"/>
                              </a:xfrm>
                              <a:prstGeom prst="leftArrow">
                                <a:avLst/>
                              </a:prstGeom>
                              <a:solidFill>
                                <a:srgbClr val="91CE50"/>
                              </a:solidFill>
                              <a:ln w="25400">
                                <a:solidFill>
                                  <a:srgbClr val="91CE5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38" o:spid="_x0000_s1045" type="#_x0000_t66" style="width:151.85pt;height:22.65pt;margin-top:70.9pt;margin-left:-2.8pt;mso-height-percent:0;mso-height-relative:margin;mso-width-percent:0;mso-width-relative:margin;mso-wrap-distance-bottom:0;mso-wrap-distance-left:9pt;mso-wrap-distance-right:9pt;mso-wrap-distance-top:0;mso-wrap-style:square;position:absolute;visibility:visible;v-text-anchor:middle;z-index:251728896" adj="1611" fillcolor="#91ce50" strokecolor="#91ce50" strokeweight="2pt"/>
                  </w:pict>
                </mc:Fallback>
              </mc:AlternateContent>
            </w:r>
          </w:p>
        </w:tc>
      </w:tr>
      <w:tr w14:paraId="4A08C339" w14:textId="77777777" w:rsidTr="001D0D99">
        <w:tblPrEx>
          <w:tblW w:w="7366" w:type="dxa"/>
          <w:jc w:val="center"/>
          <w:tblLook w:val="04A0"/>
        </w:tblPrEx>
        <w:trPr>
          <w:jc w:val="center"/>
        </w:trPr>
        <w:tc>
          <w:tcPr>
            <w:tcW w:w="1375" w:type="dxa"/>
            <w:tcBorders>
              <w:top w:val="single" w:sz="2" w:space="0" w:color="auto"/>
              <w:left w:val="single" w:sz="2" w:space="0" w:color="auto"/>
              <w:bottom w:val="single" w:sz="2" w:space="0" w:color="auto"/>
              <w:right w:val="single" w:sz="2" w:space="0" w:color="auto"/>
            </w:tcBorders>
            <w:shd w:val="clear" w:color="auto" w:fill="DBE8EE"/>
          </w:tcPr>
          <w:p w:rsidR="00E274BB" w:rsidRPr="006230E9" w:rsidP="00AF1C76" w14:paraId="1EFF420D" w14:textId="5908F416">
            <w:pPr>
              <w:pStyle w:val="71R"/>
              <w:spacing w:before="0" w:after="0" w:line="220" w:lineRule="exact"/>
              <w:rPr>
                <w:b/>
                <w:sz w:val="17"/>
                <w:szCs w:val="17"/>
                <w:rtl/>
              </w:rPr>
            </w:pPr>
            <w:r w:rsidRPr="006230E9">
              <w:rPr>
                <w:b/>
                <w:sz w:val="17"/>
                <w:szCs w:val="17"/>
                <w:rtl/>
              </w:rPr>
              <w:t xml:space="preserve">קורסי ההכנה לקראת בחינת הרישוי לבוגרי רפואה ישראלים שלמדו במוסדות בחו"ל </w:t>
            </w:r>
          </w:p>
        </w:tc>
        <w:tc>
          <w:tcPr>
            <w:tcW w:w="997" w:type="dxa"/>
            <w:tcBorders>
              <w:top w:val="single" w:sz="2" w:space="0" w:color="auto"/>
              <w:left w:val="single" w:sz="2" w:space="0" w:color="auto"/>
              <w:bottom w:val="single" w:sz="2" w:space="0" w:color="auto"/>
              <w:right w:val="single" w:sz="2" w:space="0" w:color="auto"/>
            </w:tcBorders>
            <w:shd w:val="clear" w:color="auto" w:fill="DBE8EE"/>
          </w:tcPr>
          <w:p w:rsidR="00E274BB" w:rsidRPr="000E1102" w:rsidP="00AF1C76" w14:paraId="4195B2A2" w14:textId="46CC4030">
            <w:pPr>
              <w:pStyle w:val="71R"/>
              <w:spacing w:before="0" w:after="0" w:line="220" w:lineRule="exact"/>
              <w:rPr>
                <w:b/>
                <w:sz w:val="17"/>
                <w:szCs w:val="17"/>
                <w:rtl/>
              </w:rPr>
            </w:pPr>
            <w:r w:rsidRPr="006230E9">
              <w:rPr>
                <w:rFonts w:hint="cs"/>
                <w:b/>
                <w:sz w:val="17"/>
                <w:szCs w:val="17"/>
                <w:rtl/>
              </w:rPr>
              <w:t>משרד הבריאות</w:t>
            </w:r>
          </w:p>
        </w:tc>
        <w:tc>
          <w:tcPr>
            <w:tcW w:w="1956" w:type="dxa"/>
            <w:tcBorders>
              <w:top w:val="single" w:sz="2" w:space="0" w:color="auto"/>
              <w:left w:val="single" w:sz="2" w:space="0" w:color="auto"/>
              <w:bottom w:val="single" w:sz="2" w:space="0" w:color="auto"/>
              <w:right w:val="single" w:sz="2" w:space="0" w:color="auto"/>
            </w:tcBorders>
            <w:shd w:val="clear" w:color="auto" w:fill="DBE8EE"/>
          </w:tcPr>
          <w:p w:rsidR="00E274BB" w:rsidRPr="000E1102" w:rsidP="00AF1C76" w14:paraId="26F2B663" w14:textId="427CBC38">
            <w:pPr>
              <w:pStyle w:val="71R"/>
              <w:spacing w:before="0" w:after="0" w:line="220" w:lineRule="exact"/>
              <w:rPr>
                <w:b/>
                <w:sz w:val="17"/>
                <w:szCs w:val="17"/>
                <w:rtl/>
              </w:rPr>
            </w:pPr>
            <w:r w:rsidRPr="006230E9">
              <w:rPr>
                <w:b/>
                <w:sz w:val="17"/>
                <w:szCs w:val="17"/>
                <w:rtl/>
              </w:rPr>
              <w:t>משרד הבריאות לא קבע כללים או דרישות להכרה בקורס ההכנה. המשרד גם לא קבע הוראות לבקרה על האופן שבו פועלים קורסי ההכנה</w:t>
            </w:r>
          </w:p>
        </w:tc>
        <w:tc>
          <w:tcPr>
            <w:tcW w:w="735" w:type="dxa"/>
            <w:tcBorders>
              <w:top w:val="single" w:sz="2" w:space="0" w:color="auto"/>
              <w:left w:val="single" w:sz="2" w:space="0" w:color="auto"/>
              <w:bottom w:val="single" w:sz="2" w:space="0" w:color="auto"/>
              <w:right w:val="single" w:sz="2" w:space="0" w:color="auto"/>
            </w:tcBorders>
            <w:shd w:val="clear" w:color="auto" w:fill="DBE8EE"/>
          </w:tcPr>
          <w:p w:rsidR="00E274BB" w:rsidRPr="00606EF9" w:rsidP="00AF1C76" w14:paraId="484BBD05" w14:textId="0631E146">
            <w:pPr>
              <w:pStyle w:val="71R"/>
              <w:spacing w:before="0" w:after="0" w:line="220" w:lineRule="exact"/>
              <w:rPr>
                <w:rFonts w:ascii="Times New Roman" w:hAnsi="Times New Roman" w:cs="David"/>
                <w:noProof/>
                <w:rtl/>
              </w:rPr>
            </w:pPr>
          </w:p>
        </w:tc>
        <w:tc>
          <w:tcPr>
            <w:tcW w:w="752" w:type="dxa"/>
            <w:tcBorders>
              <w:top w:val="single" w:sz="2" w:space="0" w:color="auto"/>
              <w:left w:val="single" w:sz="2" w:space="0" w:color="auto"/>
              <w:bottom w:val="single" w:sz="2" w:space="0" w:color="auto"/>
              <w:right w:val="single" w:sz="2" w:space="0" w:color="auto"/>
            </w:tcBorders>
            <w:shd w:val="clear" w:color="auto" w:fill="DBE8EE"/>
          </w:tcPr>
          <w:p w:rsidR="00E274BB" w:rsidRPr="00F81EDE" w:rsidP="00AF1C76" w14:paraId="1C9F467B" w14:textId="2B1D3879">
            <w:pPr>
              <w:pStyle w:val="71R"/>
              <w:spacing w:before="0" w:after="0" w:line="220" w:lineRule="exact"/>
              <w:rPr>
                <w:b/>
                <w:rtl/>
              </w:rPr>
            </w:pPr>
            <w:r w:rsidRPr="006230E9">
              <w:rPr>
                <w:b/>
                <w:sz w:val="17"/>
                <w:szCs w:val="17"/>
                <w:rtl/>
              </w:rPr>
              <w:t>תוקן במידה חלקית</w:t>
            </w:r>
          </w:p>
        </w:tc>
        <w:tc>
          <w:tcPr>
            <w:tcW w:w="707" w:type="dxa"/>
            <w:gridSpan w:val="2"/>
            <w:tcBorders>
              <w:top w:val="single" w:sz="2" w:space="0" w:color="auto"/>
              <w:left w:val="single" w:sz="2" w:space="0" w:color="auto"/>
              <w:bottom w:val="single" w:sz="2" w:space="0" w:color="auto"/>
              <w:right w:val="single" w:sz="2" w:space="0" w:color="auto"/>
            </w:tcBorders>
            <w:shd w:val="clear" w:color="auto" w:fill="DBE8EE"/>
          </w:tcPr>
          <w:p w:rsidR="00E274BB" w:rsidRPr="0027392D" w:rsidP="00AF1C76" w14:paraId="255F921C" w14:textId="1B0C5453">
            <w:pPr>
              <w:pStyle w:val="71R"/>
              <w:spacing w:before="0" w:after="0" w:line="220" w:lineRule="exact"/>
              <w:rPr>
                <w:b/>
                <w:rtl/>
              </w:rPr>
            </w:pPr>
            <w:r w:rsidRPr="00606EF9">
              <w:rPr>
                <w:rFonts w:ascii="Times New Roman" w:hAnsi="Times New Roman" w:cs="David"/>
                <w:noProof/>
                <w:rtl/>
              </w:rPr>
              <mc:AlternateContent>
                <mc:Choice Requires="wps">
                  <w:drawing>
                    <wp:anchor distT="0" distB="0" distL="114300" distR="114300" simplePos="0" relativeHeight="251729920" behindDoc="0" locked="0" layoutInCell="1" allowOverlap="1">
                      <wp:simplePos x="0" y="0"/>
                      <wp:positionH relativeFrom="column">
                        <wp:posOffset>172720</wp:posOffset>
                      </wp:positionH>
                      <wp:positionV relativeFrom="paragraph">
                        <wp:posOffset>531495</wp:posOffset>
                      </wp:positionV>
                      <wp:extent cx="1188720" cy="287655"/>
                      <wp:effectExtent l="0" t="0" r="11430" b="17145"/>
                      <wp:wrapNone/>
                      <wp:docPr id="1113575897" name="חץ שמאלה 38"/>
                      <wp:cNvGraphicFramePr/>
                      <a:graphic xmlns:a="http://schemas.openxmlformats.org/drawingml/2006/main">
                        <a:graphicData uri="http://schemas.microsoft.com/office/word/2010/wordprocessingShape">
                          <wps:wsp xmlns:wps="http://schemas.microsoft.com/office/word/2010/wordprocessingShape">
                            <wps:cNvSpPr/>
                            <wps:spPr>
                              <a:xfrm>
                                <a:off x="0" y="0"/>
                                <a:ext cx="1188720" cy="287655"/>
                              </a:xfrm>
                              <a:prstGeom prst="leftArrow">
                                <a:avLst/>
                              </a:prstGeom>
                              <a:solidFill>
                                <a:srgbClr val="FDF000"/>
                              </a:solidFill>
                              <a:ln w="25400">
                                <a:solidFill>
                                  <a:srgbClr val="FDF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38" o:spid="_x0000_s1046" type="#_x0000_t66" style="width:93.6pt;height:22.65pt;margin-top:41.85pt;margin-left:13.6pt;mso-height-percent:0;mso-height-relative:margin;mso-width-percent:0;mso-width-relative:margin;mso-wrap-distance-bottom:0;mso-wrap-distance-left:9pt;mso-wrap-distance-right:9pt;mso-wrap-distance-top:0;mso-wrap-style:square;position:absolute;visibility:visible;v-text-anchor:middle;z-index:251730944" adj="2613" fillcolor="#fdf000" strokecolor="#fdf000" strokeweight="2pt"/>
                  </w:pict>
                </mc:Fallback>
              </mc:AlternateContent>
            </w:r>
          </w:p>
        </w:tc>
        <w:tc>
          <w:tcPr>
            <w:tcW w:w="844" w:type="dxa"/>
            <w:tcBorders>
              <w:top w:val="single" w:sz="2" w:space="0" w:color="auto"/>
              <w:left w:val="single" w:sz="2" w:space="0" w:color="auto"/>
              <w:bottom w:val="single" w:sz="2" w:space="0" w:color="auto"/>
              <w:right w:val="single" w:sz="2" w:space="0" w:color="auto"/>
            </w:tcBorders>
            <w:shd w:val="clear" w:color="auto" w:fill="DBE8EE"/>
          </w:tcPr>
          <w:p w:rsidR="00E274BB" w:rsidRPr="0027392D" w:rsidP="00AF1C76" w14:paraId="5E750334" w14:textId="77777777">
            <w:pPr>
              <w:pStyle w:val="71R"/>
              <w:spacing w:before="0" w:after="0" w:line="220" w:lineRule="exact"/>
              <w:rPr>
                <w:b/>
                <w:rtl/>
              </w:rPr>
            </w:pPr>
          </w:p>
        </w:tc>
      </w:tr>
      <w:tr w14:paraId="595FD44F" w14:textId="77777777" w:rsidTr="003954BC">
        <w:tblPrEx>
          <w:tblW w:w="7366" w:type="dxa"/>
          <w:jc w:val="center"/>
          <w:tblLook w:val="04A0"/>
        </w:tblPrEx>
        <w:trPr>
          <w:jc w:val="center"/>
        </w:trPr>
        <w:tc>
          <w:tcPr>
            <w:tcW w:w="1375" w:type="dxa"/>
            <w:tcBorders>
              <w:top w:val="single" w:sz="2" w:space="0" w:color="auto"/>
              <w:bottom w:val="single" w:sz="2" w:space="0" w:color="auto"/>
            </w:tcBorders>
            <w:shd w:val="clear" w:color="auto" w:fill="ECF4F5"/>
          </w:tcPr>
          <w:p w:rsidR="006230E9" w:rsidRPr="006230E9" w:rsidP="00AF1C76" w14:paraId="15647A43" w14:textId="21362512">
            <w:pPr>
              <w:pStyle w:val="71R"/>
              <w:spacing w:before="0" w:after="0" w:line="220" w:lineRule="exact"/>
              <w:rPr>
                <w:b/>
                <w:sz w:val="17"/>
                <w:szCs w:val="17"/>
                <w:rtl/>
              </w:rPr>
            </w:pPr>
            <w:r w:rsidRPr="00E274BB">
              <w:rPr>
                <w:b/>
                <w:sz w:val="17"/>
                <w:szCs w:val="17"/>
                <w:rtl/>
              </w:rPr>
              <w:t xml:space="preserve">מנגנון הבונוס </w:t>
            </w:r>
            <w:r w:rsidRPr="00E274BB">
              <w:rPr>
                <w:rFonts w:hint="cs"/>
                <w:b/>
                <w:sz w:val="17"/>
                <w:szCs w:val="17"/>
                <w:rtl/>
              </w:rPr>
              <w:t>לנבחנים בבחינת הרישוי לרפואה</w:t>
            </w:r>
          </w:p>
        </w:tc>
        <w:tc>
          <w:tcPr>
            <w:tcW w:w="997" w:type="dxa"/>
            <w:tcBorders>
              <w:top w:val="single" w:sz="2" w:space="0" w:color="auto"/>
              <w:bottom w:val="single" w:sz="2" w:space="0" w:color="auto"/>
            </w:tcBorders>
            <w:shd w:val="clear" w:color="auto" w:fill="ECF4F5"/>
          </w:tcPr>
          <w:p w:rsidR="006230E9" w:rsidRPr="006230E9" w:rsidP="00AF1C76" w14:paraId="4AB312AA" w14:textId="3538D837">
            <w:pPr>
              <w:pStyle w:val="71R"/>
              <w:spacing w:before="0" w:after="0" w:line="220" w:lineRule="exact"/>
              <w:rPr>
                <w:b/>
                <w:sz w:val="17"/>
                <w:szCs w:val="17"/>
                <w:rtl/>
              </w:rPr>
            </w:pPr>
            <w:r w:rsidRPr="00E274BB">
              <w:rPr>
                <w:rFonts w:hint="cs"/>
                <w:b/>
                <w:sz w:val="17"/>
                <w:szCs w:val="17"/>
                <w:rtl/>
              </w:rPr>
              <w:t>משרד הבריאות</w:t>
            </w:r>
          </w:p>
        </w:tc>
        <w:tc>
          <w:tcPr>
            <w:tcW w:w="1956" w:type="dxa"/>
            <w:tcBorders>
              <w:top w:val="single" w:sz="2" w:space="0" w:color="auto"/>
              <w:bottom w:val="single" w:sz="2" w:space="0" w:color="auto"/>
            </w:tcBorders>
            <w:shd w:val="clear" w:color="auto" w:fill="ECF4F5"/>
          </w:tcPr>
          <w:p w:rsidR="006230E9" w:rsidRPr="006230E9" w:rsidP="00AF1C76" w14:paraId="52DFD1AF" w14:textId="0629D567">
            <w:pPr>
              <w:pStyle w:val="71R"/>
              <w:spacing w:before="0" w:after="0" w:line="220" w:lineRule="exact"/>
              <w:rPr>
                <w:b/>
                <w:sz w:val="17"/>
                <w:szCs w:val="17"/>
                <w:rtl/>
              </w:rPr>
            </w:pPr>
            <w:r w:rsidRPr="00E274BB">
              <w:rPr>
                <w:b/>
                <w:sz w:val="17"/>
                <w:szCs w:val="17"/>
                <w:rtl/>
              </w:rPr>
              <w:t xml:space="preserve">הבונוס הנדיב, שניתן רק לבוגרי הקורסים, </w:t>
            </w:r>
            <w:r w:rsidRPr="00E274BB">
              <w:rPr>
                <w:b/>
                <w:sz w:val="17"/>
                <w:szCs w:val="17"/>
                <w:rtl/>
              </w:rPr>
              <w:t>איפשר</w:t>
            </w:r>
            <w:r w:rsidRPr="00E274BB">
              <w:rPr>
                <w:b/>
                <w:sz w:val="17"/>
                <w:szCs w:val="17"/>
                <w:rtl/>
              </w:rPr>
              <w:t xml:space="preserve"> להם לעמוד בדרישות לקבלת רישיון לרפואה, והדבר העלה חשש כבד בנוגע לכשירותם המקצועית של אותם רופאים.</w:t>
            </w:r>
          </w:p>
        </w:tc>
        <w:tc>
          <w:tcPr>
            <w:tcW w:w="735" w:type="dxa"/>
            <w:tcBorders>
              <w:top w:val="single" w:sz="2" w:space="0" w:color="auto"/>
              <w:bottom w:val="single" w:sz="2" w:space="0" w:color="auto"/>
            </w:tcBorders>
            <w:shd w:val="clear" w:color="auto" w:fill="ECF4F5"/>
          </w:tcPr>
          <w:p w:rsidR="006230E9" w:rsidRPr="00606EF9" w:rsidP="00AF1C76" w14:paraId="6F7BFCD0" w14:textId="0F1D222D">
            <w:pPr>
              <w:pStyle w:val="71R"/>
              <w:spacing w:before="0" w:after="0" w:line="220" w:lineRule="exact"/>
              <w:rPr>
                <w:rFonts w:ascii="Times New Roman" w:hAnsi="Times New Roman" w:cs="David"/>
                <w:noProof/>
                <w:rtl/>
              </w:rPr>
            </w:pPr>
          </w:p>
        </w:tc>
        <w:tc>
          <w:tcPr>
            <w:tcW w:w="752" w:type="dxa"/>
            <w:tcBorders>
              <w:top w:val="single" w:sz="2" w:space="0" w:color="auto"/>
              <w:bottom w:val="single" w:sz="2" w:space="0" w:color="auto"/>
            </w:tcBorders>
            <w:shd w:val="clear" w:color="auto" w:fill="ECF4F5"/>
          </w:tcPr>
          <w:p w:rsidR="006230E9" w:rsidRPr="006230E9" w:rsidP="00AF1C76" w14:paraId="029EBA64" w14:textId="469C6773">
            <w:pPr>
              <w:pStyle w:val="71R"/>
              <w:spacing w:before="0" w:after="0" w:line="220" w:lineRule="exact"/>
              <w:rPr>
                <w:b/>
                <w:sz w:val="17"/>
                <w:szCs w:val="17"/>
                <w:rtl/>
              </w:rPr>
            </w:pPr>
          </w:p>
        </w:tc>
        <w:tc>
          <w:tcPr>
            <w:tcW w:w="707" w:type="dxa"/>
            <w:gridSpan w:val="2"/>
            <w:tcBorders>
              <w:top w:val="single" w:sz="2" w:space="0" w:color="auto"/>
              <w:bottom w:val="single" w:sz="2" w:space="0" w:color="auto"/>
            </w:tcBorders>
            <w:shd w:val="clear" w:color="auto" w:fill="ECF4F5"/>
          </w:tcPr>
          <w:p w:rsidR="006230E9" w:rsidRPr="0027392D" w:rsidP="00AF1C76" w14:paraId="1E614780" w14:textId="6BB4D137">
            <w:pPr>
              <w:pStyle w:val="71R"/>
              <w:spacing w:before="0" w:after="0" w:line="220" w:lineRule="exact"/>
              <w:rPr>
                <w:b/>
                <w:rtl/>
              </w:rPr>
            </w:pPr>
            <w:r w:rsidRPr="00606EF9">
              <w:rPr>
                <w:rFonts w:ascii="Times New Roman" w:hAnsi="Times New Roman" w:cs="David"/>
                <w:noProof/>
                <w:rtl/>
              </w:rPr>
              <mc:AlternateContent>
                <mc:Choice Requires="wps">
                  <w:drawing>
                    <wp:anchor distT="0" distB="0" distL="114300" distR="114300" simplePos="0" relativeHeight="251759616" behindDoc="0" locked="0" layoutInCell="1" allowOverlap="1">
                      <wp:simplePos x="0" y="0"/>
                      <wp:positionH relativeFrom="column">
                        <wp:posOffset>-5080</wp:posOffset>
                      </wp:positionH>
                      <wp:positionV relativeFrom="paragraph">
                        <wp:posOffset>500380</wp:posOffset>
                      </wp:positionV>
                      <wp:extent cx="1372870" cy="287655"/>
                      <wp:effectExtent l="0" t="0" r="17780" b="17145"/>
                      <wp:wrapNone/>
                      <wp:docPr id="51" name="חץ שמאלה 38"/>
                      <wp:cNvGraphicFramePr/>
                      <a:graphic xmlns:a="http://schemas.openxmlformats.org/drawingml/2006/main">
                        <a:graphicData uri="http://schemas.microsoft.com/office/word/2010/wordprocessingShape">
                          <wps:wsp xmlns:wps="http://schemas.microsoft.com/office/word/2010/wordprocessingShape">
                            <wps:cNvSpPr/>
                            <wps:spPr>
                              <a:xfrm>
                                <a:off x="0" y="0"/>
                                <a:ext cx="1372870" cy="287655"/>
                              </a:xfrm>
                              <a:prstGeom prst="leftArrow">
                                <a:avLst/>
                              </a:prstGeom>
                              <a:solidFill>
                                <a:srgbClr val="FDF000"/>
                              </a:solidFill>
                              <a:ln w="25400">
                                <a:solidFill>
                                  <a:srgbClr val="FDF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38" o:spid="_x0000_s1047" type="#_x0000_t66" style="width:108.1pt;height:22.65pt;margin-top:39.4pt;margin-left:-0.4pt;mso-height-percent:0;mso-height-relative:margin;mso-width-percent:0;mso-width-relative:margin;mso-wrap-distance-bottom:0;mso-wrap-distance-left:9pt;mso-wrap-distance-right:9pt;mso-wrap-distance-top:0;mso-wrap-style:square;position:absolute;visibility:visible;v-text-anchor:middle;z-index:251760640" adj="2263" fillcolor="#fdf000" strokecolor="#fdf000" strokeweight="2pt"/>
                  </w:pict>
                </mc:Fallback>
              </mc:AlternateContent>
            </w:r>
          </w:p>
        </w:tc>
        <w:tc>
          <w:tcPr>
            <w:tcW w:w="844" w:type="dxa"/>
            <w:tcBorders>
              <w:top w:val="single" w:sz="2" w:space="0" w:color="auto"/>
              <w:bottom w:val="single" w:sz="2" w:space="0" w:color="auto"/>
            </w:tcBorders>
            <w:shd w:val="clear" w:color="auto" w:fill="ECF4F5"/>
          </w:tcPr>
          <w:p w:rsidR="006230E9" w:rsidRPr="0027392D" w:rsidP="00AF1C76" w14:paraId="1500C3AF" w14:textId="77777777">
            <w:pPr>
              <w:pStyle w:val="71R"/>
              <w:spacing w:before="0" w:after="0" w:line="220" w:lineRule="exact"/>
              <w:rPr>
                <w:b/>
                <w:rtl/>
              </w:rPr>
            </w:pPr>
          </w:p>
        </w:tc>
      </w:tr>
      <w:tr w14:paraId="06690AB8" w14:textId="77777777" w:rsidTr="003954BC">
        <w:tblPrEx>
          <w:tblW w:w="7366" w:type="dxa"/>
          <w:jc w:val="center"/>
          <w:tblLook w:val="04A0"/>
        </w:tblPrEx>
        <w:trPr>
          <w:jc w:val="center"/>
        </w:trPr>
        <w:tc>
          <w:tcPr>
            <w:tcW w:w="1375" w:type="dxa"/>
            <w:tcBorders>
              <w:top w:val="single" w:sz="2" w:space="0" w:color="auto"/>
              <w:left w:val="single" w:sz="2" w:space="0" w:color="auto"/>
              <w:bottom w:val="single" w:sz="2" w:space="0" w:color="auto"/>
              <w:right w:val="single" w:sz="2" w:space="0" w:color="auto"/>
            </w:tcBorders>
            <w:shd w:val="clear" w:color="auto" w:fill="DBE8EE"/>
          </w:tcPr>
          <w:p w:rsidR="006230E9" w:rsidRPr="00E274BB" w:rsidP="00AF1C76" w14:paraId="0C72793D" w14:textId="5D07637C">
            <w:pPr>
              <w:pStyle w:val="71R"/>
              <w:spacing w:before="0" w:after="0" w:line="220" w:lineRule="exact"/>
              <w:rPr>
                <w:bCs/>
                <w:sz w:val="17"/>
                <w:szCs w:val="17"/>
                <w:rtl/>
              </w:rPr>
            </w:pPr>
            <w:r w:rsidRPr="00E274BB">
              <w:rPr>
                <w:bCs/>
                <w:sz w:val="17"/>
                <w:szCs w:val="17"/>
                <w:rtl/>
              </w:rPr>
              <w:t xml:space="preserve">שנת </w:t>
            </w:r>
            <w:r w:rsidRPr="00E274BB">
              <w:rPr>
                <w:bCs/>
                <w:sz w:val="17"/>
                <w:szCs w:val="17"/>
                <w:rtl/>
              </w:rPr>
              <w:t>הסטז</w:t>
            </w:r>
            <w:r w:rsidRPr="00E274BB">
              <w:rPr>
                <w:bCs/>
                <w:sz w:val="17"/>
                <w:szCs w:val="17"/>
                <w:rtl/>
              </w:rPr>
              <w:t>'</w:t>
            </w:r>
          </w:p>
        </w:tc>
        <w:tc>
          <w:tcPr>
            <w:tcW w:w="997" w:type="dxa"/>
            <w:tcBorders>
              <w:top w:val="single" w:sz="2" w:space="0" w:color="auto"/>
              <w:left w:val="single" w:sz="2" w:space="0" w:color="auto"/>
              <w:bottom w:val="single" w:sz="2" w:space="0" w:color="auto"/>
              <w:right w:val="single" w:sz="2" w:space="0" w:color="auto"/>
            </w:tcBorders>
            <w:shd w:val="clear" w:color="auto" w:fill="DBE8EE"/>
          </w:tcPr>
          <w:p w:rsidR="006230E9" w:rsidRPr="00E274BB" w:rsidP="00AF1C76" w14:paraId="1EA1D794" w14:textId="7F807145">
            <w:pPr>
              <w:pStyle w:val="71R"/>
              <w:spacing w:before="0" w:after="0" w:line="220" w:lineRule="exact"/>
              <w:rPr>
                <w:b/>
                <w:sz w:val="17"/>
                <w:szCs w:val="17"/>
                <w:rtl/>
              </w:rPr>
            </w:pPr>
            <w:r w:rsidRPr="00E274BB">
              <w:rPr>
                <w:rFonts w:hint="cs"/>
                <w:b/>
                <w:sz w:val="17"/>
                <w:szCs w:val="17"/>
                <w:rtl/>
              </w:rPr>
              <w:t>משרד הבריאות</w:t>
            </w:r>
          </w:p>
        </w:tc>
        <w:tc>
          <w:tcPr>
            <w:tcW w:w="1956" w:type="dxa"/>
            <w:tcBorders>
              <w:top w:val="single" w:sz="2" w:space="0" w:color="auto"/>
              <w:left w:val="single" w:sz="2" w:space="0" w:color="auto"/>
              <w:bottom w:val="single" w:sz="2" w:space="0" w:color="auto"/>
              <w:right w:val="single" w:sz="2" w:space="0" w:color="auto"/>
            </w:tcBorders>
            <w:shd w:val="clear" w:color="auto" w:fill="DBE8EE"/>
          </w:tcPr>
          <w:p w:rsidR="006230E9" w:rsidRPr="00E274BB" w:rsidP="00AF1C76" w14:paraId="41D80801" w14:textId="7D86737A">
            <w:pPr>
              <w:pStyle w:val="71R"/>
              <w:spacing w:before="0" w:after="0" w:line="220" w:lineRule="exact"/>
              <w:rPr>
                <w:b/>
                <w:sz w:val="17"/>
                <w:szCs w:val="17"/>
                <w:rtl/>
              </w:rPr>
            </w:pPr>
            <w:r w:rsidRPr="00E274BB">
              <w:rPr>
                <w:b/>
                <w:sz w:val="17"/>
                <w:szCs w:val="17"/>
                <w:rtl/>
              </w:rPr>
              <w:t xml:space="preserve">משרד הבריאות לא נקט שום צעד ממשי כדי לתת מענה לגידול הניכר במספר הסטז'רים מבחינת התשתיות וכוח </w:t>
            </w:r>
            <w:r w:rsidRPr="00E274BB">
              <w:rPr>
                <w:rFonts w:hint="cs"/>
                <w:b/>
                <w:sz w:val="17"/>
                <w:szCs w:val="17"/>
                <w:rtl/>
              </w:rPr>
              <w:t>ה</w:t>
            </w:r>
            <w:r w:rsidRPr="00E274BB">
              <w:rPr>
                <w:b/>
                <w:sz w:val="17"/>
                <w:szCs w:val="17"/>
                <w:rtl/>
              </w:rPr>
              <w:t>אדם (המיטות והצוות הרפואי האמור להכשירם).</w:t>
            </w:r>
          </w:p>
        </w:tc>
        <w:tc>
          <w:tcPr>
            <w:tcW w:w="735" w:type="dxa"/>
            <w:tcBorders>
              <w:top w:val="single" w:sz="2" w:space="0" w:color="auto"/>
              <w:left w:val="single" w:sz="2" w:space="0" w:color="auto"/>
              <w:bottom w:val="single" w:sz="2" w:space="0" w:color="auto"/>
              <w:right w:val="single" w:sz="2" w:space="0" w:color="auto"/>
            </w:tcBorders>
            <w:shd w:val="clear" w:color="auto" w:fill="DBE8EE"/>
          </w:tcPr>
          <w:p w:rsidR="006230E9" w:rsidRPr="00606EF9" w:rsidP="00AF1C76" w14:paraId="17B7F3E5" w14:textId="6BBD6AC4">
            <w:pPr>
              <w:pStyle w:val="71R"/>
              <w:spacing w:before="0" w:after="0" w:line="220" w:lineRule="exact"/>
              <w:rPr>
                <w:rFonts w:ascii="Times New Roman" w:hAnsi="Times New Roman" w:cs="David"/>
                <w:noProof/>
                <w:rtl/>
              </w:rPr>
            </w:pPr>
            <w:r w:rsidRPr="00606EF9">
              <w:rPr>
                <w:rFonts w:ascii="Times New Roman" w:hAnsi="Times New Roman" w:cs="David"/>
                <w:noProof/>
                <w:rtl/>
              </w:rPr>
              <mc:AlternateContent>
                <mc:Choice Requires="wps">
                  <w:drawing>
                    <wp:anchor distT="0" distB="0" distL="114300" distR="114300" simplePos="0" relativeHeight="251731968" behindDoc="0" locked="0" layoutInCell="1" allowOverlap="1">
                      <wp:simplePos x="0" y="0"/>
                      <wp:positionH relativeFrom="column">
                        <wp:posOffset>-64135</wp:posOffset>
                      </wp:positionH>
                      <wp:positionV relativeFrom="paragraph">
                        <wp:posOffset>490220</wp:posOffset>
                      </wp:positionV>
                      <wp:extent cx="445770" cy="287655"/>
                      <wp:effectExtent l="0" t="0" r="11430" b="17145"/>
                      <wp:wrapNone/>
                      <wp:docPr id="1113575899" name="חץ שמאלה 38"/>
                      <wp:cNvGraphicFramePr/>
                      <a:graphic xmlns:a="http://schemas.openxmlformats.org/drawingml/2006/main">
                        <a:graphicData uri="http://schemas.microsoft.com/office/word/2010/wordprocessingShape">
                          <wps:wsp xmlns:wps="http://schemas.microsoft.com/office/word/2010/wordprocessingShape">
                            <wps:cNvSpPr/>
                            <wps:spPr>
                              <a:xfrm>
                                <a:off x="0" y="0"/>
                                <a:ext cx="445770" cy="287655"/>
                              </a:xfrm>
                              <a:prstGeom prst="leftArrow">
                                <a:avLst/>
                              </a:prstGeom>
                              <a:solidFill>
                                <a:srgbClr val="FF0B00"/>
                              </a:solidFill>
                              <a:ln w="25400">
                                <a:solidFill>
                                  <a:srgbClr val="FF0B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38" o:spid="_x0000_s1048" type="#_x0000_t66" style="width:35.1pt;height:22.65pt;margin-top:38.6pt;margin-left:-5.05pt;mso-height-percent:0;mso-height-relative:margin;mso-width-percent:0;mso-width-relative:margin;mso-wrap-distance-bottom:0;mso-wrap-distance-left:9pt;mso-wrap-distance-right:9pt;mso-wrap-distance-top:0;mso-wrap-style:square;position:absolute;visibility:visible;v-text-anchor:middle;z-index:251732992" adj="6969" fillcolor="#ff0b00" strokecolor="#ff0b00" strokeweight="2pt"/>
                  </w:pict>
                </mc:Fallback>
              </mc:AlternateContent>
            </w:r>
          </w:p>
        </w:tc>
        <w:tc>
          <w:tcPr>
            <w:tcW w:w="752" w:type="dxa"/>
            <w:tcBorders>
              <w:top w:val="single" w:sz="2" w:space="0" w:color="auto"/>
              <w:left w:val="single" w:sz="2" w:space="0" w:color="auto"/>
              <w:bottom w:val="single" w:sz="2" w:space="0" w:color="auto"/>
              <w:right w:val="single" w:sz="2" w:space="0" w:color="auto"/>
            </w:tcBorders>
            <w:shd w:val="clear" w:color="auto" w:fill="DBE8EE"/>
          </w:tcPr>
          <w:p w:rsidR="006230E9" w:rsidRPr="006230E9" w:rsidP="00AF1C76" w14:paraId="07145064" w14:textId="018BD029">
            <w:pPr>
              <w:pStyle w:val="71R"/>
              <w:spacing w:before="0" w:after="0" w:line="220" w:lineRule="exact"/>
              <w:rPr>
                <w:b/>
                <w:sz w:val="17"/>
                <w:szCs w:val="17"/>
                <w:rtl/>
              </w:rPr>
            </w:pPr>
          </w:p>
        </w:tc>
        <w:tc>
          <w:tcPr>
            <w:tcW w:w="707" w:type="dxa"/>
            <w:gridSpan w:val="2"/>
            <w:tcBorders>
              <w:top w:val="single" w:sz="2" w:space="0" w:color="auto"/>
              <w:left w:val="single" w:sz="2" w:space="0" w:color="auto"/>
              <w:bottom w:val="single" w:sz="2" w:space="0" w:color="auto"/>
              <w:right w:val="single" w:sz="2" w:space="0" w:color="auto"/>
            </w:tcBorders>
            <w:shd w:val="clear" w:color="auto" w:fill="DBE8EE"/>
          </w:tcPr>
          <w:p w:rsidR="006230E9" w:rsidRPr="0027392D" w:rsidP="00AF1C76" w14:paraId="315CC8A6" w14:textId="77777777">
            <w:pPr>
              <w:pStyle w:val="71R"/>
              <w:spacing w:before="0" w:after="0" w:line="220" w:lineRule="exact"/>
              <w:rPr>
                <w:b/>
                <w:rtl/>
              </w:rPr>
            </w:pPr>
          </w:p>
        </w:tc>
        <w:tc>
          <w:tcPr>
            <w:tcW w:w="844" w:type="dxa"/>
            <w:tcBorders>
              <w:top w:val="single" w:sz="2" w:space="0" w:color="auto"/>
              <w:left w:val="single" w:sz="2" w:space="0" w:color="auto"/>
              <w:bottom w:val="single" w:sz="2" w:space="0" w:color="auto"/>
              <w:right w:val="single" w:sz="2" w:space="0" w:color="auto"/>
            </w:tcBorders>
            <w:shd w:val="clear" w:color="auto" w:fill="DBE8EE"/>
          </w:tcPr>
          <w:p w:rsidR="006230E9" w:rsidRPr="0027392D" w:rsidP="00AF1C76" w14:paraId="4F8A443F" w14:textId="77777777">
            <w:pPr>
              <w:pStyle w:val="71R"/>
              <w:spacing w:before="0" w:after="0" w:line="220" w:lineRule="exact"/>
              <w:rPr>
                <w:b/>
                <w:rtl/>
              </w:rPr>
            </w:pPr>
          </w:p>
        </w:tc>
      </w:tr>
      <w:tr w14:paraId="7FC18133" w14:textId="77777777" w:rsidTr="003954BC">
        <w:tblPrEx>
          <w:tblW w:w="7366" w:type="dxa"/>
          <w:jc w:val="center"/>
          <w:tblLook w:val="04A0"/>
        </w:tblPrEx>
        <w:trPr>
          <w:jc w:val="center"/>
        </w:trPr>
        <w:tc>
          <w:tcPr>
            <w:tcW w:w="1375" w:type="dxa"/>
            <w:tcBorders>
              <w:top w:val="single" w:sz="2" w:space="0" w:color="auto"/>
              <w:bottom w:val="single" w:sz="2" w:space="0" w:color="auto"/>
            </w:tcBorders>
            <w:shd w:val="clear" w:color="auto" w:fill="ECF4F5"/>
          </w:tcPr>
          <w:p w:rsidR="006230E9" w:rsidRPr="00E274BB" w:rsidP="00AF1C76" w14:paraId="5E055EC7" w14:textId="12FD7525">
            <w:pPr>
              <w:pStyle w:val="71R"/>
              <w:spacing w:before="0" w:after="0" w:line="220" w:lineRule="exact"/>
              <w:rPr>
                <w:bCs/>
                <w:sz w:val="17"/>
                <w:szCs w:val="17"/>
                <w:rtl/>
              </w:rPr>
            </w:pPr>
            <w:r w:rsidRPr="00E274BB">
              <w:rPr>
                <w:bCs/>
                <w:sz w:val="17"/>
                <w:szCs w:val="17"/>
                <w:rtl/>
              </w:rPr>
              <w:t xml:space="preserve">ריכוז המידע על מערך ההתמחויות </w:t>
            </w:r>
            <w:r w:rsidRPr="00E274BB">
              <w:rPr>
                <w:rFonts w:hint="cs"/>
                <w:bCs/>
                <w:sz w:val="17"/>
                <w:szCs w:val="17"/>
                <w:rtl/>
              </w:rPr>
              <w:t xml:space="preserve">של הרופאים </w:t>
            </w:r>
            <w:r w:rsidRPr="00E274BB">
              <w:rPr>
                <w:bCs/>
                <w:sz w:val="17"/>
                <w:szCs w:val="17"/>
                <w:rtl/>
              </w:rPr>
              <w:t>בישראל ושקיפותו</w:t>
            </w:r>
          </w:p>
        </w:tc>
        <w:tc>
          <w:tcPr>
            <w:tcW w:w="997" w:type="dxa"/>
            <w:tcBorders>
              <w:top w:val="single" w:sz="2" w:space="0" w:color="auto"/>
              <w:bottom w:val="single" w:sz="2" w:space="0" w:color="auto"/>
            </w:tcBorders>
            <w:shd w:val="clear" w:color="auto" w:fill="ECF4F5"/>
          </w:tcPr>
          <w:p w:rsidR="006230E9" w:rsidRPr="00862660" w:rsidP="00AF1C76" w14:paraId="0F11DF66" w14:textId="2083D426">
            <w:pPr>
              <w:pStyle w:val="71R"/>
              <w:spacing w:before="0" w:after="0" w:line="220" w:lineRule="exact"/>
              <w:rPr>
                <w:b/>
                <w:sz w:val="17"/>
                <w:szCs w:val="17"/>
                <w:rtl/>
              </w:rPr>
            </w:pPr>
            <w:r w:rsidRPr="00862660">
              <w:rPr>
                <w:rFonts w:hint="cs"/>
                <w:b/>
                <w:sz w:val="17"/>
                <w:szCs w:val="17"/>
                <w:rtl/>
              </w:rPr>
              <w:t>משרד הבריאות ובתי החולים</w:t>
            </w:r>
          </w:p>
        </w:tc>
        <w:tc>
          <w:tcPr>
            <w:tcW w:w="1956" w:type="dxa"/>
            <w:tcBorders>
              <w:top w:val="single" w:sz="2" w:space="0" w:color="auto"/>
              <w:bottom w:val="single" w:sz="2" w:space="0" w:color="auto"/>
            </w:tcBorders>
            <w:shd w:val="clear" w:color="auto" w:fill="ECF4F5"/>
          </w:tcPr>
          <w:p w:rsidR="006230E9" w:rsidRPr="00E274BB" w:rsidP="00AF1C76" w14:paraId="3BB3FD22" w14:textId="5AC4640F">
            <w:pPr>
              <w:pStyle w:val="71R"/>
              <w:spacing w:before="0" w:after="0" w:line="220" w:lineRule="exact"/>
              <w:rPr>
                <w:b/>
                <w:sz w:val="17"/>
                <w:szCs w:val="17"/>
                <w:rtl/>
              </w:rPr>
            </w:pPr>
            <w:r w:rsidRPr="00E274BB">
              <w:rPr>
                <w:b/>
                <w:sz w:val="17"/>
                <w:szCs w:val="17"/>
                <w:rtl/>
              </w:rPr>
              <w:t>למשרד הבריאות אין מידע מרוכז על מקומות ההתמחות. הוא אינו יודע כמה מהם מאוישים, כמה פנויים ומהו לוח הזמנים להתפנות של המקומות התפוסים. עוד עלה כי בתי החולים א</w:t>
            </w:r>
            <w:r w:rsidRPr="00E274BB">
              <w:rPr>
                <w:rFonts w:hint="cs"/>
                <w:b/>
                <w:sz w:val="17"/>
                <w:szCs w:val="17"/>
                <w:rtl/>
              </w:rPr>
              <w:t>ינם</w:t>
            </w:r>
            <w:r w:rsidRPr="00E274BB">
              <w:rPr>
                <w:b/>
                <w:sz w:val="17"/>
                <w:szCs w:val="17"/>
                <w:rtl/>
              </w:rPr>
              <w:t xml:space="preserve"> מפרסמים את מספר מקומות ההתמחות לאיוש, והשיבוץ והקבלה להתמחות אינם שקופים למועמדים.</w:t>
            </w:r>
          </w:p>
        </w:tc>
        <w:tc>
          <w:tcPr>
            <w:tcW w:w="735" w:type="dxa"/>
            <w:tcBorders>
              <w:top w:val="single" w:sz="2" w:space="0" w:color="auto"/>
              <w:bottom w:val="single" w:sz="2" w:space="0" w:color="auto"/>
            </w:tcBorders>
            <w:shd w:val="clear" w:color="auto" w:fill="ECF4F5"/>
          </w:tcPr>
          <w:p w:rsidR="006230E9" w:rsidRPr="00606EF9" w:rsidP="00AF1C76" w14:paraId="0302DA38" w14:textId="0885EBE9">
            <w:pPr>
              <w:pStyle w:val="71R"/>
              <w:spacing w:before="0" w:after="0" w:line="220" w:lineRule="exact"/>
              <w:rPr>
                <w:rFonts w:ascii="Times New Roman" w:hAnsi="Times New Roman" w:cs="David"/>
                <w:noProof/>
                <w:rtl/>
              </w:rPr>
            </w:pPr>
          </w:p>
        </w:tc>
        <w:tc>
          <w:tcPr>
            <w:tcW w:w="752" w:type="dxa"/>
            <w:tcBorders>
              <w:top w:val="single" w:sz="2" w:space="0" w:color="auto"/>
              <w:bottom w:val="single" w:sz="2" w:space="0" w:color="auto"/>
            </w:tcBorders>
            <w:shd w:val="clear" w:color="auto" w:fill="ECF4F5"/>
          </w:tcPr>
          <w:p w:rsidR="006230E9" w:rsidRPr="006230E9" w:rsidP="00AF1C76" w14:paraId="1F7A5A28" w14:textId="14B80105">
            <w:pPr>
              <w:pStyle w:val="71R"/>
              <w:spacing w:before="0" w:after="0" w:line="220" w:lineRule="exact"/>
              <w:rPr>
                <w:b/>
                <w:sz w:val="17"/>
                <w:szCs w:val="17"/>
                <w:rtl/>
              </w:rPr>
            </w:pPr>
            <w:r w:rsidRPr="00606EF9">
              <w:rPr>
                <w:rFonts w:ascii="Times New Roman" w:hAnsi="Times New Roman" w:cs="David"/>
                <w:noProof/>
                <w:rtl/>
              </w:rPr>
              <mc:AlternateContent>
                <mc:Choice Requires="wps">
                  <w:drawing>
                    <wp:anchor distT="0" distB="0" distL="114300" distR="114300" simplePos="0" relativeHeight="251734016" behindDoc="0" locked="0" layoutInCell="1" allowOverlap="1">
                      <wp:simplePos x="0" y="0"/>
                      <wp:positionH relativeFrom="column">
                        <wp:posOffset>-34925</wp:posOffset>
                      </wp:positionH>
                      <wp:positionV relativeFrom="paragraph">
                        <wp:posOffset>779145</wp:posOffset>
                      </wp:positionV>
                      <wp:extent cx="904875" cy="287655"/>
                      <wp:effectExtent l="0" t="0" r="28575" b="17145"/>
                      <wp:wrapNone/>
                      <wp:docPr id="1113575900" name="חץ שמאלה 38"/>
                      <wp:cNvGraphicFramePr/>
                      <a:graphic xmlns:a="http://schemas.openxmlformats.org/drawingml/2006/main">
                        <a:graphicData uri="http://schemas.microsoft.com/office/word/2010/wordprocessingShape">
                          <wps:wsp xmlns:wps="http://schemas.microsoft.com/office/word/2010/wordprocessingShape">
                            <wps:cNvSpPr/>
                            <wps:spPr>
                              <a:xfrm>
                                <a:off x="0" y="0"/>
                                <a:ext cx="904875" cy="287655"/>
                              </a:xfrm>
                              <a:prstGeom prst="leftArrow">
                                <a:avLst/>
                              </a:prstGeom>
                              <a:solidFill>
                                <a:srgbClr val="FFC002"/>
                              </a:solidFill>
                              <a:ln w="25400">
                                <a:solidFill>
                                  <a:srgbClr val="FFC002"/>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38" o:spid="_x0000_s1049" type="#_x0000_t66" style="width:71.25pt;height:22.65pt;margin-top:61.35pt;margin-left:-2.75pt;mso-height-percent:0;mso-height-relative:margin;mso-width-percent:0;mso-width-relative:margin;mso-wrap-distance-bottom:0;mso-wrap-distance-left:9pt;mso-wrap-distance-right:9pt;mso-wrap-distance-top:0;mso-wrap-style:square;position:absolute;visibility:visible;v-text-anchor:middle;z-index:251735040" adj="3433" fillcolor="#ffc002" strokecolor="#ffc002" strokeweight="2pt"/>
                  </w:pict>
                </mc:Fallback>
              </mc:AlternateContent>
            </w:r>
          </w:p>
        </w:tc>
        <w:tc>
          <w:tcPr>
            <w:tcW w:w="707" w:type="dxa"/>
            <w:gridSpan w:val="2"/>
            <w:tcBorders>
              <w:top w:val="single" w:sz="2" w:space="0" w:color="auto"/>
              <w:bottom w:val="single" w:sz="2" w:space="0" w:color="auto"/>
            </w:tcBorders>
            <w:shd w:val="clear" w:color="auto" w:fill="ECF4F5"/>
          </w:tcPr>
          <w:p w:rsidR="006230E9" w:rsidRPr="0027392D" w:rsidP="00AF1C76" w14:paraId="33E172C5" w14:textId="77777777">
            <w:pPr>
              <w:pStyle w:val="71R"/>
              <w:spacing w:before="0" w:after="0" w:line="220" w:lineRule="exact"/>
              <w:rPr>
                <w:b/>
                <w:rtl/>
              </w:rPr>
            </w:pPr>
          </w:p>
        </w:tc>
        <w:tc>
          <w:tcPr>
            <w:tcW w:w="844" w:type="dxa"/>
            <w:tcBorders>
              <w:top w:val="single" w:sz="2" w:space="0" w:color="auto"/>
              <w:bottom w:val="single" w:sz="2" w:space="0" w:color="auto"/>
            </w:tcBorders>
            <w:shd w:val="clear" w:color="auto" w:fill="ECF4F5"/>
          </w:tcPr>
          <w:p w:rsidR="006230E9" w:rsidRPr="0027392D" w:rsidP="00AF1C76" w14:paraId="6AFCCFEC" w14:textId="77777777">
            <w:pPr>
              <w:pStyle w:val="71R"/>
              <w:spacing w:before="0" w:after="0" w:line="220" w:lineRule="exact"/>
              <w:rPr>
                <w:b/>
                <w:rtl/>
              </w:rPr>
            </w:pPr>
          </w:p>
        </w:tc>
      </w:tr>
      <w:tr w14:paraId="3E31634B" w14:textId="77777777" w:rsidTr="003954BC">
        <w:tblPrEx>
          <w:tblW w:w="7366" w:type="dxa"/>
          <w:jc w:val="center"/>
          <w:tblLook w:val="04A0"/>
        </w:tblPrEx>
        <w:trPr>
          <w:jc w:val="center"/>
        </w:trPr>
        <w:tc>
          <w:tcPr>
            <w:tcW w:w="1375" w:type="dxa"/>
            <w:tcBorders>
              <w:top w:val="single" w:sz="2" w:space="0" w:color="auto"/>
              <w:left w:val="single" w:sz="2" w:space="0" w:color="auto"/>
              <w:bottom w:val="single" w:sz="2" w:space="0" w:color="auto"/>
              <w:right w:val="single" w:sz="2" w:space="0" w:color="auto"/>
            </w:tcBorders>
            <w:shd w:val="clear" w:color="auto" w:fill="DBE8EE"/>
          </w:tcPr>
          <w:p w:rsidR="006230E9" w:rsidRPr="00E274BB" w:rsidP="00AC4346" w14:paraId="17A5FB17" w14:textId="15F333F5">
            <w:pPr>
              <w:pStyle w:val="71R"/>
              <w:spacing w:before="0" w:after="0"/>
              <w:rPr>
                <w:bCs/>
                <w:sz w:val="17"/>
                <w:szCs w:val="17"/>
                <w:rtl/>
              </w:rPr>
            </w:pPr>
            <w:r w:rsidRPr="00E274BB">
              <w:rPr>
                <w:bCs/>
                <w:sz w:val="17"/>
                <w:szCs w:val="17"/>
                <w:rtl/>
              </w:rPr>
              <w:t>הכשרת סטודנטים בקהילה - הוספת שדות קליניים בקהילה במהלך לימודי הרפואה</w:t>
            </w:r>
          </w:p>
        </w:tc>
        <w:tc>
          <w:tcPr>
            <w:tcW w:w="997" w:type="dxa"/>
            <w:tcBorders>
              <w:top w:val="single" w:sz="2" w:space="0" w:color="auto"/>
              <w:left w:val="single" w:sz="2" w:space="0" w:color="auto"/>
              <w:bottom w:val="single" w:sz="2" w:space="0" w:color="auto"/>
              <w:right w:val="single" w:sz="2" w:space="0" w:color="auto"/>
            </w:tcBorders>
            <w:shd w:val="clear" w:color="auto" w:fill="DBE8EE"/>
          </w:tcPr>
          <w:p w:rsidR="006230E9" w:rsidRPr="00862660" w:rsidP="00AC4346" w14:paraId="559E5F8C" w14:textId="2E1D0869">
            <w:pPr>
              <w:pStyle w:val="71R"/>
              <w:spacing w:before="0" w:after="0"/>
              <w:rPr>
                <w:b/>
                <w:sz w:val="17"/>
                <w:szCs w:val="17"/>
                <w:rtl/>
              </w:rPr>
            </w:pPr>
            <w:r w:rsidRPr="00862660">
              <w:rPr>
                <w:rFonts w:hint="cs"/>
                <w:b/>
                <w:sz w:val="17"/>
                <w:szCs w:val="17"/>
                <w:rtl/>
              </w:rPr>
              <w:t xml:space="preserve">משרד הבריאות </w:t>
            </w:r>
            <w:r w:rsidRPr="00862660">
              <w:rPr>
                <w:rFonts w:hint="cs"/>
                <w:b/>
                <w:sz w:val="17"/>
                <w:szCs w:val="17"/>
                <w:rtl/>
              </w:rPr>
              <w:t>והמל"ג</w:t>
            </w:r>
          </w:p>
        </w:tc>
        <w:tc>
          <w:tcPr>
            <w:tcW w:w="1956" w:type="dxa"/>
            <w:tcBorders>
              <w:top w:val="single" w:sz="2" w:space="0" w:color="auto"/>
              <w:left w:val="single" w:sz="2" w:space="0" w:color="auto"/>
              <w:bottom w:val="single" w:sz="2" w:space="0" w:color="auto"/>
              <w:right w:val="single" w:sz="2" w:space="0" w:color="auto"/>
            </w:tcBorders>
            <w:shd w:val="clear" w:color="auto" w:fill="DBE8EE"/>
          </w:tcPr>
          <w:p w:rsidR="006230E9" w:rsidRPr="00E274BB" w:rsidP="00AC4346" w14:paraId="37C44E8F" w14:textId="2AD865C9">
            <w:pPr>
              <w:pStyle w:val="71R"/>
              <w:spacing w:before="0" w:after="0"/>
              <w:rPr>
                <w:b/>
                <w:sz w:val="17"/>
                <w:szCs w:val="17"/>
                <w:rtl/>
              </w:rPr>
            </w:pPr>
            <w:r w:rsidRPr="00E274BB">
              <w:rPr>
                <w:b/>
                <w:sz w:val="17"/>
                <w:szCs w:val="17"/>
                <w:rtl/>
              </w:rPr>
              <w:t xml:space="preserve">על פורום הדיקנים בשיתוף משרד הבריאות </w:t>
            </w:r>
            <w:r w:rsidRPr="00E274BB">
              <w:rPr>
                <w:b/>
                <w:sz w:val="17"/>
                <w:szCs w:val="17"/>
                <w:rtl/>
              </w:rPr>
              <w:t>להנגיש</w:t>
            </w:r>
            <w:r w:rsidRPr="00E274BB">
              <w:rPr>
                <w:b/>
                <w:sz w:val="17"/>
                <w:szCs w:val="17"/>
                <w:rtl/>
              </w:rPr>
              <w:t xml:space="preserve"> את נושא הרפואה בקהילה עוד בתקופת ההכשרה האקדמית.</w:t>
            </w:r>
          </w:p>
        </w:tc>
        <w:tc>
          <w:tcPr>
            <w:tcW w:w="735" w:type="dxa"/>
            <w:tcBorders>
              <w:top w:val="single" w:sz="2" w:space="0" w:color="auto"/>
              <w:left w:val="single" w:sz="2" w:space="0" w:color="auto"/>
              <w:bottom w:val="single" w:sz="2" w:space="0" w:color="auto"/>
              <w:right w:val="single" w:sz="2" w:space="0" w:color="auto"/>
            </w:tcBorders>
            <w:shd w:val="clear" w:color="auto" w:fill="DBE8EE"/>
          </w:tcPr>
          <w:p w:rsidR="006230E9" w:rsidRPr="00606EF9" w:rsidP="00AC4346" w14:paraId="01068F7B" w14:textId="0AEC48F7">
            <w:pPr>
              <w:pStyle w:val="71R"/>
              <w:spacing w:before="0" w:after="0"/>
              <w:rPr>
                <w:rFonts w:ascii="Times New Roman" w:hAnsi="Times New Roman" w:cs="David"/>
                <w:noProof/>
                <w:rtl/>
              </w:rPr>
            </w:pPr>
          </w:p>
        </w:tc>
        <w:tc>
          <w:tcPr>
            <w:tcW w:w="752" w:type="dxa"/>
            <w:tcBorders>
              <w:top w:val="single" w:sz="2" w:space="0" w:color="auto"/>
              <w:left w:val="single" w:sz="2" w:space="0" w:color="auto"/>
              <w:bottom w:val="single" w:sz="2" w:space="0" w:color="auto"/>
              <w:right w:val="single" w:sz="2" w:space="0" w:color="auto"/>
            </w:tcBorders>
            <w:shd w:val="clear" w:color="auto" w:fill="DBE8EE"/>
          </w:tcPr>
          <w:p w:rsidR="006230E9" w:rsidRPr="006230E9" w:rsidP="00AC4346" w14:paraId="73BB18C1" w14:textId="25B7EECB">
            <w:pPr>
              <w:pStyle w:val="71R"/>
              <w:spacing w:before="0" w:after="0"/>
              <w:rPr>
                <w:b/>
                <w:sz w:val="17"/>
                <w:szCs w:val="17"/>
                <w:rtl/>
              </w:rPr>
            </w:pPr>
            <w:r w:rsidRPr="00606EF9">
              <w:rPr>
                <w:rFonts w:ascii="Times New Roman" w:hAnsi="Times New Roman" w:cs="David"/>
                <w:noProof/>
                <w:rtl/>
              </w:rPr>
              <mc:AlternateContent>
                <mc:Choice Requires="wps">
                  <w:drawing>
                    <wp:anchor distT="0" distB="0" distL="114300" distR="114300" simplePos="0" relativeHeight="251736064" behindDoc="0" locked="0" layoutInCell="1" allowOverlap="1">
                      <wp:simplePos x="0" y="0"/>
                      <wp:positionH relativeFrom="column">
                        <wp:posOffset>-26670</wp:posOffset>
                      </wp:positionH>
                      <wp:positionV relativeFrom="paragraph">
                        <wp:posOffset>436245</wp:posOffset>
                      </wp:positionV>
                      <wp:extent cx="904875" cy="287655"/>
                      <wp:effectExtent l="0" t="0" r="28575" b="17145"/>
                      <wp:wrapNone/>
                      <wp:docPr id="1113575901" name="חץ שמאלה 38"/>
                      <wp:cNvGraphicFramePr/>
                      <a:graphic xmlns:a="http://schemas.openxmlformats.org/drawingml/2006/main">
                        <a:graphicData uri="http://schemas.microsoft.com/office/word/2010/wordprocessingShape">
                          <wps:wsp xmlns:wps="http://schemas.microsoft.com/office/word/2010/wordprocessingShape">
                            <wps:cNvSpPr/>
                            <wps:spPr>
                              <a:xfrm>
                                <a:off x="0" y="0"/>
                                <a:ext cx="904875" cy="287655"/>
                              </a:xfrm>
                              <a:prstGeom prst="leftArrow">
                                <a:avLst/>
                              </a:prstGeom>
                              <a:solidFill>
                                <a:srgbClr val="FFC002"/>
                              </a:solidFill>
                              <a:ln w="25400">
                                <a:solidFill>
                                  <a:srgbClr val="FFC002"/>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38" o:spid="_x0000_s1050" type="#_x0000_t66" style="width:71.25pt;height:22.65pt;margin-top:34.35pt;margin-left:-2.1pt;mso-height-percent:0;mso-height-relative:margin;mso-width-percent:0;mso-width-relative:margin;mso-wrap-distance-bottom:0;mso-wrap-distance-left:9pt;mso-wrap-distance-right:9pt;mso-wrap-distance-top:0;mso-wrap-style:square;position:absolute;visibility:visible;v-text-anchor:middle;z-index:251737088" adj="3433" fillcolor="#ffc002" strokecolor="#ffc002" strokeweight="2pt"/>
                  </w:pict>
                </mc:Fallback>
              </mc:AlternateContent>
            </w:r>
          </w:p>
        </w:tc>
        <w:tc>
          <w:tcPr>
            <w:tcW w:w="707" w:type="dxa"/>
            <w:gridSpan w:val="2"/>
            <w:tcBorders>
              <w:top w:val="single" w:sz="2" w:space="0" w:color="auto"/>
              <w:left w:val="single" w:sz="2" w:space="0" w:color="auto"/>
              <w:bottom w:val="single" w:sz="2" w:space="0" w:color="auto"/>
              <w:right w:val="single" w:sz="2" w:space="0" w:color="auto"/>
            </w:tcBorders>
            <w:shd w:val="clear" w:color="auto" w:fill="DBE8EE"/>
          </w:tcPr>
          <w:p w:rsidR="006230E9" w:rsidRPr="0027392D" w:rsidP="00AC4346" w14:paraId="6BB1915C" w14:textId="77777777">
            <w:pPr>
              <w:pStyle w:val="71R"/>
              <w:spacing w:before="0" w:after="0"/>
              <w:rPr>
                <w:b/>
                <w:rtl/>
              </w:rPr>
            </w:pPr>
          </w:p>
        </w:tc>
        <w:tc>
          <w:tcPr>
            <w:tcW w:w="844" w:type="dxa"/>
            <w:tcBorders>
              <w:top w:val="single" w:sz="2" w:space="0" w:color="auto"/>
              <w:left w:val="single" w:sz="2" w:space="0" w:color="auto"/>
              <w:bottom w:val="single" w:sz="2" w:space="0" w:color="auto"/>
              <w:right w:val="single" w:sz="2" w:space="0" w:color="auto"/>
            </w:tcBorders>
            <w:shd w:val="clear" w:color="auto" w:fill="DBE8EE"/>
          </w:tcPr>
          <w:p w:rsidR="006230E9" w:rsidRPr="0027392D" w:rsidP="00AC4346" w14:paraId="1622555C" w14:textId="77777777">
            <w:pPr>
              <w:pStyle w:val="71R"/>
              <w:spacing w:before="0" w:after="0"/>
              <w:rPr>
                <w:b/>
                <w:rtl/>
              </w:rPr>
            </w:pPr>
          </w:p>
        </w:tc>
      </w:tr>
      <w:tr w14:paraId="6DD944B8" w14:textId="77777777" w:rsidTr="003954BC">
        <w:tblPrEx>
          <w:tblW w:w="7366" w:type="dxa"/>
          <w:jc w:val="center"/>
          <w:tblLook w:val="04A0"/>
        </w:tblPrEx>
        <w:trPr>
          <w:jc w:val="center"/>
        </w:trPr>
        <w:tc>
          <w:tcPr>
            <w:tcW w:w="1375" w:type="dxa"/>
            <w:tcBorders>
              <w:top w:val="single" w:sz="2" w:space="0" w:color="auto"/>
              <w:bottom w:val="single" w:sz="4" w:space="0" w:color="auto"/>
            </w:tcBorders>
            <w:shd w:val="clear" w:color="auto" w:fill="ECF4F5"/>
          </w:tcPr>
          <w:p w:rsidR="006230E9" w:rsidRPr="00E274BB" w:rsidP="00AC4346" w14:paraId="1DE4AF36" w14:textId="72D3FF31">
            <w:pPr>
              <w:pStyle w:val="71R"/>
              <w:spacing w:before="0" w:after="0"/>
              <w:rPr>
                <w:bCs/>
                <w:sz w:val="17"/>
                <w:szCs w:val="17"/>
                <w:rtl/>
              </w:rPr>
            </w:pPr>
            <w:r w:rsidRPr="00E274BB">
              <w:rPr>
                <w:bCs/>
                <w:sz w:val="17"/>
                <w:szCs w:val="17"/>
                <w:rtl/>
              </w:rPr>
              <w:t>הכשרת רופאים בקהילה לקראת תואר מומחה - חלוקת תקופת ההתמחות בין בתי החולים ובין הקהילה</w:t>
            </w:r>
            <w:r w:rsidRPr="00E274BB">
              <w:rPr>
                <w:rFonts w:hint="cs"/>
                <w:bCs/>
                <w:sz w:val="17"/>
                <w:szCs w:val="17"/>
                <w:rtl/>
              </w:rPr>
              <w:t xml:space="preserve"> </w:t>
            </w:r>
          </w:p>
        </w:tc>
        <w:tc>
          <w:tcPr>
            <w:tcW w:w="997" w:type="dxa"/>
            <w:tcBorders>
              <w:top w:val="single" w:sz="2" w:space="0" w:color="auto"/>
              <w:bottom w:val="single" w:sz="4" w:space="0" w:color="auto"/>
            </w:tcBorders>
            <w:shd w:val="clear" w:color="auto" w:fill="ECF4F5"/>
          </w:tcPr>
          <w:p w:rsidR="006230E9" w:rsidRPr="00EC78AA" w:rsidP="00AC4346" w14:paraId="69227B2A" w14:textId="49F1E43A">
            <w:pPr>
              <w:pStyle w:val="71R"/>
              <w:spacing w:before="0" w:after="0"/>
              <w:rPr>
                <w:sz w:val="18"/>
                <w:szCs w:val="18"/>
                <w:rtl/>
              </w:rPr>
            </w:pPr>
            <w:r w:rsidRPr="00E274BB">
              <w:rPr>
                <w:rFonts w:hint="cs"/>
                <w:b/>
                <w:sz w:val="17"/>
                <w:szCs w:val="17"/>
                <w:rtl/>
              </w:rPr>
              <w:t>משרד הבריאות</w:t>
            </w:r>
          </w:p>
        </w:tc>
        <w:tc>
          <w:tcPr>
            <w:tcW w:w="1956" w:type="dxa"/>
            <w:tcBorders>
              <w:top w:val="single" w:sz="2" w:space="0" w:color="auto"/>
              <w:bottom w:val="single" w:sz="4" w:space="0" w:color="auto"/>
            </w:tcBorders>
            <w:shd w:val="clear" w:color="auto" w:fill="ECF4F5"/>
          </w:tcPr>
          <w:p w:rsidR="006230E9" w:rsidRPr="00E274BB" w:rsidP="00AC4346" w14:paraId="6ADBDE36" w14:textId="3046950F">
            <w:pPr>
              <w:pStyle w:val="71R"/>
              <w:spacing w:before="0" w:after="0"/>
              <w:rPr>
                <w:b/>
                <w:sz w:val="17"/>
                <w:szCs w:val="17"/>
                <w:rtl/>
              </w:rPr>
            </w:pPr>
            <w:r w:rsidRPr="00E274BB">
              <w:rPr>
                <w:b/>
                <w:sz w:val="17"/>
                <w:szCs w:val="17"/>
                <w:rtl/>
              </w:rPr>
              <w:t>על אף המגמה הקיימת והצפויה להתרחב של מצוקת כוח אדם רפואי ברפואת הקהילה</w:t>
            </w:r>
            <w:r w:rsidRPr="00E274BB">
              <w:rPr>
                <w:rFonts w:hint="cs"/>
                <w:b/>
                <w:sz w:val="17"/>
                <w:szCs w:val="17"/>
                <w:rtl/>
              </w:rPr>
              <w:t>,</w:t>
            </w:r>
            <w:r w:rsidRPr="00E274BB">
              <w:rPr>
                <w:b/>
                <w:sz w:val="17"/>
                <w:szCs w:val="17"/>
                <w:rtl/>
              </w:rPr>
              <w:t xml:space="preserve"> משרד הבריאות לא עסק במתכונת הרצויה להתמחות בקהילה ו</w:t>
            </w:r>
            <w:r w:rsidRPr="00E274BB">
              <w:rPr>
                <w:rFonts w:hint="cs"/>
                <w:b/>
                <w:sz w:val="17"/>
                <w:szCs w:val="17"/>
                <w:rtl/>
              </w:rPr>
              <w:t>ב</w:t>
            </w:r>
            <w:r w:rsidRPr="00E274BB">
              <w:rPr>
                <w:b/>
                <w:sz w:val="17"/>
                <w:szCs w:val="17"/>
                <w:rtl/>
              </w:rPr>
              <w:t>יכולת לתת מענה לצרכים המתפתחים, ורק מיעוט מקרב המתמחים עובר הכשרה בקהילה.</w:t>
            </w:r>
          </w:p>
        </w:tc>
        <w:tc>
          <w:tcPr>
            <w:tcW w:w="735" w:type="dxa"/>
            <w:tcBorders>
              <w:top w:val="single" w:sz="2" w:space="0" w:color="auto"/>
              <w:bottom w:val="single" w:sz="4" w:space="0" w:color="auto"/>
            </w:tcBorders>
            <w:shd w:val="clear" w:color="auto" w:fill="ECF4F5"/>
          </w:tcPr>
          <w:p w:rsidR="006230E9" w:rsidRPr="00606EF9" w:rsidP="00AC4346" w14:paraId="0FE8A34C" w14:textId="70BA2F4A">
            <w:pPr>
              <w:pStyle w:val="71R"/>
              <w:spacing w:before="0" w:after="0"/>
              <w:rPr>
                <w:rFonts w:ascii="Times New Roman" w:hAnsi="Times New Roman" w:cs="David"/>
                <w:noProof/>
                <w:rtl/>
              </w:rPr>
            </w:pPr>
            <w:r w:rsidRPr="00606EF9">
              <w:rPr>
                <w:rFonts w:ascii="Times New Roman" w:hAnsi="Times New Roman" w:cs="David"/>
                <w:noProof/>
                <w:rtl/>
              </w:rPr>
              <mc:AlternateContent>
                <mc:Choice Requires="wps">
                  <w:drawing>
                    <wp:anchor distT="0" distB="0" distL="114300" distR="114300" simplePos="0" relativeHeight="251738112" behindDoc="0" locked="0" layoutInCell="1" allowOverlap="1">
                      <wp:simplePos x="0" y="0"/>
                      <wp:positionH relativeFrom="column">
                        <wp:posOffset>-813435</wp:posOffset>
                      </wp:positionH>
                      <wp:positionV relativeFrom="paragraph">
                        <wp:posOffset>715645</wp:posOffset>
                      </wp:positionV>
                      <wp:extent cx="1188720" cy="287655"/>
                      <wp:effectExtent l="0" t="0" r="11430" b="17145"/>
                      <wp:wrapNone/>
                      <wp:docPr id="1113575902" name="חץ שמאלה 38"/>
                      <wp:cNvGraphicFramePr/>
                      <a:graphic xmlns:a="http://schemas.openxmlformats.org/drawingml/2006/main">
                        <a:graphicData uri="http://schemas.microsoft.com/office/word/2010/wordprocessingShape">
                          <wps:wsp xmlns:wps="http://schemas.microsoft.com/office/word/2010/wordprocessingShape">
                            <wps:cNvSpPr/>
                            <wps:spPr>
                              <a:xfrm>
                                <a:off x="0" y="0"/>
                                <a:ext cx="1188720" cy="287655"/>
                              </a:xfrm>
                              <a:prstGeom prst="leftArrow">
                                <a:avLst/>
                              </a:prstGeom>
                              <a:solidFill>
                                <a:srgbClr val="FDF000"/>
                              </a:solidFill>
                              <a:ln w="25400">
                                <a:solidFill>
                                  <a:srgbClr val="FDF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38" o:spid="_x0000_s1051" type="#_x0000_t66" style="width:93.6pt;height:22.65pt;margin-top:56.35pt;margin-left:-64.05pt;mso-height-percent:0;mso-height-relative:margin;mso-width-percent:0;mso-width-relative:margin;mso-wrap-distance-bottom:0;mso-wrap-distance-left:9pt;mso-wrap-distance-right:9pt;mso-wrap-distance-top:0;mso-wrap-style:square;position:absolute;visibility:visible;v-text-anchor:middle;z-index:251739136" adj="2613" fillcolor="#fdf000" strokecolor="#fdf000" strokeweight="2pt"/>
                  </w:pict>
                </mc:Fallback>
              </mc:AlternateContent>
            </w:r>
          </w:p>
        </w:tc>
        <w:tc>
          <w:tcPr>
            <w:tcW w:w="752" w:type="dxa"/>
            <w:tcBorders>
              <w:top w:val="single" w:sz="2" w:space="0" w:color="auto"/>
              <w:bottom w:val="single" w:sz="4" w:space="0" w:color="auto"/>
            </w:tcBorders>
            <w:shd w:val="clear" w:color="auto" w:fill="ECF4F5"/>
          </w:tcPr>
          <w:p w:rsidR="006230E9" w:rsidRPr="006230E9" w:rsidP="00AC4346" w14:paraId="6ACD60D1" w14:textId="386E0B74">
            <w:pPr>
              <w:pStyle w:val="71R"/>
              <w:spacing w:before="0" w:after="0"/>
              <w:rPr>
                <w:b/>
                <w:sz w:val="17"/>
                <w:szCs w:val="17"/>
                <w:rtl/>
              </w:rPr>
            </w:pPr>
            <w:r>
              <w:rPr>
                <w:rFonts w:hint="cs"/>
                <w:b/>
                <w:sz w:val="17"/>
                <w:szCs w:val="17"/>
                <w:rtl/>
              </w:rPr>
              <w:t>תוקן במידה חלקית</w:t>
            </w:r>
          </w:p>
        </w:tc>
        <w:tc>
          <w:tcPr>
            <w:tcW w:w="707" w:type="dxa"/>
            <w:gridSpan w:val="2"/>
            <w:tcBorders>
              <w:top w:val="single" w:sz="2" w:space="0" w:color="auto"/>
              <w:bottom w:val="single" w:sz="4" w:space="0" w:color="auto"/>
            </w:tcBorders>
            <w:shd w:val="clear" w:color="auto" w:fill="ECF4F5"/>
          </w:tcPr>
          <w:p w:rsidR="006230E9" w:rsidRPr="0027392D" w:rsidP="00AC4346" w14:paraId="64081355" w14:textId="77777777">
            <w:pPr>
              <w:pStyle w:val="71R"/>
              <w:spacing w:before="0" w:after="0"/>
              <w:rPr>
                <w:b/>
                <w:rtl/>
              </w:rPr>
            </w:pPr>
          </w:p>
        </w:tc>
        <w:tc>
          <w:tcPr>
            <w:tcW w:w="844" w:type="dxa"/>
            <w:tcBorders>
              <w:top w:val="single" w:sz="2" w:space="0" w:color="auto"/>
              <w:bottom w:val="single" w:sz="4" w:space="0" w:color="auto"/>
            </w:tcBorders>
            <w:shd w:val="clear" w:color="auto" w:fill="ECF4F5"/>
          </w:tcPr>
          <w:p w:rsidR="006230E9" w:rsidRPr="0027392D" w:rsidP="00AC4346" w14:paraId="24DA82D1" w14:textId="77777777">
            <w:pPr>
              <w:pStyle w:val="71R"/>
              <w:spacing w:before="0" w:after="0"/>
              <w:rPr>
                <w:b/>
                <w:rtl/>
              </w:rPr>
            </w:pPr>
          </w:p>
        </w:tc>
      </w:tr>
    </w:tbl>
    <w:p w:rsidR="00F81EDE" w:rsidP="00AC4346" w14:paraId="394BD1F5" w14:textId="3D6628AA">
      <w:pPr>
        <w:rPr>
          <w:rtl/>
        </w:rPr>
      </w:pPr>
    </w:p>
    <w:p w:rsidR="00F81EDE" w14:paraId="1332CEB7" w14:textId="77777777">
      <w:pPr>
        <w:bidi w:val="0"/>
        <w:spacing w:after="200" w:line="276" w:lineRule="auto"/>
        <w:rPr>
          <w:rtl/>
        </w:rPr>
      </w:pPr>
      <w:r>
        <w:rPr>
          <w:rtl/>
        </w:rPr>
        <w:br w:type="page"/>
      </w:r>
    </w:p>
    <w:p w:rsidR="003E22D5" w14:paraId="4BE90F4F" w14:textId="2DAD175C">
      <w:pPr>
        <w:bidi w:val="0"/>
        <w:spacing w:after="200" w:line="276" w:lineRule="auto"/>
      </w:pPr>
      <w:r>
        <w:rPr>
          <w:noProof/>
          <w:rtl/>
          <w:lang w:val="he-IL"/>
        </w:rPr>
        <mc:AlternateContent>
          <mc:Choice Requires="wps">
            <w:drawing>
              <wp:anchor distT="0" distB="0" distL="114300" distR="114300" simplePos="0" relativeHeight="251757568" behindDoc="0" locked="0" layoutInCell="1" allowOverlap="1">
                <wp:simplePos x="0" y="0"/>
                <wp:positionH relativeFrom="column">
                  <wp:posOffset>-665480</wp:posOffset>
                </wp:positionH>
                <wp:positionV relativeFrom="paragraph">
                  <wp:posOffset>7136130</wp:posOffset>
                </wp:positionV>
                <wp:extent cx="6089650" cy="685800"/>
                <wp:effectExtent l="0" t="0" r="25400" b="19050"/>
                <wp:wrapNone/>
                <wp:docPr id="3788736" name="Rectangle 3788736"/>
                <wp:cNvGraphicFramePr/>
                <a:graphic xmlns:a="http://schemas.openxmlformats.org/drawingml/2006/main">
                  <a:graphicData uri="http://schemas.microsoft.com/office/word/2010/wordprocessingShape">
                    <wps:wsp xmlns:wps="http://schemas.microsoft.com/office/word/2010/wordprocessingShape">
                      <wps:cNvSpPr/>
                      <wps:spPr>
                        <a:xfrm>
                          <a:off x="0" y="0"/>
                          <a:ext cx="6089650" cy="6858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ect id="Rectangle 3788736" o:spid="_x0000_s1052" style="width:479.5pt;height:54pt;margin-top:561.9pt;margin-left:-52.4pt;mso-width-percent:0;mso-width-relative:margin;mso-wrap-distance-bottom:0;mso-wrap-distance-left:9pt;mso-wrap-distance-right:9pt;mso-wrap-distance-top:0;mso-wrap-style:square;position:absolute;visibility:visible;v-text-anchor:middle;z-index:251758592" fillcolor="white" strokecolor="white" strokeweight="1.25pt"/>
            </w:pict>
          </mc:Fallback>
        </mc:AlternateContent>
      </w:r>
      <w:r>
        <w:rPr>
          <w:noProof/>
          <w:rtl/>
          <w:lang w:val="he-IL"/>
        </w:rPr>
        <mc:AlternateContent>
          <mc:Choice Requires="wps">
            <w:drawing>
              <wp:anchor distT="0" distB="0" distL="114300" distR="114300" simplePos="0" relativeHeight="251755520" behindDoc="0" locked="0" layoutInCell="1" allowOverlap="1">
                <wp:simplePos x="0" y="0"/>
                <wp:positionH relativeFrom="column">
                  <wp:posOffset>-1529080</wp:posOffset>
                </wp:positionH>
                <wp:positionV relativeFrom="paragraph">
                  <wp:posOffset>-589280</wp:posOffset>
                </wp:positionV>
                <wp:extent cx="6521450" cy="685800"/>
                <wp:effectExtent l="0" t="0" r="12700" b="19050"/>
                <wp:wrapNone/>
                <wp:docPr id="58" name="Rectangle 58"/>
                <wp:cNvGraphicFramePr/>
                <a:graphic xmlns:a="http://schemas.openxmlformats.org/drawingml/2006/main">
                  <a:graphicData uri="http://schemas.microsoft.com/office/word/2010/wordprocessingShape">
                    <wps:wsp xmlns:wps="http://schemas.microsoft.com/office/word/2010/wordprocessingShape">
                      <wps:cNvSpPr/>
                      <wps:spPr>
                        <a:xfrm>
                          <a:off x="0" y="0"/>
                          <a:ext cx="6521450" cy="6858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ect id="Rectangle 58" o:spid="_x0000_s1053" style="width:513.5pt;height:54pt;margin-top:-46.4pt;margin-left:-120.4pt;mso-width-percent:0;mso-width-relative:margin;mso-wrap-distance-bottom:0;mso-wrap-distance-left:9pt;mso-wrap-distance-right:9pt;mso-wrap-distance-top:0;mso-wrap-style:square;position:absolute;visibility:visible;v-text-anchor:middle;z-index:251756544" fillcolor="white" strokecolor="white" strokeweight="1.25pt"/>
            </w:pict>
          </mc:Fallback>
        </mc:AlternateContent>
      </w:r>
      <w:r>
        <w:rPr>
          <w:noProof/>
          <w:rtl/>
          <w:lang w:val="he-IL"/>
        </w:rPr>
        <mc:AlternateContent>
          <mc:Choice Requires="wps">
            <w:drawing>
              <wp:anchor distT="0" distB="0" distL="114300" distR="114300" simplePos="0" relativeHeight="251753472" behindDoc="0" locked="0" layoutInCell="1" allowOverlap="1">
                <wp:simplePos x="0" y="0"/>
                <wp:positionH relativeFrom="column">
                  <wp:posOffset>-1162050</wp:posOffset>
                </wp:positionH>
                <wp:positionV relativeFrom="paragraph">
                  <wp:posOffset>2032000</wp:posOffset>
                </wp:positionV>
                <wp:extent cx="6324600" cy="685800"/>
                <wp:effectExtent l="0" t="0" r="19050" b="19050"/>
                <wp:wrapNone/>
                <wp:docPr id="57" name="Rectangle 57"/>
                <wp:cNvGraphicFramePr/>
                <a:graphic xmlns:a="http://schemas.openxmlformats.org/drawingml/2006/main">
                  <a:graphicData uri="http://schemas.microsoft.com/office/word/2010/wordprocessingShape">
                    <wps:wsp xmlns:wps="http://schemas.microsoft.com/office/word/2010/wordprocessingShape">
                      <wps:cNvSpPr/>
                      <wps:spPr>
                        <a:xfrm>
                          <a:off x="0" y="0"/>
                          <a:ext cx="6324600" cy="6858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57" o:spid="_x0000_s1054" style="width:498pt;height:54pt;margin-top:160pt;margin-left:-91.5pt;mso-wrap-distance-bottom:0;mso-wrap-distance-left:9pt;mso-wrap-distance-right:9pt;mso-wrap-distance-top:0;mso-wrap-style:square;position:absolute;visibility:visible;v-text-anchor:middle;z-index:251754496" fillcolor="white" strokecolor="white" strokeweight="1.25pt"/>
            </w:pict>
          </mc:Fallback>
        </mc:AlternateContent>
      </w:r>
      <w:r>
        <w:br w:type="page"/>
      </w:r>
    </w:p>
    <w:p w:rsidR="003E22D5" w14:paraId="72920BAE" w14:textId="2FB75BAB">
      <w:pPr>
        <w:bidi w:val="0"/>
        <w:spacing w:after="200" w:line="276" w:lineRule="auto"/>
        <w:rPr>
          <w:rtl/>
        </w:rPr>
      </w:pPr>
      <w:r w:rsidRPr="008875A7">
        <w:rPr>
          <w:noProof/>
        </w:rPr>
        <w:drawing>
          <wp:anchor distT="0" distB="0" distL="114300" distR="114300" simplePos="0" relativeHeight="251746304" behindDoc="0" locked="0" layoutInCell="1" allowOverlap="1">
            <wp:simplePos x="0" y="0"/>
            <wp:positionH relativeFrom="column">
              <wp:posOffset>3131185</wp:posOffset>
            </wp:positionH>
            <wp:positionV relativeFrom="paragraph">
              <wp:posOffset>1325880</wp:posOffset>
            </wp:positionV>
            <wp:extent cx="1010285" cy="707390"/>
            <wp:effectExtent l="0" t="0" r="0" b="0"/>
            <wp:wrapSquare wrapText="bothSides"/>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10"/>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r w:rsidRPr="008875A7">
        <w:rPr>
          <w:noProof/>
        </w:rPr>
        <mc:AlternateContent>
          <mc:Choice Requires="wps">
            <w:drawing>
              <wp:anchor distT="45720" distB="45720" distL="114300" distR="114300" simplePos="0" relativeHeight="251744256" behindDoc="0" locked="0" layoutInCell="1" allowOverlap="1">
                <wp:simplePos x="0" y="0"/>
                <wp:positionH relativeFrom="column">
                  <wp:posOffset>-71120</wp:posOffset>
                </wp:positionH>
                <wp:positionV relativeFrom="paragraph">
                  <wp:posOffset>843915</wp:posOffset>
                </wp:positionV>
                <wp:extent cx="4505325" cy="4273550"/>
                <wp:effectExtent l="0" t="0" r="9525" b="0"/>
                <wp:wrapSquare wrapText="bothSides"/>
                <wp:docPr id="3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05325" cy="4273550"/>
                        </a:xfrm>
                        <a:prstGeom prst="rect">
                          <a:avLst/>
                        </a:prstGeom>
                        <a:solidFill>
                          <a:srgbClr val="00305F"/>
                        </a:solidFill>
                        <a:ln w="9525">
                          <a:noFill/>
                          <a:miter lim="800000"/>
                          <a:headEnd/>
                          <a:tailEnd/>
                        </a:ln>
                      </wps:spPr>
                      <wps:txbx>
                        <w:txbxContent>
                          <w:p w:rsidR="008875A7" w:rsidP="008875A7" w14:textId="77777777">
                            <w:pPr>
                              <w:ind w:left="2268"/>
                              <w:rPr>
                                <w:rFonts w:ascii="Tahoma" w:hAnsi="Tahoma" w:cs="Tahoma"/>
                                <w:sz w:val="18"/>
                                <w:szCs w:val="18"/>
                                <w:rtl/>
                              </w:rPr>
                            </w:pPr>
                          </w:p>
                          <w:p w:rsidR="008875A7" w:rsidP="008875A7" w14:textId="77777777">
                            <w:pPr>
                              <w:ind w:left="2268"/>
                              <w:rPr>
                                <w:rFonts w:ascii="Tahoma" w:hAnsi="Tahoma" w:cs="Tahoma"/>
                                <w:sz w:val="18"/>
                                <w:szCs w:val="18"/>
                                <w:rtl/>
                              </w:rPr>
                            </w:pPr>
                          </w:p>
                          <w:p w:rsidR="008875A7" w:rsidRPr="0052031E" w:rsidP="008875A7" w14:textId="77777777">
                            <w:pPr>
                              <w:ind w:left="2268"/>
                              <w:rPr>
                                <w:rFonts w:ascii="Tahoma" w:hAnsi="Tahoma" w:cs="Tahoma"/>
                                <w:sz w:val="18"/>
                                <w:szCs w:val="18"/>
                                <w:rtl/>
                              </w:rPr>
                            </w:pPr>
                            <w:r>
                              <w:rPr>
                                <w:rFonts w:ascii="Tahoma" w:hAnsi="Tahoma" w:cs="Tahoma" w:hint="cs"/>
                                <w:sz w:val="18"/>
                                <w:szCs w:val="18"/>
                                <w:rtl/>
                              </w:rPr>
                              <w:t xml:space="preserve">דוח </w:t>
                            </w:r>
                            <w:r w:rsidRPr="0052031E">
                              <w:rPr>
                                <w:rFonts w:ascii="Tahoma" w:hAnsi="Tahoma" w:cs="Tahoma"/>
                                <w:sz w:val="18"/>
                                <w:szCs w:val="18"/>
                                <w:rtl/>
                              </w:rPr>
                              <w:t>מבקר המדינה</w:t>
                            </w:r>
                            <w:r>
                              <w:rPr>
                                <w:rFonts w:ascii="Tahoma" w:hAnsi="Tahoma" w:cs="Tahoma" w:hint="cs"/>
                                <w:sz w:val="18"/>
                                <w:szCs w:val="18"/>
                                <w:rtl/>
                              </w:rPr>
                              <w:t xml:space="preserve"> </w:t>
                            </w:r>
                            <w:r w:rsidRPr="0052031E">
                              <w:rPr>
                                <w:rFonts w:ascii="Tahoma" w:hAnsi="Tahoma" w:cs="Tahoma"/>
                                <w:sz w:val="18"/>
                                <w:szCs w:val="18"/>
                                <w:rtl/>
                              </w:rPr>
                              <w:t>|</w:t>
                            </w:r>
                            <w:r>
                              <w:rPr>
                                <w:rFonts w:ascii="Tahoma" w:hAnsi="Tahoma" w:cs="Tahoma" w:hint="cs"/>
                                <w:sz w:val="18"/>
                                <w:szCs w:val="18"/>
                                <w:rtl/>
                              </w:rPr>
                              <w:t xml:space="preserve"> תמוז </w:t>
                            </w:r>
                            <w:r>
                              <w:rPr>
                                <w:rFonts w:ascii="Tahoma" w:hAnsi="Tahoma" w:cs="Tahoma" w:hint="cs"/>
                                <w:sz w:val="18"/>
                                <w:szCs w:val="18"/>
                                <w:rtl/>
                              </w:rPr>
                              <w:t>התשפ"ד</w:t>
                            </w:r>
                            <w:r>
                              <w:rPr>
                                <w:rFonts w:ascii="Tahoma" w:hAnsi="Tahoma" w:cs="Tahoma" w:hint="cs"/>
                                <w:sz w:val="18"/>
                                <w:szCs w:val="18"/>
                                <w:rtl/>
                              </w:rPr>
                              <w:t xml:space="preserve"> </w:t>
                            </w:r>
                            <w:r w:rsidRPr="0052031E">
                              <w:rPr>
                                <w:rFonts w:ascii="Tahoma" w:hAnsi="Tahoma" w:cs="Tahoma"/>
                                <w:sz w:val="18"/>
                                <w:szCs w:val="18"/>
                                <w:rtl/>
                              </w:rPr>
                              <w:t>|</w:t>
                            </w:r>
                            <w:r>
                              <w:rPr>
                                <w:rFonts w:ascii="Tahoma" w:hAnsi="Tahoma" w:cs="Tahoma" w:hint="cs"/>
                                <w:sz w:val="18"/>
                                <w:szCs w:val="18"/>
                                <w:rtl/>
                              </w:rPr>
                              <w:t xml:space="preserve"> יולי 2024</w:t>
                            </w:r>
                          </w:p>
                          <w:p w:rsidR="008875A7" w:rsidP="008875A7" w14:textId="77777777">
                            <w:pPr>
                              <w:ind w:left="2268"/>
                              <w:rPr>
                                <w:rtl/>
                              </w:rPr>
                            </w:pPr>
                          </w:p>
                          <w:p w:rsidR="008875A7" w:rsidP="008875A7" w14:textId="77777777">
                            <w:pPr>
                              <w:ind w:left="2268"/>
                              <w:rPr>
                                <w:rtl/>
                              </w:rPr>
                            </w:pPr>
                          </w:p>
                          <w:p w:rsidR="008875A7" w:rsidRPr="008875A7" w:rsidP="008875A7" w14:textId="20917A4D">
                            <w:pPr>
                              <w:ind w:left="2268"/>
                              <w:rPr>
                                <w:rFonts w:ascii="Tahoma" w:hAnsi="Tahoma" w:eastAsiaTheme="minorEastAsia" w:cs="Tahoma"/>
                                <w:color w:val="FFFFFF" w:themeColor="background1"/>
                                <w:sz w:val="50"/>
                                <w:szCs w:val="50"/>
                                <w:rtl/>
                              </w:rPr>
                            </w:pPr>
                            <w:r w:rsidRPr="00F243B3">
                              <w:rPr>
                                <w:rFonts w:ascii="Tahoma" w:hAnsi="Tahoma" w:eastAsiaTheme="minorEastAsia" w:cs="Tahoma" w:hint="cs"/>
                                <w:color w:val="FFFFFF" w:themeColor="background1"/>
                                <w:sz w:val="50"/>
                                <w:szCs w:val="50"/>
                                <w:rtl/>
                              </w:rPr>
                              <w:t xml:space="preserve">פרק </w:t>
                            </w:r>
                            <w:r>
                              <w:rPr>
                                <w:rFonts w:ascii="Tahoma" w:hAnsi="Tahoma" w:eastAsiaTheme="minorEastAsia" w:cs="Tahoma" w:hint="cs"/>
                                <w:color w:val="FFFFFF" w:themeColor="background1"/>
                                <w:sz w:val="50"/>
                                <w:szCs w:val="50"/>
                                <w:rtl/>
                              </w:rPr>
                              <w:t>שלישי</w:t>
                            </w:r>
                          </w:p>
                          <w:p w:rsidR="008875A7" w:rsidRPr="00C91D17" w:rsidP="008875A7" w14:textId="0C5F33C6">
                            <w:pPr>
                              <w:spacing w:before="360" w:line="600" w:lineRule="exact"/>
                              <w:ind w:left="2268"/>
                              <w:jc w:val="left"/>
                              <w:rPr>
                                <w:rFonts w:ascii="Tahoma" w:hAnsi="Tahoma" w:cs="Tahoma"/>
                                <w:b/>
                                <w:bCs/>
                                <w:color w:val="FFFFFF" w:themeColor="background1"/>
                                <w:sz w:val="70"/>
                                <w:szCs w:val="70"/>
                                <w:rtl/>
                              </w:rPr>
                            </w:pPr>
                            <w:r>
                              <w:rPr>
                                <w:rFonts w:ascii="Tahoma" w:hAnsi="Tahoma" w:cs="Tahoma" w:hint="cs"/>
                                <w:b/>
                                <w:bCs/>
                                <w:color w:val="FFFFFF" w:themeColor="background1"/>
                                <w:sz w:val="70"/>
                                <w:szCs w:val="70"/>
                                <w:rtl/>
                              </w:rPr>
                              <w:t xml:space="preserve">תאגידים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55" type="#_x0000_t202" style="width:354.75pt;height:336.5pt;margin-top:66.45pt;margin-left:-5.6pt;mso-height-percent:0;mso-height-relative:margin;mso-width-percent:0;mso-width-relative:margin;mso-wrap-distance-bottom:3.6pt;mso-wrap-distance-left:9pt;mso-wrap-distance-right:9pt;mso-wrap-distance-top:3.6pt;mso-wrap-style:square;position:absolute;visibility:visible;v-text-anchor:top;z-index:251745280" fillcolor="#00305f" stroked="f">
                <v:textbox>
                  <w:txbxContent>
                    <w:p w:rsidR="008875A7" w:rsidP="008875A7" w14:paraId="1C6A0CBC" w14:textId="77777777">
                      <w:pPr>
                        <w:ind w:left="2268"/>
                        <w:rPr>
                          <w:rFonts w:ascii="Tahoma" w:hAnsi="Tahoma" w:cs="Tahoma"/>
                          <w:sz w:val="18"/>
                          <w:szCs w:val="18"/>
                          <w:rtl/>
                        </w:rPr>
                      </w:pPr>
                    </w:p>
                    <w:p w:rsidR="008875A7" w:rsidP="008875A7" w14:paraId="2B773661" w14:textId="77777777">
                      <w:pPr>
                        <w:ind w:left="2268"/>
                        <w:rPr>
                          <w:rFonts w:ascii="Tahoma" w:hAnsi="Tahoma" w:cs="Tahoma"/>
                          <w:sz w:val="18"/>
                          <w:szCs w:val="18"/>
                          <w:rtl/>
                        </w:rPr>
                      </w:pPr>
                    </w:p>
                    <w:p w:rsidR="008875A7" w:rsidRPr="0052031E" w:rsidP="008875A7" w14:paraId="176DF5EA" w14:textId="77777777">
                      <w:pPr>
                        <w:ind w:left="2268"/>
                        <w:rPr>
                          <w:rFonts w:ascii="Tahoma" w:hAnsi="Tahoma" w:cs="Tahoma"/>
                          <w:sz w:val="18"/>
                          <w:szCs w:val="18"/>
                          <w:rtl/>
                        </w:rPr>
                      </w:pPr>
                      <w:r>
                        <w:rPr>
                          <w:rFonts w:ascii="Tahoma" w:hAnsi="Tahoma" w:cs="Tahoma" w:hint="cs"/>
                          <w:sz w:val="18"/>
                          <w:szCs w:val="18"/>
                          <w:rtl/>
                        </w:rPr>
                        <w:t xml:space="preserve">דוח </w:t>
                      </w:r>
                      <w:r w:rsidRPr="0052031E">
                        <w:rPr>
                          <w:rFonts w:ascii="Tahoma" w:hAnsi="Tahoma" w:cs="Tahoma"/>
                          <w:sz w:val="18"/>
                          <w:szCs w:val="18"/>
                          <w:rtl/>
                        </w:rPr>
                        <w:t>מבקר המדינה</w:t>
                      </w:r>
                      <w:r>
                        <w:rPr>
                          <w:rFonts w:ascii="Tahoma" w:hAnsi="Tahoma" w:cs="Tahoma" w:hint="cs"/>
                          <w:sz w:val="18"/>
                          <w:szCs w:val="18"/>
                          <w:rtl/>
                        </w:rPr>
                        <w:t xml:space="preserve"> </w:t>
                      </w:r>
                      <w:r w:rsidRPr="0052031E">
                        <w:rPr>
                          <w:rFonts w:ascii="Tahoma" w:hAnsi="Tahoma" w:cs="Tahoma"/>
                          <w:sz w:val="18"/>
                          <w:szCs w:val="18"/>
                          <w:rtl/>
                        </w:rPr>
                        <w:t>|</w:t>
                      </w:r>
                      <w:r>
                        <w:rPr>
                          <w:rFonts w:ascii="Tahoma" w:hAnsi="Tahoma" w:cs="Tahoma" w:hint="cs"/>
                          <w:sz w:val="18"/>
                          <w:szCs w:val="18"/>
                          <w:rtl/>
                        </w:rPr>
                        <w:t xml:space="preserve"> תמוז </w:t>
                      </w:r>
                      <w:r>
                        <w:rPr>
                          <w:rFonts w:ascii="Tahoma" w:hAnsi="Tahoma" w:cs="Tahoma" w:hint="cs"/>
                          <w:sz w:val="18"/>
                          <w:szCs w:val="18"/>
                          <w:rtl/>
                        </w:rPr>
                        <w:t>התשפ"ד</w:t>
                      </w:r>
                      <w:r>
                        <w:rPr>
                          <w:rFonts w:ascii="Tahoma" w:hAnsi="Tahoma" w:cs="Tahoma" w:hint="cs"/>
                          <w:sz w:val="18"/>
                          <w:szCs w:val="18"/>
                          <w:rtl/>
                        </w:rPr>
                        <w:t xml:space="preserve"> </w:t>
                      </w:r>
                      <w:r w:rsidRPr="0052031E">
                        <w:rPr>
                          <w:rFonts w:ascii="Tahoma" w:hAnsi="Tahoma" w:cs="Tahoma"/>
                          <w:sz w:val="18"/>
                          <w:szCs w:val="18"/>
                          <w:rtl/>
                        </w:rPr>
                        <w:t>|</w:t>
                      </w:r>
                      <w:r>
                        <w:rPr>
                          <w:rFonts w:ascii="Tahoma" w:hAnsi="Tahoma" w:cs="Tahoma" w:hint="cs"/>
                          <w:sz w:val="18"/>
                          <w:szCs w:val="18"/>
                          <w:rtl/>
                        </w:rPr>
                        <w:t xml:space="preserve"> יולי 2024</w:t>
                      </w:r>
                    </w:p>
                    <w:p w:rsidR="008875A7" w:rsidP="008875A7" w14:paraId="707FE134" w14:textId="77777777">
                      <w:pPr>
                        <w:ind w:left="2268"/>
                        <w:rPr>
                          <w:rtl/>
                        </w:rPr>
                      </w:pPr>
                    </w:p>
                    <w:p w:rsidR="008875A7" w:rsidP="008875A7" w14:paraId="74EF87DE" w14:textId="77777777">
                      <w:pPr>
                        <w:ind w:left="2268"/>
                        <w:rPr>
                          <w:rtl/>
                        </w:rPr>
                      </w:pPr>
                    </w:p>
                    <w:p w:rsidR="008875A7" w:rsidRPr="008875A7" w:rsidP="008875A7" w14:paraId="243C32C8" w14:textId="20917A4D">
                      <w:pPr>
                        <w:ind w:left="2268"/>
                        <w:rPr>
                          <w:rFonts w:ascii="Tahoma" w:hAnsi="Tahoma" w:eastAsiaTheme="minorEastAsia" w:cs="Tahoma"/>
                          <w:color w:val="FFFFFF" w:themeColor="background1"/>
                          <w:sz w:val="50"/>
                          <w:szCs w:val="50"/>
                          <w:rtl/>
                        </w:rPr>
                      </w:pPr>
                      <w:r w:rsidRPr="00F243B3">
                        <w:rPr>
                          <w:rFonts w:ascii="Tahoma" w:hAnsi="Tahoma" w:eastAsiaTheme="minorEastAsia" w:cs="Tahoma" w:hint="cs"/>
                          <w:color w:val="FFFFFF" w:themeColor="background1"/>
                          <w:sz w:val="50"/>
                          <w:szCs w:val="50"/>
                          <w:rtl/>
                        </w:rPr>
                        <w:t xml:space="preserve">פרק </w:t>
                      </w:r>
                      <w:r>
                        <w:rPr>
                          <w:rFonts w:ascii="Tahoma" w:hAnsi="Tahoma" w:eastAsiaTheme="minorEastAsia" w:cs="Tahoma" w:hint="cs"/>
                          <w:color w:val="FFFFFF" w:themeColor="background1"/>
                          <w:sz w:val="50"/>
                          <w:szCs w:val="50"/>
                          <w:rtl/>
                        </w:rPr>
                        <w:t>שלישי</w:t>
                      </w:r>
                    </w:p>
                    <w:p w:rsidR="008875A7" w:rsidRPr="00C91D17" w:rsidP="008875A7" w14:paraId="3474E21F" w14:textId="0C5F33C6">
                      <w:pPr>
                        <w:spacing w:before="360" w:line="600" w:lineRule="exact"/>
                        <w:ind w:left="2268"/>
                        <w:jc w:val="left"/>
                        <w:rPr>
                          <w:rFonts w:ascii="Tahoma" w:hAnsi="Tahoma" w:cs="Tahoma"/>
                          <w:b/>
                          <w:bCs/>
                          <w:color w:val="FFFFFF" w:themeColor="background1"/>
                          <w:sz w:val="70"/>
                          <w:szCs w:val="70"/>
                          <w:rtl/>
                        </w:rPr>
                      </w:pPr>
                      <w:r>
                        <w:rPr>
                          <w:rFonts w:ascii="Tahoma" w:hAnsi="Tahoma" w:cs="Tahoma" w:hint="cs"/>
                          <w:b/>
                          <w:bCs/>
                          <w:color w:val="FFFFFF" w:themeColor="background1"/>
                          <w:sz w:val="70"/>
                          <w:szCs w:val="70"/>
                          <w:rtl/>
                        </w:rPr>
                        <w:t xml:space="preserve">תאגידים </w:t>
                      </w:r>
                    </w:p>
                  </w:txbxContent>
                </v:textbox>
                <w10:wrap type="square"/>
              </v:shape>
            </w:pict>
          </mc:Fallback>
        </mc:AlternateContent>
      </w:r>
      <w:r w:rsidRPr="008875A7">
        <w:rPr>
          <w:noProof/>
        </w:rPr>
        <mc:AlternateContent>
          <mc:Choice Requires="wps">
            <w:drawing>
              <wp:anchor distT="0" distB="0" distL="114300" distR="114300" simplePos="0" relativeHeight="251742208" behindDoc="0" locked="0" layoutInCell="1" allowOverlap="1">
                <wp:simplePos x="0" y="0"/>
                <wp:positionH relativeFrom="column">
                  <wp:posOffset>-1435100</wp:posOffset>
                </wp:positionH>
                <wp:positionV relativeFrom="paragraph">
                  <wp:posOffset>-2006600</wp:posOffset>
                </wp:positionV>
                <wp:extent cx="7010400" cy="10788650"/>
                <wp:effectExtent l="0" t="0" r="19050" b="12700"/>
                <wp:wrapNone/>
                <wp:docPr id="10" name="Rectangle 10"/>
                <wp:cNvGraphicFramePr/>
                <a:graphic xmlns:a="http://schemas.openxmlformats.org/drawingml/2006/main">
                  <a:graphicData uri="http://schemas.microsoft.com/office/word/2010/wordprocessingShape">
                    <wps:wsp xmlns:wps="http://schemas.microsoft.com/office/word/2010/wordprocessingShape">
                      <wps:cNvSpPr/>
                      <wps:spPr>
                        <a:xfrm>
                          <a:off x="0" y="0"/>
                          <a:ext cx="7010400" cy="10788650"/>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0" o:spid="_x0000_s1056" style="width:552pt;height:849.5pt;margin-top:-158pt;margin-left:-113pt;mso-height-percent:0;mso-height-relative:margin;mso-width-percent:0;mso-width-relative:margin;mso-wrap-distance-bottom:0;mso-wrap-distance-left:9pt;mso-wrap-distance-right:9pt;mso-wrap-distance-top:0;mso-wrap-style:square;position:absolute;visibility:visible;v-text-anchor:middle;z-index:251743232" fillcolor="#00305f" strokecolor="#0d5571" strokeweight="1.25pt"/>
            </w:pict>
          </mc:Fallback>
        </mc:AlternateContent>
      </w:r>
      <w:r w:rsidRPr="008875A7">
        <w:rPr>
          <w:noProof/>
        </w:rPr>
        <mc:AlternateContent>
          <mc:Choice Requires="wps">
            <w:drawing>
              <wp:anchor distT="0" distB="0" distL="114300" distR="114300" simplePos="0" relativeHeight="251747328" behindDoc="0" locked="0" layoutInCell="1" allowOverlap="1">
                <wp:simplePos x="0" y="0"/>
                <wp:positionH relativeFrom="column">
                  <wp:posOffset>3017520</wp:posOffset>
                </wp:positionH>
                <wp:positionV relativeFrom="paragraph">
                  <wp:posOffset>1046480</wp:posOffset>
                </wp:positionV>
                <wp:extent cx="0" cy="2082800"/>
                <wp:effectExtent l="19050" t="0" r="38100" b="50800"/>
                <wp:wrapNone/>
                <wp:docPr id="40" name="Straight Connector 40"/>
                <wp:cNvGraphicFramePr/>
                <a:graphic xmlns:a="http://schemas.openxmlformats.org/drawingml/2006/main">
                  <a:graphicData uri="http://schemas.microsoft.com/office/word/2010/wordprocessingShape">
                    <wps:wsp xmlns:wps="http://schemas.microsoft.com/office/word/2010/wordprocessingShape">
                      <wps:cNvCnPr/>
                      <wps:spPr>
                        <a:xfrm>
                          <a:off x="0" y="0"/>
                          <a:ext cx="0" cy="208280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0" o:spid="_x0000_s1057" style="mso-height-percent:0;mso-height-relative:margin;mso-width-percent:0;mso-width-relative:margin;mso-wrap-distance-bottom:0;mso-wrap-distance-left:9pt;mso-wrap-distance-right:9pt;mso-wrap-distance-top:0;mso-wrap-style:square;position:absolute;visibility:visible;z-index:251748352" from="237.6pt,82.4pt" to="237.6pt,246.4pt" strokecolor="white" strokeweight="4pt"/>
            </w:pict>
          </mc:Fallback>
        </mc:AlternateContent>
      </w:r>
      <w:r w:rsidR="003E22D5">
        <w:rPr>
          <w:rtl/>
        </w:rPr>
        <w:br w:type="page"/>
      </w:r>
    </w:p>
    <w:p w:rsidR="001F4340" w14:paraId="4096E215" w14:textId="1A9E4A5E">
      <w:pPr>
        <w:rPr>
          <w:rtl/>
        </w:rPr>
      </w:pPr>
      <w:r>
        <w:rPr>
          <w:noProof/>
          <w:rtl/>
          <w:lang w:val="he-IL"/>
        </w:rPr>
        <mc:AlternateContent>
          <mc:Choice Requires="wps">
            <w:drawing>
              <wp:anchor distT="0" distB="0" distL="114300" distR="114300" simplePos="0" relativeHeight="251749376" behindDoc="0" locked="0" layoutInCell="1" allowOverlap="1">
                <wp:simplePos x="0" y="0"/>
                <wp:positionH relativeFrom="column">
                  <wp:posOffset>-1459230</wp:posOffset>
                </wp:positionH>
                <wp:positionV relativeFrom="paragraph">
                  <wp:posOffset>-718820</wp:posOffset>
                </wp:positionV>
                <wp:extent cx="6324600" cy="685800"/>
                <wp:effectExtent l="0" t="0" r="19050" b="19050"/>
                <wp:wrapNone/>
                <wp:docPr id="52" name="Rectangle 52"/>
                <wp:cNvGraphicFramePr/>
                <a:graphic xmlns:a="http://schemas.openxmlformats.org/drawingml/2006/main">
                  <a:graphicData uri="http://schemas.microsoft.com/office/word/2010/wordprocessingShape">
                    <wps:wsp xmlns:wps="http://schemas.microsoft.com/office/word/2010/wordprocessingShape">
                      <wps:cNvSpPr/>
                      <wps:spPr>
                        <a:xfrm>
                          <a:off x="0" y="0"/>
                          <a:ext cx="6324600" cy="6858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52" o:spid="_x0000_s1058" style="width:498pt;height:54pt;margin-top:-56.6pt;margin-left:-114.9pt;mso-wrap-distance-bottom:0;mso-wrap-distance-left:9pt;mso-wrap-distance-right:9pt;mso-wrap-distance-top:0;mso-wrap-style:square;position:absolute;visibility:visible;v-text-anchor:middle;z-index:251750400" fillcolor="white" strokecolor="white" strokeweight="1.25pt"/>
            </w:pict>
          </mc:Fallback>
        </mc:AlternateContent>
      </w:r>
    </w:p>
    <w:p w:rsidR="001F4340" w14:paraId="19DC6E0D" w14:textId="3876BA18">
      <w:pPr>
        <w:rPr>
          <w:rtl/>
        </w:rPr>
      </w:pPr>
    </w:p>
    <w:p w:rsidR="001F4340" w14:paraId="3DCE0E99" w14:textId="6336669B">
      <w:pPr>
        <w:rPr>
          <w:rtl/>
        </w:rPr>
      </w:pPr>
    </w:p>
    <w:p w:rsidR="001F4340" w14:paraId="60802180" w14:textId="02137A84">
      <w:pPr>
        <w:rPr>
          <w:rtl/>
        </w:rPr>
      </w:pPr>
    </w:p>
    <w:p w:rsidR="001F4340" w14:paraId="32EC4BE4" w14:textId="621C9F90">
      <w:pPr>
        <w:rPr>
          <w:rtl/>
        </w:rPr>
      </w:pPr>
    </w:p>
    <w:p w:rsidR="001F4340" w14:paraId="57CD3EE8" w14:textId="77777777"/>
    <w:p w:rsidR="00BA7B4B" w:rsidRPr="00BA7B4B" w:rsidP="005E1558" w14:paraId="2D847513" w14:textId="7F224395">
      <w:pPr>
        <w:pStyle w:val="759"/>
        <w:rPr>
          <w:rtl/>
        </w:rPr>
      </w:pPr>
      <w:r>
        <w:rPr>
          <w:noProof/>
          <w:rtl/>
          <w:lang w:val="he-IL"/>
        </w:rPr>
        <mc:AlternateContent>
          <mc:Choice Requires="wps">
            <w:drawing>
              <wp:anchor distT="0" distB="0" distL="114300" distR="114300" simplePos="0" relativeHeight="251751424" behindDoc="0" locked="0" layoutInCell="1" allowOverlap="1">
                <wp:simplePos x="0" y="0"/>
                <wp:positionH relativeFrom="column">
                  <wp:posOffset>-913130</wp:posOffset>
                </wp:positionH>
                <wp:positionV relativeFrom="paragraph">
                  <wp:posOffset>5841365</wp:posOffset>
                </wp:positionV>
                <wp:extent cx="6324600" cy="685800"/>
                <wp:effectExtent l="0" t="0" r="19050" b="19050"/>
                <wp:wrapNone/>
                <wp:docPr id="54" name="Rectangle 54"/>
                <wp:cNvGraphicFramePr/>
                <a:graphic xmlns:a="http://schemas.openxmlformats.org/drawingml/2006/main">
                  <a:graphicData uri="http://schemas.microsoft.com/office/word/2010/wordprocessingShape">
                    <wps:wsp xmlns:wps="http://schemas.microsoft.com/office/word/2010/wordprocessingShape">
                      <wps:cNvSpPr/>
                      <wps:spPr>
                        <a:xfrm>
                          <a:off x="0" y="0"/>
                          <a:ext cx="6324600" cy="6858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54" o:spid="_x0000_s1059" style="width:498pt;height:54pt;margin-top:459.95pt;margin-left:-71.9pt;mso-wrap-distance-bottom:0;mso-wrap-distance-left:9pt;mso-wrap-distance-right:9pt;mso-wrap-distance-top:0;mso-wrap-style:square;position:absolute;visibility:visible;v-text-anchor:middle;z-index:251752448" fillcolor="white" strokecolor="white" strokeweight="1.25pt"/>
            </w:pict>
          </mc:Fallback>
        </mc:AlternateContent>
      </w:r>
    </w:p>
    <w:sectPr w:rsidSect="00F35B8C">
      <w:headerReference w:type="default" r:id="rId29"/>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A10601" w14:paraId="242ADCB3" w14:textId="77777777">
      <w:pPr>
        <w:spacing w:line="240" w:lineRule="auto"/>
      </w:pPr>
      <w:r>
        <w:separator/>
      </w:r>
    </w:p>
    <w:p w:rsidR="00A10601" w14:paraId="1B618C5C" w14:textId="77777777"/>
    <w:p w:rsidR="00A10601" w14:paraId="08525AED" w14:textId="77777777"/>
    <w:p w:rsidR="00A10601" w14:paraId="5A76DDBC" w14:textId="77777777"/>
  </w:endnote>
  <w:endnote w:type="continuationSeparator" w:id="1">
    <w:p w:rsidR="00A10601" w14:paraId="3BDB1D91" w14:textId="77777777">
      <w:pPr>
        <w:spacing w:line="240" w:lineRule="auto"/>
      </w:pPr>
      <w:r>
        <w:continuationSeparator/>
      </w:r>
    </w:p>
    <w:p w:rsidR="00A10601" w14:paraId="600A236F" w14:textId="77777777"/>
    <w:p w:rsidR="00A10601" w14:paraId="7FFE3868" w14:textId="77777777"/>
    <w:p w:rsidR="00A10601" w14:paraId="56C6DAE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w Cen MT">
    <w:altName w:val="Calibri"/>
    <w:panose1 w:val="020B0602020104020603"/>
    <w:charset w:val="00"/>
    <w:family w:val="swiss"/>
    <w:pitch w:val="variable"/>
    <w:sig w:usb0="00000007" w:usb1="00000000" w:usb2="00000000" w:usb3="00000000" w:csb0="00000003" w:csb1="00000000"/>
  </w:font>
  <w:font w:name="David">
    <w:panose1 w:val="020E0502060401010101"/>
    <w:charset w:val="B1"/>
    <w:family w:val="auto"/>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TypoUpright BT">
    <w:panose1 w:val="03020702030807050705"/>
    <w:charset w:val="00"/>
    <w:family w:val="script"/>
    <w:pitch w:val="variable"/>
    <w:sig w:usb0="00000087" w:usb1="00000000" w:usb2="00000000" w:usb3="00000000" w:csb0="0000001B" w:csb1="00000000"/>
  </w:font>
  <w:font w:name="Tw Cen MT Condensed">
    <w:panose1 w:val="020B0606020104020203"/>
    <w:charset w:val="00"/>
    <w:family w:val="swiss"/>
    <w:pitch w:val="variable"/>
    <w:sig w:usb0="00000007" w:usb1="00000000" w:usb2="00000000" w:usb3="00000000" w:csb0="00000003" w:csb1="00000000"/>
  </w:font>
  <w:font w:name="Levenim MT">
    <w:panose1 w:val="00000000000000000000"/>
    <w:charset w:val="B1"/>
    <w:family w:val="auto"/>
    <w:pitch w:val="variable"/>
    <w:sig w:usb0="00000803" w:usb1="00000000" w:usb2="00000000" w:usb3="00000000" w:csb0="00000021" w:csb1="00000000"/>
  </w:font>
  <w:font w:name="Almoni ML Regular AAA">
    <w:altName w:val="Arial"/>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704020202020204"/>
    <w:charset w:val="00"/>
    <w:family w:val="roman"/>
    <w:pitch w:val="default"/>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FrankRuehl">
    <w:panose1 w:val="020E0503060101010101"/>
    <w:charset w:val="B1"/>
    <w:family w:val="auto"/>
    <w:pitch w:val="variable"/>
    <w:sig w:usb0="00000803" w:usb1="00000000" w:usb2="00000000" w:usb3="00000000" w:csb0="00000021" w:csb1="00000000"/>
  </w:font>
  <w:font w:name="Gotham Narrow Light">
    <w:altName w:val="Tahoma"/>
    <w:panose1 w:val="00000000000000000000"/>
    <w:charset w:val="00"/>
    <w:family w:val="auto"/>
    <w:notTrueType/>
    <w:pitch w:val="variable"/>
    <w:sig w:usb0="800000AF" w:usb1="50000048" w:usb2="00000000" w:usb3="00000000" w:csb0="0000011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AC37C7" w14:paraId="7314E402" w14:textId="77777777">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AC37C7" w:rsidRPr="00AC37C7" w:rsidP="00AC37C7" w14:paraId="037C10C0" w14:textId="77777777">
    <w:pPr>
      <w:pStyle w:val="Footer"/>
      <w:spacing w:after="120" w:line="312" w:lineRule="auto"/>
      <w:ind w:right="-737"/>
      <w:jc w:val="right"/>
      <w:rPr>
        <w:rFonts w:ascii="Tahoma" w:hAnsi="Tahoma" w:cs="Tahoma"/>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71DD" w:rsidP="004E71DD" w14:paraId="7761496C" w14:textId="3FF32544">
    <w:pPr>
      <w:pStyle w:val="Footer"/>
      <w:spacing w:after="120" w:line="312" w:lineRule="auto"/>
      <w:ind w:left="-510"/>
      <w:jc w:val="left"/>
      <w:rPr>
        <w:rFonts w:ascii="Tahoma" w:hAnsi="Tahoma" w:cs="Tahoma"/>
        <w:sz w:val="18"/>
        <w:szCs w:val="18"/>
        <w:rtl/>
      </w:rPr>
    </w:pPr>
  </w:p>
  <w:p w:rsidR="004E71DD" w:rsidP="004F5417" w14:paraId="6A4AA1EE" w14:textId="28113E6F">
    <w:pPr>
      <w:pStyle w:val="Footer"/>
      <w:tabs>
        <w:tab w:val="left" w:pos="488"/>
        <w:tab w:val="left" w:pos="522"/>
        <w:tab w:val="clear" w:pos="4153"/>
        <w:tab w:val="clear" w:pos="8306"/>
      </w:tabs>
      <w:spacing w:after="30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10</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r>
      <w:rPr>
        <w:rFonts w:ascii="Tahoma" w:hAnsi="Tahoma" w:cs="Tahoma"/>
        <w:color w:val="004E6C"/>
        <w:sz w:val="18"/>
        <w:szCs w:val="18"/>
        <w:rtl/>
      </w:rPr>
      <w:tab/>
    </w:r>
  </w:p>
  <w:p w:rsidR="008B694B" w:rsidRPr="004E71DD" w:rsidP="004E71DD" w14:paraId="4C3309D7" w14:textId="519A8E3D">
    <w:pPr>
      <w:pStyle w:val="Footer"/>
      <w:rPr>
        <w:szCs w:val="2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10601" w:rsidP="00E7235E" w14:paraId="1DC4B056" w14:textId="77777777">
      <w:pPr>
        <w:spacing w:line="240" w:lineRule="auto"/>
      </w:pPr>
      <w:r>
        <w:separator/>
      </w:r>
    </w:p>
  </w:footnote>
  <w:footnote w:type="continuationSeparator" w:id="1">
    <w:p w:rsidR="00A10601" w:rsidP="00C23CC9" w14:paraId="2851ED46" w14:textId="77777777">
      <w:pPr>
        <w:spacing w:line="240" w:lineRule="auto"/>
      </w:pPr>
      <w:r>
        <w:continuationSeparator/>
      </w:r>
    </w:p>
    <w:p w:rsidR="00A10601" w14:paraId="6A084BDA" w14:textId="77777777"/>
    <w:p w:rsidR="00A10601" w14:paraId="5B52D797" w14:textId="77777777"/>
    <w:p w:rsidR="00A10601" w14:paraId="14259D31" w14:textId="77777777"/>
  </w:footnote>
  <w:footnote w:id="2">
    <w:p w:rsidR="007F4A1C" w:rsidRPr="00D869CE" w:rsidP="00182B5E" w14:paraId="6199D1DE" w14:textId="5D9A67C3">
      <w:pPr>
        <w:pStyle w:val="753"/>
        <w:rPr>
          <w:rtl/>
        </w:rPr>
      </w:pPr>
      <w:r w:rsidRPr="00D869CE">
        <w:rPr>
          <w:rStyle w:val="FootnoteReference1"/>
          <w:vertAlign w:val="baseline"/>
        </w:rPr>
        <w:footnoteRef/>
      </w:r>
      <w:r w:rsidRPr="00D869CE">
        <w:rPr>
          <w:rtl/>
        </w:rPr>
        <w:t xml:space="preserve"> </w:t>
      </w:r>
      <w:r w:rsidRPr="00D869CE">
        <w:rPr>
          <w:rtl/>
        </w:rPr>
        <w:tab/>
      </w:r>
      <w:r w:rsidRPr="00D869CE" w:rsidR="00182B5E">
        <w:rPr>
          <w:rtl/>
        </w:rPr>
        <w:t>על פי</w:t>
      </w:r>
      <w:r w:rsidRPr="00182B5E" w:rsidR="00182B5E">
        <w:t xml:space="preserve"> </w:t>
      </w:r>
      <w:r w:rsidRPr="00D869CE" w:rsidR="00182B5E">
        <w:t>OECD</w:t>
      </w:r>
      <w:r w:rsidR="00182B5E">
        <w:t xml:space="preserve"> .</w:t>
      </w:r>
      <w:r w:rsidRPr="00D869CE" w:rsidR="00182B5E">
        <w:t>OECD Report on medical education and training in Israel</w:t>
      </w:r>
      <w:r w:rsidRPr="00D869CE">
        <w:t xml:space="preserve"> </w:t>
      </w:r>
      <w:r w:rsidRPr="00D869CE">
        <w:rPr>
          <w:rtl/>
        </w:rPr>
        <w:t xml:space="preserve">- </w:t>
      </w:r>
      <w:r w:rsidRPr="00D869CE">
        <w:t>The Organisation for Economic Co</w:t>
      </w:r>
      <w:r w:rsidR="00182B5E">
        <w:t xml:space="preserve"> </w:t>
      </w:r>
      <w:r w:rsidRPr="00D869CE">
        <w:t>operation and Development</w:t>
      </w:r>
      <w:r w:rsidRPr="00D869CE">
        <w:rPr>
          <w:rtl/>
        </w:rPr>
        <w:t xml:space="preserve"> - הארגון לפיתוח ולשיתוף פעולה כלכלי.</w:t>
      </w:r>
      <w:r w:rsidR="00182B5E">
        <w:rPr>
          <w:rFonts w:hint="cs"/>
          <w:rtl/>
        </w:rPr>
        <w:t xml:space="preserve"> </w:t>
      </w:r>
      <w:r w:rsidRPr="00D869CE" w:rsidR="00182B5E">
        <w:rPr>
          <w:rtl/>
        </w:rPr>
        <w:t>בארגון חברות 38 מדינות מפותחות.</w:t>
      </w:r>
    </w:p>
  </w:footnote>
  <w:footnote w:id="3">
    <w:p w:rsidR="007F4A1C" w:rsidRPr="00D869CE" w:rsidP="007F4A1C" w14:paraId="6515099D" w14:textId="77777777">
      <w:pPr>
        <w:pStyle w:val="753"/>
      </w:pPr>
      <w:r w:rsidRPr="00D869CE">
        <w:rPr>
          <w:rStyle w:val="FootnoteReference1"/>
          <w:vertAlign w:val="baseline"/>
        </w:rPr>
        <w:footnoteRef/>
      </w:r>
      <w:r w:rsidRPr="00D869CE">
        <w:rPr>
          <w:rtl/>
        </w:rPr>
        <w:t xml:space="preserve"> </w:t>
      </w:r>
      <w:r w:rsidRPr="00D869CE">
        <w:rPr>
          <w:rtl/>
        </w:rPr>
        <w:tab/>
        <w:t>בנובמבר 2023 החליטה המל"ג לאמץ את ההמלצה להעניק את התואר דוקטור ברפואה (.</w:t>
      </w:r>
      <w:r w:rsidRPr="00D869CE">
        <w:t>M.D</w:t>
      </w:r>
      <w:r w:rsidRPr="00D869CE">
        <w:rPr>
          <w:rtl/>
        </w:rPr>
        <w:t xml:space="preserve">) עם סיום הדרישות האקדמיות, בתום הלימודים האקדמיים, ולא לכלול את שנת הסטז' בדרישות האקדמיות למתן התואר; </w:t>
      </w:r>
      <w:bookmarkStart w:id="2" w:name="_Hlk153865724"/>
      <w:r w:rsidRPr="00D869CE">
        <w:rPr>
          <w:rtl/>
        </w:rPr>
        <w:t>דוח זה מתייחס לתקופה שלפני נובמבר 2023.</w:t>
      </w:r>
      <w:bookmarkEnd w:id="2"/>
    </w:p>
  </w:footnote>
  <w:footnote w:id="4">
    <w:p w:rsidR="007F4A1C" w:rsidRPr="00D869CE" w:rsidP="00766A81" w14:paraId="731EAF50" w14:textId="77777777">
      <w:pPr>
        <w:pStyle w:val="753"/>
      </w:pPr>
      <w:r w:rsidRPr="00D869CE">
        <w:rPr>
          <w:rStyle w:val="FootnoteReference1"/>
          <w:vertAlign w:val="baseline"/>
        </w:rPr>
        <w:footnoteRef/>
      </w:r>
      <w:r w:rsidRPr="00D869CE">
        <w:rPr>
          <w:rtl/>
        </w:rPr>
        <w:t xml:space="preserve"> </w:t>
      </w:r>
      <w:r w:rsidRPr="00D869CE">
        <w:rPr>
          <w:rtl/>
        </w:rPr>
        <w:tab/>
        <w:t>הכשרה קלינית המתבצעת במחלקות האשפוז ובמהלכה הסטודנטים לומדים "סביב מיטת החולה" וכן בקופות החולים (בקהילה).</w:t>
      </w:r>
    </w:p>
  </w:footnote>
  <w:footnote w:id="5">
    <w:p w:rsidR="00785F19" w:rsidRPr="00AD39FB" w:rsidP="00AD39FB" w14:paraId="0FCC9E29" w14:textId="77777777">
      <w:pPr>
        <w:pStyle w:val="753"/>
      </w:pPr>
      <w:r w:rsidRPr="00AD39FB">
        <w:rPr>
          <w:rStyle w:val="FootnoteReference1"/>
          <w:vertAlign w:val="baseline"/>
        </w:rPr>
        <w:footnoteRef/>
      </w:r>
      <w:r w:rsidRPr="00AD39FB">
        <w:rPr>
          <w:rtl/>
        </w:rPr>
        <w:t xml:space="preserve"> </w:t>
      </w:r>
      <w:r w:rsidRPr="00AD39FB">
        <w:rPr>
          <w:rtl/>
        </w:rPr>
        <w:tab/>
        <w:t>המרכז הרפואי ע"ש חיים שיבא - תל השומר (שיבא), המרכז הרפואי תל אביב ע"ש סוראסקי</w:t>
      </w:r>
      <w:r w:rsidRPr="00AD39FB">
        <w:t xml:space="preserve"> </w:t>
      </w:r>
      <w:r w:rsidRPr="00AD39FB">
        <w:rPr>
          <w:rtl/>
        </w:rPr>
        <w:t>(איכילוב), המרכז הרפואי ע"ש אדית וולפסון בחולון (וולפסון), המרכז הרפואי הלל יפה בחדרה (הלל יפה), רמב"ם - הקריה הרפואית לבריאות האדם (רמב"ם), המרכז הרפואי בני ציון בחיפה (בני ציון), המרכז הרפואי לגליל בנהרייה, המרכז הרפואי זיו בצפת (זיו), מרכז רפואי צפון ע"ש ברוך פדה בטבריה (פורייה), המרכז הרפואי האוניברסיטאי ברזילי באשקלון (ברזילי) והמרכז הרפואי שמיר בבאר יעקב (שמיר).</w:t>
      </w:r>
    </w:p>
  </w:footnote>
  <w:footnote w:id="6">
    <w:p w:rsidR="00785F19" w:rsidRPr="00AD39FB" w:rsidP="00AD39FB" w14:paraId="37DC51DA" w14:textId="77777777">
      <w:pPr>
        <w:pStyle w:val="753"/>
      </w:pPr>
      <w:r w:rsidRPr="00AD39FB">
        <w:rPr>
          <w:rStyle w:val="FootnoteReference1"/>
          <w:vertAlign w:val="baseline"/>
        </w:rPr>
        <w:footnoteRef/>
      </w:r>
      <w:r w:rsidRPr="00AD39FB">
        <w:rPr>
          <w:rtl/>
        </w:rPr>
        <w:t xml:space="preserve"> </w:t>
      </w:r>
      <w:r w:rsidRPr="00AD39FB">
        <w:rPr>
          <w:rtl/>
        </w:rPr>
        <w:tab/>
        <w:t>המרכז הרפואי על שם רבין - בתי החולים בילינסון והשרון (יחד - בילינסון), המרכז הרפואי קפלן (קפלן), המרכז הרפואי סורוקה (סורוקה), המרכז הרפואי העמק (העמק), המרכז הרפואי כרמל (כרמל), המרכז הרפואי מאיר (מאיר) ומרכז שניידר לרפואת ילדים (שניידר). המרכז הרפואי יוספטל אינו מכשיר סטודנטים לרפואה.</w:t>
      </w:r>
    </w:p>
  </w:footnote>
  <w:footnote w:id="7">
    <w:p w:rsidR="00BC6DAD" w:rsidRPr="0006515E" w:rsidP="0006515E" w14:paraId="15BF54FF" w14:textId="77777777">
      <w:pPr>
        <w:pStyle w:val="753"/>
        <w:rPr>
          <w:rtl/>
        </w:rPr>
      </w:pPr>
      <w:r w:rsidRPr="0006515E">
        <w:rPr>
          <w:rStyle w:val="FootnoteReference1"/>
          <w:vertAlign w:val="baseline"/>
        </w:rPr>
        <w:footnoteRef/>
      </w:r>
      <w:r w:rsidRPr="0006515E">
        <w:rPr>
          <w:rtl/>
        </w:rPr>
        <w:t xml:space="preserve"> </w:t>
      </w:r>
      <w:r w:rsidRPr="0006515E">
        <w:rPr>
          <w:rtl/>
        </w:rPr>
        <w:tab/>
        <w:t>בשנת 2018 הגדיר משרד הבריאות רשימת אוניברסיטאות שאינן עומדות בסטנדרטים ללימודי רפואה, וקבע כי סטודנטים שהתחילו את לימודי הרפואה החל ב-2019 באחת מהן, לא יוכלו לגשת למבחן רישוי ברפואה בישראל וממילא לא יוכלו לעסוק ברפואה בישראל.</w:t>
      </w:r>
    </w:p>
  </w:footnote>
  <w:footnote w:id="8">
    <w:p w:rsidR="000152F7" w:rsidRPr="00185DF7" w:rsidP="00185DF7" w14:paraId="514813B7" w14:textId="77777777">
      <w:pPr>
        <w:pStyle w:val="753"/>
        <w:rPr>
          <w:rtl/>
        </w:rPr>
      </w:pPr>
      <w:r w:rsidRPr="00185DF7">
        <w:rPr>
          <w:rStyle w:val="FootnoteReference1"/>
          <w:vertAlign w:val="baseline"/>
        </w:rPr>
        <w:footnoteRef/>
      </w:r>
      <w:r w:rsidRPr="00185DF7">
        <w:rPr>
          <w:rtl/>
        </w:rPr>
        <w:t xml:space="preserve"> </w:t>
      </w:r>
      <w:r w:rsidRPr="00185DF7">
        <w:rPr>
          <w:rtl/>
        </w:rPr>
        <w:tab/>
        <w:t>לא נבדקו בביקורת מספר שבועות ההכשרה שביצע כל סטודנט אלא רק מספר הסטודנטים בכל בית חולים. המרכז הרפואי הדסה אינו מבצע הכשרה כזו, ובברזילי לא היו סטודנטים כאלה בשנת התשפ"ג.</w:t>
      </w:r>
    </w:p>
  </w:footnote>
  <w:footnote w:id="9">
    <w:p w:rsidR="00A955C0" w:rsidRPr="00185DF7" w:rsidP="00185DF7" w14:paraId="030ECFC7" w14:textId="77777777">
      <w:pPr>
        <w:pStyle w:val="753"/>
      </w:pPr>
      <w:r w:rsidRPr="00185DF7">
        <w:rPr>
          <w:rStyle w:val="FootnoteReference1"/>
          <w:vertAlign w:val="baseline"/>
        </w:rPr>
        <w:footnoteRef/>
      </w:r>
      <w:r w:rsidRPr="00185DF7">
        <w:rPr>
          <w:rtl/>
        </w:rPr>
        <w:t xml:space="preserve"> </w:t>
      </w:r>
      <w:r w:rsidRPr="00185DF7">
        <w:rPr>
          <w:rtl/>
        </w:rPr>
        <w:tab/>
        <w:t>תקנות הרופאים (בחינת רישוי), התשמ"ח-1988.</w:t>
      </w:r>
    </w:p>
  </w:footnote>
  <w:footnote w:id="10">
    <w:p w:rsidR="003C1B3C" w:rsidRPr="003C1B3C" w:rsidP="003C1B3C" w14:paraId="1D821B23" w14:textId="77777777">
      <w:pPr>
        <w:pStyle w:val="753"/>
        <w:rPr>
          <w:rtl/>
        </w:rPr>
      </w:pPr>
      <w:r w:rsidRPr="003C1B3C">
        <w:rPr>
          <w:rStyle w:val="FootnoteReference1"/>
          <w:vertAlign w:val="baseline"/>
        </w:rPr>
        <w:footnoteRef/>
      </w:r>
      <w:r w:rsidRPr="003C1B3C">
        <w:rPr>
          <w:rtl/>
        </w:rPr>
        <w:t xml:space="preserve"> </w:t>
      </w:r>
      <w:r w:rsidRPr="003C1B3C">
        <w:rPr>
          <w:rtl/>
        </w:rPr>
        <w:tab/>
        <w:t>המועצה המדעית היא גוף מייעץ הממליץ למשרד הבריאות על הכרה במוסדות להתמחות וכן מופקד על ההתמחות וההתמקצעות של כלל הרופאים במדינת ישראל.</w:t>
      </w:r>
    </w:p>
  </w:footnote>
  <w:footnote w:id="11">
    <w:p w:rsidR="00F22CA7" w:rsidRPr="00F22CA7" w:rsidP="00F22CA7" w14:paraId="7D52542B" w14:textId="77777777">
      <w:pPr>
        <w:pStyle w:val="753"/>
      </w:pPr>
      <w:r w:rsidRPr="00F22CA7">
        <w:rPr>
          <w:rStyle w:val="FootnoteReference1"/>
          <w:vertAlign w:val="baseline"/>
        </w:rPr>
        <w:footnoteRef/>
      </w:r>
      <w:r w:rsidRPr="00F22CA7">
        <w:rPr>
          <w:rtl/>
        </w:rPr>
        <w:t xml:space="preserve"> </w:t>
      </w:r>
      <w:r w:rsidRPr="00F22CA7">
        <w:rPr>
          <w:rtl/>
        </w:rPr>
        <w:tab/>
        <w:t>פורום התייעצות למקצועות הבריאות האקדמיים ובו חברים, בין היתר, נציגי המל"ג, נציגי הוות"ת ונציגי משרד הבריאות.</w:t>
      </w:r>
    </w:p>
  </w:footnote>
  <w:footnote w:id="12">
    <w:p w:rsidR="00487083" w:rsidRPr="00487083" w:rsidP="00487083" w14:paraId="773F25C5" w14:textId="77777777">
      <w:pPr>
        <w:pStyle w:val="753"/>
        <w:rPr>
          <w:rtl/>
        </w:rPr>
      </w:pPr>
      <w:r w:rsidRPr="00487083">
        <w:rPr>
          <w:rStyle w:val="FootnoteReference1"/>
          <w:vertAlign w:val="baseline"/>
        </w:rPr>
        <w:footnoteRef/>
      </w:r>
      <w:r w:rsidRPr="00487083">
        <w:rPr>
          <w:rtl/>
        </w:rPr>
        <w:t xml:space="preserve"> </w:t>
      </w:r>
      <w:r w:rsidRPr="00487083">
        <w:rPr>
          <w:rtl/>
        </w:rPr>
        <w:tab/>
        <w:t>ועדה מטעם המל״ג שעסקה בהסדרת ההכשרה הקלינית לרפואה בישראל לסטודנטים זרים הלומדים בישראל, בראשות גב' יעל אנדורן, חברת הוות״ת דאז.</w:t>
      </w:r>
    </w:p>
  </w:footnote>
  <w:footnote w:id="13">
    <w:p w:rsidR="006A5AB7" w:rsidRPr="00B86606" w:rsidP="00B86606" w14:paraId="420BF06B" w14:textId="77777777">
      <w:pPr>
        <w:pStyle w:val="753"/>
        <w:rPr>
          <w:rtl/>
        </w:rPr>
      </w:pPr>
      <w:r w:rsidRPr="00B86606">
        <w:rPr>
          <w:rStyle w:val="FootnoteReference1"/>
          <w:vertAlign w:val="baseline"/>
        </w:rPr>
        <w:footnoteRef/>
      </w:r>
      <w:r w:rsidRPr="00B86606">
        <w:rPr>
          <w:rtl/>
        </w:rPr>
        <w:t xml:space="preserve"> </w:t>
      </w:r>
      <w:r w:rsidRPr="00B86606">
        <w:rPr>
          <w:rtl/>
        </w:rPr>
        <w:tab/>
        <w:t>המלצות הוועדה לבחינת הסטז' ברפואה, בראשותם של פרופ' ציון חגי, יו"ר ההסתדרות הרפואית בישראל (הר"י) וכן פרופ' אהוד גרוסמן, לשעבר דיקן בית הספר לרפואה באוניברסיטת תל אביב, יוני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7255AF" w14:paraId="7898F99C"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F2565F" w14:paraId="1FACDDD2" w14:textId="77777777">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F73EE0" w:rsidP="007255AF" w14:paraId="45C6766A"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7255AF" w14:paraId="69B99207"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A33696" w14:paraId="0F24085D" w14:textId="77777777">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P="006637B9" w14:textId="77777777">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F73EE0" w:rsidP="006637B9" w14:paraId="2CEA5D81" w14:textId="77777777">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1526AC" w14:paraId="5CA700D4"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257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2880" filled="f" strokecolor="#a5a5a5" strokeweight="0.25pt">
              <v:stroke dashstyle="longDash"/>
              <v:textbox>
                <w:txbxContent>
                  <w:p w:rsidR="00F73EE0" w:rsidRPr="00FD02CC" w:rsidP="006E67D8" w14:paraId="6961512F"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F73EE0" w:rsidRPr="009B7D1B" w:rsidP="00042893" w14:textId="0C78C6C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00975F02">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3360" fillcolor="#00305f" strokecolor="#00305f">
              <v:textbox style="layout-flow:vertical;mso-layout-flow-alt:bottom-to-top" inset="0,0,0,0">
                <w:txbxContent>
                  <w:p w:rsidR="00F73EE0" w:rsidRPr="009B7D1B" w:rsidP="00042893" w14:paraId="6BC4C0AD" w14:textId="0C78C6C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00975F02">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p>
                </w:txbxContent>
              </v:textbox>
              <w10:wrap type="square"/>
            </v:shape>
          </w:pict>
        </mc:Fallback>
      </mc:AlternateContent>
    </w:r>
  </w:p>
  <w:p w:rsidR="00F73EE0" w:rsidP="001526AC" w14:paraId="0DD7BE7A" w14:textId="77777777">
    <w:pPr>
      <w:pStyle w:val="Header"/>
      <w:tabs>
        <w:tab w:val="left" w:pos="493"/>
        <w:tab w:val="center" w:pos="4111"/>
        <w:tab w:val="clear" w:pos="4153"/>
        <w:tab w:val="right" w:pos="7478"/>
        <w:tab w:val="right" w:pos="8222"/>
        <w:tab w:val="clear" w:pos="8306"/>
      </w:tabs>
      <w:jc w:val="left"/>
      <w:rPr>
        <w:rtl/>
      </w:rPr>
    </w:pPr>
  </w:p>
  <w:p w:rsidR="00F73EE0" w:rsidRPr="001526AC" w:rsidP="00005B23" w14:paraId="28B312A8" w14:textId="6870EC4B">
    <w:pPr>
      <w:pStyle w:val="Header"/>
      <w:tabs>
        <w:tab w:val="left" w:pos="493"/>
        <w:tab w:val="center" w:pos="4111"/>
        <w:tab w:val="clear" w:pos="4153"/>
        <w:tab w:val="right" w:pos="7478"/>
        <w:tab w:val="right" w:pos="8222"/>
        <w:tab w:val="clear" w:pos="8306"/>
      </w:tabs>
      <w:jc w:val="left"/>
      <w:rPr>
        <w:rtl/>
      </w:rPr>
    </w:pP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665843</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3" style="flip:x;mso-height-percent:0;mso-height-relative:margin;mso-width-percent:0;mso-width-relative:margin;mso-wrap-distance-bottom:0;mso-wrap-distance-left:9pt;mso-wrap-distance-right:9pt;mso-wrap-distance-top:0;mso-wrap-style:square;position:absolute;visibility:visible;z-index:251661312" from="-4.4pt,52.45pt" to="524.85pt,52.45pt" strokecolor="#0d0d0d" strokeweight="0.25pt"/>
          </w:pict>
        </mc:Fallback>
      </mc:AlternateContent>
    </w:r>
    <w:r w:rsidRPr="00BB30F3" w:rsidR="00235CF1">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274320</wp:posOffset>
              </wp:positionH>
              <wp:positionV relativeFrom="paragraph">
                <wp:posOffset>351791</wp:posOffset>
              </wp:positionV>
              <wp:extent cx="4459740" cy="231866"/>
              <wp:effectExtent l="0" t="0" r="10795" b="9525"/>
              <wp:wrapNone/>
              <wp:docPr id="4"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31866"/>
                      </a:xfrm>
                      <a:prstGeom prst="rect">
                        <a:avLst/>
                      </a:prstGeom>
                      <a:solidFill>
                        <a:srgbClr val="FFFFFF"/>
                      </a:solidFill>
                      <a:ln w="9525">
                        <a:solidFill>
                          <a:schemeClr val="bg1"/>
                        </a:solidFill>
                        <a:miter lim="800000"/>
                        <a:headEnd/>
                        <a:tailEnd/>
                      </a:ln>
                    </wps:spPr>
                    <wps:txbx>
                      <w:txbxContent>
                        <w:p w:rsidR="00F73EE0" w:rsidRPr="00136A3E" w:rsidP="00B244B0" w14:textId="75718A09">
                          <w:pPr>
                            <w:jc w:val="right"/>
                            <w:rPr>
                              <w:color w:val="0D0D0D" w:themeColor="text1" w:themeTint="F2"/>
                              <w:sz w:val="16"/>
                              <w:szCs w:val="16"/>
                            </w:rPr>
                          </w:pPr>
                          <w:r>
                            <w:rPr>
                              <w:rFonts w:ascii="Tahoma" w:hAnsi="Tahoma" w:cs="Tahoma" w:hint="cs"/>
                              <w:color w:val="0D0D0D"/>
                              <w:sz w:val="16"/>
                              <w:szCs w:val="16"/>
                              <w:rtl/>
                            </w:rPr>
                            <w:t xml:space="preserve">דוח </w:t>
                          </w:r>
                          <w:r w:rsidRPr="009D7894" w:rsidR="009D7894">
                            <w:rPr>
                              <w:rFonts w:ascii="Tahoma" w:hAnsi="Tahoma" w:cs="Tahoma" w:hint="cs"/>
                              <w:color w:val="0D0D0D"/>
                              <w:sz w:val="16"/>
                              <w:szCs w:val="16"/>
                              <w:rtl/>
                            </w:rPr>
                            <w:t xml:space="preserve">מבקר המדינה | </w:t>
                          </w:r>
                          <w:r>
                            <w:rPr>
                              <w:rFonts w:ascii="Tahoma" w:hAnsi="Tahoma" w:cs="Tahoma" w:hint="cs"/>
                              <w:color w:val="0D0D0D"/>
                              <w:sz w:val="16"/>
                              <w:szCs w:val="16"/>
                              <w:rtl/>
                            </w:rPr>
                            <w:t xml:space="preserve">תמוז </w:t>
                          </w:r>
                          <w:r>
                            <w:rPr>
                              <w:rFonts w:ascii="Tahoma" w:hAnsi="Tahoma" w:cs="Tahoma" w:hint="cs"/>
                              <w:color w:val="0D0D0D"/>
                              <w:sz w:val="16"/>
                              <w:szCs w:val="16"/>
                              <w:rtl/>
                            </w:rPr>
                            <w:t>התשפ"ד</w:t>
                          </w:r>
                          <w:r w:rsidRPr="009D7894" w:rsidR="009D7894">
                            <w:rPr>
                              <w:rFonts w:ascii="Tahoma" w:hAnsi="Tahoma" w:cs="Tahoma" w:hint="cs"/>
                              <w:color w:val="0D0D0D"/>
                              <w:sz w:val="16"/>
                              <w:szCs w:val="16"/>
                              <w:rtl/>
                            </w:rPr>
                            <w:t xml:space="preserve"> </w:t>
                          </w:r>
                          <w:r w:rsidRPr="009D7894" w:rsidR="009D7894">
                            <w:rPr>
                              <w:rFonts w:ascii="Tahoma" w:hAnsi="Tahoma" w:cs="Tahoma"/>
                              <w:color w:val="0D0D0D"/>
                              <w:sz w:val="16"/>
                              <w:szCs w:val="16"/>
                              <w:rtl/>
                            </w:rPr>
                            <w:t>|</w:t>
                          </w:r>
                          <w:r w:rsidRPr="009D7894" w:rsidR="009D7894">
                            <w:rPr>
                              <w:rFonts w:ascii="Tahoma" w:hAnsi="Tahoma" w:cs="Tahoma" w:hint="cs"/>
                              <w:color w:val="0D0D0D"/>
                              <w:sz w:val="16"/>
                              <w:szCs w:val="16"/>
                              <w:rtl/>
                            </w:rPr>
                            <w:t xml:space="preserve"> </w:t>
                          </w:r>
                          <w:r>
                            <w:rPr>
                              <w:rFonts w:ascii="Tahoma" w:hAnsi="Tahoma" w:cs="Tahoma" w:hint="cs"/>
                              <w:color w:val="0D0D0D"/>
                              <w:sz w:val="16"/>
                              <w:szCs w:val="16"/>
                              <w:rtl/>
                            </w:rPr>
                            <w:t>יולי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4" type="#_x0000_t202" alt="&quot;&quot;" style="width:351.15pt;height:18.25pt;margin-top:27.7pt;margin-left:21.6pt;mso-height-percent:0;mso-height-relative:margin;mso-width-percent:0;mso-width-relative:margin;mso-wrap-distance-bottom:3.6pt;mso-wrap-distance-left:9pt;mso-wrap-distance-right:9pt;mso-wrap-distance-top:3.6pt;mso-wrap-style:square;position:absolute;visibility:visible;v-text-anchor:top;z-index:251659264" strokecolor="white">
              <v:textbox>
                <w:txbxContent>
                  <w:p w:rsidR="00F73EE0" w:rsidRPr="00136A3E" w:rsidP="00B244B0" w14:paraId="5BE3FCC4" w14:textId="75718A09">
                    <w:pPr>
                      <w:jc w:val="right"/>
                      <w:rPr>
                        <w:color w:val="0D0D0D" w:themeColor="text1" w:themeTint="F2"/>
                        <w:sz w:val="16"/>
                        <w:szCs w:val="16"/>
                      </w:rPr>
                    </w:pPr>
                    <w:r>
                      <w:rPr>
                        <w:rFonts w:ascii="Tahoma" w:hAnsi="Tahoma" w:cs="Tahoma" w:hint="cs"/>
                        <w:color w:val="0D0D0D"/>
                        <w:sz w:val="16"/>
                        <w:szCs w:val="16"/>
                        <w:rtl/>
                      </w:rPr>
                      <w:t xml:space="preserve">דוח </w:t>
                    </w:r>
                    <w:r w:rsidRPr="009D7894" w:rsidR="009D7894">
                      <w:rPr>
                        <w:rFonts w:ascii="Tahoma" w:hAnsi="Tahoma" w:cs="Tahoma" w:hint="cs"/>
                        <w:color w:val="0D0D0D"/>
                        <w:sz w:val="16"/>
                        <w:szCs w:val="16"/>
                        <w:rtl/>
                      </w:rPr>
                      <w:t xml:space="preserve">מבקר המדינה | </w:t>
                    </w:r>
                    <w:r>
                      <w:rPr>
                        <w:rFonts w:ascii="Tahoma" w:hAnsi="Tahoma" w:cs="Tahoma" w:hint="cs"/>
                        <w:color w:val="0D0D0D"/>
                        <w:sz w:val="16"/>
                        <w:szCs w:val="16"/>
                        <w:rtl/>
                      </w:rPr>
                      <w:t xml:space="preserve">תמוז </w:t>
                    </w:r>
                    <w:r>
                      <w:rPr>
                        <w:rFonts w:ascii="Tahoma" w:hAnsi="Tahoma" w:cs="Tahoma" w:hint="cs"/>
                        <w:color w:val="0D0D0D"/>
                        <w:sz w:val="16"/>
                        <w:szCs w:val="16"/>
                        <w:rtl/>
                      </w:rPr>
                      <w:t>התשפ"ד</w:t>
                    </w:r>
                    <w:r w:rsidRPr="009D7894" w:rsidR="009D7894">
                      <w:rPr>
                        <w:rFonts w:ascii="Tahoma" w:hAnsi="Tahoma" w:cs="Tahoma" w:hint="cs"/>
                        <w:color w:val="0D0D0D"/>
                        <w:sz w:val="16"/>
                        <w:szCs w:val="16"/>
                        <w:rtl/>
                      </w:rPr>
                      <w:t xml:space="preserve"> </w:t>
                    </w:r>
                    <w:r w:rsidRPr="009D7894" w:rsidR="009D7894">
                      <w:rPr>
                        <w:rFonts w:ascii="Tahoma" w:hAnsi="Tahoma" w:cs="Tahoma"/>
                        <w:color w:val="0D0D0D"/>
                        <w:sz w:val="16"/>
                        <w:szCs w:val="16"/>
                        <w:rtl/>
                      </w:rPr>
                      <w:t>|</w:t>
                    </w:r>
                    <w:r w:rsidRPr="009D7894" w:rsidR="009D7894">
                      <w:rPr>
                        <w:rFonts w:ascii="Tahoma" w:hAnsi="Tahoma" w:cs="Tahoma" w:hint="cs"/>
                        <w:color w:val="0D0D0D"/>
                        <w:sz w:val="16"/>
                        <w:szCs w:val="16"/>
                        <w:rtl/>
                      </w:rPr>
                      <w:t xml:space="preserve"> </w:t>
                    </w:r>
                    <w:r>
                      <w:rPr>
                        <w:rFonts w:ascii="Tahoma" w:hAnsi="Tahoma" w:cs="Tahoma" w:hint="cs"/>
                        <w:color w:val="0D0D0D"/>
                        <w:sz w:val="16"/>
                        <w:szCs w:val="16"/>
                        <w:rtl/>
                      </w:rPr>
                      <w:t>יולי 2024</w:t>
                    </w:r>
                  </w:p>
                </w:txbxContent>
              </v:textbox>
            </v:shape>
          </w:pict>
        </mc:Fallback>
      </mc:AlternateContent>
    </w:r>
    <w:r w:rsidR="00235CF1">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14:paraId="103DC109" w14:textId="77777777">
    <w:pPr>
      <w:pStyle w:val="Header"/>
      <w:rPr>
        <w:rtl/>
      </w:rPr>
    </w:pPr>
    <w:r>
      <w:rPr>
        <w:noProof/>
        <w:rtl/>
        <w:lang w:val="he-IL"/>
      </w:rPr>
      <mc:AlternateContent>
        <mc:Choice Requires="wps">
          <w:drawing>
            <wp:anchor distT="0" distB="0" distL="114300" distR="114300" simplePos="0" relativeHeight="2516746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0832" filled="f" strokecolor="#a5a5a5" strokeweight="0.25pt">
              <v:stroke dashstyle="longDash"/>
              <v:textbox>
                <w:txbxContent>
                  <w:p w:rsidR="00F73EE0" w:rsidRPr="00FD02CC" w:rsidP="006E67D8" w14:paraId="39DF3D8C"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F73EE0" w:rsidP="00FD02CC" w14:paraId="2C232BD8" w14:textId="77777777">
    <w:pPr>
      <w:pStyle w:val="Header"/>
      <w:ind w:firstLine="720"/>
      <w:rPr>
        <w:rtl/>
      </w:rPr>
    </w:pPr>
  </w:p>
  <w:p w:rsidR="00F73EE0" w14:paraId="5C55D270" w14:textId="77777777">
    <w:pPr>
      <w:pStyle w:val="Header"/>
      <w:rPr>
        <w:rtl/>
      </w:rPr>
    </w:pPr>
  </w:p>
  <w:p w:rsidR="00F73EE0" w14:paraId="6376EBC7" w14:textId="77777777">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052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3D62C4" w:rsidP="00F559D6" w14:textId="77777777">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שם של הדוח שם של הדוח</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71552" stroked="f">
              <v:textbox style="mso-fit-shape-to-text:t">
                <w:txbxContent>
                  <w:p w:rsidR="00F73EE0" w:rsidRPr="003D62C4" w:rsidP="00F559D6" w14:paraId="3DC99E41" w14:textId="77777777">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שם של הדוח שם של הדוח</w:t>
                    </w:r>
                  </w:p>
                </w:txbxContent>
              </v:textbox>
              <w10:wrap type="square"/>
            </v:shape>
          </w:pict>
        </mc:Fallback>
      </mc:AlternateContent>
    </w:r>
  </w:p>
  <w:p w:rsidR="00F73EE0" w:rsidP="009620E7" w14:paraId="64400A02" w14:textId="77777777">
    <w:pPr>
      <w:pStyle w:val="Header"/>
      <w:rPr>
        <w:rtl/>
      </w:rPr>
    </w:pPr>
    <w:r>
      <w:rPr>
        <w:rFonts w:ascii="Tahoma" w:hAnsi="Tahoma" w:cs="Tahoma"/>
        <w:noProof/>
        <w:color w:val="002060"/>
        <w:sz w:val="18"/>
        <w:szCs w:val="18"/>
      </w:rPr>
      <w:drawing>
        <wp:anchor distT="0" distB="0" distL="114300" distR="114300" simplePos="0" relativeHeight="251676672"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8"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68480" from="-109.7pt,27.8pt" to="367.9pt,27.8pt" strokecolor="#0d0d0d" strokeweight="0.2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71DD" w:rsidP="004E71DD" w14:paraId="56933035" w14:textId="77777777">
    <w:pPr>
      <w:pStyle w:val="Header"/>
      <w:rPr>
        <w:rtl/>
      </w:rPr>
    </w:pPr>
    <w:r>
      <w:rPr>
        <w:noProof/>
        <w:rtl/>
        <w:lang w:val="he-IL"/>
      </w:rPr>
      <mc:AlternateContent>
        <mc:Choice Requires="wps">
          <w:drawing>
            <wp:anchor distT="0" distB="0" distL="114300" distR="114300" simplePos="0" relativeHeight="251677696"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43"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4E71DD" w:rsidRPr="00FD02CC" w:rsidP="004E71DD"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8"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7760" filled="f" strokecolor="#a5a5a5" strokeweight="0.25pt">
              <v:stroke dashstyle="longDash"/>
              <v:textbox>
                <w:txbxContent>
                  <w:p w:rsidR="004E71DD" w:rsidRPr="00FD02CC" w:rsidP="004E71DD" w14:paraId="0A2EEE25"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4E71DD" w:rsidP="004E71DD" w14:paraId="67AD5038" w14:textId="77777777">
    <w:pPr>
      <w:pStyle w:val="Header"/>
      <w:ind w:firstLine="720"/>
      <w:rPr>
        <w:rtl/>
      </w:rPr>
    </w:pPr>
  </w:p>
  <w:p w:rsidR="004E71DD" w:rsidP="004E71DD" w14:paraId="7EEB74EB" w14:textId="77777777">
    <w:pPr>
      <w:pStyle w:val="Header"/>
      <w:rPr>
        <w:rtl/>
      </w:rPr>
    </w:pPr>
  </w:p>
  <w:p w:rsidR="004E71DD" w:rsidP="004E71DD" w14:paraId="29F14FE3" w14:textId="77777777">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81792"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45"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4E71DD" w:rsidRPr="003D62C4" w:rsidP="004E71DD" w14:textId="656478D7">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 xml:space="preserve">הסדרת ההכשרה הקלינית של רופאים בין מערכת הבריאות ובין האקדמיה </w:t>
                          </w:r>
                          <w:r w:rsidR="0083329E">
                            <w:rPr>
                              <w:rFonts w:ascii="Tahoma" w:hAnsi="Tahoma" w:eastAsiaTheme="minorHAnsi" w:cs="Tahoma" w:hint="cs"/>
                              <w:bCs w:val="0"/>
                              <w:color w:val="0D0D0D" w:themeColor="text1" w:themeTint="F2"/>
                              <w:sz w:val="16"/>
                              <w:szCs w:val="16"/>
                              <w:u w:val="none"/>
                              <w:rtl/>
                            </w:rPr>
                            <w:t>-</w:t>
                          </w:r>
                          <w:r>
                            <w:rPr>
                              <w:rFonts w:ascii="Tahoma" w:hAnsi="Tahoma" w:eastAsiaTheme="minorHAnsi" w:cs="Tahoma" w:hint="cs"/>
                              <w:bCs w:val="0"/>
                              <w:color w:val="0D0D0D" w:themeColor="text1" w:themeTint="F2"/>
                              <w:sz w:val="16"/>
                              <w:szCs w:val="16"/>
                              <w:u w:val="none"/>
                              <w:rtl/>
                            </w:rPr>
                            <w:t xml:space="preserve"> ביקורת מעקב</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9" type="#_x0000_t202" alt="&quot;&quot;" style="width:357.2pt;height:22.1pt;margin-top:16.15pt;margin-left:-8.4pt;mso-width-percent:0;mso-width-relative:margin;mso-wrap-distance-bottom:0;mso-wrap-distance-left:9pt;mso-wrap-distance-right:9pt;mso-wrap-distance-top:0;mso-wrap-style:square;position:absolute;visibility:visible;v-text-anchor:top;z-index:251682816" stroked="f">
              <v:textbox style="mso-fit-shape-to-text:t">
                <w:txbxContent>
                  <w:p w:rsidR="004E71DD" w:rsidRPr="003D62C4" w:rsidP="004E71DD" w14:paraId="5EC6D3B2" w14:textId="656478D7">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 xml:space="preserve">הסדרת ההכשרה הקלינית של רופאים בין מערכת הבריאות ובין האקדמיה </w:t>
                    </w:r>
                    <w:r w:rsidR="0083329E">
                      <w:rPr>
                        <w:rFonts w:ascii="Tahoma" w:hAnsi="Tahoma" w:eastAsiaTheme="minorHAnsi" w:cs="Tahoma" w:hint="cs"/>
                        <w:bCs w:val="0"/>
                        <w:color w:val="0D0D0D" w:themeColor="text1" w:themeTint="F2"/>
                        <w:sz w:val="16"/>
                        <w:szCs w:val="16"/>
                        <w:u w:val="none"/>
                        <w:rtl/>
                      </w:rPr>
                      <w:t>-</w:t>
                    </w:r>
                    <w:r>
                      <w:rPr>
                        <w:rFonts w:ascii="Tahoma" w:hAnsi="Tahoma" w:eastAsiaTheme="minorHAnsi" w:cs="Tahoma" w:hint="cs"/>
                        <w:bCs w:val="0"/>
                        <w:color w:val="0D0D0D" w:themeColor="text1" w:themeTint="F2"/>
                        <w:sz w:val="16"/>
                        <w:szCs w:val="16"/>
                        <w:u w:val="none"/>
                        <w:rtl/>
                      </w:rPr>
                      <w:t xml:space="preserve"> ביקורת מעקב</w:t>
                    </w:r>
                  </w:p>
                </w:txbxContent>
              </v:textbox>
              <w10:wrap type="square"/>
            </v:shape>
          </w:pict>
        </mc:Fallback>
      </mc:AlternateContent>
    </w:r>
  </w:p>
  <w:p w:rsidR="004E71DD" w:rsidP="004E71DD" w14:paraId="29927C53" w14:textId="77777777">
    <w:pPr>
      <w:pStyle w:val="Header"/>
      <w:rPr>
        <w:rtl/>
      </w:rPr>
    </w:pPr>
    <w:r>
      <w:rPr>
        <w:rFonts w:ascii="Tahoma" w:hAnsi="Tahoma" w:cs="Tahoma"/>
        <w:noProof/>
        <w:color w:val="002060"/>
        <w:sz w:val="18"/>
        <w:szCs w:val="18"/>
      </w:rPr>
      <w:drawing>
        <wp:anchor distT="0" distB="0" distL="114300" distR="114300" simplePos="0" relativeHeight="251683840"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49" name="Picture 9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97">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9744"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47"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60" style="flip:x;mso-height-percent:0;mso-height-relative:margin;mso-width-percent:0;mso-width-relative:margin;mso-wrap-distance-bottom:0;mso-wrap-distance-left:9pt;mso-wrap-distance-right:9pt;mso-wrap-distance-top:0;mso-wrap-style:square;position:absolute;visibility:visible;z-index:251680768" from="-109.7pt,27.8pt" to="367.9pt,27.8pt" strokecolor="#0d0d0d" strokeweight="0.25pt"/>
          </w:pict>
        </mc:Fallback>
      </mc:AlternateContent>
    </w:r>
  </w:p>
  <w:p w:rsidR="008B694B" w:rsidRPr="004E71DD" w:rsidP="004E71DD" w14:paraId="73B85337" w14:textId="776B8773">
    <w:pPr>
      <w:pStyle w:val="Header"/>
      <w:rPr>
        <w:szCs w:val="20"/>
        <w:rt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6721" w:rsidP="001526AC" w14:paraId="66A492DD"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92032"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E56721"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6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3424" filled="f" strokecolor="#a5a5a5" strokeweight="0.25pt">
              <v:stroke dashstyle="longDash"/>
              <v:textbox>
                <w:txbxContent>
                  <w:p w:rsidR="00E56721" w:rsidRPr="00FD02CC" w:rsidP="006E67D8" w14:paraId="76E0C3EE"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60"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E56721" w:rsidRPr="00820929" w:rsidP="00582DA9" w14:textId="78E839FD">
                          <w:pPr>
                            <w:pStyle w:val="Bodytext70"/>
                            <w:shd w:val="clear" w:color="auto" w:fill="003060"/>
                            <w:rPr>
                              <w:rFonts w:ascii="Tahoma" w:hAnsi="Tahoma" w:cs="Tahoma"/>
                              <w:b/>
                              <w:bCs/>
                              <w:spacing w:val="-8"/>
                              <w:sz w:val="20"/>
                              <w:szCs w:val="20"/>
                              <w:rtl/>
                            </w:rPr>
                          </w:pPr>
                          <w:r>
                            <w:rPr>
                              <w:rStyle w:val="Bodytext7NotBoldExact"/>
                              <w:rFonts w:hint="cs"/>
                              <w:rtl/>
                            </w:rPr>
                            <w:t>....ה</w:t>
                          </w:r>
                          <w:r>
                            <w:rPr>
                              <w:rFonts w:hint="cs"/>
                              <w:rtl/>
                            </w:rPr>
                            <w:t xml:space="preserve">                                         </w:t>
                          </w:r>
                          <w:r w:rsidR="00820929">
                            <w:rPr>
                              <w:rFonts w:hint="cs"/>
                              <w:rtl/>
                            </w:rPr>
                            <w:t xml:space="preserve"> </w:t>
                          </w:r>
                          <w:r>
                            <w:rPr>
                              <w:rFonts w:ascii="Tahoma" w:hAnsi="Tahoma" w:cs="Tahoma" w:hint="cs"/>
                              <w:sz w:val="24"/>
                              <w:szCs w:val="24"/>
                              <w:rtl/>
                            </w:rPr>
                            <w:t xml:space="preserve"> </w:t>
                          </w:r>
                          <w:r w:rsidR="00820929">
                            <w:rPr>
                              <w:rFonts w:ascii="Tahoma" w:hAnsi="Tahoma" w:cs="Tahoma" w:hint="cs"/>
                              <w:sz w:val="24"/>
                              <w:szCs w:val="24"/>
                              <w:rtl/>
                            </w:rPr>
                            <w:t xml:space="preserve"> </w:t>
                          </w:r>
                          <w:r w:rsidR="00EE210F">
                            <w:rPr>
                              <w:rFonts w:ascii="Tahoma" w:hAnsi="Tahoma" w:cs="Tahoma" w:hint="cs"/>
                              <w:sz w:val="24"/>
                              <w:szCs w:val="24"/>
                              <w:rtl/>
                            </w:rPr>
                            <w:t xml:space="preserve"> </w:t>
                          </w:r>
                          <w:r w:rsidRPr="00EE210F" w:rsidR="00820929">
                            <w:rPr>
                              <w:rFonts w:ascii="Tahoma" w:hAnsi="Tahoma" w:cs="Tahoma" w:hint="cs"/>
                              <w:sz w:val="21"/>
                              <w:szCs w:val="21"/>
                              <w:rtl/>
                            </w:rPr>
                            <w:t xml:space="preserve">תקציר </w:t>
                          </w:r>
                          <w:r w:rsidRPr="00EE210F">
                            <w:rPr>
                              <w:rFonts w:ascii="Tahoma" w:hAnsi="Tahoma" w:cs="Tahoma" w:hint="cs"/>
                              <w:sz w:val="21"/>
                              <w:szCs w:val="21"/>
                              <w:rtl/>
                            </w:rPr>
                            <w:t xml:space="preserve">|  </w:t>
                          </w:r>
                          <w:r w:rsidRPr="00EE210F" w:rsidR="00A541A4">
                            <w:rPr>
                              <w:rFonts w:ascii="Tahoma" w:hAnsi="Tahoma" w:cs="Tahoma" w:hint="cs"/>
                              <w:b/>
                              <w:bCs/>
                              <w:spacing w:val="-8"/>
                              <w:sz w:val="21"/>
                              <w:szCs w:val="21"/>
                              <w:rtl/>
                            </w:rPr>
                            <w:t xml:space="preserve">הסדרת ההכשרה הקלינית של רופאים בין </w:t>
                          </w:r>
                          <w:r w:rsidRPr="00EE210F" w:rsidR="00A541A4">
                            <w:rPr>
                              <w:rFonts w:ascii="Tahoma" w:hAnsi="Tahoma" w:cs="Tahoma" w:hint="cs"/>
                              <w:b/>
                              <w:bCs/>
                              <w:spacing w:val="-8"/>
                              <w:sz w:val="21"/>
                              <w:szCs w:val="21"/>
                              <w:rtl/>
                            </w:rPr>
                            <w:t>מענרכת</w:t>
                          </w:r>
                          <w:r w:rsidRPr="00EE210F" w:rsidR="00A541A4">
                            <w:rPr>
                              <w:rFonts w:ascii="Tahoma" w:hAnsi="Tahoma" w:cs="Tahoma" w:hint="cs"/>
                              <w:b/>
                              <w:bCs/>
                              <w:spacing w:val="-8"/>
                              <w:sz w:val="21"/>
                              <w:szCs w:val="21"/>
                              <w:rtl/>
                            </w:rPr>
                            <w:t xml:space="preserve"> הבריאות ובין האקדמיה </w:t>
                          </w:r>
                          <w:r w:rsidR="000303B1">
                            <w:rPr>
                              <w:rFonts w:ascii="Tahoma" w:hAnsi="Tahoma" w:cs="Tahoma" w:hint="cs"/>
                              <w:b/>
                              <w:bCs/>
                              <w:spacing w:val="-8"/>
                              <w:sz w:val="21"/>
                              <w:szCs w:val="21"/>
                              <w:rtl/>
                            </w:rPr>
                            <w:t>-</w:t>
                          </w:r>
                          <w:r w:rsidRPr="00EE210F" w:rsidR="00A541A4">
                            <w:rPr>
                              <w:rFonts w:ascii="Tahoma" w:hAnsi="Tahoma" w:cs="Tahoma" w:hint="cs"/>
                              <w:b/>
                              <w:bCs/>
                              <w:spacing w:val="-8"/>
                              <w:sz w:val="21"/>
                              <w:szCs w:val="21"/>
                              <w:rtl/>
                            </w:rPr>
                            <w:t xml:space="preserve"> ביקורת מעקב</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2062"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89984" fillcolor="#00305f" strokecolor="#00305f">
              <v:textbox style="layout-flow:vertical;mso-layout-flow-alt:bottom-to-top" inset="0,0,0,0">
                <w:txbxContent>
                  <w:p w:rsidR="00E56721" w:rsidRPr="00820929" w:rsidP="00582DA9" w14:paraId="766F404C" w14:textId="78E839FD">
                    <w:pPr>
                      <w:pStyle w:val="Bodytext70"/>
                      <w:shd w:val="clear" w:color="auto" w:fill="003060"/>
                      <w:rPr>
                        <w:rFonts w:ascii="Tahoma" w:hAnsi="Tahoma" w:cs="Tahoma"/>
                        <w:b/>
                        <w:bCs/>
                        <w:spacing w:val="-8"/>
                        <w:sz w:val="20"/>
                        <w:szCs w:val="20"/>
                        <w:rtl/>
                      </w:rPr>
                    </w:pPr>
                    <w:r>
                      <w:rPr>
                        <w:rStyle w:val="Bodytext7NotBoldExact"/>
                        <w:rFonts w:hint="cs"/>
                        <w:rtl/>
                      </w:rPr>
                      <w:t>....ה</w:t>
                    </w:r>
                    <w:r>
                      <w:rPr>
                        <w:rFonts w:hint="cs"/>
                        <w:rtl/>
                      </w:rPr>
                      <w:t xml:space="preserve">                                         </w:t>
                    </w:r>
                    <w:r w:rsidR="00820929">
                      <w:rPr>
                        <w:rFonts w:hint="cs"/>
                        <w:rtl/>
                      </w:rPr>
                      <w:t xml:space="preserve"> </w:t>
                    </w:r>
                    <w:r>
                      <w:rPr>
                        <w:rFonts w:ascii="Tahoma" w:hAnsi="Tahoma" w:cs="Tahoma" w:hint="cs"/>
                        <w:sz w:val="24"/>
                        <w:szCs w:val="24"/>
                        <w:rtl/>
                      </w:rPr>
                      <w:t xml:space="preserve"> </w:t>
                    </w:r>
                    <w:r w:rsidR="00820929">
                      <w:rPr>
                        <w:rFonts w:ascii="Tahoma" w:hAnsi="Tahoma" w:cs="Tahoma" w:hint="cs"/>
                        <w:sz w:val="24"/>
                        <w:szCs w:val="24"/>
                        <w:rtl/>
                      </w:rPr>
                      <w:t xml:space="preserve"> </w:t>
                    </w:r>
                    <w:r w:rsidR="00EE210F">
                      <w:rPr>
                        <w:rFonts w:ascii="Tahoma" w:hAnsi="Tahoma" w:cs="Tahoma" w:hint="cs"/>
                        <w:sz w:val="24"/>
                        <w:szCs w:val="24"/>
                        <w:rtl/>
                      </w:rPr>
                      <w:t xml:space="preserve"> </w:t>
                    </w:r>
                    <w:r w:rsidRPr="00EE210F" w:rsidR="00820929">
                      <w:rPr>
                        <w:rFonts w:ascii="Tahoma" w:hAnsi="Tahoma" w:cs="Tahoma" w:hint="cs"/>
                        <w:sz w:val="21"/>
                        <w:szCs w:val="21"/>
                        <w:rtl/>
                      </w:rPr>
                      <w:t xml:space="preserve">תקציר </w:t>
                    </w:r>
                    <w:r w:rsidRPr="00EE210F">
                      <w:rPr>
                        <w:rFonts w:ascii="Tahoma" w:hAnsi="Tahoma" w:cs="Tahoma" w:hint="cs"/>
                        <w:sz w:val="21"/>
                        <w:szCs w:val="21"/>
                        <w:rtl/>
                      </w:rPr>
                      <w:t xml:space="preserve">|  </w:t>
                    </w:r>
                    <w:r w:rsidRPr="00EE210F" w:rsidR="00A541A4">
                      <w:rPr>
                        <w:rFonts w:ascii="Tahoma" w:hAnsi="Tahoma" w:cs="Tahoma" w:hint="cs"/>
                        <w:b/>
                        <w:bCs/>
                        <w:spacing w:val="-8"/>
                        <w:sz w:val="21"/>
                        <w:szCs w:val="21"/>
                        <w:rtl/>
                      </w:rPr>
                      <w:t xml:space="preserve">הסדרת ההכשרה הקלינית של רופאים בין </w:t>
                    </w:r>
                    <w:r w:rsidRPr="00EE210F" w:rsidR="00A541A4">
                      <w:rPr>
                        <w:rFonts w:ascii="Tahoma" w:hAnsi="Tahoma" w:cs="Tahoma" w:hint="cs"/>
                        <w:b/>
                        <w:bCs/>
                        <w:spacing w:val="-8"/>
                        <w:sz w:val="21"/>
                        <w:szCs w:val="21"/>
                        <w:rtl/>
                      </w:rPr>
                      <w:t>מענרכת</w:t>
                    </w:r>
                    <w:r w:rsidRPr="00EE210F" w:rsidR="00A541A4">
                      <w:rPr>
                        <w:rFonts w:ascii="Tahoma" w:hAnsi="Tahoma" w:cs="Tahoma" w:hint="cs"/>
                        <w:b/>
                        <w:bCs/>
                        <w:spacing w:val="-8"/>
                        <w:sz w:val="21"/>
                        <w:szCs w:val="21"/>
                        <w:rtl/>
                      </w:rPr>
                      <w:t xml:space="preserve"> הבריאות ובין האקדמיה </w:t>
                    </w:r>
                    <w:r w:rsidR="000303B1">
                      <w:rPr>
                        <w:rFonts w:ascii="Tahoma" w:hAnsi="Tahoma" w:cs="Tahoma" w:hint="cs"/>
                        <w:b/>
                        <w:bCs/>
                        <w:spacing w:val="-8"/>
                        <w:sz w:val="21"/>
                        <w:szCs w:val="21"/>
                        <w:rtl/>
                      </w:rPr>
                      <w:t>-</w:t>
                    </w:r>
                    <w:r w:rsidRPr="00EE210F" w:rsidR="00A541A4">
                      <w:rPr>
                        <w:rFonts w:ascii="Tahoma" w:hAnsi="Tahoma" w:cs="Tahoma" w:hint="cs"/>
                        <w:b/>
                        <w:bCs/>
                        <w:spacing w:val="-8"/>
                        <w:sz w:val="21"/>
                        <w:szCs w:val="21"/>
                        <w:rtl/>
                      </w:rPr>
                      <w:t xml:space="preserve"> ביקורת מעקב</w:t>
                    </w:r>
                  </w:p>
                </w:txbxContent>
              </v:textbox>
              <w10:wrap type="square"/>
            </v:shape>
          </w:pict>
        </mc:Fallback>
      </mc:AlternateContent>
    </w:r>
  </w:p>
  <w:p w:rsidR="00E56721" w:rsidP="001526AC" w14:paraId="52A32138" w14:textId="77777777">
    <w:pPr>
      <w:pStyle w:val="Header"/>
      <w:tabs>
        <w:tab w:val="left" w:pos="493"/>
        <w:tab w:val="center" w:pos="4111"/>
        <w:tab w:val="clear" w:pos="4153"/>
        <w:tab w:val="right" w:pos="7478"/>
        <w:tab w:val="right" w:pos="8222"/>
        <w:tab w:val="clear" w:pos="8306"/>
      </w:tabs>
      <w:jc w:val="left"/>
      <w:rPr>
        <w:rtl/>
      </w:rPr>
    </w:pPr>
  </w:p>
  <w:p w:rsidR="00E56721" w:rsidRPr="001526AC" w:rsidP="00005B23" w14:paraId="573E41A0" w14:textId="4D5BA0C8">
    <w:pPr>
      <w:pStyle w:val="Header"/>
      <w:tabs>
        <w:tab w:val="left" w:pos="493"/>
        <w:tab w:val="center" w:pos="4111"/>
        <w:tab w:val="clear" w:pos="4153"/>
        <w:tab w:val="right" w:pos="7478"/>
        <w:tab w:val="right" w:pos="8222"/>
        <w:tab w:val="clear" w:pos="8306"/>
      </w:tabs>
      <w:jc w:val="left"/>
      <w:rPr>
        <w:rtl/>
      </w:rPr>
    </w:pPr>
    <w:r>
      <w:rPr>
        <w:noProof/>
      </w:rPr>
      <mc:AlternateContent>
        <mc:Choice Requires="wps">
          <w:drawing>
            <wp:anchor distT="0" distB="0" distL="114300" distR="114300" simplePos="0" relativeHeight="251686912" behindDoc="0" locked="0" layoutInCell="1" allowOverlap="1">
              <wp:simplePos x="0" y="0"/>
              <wp:positionH relativeFrom="column">
                <wp:posOffset>-55880</wp:posOffset>
              </wp:positionH>
              <wp:positionV relativeFrom="paragraph">
                <wp:posOffset>665843</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3" style="flip:x;mso-height-percent:0;mso-height-relative:margin;mso-width-percent:0;mso-width-relative:margin;mso-wrap-distance-bottom:0;mso-wrap-distance-left:9pt;mso-wrap-distance-right:9pt;mso-wrap-distance-top:0;mso-wrap-style:square;position:absolute;visibility:visible;z-index:251687936" from="-4.4pt,52.45pt" to="524.85pt,52.45pt" strokecolor="#0d0d0d" strokeweight="0.25pt"/>
          </w:pict>
        </mc:Fallback>
      </mc:AlternateContent>
    </w:r>
    <w:r w:rsidRPr="00BB30F3" w:rsidR="00235CF1">
      <w:rPr>
        <w:rFonts w:ascii="Tahoma" w:hAnsi="Tahoma" w:cs="Tahoma"/>
        <w:noProof/>
        <w:color w:val="002060"/>
        <w:sz w:val="18"/>
        <w:szCs w:val="18"/>
      </w:rPr>
      <mc:AlternateContent>
        <mc:Choice Requires="wps">
          <w:drawing>
            <wp:anchor distT="45720" distB="45720" distL="114300" distR="114300" simplePos="0" relativeHeight="251684864"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61"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E56721" w:rsidRPr="00C55DC9" w:rsidP="00B244B0" w14:textId="13952BF2">
                          <w:pPr>
                            <w:jc w:val="right"/>
                            <w:rPr>
                              <w:color w:val="0D0D0D" w:themeColor="text1" w:themeTint="F2"/>
                              <w:sz w:val="16"/>
                              <w:szCs w:val="16"/>
                            </w:rPr>
                          </w:pPr>
                          <w:r>
                            <w:rPr>
                              <w:rFonts w:ascii="Tahoma" w:hAnsi="Tahoma" w:cs="Tahoma" w:hint="cs"/>
                              <w:color w:val="0D0D0D"/>
                              <w:sz w:val="16"/>
                              <w:szCs w:val="16"/>
                              <w:rtl/>
                            </w:rPr>
                            <w:t xml:space="preserve">דוח </w:t>
                          </w:r>
                          <w:r w:rsidRPr="009D7894">
                            <w:rPr>
                              <w:rFonts w:ascii="Tahoma" w:hAnsi="Tahoma" w:cs="Tahoma" w:hint="cs"/>
                              <w:color w:val="0D0D0D"/>
                              <w:sz w:val="16"/>
                              <w:szCs w:val="16"/>
                              <w:rtl/>
                            </w:rPr>
                            <w:t xml:space="preserve">מבקר המדינה | </w:t>
                          </w:r>
                          <w:r>
                            <w:rPr>
                              <w:rFonts w:ascii="Tahoma" w:hAnsi="Tahoma" w:cs="Tahoma" w:hint="cs"/>
                              <w:color w:val="0D0D0D"/>
                              <w:sz w:val="16"/>
                              <w:szCs w:val="16"/>
                              <w:rtl/>
                            </w:rPr>
                            <w:t xml:space="preserve">תמוז </w:t>
                          </w:r>
                          <w:r>
                            <w:rPr>
                              <w:rFonts w:ascii="Tahoma" w:hAnsi="Tahoma" w:cs="Tahoma" w:hint="cs"/>
                              <w:color w:val="0D0D0D"/>
                              <w:sz w:val="16"/>
                              <w:szCs w:val="16"/>
                              <w:rtl/>
                            </w:rPr>
                            <w:t>התשפ"ד</w:t>
                          </w:r>
                          <w:r w:rsidRPr="009D7894">
                            <w:rPr>
                              <w:rFonts w:ascii="Tahoma" w:hAnsi="Tahoma" w:cs="Tahoma" w:hint="cs"/>
                              <w:color w:val="0D0D0D"/>
                              <w:sz w:val="16"/>
                              <w:szCs w:val="16"/>
                              <w:rtl/>
                            </w:rPr>
                            <w:t xml:space="preserve"> </w:t>
                          </w:r>
                          <w:r w:rsidRPr="009D7894">
                            <w:rPr>
                              <w:rFonts w:ascii="Tahoma" w:hAnsi="Tahoma" w:cs="Tahoma"/>
                              <w:color w:val="0D0D0D"/>
                              <w:sz w:val="16"/>
                              <w:szCs w:val="16"/>
                              <w:rtl/>
                            </w:rPr>
                            <w:t>|</w:t>
                          </w:r>
                          <w:r w:rsidRPr="009D7894">
                            <w:rPr>
                              <w:rFonts w:ascii="Tahoma" w:hAnsi="Tahoma" w:cs="Tahoma" w:hint="cs"/>
                              <w:color w:val="0D0D0D"/>
                              <w:sz w:val="16"/>
                              <w:szCs w:val="16"/>
                              <w:rtl/>
                            </w:rPr>
                            <w:t xml:space="preserve"> </w:t>
                          </w:r>
                          <w:r>
                            <w:rPr>
                              <w:rFonts w:ascii="Tahoma" w:hAnsi="Tahoma" w:cs="Tahoma" w:hint="cs"/>
                              <w:color w:val="0D0D0D"/>
                              <w:sz w:val="16"/>
                              <w:szCs w:val="16"/>
                              <w:rtl/>
                            </w:rPr>
                            <w:t>יולי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4" type="#_x0000_t202" alt="&quot;&quot;"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85888" strokecolor="white">
              <v:textbox>
                <w:txbxContent>
                  <w:p w:rsidR="00E56721" w:rsidRPr="00C55DC9" w:rsidP="00B244B0" w14:paraId="70F458A6" w14:textId="13952BF2">
                    <w:pPr>
                      <w:jc w:val="right"/>
                      <w:rPr>
                        <w:color w:val="0D0D0D" w:themeColor="text1" w:themeTint="F2"/>
                        <w:sz w:val="16"/>
                        <w:szCs w:val="16"/>
                      </w:rPr>
                    </w:pPr>
                    <w:r>
                      <w:rPr>
                        <w:rFonts w:ascii="Tahoma" w:hAnsi="Tahoma" w:cs="Tahoma" w:hint="cs"/>
                        <w:color w:val="0D0D0D"/>
                        <w:sz w:val="16"/>
                        <w:szCs w:val="16"/>
                        <w:rtl/>
                      </w:rPr>
                      <w:t xml:space="preserve">דוח </w:t>
                    </w:r>
                    <w:r w:rsidRPr="009D7894">
                      <w:rPr>
                        <w:rFonts w:ascii="Tahoma" w:hAnsi="Tahoma" w:cs="Tahoma" w:hint="cs"/>
                        <w:color w:val="0D0D0D"/>
                        <w:sz w:val="16"/>
                        <w:szCs w:val="16"/>
                        <w:rtl/>
                      </w:rPr>
                      <w:t xml:space="preserve">מבקר המדינה | </w:t>
                    </w:r>
                    <w:r>
                      <w:rPr>
                        <w:rFonts w:ascii="Tahoma" w:hAnsi="Tahoma" w:cs="Tahoma" w:hint="cs"/>
                        <w:color w:val="0D0D0D"/>
                        <w:sz w:val="16"/>
                        <w:szCs w:val="16"/>
                        <w:rtl/>
                      </w:rPr>
                      <w:t xml:space="preserve">תמוז </w:t>
                    </w:r>
                    <w:r>
                      <w:rPr>
                        <w:rFonts w:ascii="Tahoma" w:hAnsi="Tahoma" w:cs="Tahoma" w:hint="cs"/>
                        <w:color w:val="0D0D0D"/>
                        <w:sz w:val="16"/>
                        <w:szCs w:val="16"/>
                        <w:rtl/>
                      </w:rPr>
                      <w:t>התשפ"ד</w:t>
                    </w:r>
                    <w:r w:rsidRPr="009D7894">
                      <w:rPr>
                        <w:rFonts w:ascii="Tahoma" w:hAnsi="Tahoma" w:cs="Tahoma" w:hint="cs"/>
                        <w:color w:val="0D0D0D"/>
                        <w:sz w:val="16"/>
                        <w:szCs w:val="16"/>
                        <w:rtl/>
                      </w:rPr>
                      <w:t xml:space="preserve"> </w:t>
                    </w:r>
                    <w:r w:rsidRPr="009D7894">
                      <w:rPr>
                        <w:rFonts w:ascii="Tahoma" w:hAnsi="Tahoma" w:cs="Tahoma"/>
                        <w:color w:val="0D0D0D"/>
                        <w:sz w:val="16"/>
                        <w:szCs w:val="16"/>
                        <w:rtl/>
                      </w:rPr>
                      <w:t>|</w:t>
                    </w:r>
                    <w:r w:rsidRPr="009D7894">
                      <w:rPr>
                        <w:rFonts w:ascii="Tahoma" w:hAnsi="Tahoma" w:cs="Tahoma" w:hint="cs"/>
                        <w:color w:val="0D0D0D"/>
                        <w:sz w:val="16"/>
                        <w:szCs w:val="16"/>
                        <w:rtl/>
                      </w:rPr>
                      <w:t xml:space="preserve"> </w:t>
                    </w:r>
                    <w:r>
                      <w:rPr>
                        <w:rFonts w:ascii="Tahoma" w:hAnsi="Tahoma" w:cs="Tahoma" w:hint="cs"/>
                        <w:color w:val="0D0D0D"/>
                        <w:sz w:val="16"/>
                        <w:szCs w:val="16"/>
                        <w:rtl/>
                      </w:rPr>
                      <w:t>יולי 2024</w:t>
                    </w:r>
                  </w:p>
                </w:txbxContent>
              </v:textbox>
            </v:shape>
          </w:pict>
        </mc:Fallback>
      </mc:AlternateContent>
    </w:r>
    <w:r w:rsidR="00235CF1">
      <w:rPr>
        <w:rFonts w:ascii="Tahoma" w:hAnsi="Tahoma" w:cs="Tahoma"/>
        <w:noProof/>
        <w:sz w:val="22"/>
        <w:szCs w:val="22"/>
        <w:rtl/>
        <w:lang w:val="he-IL"/>
      </w:rPr>
      <w:drawing>
        <wp:anchor distT="0" distB="0" distL="114300" distR="114300" simplePos="0" relativeHeight="251691008"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113575872"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75872"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F39413D6"/>
    <w:lvl w:ilvl="0">
      <w:start w:val="1"/>
      <w:numFmt w:val="decimal"/>
      <w:lvlText w:val="%1."/>
      <w:lvlJc w:val="left"/>
      <w:pPr>
        <w:tabs>
          <w:tab w:val="num" w:pos="1492"/>
        </w:tabs>
        <w:ind w:left="1492" w:hanging="360"/>
      </w:pPr>
    </w:lvl>
  </w:abstractNum>
  <w:abstractNum w:abstractNumId="1">
    <w:nsid w:val="FFFFFF7D"/>
    <w:multiLevelType w:val="singleLevel"/>
    <w:tmpl w:val="1F52CD6A"/>
    <w:lvl w:ilvl="0">
      <w:start w:val="1"/>
      <w:numFmt w:val="decimal"/>
      <w:lvlText w:val="%1."/>
      <w:lvlJc w:val="left"/>
      <w:pPr>
        <w:tabs>
          <w:tab w:val="num" w:pos="1209"/>
        </w:tabs>
        <w:ind w:left="1209" w:hanging="360"/>
      </w:pPr>
    </w:lvl>
  </w:abstractNum>
  <w:abstractNum w:abstractNumId="2">
    <w:nsid w:val="FFFFFF7F"/>
    <w:multiLevelType w:val="singleLevel"/>
    <w:tmpl w:val="5F20BAF6"/>
    <w:lvl w:ilvl="0">
      <w:start w:val="1"/>
      <w:numFmt w:val="decimal"/>
      <w:lvlText w:val="%1."/>
      <w:lvlJc w:val="left"/>
      <w:pPr>
        <w:tabs>
          <w:tab w:val="num" w:pos="643"/>
        </w:tabs>
        <w:ind w:left="643" w:hanging="360"/>
      </w:pPr>
    </w:lvl>
  </w:abstractNum>
  <w:abstractNum w:abstractNumId="3">
    <w:nsid w:val="FFFFFF80"/>
    <w:multiLevelType w:val="singleLevel"/>
    <w:tmpl w:val="509009E2"/>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16540724"/>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12661580"/>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9F307766"/>
    <w:lvl w:ilvl="0">
      <w:start w:val="1"/>
      <w:numFmt w:val="bullet"/>
      <w:lvlText w:val=""/>
      <w:lvlJc w:val="left"/>
      <w:pPr>
        <w:tabs>
          <w:tab w:val="num" w:pos="643"/>
        </w:tabs>
        <w:ind w:left="643" w:hanging="360"/>
      </w:pPr>
      <w:rPr>
        <w:rFonts w:ascii="Symbol" w:hAnsi="Symbol" w:hint="default"/>
      </w:rPr>
    </w:lvl>
  </w:abstractNum>
  <w:abstractNum w:abstractNumId="7">
    <w:nsid w:val="FFFFFF89"/>
    <w:multiLevelType w:val="singleLevel"/>
    <w:tmpl w:val="9D02C5E0"/>
    <w:lvl w:ilvl="0">
      <w:start w:val="1"/>
      <w:numFmt w:val="bullet"/>
      <w:lvlText w:val=""/>
      <w:lvlJc w:val="left"/>
      <w:pPr>
        <w:tabs>
          <w:tab w:val="num" w:pos="360"/>
        </w:tabs>
        <w:ind w:left="360" w:hanging="360"/>
      </w:pPr>
      <w:rPr>
        <w:rFonts w:ascii="Symbol" w:hAnsi="Symbol" w:hint="default"/>
      </w:rPr>
    </w:lvl>
  </w:abstractNum>
  <w:abstractNum w:abstractNumId="8">
    <w:nsid w:val="020A70F9"/>
    <w:multiLevelType w:val="hybridMultilevel"/>
    <w:tmpl w:val="A748F26C"/>
    <w:lvl w:ilvl="0">
      <w:start w:val="1"/>
      <w:numFmt w:val="decimal"/>
      <w:lvlText w:val="%1."/>
      <w:lvlJc w:val="left"/>
      <w:pPr>
        <w:ind w:left="397" w:hanging="397"/>
      </w:pPr>
      <w:rPr>
        <w:rFonts w:hint="default"/>
      </w:rPr>
    </w:lvl>
    <w:lvl w:ilvl="1" w:tentative="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9">
    <w:nsid w:val="07C54509"/>
    <w:multiLevelType w:val="multilevel"/>
    <w:tmpl w:val="3030E6FC"/>
    <w:lvl w:ilvl="0">
      <w:start w:val="1"/>
      <w:numFmt w:val="decimal"/>
      <w:pStyle w:val="7323"/>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0">
    <w:nsid w:val="088216AB"/>
    <w:multiLevelType w:val="hybridMultilevel"/>
    <w:tmpl w:val="BB7ADECA"/>
    <w:lvl w:ilvl="0">
      <w:start w:val="1"/>
      <w:numFmt w:val="hebrew1"/>
      <w:pStyle w:val="123"/>
      <w:lvlText w:val="%1."/>
      <w:lvlJc w:val="center"/>
      <w:pPr>
        <w:ind w:left="1915" w:hanging="360"/>
      </w:pPr>
    </w:lvl>
    <w:lvl w:ilvl="1" w:tentative="1">
      <w:start w:val="1"/>
      <w:numFmt w:val="lowerLetter"/>
      <w:lvlText w:val="%2."/>
      <w:lvlJc w:val="left"/>
      <w:pPr>
        <w:ind w:left="2635" w:hanging="360"/>
      </w:pPr>
    </w:lvl>
    <w:lvl w:ilvl="2" w:tentative="1">
      <w:start w:val="1"/>
      <w:numFmt w:val="lowerRoman"/>
      <w:lvlText w:val="%3."/>
      <w:lvlJc w:val="right"/>
      <w:pPr>
        <w:ind w:left="3355" w:hanging="180"/>
      </w:pPr>
    </w:lvl>
    <w:lvl w:ilvl="3" w:tentative="1">
      <w:start w:val="1"/>
      <w:numFmt w:val="decimal"/>
      <w:lvlText w:val="%4."/>
      <w:lvlJc w:val="left"/>
      <w:pPr>
        <w:ind w:left="4075" w:hanging="360"/>
      </w:pPr>
    </w:lvl>
    <w:lvl w:ilvl="4" w:tentative="1">
      <w:start w:val="1"/>
      <w:numFmt w:val="lowerLetter"/>
      <w:lvlText w:val="%5."/>
      <w:lvlJc w:val="left"/>
      <w:pPr>
        <w:ind w:left="4795" w:hanging="360"/>
      </w:pPr>
    </w:lvl>
    <w:lvl w:ilvl="5" w:tentative="1">
      <w:start w:val="1"/>
      <w:numFmt w:val="lowerRoman"/>
      <w:lvlText w:val="%6."/>
      <w:lvlJc w:val="right"/>
      <w:pPr>
        <w:ind w:left="5515" w:hanging="180"/>
      </w:pPr>
    </w:lvl>
    <w:lvl w:ilvl="6" w:tentative="1">
      <w:start w:val="1"/>
      <w:numFmt w:val="decimal"/>
      <w:lvlText w:val="%7."/>
      <w:lvlJc w:val="left"/>
      <w:pPr>
        <w:ind w:left="6235" w:hanging="360"/>
      </w:pPr>
    </w:lvl>
    <w:lvl w:ilvl="7" w:tentative="1">
      <w:start w:val="1"/>
      <w:numFmt w:val="lowerLetter"/>
      <w:lvlText w:val="%8."/>
      <w:lvlJc w:val="left"/>
      <w:pPr>
        <w:ind w:left="6955" w:hanging="360"/>
      </w:pPr>
    </w:lvl>
    <w:lvl w:ilvl="8" w:tentative="1">
      <w:start w:val="1"/>
      <w:numFmt w:val="lowerRoman"/>
      <w:lvlText w:val="%9."/>
      <w:lvlJc w:val="right"/>
      <w:pPr>
        <w:ind w:left="7675" w:hanging="180"/>
      </w:pPr>
    </w:lvl>
  </w:abstractNum>
  <w:abstractNum w:abstractNumId="11">
    <w:nsid w:val="0DDA1A01"/>
    <w:multiLevelType w:val="hybridMultilevel"/>
    <w:tmpl w:val="CD76C6BE"/>
    <w:lvl w:ilvl="0">
      <w:start w:val="1"/>
      <w:numFmt w:val="bullet"/>
      <w:pStyle w:val="73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CE47C9F"/>
    <w:multiLevelType w:val="hybridMultilevel"/>
    <w:tmpl w:val="5DD64334"/>
    <w:lvl w:ilvl="0">
      <w:start w:val="1"/>
      <w:numFmt w:val="bullet"/>
      <w:lvlText w:val=""/>
      <w:lvlJc w:val="left"/>
      <w:pPr>
        <w:ind w:left="217" w:hanging="360"/>
      </w:pPr>
      <w:rPr>
        <w:rFonts w:ascii="Symbol" w:hAnsi="Symbol" w:cs="Symbol" w:hint="default"/>
        <w:b/>
        <w:bCs/>
        <w:color w:val="FF0000"/>
        <w:szCs w:val="28"/>
      </w:rPr>
    </w:lvl>
    <w:lvl w:ilvl="1" w:tentative="1">
      <w:start w:val="1"/>
      <w:numFmt w:val="bullet"/>
      <w:lvlText w:val="o"/>
      <w:lvlJc w:val="left"/>
      <w:pPr>
        <w:ind w:left="937" w:hanging="360"/>
      </w:pPr>
      <w:rPr>
        <w:rFonts w:ascii="Courier New" w:hAnsi="Courier New" w:cs="Courier New" w:hint="default"/>
      </w:rPr>
    </w:lvl>
    <w:lvl w:ilvl="2" w:tentative="1">
      <w:start w:val="1"/>
      <w:numFmt w:val="bullet"/>
      <w:lvlText w:val=""/>
      <w:lvlJc w:val="left"/>
      <w:pPr>
        <w:ind w:left="1657" w:hanging="360"/>
      </w:pPr>
      <w:rPr>
        <w:rFonts w:ascii="Wingdings" w:hAnsi="Wingdings" w:hint="default"/>
      </w:rPr>
    </w:lvl>
    <w:lvl w:ilvl="3" w:tentative="1">
      <w:start w:val="1"/>
      <w:numFmt w:val="bullet"/>
      <w:lvlText w:val=""/>
      <w:lvlJc w:val="left"/>
      <w:pPr>
        <w:ind w:left="2377" w:hanging="360"/>
      </w:pPr>
      <w:rPr>
        <w:rFonts w:ascii="Symbol" w:hAnsi="Symbol" w:hint="default"/>
      </w:rPr>
    </w:lvl>
    <w:lvl w:ilvl="4" w:tentative="1">
      <w:start w:val="1"/>
      <w:numFmt w:val="bullet"/>
      <w:lvlText w:val="o"/>
      <w:lvlJc w:val="left"/>
      <w:pPr>
        <w:ind w:left="3097" w:hanging="360"/>
      </w:pPr>
      <w:rPr>
        <w:rFonts w:ascii="Courier New" w:hAnsi="Courier New" w:cs="Courier New" w:hint="default"/>
      </w:rPr>
    </w:lvl>
    <w:lvl w:ilvl="5" w:tentative="1">
      <w:start w:val="1"/>
      <w:numFmt w:val="bullet"/>
      <w:lvlText w:val=""/>
      <w:lvlJc w:val="left"/>
      <w:pPr>
        <w:ind w:left="3817" w:hanging="360"/>
      </w:pPr>
      <w:rPr>
        <w:rFonts w:ascii="Wingdings" w:hAnsi="Wingdings" w:hint="default"/>
      </w:rPr>
    </w:lvl>
    <w:lvl w:ilvl="6" w:tentative="1">
      <w:start w:val="1"/>
      <w:numFmt w:val="bullet"/>
      <w:lvlText w:val=""/>
      <w:lvlJc w:val="left"/>
      <w:pPr>
        <w:ind w:left="4537" w:hanging="360"/>
      </w:pPr>
      <w:rPr>
        <w:rFonts w:ascii="Symbol" w:hAnsi="Symbol" w:hint="default"/>
      </w:rPr>
    </w:lvl>
    <w:lvl w:ilvl="7" w:tentative="1">
      <w:start w:val="1"/>
      <w:numFmt w:val="bullet"/>
      <w:lvlText w:val="o"/>
      <w:lvlJc w:val="left"/>
      <w:pPr>
        <w:ind w:left="5257" w:hanging="360"/>
      </w:pPr>
      <w:rPr>
        <w:rFonts w:ascii="Courier New" w:hAnsi="Courier New" w:cs="Courier New" w:hint="default"/>
      </w:rPr>
    </w:lvl>
    <w:lvl w:ilvl="8" w:tentative="1">
      <w:start w:val="1"/>
      <w:numFmt w:val="bullet"/>
      <w:lvlText w:val=""/>
      <w:lvlJc w:val="left"/>
      <w:pPr>
        <w:ind w:left="5977" w:hanging="360"/>
      </w:pPr>
      <w:rPr>
        <w:rFonts w:ascii="Wingdings" w:hAnsi="Wingdings" w:hint="default"/>
      </w:rPr>
    </w:lvl>
  </w:abstractNum>
  <w:abstractNum w:abstractNumId="13">
    <w:nsid w:val="25C11F8F"/>
    <w:multiLevelType w:val="hybridMultilevel"/>
    <w:tmpl w:val="DF52EED4"/>
    <w:lvl w:ilvl="0">
      <w:start w:val="1"/>
      <w:numFmt w:val="bullet"/>
      <w:pStyle w:val="754"/>
      <w:lvlText w:val=""/>
      <w:lvlJc w:val="left"/>
      <w:pPr>
        <w:ind w:left="927" w:hanging="360"/>
      </w:pPr>
      <w:rPr>
        <w:rFonts w:ascii="Symbol" w:hAnsi="Symbol" w:cs="Symbol" w:hint="default"/>
        <w:b/>
        <w:bCs/>
        <w:color w:val="FF0000"/>
        <w:sz w:val="24"/>
        <w:szCs w:val="24"/>
      </w:rPr>
    </w:lvl>
    <w:lvl w:ilvl="1" w:tentative="1">
      <w:start w:val="1"/>
      <w:numFmt w:val="bullet"/>
      <w:lvlText w:val="o"/>
      <w:lvlJc w:val="left"/>
      <w:pPr>
        <w:ind w:left="2234" w:hanging="360"/>
      </w:pPr>
      <w:rPr>
        <w:rFonts w:ascii="Courier New" w:hAnsi="Courier New" w:cs="Courier New" w:hint="default"/>
      </w:rPr>
    </w:lvl>
    <w:lvl w:ilvl="2" w:tentative="1">
      <w:start w:val="1"/>
      <w:numFmt w:val="bullet"/>
      <w:lvlText w:val=""/>
      <w:lvlJc w:val="left"/>
      <w:pPr>
        <w:ind w:left="2954" w:hanging="360"/>
      </w:pPr>
      <w:rPr>
        <w:rFonts w:ascii="Wingdings" w:hAnsi="Wingdings" w:hint="default"/>
      </w:rPr>
    </w:lvl>
    <w:lvl w:ilvl="3" w:tentative="1">
      <w:start w:val="1"/>
      <w:numFmt w:val="bullet"/>
      <w:lvlText w:val=""/>
      <w:lvlJc w:val="left"/>
      <w:pPr>
        <w:ind w:left="3674" w:hanging="360"/>
      </w:pPr>
      <w:rPr>
        <w:rFonts w:ascii="Symbol" w:hAnsi="Symbol" w:hint="default"/>
      </w:rPr>
    </w:lvl>
    <w:lvl w:ilvl="4" w:tentative="1">
      <w:start w:val="1"/>
      <w:numFmt w:val="bullet"/>
      <w:lvlText w:val="o"/>
      <w:lvlJc w:val="left"/>
      <w:pPr>
        <w:ind w:left="4394" w:hanging="360"/>
      </w:pPr>
      <w:rPr>
        <w:rFonts w:ascii="Courier New" w:hAnsi="Courier New" w:cs="Courier New" w:hint="default"/>
      </w:rPr>
    </w:lvl>
    <w:lvl w:ilvl="5" w:tentative="1">
      <w:start w:val="1"/>
      <w:numFmt w:val="bullet"/>
      <w:lvlText w:val=""/>
      <w:lvlJc w:val="left"/>
      <w:pPr>
        <w:ind w:left="5114" w:hanging="360"/>
      </w:pPr>
      <w:rPr>
        <w:rFonts w:ascii="Wingdings" w:hAnsi="Wingdings" w:hint="default"/>
      </w:rPr>
    </w:lvl>
    <w:lvl w:ilvl="6" w:tentative="1">
      <w:start w:val="1"/>
      <w:numFmt w:val="bullet"/>
      <w:lvlText w:val=""/>
      <w:lvlJc w:val="left"/>
      <w:pPr>
        <w:ind w:left="5834" w:hanging="360"/>
      </w:pPr>
      <w:rPr>
        <w:rFonts w:ascii="Symbol" w:hAnsi="Symbol" w:hint="default"/>
      </w:rPr>
    </w:lvl>
    <w:lvl w:ilvl="7" w:tentative="1">
      <w:start w:val="1"/>
      <w:numFmt w:val="bullet"/>
      <w:lvlText w:val="o"/>
      <w:lvlJc w:val="left"/>
      <w:pPr>
        <w:ind w:left="6554" w:hanging="360"/>
      </w:pPr>
      <w:rPr>
        <w:rFonts w:ascii="Courier New" w:hAnsi="Courier New" w:cs="Courier New" w:hint="default"/>
      </w:rPr>
    </w:lvl>
    <w:lvl w:ilvl="8" w:tentative="1">
      <w:start w:val="1"/>
      <w:numFmt w:val="bullet"/>
      <w:lvlText w:val=""/>
      <w:lvlJc w:val="left"/>
      <w:pPr>
        <w:ind w:left="7274" w:hanging="360"/>
      </w:pPr>
      <w:rPr>
        <w:rFonts w:ascii="Wingdings" w:hAnsi="Wingdings" w:hint="default"/>
      </w:rPr>
    </w:lvl>
  </w:abstractNum>
  <w:abstractNum w:abstractNumId="14">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5">
    <w:nsid w:val="30D17255"/>
    <w:multiLevelType w:val="hybridMultilevel"/>
    <w:tmpl w:val="F1AE1FFC"/>
    <w:lvl w:ilvl="0">
      <w:start w:val="1"/>
      <w:numFmt w:val="decimal"/>
      <w:pStyle w:val="a57"/>
      <w:lvlText w:val="לוח %1:"/>
      <w:lvlJc w:val="left"/>
      <w:pPr>
        <w:ind w:left="1854" w:hanging="360"/>
      </w:pPr>
      <w:rPr>
        <w:rFonts w:ascii="Calibri" w:hAnsi="Calibri" w:cs="Calibri" w:hint="default"/>
        <w:b w:val="0"/>
        <w:bCs w:val="0"/>
        <w:i w:val="0"/>
        <w:iCs w:val="0"/>
        <w:color w:val="002060"/>
        <w:sz w:val="24"/>
        <w:szCs w:val="24"/>
      </w:rPr>
    </w:lvl>
    <w:lvl w:ilvl="1" w:tentative="1">
      <w:start w:val="1"/>
      <w:numFmt w:val="lowerLetter"/>
      <w:lvlText w:val="%2."/>
      <w:lvlJc w:val="left"/>
      <w:pPr>
        <w:ind w:left="2574" w:hanging="360"/>
      </w:pPr>
    </w:lvl>
    <w:lvl w:ilvl="2" w:tentative="1">
      <w:start w:val="1"/>
      <w:numFmt w:val="lowerRoman"/>
      <w:lvlText w:val="%3."/>
      <w:lvlJc w:val="right"/>
      <w:pPr>
        <w:ind w:left="3294" w:hanging="180"/>
      </w:pPr>
    </w:lvl>
    <w:lvl w:ilvl="3" w:tentative="1">
      <w:start w:val="1"/>
      <w:numFmt w:val="decimal"/>
      <w:lvlText w:val="%4."/>
      <w:lvlJc w:val="left"/>
      <w:pPr>
        <w:ind w:left="4014" w:hanging="360"/>
      </w:pPr>
    </w:lvl>
    <w:lvl w:ilvl="4" w:tentative="1">
      <w:start w:val="1"/>
      <w:numFmt w:val="lowerLetter"/>
      <w:lvlText w:val="%5."/>
      <w:lvlJc w:val="left"/>
      <w:pPr>
        <w:ind w:left="4734" w:hanging="360"/>
      </w:pPr>
    </w:lvl>
    <w:lvl w:ilvl="5" w:tentative="1">
      <w:start w:val="1"/>
      <w:numFmt w:val="lowerRoman"/>
      <w:lvlText w:val="%6."/>
      <w:lvlJc w:val="right"/>
      <w:pPr>
        <w:ind w:left="5454" w:hanging="180"/>
      </w:pPr>
    </w:lvl>
    <w:lvl w:ilvl="6" w:tentative="1">
      <w:start w:val="1"/>
      <w:numFmt w:val="decimal"/>
      <w:lvlText w:val="%7."/>
      <w:lvlJc w:val="left"/>
      <w:pPr>
        <w:ind w:left="6174" w:hanging="360"/>
      </w:pPr>
    </w:lvl>
    <w:lvl w:ilvl="7" w:tentative="1">
      <w:start w:val="1"/>
      <w:numFmt w:val="lowerLetter"/>
      <w:lvlText w:val="%8."/>
      <w:lvlJc w:val="left"/>
      <w:pPr>
        <w:ind w:left="6894" w:hanging="360"/>
      </w:pPr>
    </w:lvl>
    <w:lvl w:ilvl="8" w:tentative="1">
      <w:start w:val="1"/>
      <w:numFmt w:val="lowerRoman"/>
      <w:lvlText w:val="%9."/>
      <w:lvlJc w:val="right"/>
      <w:pPr>
        <w:ind w:left="7614" w:hanging="180"/>
      </w:pPr>
    </w:lvl>
  </w:abstractNum>
  <w:abstractNum w:abstractNumId="16">
    <w:nsid w:val="316B14B9"/>
    <w:multiLevelType w:val="hybridMultilevel"/>
    <w:tmpl w:val="378E9214"/>
    <w:lvl w:ilvl="0">
      <w:start w:val="1"/>
      <w:numFmt w:val="decimal"/>
      <w:pStyle w:val="a55"/>
      <w:lvlText w:val="תמונה %1:"/>
      <w:lvlJc w:val="left"/>
      <w:pPr>
        <w:ind w:left="1494" w:hanging="360"/>
      </w:pPr>
      <w:rPr>
        <w:rFonts w:ascii="Calibri" w:hAnsi="Calibri" w:cs="Calibri" w:hint="default"/>
        <w:b w:val="0"/>
        <w:bCs w:val="0"/>
        <w:i w:val="0"/>
        <w:iCs w:val="0"/>
        <w:color w:val="002060"/>
        <w:sz w:val="24"/>
        <w:szCs w:val="24"/>
      </w:rPr>
    </w:lvl>
    <w:lvl w:ilvl="1" w:tentative="1">
      <w:start w:val="1"/>
      <w:numFmt w:val="lowerLetter"/>
      <w:lvlText w:val="%2."/>
      <w:lvlJc w:val="left"/>
      <w:pPr>
        <w:ind w:left="2578" w:hanging="360"/>
      </w:pPr>
    </w:lvl>
    <w:lvl w:ilvl="2" w:tentative="1">
      <w:start w:val="1"/>
      <w:numFmt w:val="lowerRoman"/>
      <w:lvlText w:val="%3."/>
      <w:lvlJc w:val="right"/>
      <w:pPr>
        <w:ind w:left="3298" w:hanging="180"/>
      </w:pPr>
    </w:lvl>
    <w:lvl w:ilvl="3" w:tentative="1">
      <w:start w:val="1"/>
      <w:numFmt w:val="decimal"/>
      <w:lvlText w:val="%4."/>
      <w:lvlJc w:val="left"/>
      <w:pPr>
        <w:ind w:left="4018" w:hanging="360"/>
      </w:pPr>
    </w:lvl>
    <w:lvl w:ilvl="4" w:tentative="1">
      <w:start w:val="1"/>
      <w:numFmt w:val="lowerLetter"/>
      <w:lvlText w:val="%5."/>
      <w:lvlJc w:val="left"/>
      <w:pPr>
        <w:ind w:left="4738" w:hanging="360"/>
      </w:pPr>
    </w:lvl>
    <w:lvl w:ilvl="5" w:tentative="1">
      <w:start w:val="1"/>
      <w:numFmt w:val="lowerRoman"/>
      <w:lvlText w:val="%6."/>
      <w:lvlJc w:val="right"/>
      <w:pPr>
        <w:ind w:left="5458" w:hanging="180"/>
      </w:pPr>
    </w:lvl>
    <w:lvl w:ilvl="6" w:tentative="1">
      <w:start w:val="1"/>
      <w:numFmt w:val="decimal"/>
      <w:lvlText w:val="%7."/>
      <w:lvlJc w:val="left"/>
      <w:pPr>
        <w:ind w:left="6178" w:hanging="360"/>
      </w:pPr>
    </w:lvl>
    <w:lvl w:ilvl="7" w:tentative="1">
      <w:start w:val="1"/>
      <w:numFmt w:val="lowerLetter"/>
      <w:lvlText w:val="%8."/>
      <w:lvlJc w:val="left"/>
      <w:pPr>
        <w:ind w:left="6898" w:hanging="360"/>
      </w:pPr>
    </w:lvl>
    <w:lvl w:ilvl="8" w:tentative="1">
      <w:start w:val="1"/>
      <w:numFmt w:val="lowerRoman"/>
      <w:lvlText w:val="%9."/>
      <w:lvlJc w:val="right"/>
      <w:pPr>
        <w:ind w:left="7618" w:hanging="180"/>
      </w:pPr>
    </w:lvl>
  </w:abstractNum>
  <w:abstractNum w:abstractNumId="17">
    <w:nsid w:val="33A86F96"/>
    <w:multiLevelType w:val="hybridMultilevel"/>
    <w:tmpl w:val="220A2AB2"/>
    <w:lvl w:ilvl="0">
      <w:start w:val="1"/>
      <w:numFmt w:val="decimal"/>
      <w:pStyle w:val="a59"/>
      <w:lvlText w:val="מפה %1:"/>
      <w:lvlJc w:val="left"/>
      <w:pPr>
        <w:ind w:left="1858" w:hanging="360"/>
      </w:pPr>
      <w:rPr>
        <w:rFonts w:ascii="Calibri" w:hAnsi="Calibri" w:cs="Calibri" w:hint="default"/>
        <w:b w:val="0"/>
        <w:bCs w:val="0"/>
        <w:i w:val="0"/>
        <w:iCs w:val="0"/>
        <w:color w:val="002060"/>
        <w:sz w:val="24"/>
        <w:szCs w:val="24"/>
      </w:rPr>
    </w:lvl>
    <w:lvl w:ilvl="1" w:tentative="1">
      <w:start w:val="1"/>
      <w:numFmt w:val="lowerLetter"/>
      <w:lvlText w:val="%2."/>
      <w:lvlJc w:val="left"/>
      <w:pPr>
        <w:ind w:left="2934" w:hanging="360"/>
      </w:pPr>
    </w:lvl>
    <w:lvl w:ilvl="2" w:tentative="1">
      <w:start w:val="1"/>
      <w:numFmt w:val="lowerRoman"/>
      <w:lvlText w:val="%3."/>
      <w:lvlJc w:val="right"/>
      <w:pPr>
        <w:ind w:left="3654" w:hanging="180"/>
      </w:pPr>
    </w:lvl>
    <w:lvl w:ilvl="3" w:tentative="1">
      <w:start w:val="1"/>
      <w:numFmt w:val="decimal"/>
      <w:lvlText w:val="%4."/>
      <w:lvlJc w:val="left"/>
      <w:pPr>
        <w:ind w:left="4374" w:hanging="360"/>
      </w:pPr>
    </w:lvl>
    <w:lvl w:ilvl="4" w:tentative="1">
      <w:start w:val="1"/>
      <w:numFmt w:val="lowerLetter"/>
      <w:lvlText w:val="%5."/>
      <w:lvlJc w:val="left"/>
      <w:pPr>
        <w:ind w:left="5094" w:hanging="360"/>
      </w:pPr>
    </w:lvl>
    <w:lvl w:ilvl="5" w:tentative="1">
      <w:start w:val="1"/>
      <w:numFmt w:val="lowerRoman"/>
      <w:lvlText w:val="%6."/>
      <w:lvlJc w:val="right"/>
      <w:pPr>
        <w:ind w:left="5814" w:hanging="180"/>
      </w:pPr>
    </w:lvl>
    <w:lvl w:ilvl="6" w:tentative="1">
      <w:start w:val="1"/>
      <w:numFmt w:val="decimal"/>
      <w:lvlText w:val="%7."/>
      <w:lvlJc w:val="left"/>
      <w:pPr>
        <w:ind w:left="6534" w:hanging="360"/>
      </w:pPr>
    </w:lvl>
    <w:lvl w:ilvl="7" w:tentative="1">
      <w:start w:val="1"/>
      <w:numFmt w:val="lowerLetter"/>
      <w:lvlText w:val="%8."/>
      <w:lvlJc w:val="left"/>
      <w:pPr>
        <w:ind w:left="7254" w:hanging="360"/>
      </w:pPr>
    </w:lvl>
    <w:lvl w:ilvl="8" w:tentative="1">
      <w:start w:val="1"/>
      <w:numFmt w:val="lowerRoman"/>
      <w:lvlText w:val="%9."/>
      <w:lvlJc w:val="right"/>
      <w:pPr>
        <w:ind w:left="7974" w:hanging="180"/>
      </w:pPr>
    </w:lvl>
  </w:abstractNum>
  <w:abstractNum w:abstractNumId="18">
    <w:nsid w:val="35EE30E9"/>
    <w:multiLevelType w:val="hybridMultilevel"/>
    <w:tmpl w:val="D2E4FDCC"/>
    <w:lvl w:ilvl="0">
      <w:start w:val="2"/>
      <w:numFmt w:val="bullet"/>
      <w:lvlText w:val=""/>
      <w:lvlJc w:val="left"/>
      <w:pPr>
        <w:ind w:left="397" w:hanging="397"/>
      </w:pPr>
      <w:rPr>
        <w:rFonts w:ascii="Symbol" w:hAnsi="Symbol" w:eastAsiaTheme="minorHAnsi" w:cs="David" w:hint="default"/>
        <w:b/>
        <w:i w:val="0"/>
        <w:caps w:val="0"/>
        <w:strike w:val="0"/>
        <w:dstrike w:val="0"/>
        <w:vanish w:val="0"/>
        <w:color w:val="auto"/>
        <w:sz w:val="22"/>
        <w:szCs w:val="1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A923526"/>
    <w:multiLevelType w:val="hybridMultilevel"/>
    <w:tmpl w:val="4E74417E"/>
    <w:lvl w:ilvl="0">
      <w:start w:val="1"/>
      <w:numFmt w:val="decimal"/>
      <w:pStyle w:val="a53"/>
      <w:lvlText w:val="תרשים %1:"/>
      <w:lvlJc w:val="left"/>
      <w:pPr>
        <w:ind w:left="1494" w:hanging="360"/>
      </w:pPr>
      <w:rPr>
        <w:rFonts w:ascii="Calibri" w:hAnsi="Calibri" w:cs="Calibri" w:hint="default"/>
        <w:b w:val="0"/>
        <w:bCs w:val="0"/>
        <w:i w:val="0"/>
        <w:iCs w:val="0"/>
        <w:color w:val="002060"/>
        <w:sz w:val="24"/>
        <w:szCs w:val="24"/>
      </w:rPr>
    </w:lvl>
    <w:lvl w:ilvl="1" w:tentative="1">
      <w:start w:val="1"/>
      <w:numFmt w:val="lowerLetter"/>
      <w:lvlText w:val="%2."/>
      <w:lvlJc w:val="left"/>
      <w:pPr>
        <w:ind w:left="2578" w:hanging="360"/>
      </w:pPr>
    </w:lvl>
    <w:lvl w:ilvl="2" w:tentative="1">
      <w:start w:val="1"/>
      <w:numFmt w:val="lowerRoman"/>
      <w:lvlText w:val="%3."/>
      <w:lvlJc w:val="right"/>
      <w:pPr>
        <w:ind w:left="3298" w:hanging="180"/>
      </w:pPr>
    </w:lvl>
    <w:lvl w:ilvl="3" w:tentative="1">
      <w:start w:val="1"/>
      <w:numFmt w:val="decimal"/>
      <w:lvlText w:val="%4."/>
      <w:lvlJc w:val="left"/>
      <w:pPr>
        <w:ind w:left="4018" w:hanging="360"/>
      </w:pPr>
    </w:lvl>
    <w:lvl w:ilvl="4" w:tentative="1">
      <w:start w:val="1"/>
      <w:numFmt w:val="lowerLetter"/>
      <w:lvlText w:val="%5."/>
      <w:lvlJc w:val="left"/>
      <w:pPr>
        <w:ind w:left="4738" w:hanging="360"/>
      </w:pPr>
    </w:lvl>
    <w:lvl w:ilvl="5" w:tentative="1">
      <w:start w:val="1"/>
      <w:numFmt w:val="lowerRoman"/>
      <w:lvlText w:val="%6."/>
      <w:lvlJc w:val="right"/>
      <w:pPr>
        <w:ind w:left="5458" w:hanging="180"/>
      </w:pPr>
    </w:lvl>
    <w:lvl w:ilvl="6" w:tentative="1">
      <w:start w:val="1"/>
      <w:numFmt w:val="decimal"/>
      <w:lvlText w:val="%7."/>
      <w:lvlJc w:val="left"/>
      <w:pPr>
        <w:ind w:left="6178" w:hanging="360"/>
      </w:pPr>
    </w:lvl>
    <w:lvl w:ilvl="7" w:tentative="1">
      <w:start w:val="1"/>
      <w:numFmt w:val="lowerLetter"/>
      <w:lvlText w:val="%8."/>
      <w:lvlJc w:val="left"/>
      <w:pPr>
        <w:ind w:left="6898" w:hanging="360"/>
      </w:pPr>
    </w:lvl>
    <w:lvl w:ilvl="8" w:tentative="1">
      <w:start w:val="1"/>
      <w:numFmt w:val="lowerRoman"/>
      <w:lvlText w:val="%9."/>
      <w:lvlJc w:val="right"/>
      <w:pPr>
        <w:ind w:left="7618" w:hanging="180"/>
      </w:pPr>
    </w:lvl>
  </w:abstractNum>
  <w:abstractNum w:abstractNumId="2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40DC7E01"/>
    <w:multiLevelType w:val="hybridMultilevel"/>
    <w:tmpl w:val="5D24C320"/>
    <w:lvl w:ilvl="0">
      <w:start w:val="1"/>
      <w:numFmt w:val="decimal"/>
      <w:pStyle w:val="33"/>
      <w:lvlText w:val="%1.1.1"/>
      <w:lvlJc w:val="left"/>
      <w:pPr>
        <w:ind w:left="1854" w:hanging="360"/>
      </w:pPr>
      <w:rPr>
        <w:rFonts w:hint="default"/>
      </w:rPr>
    </w:lvl>
    <w:lvl w:ilvl="1" w:tentative="1">
      <w:start w:val="1"/>
      <w:numFmt w:val="lowerLetter"/>
      <w:lvlText w:val="%2."/>
      <w:lvlJc w:val="left"/>
      <w:pPr>
        <w:ind w:left="2574" w:hanging="360"/>
      </w:pPr>
    </w:lvl>
    <w:lvl w:ilvl="2" w:tentative="1">
      <w:start w:val="1"/>
      <w:numFmt w:val="lowerRoman"/>
      <w:lvlText w:val="%3."/>
      <w:lvlJc w:val="right"/>
      <w:pPr>
        <w:ind w:left="3294" w:hanging="180"/>
      </w:pPr>
    </w:lvl>
    <w:lvl w:ilvl="3" w:tentative="1">
      <w:start w:val="1"/>
      <w:numFmt w:val="decimal"/>
      <w:lvlText w:val="%4."/>
      <w:lvlJc w:val="left"/>
      <w:pPr>
        <w:ind w:left="4014" w:hanging="360"/>
      </w:pPr>
    </w:lvl>
    <w:lvl w:ilvl="4" w:tentative="1">
      <w:start w:val="1"/>
      <w:numFmt w:val="lowerLetter"/>
      <w:lvlText w:val="%5."/>
      <w:lvlJc w:val="left"/>
      <w:pPr>
        <w:ind w:left="4734" w:hanging="360"/>
      </w:pPr>
    </w:lvl>
    <w:lvl w:ilvl="5" w:tentative="1">
      <w:start w:val="1"/>
      <w:numFmt w:val="lowerRoman"/>
      <w:lvlText w:val="%6."/>
      <w:lvlJc w:val="right"/>
      <w:pPr>
        <w:ind w:left="5454" w:hanging="180"/>
      </w:pPr>
    </w:lvl>
    <w:lvl w:ilvl="6" w:tentative="1">
      <w:start w:val="1"/>
      <w:numFmt w:val="decimal"/>
      <w:lvlText w:val="%7."/>
      <w:lvlJc w:val="left"/>
      <w:pPr>
        <w:ind w:left="6174" w:hanging="360"/>
      </w:pPr>
    </w:lvl>
    <w:lvl w:ilvl="7" w:tentative="1">
      <w:start w:val="1"/>
      <w:numFmt w:val="lowerLetter"/>
      <w:lvlText w:val="%8."/>
      <w:lvlJc w:val="left"/>
      <w:pPr>
        <w:ind w:left="6894" w:hanging="360"/>
      </w:pPr>
    </w:lvl>
    <w:lvl w:ilvl="8" w:tentative="1">
      <w:start w:val="1"/>
      <w:numFmt w:val="lowerRoman"/>
      <w:lvlText w:val="%9."/>
      <w:lvlJc w:val="right"/>
      <w:pPr>
        <w:ind w:left="7614" w:hanging="180"/>
      </w:pPr>
    </w:lvl>
  </w:abstractNum>
  <w:abstractNum w:abstractNumId="22">
    <w:nsid w:val="441A6670"/>
    <w:multiLevelType w:val="hybridMultilevel"/>
    <w:tmpl w:val="369C82D6"/>
    <w:lvl w:ilvl="0">
      <w:start w:val="1"/>
      <w:numFmt w:val="hebrew1"/>
      <w:pStyle w:val="35"/>
      <w:lvlText w:val="%1."/>
      <w:lvlJc w:val="center"/>
      <w:pPr>
        <w:ind w:left="2705" w:hanging="360"/>
      </w:pPr>
    </w:lvl>
    <w:lvl w:ilvl="1" w:tentative="1">
      <w:start w:val="1"/>
      <w:numFmt w:val="lowerLetter"/>
      <w:lvlText w:val="%2."/>
      <w:lvlJc w:val="left"/>
      <w:pPr>
        <w:ind w:left="3425" w:hanging="360"/>
      </w:pPr>
    </w:lvl>
    <w:lvl w:ilvl="2" w:tentative="1">
      <w:start w:val="1"/>
      <w:numFmt w:val="lowerRoman"/>
      <w:lvlText w:val="%3."/>
      <w:lvlJc w:val="right"/>
      <w:pPr>
        <w:ind w:left="4145" w:hanging="180"/>
      </w:pPr>
    </w:lvl>
    <w:lvl w:ilvl="3" w:tentative="1">
      <w:start w:val="1"/>
      <w:numFmt w:val="decimal"/>
      <w:lvlText w:val="%4."/>
      <w:lvlJc w:val="left"/>
      <w:pPr>
        <w:ind w:left="4865" w:hanging="360"/>
      </w:pPr>
    </w:lvl>
    <w:lvl w:ilvl="4" w:tentative="1">
      <w:start w:val="1"/>
      <w:numFmt w:val="lowerLetter"/>
      <w:lvlText w:val="%5."/>
      <w:lvlJc w:val="left"/>
      <w:pPr>
        <w:ind w:left="5585" w:hanging="360"/>
      </w:pPr>
    </w:lvl>
    <w:lvl w:ilvl="5" w:tentative="1">
      <w:start w:val="1"/>
      <w:numFmt w:val="lowerRoman"/>
      <w:lvlText w:val="%6."/>
      <w:lvlJc w:val="right"/>
      <w:pPr>
        <w:ind w:left="6305" w:hanging="180"/>
      </w:pPr>
    </w:lvl>
    <w:lvl w:ilvl="6" w:tentative="1">
      <w:start w:val="1"/>
      <w:numFmt w:val="decimal"/>
      <w:lvlText w:val="%7."/>
      <w:lvlJc w:val="left"/>
      <w:pPr>
        <w:ind w:left="7025" w:hanging="360"/>
      </w:pPr>
    </w:lvl>
    <w:lvl w:ilvl="7" w:tentative="1">
      <w:start w:val="1"/>
      <w:numFmt w:val="lowerLetter"/>
      <w:lvlText w:val="%8."/>
      <w:lvlJc w:val="left"/>
      <w:pPr>
        <w:ind w:left="7745" w:hanging="360"/>
      </w:pPr>
    </w:lvl>
    <w:lvl w:ilvl="8" w:tentative="1">
      <w:start w:val="1"/>
      <w:numFmt w:val="lowerRoman"/>
      <w:lvlText w:val="%9."/>
      <w:lvlJc w:val="right"/>
      <w:pPr>
        <w:ind w:left="8465" w:hanging="180"/>
      </w:pPr>
    </w:lvl>
  </w:abstractNum>
  <w:abstractNum w:abstractNumId="23">
    <w:nsid w:val="459C2999"/>
    <w:multiLevelType w:val="multilevel"/>
    <w:tmpl w:val="065C52B0"/>
    <w:lvl w:ilvl="0">
      <w:start w:val="1"/>
      <w:numFmt w:val="hebrew1"/>
      <w:pStyle w:val="7324"/>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4">
    <w:nsid w:val="4DD35436"/>
    <w:multiLevelType w:val="hybridMultilevel"/>
    <w:tmpl w:val="EC1EC164"/>
    <w:lvl w:ilvl="0">
      <w:start w:val="1"/>
      <w:numFmt w:val="decimal"/>
      <w:pStyle w:val="24"/>
      <w:lvlText w:val="%1.1"/>
      <w:lvlJc w:val="left"/>
      <w:pPr>
        <w:ind w:left="1860" w:hanging="360"/>
      </w:pPr>
      <w:rPr>
        <w:rFonts w:hint="default"/>
      </w:rPr>
    </w:lvl>
    <w:lvl w:ilvl="1" w:tentative="1">
      <w:start w:val="1"/>
      <w:numFmt w:val="lowerLetter"/>
      <w:lvlText w:val="%2."/>
      <w:lvlJc w:val="left"/>
      <w:pPr>
        <w:ind w:left="2580" w:hanging="360"/>
      </w:pPr>
    </w:lvl>
    <w:lvl w:ilvl="2" w:tentative="1">
      <w:start w:val="1"/>
      <w:numFmt w:val="lowerRoman"/>
      <w:lvlText w:val="%3."/>
      <w:lvlJc w:val="right"/>
      <w:pPr>
        <w:ind w:left="3300" w:hanging="180"/>
      </w:pPr>
    </w:lvl>
    <w:lvl w:ilvl="3" w:tentative="1">
      <w:start w:val="1"/>
      <w:numFmt w:val="decimal"/>
      <w:lvlText w:val="%4."/>
      <w:lvlJc w:val="left"/>
      <w:pPr>
        <w:ind w:left="4020" w:hanging="360"/>
      </w:pPr>
    </w:lvl>
    <w:lvl w:ilvl="4" w:tentative="1">
      <w:start w:val="1"/>
      <w:numFmt w:val="lowerLetter"/>
      <w:lvlText w:val="%5."/>
      <w:lvlJc w:val="left"/>
      <w:pPr>
        <w:ind w:left="4740" w:hanging="360"/>
      </w:pPr>
    </w:lvl>
    <w:lvl w:ilvl="5" w:tentative="1">
      <w:start w:val="1"/>
      <w:numFmt w:val="lowerRoman"/>
      <w:lvlText w:val="%6."/>
      <w:lvlJc w:val="right"/>
      <w:pPr>
        <w:ind w:left="5460" w:hanging="180"/>
      </w:pPr>
    </w:lvl>
    <w:lvl w:ilvl="6" w:tentative="1">
      <w:start w:val="1"/>
      <w:numFmt w:val="decimal"/>
      <w:lvlText w:val="%7."/>
      <w:lvlJc w:val="left"/>
      <w:pPr>
        <w:ind w:left="6180" w:hanging="360"/>
      </w:pPr>
    </w:lvl>
    <w:lvl w:ilvl="7" w:tentative="1">
      <w:start w:val="1"/>
      <w:numFmt w:val="lowerLetter"/>
      <w:lvlText w:val="%8."/>
      <w:lvlJc w:val="left"/>
      <w:pPr>
        <w:ind w:left="6900" w:hanging="360"/>
      </w:pPr>
    </w:lvl>
    <w:lvl w:ilvl="8" w:tentative="1">
      <w:start w:val="1"/>
      <w:numFmt w:val="lowerRoman"/>
      <w:lvlText w:val="%9."/>
      <w:lvlJc w:val="right"/>
      <w:pPr>
        <w:ind w:left="7620" w:hanging="180"/>
      </w:pPr>
    </w:lvl>
  </w:abstractNum>
  <w:abstractNum w:abstractNumId="25">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6">
    <w:nsid w:val="5D7F29F7"/>
    <w:multiLevelType w:val="hybridMultilevel"/>
    <w:tmpl w:val="ABFC5A12"/>
    <w:lvl w:ilvl="0">
      <w:start w:val="1"/>
      <w:numFmt w:val="hebrew1"/>
      <w:pStyle w:val="70"/>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F743717"/>
    <w:multiLevelType w:val="multilevel"/>
    <w:tmpl w:val="54B40DD4"/>
    <w:lvl w:ilvl="0">
      <w:start w:val="1"/>
      <w:numFmt w:val="decimal"/>
      <w:pStyle w:val="a15"/>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8">
    <w:nsid w:val="665B09CB"/>
    <w:multiLevelType w:val="hybridMultilevel"/>
    <w:tmpl w:val="F98283A0"/>
    <w:lvl w:ilvl="0">
      <w:start w:val="1"/>
      <w:numFmt w:val="bullet"/>
      <w:pStyle w:val="52"/>
      <w:lvlText w:val=""/>
      <w:lvlJc w:val="left"/>
      <w:pPr>
        <w:ind w:left="1854" w:hanging="360"/>
      </w:pPr>
      <w:rPr>
        <w:rFonts w:ascii="Wingdings" w:hAnsi="Wingdings" w:hint="default"/>
        <w:color w:val="FFF400"/>
      </w:rPr>
    </w:lvl>
    <w:lvl w:ilvl="1" w:tentative="1">
      <w:start w:val="1"/>
      <w:numFmt w:val="lowerLetter"/>
      <w:lvlText w:val="%2."/>
      <w:lvlJc w:val="left"/>
      <w:pPr>
        <w:ind w:left="2574" w:hanging="360"/>
      </w:pPr>
    </w:lvl>
    <w:lvl w:ilvl="2" w:tentative="1">
      <w:start w:val="1"/>
      <w:numFmt w:val="lowerRoman"/>
      <w:lvlText w:val="%3."/>
      <w:lvlJc w:val="right"/>
      <w:pPr>
        <w:ind w:left="3294" w:hanging="180"/>
      </w:pPr>
    </w:lvl>
    <w:lvl w:ilvl="3" w:tentative="1">
      <w:start w:val="1"/>
      <w:numFmt w:val="decimal"/>
      <w:lvlText w:val="%4."/>
      <w:lvlJc w:val="left"/>
      <w:pPr>
        <w:ind w:left="4014" w:hanging="360"/>
      </w:pPr>
    </w:lvl>
    <w:lvl w:ilvl="4" w:tentative="1">
      <w:start w:val="1"/>
      <w:numFmt w:val="lowerLetter"/>
      <w:lvlText w:val="%5."/>
      <w:lvlJc w:val="left"/>
      <w:pPr>
        <w:ind w:left="4734" w:hanging="360"/>
      </w:pPr>
    </w:lvl>
    <w:lvl w:ilvl="5" w:tentative="1">
      <w:start w:val="1"/>
      <w:numFmt w:val="lowerRoman"/>
      <w:lvlText w:val="%6."/>
      <w:lvlJc w:val="right"/>
      <w:pPr>
        <w:ind w:left="5454" w:hanging="180"/>
      </w:pPr>
    </w:lvl>
    <w:lvl w:ilvl="6" w:tentative="1">
      <w:start w:val="1"/>
      <w:numFmt w:val="decimal"/>
      <w:lvlText w:val="%7."/>
      <w:lvlJc w:val="left"/>
      <w:pPr>
        <w:ind w:left="6174" w:hanging="360"/>
      </w:pPr>
    </w:lvl>
    <w:lvl w:ilvl="7" w:tentative="1">
      <w:start w:val="1"/>
      <w:numFmt w:val="lowerLetter"/>
      <w:lvlText w:val="%8."/>
      <w:lvlJc w:val="left"/>
      <w:pPr>
        <w:ind w:left="6894" w:hanging="360"/>
      </w:pPr>
    </w:lvl>
    <w:lvl w:ilvl="8" w:tentative="1">
      <w:start w:val="1"/>
      <w:numFmt w:val="lowerRoman"/>
      <w:lvlText w:val="%9."/>
      <w:lvlJc w:val="right"/>
      <w:pPr>
        <w:ind w:left="7614" w:hanging="180"/>
      </w:pPr>
    </w:lvl>
  </w:abstractNum>
  <w:abstractNum w:abstractNumId="29">
    <w:nsid w:val="7C023892"/>
    <w:multiLevelType w:val="hybridMultilevel"/>
    <w:tmpl w:val="8C4CE6C4"/>
    <w:lvl w:ilvl="0">
      <w:start w:val="1"/>
      <w:numFmt w:val="bullet"/>
      <w:lvlText w:val=""/>
      <w:lvlJc w:val="left"/>
      <w:pPr>
        <w:ind w:left="417" w:hanging="360"/>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D365B29"/>
    <w:multiLevelType w:val="multilevel"/>
    <w:tmpl w:val="E3AA6D54"/>
    <w:lvl w:ilvl="0">
      <w:start w:val="1"/>
      <w:numFmt w:val="hebrew1"/>
      <w:pStyle w:val="7322"/>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abstractNum w:abstractNumId="31">
    <w:nsid w:val="7E431D00"/>
    <w:multiLevelType w:val="hybridMultilevel"/>
    <w:tmpl w:val="7576C230"/>
    <w:lvl w:ilvl="0">
      <w:start w:val="1"/>
      <w:numFmt w:val="decimal"/>
      <w:pStyle w:val="120"/>
      <w:lvlText w:val="%1."/>
      <w:lvlJc w:val="left"/>
      <w:pPr>
        <w:ind w:left="1858" w:hanging="360"/>
      </w:pPr>
      <w:rPr>
        <w:rFonts w:ascii="Calibri" w:hAnsi="Calibri" w:cs="Calibri" w:hint="default"/>
        <w:b/>
        <w:bCs/>
        <w:i w:val="0"/>
        <w:iCs w:val="0"/>
        <w:color w:val="002060"/>
        <w:sz w:val="40"/>
        <w:szCs w:val="40"/>
      </w:rPr>
    </w:lvl>
    <w:lvl w:ilvl="1" w:tentative="1">
      <w:start w:val="1"/>
      <w:numFmt w:val="lowerLetter"/>
      <w:lvlText w:val="%2."/>
      <w:lvlJc w:val="left"/>
      <w:pPr>
        <w:ind w:left="2578" w:hanging="360"/>
      </w:pPr>
    </w:lvl>
    <w:lvl w:ilvl="2" w:tentative="1">
      <w:start w:val="1"/>
      <w:numFmt w:val="lowerRoman"/>
      <w:lvlText w:val="%3."/>
      <w:lvlJc w:val="right"/>
      <w:pPr>
        <w:ind w:left="3298" w:hanging="180"/>
      </w:pPr>
    </w:lvl>
    <w:lvl w:ilvl="3" w:tentative="1">
      <w:start w:val="1"/>
      <w:numFmt w:val="decimal"/>
      <w:lvlText w:val="%4."/>
      <w:lvlJc w:val="left"/>
      <w:pPr>
        <w:ind w:left="4018" w:hanging="360"/>
      </w:pPr>
    </w:lvl>
    <w:lvl w:ilvl="4" w:tentative="1">
      <w:start w:val="1"/>
      <w:numFmt w:val="lowerLetter"/>
      <w:lvlText w:val="%5."/>
      <w:lvlJc w:val="left"/>
      <w:pPr>
        <w:ind w:left="4738" w:hanging="360"/>
      </w:pPr>
    </w:lvl>
    <w:lvl w:ilvl="5" w:tentative="1">
      <w:start w:val="1"/>
      <w:numFmt w:val="lowerRoman"/>
      <w:lvlText w:val="%6."/>
      <w:lvlJc w:val="right"/>
      <w:pPr>
        <w:ind w:left="5458" w:hanging="180"/>
      </w:pPr>
    </w:lvl>
    <w:lvl w:ilvl="6" w:tentative="1">
      <w:start w:val="1"/>
      <w:numFmt w:val="decimal"/>
      <w:lvlText w:val="%7."/>
      <w:lvlJc w:val="left"/>
      <w:pPr>
        <w:ind w:left="6178" w:hanging="360"/>
      </w:pPr>
    </w:lvl>
    <w:lvl w:ilvl="7" w:tentative="1">
      <w:start w:val="1"/>
      <w:numFmt w:val="lowerLetter"/>
      <w:lvlText w:val="%8."/>
      <w:lvlJc w:val="left"/>
      <w:pPr>
        <w:ind w:left="6898" w:hanging="360"/>
      </w:pPr>
    </w:lvl>
    <w:lvl w:ilvl="8" w:tentative="1">
      <w:start w:val="1"/>
      <w:numFmt w:val="lowerRoman"/>
      <w:lvlText w:val="%9."/>
      <w:lvlJc w:val="right"/>
      <w:pPr>
        <w:ind w:left="7618" w:hanging="180"/>
      </w:pPr>
    </w:lvl>
  </w:abstractNum>
  <w:num w:numId="1">
    <w:abstractNumId w:val="25"/>
  </w:num>
  <w:num w:numId="2">
    <w:abstractNumId w:val="14"/>
  </w:num>
  <w:num w:numId="3">
    <w:abstractNumId w:val="20"/>
  </w:num>
  <w:num w:numId="4">
    <w:abstractNumId w:val="30"/>
  </w:num>
  <w:num w:numId="5">
    <w:abstractNumId w:val="9"/>
  </w:num>
  <w:num w:numId="6">
    <w:abstractNumId w:val="23"/>
  </w:num>
  <w:num w:numId="7">
    <w:abstractNumId w:val="27"/>
  </w:num>
  <w:num w:numId="8">
    <w:abstractNumId w:val="11"/>
  </w:num>
  <w:num w:numId="9">
    <w:abstractNumId w:val="26"/>
  </w:num>
  <w:num w:numId="10">
    <w:abstractNumId w:val="29"/>
  </w:num>
  <w:num w:numId="11">
    <w:abstractNumId w:val="8"/>
  </w:num>
  <w:num w:numId="12">
    <w:abstractNumId w:val="18"/>
  </w:num>
  <w:num w:numId="13">
    <w:abstractNumId w:val="31"/>
  </w:num>
  <w:num w:numId="14">
    <w:abstractNumId w:val="24"/>
  </w:num>
  <w:num w:numId="15">
    <w:abstractNumId w:val="21"/>
  </w:num>
  <w:num w:numId="16">
    <w:abstractNumId w:val="10"/>
  </w:num>
  <w:num w:numId="17">
    <w:abstractNumId w:val="22"/>
  </w:num>
  <w:num w:numId="18">
    <w:abstractNumId w:val="28"/>
  </w:num>
  <w:num w:numId="19">
    <w:abstractNumId w:val="19"/>
  </w:num>
  <w:num w:numId="20">
    <w:abstractNumId w:val="16"/>
  </w:num>
  <w:num w:numId="21">
    <w:abstractNumId w:val="15"/>
  </w:num>
  <w:num w:numId="22">
    <w:abstractNumId w:val="17"/>
  </w:num>
  <w:num w:numId="23">
    <w:abstractNumId w:val="7"/>
  </w:num>
  <w:num w:numId="24">
    <w:abstractNumId w:val="6"/>
  </w:num>
  <w:num w:numId="25">
    <w:abstractNumId w:val="5"/>
  </w:num>
  <w:num w:numId="26">
    <w:abstractNumId w:val="4"/>
  </w:num>
  <w:num w:numId="27">
    <w:abstractNumId w:val="3"/>
  </w:num>
  <w:num w:numId="28">
    <w:abstractNumId w:val="2"/>
  </w:num>
  <w:num w:numId="29">
    <w:abstractNumId w:val="1"/>
  </w:num>
  <w:num w:numId="30">
    <w:abstractNumId w:val="0"/>
  </w:num>
  <w:num w:numId="31">
    <w:abstractNumId w:val="13"/>
  </w:num>
  <w:num w:numId="32">
    <w:abstractNumId w:val="13"/>
  </w:num>
  <w:num w:numId="33">
    <w:abstractNumId w:val="12"/>
  </w:num>
  <w:num w:numId="34">
    <w:abstractNumId w:val="13"/>
  </w:num>
  <w:num w:numId="35">
    <w:abstractNumId w:val="13"/>
  </w:num>
  <w:num w:numId="36">
    <w:abstractNumId w:val="13"/>
  </w:num>
  <w:num w:numId="37">
    <w:abstractNumId w:val="13"/>
  </w:num>
  <w:num w:numId="38">
    <w:abstractNumId w:val="13"/>
  </w:num>
  <w:num w:numId="39">
    <w:abstractNumId w:val="13"/>
  </w:num>
  <w:num w:numId="40">
    <w:abstractNumId w:val="13"/>
  </w:num>
  <w:num w:numId="41">
    <w:abstractNumId w:val="13"/>
  </w:num>
  <w:num w:numId="42">
    <w:abstractNumId w:val="13"/>
  </w:num>
  <w:num w:numId="43">
    <w:abstractNumId w:val="13"/>
  </w:num>
  <w:num w:numId="44">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50"/>
  <w:displayBackgroundShape/>
  <w:gutterAtTop/>
  <w:proofState w:spelling="clean" w:grammar="clean"/>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284"/>
  <w:autoHyphenation/>
  <w:evenAndOddHeaders/>
  <w:drawingGridHorizontalSpacing w:val="10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1A4"/>
    <w:rsid w:val="0000041E"/>
    <w:rsid w:val="0000085D"/>
    <w:rsid w:val="00001116"/>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3E84"/>
    <w:rsid w:val="0001431C"/>
    <w:rsid w:val="0001482C"/>
    <w:rsid w:val="00014D29"/>
    <w:rsid w:val="000152F7"/>
    <w:rsid w:val="00015564"/>
    <w:rsid w:val="000155F0"/>
    <w:rsid w:val="000157CF"/>
    <w:rsid w:val="00015A22"/>
    <w:rsid w:val="00016541"/>
    <w:rsid w:val="000166CA"/>
    <w:rsid w:val="000168DE"/>
    <w:rsid w:val="0001735B"/>
    <w:rsid w:val="00020441"/>
    <w:rsid w:val="000206F1"/>
    <w:rsid w:val="00021298"/>
    <w:rsid w:val="00021ED5"/>
    <w:rsid w:val="00021FFB"/>
    <w:rsid w:val="000224FF"/>
    <w:rsid w:val="00023E81"/>
    <w:rsid w:val="000246D2"/>
    <w:rsid w:val="00024BF9"/>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058"/>
    <w:rsid w:val="000303B1"/>
    <w:rsid w:val="000303C9"/>
    <w:rsid w:val="00031C68"/>
    <w:rsid w:val="00031C69"/>
    <w:rsid w:val="00031CEB"/>
    <w:rsid w:val="00032932"/>
    <w:rsid w:val="00033124"/>
    <w:rsid w:val="0003410F"/>
    <w:rsid w:val="00034327"/>
    <w:rsid w:val="0003494D"/>
    <w:rsid w:val="00034AEB"/>
    <w:rsid w:val="00035688"/>
    <w:rsid w:val="00035B80"/>
    <w:rsid w:val="00035C03"/>
    <w:rsid w:val="00036B0F"/>
    <w:rsid w:val="00036EB8"/>
    <w:rsid w:val="000406E3"/>
    <w:rsid w:val="00040918"/>
    <w:rsid w:val="00040C4D"/>
    <w:rsid w:val="000413AB"/>
    <w:rsid w:val="000414A8"/>
    <w:rsid w:val="000419ED"/>
    <w:rsid w:val="00042688"/>
    <w:rsid w:val="00042837"/>
    <w:rsid w:val="00042893"/>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BE3"/>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5E"/>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9BB"/>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87F13"/>
    <w:rsid w:val="000901C8"/>
    <w:rsid w:val="0009042C"/>
    <w:rsid w:val="00090633"/>
    <w:rsid w:val="000907D0"/>
    <w:rsid w:val="00091397"/>
    <w:rsid w:val="00091811"/>
    <w:rsid w:val="00091A72"/>
    <w:rsid w:val="00092A35"/>
    <w:rsid w:val="00092EAB"/>
    <w:rsid w:val="0009349C"/>
    <w:rsid w:val="00093B10"/>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28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6E4E"/>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4E"/>
    <w:rsid w:val="000B4F23"/>
    <w:rsid w:val="000B55BB"/>
    <w:rsid w:val="000B597C"/>
    <w:rsid w:val="000B6604"/>
    <w:rsid w:val="000B7912"/>
    <w:rsid w:val="000B7B95"/>
    <w:rsid w:val="000B7D4C"/>
    <w:rsid w:val="000C05CB"/>
    <w:rsid w:val="000C06DA"/>
    <w:rsid w:val="000C089C"/>
    <w:rsid w:val="000C0B98"/>
    <w:rsid w:val="000C0F17"/>
    <w:rsid w:val="000C0F60"/>
    <w:rsid w:val="000C164B"/>
    <w:rsid w:val="000C16F6"/>
    <w:rsid w:val="000C1D0D"/>
    <w:rsid w:val="000C27DC"/>
    <w:rsid w:val="000C2AB9"/>
    <w:rsid w:val="000C368E"/>
    <w:rsid w:val="000C3BAD"/>
    <w:rsid w:val="000C3EE2"/>
    <w:rsid w:val="000C404B"/>
    <w:rsid w:val="000C43E0"/>
    <w:rsid w:val="000C492E"/>
    <w:rsid w:val="000C50A1"/>
    <w:rsid w:val="000C54C6"/>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102"/>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4FA5"/>
    <w:rsid w:val="000E50E1"/>
    <w:rsid w:val="000E5149"/>
    <w:rsid w:val="000E54D2"/>
    <w:rsid w:val="000E5834"/>
    <w:rsid w:val="000E618D"/>
    <w:rsid w:val="000E6198"/>
    <w:rsid w:val="000E64A1"/>
    <w:rsid w:val="000E68DE"/>
    <w:rsid w:val="000E6AAF"/>
    <w:rsid w:val="000E6F44"/>
    <w:rsid w:val="000E73AF"/>
    <w:rsid w:val="000E7622"/>
    <w:rsid w:val="000E7B12"/>
    <w:rsid w:val="000F158C"/>
    <w:rsid w:val="000F1DEA"/>
    <w:rsid w:val="000F23C7"/>
    <w:rsid w:val="000F2408"/>
    <w:rsid w:val="000F2A10"/>
    <w:rsid w:val="000F2DB4"/>
    <w:rsid w:val="000F2E36"/>
    <w:rsid w:val="000F2F7E"/>
    <w:rsid w:val="000F3700"/>
    <w:rsid w:val="000F441E"/>
    <w:rsid w:val="000F4578"/>
    <w:rsid w:val="000F4B6E"/>
    <w:rsid w:val="000F4C79"/>
    <w:rsid w:val="000F5023"/>
    <w:rsid w:val="000F53C2"/>
    <w:rsid w:val="000F59F3"/>
    <w:rsid w:val="000F5EDB"/>
    <w:rsid w:val="000F60AB"/>
    <w:rsid w:val="000F62A9"/>
    <w:rsid w:val="000F62EF"/>
    <w:rsid w:val="000F6CAD"/>
    <w:rsid w:val="000F6F38"/>
    <w:rsid w:val="000F7636"/>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8DB"/>
    <w:rsid w:val="00113C2F"/>
    <w:rsid w:val="00113E28"/>
    <w:rsid w:val="00114290"/>
    <w:rsid w:val="00114325"/>
    <w:rsid w:val="0011483D"/>
    <w:rsid w:val="00114C7A"/>
    <w:rsid w:val="00114E4E"/>
    <w:rsid w:val="00115432"/>
    <w:rsid w:val="001157CE"/>
    <w:rsid w:val="00115E66"/>
    <w:rsid w:val="00115EA3"/>
    <w:rsid w:val="00116816"/>
    <w:rsid w:val="00116E1B"/>
    <w:rsid w:val="001172DF"/>
    <w:rsid w:val="00117408"/>
    <w:rsid w:val="00117511"/>
    <w:rsid w:val="00117C0E"/>
    <w:rsid w:val="00117DC2"/>
    <w:rsid w:val="00117FEF"/>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1349"/>
    <w:rsid w:val="0013138F"/>
    <w:rsid w:val="001313B7"/>
    <w:rsid w:val="00131CCD"/>
    <w:rsid w:val="00131EDD"/>
    <w:rsid w:val="00132126"/>
    <w:rsid w:val="001321A1"/>
    <w:rsid w:val="0013302E"/>
    <w:rsid w:val="0013406B"/>
    <w:rsid w:val="00134F83"/>
    <w:rsid w:val="001354CB"/>
    <w:rsid w:val="00135695"/>
    <w:rsid w:val="00135742"/>
    <w:rsid w:val="001357C3"/>
    <w:rsid w:val="00135A23"/>
    <w:rsid w:val="00135B1B"/>
    <w:rsid w:val="00136479"/>
    <w:rsid w:val="00136496"/>
    <w:rsid w:val="0013664A"/>
    <w:rsid w:val="0013667B"/>
    <w:rsid w:val="0013696C"/>
    <w:rsid w:val="00136A10"/>
    <w:rsid w:val="00136A3E"/>
    <w:rsid w:val="0013702C"/>
    <w:rsid w:val="001370CF"/>
    <w:rsid w:val="00137337"/>
    <w:rsid w:val="001378D5"/>
    <w:rsid w:val="00137FF0"/>
    <w:rsid w:val="001400DC"/>
    <w:rsid w:val="00140560"/>
    <w:rsid w:val="00140A5E"/>
    <w:rsid w:val="00140CC4"/>
    <w:rsid w:val="00140CD9"/>
    <w:rsid w:val="00141160"/>
    <w:rsid w:val="00141853"/>
    <w:rsid w:val="00141BD6"/>
    <w:rsid w:val="00141D6A"/>
    <w:rsid w:val="00141E09"/>
    <w:rsid w:val="00141F98"/>
    <w:rsid w:val="00142206"/>
    <w:rsid w:val="00143176"/>
    <w:rsid w:val="001431D6"/>
    <w:rsid w:val="00143B4D"/>
    <w:rsid w:val="00143FFA"/>
    <w:rsid w:val="0014435E"/>
    <w:rsid w:val="0014465D"/>
    <w:rsid w:val="00144908"/>
    <w:rsid w:val="00144BB3"/>
    <w:rsid w:val="00144C4B"/>
    <w:rsid w:val="001451A4"/>
    <w:rsid w:val="0014551F"/>
    <w:rsid w:val="00145AA5"/>
    <w:rsid w:val="001460BB"/>
    <w:rsid w:val="00146402"/>
    <w:rsid w:val="001466D7"/>
    <w:rsid w:val="0014691B"/>
    <w:rsid w:val="001469CA"/>
    <w:rsid w:val="00146E34"/>
    <w:rsid w:val="0014715B"/>
    <w:rsid w:val="001475C5"/>
    <w:rsid w:val="00147605"/>
    <w:rsid w:val="00150248"/>
    <w:rsid w:val="00150611"/>
    <w:rsid w:val="00150A48"/>
    <w:rsid w:val="00150BE4"/>
    <w:rsid w:val="00150BE7"/>
    <w:rsid w:val="00150BEB"/>
    <w:rsid w:val="00150CC9"/>
    <w:rsid w:val="00150F89"/>
    <w:rsid w:val="00151B16"/>
    <w:rsid w:val="00152452"/>
    <w:rsid w:val="001526AC"/>
    <w:rsid w:val="001527A0"/>
    <w:rsid w:val="0015295A"/>
    <w:rsid w:val="00152C2F"/>
    <w:rsid w:val="00153149"/>
    <w:rsid w:val="00153A60"/>
    <w:rsid w:val="00153D95"/>
    <w:rsid w:val="00154091"/>
    <w:rsid w:val="0015454A"/>
    <w:rsid w:val="00154682"/>
    <w:rsid w:val="00154827"/>
    <w:rsid w:val="00154F34"/>
    <w:rsid w:val="00154F60"/>
    <w:rsid w:val="001551DD"/>
    <w:rsid w:val="00155501"/>
    <w:rsid w:val="001560B9"/>
    <w:rsid w:val="00156CAA"/>
    <w:rsid w:val="00156DEF"/>
    <w:rsid w:val="0015702B"/>
    <w:rsid w:val="00157577"/>
    <w:rsid w:val="00157D86"/>
    <w:rsid w:val="00160155"/>
    <w:rsid w:val="001602D0"/>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1F57"/>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0A11"/>
    <w:rsid w:val="001814DD"/>
    <w:rsid w:val="00181A6A"/>
    <w:rsid w:val="001821A3"/>
    <w:rsid w:val="00182674"/>
    <w:rsid w:val="00182B5E"/>
    <w:rsid w:val="00182D37"/>
    <w:rsid w:val="00182DC0"/>
    <w:rsid w:val="00183085"/>
    <w:rsid w:val="001839FA"/>
    <w:rsid w:val="00183DDC"/>
    <w:rsid w:val="0018505D"/>
    <w:rsid w:val="001850C6"/>
    <w:rsid w:val="0018586A"/>
    <w:rsid w:val="001858E5"/>
    <w:rsid w:val="00185AE7"/>
    <w:rsid w:val="00185B85"/>
    <w:rsid w:val="00185C35"/>
    <w:rsid w:val="00185DF7"/>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AB0"/>
    <w:rsid w:val="001A3E92"/>
    <w:rsid w:val="001A40B6"/>
    <w:rsid w:val="001A4B1D"/>
    <w:rsid w:val="001A4C5A"/>
    <w:rsid w:val="001A4FC5"/>
    <w:rsid w:val="001A5D04"/>
    <w:rsid w:val="001A5DF1"/>
    <w:rsid w:val="001A613C"/>
    <w:rsid w:val="001A6276"/>
    <w:rsid w:val="001A72F6"/>
    <w:rsid w:val="001A7D06"/>
    <w:rsid w:val="001A7DFE"/>
    <w:rsid w:val="001B1655"/>
    <w:rsid w:val="001B17FB"/>
    <w:rsid w:val="001B1D10"/>
    <w:rsid w:val="001B2821"/>
    <w:rsid w:val="001B285C"/>
    <w:rsid w:val="001B2A02"/>
    <w:rsid w:val="001B2ACB"/>
    <w:rsid w:val="001B2D16"/>
    <w:rsid w:val="001B2DBB"/>
    <w:rsid w:val="001B3BE6"/>
    <w:rsid w:val="001B3D1D"/>
    <w:rsid w:val="001B3EFA"/>
    <w:rsid w:val="001B41A2"/>
    <w:rsid w:val="001B49CC"/>
    <w:rsid w:val="001B4AF0"/>
    <w:rsid w:val="001B4B0A"/>
    <w:rsid w:val="001B4E87"/>
    <w:rsid w:val="001B4EA7"/>
    <w:rsid w:val="001B5656"/>
    <w:rsid w:val="001B5DFF"/>
    <w:rsid w:val="001B65B8"/>
    <w:rsid w:val="001B6F86"/>
    <w:rsid w:val="001B70CA"/>
    <w:rsid w:val="001B75F0"/>
    <w:rsid w:val="001C00D8"/>
    <w:rsid w:val="001C057E"/>
    <w:rsid w:val="001C0B1B"/>
    <w:rsid w:val="001C1095"/>
    <w:rsid w:val="001C1B42"/>
    <w:rsid w:val="001C2CAD"/>
    <w:rsid w:val="001C308D"/>
    <w:rsid w:val="001C3187"/>
    <w:rsid w:val="001C3232"/>
    <w:rsid w:val="001C34D5"/>
    <w:rsid w:val="001C3ED9"/>
    <w:rsid w:val="001C425A"/>
    <w:rsid w:val="001C450A"/>
    <w:rsid w:val="001C45D9"/>
    <w:rsid w:val="001C49B8"/>
    <w:rsid w:val="001C5616"/>
    <w:rsid w:val="001C5A02"/>
    <w:rsid w:val="001C5BF5"/>
    <w:rsid w:val="001C5C3E"/>
    <w:rsid w:val="001C5C9D"/>
    <w:rsid w:val="001C5EB7"/>
    <w:rsid w:val="001C5FEF"/>
    <w:rsid w:val="001C6FC8"/>
    <w:rsid w:val="001C72B2"/>
    <w:rsid w:val="001C72CC"/>
    <w:rsid w:val="001D0073"/>
    <w:rsid w:val="001D0955"/>
    <w:rsid w:val="001D0B5B"/>
    <w:rsid w:val="001D0D99"/>
    <w:rsid w:val="001D1192"/>
    <w:rsid w:val="001D1307"/>
    <w:rsid w:val="001D223A"/>
    <w:rsid w:val="001D2243"/>
    <w:rsid w:val="001D228F"/>
    <w:rsid w:val="001D2793"/>
    <w:rsid w:val="001D2F2A"/>
    <w:rsid w:val="001D3679"/>
    <w:rsid w:val="001D3CC2"/>
    <w:rsid w:val="001D4015"/>
    <w:rsid w:val="001D4406"/>
    <w:rsid w:val="001D461F"/>
    <w:rsid w:val="001D46D3"/>
    <w:rsid w:val="001D548E"/>
    <w:rsid w:val="001D60F8"/>
    <w:rsid w:val="001D6714"/>
    <w:rsid w:val="001D6BF7"/>
    <w:rsid w:val="001D713E"/>
    <w:rsid w:val="001D77E6"/>
    <w:rsid w:val="001E0306"/>
    <w:rsid w:val="001E076C"/>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6A7"/>
    <w:rsid w:val="001E773D"/>
    <w:rsid w:val="001F068F"/>
    <w:rsid w:val="001F0BBB"/>
    <w:rsid w:val="001F0DE8"/>
    <w:rsid w:val="001F2E3B"/>
    <w:rsid w:val="001F3363"/>
    <w:rsid w:val="001F3815"/>
    <w:rsid w:val="001F4057"/>
    <w:rsid w:val="001F407D"/>
    <w:rsid w:val="001F4183"/>
    <w:rsid w:val="001F4340"/>
    <w:rsid w:val="001F54B2"/>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4F7"/>
    <w:rsid w:val="00206509"/>
    <w:rsid w:val="00206BDB"/>
    <w:rsid w:val="0020761B"/>
    <w:rsid w:val="00207AC8"/>
    <w:rsid w:val="0021058F"/>
    <w:rsid w:val="0021135F"/>
    <w:rsid w:val="0021150C"/>
    <w:rsid w:val="00212144"/>
    <w:rsid w:val="002127FD"/>
    <w:rsid w:val="00212B04"/>
    <w:rsid w:val="00212EEA"/>
    <w:rsid w:val="002130B4"/>
    <w:rsid w:val="00213453"/>
    <w:rsid w:val="0021348C"/>
    <w:rsid w:val="00214BC0"/>
    <w:rsid w:val="00214CAA"/>
    <w:rsid w:val="002154D1"/>
    <w:rsid w:val="00215BEE"/>
    <w:rsid w:val="0021654E"/>
    <w:rsid w:val="00216875"/>
    <w:rsid w:val="00216D51"/>
    <w:rsid w:val="00217B31"/>
    <w:rsid w:val="002202E4"/>
    <w:rsid w:val="0022072A"/>
    <w:rsid w:val="00220B3D"/>
    <w:rsid w:val="0022100A"/>
    <w:rsid w:val="00221160"/>
    <w:rsid w:val="002213EE"/>
    <w:rsid w:val="00221922"/>
    <w:rsid w:val="00221B94"/>
    <w:rsid w:val="00221E3A"/>
    <w:rsid w:val="002220AB"/>
    <w:rsid w:val="00222AAD"/>
    <w:rsid w:val="00222C5D"/>
    <w:rsid w:val="002237A5"/>
    <w:rsid w:val="00224723"/>
    <w:rsid w:val="002248C1"/>
    <w:rsid w:val="00224C04"/>
    <w:rsid w:val="00224EF7"/>
    <w:rsid w:val="002251A4"/>
    <w:rsid w:val="00225489"/>
    <w:rsid w:val="00225718"/>
    <w:rsid w:val="00225CAE"/>
    <w:rsid w:val="0022615B"/>
    <w:rsid w:val="002263E1"/>
    <w:rsid w:val="00226528"/>
    <w:rsid w:val="00226676"/>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CF1"/>
    <w:rsid w:val="00235D75"/>
    <w:rsid w:val="002366CE"/>
    <w:rsid w:val="00236D0B"/>
    <w:rsid w:val="00236F10"/>
    <w:rsid w:val="002375D3"/>
    <w:rsid w:val="00237F59"/>
    <w:rsid w:val="0024001A"/>
    <w:rsid w:val="00240887"/>
    <w:rsid w:val="00240A1C"/>
    <w:rsid w:val="00241142"/>
    <w:rsid w:val="00241958"/>
    <w:rsid w:val="002419F2"/>
    <w:rsid w:val="00242326"/>
    <w:rsid w:val="00243E20"/>
    <w:rsid w:val="00244096"/>
    <w:rsid w:val="0024417D"/>
    <w:rsid w:val="00244754"/>
    <w:rsid w:val="00244A94"/>
    <w:rsid w:val="00244C55"/>
    <w:rsid w:val="00245470"/>
    <w:rsid w:val="00246CD7"/>
    <w:rsid w:val="00247618"/>
    <w:rsid w:val="00247C83"/>
    <w:rsid w:val="00250370"/>
    <w:rsid w:val="0025068A"/>
    <w:rsid w:val="00250751"/>
    <w:rsid w:val="002507E8"/>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57DE5"/>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2F7"/>
    <w:rsid w:val="00265428"/>
    <w:rsid w:val="002654D1"/>
    <w:rsid w:val="0026633D"/>
    <w:rsid w:val="0027101D"/>
    <w:rsid w:val="0027121E"/>
    <w:rsid w:val="0027188F"/>
    <w:rsid w:val="0027392D"/>
    <w:rsid w:val="002739B2"/>
    <w:rsid w:val="00273FDF"/>
    <w:rsid w:val="0027424D"/>
    <w:rsid w:val="00275141"/>
    <w:rsid w:val="00275281"/>
    <w:rsid w:val="002753C7"/>
    <w:rsid w:val="00275A79"/>
    <w:rsid w:val="002763F9"/>
    <w:rsid w:val="00276D55"/>
    <w:rsid w:val="00277114"/>
    <w:rsid w:val="002774D4"/>
    <w:rsid w:val="0028138F"/>
    <w:rsid w:val="002813A0"/>
    <w:rsid w:val="00281F46"/>
    <w:rsid w:val="00282151"/>
    <w:rsid w:val="00282C5A"/>
    <w:rsid w:val="00282D4B"/>
    <w:rsid w:val="00283FFC"/>
    <w:rsid w:val="002841CB"/>
    <w:rsid w:val="00284A97"/>
    <w:rsid w:val="00284ABA"/>
    <w:rsid w:val="00284B06"/>
    <w:rsid w:val="00285362"/>
    <w:rsid w:val="00285B61"/>
    <w:rsid w:val="00285BB4"/>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7B5"/>
    <w:rsid w:val="00293FC3"/>
    <w:rsid w:val="00294150"/>
    <w:rsid w:val="00294251"/>
    <w:rsid w:val="00294322"/>
    <w:rsid w:val="00294784"/>
    <w:rsid w:val="00294AB8"/>
    <w:rsid w:val="00294AF0"/>
    <w:rsid w:val="00296A9F"/>
    <w:rsid w:val="00296C97"/>
    <w:rsid w:val="002970CC"/>
    <w:rsid w:val="00297730"/>
    <w:rsid w:val="00297B77"/>
    <w:rsid w:val="00297FD7"/>
    <w:rsid w:val="002A04CC"/>
    <w:rsid w:val="002A0913"/>
    <w:rsid w:val="002A1117"/>
    <w:rsid w:val="002A18D6"/>
    <w:rsid w:val="002A1999"/>
    <w:rsid w:val="002A2132"/>
    <w:rsid w:val="002A232C"/>
    <w:rsid w:val="002A26E5"/>
    <w:rsid w:val="002A29AB"/>
    <w:rsid w:val="002A2C5A"/>
    <w:rsid w:val="002A3A3E"/>
    <w:rsid w:val="002A4153"/>
    <w:rsid w:val="002A4460"/>
    <w:rsid w:val="002A4707"/>
    <w:rsid w:val="002A4B57"/>
    <w:rsid w:val="002A4CE9"/>
    <w:rsid w:val="002A4F87"/>
    <w:rsid w:val="002A53E2"/>
    <w:rsid w:val="002A57EB"/>
    <w:rsid w:val="002A598C"/>
    <w:rsid w:val="002A6418"/>
    <w:rsid w:val="002A64F8"/>
    <w:rsid w:val="002A68DE"/>
    <w:rsid w:val="002A6A8F"/>
    <w:rsid w:val="002A6B3B"/>
    <w:rsid w:val="002A7D21"/>
    <w:rsid w:val="002B0115"/>
    <w:rsid w:val="002B08F4"/>
    <w:rsid w:val="002B0C29"/>
    <w:rsid w:val="002B10E8"/>
    <w:rsid w:val="002B1140"/>
    <w:rsid w:val="002B12C0"/>
    <w:rsid w:val="002B1394"/>
    <w:rsid w:val="002B30DB"/>
    <w:rsid w:val="002B3A8C"/>
    <w:rsid w:val="002B524D"/>
    <w:rsid w:val="002B55FA"/>
    <w:rsid w:val="002B5A1F"/>
    <w:rsid w:val="002B5C10"/>
    <w:rsid w:val="002B5C6F"/>
    <w:rsid w:val="002B5D65"/>
    <w:rsid w:val="002B5EF2"/>
    <w:rsid w:val="002B637F"/>
    <w:rsid w:val="002B65DC"/>
    <w:rsid w:val="002B6803"/>
    <w:rsid w:val="002B6BE3"/>
    <w:rsid w:val="002B6FB4"/>
    <w:rsid w:val="002B730D"/>
    <w:rsid w:val="002B7BE6"/>
    <w:rsid w:val="002B7EC3"/>
    <w:rsid w:val="002C06EB"/>
    <w:rsid w:val="002C169F"/>
    <w:rsid w:val="002C1BB5"/>
    <w:rsid w:val="002C1D86"/>
    <w:rsid w:val="002C1EE0"/>
    <w:rsid w:val="002C2340"/>
    <w:rsid w:val="002C247E"/>
    <w:rsid w:val="002C28D3"/>
    <w:rsid w:val="002C2B0E"/>
    <w:rsid w:val="002C316A"/>
    <w:rsid w:val="002C3B87"/>
    <w:rsid w:val="002C3D55"/>
    <w:rsid w:val="002C4139"/>
    <w:rsid w:val="002C4302"/>
    <w:rsid w:val="002C4F9F"/>
    <w:rsid w:val="002C54FF"/>
    <w:rsid w:val="002C58AD"/>
    <w:rsid w:val="002C65B3"/>
    <w:rsid w:val="002C6C74"/>
    <w:rsid w:val="002C6D22"/>
    <w:rsid w:val="002C70A2"/>
    <w:rsid w:val="002C7A5A"/>
    <w:rsid w:val="002C7D35"/>
    <w:rsid w:val="002C7FC3"/>
    <w:rsid w:val="002D083D"/>
    <w:rsid w:val="002D1688"/>
    <w:rsid w:val="002D2963"/>
    <w:rsid w:val="002D3201"/>
    <w:rsid w:val="002D32B9"/>
    <w:rsid w:val="002D38CB"/>
    <w:rsid w:val="002D3AC8"/>
    <w:rsid w:val="002D3EF1"/>
    <w:rsid w:val="002D4617"/>
    <w:rsid w:val="002D4D38"/>
    <w:rsid w:val="002D4E81"/>
    <w:rsid w:val="002D5209"/>
    <w:rsid w:val="002D555F"/>
    <w:rsid w:val="002D5684"/>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3C8A"/>
    <w:rsid w:val="002F42B0"/>
    <w:rsid w:val="002F430E"/>
    <w:rsid w:val="002F44B2"/>
    <w:rsid w:val="002F4761"/>
    <w:rsid w:val="002F5163"/>
    <w:rsid w:val="002F5293"/>
    <w:rsid w:val="002F5524"/>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9"/>
    <w:rsid w:val="00301A9A"/>
    <w:rsid w:val="00301EAF"/>
    <w:rsid w:val="003020D6"/>
    <w:rsid w:val="00302134"/>
    <w:rsid w:val="003025E3"/>
    <w:rsid w:val="00302C17"/>
    <w:rsid w:val="00302DC7"/>
    <w:rsid w:val="0030338B"/>
    <w:rsid w:val="003038A7"/>
    <w:rsid w:val="00303B4E"/>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164"/>
    <w:rsid w:val="0031327E"/>
    <w:rsid w:val="00313D58"/>
    <w:rsid w:val="00313EEC"/>
    <w:rsid w:val="00314144"/>
    <w:rsid w:val="0031468A"/>
    <w:rsid w:val="003149AC"/>
    <w:rsid w:val="00314F75"/>
    <w:rsid w:val="00315624"/>
    <w:rsid w:val="00315BD6"/>
    <w:rsid w:val="00315D7F"/>
    <w:rsid w:val="00315FF2"/>
    <w:rsid w:val="00316385"/>
    <w:rsid w:val="00316C57"/>
    <w:rsid w:val="00316E46"/>
    <w:rsid w:val="00316F0F"/>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87B"/>
    <w:rsid w:val="00325F44"/>
    <w:rsid w:val="00326ABF"/>
    <w:rsid w:val="00326C7C"/>
    <w:rsid w:val="00326EF0"/>
    <w:rsid w:val="00326F6A"/>
    <w:rsid w:val="003271AB"/>
    <w:rsid w:val="00327593"/>
    <w:rsid w:val="0032765C"/>
    <w:rsid w:val="00327D99"/>
    <w:rsid w:val="00327E1F"/>
    <w:rsid w:val="003303FB"/>
    <w:rsid w:val="003318C2"/>
    <w:rsid w:val="00331924"/>
    <w:rsid w:val="00331A96"/>
    <w:rsid w:val="00332663"/>
    <w:rsid w:val="00332C43"/>
    <w:rsid w:val="00332F33"/>
    <w:rsid w:val="00333BC5"/>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8A"/>
    <w:rsid w:val="003405D2"/>
    <w:rsid w:val="003405E7"/>
    <w:rsid w:val="0034070F"/>
    <w:rsid w:val="00340AC1"/>
    <w:rsid w:val="00340C7C"/>
    <w:rsid w:val="00340D4D"/>
    <w:rsid w:val="0034149F"/>
    <w:rsid w:val="003417BA"/>
    <w:rsid w:val="003419FB"/>
    <w:rsid w:val="00341C37"/>
    <w:rsid w:val="00342F3E"/>
    <w:rsid w:val="00343B0B"/>
    <w:rsid w:val="00343D49"/>
    <w:rsid w:val="00344346"/>
    <w:rsid w:val="00344842"/>
    <w:rsid w:val="00344BBF"/>
    <w:rsid w:val="003451F8"/>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339"/>
    <w:rsid w:val="003525D4"/>
    <w:rsid w:val="00352A8C"/>
    <w:rsid w:val="00352FE4"/>
    <w:rsid w:val="0035300F"/>
    <w:rsid w:val="003541BC"/>
    <w:rsid w:val="00354469"/>
    <w:rsid w:val="0035448A"/>
    <w:rsid w:val="003547DE"/>
    <w:rsid w:val="00355453"/>
    <w:rsid w:val="003555D2"/>
    <w:rsid w:val="003559A1"/>
    <w:rsid w:val="00355B59"/>
    <w:rsid w:val="00356540"/>
    <w:rsid w:val="003566E6"/>
    <w:rsid w:val="00356926"/>
    <w:rsid w:val="00356ABC"/>
    <w:rsid w:val="00356B09"/>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1C09"/>
    <w:rsid w:val="00362387"/>
    <w:rsid w:val="00362505"/>
    <w:rsid w:val="00363344"/>
    <w:rsid w:val="003633E1"/>
    <w:rsid w:val="00363DC6"/>
    <w:rsid w:val="00363FE3"/>
    <w:rsid w:val="003640C2"/>
    <w:rsid w:val="00364581"/>
    <w:rsid w:val="00364B53"/>
    <w:rsid w:val="00364BCA"/>
    <w:rsid w:val="00364C4E"/>
    <w:rsid w:val="003651FF"/>
    <w:rsid w:val="0036568B"/>
    <w:rsid w:val="00365AB9"/>
    <w:rsid w:val="00365C9E"/>
    <w:rsid w:val="00365D63"/>
    <w:rsid w:val="00365DC9"/>
    <w:rsid w:val="00365DE2"/>
    <w:rsid w:val="0036639F"/>
    <w:rsid w:val="003665E9"/>
    <w:rsid w:val="003668A5"/>
    <w:rsid w:val="003671E8"/>
    <w:rsid w:val="003675CC"/>
    <w:rsid w:val="0037090C"/>
    <w:rsid w:val="00370C4D"/>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7DE"/>
    <w:rsid w:val="00375AE4"/>
    <w:rsid w:val="00375C87"/>
    <w:rsid w:val="00375F4A"/>
    <w:rsid w:val="00376061"/>
    <w:rsid w:val="003763F2"/>
    <w:rsid w:val="00376551"/>
    <w:rsid w:val="00376625"/>
    <w:rsid w:val="003766BB"/>
    <w:rsid w:val="0037752E"/>
    <w:rsid w:val="0037753E"/>
    <w:rsid w:val="00377549"/>
    <w:rsid w:val="00377B33"/>
    <w:rsid w:val="00380052"/>
    <w:rsid w:val="003801D8"/>
    <w:rsid w:val="0038065D"/>
    <w:rsid w:val="003806AE"/>
    <w:rsid w:val="003806D8"/>
    <w:rsid w:val="003817EF"/>
    <w:rsid w:val="00381983"/>
    <w:rsid w:val="00382741"/>
    <w:rsid w:val="00382981"/>
    <w:rsid w:val="003839AA"/>
    <w:rsid w:val="003842D1"/>
    <w:rsid w:val="003843E4"/>
    <w:rsid w:val="00384988"/>
    <w:rsid w:val="00384EDD"/>
    <w:rsid w:val="00385426"/>
    <w:rsid w:val="003855E1"/>
    <w:rsid w:val="0038575C"/>
    <w:rsid w:val="00385CBB"/>
    <w:rsid w:val="00385FBB"/>
    <w:rsid w:val="00386498"/>
    <w:rsid w:val="00387351"/>
    <w:rsid w:val="00387703"/>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4BC"/>
    <w:rsid w:val="00395536"/>
    <w:rsid w:val="0039563E"/>
    <w:rsid w:val="0039592D"/>
    <w:rsid w:val="00395AEF"/>
    <w:rsid w:val="00395BB1"/>
    <w:rsid w:val="00396082"/>
    <w:rsid w:val="00396AAF"/>
    <w:rsid w:val="00396D3F"/>
    <w:rsid w:val="00396EB2"/>
    <w:rsid w:val="00396F8D"/>
    <w:rsid w:val="003971AD"/>
    <w:rsid w:val="00397234"/>
    <w:rsid w:val="003973CC"/>
    <w:rsid w:val="00397B41"/>
    <w:rsid w:val="00397C56"/>
    <w:rsid w:val="003A042B"/>
    <w:rsid w:val="003A065D"/>
    <w:rsid w:val="003A0852"/>
    <w:rsid w:val="003A08AE"/>
    <w:rsid w:val="003A1C2B"/>
    <w:rsid w:val="003A22C1"/>
    <w:rsid w:val="003A239E"/>
    <w:rsid w:val="003A24CA"/>
    <w:rsid w:val="003A26D2"/>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2C2"/>
    <w:rsid w:val="003B166B"/>
    <w:rsid w:val="003B1F61"/>
    <w:rsid w:val="003B23BE"/>
    <w:rsid w:val="003B30AD"/>
    <w:rsid w:val="003B4099"/>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1B3C"/>
    <w:rsid w:val="003C2143"/>
    <w:rsid w:val="003C22AC"/>
    <w:rsid w:val="003C2534"/>
    <w:rsid w:val="003C26AC"/>
    <w:rsid w:val="003C2A0B"/>
    <w:rsid w:val="003C2EC6"/>
    <w:rsid w:val="003C32FE"/>
    <w:rsid w:val="003C3358"/>
    <w:rsid w:val="003C3DF6"/>
    <w:rsid w:val="003C41CF"/>
    <w:rsid w:val="003C4F30"/>
    <w:rsid w:val="003C5044"/>
    <w:rsid w:val="003C5153"/>
    <w:rsid w:val="003C5BB1"/>
    <w:rsid w:val="003C5BC7"/>
    <w:rsid w:val="003C5ED9"/>
    <w:rsid w:val="003C68AA"/>
    <w:rsid w:val="003C6AE0"/>
    <w:rsid w:val="003C6C20"/>
    <w:rsid w:val="003C6C2D"/>
    <w:rsid w:val="003C73F8"/>
    <w:rsid w:val="003C7457"/>
    <w:rsid w:val="003C797F"/>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2C35"/>
    <w:rsid w:val="003D314F"/>
    <w:rsid w:val="003D3533"/>
    <w:rsid w:val="003D3F08"/>
    <w:rsid w:val="003D415E"/>
    <w:rsid w:val="003D4194"/>
    <w:rsid w:val="003D43B8"/>
    <w:rsid w:val="003D4F02"/>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2D5"/>
    <w:rsid w:val="003E2333"/>
    <w:rsid w:val="003E248F"/>
    <w:rsid w:val="003E26E6"/>
    <w:rsid w:val="003E2F13"/>
    <w:rsid w:val="003E31EE"/>
    <w:rsid w:val="003E364E"/>
    <w:rsid w:val="003E4AD0"/>
    <w:rsid w:val="003E4D21"/>
    <w:rsid w:val="003E4D5A"/>
    <w:rsid w:val="003E58C2"/>
    <w:rsid w:val="003E5FCA"/>
    <w:rsid w:val="003E66A4"/>
    <w:rsid w:val="003E672B"/>
    <w:rsid w:val="003E6F99"/>
    <w:rsid w:val="003E77E9"/>
    <w:rsid w:val="003E798E"/>
    <w:rsid w:val="003E7E55"/>
    <w:rsid w:val="003F0032"/>
    <w:rsid w:val="003F06E0"/>
    <w:rsid w:val="003F0A00"/>
    <w:rsid w:val="003F0C61"/>
    <w:rsid w:val="003F0C8F"/>
    <w:rsid w:val="003F0D90"/>
    <w:rsid w:val="003F0E51"/>
    <w:rsid w:val="003F2708"/>
    <w:rsid w:val="003F2DBB"/>
    <w:rsid w:val="003F2F7C"/>
    <w:rsid w:val="003F316F"/>
    <w:rsid w:val="003F3D90"/>
    <w:rsid w:val="003F3E9D"/>
    <w:rsid w:val="003F4681"/>
    <w:rsid w:val="003F48CD"/>
    <w:rsid w:val="003F4A41"/>
    <w:rsid w:val="003F5248"/>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F61"/>
    <w:rsid w:val="00406FEF"/>
    <w:rsid w:val="0040710C"/>
    <w:rsid w:val="004078B5"/>
    <w:rsid w:val="00410182"/>
    <w:rsid w:val="00410333"/>
    <w:rsid w:val="0041045D"/>
    <w:rsid w:val="004105DF"/>
    <w:rsid w:val="0041076C"/>
    <w:rsid w:val="00410935"/>
    <w:rsid w:val="00410D67"/>
    <w:rsid w:val="00410D75"/>
    <w:rsid w:val="00410D9E"/>
    <w:rsid w:val="00411671"/>
    <w:rsid w:val="0041180B"/>
    <w:rsid w:val="00411AFD"/>
    <w:rsid w:val="0041212D"/>
    <w:rsid w:val="0041284E"/>
    <w:rsid w:val="00412889"/>
    <w:rsid w:val="00413464"/>
    <w:rsid w:val="00413826"/>
    <w:rsid w:val="00413C2A"/>
    <w:rsid w:val="00414302"/>
    <w:rsid w:val="00414A8A"/>
    <w:rsid w:val="00414E6E"/>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EBB"/>
    <w:rsid w:val="004249E6"/>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3B4"/>
    <w:rsid w:val="00430AA9"/>
    <w:rsid w:val="00431AA5"/>
    <w:rsid w:val="00431C39"/>
    <w:rsid w:val="00432941"/>
    <w:rsid w:val="00432A56"/>
    <w:rsid w:val="00433759"/>
    <w:rsid w:val="00433D69"/>
    <w:rsid w:val="00433DC5"/>
    <w:rsid w:val="00434C19"/>
    <w:rsid w:val="00435183"/>
    <w:rsid w:val="00435E93"/>
    <w:rsid w:val="0043603B"/>
    <w:rsid w:val="00436048"/>
    <w:rsid w:val="00436479"/>
    <w:rsid w:val="0043662F"/>
    <w:rsid w:val="0043667B"/>
    <w:rsid w:val="00436B23"/>
    <w:rsid w:val="00436B37"/>
    <w:rsid w:val="00436EC1"/>
    <w:rsid w:val="004370B3"/>
    <w:rsid w:val="00437586"/>
    <w:rsid w:val="0043791D"/>
    <w:rsid w:val="00437CB8"/>
    <w:rsid w:val="00437D9B"/>
    <w:rsid w:val="00440A6B"/>
    <w:rsid w:val="00440C19"/>
    <w:rsid w:val="004413C7"/>
    <w:rsid w:val="004414E6"/>
    <w:rsid w:val="004417D2"/>
    <w:rsid w:val="00441D68"/>
    <w:rsid w:val="004424B2"/>
    <w:rsid w:val="004428A8"/>
    <w:rsid w:val="00442E2D"/>
    <w:rsid w:val="00442E67"/>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040C"/>
    <w:rsid w:val="00451A68"/>
    <w:rsid w:val="00451AA2"/>
    <w:rsid w:val="00451E5C"/>
    <w:rsid w:val="0045209D"/>
    <w:rsid w:val="00452950"/>
    <w:rsid w:val="00452FA4"/>
    <w:rsid w:val="00453265"/>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790"/>
    <w:rsid w:val="00457ADE"/>
    <w:rsid w:val="00460179"/>
    <w:rsid w:val="00460407"/>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ACD"/>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7E7"/>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2259"/>
    <w:rsid w:val="004823EF"/>
    <w:rsid w:val="00482559"/>
    <w:rsid w:val="0048280E"/>
    <w:rsid w:val="00482C33"/>
    <w:rsid w:val="00482CB5"/>
    <w:rsid w:val="004830BE"/>
    <w:rsid w:val="004833CE"/>
    <w:rsid w:val="0048349C"/>
    <w:rsid w:val="00483526"/>
    <w:rsid w:val="004836A0"/>
    <w:rsid w:val="00483BD1"/>
    <w:rsid w:val="00483D0D"/>
    <w:rsid w:val="004845B2"/>
    <w:rsid w:val="00485309"/>
    <w:rsid w:val="00485787"/>
    <w:rsid w:val="00486172"/>
    <w:rsid w:val="004865D8"/>
    <w:rsid w:val="0048673E"/>
    <w:rsid w:val="00486D58"/>
    <w:rsid w:val="00487083"/>
    <w:rsid w:val="00487169"/>
    <w:rsid w:val="004871B6"/>
    <w:rsid w:val="004875EB"/>
    <w:rsid w:val="004878FE"/>
    <w:rsid w:val="0049015A"/>
    <w:rsid w:val="004902C9"/>
    <w:rsid w:val="00490D8B"/>
    <w:rsid w:val="00490E40"/>
    <w:rsid w:val="00491199"/>
    <w:rsid w:val="00491607"/>
    <w:rsid w:val="004917DE"/>
    <w:rsid w:val="004919A3"/>
    <w:rsid w:val="00491D1E"/>
    <w:rsid w:val="00492A59"/>
    <w:rsid w:val="00492B5D"/>
    <w:rsid w:val="00492D47"/>
    <w:rsid w:val="004930AA"/>
    <w:rsid w:val="004939B6"/>
    <w:rsid w:val="00493AE1"/>
    <w:rsid w:val="00493CBE"/>
    <w:rsid w:val="004945A4"/>
    <w:rsid w:val="00494C49"/>
    <w:rsid w:val="00495214"/>
    <w:rsid w:val="00495276"/>
    <w:rsid w:val="0049546D"/>
    <w:rsid w:val="004955D7"/>
    <w:rsid w:val="0049574B"/>
    <w:rsid w:val="00495B2E"/>
    <w:rsid w:val="004964BE"/>
    <w:rsid w:val="004964E5"/>
    <w:rsid w:val="004965B9"/>
    <w:rsid w:val="00496644"/>
    <w:rsid w:val="00497103"/>
    <w:rsid w:val="004976B0"/>
    <w:rsid w:val="00497953"/>
    <w:rsid w:val="00497FC7"/>
    <w:rsid w:val="00497FC9"/>
    <w:rsid w:val="004A0385"/>
    <w:rsid w:val="004A07F3"/>
    <w:rsid w:val="004A0E02"/>
    <w:rsid w:val="004A0E75"/>
    <w:rsid w:val="004A0EEB"/>
    <w:rsid w:val="004A144B"/>
    <w:rsid w:val="004A1462"/>
    <w:rsid w:val="004A19C4"/>
    <w:rsid w:val="004A1FF4"/>
    <w:rsid w:val="004A234A"/>
    <w:rsid w:val="004A2819"/>
    <w:rsid w:val="004A30DB"/>
    <w:rsid w:val="004A3415"/>
    <w:rsid w:val="004A3A1C"/>
    <w:rsid w:val="004A4591"/>
    <w:rsid w:val="004A47E2"/>
    <w:rsid w:val="004A4B21"/>
    <w:rsid w:val="004A581E"/>
    <w:rsid w:val="004A5AE0"/>
    <w:rsid w:val="004A5D89"/>
    <w:rsid w:val="004A5FCA"/>
    <w:rsid w:val="004A60D6"/>
    <w:rsid w:val="004A6B9E"/>
    <w:rsid w:val="004A6C9C"/>
    <w:rsid w:val="004A6CC0"/>
    <w:rsid w:val="004A6FE6"/>
    <w:rsid w:val="004A711A"/>
    <w:rsid w:val="004A7190"/>
    <w:rsid w:val="004A7203"/>
    <w:rsid w:val="004A7751"/>
    <w:rsid w:val="004A77C4"/>
    <w:rsid w:val="004A7ABE"/>
    <w:rsid w:val="004B0303"/>
    <w:rsid w:val="004B039B"/>
    <w:rsid w:val="004B09A3"/>
    <w:rsid w:val="004B117A"/>
    <w:rsid w:val="004B1737"/>
    <w:rsid w:val="004B18AE"/>
    <w:rsid w:val="004B21B0"/>
    <w:rsid w:val="004B2564"/>
    <w:rsid w:val="004B2D77"/>
    <w:rsid w:val="004B2F85"/>
    <w:rsid w:val="004B3850"/>
    <w:rsid w:val="004B3910"/>
    <w:rsid w:val="004B3A7A"/>
    <w:rsid w:val="004B4291"/>
    <w:rsid w:val="004B42DF"/>
    <w:rsid w:val="004B4502"/>
    <w:rsid w:val="004B4756"/>
    <w:rsid w:val="004B5F52"/>
    <w:rsid w:val="004B5F7A"/>
    <w:rsid w:val="004B6164"/>
    <w:rsid w:val="004B63AE"/>
    <w:rsid w:val="004B7C1A"/>
    <w:rsid w:val="004C056A"/>
    <w:rsid w:val="004C0FFF"/>
    <w:rsid w:val="004C1260"/>
    <w:rsid w:val="004C1653"/>
    <w:rsid w:val="004C1BDC"/>
    <w:rsid w:val="004C209B"/>
    <w:rsid w:val="004C2149"/>
    <w:rsid w:val="004C2531"/>
    <w:rsid w:val="004C2B02"/>
    <w:rsid w:val="004C2E2E"/>
    <w:rsid w:val="004C3342"/>
    <w:rsid w:val="004C3B1F"/>
    <w:rsid w:val="004C4056"/>
    <w:rsid w:val="004C4396"/>
    <w:rsid w:val="004C4AF0"/>
    <w:rsid w:val="004C4F65"/>
    <w:rsid w:val="004C52B7"/>
    <w:rsid w:val="004C58B1"/>
    <w:rsid w:val="004C6628"/>
    <w:rsid w:val="004C7396"/>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3FB"/>
    <w:rsid w:val="004E55ED"/>
    <w:rsid w:val="004E5B3C"/>
    <w:rsid w:val="004E6146"/>
    <w:rsid w:val="004E6717"/>
    <w:rsid w:val="004E694F"/>
    <w:rsid w:val="004E6D72"/>
    <w:rsid w:val="004E71DD"/>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379D"/>
    <w:rsid w:val="004F431D"/>
    <w:rsid w:val="004F43AB"/>
    <w:rsid w:val="004F45C7"/>
    <w:rsid w:val="004F4C67"/>
    <w:rsid w:val="004F4F1F"/>
    <w:rsid w:val="004F4F7A"/>
    <w:rsid w:val="004F4F85"/>
    <w:rsid w:val="004F532F"/>
    <w:rsid w:val="004F539A"/>
    <w:rsid w:val="004F5417"/>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195"/>
    <w:rsid w:val="0051326F"/>
    <w:rsid w:val="00513BCD"/>
    <w:rsid w:val="00513F33"/>
    <w:rsid w:val="005147FC"/>
    <w:rsid w:val="00514DD2"/>
    <w:rsid w:val="005158BE"/>
    <w:rsid w:val="00515C82"/>
    <w:rsid w:val="005164BC"/>
    <w:rsid w:val="00516835"/>
    <w:rsid w:val="005169B9"/>
    <w:rsid w:val="00516FB8"/>
    <w:rsid w:val="00517613"/>
    <w:rsid w:val="00517AA9"/>
    <w:rsid w:val="00517E6B"/>
    <w:rsid w:val="0052031E"/>
    <w:rsid w:val="005204F9"/>
    <w:rsid w:val="00520550"/>
    <w:rsid w:val="00520A36"/>
    <w:rsid w:val="00520B9E"/>
    <w:rsid w:val="00520C3B"/>
    <w:rsid w:val="00520C4B"/>
    <w:rsid w:val="0052156D"/>
    <w:rsid w:val="00521A4E"/>
    <w:rsid w:val="0052209E"/>
    <w:rsid w:val="00522475"/>
    <w:rsid w:val="005227A0"/>
    <w:rsid w:val="0052289F"/>
    <w:rsid w:val="00522FC1"/>
    <w:rsid w:val="005232B5"/>
    <w:rsid w:val="005239EA"/>
    <w:rsid w:val="00523C70"/>
    <w:rsid w:val="00524289"/>
    <w:rsid w:val="00524400"/>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3FD"/>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21"/>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67F43"/>
    <w:rsid w:val="005702C5"/>
    <w:rsid w:val="005703C5"/>
    <w:rsid w:val="00570460"/>
    <w:rsid w:val="0057065F"/>
    <w:rsid w:val="005715C9"/>
    <w:rsid w:val="00571D67"/>
    <w:rsid w:val="00572B42"/>
    <w:rsid w:val="00572E2F"/>
    <w:rsid w:val="00572E40"/>
    <w:rsid w:val="0057319D"/>
    <w:rsid w:val="00573535"/>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2DA9"/>
    <w:rsid w:val="00583471"/>
    <w:rsid w:val="00583B95"/>
    <w:rsid w:val="005850FD"/>
    <w:rsid w:val="0058515C"/>
    <w:rsid w:val="0058597D"/>
    <w:rsid w:val="00585BB5"/>
    <w:rsid w:val="00585F34"/>
    <w:rsid w:val="00586223"/>
    <w:rsid w:val="00586851"/>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22"/>
    <w:rsid w:val="005A5A70"/>
    <w:rsid w:val="005A7389"/>
    <w:rsid w:val="005A78EE"/>
    <w:rsid w:val="005A7CA2"/>
    <w:rsid w:val="005A7E48"/>
    <w:rsid w:val="005A7FD3"/>
    <w:rsid w:val="005B0054"/>
    <w:rsid w:val="005B02F2"/>
    <w:rsid w:val="005B095F"/>
    <w:rsid w:val="005B0B51"/>
    <w:rsid w:val="005B1071"/>
    <w:rsid w:val="005B1790"/>
    <w:rsid w:val="005B1A38"/>
    <w:rsid w:val="005B1F44"/>
    <w:rsid w:val="005B20D0"/>
    <w:rsid w:val="005B21E1"/>
    <w:rsid w:val="005B2AC2"/>
    <w:rsid w:val="005B2BF5"/>
    <w:rsid w:val="005B2DAB"/>
    <w:rsid w:val="005B3945"/>
    <w:rsid w:val="005B3A73"/>
    <w:rsid w:val="005B42EF"/>
    <w:rsid w:val="005B4811"/>
    <w:rsid w:val="005B4C75"/>
    <w:rsid w:val="005B529D"/>
    <w:rsid w:val="005B52D1"/>
    <w:rsid w:val="005B53E0"/>
    <w:rsid w:val="005B554D"/>
    <w:rsid w:val="005B5853"/>
    <w:rsid w:val="005B5E6C"/>
    <w:rsid w:val="005B63E4"/>
    <w:rsid w:val="005B69CA"/>
    <w:rsid w:val="005B6AB5"/>
    <w:rsid w:val="005B6CCC"/>
    <w:rsid w:val="005B71CE"/>
    <w:rsid w:val="005B74F3"/>
    <w:rsid w:val="005B757C"/>
    <w:rsid w:val="005B78A1"/>
    <w:rsid w:val="005B7F43"/>
    <w:rsid w:val="005C02D4"/>
    <w:rsid w:val="005C05FF"/>
    <w:rsid w:val="005C0704"/>
    <w:rsid w:val="005C0992"/>
    <w:rsid w:val="005C14A0"/>
    <w:rsid w:val="005C1622"/>
    <w:rsid w:val="005C198B"/>
    <w:rsid w:val="005C23D7"/>
    <w:rsid w:val="005C26CE"/>
    <w:rsid w:val="005C27AB"/>
    <w:rsid w:val="005C2859"/>
    <w:rsid w:val="005C287F"/>
    <w:rsid w:val="005C2947"/>
    <w:rsid w:val="005C2D2D"/>
    <w:rsid w:val="005C3857"/>
    <w:rsid w:val="005C4228"/>
    <w:rsid w:val="005C438E"/>
    <w:rsid w:val="005C43F3"/>
    <w:rsid w:val="005C552D"/>
    <w:rsid w:val="005C55B2"/>
    <w:rsid w:val="005C5648"/>
    <w:rsid w:val="005C57A7"/>
    <w:rsid w:val="005C608E"/>
    <w:rsid w:val="005C62D9"/>
    <w:rsid w:val="005C6B05"/>
    <w:rsid w:val="005C6E27"/>
    <w:rsid w:val="005C7994"/>
    <w:rsid w:val="005C7ABF"/>
    <w:rsid w:val="005C7CF3"/>
    <w:rsid w:val="005D00DB"/>
    <w:rsid w:val="005D07D2"/>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1558"/>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098"/>
    <w:rsid w:val="005F14B1"/>
    <w:rsid w:val="005F16C0"/>
    <w:rsid w:val="005F1D95"/>
    <w:rsid w:val="005F1FA4"/>
    <w:rsid w:val="005F2129"/>
    <w:rsid w:val="005F22F1"/>
    <w:rsid w:val="005F27EF"/>
    <w:rsid w:val="005F2BA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0C5"/>
    <w:rsid w:val="005F7321"/>
    <w:rsid w:val="005F7CC7"/>
    <w:rsid w:val="00600F74"/>
    <w:rsid w:val="00601269"/>
    <w:rsid w:val="00601459"/>
    <w:rsid w:val="00601C2F"/>
    <w:rsid w:val="00601CE8"/>
    <w:rsid w:val="00602BBC"/>
    <w:rsid w:val="00603003"/>
    <w:rsid w:val="00603ABE"/>
    <w:rsid w:val="00603B97"/>
    <w:rsid w:val="00603D36"/>
    <w:rsid w:val="00603F19"/>
    <w:rsid w:val="0060433E"/>
    <w:rsid w:val="00604D69"/>
    <w:rsid w:val="006052E4"/>
    <w:rsid w:val="00605442"/>
    <w:rsid w:val="0060549B"/>
    <w:rsid w:val="00605538"/>
    <w:rsid w:val="00605776"/>
    <w:rsid w:val="006059E7"/>
    <w:rsid w:val="006061DB"/>
    <w:rsid w:val="006061F3"/>
    <w:rsid w:val="0060683C"/>
    <w:rsid w:val="00606EF9"/>
    <w:rsid w:val="00607532"/>
    <w:rsid w:val="00607C9B"/>
    <w:rsid w:val="006104FE"/>
    <w:rsid w:val="00610930"/>
    <w:rsid w:val="00610B37"/>
    <w:rsid w:val="00611216"/>
    <w:rsid w:val="006112E4"/>
    <w:rsid w:val="0061223F"/>
    <w:rsid w:val="006125B0"/>
    <w:rsid w:val="00612C20"/>
    <w:rsid w:val="00612DA5"/>
    <w:rsid w:val="00612E61"/>
    <w:rsid w:val="00612FC6"/>
    <w:rsid w:val="00613D28"/>
    <w:rsid w:val="0061404F"/>
    <w:rsid w:val="0061424C"/>
    <w:rsid w:val="00614C2C"/>
    <w:rsid w:val="00614E96"/>
    <w:rsid w:val="00614EA9"/>
    <w:rsid w:val="00615072"/>
    <w:rsid w:val="00615EA0"/>
    <w:rsid w:val="00615F30"/>
    <w:rsid w:val="00616E27"/>
    <w:rsid w:val="00617088"/>
    <w:rsid w:val="00617396"/>
    <w:rsid w:val="00617831"/>
    <w:rsid w:val="0061794C"/>
    <w:rsid w:val="0062007E"/>
    <w:rsid w:val="00620205"/>
    <w:rsid w:val="006202CC"/>
    <w:rsid w:val="0062030A"/>
    <w:rsid w:val="00620470"/>
    <w:rsid w:val="00620736"/>
    <w:rsid w:val="006212E4"/>
    <w:rsid w:val="00621EF4"/>
    <w:rsid w:val="00622128"/>
    <w:rsid w:val="006229D3"/>
    <w:rsid w:val="006230E9"/>
    <w:rsid w:val="006241BE"/>
    <w:rsid w:val="006244E5"/>
    <w:rsid w:val="0062456C"/>
    <w:rsid w:val="00625009"/>
    <w:rsid w:val="00625523"/>
    <w:rsid w:val="00625759"/>
    <w:rsid w:val="006259EF"/>
    <w:rsid w:val="00625B32"/>
    <w:rsid w:val="00625B8F"/>
    <w:rsid w:val="0062631C"/>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56C"/>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53F"/>
    <w:rsid w:val="006457EB"/>
    <w:rsid w:val="00645A81"/>
    <w:rsid w:val="00645CCC"/>
    <w:rsid w:val="00646222"/>
    <w:rsid w:val="0064663D"/>
    <w:rsid w:val="00646CA0"/>
    <w:rsid w:val="00647055"/>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099"/>
    <w:rsid w:val="006541A6"/>
    <w:rsid w:val="00654347"/>
    <w:rsid w:val="00654926"/>
    <w:rsid w:val="00654BA4"/>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B43"/>
    <w:rsid w:val="00661D76"/>
    <w:rsid w:val="00661E8F"/>
    <w:rsid w:val="00662020"/>
    <w:rsid w:val="006623BF"/>
    <w:rsid w:val="006624F0"/>
    <w:rsid w:val="0066294A"/>
    <w:rsid w:val="0066318C"/>
    <w:rsid w:val="006637B9"/>
    <w:rsid w:val="00663AAC"/>
    <w:rsid w:val="00664533"/>
    <w:rsid w:val="0066498E"/>
    <w:rsid w:val="006659DD"/>
    <w:rsid w:val="00665B84"/>
    <w:rsid w:val="00665C29"/>
    <w:rsid w:val="006662AD"/>
    <w:rsid w:val="006668CA"/>
    <w:rsid w:val="00666E99"/>
    <w:rsid w:val="0066760C"/>
    <w:rsid w:val="00667ABB"/>
    <w:rsid w:val="006708C9"/>
    <w:rsid w:val="00670B88"/>
    <w:rsid w:val="00670E84"/>
    <w:rsid w:val="00671234"/>
    <w:rsid w:val="0067240D"/>
    <w:rsid w:val="006726E0"/>
    <w:rsid w:val="006742C5"/>
    <w:rsid w:val="00674A96"/>
    <w:rsid w:val="00674D18"/>
    <w:rsid w:val="006750F1"/>
    <w:rsid w:val="00675A81"/>
    <w:rsid w:val="0067643D"/>
    <w:rsid w:val="0067675D"/>
    <w:rsid w:val="00677A1C"/>
    <w:rsid w:val="00677C73"/>
    <w:rsid w:val="00677F7C"/>
    <w:rsid w:val="0068074C"/>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93D"/>
    <w:rsid w:val="00690BBC"/>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0663"/>
    <w:rsid w:val="006A0863"/>
    <w:rsid w:val="006A1039"/>
    <w:rsid w:val="006A1B17"/>
    <w:rsid w:val="006A21AF"/>
    <w:rsid w:val="006A2D1D"/>
    <w:rsid w:val="006A2D5D"/>
    <w:rsid w:val="006A49AE"/>
    <w:rsid w:val="006A4C49"/>
    <w:rsid w:val="006A52FF"/>
    <w:rsid w:val="006A5837"/>
    <w:rsid w:val="006A5A4C"/>
    <w:rsid w:val="006A5AB7"/>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D79"/>
    <w:rsid w:val="006B1ED5"/>
    <w:rsid w:val="006B20E7"/>
    <w:rsid w:val="006B2A03"/>
    <w:rsid w:val="006B2ABD"/>
    <w:rsid w:val="006B2E94"/>
    <w:rsid w:val="006B307B"/>
    <w:rsid w:val="006B3858"/>
    <w:rsid w:val="006B3927"/>
    <w:rsid w:val="006B424E"/>
    <w:rsid w:val="006B42BA"/>
    <w:rsid w:val="006B4FA7"/>
    <w:rsid w:val="006B5363"/>
    <w:rsid w:val="006B56D9"/>
    <w:rsid w:val="006B59BE"/>
    <w:rsid w:val="006B61DB"/>
    <w:rsid w:val="006B657B"/>
    <w:rsid w:val="006B709C"/>
    <w:rsid w:val="006B7AF5"/>
    <w:rsid w:val="006C01B3"/>
    <w:rsid w:val="006C0671"/>
    <w:rsid w:val="006C07A7"/>
    <w:rsid w:val="006C0F3D"/>
    <w:rsid w:val="006C0FB3"/>
    <w:rsid w:val="006C150F"/>
    <w:rsid w:val="006C1538"/>
    <w:rsid w:val="006C1918"/>
    <w:rsid w:val="006C1ABF"/>
    <w:rsid w:val="006C1BD3"/>
    <w:rsid w:val="006C1C44"/>
    <w:rsid w:val="006C1C92"/>
    <w:rsid w:val="006C1D80"/>
    <w:rsid w:val="006C2017"/>
    <w:rsid w:val="006C2950"/>
    <w:rsid w:val="006C2C47"/>
    <w:rsid w:val="006C34ED"/>
    <w:rsid w:val="006C3549"/>
    <w:rsid w:val="006C3A8A"/>
    <w:rsid w:val="006C3B12"/>
    <w:rsid w:val="006C3D2D"/>
    <w:rsid w:val="006C4023"/>
    <w:rsid w:val="006C4033"/>
    <w:rsid w:val="006C4287"/>
    <w:rsid w:val="006C431D"/>
    <w:rsid w:val="006C4D54"/>
    <w:rsid w:val="006C58DF"/>
    <w:rsid w:val="006C6452"/>
    <w:rsid w:val="006C6CE3"/>
    <w:rsid w:val="006C6D27"/>
    <w:rsid w:val="006C7199"/>
    <w:rsid w:val="006C7422"/>
    <w:rsid w:val="006D0087"/>
    <w:rsid w:val="006D04D2"/>
    <w:rsid w:val="006D09D9"/>
    <w:rsid w:val="006D131F"/>
    <w:rsid w:val="006D167F"/>
    <w:rsid w:val="006D176D"/>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9D3"/>
    <w:rsid w:val="006F4A1E"/>
    <w:rsid w:val="006F4CA3"/>
    <w:rsid w:val="006F4F50"/>
    <w:rsid w:val="006F66C9"/>
    <w:rsid w:val="006F713A"/>
    <w:rsid w:val="006F78A5"/>
    <w:rsid w:val="00700615"/>
    <w:rsid w:val="00700ABF"/>
    <w:rsid w:val="00700C6D"/>
    <w:rsid w:val="00701441"/>
    <w:rsid w:val="00701458"/>
    <w:rsid w:val="00701F32"/>
    <w:rsid w:val="007021CD"/>
    <w:rsid w:val="00702208"/>
    <w:rsid w:val="0070253B"/>
    <w:rsid w:val="00702A1E"/>
    <w:rsid w:val="00702A70"/>
    <w:rsid w:val="00702E9B"/>
    <w:rsid w:val="0070320C"/>
    <w:rsid w:val="007033B5"/>
    <w:rsid w:val="00704670"/>
    <w:rsid w:val="00704B68"/>
    <w:rsid w:val="00704C87"/>
    <w:rsid w:val="00704E3E"/>
    <w:rsid w:val="00705DA7"/>
    <w:rsid w:val="00706096"/>
    <w:rsid w:val="00706400"/>
    <w:rsid w:val="00706474"/>
    <w:rsid w:val="007068AF"/>
    <w:rsid w:val="007069D0"/>
    <w:rsid w:val="0070704B"/>
    <w:rsid w:val="00707989"/>
    <w:rsid w:val="00710AF8"/>
    <w:rsid w:val="00710BF9"/>
    <w:rsid w:val="00710F65"/>
    <w:rsid w:val="00711425"/>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1719B"/>
    <w:rsid w:val="007202FA"/>
    <w:rsid w:val="0072059F"/>
    <w:rsid w:val="00720648"/>
    <w:rsid w:val="00720B9C"/>
    <w:rsid w:val="00720C94"/>
    <w:rsid w:val="0072168B"/>
    <w:rsid w:val="007217C3"/>
    <w:rsid w:val="00721986"/>
    <w:rsid w:val="0072199D"/>
    <w:rsid w:val="0072219B"/>
    <w:rsid w:val="00722424"/>
    <w:rsid w:val="0072288D"/>
    <w:rsid w:val="00722DED"/>
    <w:rsid w:val="00722F8A"/>
    <w:rsid w:val="0072357A"/>
    <w:rsid w:val="00723C1D"/>
    <w:rsid w:val="00723CC5"/>
    <w:rsid w:val="007240CE"/>
    <w:rsid w:val="007244C8"/>
    <w:rsid w:val="00724A11"/>
    <w:rsid w:val="00724B22"/>
    <w:rsid w:val="00725154"/>
    <w:rsid w:val="007253B8"/>
    <w:rsid w:val="007255AF"/>
    <w:rsid w:val="007264A6"/>
    <w:rsid w:val="00726532"/>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4C5"/>
    <w:rsid w:val="007356CC"/>
    <w:rsid w:val="0073630E"/>
    <w:rsid w:val="0073631E"/>
    <w:rsid w:val="00736983"/>
    <w:rsid w:val="007374FB"/>
    <w:rsid w:val="00737520"/>
    <w:rsid w:val="0074067F"/>
    <w:rsid w:val="007406F6"/>
    <w:rsid w:val="00740C3E"/>
    <w:rsid w:val="00740E0F"/>
    <w:rsid w:val="00742601"/>
    <w:rsid w:val="00742E54"/>
    <w:rsid w:val="00742F99"/>
    <w:rsid w:val="00743A72"/>
    <w:rsid w:val="0074450C"/>
    <w:rsid w:val="00744632"/>
    <w:rsid w:val="00744A32"/>
    <w:rsid w:val="00744A94"/>
    <w:rsid w:val="00744C7D"/>
    <w:rsid w:val="007452B3"/>
    <w:rsid w:val="007467DE"/>
    <w:rsid w:val="0074683C"/>
    <w:rsid w:val="00746F21"/>
    <w:rsid w:val="00746F99"/>
    <w:rsid w:val="0074714A"/>
    <w:rsid w:val="007474F0"/>
    <w:rsid w:val="007478E7"/>
    <w:rsid w:val="00747AC3"/>
    <w:rsid w:val="00747B67"/>
    <w:rsid w:val="00750052"/>
    <w:rsid w:val="00750E46"/>
    <w:rsid w:val="00750F58"/>
    <w:rsid w:val="0075243C"/>
    <w:rsid w:val="007524DB"/>
    <w:rsid w:val="007526C7"/>
    <w:rsid w:val="00753115"/>
    <w:rsid w:val="007536B9"/>
    <w:rsid w:val="007538C4"/>
    <w:rsid w:val="00753941"/>
    <w:rsid w:val="00753A65"/>
    <w:rsid w:val="00753ADE"/>
    <w:rsid w:val="00754D6C"/>
    <w:rsid w:val="007551D8"/>
    <w:rsid w:val="0075625B"/>
    <w:rsid w:val="00756E22"/>
    <w:rsid w:val="00756E3A"/>
    <w:rsid w:val="0075719C"/>
    <w:rsid w:val="00757B56"/>
    <w:rsid w:val="00760B67"/>
    <w:rsid w:val="00760F3C"/>
    <w:rsid w:val="0076115B"/>
    <w:rsid w:val="00761CE2"/>
    <w:rsid w:val="00761E1F"/>
    <w:rsid w:val="00761E43"/>
    <w:rsid w:val="0076244C"/>
    <w:rsid w:val="007634F8"/>
    <w:rsid w:val="00763CCF"/>
    <w:rsid w:val="00763E35"/>
    <w:rsid w:val="00764C13"/>
    <w:rsid w:val="0076503E"/>
    <w:rsid w:val="00765091"/>
    <w:rsid w:val="0076564F"/>
    <w:rsid w:val="007657FC"/>
    <w:rsid w:val="00765971"/>
    <w:rsid w:val="0076677C"/>
    <w:rsid w:val="00766829"/>
    <w:rsid w:val="00766A81"/>
    <w:rsid w:val="00766AEC"/>
    <w:rsid w:val="0076737F"/>
    <w:rsid w:val="00767502"/>
    <w:rsid w:val="007678E6"/>
    <w:rsid w:val="00767B25"/>
    <w:rsid w:val="007702E5"/>
    <w:rsid w:val="00770AC7"/>
    <w:rsid w:val="0077118C"/>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58A"/>
    <w:rsid w:val="00783850"/>
    <w:rsid w:val="00783CD9"/>
    <w:rsid w:val="00784D2F"/>
    <w:rsid w:val="00784F53"/>
    <w:rsid w:val="00785D0A"/>
    <w:rsid w:val="00785D38"/>
    <w:rsid w:val="00785F19"/>
    <w:rsid w:val="00786364"/>
    <w:rsid w:val="00787591"/>
    <w:rsid w:val="007877E8"/>
    <w:rsid w:val="00787AC0"/>
    <w:rsid w:val="00787EAD"/>
    <w:rsid w:val="0079068D"/>
    <w:rsid w:val="00790A1C"/>
    <w:rsid w:val="00790BF1"/>
    <w:rsid w:val="00791581"/>
    <w:rsid w:val="00792AFA"/>
    <w:rsid w:val="00792B80"/>
    <w:rsid w:val="007938BB"/>
    <w:rsid w:val="00794DDE"/>
    <w:rsid w:val="00795121"/>
    <w:rsid w:val="00795C02"/>
    <w:rsid w:val="00795E68"/>
    <w:rsid w:val="00795F23"/>
    <w:rsid w:val="00796843"/>
    <w:rsid w:val="0079701E"/>
    <w:rsid w:val="0079764A"/>
    <w:rsid w:val="00797A48"/>
    <w:rsid w:val="00797D0E"/>
    <w:rsid w:val="00797D14"/>
    <w:rsid w:val="00797DAD"/>
    <w:rsid w:val="007A0926"/>
    <w:rsid w:val="007A09E2"/>
    <w:rsid w:val="007A1E36"/>
    <w:rsid w:val="007A2FCF"/>
    <w:rsid w:val="007A3128"/>
    <w:rsid w:val="007A3AB1"/>
    <w:rsid w:val="007A3DF5"/>
    <w:rsid w:val="007A3F08"/>
    <w:rsid w:val="007A44B6"/>
    <w:rsid w:val="007A4845"/>
    <w:rsid w:val="007A4DFA"/>
    <w:rsid w:val="007A4EBD"/>
    <w:rsid w:val="007A521B"/>
    <w:rsid w:val="007A54C1"/>
    <w:rsid w:val="007A582C"/>
    <w:rsid w:val="007A61EA"/>
    <w:rsid w:val="007A6C7D"/>
    <w:rsid w:val="007A6F9A"/>
    <w:rsid w:val="007A70F6"/>
    <w:rsid w:val="007A711B"/>
    <w:rsid w:val="007A74F3"/>
    <w:rsid w:val="007A75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4BDB"/>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C7D40"/>
    <w:rsid w:val="007D01B9"/>
    <w:rsid w:val="007D0632"/>
    <w:rsid w:val="007D0E2D"/>
    <w:rsid w:val="007D15AE"/>
    <w:rsid w:val="007D16B5"/>
    <w:rsid w:val="007D189C"/>
    <w:rsid w:val="007D1D12"/>
    <w:rsid w:val="007D1D95"/>
    <w:rsid w:val="007D233B"/>
    <w:rsid w:val="007D29F6"/>
    <w:rsid w:val="007D2A91"/>
    <w:rsid w:val="007D337B"/>
    <w:rsid w:val="007D4382"/>
    <w:rsid w:val="007D46C8"/>
    <w:rsid w:val="007D56D2"/>
    <w:rsid w:val="007D5C93"/>
    <w:rsid w:val="007D61B8"/>
    <w:rsid w:val="007D6945"/>
    <w:rsid w:val="007D6C89"/>
    <w:rsid w:val="007D6CF7"/>
    <w:rsid w:val="007D6D6F"/>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5C1"/>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8"/>
    <w:rsid w:val="007E6E5C"/>
    <w:rsid w:val="007E750F"/>
    <w:rsid w:val="007E7CB0"/>
    <w:rsid w:val="007E7D7C"/>
    <w:rsid w:val="007F02E3"/>
    <w:rsid w:val="007F1517"/>
    <w:rsid w:val="007F1621"/>
    <w:rsid w:val="007F16B7"/>
    <w:rsid w:val="007F17F4"/>
    <w:rsid w:val="007F186C"/>
    <w:rsid w:val="007F1D4F"/>
    <w:rsid w:val="007F2D38"/>
    <w:rsid w:val="007F34DE"/>
    <w:rsid w:val="007F34EB"/>
    <w:rsid w:val="007F3B20"/>
    <w:rsid w:val="007F3B2C"/>
    <w:rsid w:val="007F3C16"/>
    <w:rsid w:val="007F4051"/>
    <w:rsid w:val="007F42D5"/>
    <w:rsid w:val="007F48AD"/>
    <w:rsid w:val="007F4A1B"/>
    <w:rsid w:val="007F4A1C"/>
    <w:rsid w:val="007F4A20"/>
    <w:rsid w:val="007F4AD9"/>
    <w:rsid w:val="007F4C7A"/>
    <w:rsid w:val="007F52E0"/>
    <w:rsid w:val="007F53B3"/>
    <w:rsid w:val="007F572D"/>
    <w:rsid w:val="007F5D02"/>
    <w:rsid w:val="007F6056"/>
    <w:rsid w:val="007F64B4"/>
    <w:rsid w:val="007F737C"/>
    <w:rsid w:val="007F7FF2"/>
    <w:rsid w:val="00800889"/>
    <w:rsid w:val="00800A64"/>
    <w:rsid w:val="00800C46"/>
    <w:rsid w:val="0080175F"/>
    <w:rsid w:val="00801B3F"/>
    <w:rsid w:val="00801C4D"/>
    <w:rsid w:val="00801F46"/>
    <w:rsid w:val="00802129"/>
    <w:rsid w:val="008024D4"/>
    <w:rsid w:val="0080294F"/>
    <w:rsid w:val="00802E55"/>
    <w:rsid w:val="00802F2E"/>
    <w:rsid w:val="00803382"/>
    <w:rsid w:val="00803CE5"/>
    <w:rsid w:val="00804642"/>
    <w:rsid w:val="008050AB"/>
    <w:rsid w:val="0080548B"/>
    <w:rsid w:val="008059B4"/>
    <w:rsid w:val="00805A57"/>
    <w:rsid w:val="00805AF2"/>
    <w:rsid w:val="00805B42"/>
    <w:rsid w:val="00805E4B"/>
    <w:rsid w:val="00805F58"/>
    <w:rsid w:val="00805F9E"/>
    <w:rsid w:val="00806D63"/>
    <w:rsid w:val="00807409"/>
    <w:rsid w:val="0080798A"/>
    <w:rsid w:val="00807C14"/>
    <w:rsid w:val="0081021F"/>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929"/>
    <w:rsid w:val="00820F52"/>
    <w:rsid w:val="00822420"/>
    <w:rsid w:val="00823241"/>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0E7"/>
    <w:rsid w:val="0083329E"/>
    <w:rsid w:val="00833E19"/>
    <w:rsid w:val="00834535"/>
    <w:rsid w:val="00834C20"/>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644"/>
    <w:rsid w:val="00842BBF"/>
    <w:rsid w:val="00842F70"/>
    <w:rsid w:val="00843FE7"/>
    <w:rsid w:val="0084464C"/>
    <w:rsid w:val="00844CA1"/>
    <w:rsid w:val="00844E79"/>
    <w:rsid w:val="00845656"/>
    <w:rsid w:val="00845894"/>
    <w:rsid w:val="008459A9"/>
    <w:rsid w:val="00845E79"/>
    <w:rsid w:val="00845E9A"/>
    <w:rsid w:val="0084668B"/>
    <w:rsid w:val="00846E79"/>
    <w:rsid w:val="008472B9"/>
    <w:rsid w:val="008472FB"/>
    <w:rsid w:val="00847373"/>
    <w:rsid w:val="008474A5"/>
    <w:rsid w:val="008477E8"/>
    <w:rsid w:val="00847809"/>
    <w:rsid w:val="008478AA"/>
    <w:rsid w:val="00847989"/>
    <w:rsid w:val="00847B0A"/>
    <w:rsid w:val="00847B8A"/>
    <w:rsid w:val="00847C79"/>
    <w:rsid w:val="00847C9D"/>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4DDF"/>
    <w:rsid w:val="00855D0F"/>
    <w:rsid w:val="00856515"/>
    <w:rsid w:val="008565BC"/>
    <w:rsid w:val="00856648"/>
    <w:rsid w:val="00856A67"/>
    <w:rsid w:val="00856B26"/>
    <w:rsid w:val="00856B71"/>
    <w:rsid w:val="00856C36"/>
    <w:rsid w:val="00856C93"/>
    <w:rsid w:val="008573F9"/>
    <w:rsid w:val="00857D59"/>
    <w:rsid w:val="00861572"/>
    <w:rsid w:val="00861731"/>
    <w:rsid w:val="0086190F"/>
    <w:rsid w:val="00861974"/>
    <w:rsid w:val="00861EB1"/>
    <w:rsid w:val="0086219D"/>
    <w:rsid w:val="00862402"/>
    <w:rsid w:val="00862660"/>
    <w:rsid w:val="00862862"/>
    <w:rsid w:val="00862BAF"/>
    <w:rsid w:val="00862D12"/>
    <w:rsid w:val="00863B4F"/>
    <w:rsid w:val="00864147"/>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3B7C"/>
    <w:rsid w:val="00873E79"/>
    <w:rsid w:val="008747C9"/>
    <w:rsid w:val="00874EB6"/>
    <w:rsid w:val="00875402"/>
    <w:rsid w:val="00875449"/>
    <w:rsid w:val="00875858"/>
    <w:rsid w:val="00876359"/>
    <w:rsid w:val="00876705"/>
    <w:rsid w:val="00876A88"/>
    <w:rsid w:val="00876AD6"/>
    <w:rsid w:val="00877544"/>
    <w:rsid w:val="00877E88"/>
    <w:rsid w:val="0088002F"/>
    <w:rsid w:val="008802A2"/>
    <w:rsid w:val="008806EF"/>
    <w:rsid w:val="00880A80"/>
    <w:rsid w:val="00881072"/>
    <w:rsid w:val="008816A3"/>
    <w:rsid w:val="00881AA4"/>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5A7"/>
    <w:rsid w:val="00887648"/>
    <w:rsid w:val="008879D3"/>
    <w:rsid w:val="00890168"/>
    <w:rsid w:val="008902CA"/>
    <w:rsid w:val="00890A6C"/>
    <w:rsid w:val="00890D9C"/>
    <w:rsid w:val="00891AC5"/>
    <w:rsid w:val="00892310"/>
    <w:rsid w:val="00892F80"/>
    <w:rsid w:val="008930B4"/>
    <w:rsid w:val="00893560"/>
    <w:rsid w:val="00893A03"/>
    <w:rsid w:val="00894610"/>
    <w:rsid w:val="00894A97"/>
    <w:rsid w:val="00894E27"/>
    <w:rsid w:val="00895566"/>
    <w:rsid w:val="00895572"/>
    <w:rsid w:val="00895AFB"/>
    <w:rsid w:val="00895BAB"/>
    <w:rsid w:val="00895CB8"/>
    <w:rsid w:val="00895E96"/>
    <w:rsid w:val="008961F6"/>
    <w:rsid w:val="00896315"/>
    <w:rsid w:val="0089661E"/>
    <w:rsid w:val="00896C38"/>
    <w:rsid w:val="00897D19"/>
    <w:rsid w:val="00897F55"/>
    <w:rsid w:val="008A02FA"/>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D23"/>
    <w:rsid w:val="008A6E78"/>
    <w:rsid w:val="008A71D4"/>
    <w:rsid w:val="008A774D"/>
    <w:rsid w:val="008A78F7"/>
    <w:rsid w:val="008B0887"/>
    <w:rsid w:val="008B09E2"/>
    <w:rsid w:val="008B0D30"/>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D41"/>
    <w:rsid w:val="008B5F0A"/>
    <w:rsid w:val="008B694B"/>
    <w:rsid w:val="008B6972"/>
    <w:rsid w:val="008C05F1"/>
    <w:rsid w:val="008C07C7"/>
    <w:rsid w:val="008C097F"/>
    <w:rsid w:val="008C09EB"/>
    <w:rsid w:val="008C0B8B"/>
    <w:rsid w:val="008C0E17"/>
    <w:rsid w:val="008C1006"/>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717"/>
    <w:rsid w:val="008D1B62"/>
    <w:rsid w:val="008D1B9E"/>
    <w:rsid w:val="008D1F9A"/>
    <w:rsid w:val="008D2082"/>
    <w:rsid w:val="008D2388"/>
    <w:rsid w:val="008D24C9"/>
    <w:rsid w:val="008D26B5"/>
    <w:rsid w:val="008D359A"/>
    <w:rsid w:val="008D4146"/>
    <w:rsid w:val="008D42F6"/>
    <w:rsid w:val="008D5013"/>
    <w:rsid w:val="008D59E9"/>
    <w:rsid w:val="008D66CC"/>
    <w:rsid w:val="008D70B6"/>
    <w:rsid w:val="008D7367"/>
    <w:rsid w:val="008D73F0"/>
    <w:rsid w:val="008D750B"/>
    <w:rsid w:val="008D7D2D"/>
    <w:rsid w:val="008E006F"/>
    <w:rsid w:val="008E0B35"/>
    <w:rsid w:val="008E0F0B"/>
    <w:rsid w:val="008E1159"/>
    <w:rsid w:val="008E1580"/>
    <w:rsid w:val="008E1A9C"/>
    <w:rsid w:val="008E1BDA"/>
    <w:rsid w:val="008E20F1"/>
    <w:rsid w:val="008E2F17"/>
    <w:rsid w:val="008E3175"/>
    <w:rsid w:val="008E32CE"/>
    <w:rsid w:val="008E3CC4"/>
    <w:rsid w:val="008E3DDC"/>
    <w:rsid w:val="008E417F"/>
    <w:rsid w:val="008E4F24"/>
    <w:rsid w:val="008E52B9"/>
    <w:rsid w:val="008E5512"/>
    <w:rsid w:val="008E566F"/>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3E44"/>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A70"/>
    <w:rsid w:val="008F7C68"/>
    <w:rsid w:val="008F7DE6"/>
    <w:rsid w:val="00900FAB"/>
    <w:rsid w:val="009014C8"/>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115E"/>
    <w:rsid w:val="00911371"/>
    <w:rsid w:val="009117BF"/>
    <w:rsid w:val="009120C5"/>
    <w:rsid w:val="00912796"/>
    <w:rsid w:val="0091293D"/>
    <w:rsid w:val="00912CB8"/>
    <w:rsid w:val="00912D42"/>
    <w:rsid w:val="0091353C"/>
    <w:rsid w:val="00913863"/>
    <w:rsid w:val="00913B73"/>
    <w:rsid w:val="00913C62"/>
    <w:rsid w:val="009143C1"/>
    <w:rsid w:val="009147BA"/>
    <w:rsid w:val="00914E96"/>
    <w:rsid w:val="00914ED5"/>
    <w:rsid w:val="009155E5"/>
    <w:rsid w:val="0091566D"/>
    <w:rsid w:val="009160AC"/>
    <w:rsid w:val="00916484"/>
    <w:rsid w:val="00916996"/>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52F5"/>
    <w:rsid w:val="009261BF"/>
    <w:rsid w:val="009266A4"/>
    <w:rsid w:val="00926AD5"/>
    <w:rsid w:val="00926EC9"/>
    <w:rsid w:val="009272C6"/>
    <w:rsid w:val="009279B7"/>
    <w:rsid w:val="0093051C"/>
    <w:rsid w:val="0093056D"/>
    <w:rsid w:val="00930866"/>
    <w:rsid w:val="0093107E"/>
    <w:rsid w:val="009313EE"/>
    <w:rsid w:val="00931A9D"/>
    <w:rsid w:val="00931E55"/>
    <w:rsid w:val="009328F8"/>
    <w:rsid w:val="00932F82"/>
    <w:rsid w:val="009336A3"/>
    <w:rsid w:val="00933910"/>
    <w:rsid w:val="00933A3E"/>
    <w:rsid w:val="009348FC"/>
    <w:rsid w:val="00934D39"/>
    <w:rsid w:val="00934DEB"/>
    <w:rsid w:val="00935456"/>
    <w:rsid w:val="0093548A"/>
    <w:rsid w:val="00935F94"/>
    <w:rsid w:val="00936381"/>
    <w:rsid w:val="00936B1D"/>
    <w:rsid w:val="00936DD1"/>
    <w:rsid w:val="00936F5C"/>
    <w:rsid w:val="00936F84"/>
    <w:rsid w:val="0093709F"/>
    <w:rsid w:val="009376D4"/>
    <w:rsid w:val="009376D7"/>
    <w:rsid w:val="00937A6E"/>
    <w:rsid w:val="00940234"/>
    <w:rsid w:val="00940851"/>
    <w:rsid w:val="00941194"/>
    <w:rsid w:val="0094125B"/>
    <w:rsid w:val="00941352"/>
    <w:rsid w:val="0094160F"/>
    <w:rsid w:val="0094214C"/>
    <w:rsid w:val="0094229E"/>
    <w:rsid w:val="009422BC"/>
    <w:rsid w:val="0094287F"/>
    <w:rsid w:val="00942B51"/>
    <w:rsid w:val="009430E5"/>
    <w:rsid w:val="0094315F"/>
    <w:rsid w:val="009431A3"/>
    <w:rsid w:val="009432CB"/>
    <w:rsid w:val="0094359E"/>
    <w:rsid w:val="009436D4"/>
    <w:rsid w:val="00943AFE"/>
    <w:rsid w:val="00943B48"/>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3C3"/>
    <w:rsid w:val="0095242E"/>
    <w:rsid w:val="009532F6"/>
    <w:rsid w:val="009538A9"/>
    <w:rsid w:val="00953A7B"/>
    <w:rsid w:val="00953B97"/>
    <w:rsid w:val="00954408"/>
    <w:rsid w:val="00954D0E"/>
    <w:rsid w:val="00954FE1"/>
    <w:rsid w:val="0095542B"/>
    <w:rsid w:val="009556AE"/>
    <w:rsid w:val="00955DD9"/>
    <w:rsid w:val="009565BD"/>
    <w:rsid w:val="00956939"/>
    <w:rsid w:val="00956AAC"/>
    <w:rsid w:val="00956AB0"/>
    <w:rsid w:val="00956B15"/>
    <w:rsid w:val="00956BC0"/>
    <w:rsid w:val="009578F0"/>
    <w:rsid w:val="00961878"/>
    <w:rsid w:val="00961B62"/>
    <w:rsid w:val="00961EF6"/>
    <w:rsid w:val="009620E7"/>
    <w:rsid w:val="00962780"/>
    <w:rsid w:val="00962B87"/>
    <w:rsid w:val="00962E13"/>
    <w:rsid w:val="00962FF1"/>
    <w:rsid w:val="009630CE"/>
    <w:rsid w:val="00963209"/>
    <w:rsid w:val="009641AD"/>
    <w:rsid w:val="009641EB"/>
    <w:rsid w:val="009642EC"/>
    <w:rsid w:val="009647A2"/>
    <w:rsid w:val="00964E73"/>
    <w:rsid w:val="00965248"/>
    <w:rsid w:val="00965427"/>
    <w:rsid w:val="00965842"/>
    <w:rsid w:val="00966017"/>
    <w:rsid w:val="0096653F"/>
    <w:rsid w:val="009679D9"/>
    <w:rsid w:val="009703F8"/>
    <w:rsid w:val="0097067B"/>
    <w:rsid w:val="00970E67"/>
    <w:rsid w:val="0097105D"/>
    <w:rsid w:val="009712AE"/>
    <w:rsid w:val="009715BE"/>
    <w:rsid w:val="0097174E"/>
    <w:rsid w:val="00971BE0"/>
    <w:rsid w:val="00971EFA"/>
    <w:rsid w:val="0097253D"/>
    <w:rsid w:val="009725A2"/>
    <w:rsid w:val="00972CE5"/>
    <w:rsid w:val="00972EBF"/>
    <w:rsid w:val="00973313"/>
    <w:rsid w:val="00973381"/>
    <w:rsid w:val="00973E62"/>
    <w:rsid w:val="00974130"/>
    <w:rsid w:val="00974399"/>
    <w:rsid w:val="00974915"/>
    <w:rsid w:val="009752C7"/>
    <w:rsid w:val="009759F2"/>
    <w:rsid w:val="00975F0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170"/>
    <w:rsid w:val="00981469"/>
    <w:rsid w:val="00981AF3"/>
    <w:rsid w:val="00982497"/>
    <w:rsid w:val="00982885"/>
    <w:rsid w:val="009828CF"/>
    <w:rsid w:val="00982C61"/>
    <w:rsid w:val="00982CD1"/>
    <w:rsid w:val="0098342A"/>
    <w:rsid w:val="00983819"/>
    <w:rsid w:val="00983AE1"/>
    <w:rsid w:val="00983E85"/>
    <w:rsid w:val="00984082"/>
    <w:rsid w:val="009854B6"/>
    <w:rsid w:val="00985829"/>
    <w:rsid w:val="00985ACC"/>
    <w:rsid w:val="00985D36"/>
    <w:rsid w:val="00985DBA"/>
    <w:rsid w:val="009865D6"/>
    <w:rsid w:val="00986975"/>
    <w:rsid w:val="0098757B"/>
    <w:rsid w:val="00987708"/>
    <w:rsid w:val="00987CA0"/>
    <w:rsid w:val="00990506"/>
    <w:rsid w:val="0099057E"/>
    <w:rsid w:val="00990883"/>
    <w:rsid w:val="00990F79"/>
    <w:rsid w:val="009910DC"/>
    <w:rsid w:val="00991584"/>
    <w:rsid w:val="0099172C"/>
    <w:rsid w:val="00991B19"/>
    <w:rsid w:val="00991E0C"/>
    <w:rsid w:val="00991F23"/>
    <w:rsid w:val="00992605"/>
    <w:rsid w:val="00992CD6"/>
    <w:rsid w:val="0099339C"/>
    <w:rsid w:val="00993599"/>
    <w:rsid w:val="009943CD"/>
    <w:rsid w:val="00994CCA"/>
    <w:rsid w:val="00996FFF"/>
    <w:rsid w:val="009974A8"/>
    <w:rsid w:val="009975C9"/>
    <w:rsid w:val="009A0A09"/>
    <w:rsid w:val="009A0A9F"/>
    <w:rsid w:val="009A1489"/>
    <w:rsid w:val="009A14E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058"/>
    <w:rsid w:val="009B03C9"/>
    <w:rsid w:val="009B03D5"/>
    <w:rsid w:val="009B0A9C"/>
    <w:rsid w:val="009B10AE"/>
    <w:rsid w:val="009B1240"/>
    <w:rsid w:val="009B1690"/>
    <w:rsid w:val="009B18D7"/>
    <w:rsid w:val="009B1C40"/>
    <w:rsid w:val="009B1FD6"/>
    <w:rsid w:val="009B23EE"/>
    <w:rsid w:val="009B257E"/>
    <w:rsid w:val="009B3610"/>
    <w:rsid w:val="009B37D3"/>
    <w:rsid w:val="009B4C61"/>
    <w:rsid w:val="009B4CB0"/>
    <w:rsid w:val="009B4CE0"/>
    <w:rsid w:val="009B5208"/>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33BC"/>
    <w:rsid w:val="009D41AC"/>
    <w:rsid w:val="009D4244"/>
    <w:rsid w:val="009D55EE"/>
    <w:rsid w:val="009D58A8"/>
    <w:rsid w:val="009D5970"/>
    <w:rsid w:val="009D59AE"/>
    <w:rsid w:val="009D5C32"/>
    <w:rsid w:val="009D73F5"/>
    <w:rsid w:val="009D740A"/>
    <w:rsid w:val="009D7894"/>
    <w:rsid w:val="009D7D93"/>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4C6"/>
    <w:rsid w:val="009F0A3A"/>
    <w:rsid w:val="009F0BD3"/>
    <w:rsid w:val="009F1849"/>
    <w:rsid w:val="009F1A72"/>
    <w:rsid w:val="009F1A79"/>
    <w:rsid w:val="009F1F49"/>
    <w:rsid w:val="009F254C"/>
    <w:rsid w:val="009F2CB1"/>
    <w:rsid w:val="009F3218"/>
    <w:rsid w:val="009F354F"/>
    <w:rsid w:val="009F394C"/>
    <w:rsid w:val="009F3A44"/>
    <w:rsid w:val="009F4F1D"/>
    <w:rsid w:val="009F4F93"/>
    <w:rsid w:val="009F556C"/>
    <w:rsid w:val="009F63EE"/>
    <w:rsid w:val="009F711E"/>
    <w:rsid w:val="009F7F2B"/>
    <w:rsid w:val="00A0001D"/>
    <w:rsid w:val="00A01037"/>
    <w:rsid w:val="00A0119C"/>
    <w:rsid w:val="00A017D4"/>
    <w:rsid w:val="00A01C9C"/>
    <w:rsid w:val="00A01E3D"/>
    <w:rsid w:val="00A01F05"/>
    <w:rsid w:val="00A0267D"/>
    <w:rsid w:val="00A0287D"/>
    <w:rsid w:val="00A03332"/>
    <w:rsid w:val="00A0369C"/>
    <w:rsid w:val="00A03771"/>
    <w:rsid w:val="00A04024"/>
    <w:rsid w:val="00A04595"/>
    <w:rsid w:val="00A052E4"/>
    <w:rsid w:val="00A0541B"/>
    <w:rsid w:val="00A05DBE"/>
    <w:rsid w:val="00A06208"/>
    <w:rsid w:val="00A0628B"/>
    <w:rsid w:val="00A068D9"/>
    <w:rsid w:val="00A06EB9"/>
    <w:rsid w:val="00A1016F"/>
    <w:rsid w:val="00A105AE"/>
    <w:rsid w:val="00A10601"/>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32B"/>
    <w:rsid w:val="00A22AF7"/>
    <w:rsid w:val="00A23211"/>
    <w:rsid w:val="00A23A7D"/>
    <w:rsid w:val="00A2405B"/>
    <w:rsid w:val="00A241BB"/>
    <w:rsid w:val="00A25467"/>
    <w:rsid w:val="00A2551C"/>
    <w:rsid w:val="00A25A79"/>
    <w:rsid w:val="00A25C16"/>
    <w:rsid w:val="00A2617B"/>
    <w:rsid w:val="00A264EE"/>
    <w:rsid w:val="00A27672"/>
    <w:rsid w:val="00A27DBB"/>
    <w:rsid w:val="00A27EBC"/>
    <w:rsid w:val="00A27EF7"/>
    <w:rsid w:val="00A30028"/>
    <w:rsid w:val="00A301EF"/>
    <w:rsid w:val="00A3040F"/>
    <w:rsid w:val="00A3123A"/>
    <w:rsid w:val="00A3168A"/>
    <w:rsid w:val="00A31CD2"/>
    <w:rsid w:val="00A32EFA"/>
    <w:rsid w:val="00A32F53"/>
    <w:rsid w:val="00A335F7"/>
    <w:rsid w:val="00A33696"/>
    <w:rsid w:val="00A339B5"/>
    <w:rsid w:val="00A339FB"/>
    <w:rsid w:val="00A348FE"/>
    <w:rsid w:val="00A34B01"/>
    <w:rsid w:val="00A34CCC"/>
    <w:rsid w:val="00A3521C"/>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23C"/>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13AD"/>
    <w:rsid w:val="00A51CD4"/>
    <w:rsid w:val="00A52796"/>
    <w:rsid w:val="00A53AB4"/>
    <w:rsid w:val="00A53DBB"/>
    <w:rsid w:val="00A53FB6"/>
    <w:rsid w:val="00A541A4"/>
    <w:rsid w:val="00A5498C"/>
    <w:rsid w:val="00A549E2"/>
    <w:rsid w:val="00A54FE4"/>
    <w:rsid w:val="00A5541A"/>
    <w:rsid w:val="00A56092"/>
    <w:rsid w:val="00A567CB"/>
    <w:rsid w:val="00A57263"/>
    <w:rsid w:val="00A57B23"/>
    <w:rsid w:val="00A57DEC"/>
    <w:rsid w:val="00A6094A"/>
    <w:rsid w:val="00A60C13"/>
    <w:rsid w:val="00A615A6"/>
    <w:rsid w:val="00A61AD5"/>
    <w:rsid w:val="00A61C95"/>
    <w:rsid w:val="00A62ADC"/>
    <w:rsid w:val="00A62DEF"/>
    <w:rsid w:val="00A631F6"/>
    <w:rsid w:val="00A637C6"/>
    <w:rsid w:val="00A63824"/>
    <w:rsid w:val="00A63A5F"/>
    <w:rsid w:val="00A63D9A"/>
    <w:rsid w:val="00A63FAB"/>
    <w:rsid w:val="00A6458B"/>
    <w:rsid w:val="00A64688"/>
    <w:rsid w:val="00A649B7"/>
    <w:rsid w:val="00A64C0E"/>
    <w:rsid w:val="00A65221"/>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0761"/>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87A64"/>
    <w:rsid w:val="00A915F4"/>
    <w:rsid w:val="00A916EF"/>
    <w:rsid w:val="00A917A9"/>
    <w:rsid w:val="00A91C36"/>
    <w:rsid w:val="00A91D41"/>
    <w:rsid w:val="00A926F4"/>
    <w:rsid w:val="00A93964"/>
    <w:rsid w:val="00A93F51"/>
    <w:rsid w:val="00A940CD"/>
    <w:rsid w:val="00A94153"/>
    <w:rsid w:val="00A94747"/>
    <w:rsid w:val="00A947D6"/>
    <w:rsid w:val="00A955C0"/>
    <w:rsid w:val="00A95C9D"/>
    <w:rsid w:val="00A96010"/>
    <w:rsid w:val="00A9684D"/>
    <w:rsid w:val="00A97402"/>
    <w:rsid w:val="00A97873"/>
    <w:rsid w:val="00A979F1"/>
    <w:rsid w:val="00AA0321"/>
    <w:rsid w:val="00AA0426"/>
    <w:rsid w:val="00AA0700"/>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1A11"/>
    <w:rsid w:val="00AB2400"/>
    <w:rsid w:val="00AB25DF"/>
    <w:rsid w:val="00AB2F78"/>
    <w:rsid w:val="00AB2FCB"/>
    <w:rsid w:val="00AB4233"/>
    <w:rsid w:val="00AB4DCD"/>
    <w:rsid w:val="00AB4F87"/>
    <w:rsid w:val="00AB5377"/>
    <w:rsid w:val="00AB5B77"/>
    <w:rsid w:val="00AB763D"/>
    <w:rsid w:val="00AB7891"/>
    <w:rsid w:val="00AB7B94"/>
    <w:rsid w:val="00AB7D08"/>
    <w:rsid w:val="00AB7F83"/>
    <w:rsid w:val="00AC0639"/>
    <w:rsid w:val="00AC0B81"/>
    <w:rsid w:val="00AC1D7C"/>
    <w:rsid w:val="00AC2090"/>
    <w:rsid w:val="00AC2300"/>
    <w:rsid w:val="00AC328A"/>
    <w:rsid w:val="00AC3451"/>
    <w:rsid w:val="00AC3506"/>
    <w:rsid w:val="00AC37C7"/>
    <w:rsid w:val="00AC387E"/>
    <w:rsid w:val="00AC4232"/>
    <w:rsid w:val="00AC4346"/>
    <w:rsid w:val="00AC4DD2"/>
    <w:rsid w:val="00AC5210"/>
    <w:rsid w:val="00AC54BD"/>
    <w:rsid w:val="00AC5BDF"/>
    <w:rsid w:val="00AC5DA2"/>
    <w:rsid w:val="00AC653D"/>
    <w:rsid w:val="00AC662A"/>
    <w:rsid w:val="00AC665E"/>
    <w:rsid w:val="00AC6903"/>
    <w:rsid w:val="00AC6B95"/>
    <w:rsid w:val="00AC6E76"/>
    <w:rsid w:val="00AC722F"/>
    <w:rsid w:val="00AC7290"/>
    <w:rsid w:val="00AC7669"/>
    <w:rsid w:val="00AC79C9"/>
    <w:rsid w:val="00AD03B9"/>
    <w:rsid w:val="00AD0AF6"/>
    <w:rsid w:val="00AD1000"/>
    <w:rsid w:val="00AD277E"/>
    <w:rsid w:val="00AD343E"/>
    <w:rsid w:val="00AD39FB"/>
    <w:rsid w:val="00AD3A02"/>
    <w:rsid w:val="00AD3B2B"/>
    <w:rsid w:val="00AD4267"/>
    <w:rsid w:val="00AD476A"/>
    <w:rsid w:val="00AD47AA"/>
    <w:rsid w:val="00AD4ABF"/>
    <w:rsid w:val="00AD4C67"/>
    <w:rsid w:val="00AD52D1"/>
    <w:rsid w:val="00AD54E1"/>
    <w:rsid w:val="00AD54E5"/>
    <w:rsid w:val="00AD5632"/>
    <w:rsid w:val="00AD5B3B"/>
    <w:rsid w:val="00AD5BCF"/>
    <w:rsid w:val="00AD6222"/>
    <w:rsid w:val="00AD6306"/>
    <w:rsid w:val="00AD6718"/>
    <w:rsid w:val="00AD67DE"/>
    <w:rsid w:val="00AD7076"/>
    <w:rsid w:val="00AD739C"/>
    <w:rsid w:val="00AE070A"/>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E7EA4"/>
    <w:rsid w:val="00AE7F44"/>
    <w:rsid w:val="00AF0329"/>
    <w:rsid w:val="00AF0774"/>
    <w:rsid w:val="00AF11B5"/>
    <w:rsid w:val="00AF1C76"/>
    <w:rsid w:val="00AF1F48"/>
    <w:rsid w:val="00AF2007"/>
    <w:rsid w:val="00AF2612"/>
    <w:rsid w:val="00AF2F60"/>
    <w:rsid w:val="00AF3889"/>
    <w:rsid w:val="00AF39DC"/>
    <w:rsid w:val="00AF3B73"/>
    <w:rsid w:val="00AF3BD3"/>
    <w:rsid w:val="00AF3F13"/>
    <w:rsid w:val="00AF3FE3"/>
    <w:rsid w:val="00AF4442"/>
    <w:rsid w:val="00AF4A53"/>
    <w:rsid w:val="00AF4F33"/>
    <w:rsid w:val="00AF52DC"/>
    <w:rsid w:val="00AF5D65"/>
    <w:rsid w:val="00AF6195"/>
    <w:rsid w:val="00AF6305"/>
    <w:rsid w:val="00AF6A68"/>
    <w:rsid w:val="00AF7099"/>
    <w:rsid w:val="00AF72F9"/>
    <w:rsid w:val="00B001C6"/>
    <w:rsid w:val="00B008DF"/>
    <w:rsid w:val="00B00BB3"/>
    <w:rsid w:val="00B00E5C"/>
    <w:rsid w:val="00B011D8"/>
    <w:rsid w:val="00B0131B"/>
    <w:rsid w:val="00B014AD"/>
    <w:rsid w:val="00B01819"/>
    <w:rsid w:val="00B018F4"/>
    <w:rsid w:val="00B01C50"/>
    <w:rsid w:val="00B0202C"/>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1A6E"/>
    <w:rsid w:val="00B123B7"/>
    <w:rsid w:val="00B13CB1"/>
    <w:rsid w:val="00B147D8"/>
    <w:rsid w:val="00B14BEA"/>
    <w:rsid w:val="00B15F1F"/>
    <w:rsid w:val="00B167CE"/>
    <w:rsid w:val="00B16B62"/>
    <w:rsid w:val="00B16DD7"/>
    <w:rsid w:val="00B17902"/>
    <w:rsid w:val="00B17A2E"/>
    <w:rsid w:val="00B17C66"/>
    <w:rsid w:val="00B20292"/>
    <w:rsid w:val="00B206B1"/>
    <w:rsid w:val="00B22004"/>
    <w:rsid w:val="00B227D8"/>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403"/>
    <w:rsid w:val="00B32623"/>
    <w:rsid w:val="00B32BC9"/>
    <w:rsid w:val="00B331DC"/>
    <w:rsid w:val="00B334E3"/>
    <w:rsid w:val="00B33BCF"/>
    <w:rsid w:val="00B3520E"/>
    <w:rsid w:val="00B35546"/>
    <w:rsid w:val="00B3556A"/>
    <w:rsid w:val="00B35594"/>
    <w:rsid w:val="00B3580D"/>
    <w:rsid w:val="00B35832"/>
    <w:rsid w:val="00B359BE"/>
    <w:rsid w:val="00B366E5"/>
    <w:rsid w:val="00B36879"/>
    <w:rsid w:val="00B36B6D"/>
    <w:rsid w:val="00B36CFF"/>
    <w:rsid w:val="00B3756E"/>
    <w:rsid w:val="00B401AE"/>
    <w:rsid w:val="00B402BB"/>
    <w:rsid w:val="00B403A3"/>
    <w:rsid w:val="00B40599"/>
    <w:rsid w:val="00B414AF"/>
    <w:rsid w:val="00B41708"/>
    <w:rsid w:val="00B4206F"/>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0ED2"/>
    <w:rsid w:val="00B51EF7"/>
    <w:rsid w:val="00B5205A"/>
    <w:rsid w:val="00B52363"/>
    <w:rsid w:val="00B524C0"/>
    <w:rsid w:val="00B52693"/>
    <w:rsid w:val="00B52CF9"/>
    <w:rsid w:val="00B52D9E"/>
    <w:rsid w:val="00B52E12"/>
    <w:rsid w:val="00B530F8"/>
    <w:rsid w:val="00B5316A"/>
    <w:rsid w:val="00B53C31"/>
    <w:rsid w:val="00B5445A"/>
    <w:rsid w:val="00B555A9"/>
    <w:rsid w:val="00B55A15"/>
    <w:rsid w:val="00B55A1E"/>
    <w:rsid w:val="00B55E82"/>
    <w:rsid w:val="00B55ED0"/>
    <w:rsid w:val="00B56334"/>
    <w:rsid w:val="00B563AF"/>
    <w:rsid w:val="00B563E9"/>
    <w:rsid w:val="00B56902"/>
    <w:rsid w:val="00B56922"/>
    <w:rsid w:val="00B56B70"/>
    <w:rsid w:val="00B57983"/>
    <w:rsid w:val="00B57C81"/>
    <w:rsid w:val="00B6036B"/>
    <w:rsid w:val="00B604C8"/>
    <w:rsid w:val="00B60ED0"/>
    <w:rsid w:val="00B61427"/>
    <w:rsid w:val="00B61DD4"/>
    <w:rsid w:val="00B61DE7"/>
    <w:rsid w:val="00B61FBA"/>
    <w:rsid w:val="00B62189"/>
    <w:rsid w:val="00B627E7"/>
    <w:rsid w:val="00B6283F"/>
    <w:rsid w:val="00B62F33"/>
    <w:rsid w:val="00B630AC"/>
    <w:rsid w:val="00B63937"/>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4147"/>
    <w:rsid w:val="00B850CE"/>
    <w:rsid w:val="00B85CE0"/>
    <w:rsid w:val="00B862C0"/>
    <w:rsid w:val="00B863D9"/>
    <w:rsid w:val="00B864BA"/>
    <w:rsid w:val="00B86606"/>
    <w:rsid w:val="00B86C03"/>
    <w:rsid w:val="00B86E98"/>
    <w:rsid w:val="00B90192"/>
    <w:rsid w:val="00B90A49"/>
    <w:rsid w:val="00B90B9B"/>
    <w:rsid w:val="00B90C7D"/>
    <w:rsid w:val="00B91455"/>
    <w:rsid w:val="00B91632"/>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9D3"/>
    <w:rsid w:val="00BA7B4B"/>
    <w:rsid w:val="00BA7CCE"/>
    <w:rsid w:val="00BB0517"/>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218"/>
    <w:rsid w:val="00BB6888"/>
    <w:rsid w:val="00BB6D50"/>
    <w:rsid w:val="00BB6EFD"/>
    <w:rsid w:val="00BB75F8"/>
    <w:rsid w:val="00BB7709"/>
    <w:rsid w:val="00BB779D"/>
    <w:rsid w:val="00BB7899"/>
    <w:rsid w:val="00BB789F"/>
    <w:rsid w:val="00BB7A4D"/>
    <w:rsid w:val="00BC0217"/>
    <w:rsid w:val="00BC066E"/>
    <w:rsid w:val="00BC068E"/>
    <w:rsid w:val="00BC107E"/>
    <w:rsid w:val="00BC1C7C"/>
    <w:rsid w:val="00BC205F"/>
    <w:rsid w:val="00BC31E2"/>
    <w:rsid w:val="00BC3D44"/>
    <w:rsid w:val="00BC4213"/>
    <w:rsid w:val="00BC4C7F"/>
    <w:rsid w:val="00BC4FF8"/>
    <w:rsid w:val="00BC5717"/>
    <w:rsid w:val="00BC5C80"/>
    <w:rsid w:val="00BC5D5B"/>
    <w:rsid w:val="00BC5F08"/>
    <w:rsid w:val="00BC6161"/>
    <w:rsid w:val="00BC65A4"/>
    <w:rsid w:val="00BC65B2"/>
    <w:rsid w:val="00BC6DAD"/>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85C"/>
    <w:rsid w:val="00BD4AA0"/>
    <w:rsid w:val="00BD521B"/>
    <w:rsid w:val="00BD5E89"/>
    <w:rsid w:val="00BD6053"/>
    <w:rsid w:val="00BD6593"/>
    <w:rsid w:val="00BD66B2"/>
    <w:rsid w:val="00BD71AD"/>
    <w:rsid w:val="00BD73E5"/>
    <w:rsid w:val="00BD7633"/>
    <w:rsid w:val="00BD76B1"/>
    <w:rsid w:val="00BD7725"/>
    <w:rsid w:val="00BD782C"/>
    <w:rsid w:val="00BD786C"/>
    <w:rsid w:val="00BD78AD"/>
    <w:rsid w:val="00BD78F4"/>
    <w:rsid w:val="00BD7CDA"/>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E7ED8"/>
    <w:rsid w:val="00BF0159"/>
    <w:rsid w:val="00BF03E8"/>
    <w:rsid w:val="00BF03F1"/>
    <w:rsid w:val="00BF0BB5"/>
    <w:rsid w:val="00BF0D84"/>
    <w:rsid w:val="00BF1423"/>
    <w:rsid w:val="00BF18FE"/>
    <w:rsid w:val="00BF1C55"/>
    <w:rsid w:val="00BF1F5C"/>
    <w:rsid w:val="00BF224A"/>
    <w:rsid w:val="00BF272F"/>
    <w:rsid w:val="00BF28A4"/>
    <w:rsid w:val="00BF37C5"/>
    <w:rsid w:val="00BF3AAA"/>
    <w:rsid w:val="00BF3C20"/>
    <w:rsid w:val="00BF42FD"/>
    <w:rsid w:val="00BF4810"/>
    <w:rsid w:val="00BF497A"/>
    <w:rsid w:val="00BF4AC8"/>
    <w:rsid w:val="00BF4E3E"/>
    <w:rsid w:val="00BF5598"/>
    <w:rsid w:val="00BF5BF6"/>
    <w:rsid w:val="00BF5E37"/>
    <w:rsid w:val="00BF6983"/>
    <w:rsid w:val="00BF70D4"/>
    <w:rsid w:val="00BF71E4"/>
    <w:rsid w:val="00BF7206"/>
    <w:rsid w:val="00BF7831"/>
    <w:rsid w:val="00BF7B13"/>
    <w:rsid w:val="00BF7DBB"/>
    <w:rsid w:val="00BF7F37"/>
    <w:rsid w:val="00C000A0"/>
    <w:rsid w:val="00C00585"/>
    <w:rsid w:val="00C00865"/>
    <w:rsid w:val="00C010A6"/>
    <w:rsid w:val="00C0153B"/>
    <w:rsid w:val="00C0163D"/>
    <w:rsid w:val="00C017CA"/>
    <w:rsid w:val="00C02152"/>
    <w:rsid w:val="00C0264E"/>
    <w:rsid w:val="00C035DE"/>
    <w:rsid w:val="00C03CE8"/>
    <w:rsid w:val="00C04252"/>
    <w:rsid w:val="00C0494D"/>
    <w:rsid w:val="00C0531C"/>
    <w:rsid w:val="00C05806"/>
    <w:rsid w:val="00C05FA3"/>
    <w:rsid w:val="00C06A1F"/>
    <w:rsid w:val="00C06D0D"/>
    <w:rsid w:val="00C07158"/>
    <w:rsid w:val="00C073A5"/>
    <w:rsid w:val="00C108A9"/>
    <w:rsid w:val="00C10D63"/>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1566"/>
    <w:rsid w:val="00C226C2"/>
    <w:rsid w:val="00C2297F"/>
    <w:rsid w:val="00C22CC3"/>
    <w:rsid w:val="00C2305A"/>
    <w:rsid w:val="00C23CC9"/>
    <w:rsid w:val="00C24114"/>
    <w:rsid w:val="00C24294"/>
    <w:rsid w:val="00C24503"/>
    <w:rsid w:val="00C2450A"/>
    <w:rsid w:val="00C248DB"/>
    <w:rsid w:val="00C248DD"/>
    <w:rsid w:val="00C2492B"/>
    <w:rsid w:val="00C2557A"/>
    <w:rsid w:val="00C255F6"/>
    <w:rsid w:val="00C256E7"/>
    <w:rsid w:val="00C25831"/>
    <w:rsid w:val="00C2605E"/>
    <w:rsid w:val="00C262C5"/>
    <w:rsid w:val="00C26EDD"/>
    <w:rsid w:val="00C27400"/>
    <w:rsid w:val="00C27BF6"/>
    <w:rsid w:val="00C27C80"/>
    <w:rsid w:val="00C27C9C"/>
    <w:rsid w:val="00C30237"/>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3EE6"/>
    <w:rsid w:val="00C34138"/>
    <w:rsid w:val="00C34324"/>
    <w:rsid w:val="00C344E9"/>
    <w:rsid w:val="00C3492B"/>
    <w:rsid w:val="00C34969"/>
    <w:rsid w:val="00C34B08"/>
    <w:rsid w:val="00C35315"/>
    <w:rsid w:val="00C35554"/>
    <w:rsid w:val="00C3555A"/>
    <w:rsid w:val="00C3626C"/>
    <w:rsid w:val="00C364C5"/>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585"/>
    <w:rsid w:val="00C45757"/>
    <w:rsid w:val="00C4609E"/>
    <w:rsid w:val="00C46807"/>
    <w:rsid w:val="00C4699B"/>
    <w:rsid w:val="00C47318"/>
    <w:rsid w:val="00C47D44"/>
    <w:rsid w:val="00C50B1E"/>
    <w:rsid w:val="00C51C72"/>
    <w:rsid w:val="00C51CB1"/>
    <w:rsid w:val="00C51F30"/>
    <w:rsid w:val="00C521B4"/>
    <w:rsid w:val="00C52914"/>
    <w:rsid w:val="00C539F2"/>
    <w:rsid w:val="00C544CC"/>
    <w:rsid w:val="00C546E7"/>
    <w:rsid w:val="00C55114"/>
    <w:rsid w:val="00C557D2"/>
    <w:rsid w:val="00C55DC9"/>
    <w:rsid w:val="00C56262"/>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077"/>
    <w:rsid w:val="00C653BA"/>
    <w:rsid w:val="00C657B4"/>
    <w:rsid w:val="00C6774F"/>
    <w:rsid w:val="00C677AA"/>
    <w:rsid w:val="00C67EA3"/>
    <w:rsid w:val="00C70669"/>
    <w:rsid w:val="00C707DC"/>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B9"/>
    <w:rsid w:val="00C76377"/>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17"/>
    <w:rsid w:val="00C91D26"/>
    <w:rsid w:val="00C92141"/>
    <w:rsid w:val="00C92267"/>
    <w:rsid w:val="00C934CB"/>
    <w:rsid w:val="00C93941"/>
    <w:rsid w:val="00C94857"/>
    <w:rsid w:val="00C959C2"/>
    <w:rsid w:val="00C95BC5"/>
    <w:rsid w:val="00C95DEA"/>
    <w:rsid w:val="00C95FCA"/>
    <w:rsid w:val="00C96EB9"/>
    <w:rsid w:val="00C974ED"/>
    <w:rsid w:val="00C976AC"/>
    <w:rsid w:val="00C97A8D"/>
    <w:rsid w:val="00C97E8D"/>
    <w:rsid w:val="00C97F02"/>
    <w:rsid w:val="00CA0083"/>
    <w:rsid w:val="00CA009A"/>
    <w:rsid w:val="00CA04C0"/>
    <w:rsid w:val="00CA0837"/>
    <w:rsid w:val="00CA0BD9"/>
    <w:rsid w:val="00CA11E9"/>
    <w:rsid w:val="00CA12B2"/>
    <w:rsid w:val="00CA14DD"/>
    <w:rsid w:val="00CA2D4E"/>
    <w:rsid w:val="00CA2FBE"/>
    <w:rsid w:val="00CA325C"/>
    <w:rsid w:val="00CA4064"/>
    <w:rsid w:val="00CA41D2"/>
    <w:rsid w:val="00CA4753"/>
    <w:rsid w:val="00CA4D91"/>
    <w:rsid w:val="00CA4EB1"/>
    <w:rsid w:val="00CA4F20"/>
    <w:rsid w:val="00CA5080"/>
    <w:rsid w:val="00CA5908"/>
    <w:rsid w:val="00CA5A5A"/>
    <w:rsid w:val="00CA5D21"/>
    <w:rsid w:val="00CA5F84"/>
    <w:rsid w:val="00CA6512"/>
    <w:rsid w:val="00CA722D"/>
    <w:rsid w:val="00CA7A61"/>
    <w:rsid w:val="00CA7BF2"/>
    <w:rsid w:val="00CB0A21"/>
    <w:rsid w:val="00CB0C16"/>
    <w:rsid w:val="00CB1327"/>
    <w:rsid w:val="00CB144F"/>
    <w:rsid w:val="00CB149F"/>
    <w:rsid w:val="00CB1EAE"/>
    <w:rsid w:val="00CB1F5B"/>
    <w:rsid w:val="00CB2107"/>
    <w:rsid w:val="00CB2147"/>
    <w:rsid w:val="00CB2248"/>
    <w:rsid w:val="00CB28EA"/>
    <w:rsid w:val="00CB30F5"/>
    <w:rsid w:val="00CB315D"/>
    <w:rsid w:val="00CB3699"/>
    <w:rsid w:val="00CB3718"/>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1F12"/>
    <w:rsid w:val="00CD2331"/>
    <w:rsid w:val="00CD2889"/>
    <w:rsid w:val="00CD34FD"/>
    <w:rsid w:val="00CD35E8"/>
    <w:rsid w:val="00CD3E17"/>
    <w:rsid w:val="00CD3EFC"/>
    <w:rsid w:val="00CD467E"/>
    <w:rsid w:val="00CD4860"/>
    <w:rsid w:val="00CD4B86"/>
    <w:rsid w:val="00CD4E3B"/>
    <w:rsid w:val="00CD50A4"/>
    <w:rsid w:val="00CD51ED"/>
    <w:rsid w:val="00CD5C55"/>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203"/>
    <w:rsid w:val="00CF5BA3"/>
    <w:rsid w:val="00CF637A"/>
    <w:rsid w:val="00CF6518"/>
    <w:rsid w:val="00CF7740"/>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ABC"/>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0A43"/>
    <w:rsid w:val="00D3182A"/>
    <w:rsid w:val="00D31D84"/>
    <w:rsid w:val="00D32136"/>
    <w:rsid w:val="00D3222B"/>
    <w:rsid w:val="00D3227D"/>
    <w:rsid w:val="00D323CB"/>
    <w:rsid w:val="00D32BF6"/>
    <w:rsid w:val="00D330D8"/>
    <w:rsid w:val="00D33197"/>
    <w:rsid w:val="00D331C9"/>
    <w:rsid w:val="00D33567"/>
    <w:rsid w:val="00D33EEE"/>
    <w:rsid w:val="00D341A7"/>
    <w:rsid w:val="00D34B4B"/>
    <w:rsid w:val="00D34D16"/>
    <w:rsid w:val="00D35236"/>
    <w:rsid w:val="00D352F1"/>
    <w:rsid w:val="00D35305"/>
    <w:rsid w:val="00D3579C"/>
    <w:rsid w:val="00D37121"/>
    <w:rsid w:val="00D3746F"/>
    <w:rsid w:val="00D376AA"/>
    <w:rsid w:val="00D40043"/>
    <w:rsid w:val="00D40A47"/>
    <w:rsid w:val="00D41051"/>
    <w:rsid w:val="00D410F8"/>
    <w:rsid w:val="00D417AE"/>
    <w:rsid w:val="00D419F5"/>
    <w:rsid w:val="00D41B6F"/>
    <w:rsid w:val="00D41D33"/>
    <w:rsid w:val="00D41FED"/>
    <w:rsid w:val="00D43167"/>
    <w:rsid w:val="00D446AE"/>
    <w:rsid w:val="00D457ED"/>
    <w:rsid w:val="00D468B0"/>
    <w:rsid w:val="00D46A9C"/>
    <w:rsid w:val="00D46AEF"/>
    <w:rsid w:val="00D46D32"/>
    <w:rsid w:val="00D46EB7"/>
    <w:rsid w:val="00D46FA2"/>
    <w:rsid w:val="00D476EB"/>
    <w:rsid w:val="00D478AA"/>
    <w:rsid w:val="00D47F55"/>
    <w:rsid w:val="00D5010C"/>
    <w:rsid w:val="00D50FBA"/>
    <w:rsid w:val="00D51372"/>
    <w:rsid w:val="00D5162F"/>
    <w:rsid w:val="00D51AD6"/>
    <w:rsid w:val="00D51C50"/>
    <w:rsid w:val="00D525C5"/>
    <w:rsid w:val="00D5266D"/>
    <w:rsid w:val="00D52BBA"/>
    <w:rsid w:val="00D52C1C"/>
    <w:rsid w:val="00D536DC"/>
    <w:rsid w:val="00D53BD6"/>
    <w:rsid w:val="00D53FE0"/>
    <w:rsid w:val="00D5456F"/>
    <w:rsid w:val="00D548A9"/>
    <w:rsid w:val="00D54AEA"/>
    <w:rsid w:val="00D54E4B"/>
    <w:rsid w:val="00D55A96"/>
    <w:rsid w:val="00D56516"/>
    <w:rsid w:val="00D56796"/>
    <w:rsid w:val="00D56D40"/>
    <w:rsid w:val="00D56D85"/>
    <w:rsid w:val="00D57BE9"/>
    <w:rsid w:val="00D60345"/>
    <w:rsid w:val="00D606FC"/>
    <w:rsid w:val="00D60B6B"/>
    <w:rsid w:val="00D60C90"/>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06EC"/>
    <w:rsid w:val="00D721EC"/>
    <w:rsid w:val="00D726CE"/>
    <w:rsid w:val="00D72FFA"/>
    <w:rsid w:val="00D73677"/>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4642"/>
    <w:rsid w:val="00D855A5"/>
    <w:rsid w:val="00D855E1"/>
    <w:rsid w:val="00D857E6"/>
    <w:rsid w:val="00D85885"/>
    <w:rsid w:val="00D8653A"/>
    <w:rsid w:val="00D869CE"/>
    <w:rsid w:val="00D871CE"/>
    <w:rsid w:val="00D87542"/>
    <w:rsid w:val="00D876D2"/>
    <w:rsid w:val="00D879B1"/>
    <w:rsid w:val="00D87D77"/>
    <w:rsid w:val="00D90174"/>
    <w:rsid w:val="00D916CC"/>
    <w:rsid w:val="00D917C2"/>
    <w:rsid w:val="00D91AF5"/>
    <w:rsid w:val="00D920CA"/>
    <w:rsid w:val="00D927D8"/>
    <w:rsid w:val="00D92BFA"/>
    <w:rsid w:val="00D9313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58"/>
    <w:rsid w:val="00D9598E"/>
    <w:rsid w:val="00D95B44"/>
    <w:rsid w:val="00D95C20"/>
    <w:rsid w:val="00D961B5"/>
    <w:rsid w:val="00D961C7"/>
    <w:rsid w:val="00D965B2"/>
    <w:rsid w:val="00D9696E"/>
    <w:rsid w:val="00D96BFE"/>
    <w:rsid w:val="00D96F7E"/>
    <w:rsid w:val="00D9778A"/>
    <w:rsid w:val="00D97B59"/>
    <w:rsid w:val="00D97C16"/>
    <w:rsid w:val="00D97D49"/>
    <w:rsid w:val="00D97DD7"/>
    <w:rsid w:val="00DA022A"/>
    <w:rsid w:val="00DA025F"/>
    <w:rsid w:val="00DA04E9"/>
    <w:rsid w:val="00DA0755"/>
    <w:rsid w:val="00DA07A7"/>
    <w:rsid w:val="00DA08A5"/>
    <w:rsid w:val="00DA1D77"/>
    <w:rsid w:val="00DA23AB"/>
    <w:rsid w:val="00DA2B4B"/>
    <w:rsid w:val="00DA2BB3"/>
    <w:rsid w:val="00DA3F04"/>
    <w:rsid w:val="00DA4512"/>
    <w:rsid w:val="00DA48C9"/>
    <w:rsid w:val="00DA4A61"/>
    <w:rsid w:val="00DA4D03"/>
    <w:rsid w:val="00DA4EAF"/>
    <w:rsid w:val="00DA56A0"/>
    <w:rsid w:val="00DA5A16"/>
    <w:rsid w:val="00DA6949"/>
    <w:rsid w:val="00DA7D0B"/>
    <w:rsid w:val="00DB07CA"/>
    <w:rsid w:val="00DB0823"/>
    <w:rsid w:val="00DB0A27"/>
    <w:rsid w:val="00DB0E2A"/>
    <w:rsid w:val="00DB111E"/>
    <w:rsid w:val="00DB15C3"/>
    <w:rsid w:val="00DB19F5"/>
    <w:rsid w:val="00DB23D7"/>
    <w:rsid w:val="00DB2629"/>
    <w:rsid w:val="00DB2718"/>
    <w:rsid w:val="00DB2773"/>
    <w:rsid w:val="00DB27E9"/>
    <w:rsid w:val="00DB2A06"/>
    <w:rsid w:val="00DB383F"/>
    <w:rsid w:val="00DB3A50"/>
    <w:rsid w:val="00DB4D6A"/>
    <w:rsid w:val="00DB52B9"/>
    <w:rsid w:val="00DB532F"/>
    <w:rsid w:val="00DB53D6"/>
    <w:rsid w:val="00DB5641"/>
    <w:rsid w:val="00DB5CC0"/>
    <w:rsid w:val="00DB5CD5"/>
    <w:rsid w:val="00DB5FF0"/>
    <w:rsid w:val="00DB60C6"/>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A42"/>
    <w:rsid w:val="00DC0F18"/>
    <w:rsid w:val="00DC1303"/>
    <w:rsid w:val="00DC1403"/>
    <w:rsid w:val="00DC345A"/>
    <w:rsid w:val="00DC389B"/>
    <w:rsid w:val="00DC3904"/>
    <w:rsid w:val="00DC394C"/>
    <w:rsid w:val="00DC42A4"/>
    <w:rsid w:val="00DC42EA"/>
    <w:rsid w:val="00DC4933"/>
    <w:rsid w:val="00DC558C"/>
    <w:rsid w:val="00DC5BEE"/>
    <w:rsid w:val="00DC5ED6"/>
    <w:rsid w:val="00DC5F7A"/>
    <w:rsid w:val="00DC6513"/>
    <w:rsid w:val="00DC693E"/>
    <w:rsid w:val="00DC723A"/>
    <w:rsid w:val="00DC7C31"/>
    <w:rsid w:val="00DD0C3F"/>
    <w:rsid w:val="00DD1AA9"/>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1F29"/>
    <w:rsid w:val="00DE20A2"/>
    <w:rsid w:val="00DE261E"/>
    <w:rsid w:val="00DE269D"/>
    <w:rsid w:val="00DE2C35"/>
    <w:rsid w:val="00DE30DA"/>
    <w:rsid w:val="00DE3288"/>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1C03"/>
    <w:rsid w:val="00E02A3C"/>
    <w:rsid w:val="00E02F70"/>
    <w:rsid w:val="00E032F6"/>
    <w:rsid w:val="00E039F5"/>
    <w:rsid w:val="00E03F4C"/>
    <w:rsid w:val="00E03F4E"/>
    <w:rsid w:val="00E0439C"/>
    <w:rsid w:val="00E049A5"/>
    <w:rsid w:val="00E051FB"/>
    <w:rsid w:val="00E056B0"/>
    <w:rsid w:val="00E05984"/>
    <w:rsid w:val="00E05C27"/>
    <w:rsid w:val="00E05C4F"/>
    <w:rsid w:val="00E063DE"/>
    <w:rsid w:val="00E066B5"/>
    <w:rsid w:val="00E0671B"/>
    <w:rsid w:val="00E06E82"/>
    <w:rsid w:val="00E071FC"/>
    <w:rsid w:val="00E07453"/>
    <w:rsid w:val="00E07737"/>
    <w:rsid w:val="00E07DB1"/>
    <w:rsid w:val="00E07E7B"/>
    <w:rsid w:val="00E07F6A"/>
    <w:rsid w:val="00E10117"/>
    <w:rsid w:val="00E1064A"/>
    <w:rsid w:val="00E1077C"/>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15C"/>
    <w:rsid w:val="00E14ACF"/>
    <w:rsid w:val="00E14BAD"/>
    <w:rsid w:val="00E14D14"/>
    <w:rsid w:val="00E159EC"/>
    <w:rsid w:val="00E15AC4"/>
    <w:rsid w:val="00E15C68"/>
    <w:rsid w:val="00E16A5E"/>
    <w:rsid w:val="00E16E4C"/>
    <w:rsid w:val="00E173EF"/>
    <w:rsid w:val="00E177CD"/>
    <w:rsid w:val="00E20A78"/>
    <w:rsid w:val="00E20B50"/>
    <w:rsid w:val="00E20B5E"/>
    <w:rsid w:val="00E20F69"/>
    <w:rsid w:val="00E20FC3"/>
    <w:rsid w:val="00E21419"/>
    <w:rsid w:val="00E21906"/>
    <w:rsid w:val="00E221AF"/>
    <w:rsid w:val="00E224BF"/>
    <w:rsid w:val="00E22732"/>
    <w:rsid w:val="00E22B39"/>
    <w:rsid w:val="00E22F22"/>
    <w:rsid w:val="00E2398E"/>
    <w:rsid w:val="00E23A5C"/>
    <w:rsid w:val="00E2406F"/>
    <w:rsid w:val="00E24570"/>
    <w:rsid w:val="00E2459F"/>
    <w:rsid w:val="00E24B98"/>
    <w:rsid w:val="00E2527D"/>
    <w:rsid w:val="00E262A9"/>
    <w:rsid w:val="00E2688C"/>
    <w:rsid w:val="00E2693C"/>
    <w:rsid w:val="00E26F87"/>
    <w:rsid w:val="00E2710F"/>
    <w:rsid w:val="00E274BB"/>
    <w:rsid w:val="00E3047D"/>
    <w:rsid w:val="00E3066D"/>
    <w:rsid w:val="00E30991"/>
    <w:rsid w:val="00E30AF9"/>
    <w:rsid w:val="00E3182B"/>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077"/>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0A"/>
    <w:rsid w:val="00E444BC"/>
    <w:rsid w:val="00E450AD"/>
    <w:rsid w:val="00E4510E"/>
    <w:rsid w:val="00E45294"/>
    <w:rsid w:val="00E46906"/>
    <w:rsid w:val="00E4697F"/>
    <w:rsid w:val="00E46A8F"/>
    <w:rsid w:val="00E46B21"/>
    <w:rsid w:val="00E46EA3"/>
    <w:rsid w:val="00E47D3D"/>
    <w:rsid w:val="00E47E7C"/>
    <w:rsid w:val="00E50223"/>
    <w:rsid w:val="00E5059B"/>
    <w:rsid w:val="00E50F61"/>
    <w:rsid w:val="00E512B9"/>
    <w:rsid w:val="00E51502"/>
    <w:rsid w:val="00E51789"/>
    <w:rsid w:val="00E51C1B"/>
    <w:rsid w:val="00E52143"/>
    <w:rsid w:val="00E52D13"/>
    <w:rsid w:val="00E52FD1"/>
    <w:rsid w:val="00E5332C"/>
    <w:rsid w:val="00E53353"/>
    <w:rsid w:val="00E535A6"/>
    <w:rsid w:val="00E53C45"/>
    <w:rsid w:val="00E53CE0"/>
    <w:rsid w:val="00E53DA7"/>
    <w:rsid w:val="00E540FC"/>
    <w:rsid w:val="00E54245"/>
    <w:rsid w:val="00E54C11"/>
    <w:rsid w:val="00E55DB0"/>
    <w:rsid w:val="00E56721"/>
    <w:rsid w:val="00E5703B"/>
    <w:rsid w:val="00E577EC"/>
    <w:rsid w:val="00E57C4D"/>
    <w:rsid w:val="00E602BD"/>
    <w:rsid w:val="00E61A8D"/>
    <w:rsid w:val="00E62337"/>
    <w:rsid w:val="00E62809"/>
    <w:rsid w:val="00E62FAF"/>
    <w:rsid w:val="00E63321"/>
    <w:rsid w:val="00E634AD"/>
    <w:rsid w:val="00E635BD"/>
    <w:rsid w:val="00E63675"/>
    <w:rsid w:val="00E638A7"/>
    <w:rsid w:val="00E63FAC"/>
    <w:rsid w:val="00E64141"/>
    <w:rsid w:val="00E645AB"/>
    <w:rsid w:val="00E645E9"/>
    <w:rsid w:val="00E646D8"/>
    <w:rsid w:val="00E64C9D"/>
    <w:rsid w:val="00E64F6C"/>
    <w:rsid w:val="00E6537A"/>
    <w:rsid w:val="00E65567"/>
    <w:rsid w:val="00E65B31"/>
    <w:rsid w:val="00E65B3E"/>
    <w:rsid w:val="00E65F2E"/>
    <w:rsid w:val="00E65FF3"/>
    <w:rsid w:val="00E660EC"/>
    <w:rsid w:val="00E66113"/>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D84"/>
    <w:rsid w:val="00E72E0E"/>
    <w:rsid w:val="00E72FE7"/>
    <w:rsid w:val="00E73D0E"/>
    <w:rsid w:val="00E7455A"/>
    <w:rsid w:val="00E74A39"/>
    <w:rsid w:val="00E75609"/>
    <w:rsid w:val="00E75790"/>
    <w:rsid w:val="00E75BCD"/>
    <w:rsid w:val="00E76031"/>
    <w:rsid w:val="00E76714"/>
    <w:rsid w:val="00E80437"/>
    <w:rsid w:val="00E81031"/>
    <w:rsid w:val="00E81525"/>
    <w:rsid w:val="00E817FE"/>
    <w:rsid w:val="00E8184C"/>
    <w:rsid w:val="00E81B55"/>
    <w:rsid w:val="00E823A0"/>
    <w:rsid w:val="00E824EF"/>
    <w:rsid w:val="00E82AF9"/>
    <w:rsid w:val="00E82CEF"/>
    <w:rsid w:val="00E83A79"/>
    <w:rsid w:val="00E83B1E"/>
    <w:rsid w:val="00E83D05"/>
    <w:rsid w:val="00E83DC4"/>
    <w:rsid w:val="00E83DCE"/>
    <w:rsid w:val="00E842A8"/>
    <w:rsid w:val="00E84360"/>
    <w:rsid w:val="00E8443B"/>
    <w:rsid w:val="00E84746"/>
    <w:rsid w:val="00E847B3"/>
    <w:rsid w:val="00E84E89"/>
    <w:rsid w:val="00E859DB"/>
    <w:rsid w:val="00E85AEE"/>
    <w:rsid w:val="00E86400"/>
    <w:rsid w:val="00E86804"/>
    <w:rsid w:val="00E86871"/>
    <w:rsid w:val="00E86EED"/>
    <w:rsid w:val="00E870BF"/>
    <w:rsid w:val="00E871BC"/>
    <w:rsid w:val="00E87A23"/>
    <w:rsid w:val="00E90229"/>
    <w:rsid w:val="00E90ABA"/>
    <w:rsid w:val="00E9108A"/>
    <w:rsid w:val="00E9166A"/>
    <w:rsid w:val="00E91899"/>
    <w:rsid w:val="00E92268"/>
    <w:rsid w:val="00E9246B"/>
    <w:rsid w:val="00E92604"/>
    <w:rsid w:val="00E927A2"/>
    <w:rsid w:val="00E928ED"/>
    <w:rsid w:val="00E9364E"/>
    <w:rsid w:val="00E936C2"/>
    <w:rsid w:val="00E93B8A"/>
    <w:rsid w:val="00E94070"/>
    <w:rsid w:val="00E942AE"/>
    <w:rsid w:val="00E949C6"/>
    <w:rsid w:val="00E94CDE"/>
    <w:rsid w:val="00E9549D"/>
    <w:rsid w:val="00E954A2"/>
    <w:rsid w:val="00E96274"/>
    <w:rsid w:val="00E9641D"/>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68C"/>
    <w:rsid w:val="00EA5AC0"/>
    <w:rsid w:val="00EA61F0"/>
    <w:rsid w:val="00EA6854"/>
    <w:rsid w:val="00EA7391"/>
    <w:rsid w:val="00EB0265"/>
    <w:rsid w:val="00EB05FE"/>
    <w:rsid w:val="00EB0AA6"/>
    <w:rsid w:val="00EB1273"/>
    <w:rsid w:val="00EB1636"/>
    <w:rsid w:val="00EB16A8"/>
    <w:rsid w:val="00EB1C22"/>
    <w:rsid w:val="00EB1ED2"/>
    <w:rsid w:val="00EB22C0"/>
    <w:rsid w:val="00EB396F"/>
    <w:rsid w:val="00EB400B"/>
    <w:rsid w:val="00EB4B77"/>
    <w:rsid w:val="00EB4F3B"/>
    <w:rsid w:val="00EB50F0"/>
    <w:rsid w:val="00EB5C40"/>
    <w:rsid w:val="00EB5DB5"/>
    <w:rsid w:val="00EB600D"/>
    <w:rsid w:val="00EB64AD"/>
    <w:rsid w:val="00EB672B"/>
    <w:rsid w:val="00EB6A2C"/>
    <w:rsid w:val="00EB6B83"/>
    <w:rsid w:val="00EB6DA9"/>
    <w:rsid w:val="00EB7804"/>
    <w:rsid w:val="00EC0343"/>
    <w:rsid w:val="00EC08AD"/>
    <w:rsid w:val="00EC0F29"/>
    <w:rsid w:val="00EC1828"/>
    <w:rsid w:val="00EC1B2E"/>
    <w:rsid w:val="00EC22DD"/>
    <w:rsid w:val="00EC2514"/>
    <w:rsid w:val="00EC287C"/>
    <w:rsid w:val="00EC2AB4"/>
    <w:rsid w:val="00EC2B87"/>
    <w:rsid w:val="00EC3089"/>
    <w:rsid w:val="00EC4214"/>
    <w:rsid w:val="00EC4338"/>
    <w:rsid w:val="00EC45B6"/>
    <w:rsid w:val="00EC4966"/>
    <w:rsid w:val="00EC4ABA"/>
    <w:rsid w:val="00EC4FF0"/>
    <w:rsid w:val="00EC5263"/>
    <w:rsid w:val="00EC5604"/>
    <w:rsid w:val="00EC59EB"/>
    <w:rsid w:val="00EC6229"/>
    <w:rsid w:val="00EC6B44"/>
    <w:rsid w:val="00EC73C2"/>
    <w:rsid w:val="00EC749B"/>
    <w:rsid w:val="00EC760C"/>
    <w:rsid w:val="00EC78AA"/>
    <w:rsid w:val="00EC7CED"/>
    <w:rsid w:val="00ED025B"/>
    <w:rsid w:val="00ED0541"/>
    <w:rsid w:val="00ED0A14"/>
    <w:rsid w:val="00ED0D39"/>
    <w:rsid w:val="00ED0EA7"/>
    <w:rsid w:val="00ED172E"/>
    <w:rsid w:val="00ED179E"/>
    <w:rsid w:val="00ED19D4"/>
    <w:rsid w:val="00ED1F4F"/>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1558"/>
    <w:rsid w:val="00EE210F"/>
    <w:rsid w:val="00EE298D"/>
    <w:rsid w:val="00EE2B5D"/>
    <w:rsid w:val="00EE2BB3"/>
    <w:rsid w:val="00EE2EAC"/>
    <w:rsid w:val="00EE3291"/>
    <w:rsid w:val="00EE343A"/>
    <w:rsid w:val="00EE37A3"/>
    <w:rsid w:val="00EE3E91"/>
    <w:rsid w:val="00EE4E61"/>
    <w:rsid w:val="00EE4F91"/>
    <w:rsid w:val="00EE6737"/>
    <w:rsid w:val="00EE6D5C"/>
    <w:rsid w:val="00EE7093"/>
    <w:rsid w:val="00EE70C3"/>
    <w:rsid w:val="00EE7375"/>
    <w:rsid w:val="00EE7465"/>
    <w:rsid w:val="00EE75B5"/>
    <w:rsid w:val="00EE7E8F"/>
    <w:rsid w:val="00EF03CC"/>
    <w:rsid w:val="00EF098C"/>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5D5"/>
    <w:rsid w:val="00F0267C"/>
    <w:rsid w:val="00F03379"/>
    <w:rsid w:val="00F03425"/>
    <w:rsid w:val="00F0345E"/>
    <w:rsid w:val="00F036C6"/>
    <w:rsid w:val="00F03CE6"/>
    <w:rsid w:val="00F03FC4"/>
    <w:rsid w:val="00F03FF1"/>
    <w:rsid w:val="00F0477C"/>
    <w:rsid w:val="00F04BF2"/>
    <w:rsid w:val="00F05790"/>
    <w:rsid w:val="00F05CF9"/>
    <w:rsid w:val="00F06960"/>
    <w:rsid w:val="00F06967"/>
    <w:rsid w:val="00F07390"/>
    <w:rsid w:val="00F0755E"/>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7C0"/>
    <w:rsid w:val="00F145D4"/>
    <w:rsid w:val="00F14AEC"/>
    <w:rsid w:val="00F14ED0"/>
    <w:rsid w:val="00F14FBA"/>
    <w:rsid w:val="00F15ED6"/>
    <w:rsid w:val="00F15F5B"/>
    <w:rsid w:val="00F16210"/>
    <w:rsid w:val="00F164D5"/>
    <w:rsid w:val="00F16A67"/>
    <w:rsid w:val="00F1792F"/>
    <w:rsid w:val="00F17A56"/>
    <w:rsid w:val="00F20151"/>
    <w:rsid w:val="00F20474"/>
    <w:rsid w:val="00F209A2"/>
    <w:rsid w:val="00F20E9E"/>
    <w:rsid w:val="00F21AB6"/>
    <w:rsid w:val="00F22340"/>
    <w:rsid w:val="00F223D4"/>
    <w:rsid w:val="00F223D5"/>
    <w:rsid w:val="00F2283A"/>
    <w:rsid w:val="00F22A84"/>
    <w:rsid w:val="00F22A8F"/>
    <w:rsid w:val="00F22CA7"/>
    <w:rsid w:val="00F22ED6"/>
    <w:rsid w:val="00F23EB4"/>
    <w:rsid w:val="00F243B3"/>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A4A"/>
    <w:rsid w:val="00F31E2D"/>
    <w:rsid w:val="00F322C3"/>
    <w:rsid w:val="00F32553"/>
    <w:rsid w:val="00F32690"/>
    <w:rsid w:val="00F327CE"/>
    <w:rsid w:val="00F332ED"/>
    <w:rsid w:val="00F33552"/>
    <w:rsid w:val="00F335AB"/>
    <w:rsid w:val="00F33C8D"/>
    <w:rsid w:val="00F342BD"/>
    <w:rsid w:val="00F3444F"/>
    <w:rsid w:val="00F348D1"/>
    <w:rsid w:val="00F35955"/>
    <w:rsid w:val="00F35B8C"/>
    <w:rsid w:val="00F36249"/>
    <w:rsid w:val="00F364BB"/>
    <w:rsid w:val="00F3669D"/>
    <w:rsid w:val="00F36C33"/>
    <w:rsid w:val="00F37660"/>
    <w:rsid w:val="00F378C1"/>
    <w:rsid w:val="00F37DA3"/>
    <w:rsid w:val="00F40730"/>
    <w:rsid w:val="00F40A31"/>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1DCB"/>
    <w:rsid w:val="00F52456"/>
    <w:rsid w:val="00F5281E"/>
    <w:rsid w:val="00F531AA"/>
    <w:rsid w:val="00F536B7"/>
    <w:rsid w:val="00F537AD"/>
    <w:rsid w:val="00F53BDD"/>
    <w:rsid w:val="00F53FEE"/>
    <w:rsid w:val="00F54DAB"/>
    <w:rsid w:val="00F559D6"/>
    <w:rsid w:val="00F55A97"/>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117F"/>
    <w:rsid w:val="00F62588"/>
    <w:rsid w:val="00F627EB"/>
    <w:rsid w:val="00F629BF"/>
    <w:rsid w:val="00F632EA"/>
    <w:rsid w:val="00F633D8"/>
    <w:rsid w:val="00F63511"/>
    <w:rsid w:val="00F6431B"/>
    <w:rsid w:val="00F64B3B"/>
    <w:rsid w:val="00F64BF7"/>
    <w:rsid w:val="00F64C76"/>
    <w:rsid w:val="00F64CB2"/>
    <w:rsid w:val="00F64CCC"/>
    <w:rsid w:val="00F64ED6"/>
    <w:rsid w:val="00F650D5"/>
    <w:rsid w:val="00F65747"/>
    <w:rsid w:val="00F65AD5"/>
    <w:rsid w:val="00F65C7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06"/>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1EDE"/>
    <w:rsid w:val="00F8260F"/>
    <w:rsid w:val="00F8301D"/>
    <w:rsid w:val="00F831F9"/>
    <w:rsid w:val="00F83228"/>
    <w:rsid w:val="00F834A7"/>
    <w:rsid w:val="00F83A93"/>
    <w:rsid w:val="00F846CD"/>
    <w:rsid w:val="00F847A0"/>
    <w:rsid w:val="00F85ABF"/>
    <w:rsid w:val="00F85D19"/>
    <w:rsid w:val="00F85EB9"/>
    <w:rsid w:val="00F860A3"/>
    <w:rsid w:val="00F864FC"/>
    <w:rsid w:val="00F86808"/>
    <w:rsid w:val="00F87387"/>
    <w:rsid w:val="00F8741E"/>
    <w:rsid w:val="00F8760E"/>
    <w:rsid w:val="00F87620"/>
    <w:rsid w:val="00F8773E"/>
    <w:rsid w:val="00F9082B"/>
    <w:rsid w:val="00F90A1D"/>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5FC"/>
    <w:rsid w:val="00F9466A"/>
    <w:rsid w:val="00F94C16"/>
    <w:rsid w:val="00F94D3F"/>
    <w:rsid w:val="00F94EB4"/>
    <w:rsid w:val="00F9591A"/>
    <w:rsid w:val="00F9689E"/>
    <w:rsid w:val="00F96F26"/>
    <w:rsid w:val="00F970A3"/>
    <w:rsid w:val="00F97A71"/>
    <w:rsid w:val="00F97F91"/>
    <w:rsid w:val="00FA03A6"/>
    <w:rsid w:val="00FA03D6"/>
    <w:rsid w:val="00FA066D"/>
    <w:rsid w:val="00FA0956"/>
    <w:rsid w:val="00FA0FB3"/>
    <w:rsid w:val="00FA1118"/>
    <w:rsid w:val="00FA1126"/>
    <w:rsid w:val="00FA1816"/>
    <w:rsid w:val="00FA1B03"/>
    <w:rsid w:val="00FA23D2"/>
    <w:rsid w:val="00FA2480"/>
    <w:rsid w:val="00FA24F3"/>
    <w:rsid w:val="00FA263E"/>
    <w:rsid w:val="00FA2798"/>
    <w:rsid w:val="00FA3679"/>
    <w:rsid w:val="00FA37B8"/>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46"/>
    <w:rsid w:val="00FA786A"/>
    <w:rsid w:val="00FA7DA0"/>
    <w:rsid w:val="00FB0515"/>
    <w:rsid w:val="00FB0EE9"/>
    <w:rsid w:val="00FB0EFB"/>
    <w:rsid w:val="00FB0F38"/>
    <w:rsid w:val="00FB0F8A"/>
    <w:rsid w:val="00FB11F1"/>
    <w:rsid w:val="00FB1300"/>
    <w:rsid w:val="00FB19BF"/>
    <w:rsid w:val="00FB20F3"/>
    <w:rsid w:val="00FB252E"/>
    <w:rsid w:val="00FB28C8"/>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005"/>
    <w:rsid w:val="00FC3213"/>
    <w:rsid w:val="00FC3C6C"/>
    <w:rsid w:val="00FC48C6"/>
    <w:rsid w:val="00FC4A91"/>
    <w:rsid w:val="00FC4E0B"/>
    <w:rsid w:val="00FC5B7C"/>
    <w:rsid w:val="00FC6141"/>
    <w:rsid w:val="00FC623A"/>
    <w:rsid w:val="00FC646D"/>
    <w:rsid w:val="00FC65E5"/>
    <w:rsid w:val="00FC665B"/>
    <w:rsid w:val="00FC6C78"/>
    <w:rsid w:val="00FC6C88"/>
    <w:rsid w:val="00FC6CEF"/>
    <w:rsid w:val="00FC6E1D"/>
    <w:rsid w:val="00FC740E"/>
    <w:rsid w:val="00FD02CC"/>
    <w:rsid w:val="00FD1685"/>
    <w:rsid w:val="00FD1AA4"/>
    <w:rsid w:val="00FD1BD4"/>
    <w:rsid w:val="00FD1EA8"/>
    <w:rsid w:val="00FD2DBC"/>
    <w:rsid w:val="00FD2FA7"/>
    <w:rsid w:val="00FD3B87"/>
    <w:rsid w:val="00FD3F63"/>
    <w:rsid w:val="00FD4B79"/>
    <w:rsid w:val="00FD5465"/>
    <w:rsid w:val="00FD58EF"/>
    <w:rsid w:val="00FD5BC9"/>
    <w:rsid w:val="00FD620D"/>
    <w:rsid w:val="00FD64B8"/>
    <w:rsid w:val="00FD667B"/>
    <w:rsid w:val="00FD7165"/>
    <w:rsid w:val="00FE00CF"/>
    <w:rsid w:val="00FE013B"/>
    <w:rsid w:val="00FE0207"/>
    <w:rsid w:val="00FE0C90"/>
    <w:rsid w:val="00FE1303"/>
    <w:rsid w:val="00FE1636"/>
    <w:rsid w:val="00FE1ABB"/>
    <w:rsid w:val="00FE291B"/>
    <w:rsid w:val="00FE330C"/>
    <w:rsid w:val="00FE3B4E"/>
    <w:rsid w:val="00FE40C1"/>
    <w:rsid w:val="00FE410C"/>
    <w:rsid w:val="00FE4DBC"/>
    <w:rsid w:val="00FE50B4"/>
    <w:rsid w:val="00FE546C"/>
    <w:rsid w:val="00FE54AE"/>
    <w:rsid w:val="00FE5671"/>
    <w:rsid w:val="00FE59BB"/>
    <w:rsid w:val="00FE5E25"/>
    <w:rsid w:val="00FE6AE8"/>
    <w:rsid w:val="00FE70D5"/>
    <w:rsid w:val="00FE7127"/>
    <w:rsid w:val="00FE7FB9"/>
    <w:rsid w:val="00FF041F"/>
    <w:rsid w:val="00FF0729"/>
    <w:rsid w:val="00FF0C67"/>
    <w:rsid w:val="00FF0E6A"/>
    <w:rsid w:val="00FF0F69"/>
    <w:rsid w:val="00FF1623"/>
    <w:rsid w:val="00FF1E96"/>
    <w:rsid w:val="00FF21EF"/>
    <w:rsid w:val="00FF2A34"/>
    <w:rsid w:val="00FF2BA8"/>
    <w:rsid w:val="00FF364B"/>
    <w:rsid w:val="00FF3803"/>
    <w:rsid w:val="00FF4871"/>
    <w:rsid w:val="00FF4A4D"/>
    <w:rsid w:val="00FF556E"/>
    <w:rsid w:val="00FF5630"/>
    <w:rsid w:val="00FF5813"/>
    <w:rsid w:val="00FF5E54"/>
    <w:rsid w:val="00FF5E85"/>
    <w:rsid w:val="00FF680F"/>
    <w:rsid w:val="00FF69CB"/>
    <w:rsid w:val="00FF6AD9"/>
    <w:rsid w:val="00FF6AE2"/>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14:defaultImageDpi w14:val="32767"/>
  <w14:docId w14:val="4D1A3F2C"/>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619"/>
    <w:pPr>
      <w:bidi/>
      <w:spacing w:after="0" w:line="312" w:lineRule="auto"/>
    </w:pPr>
  </w:style>
  <w:style w:type="paragraph" w:styleId="Heading1">
    <w:name w:val="heading 1"/>
    <w:basedOn w:val="Normal"/>
    <w:next w:val="Normal"/>
    <w:link w:val="Heading1Char"/>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Heading2Char"/>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Heading3Char"/>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Heading4Char"/>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Heading5Char"/>
    <w:uiPriority w:val="1"/>
    <w:qFormat/>
    <w:rsid w:val="00F41DE0"/>
    <w:pPr>
      <w:keepNext/>
      <w:keepLines/>
      <w:outlineLvl w:val="4"/>
    </w:pPr>
    <w:rPr>
      <w:rFonts w:eastAsiaTheme="majorEastAsia"/>
      <w:bCs/>
      <w:spacing w:val="40"/>
    </w:rPr>
  </w:style>
  <w:style w:type="paragraph" w:styleId="Heading6">
    <w:name w:val="heading 6"/>
    <w:basedOn w:val="Normal"/>
    <w:next w:val="Normal"/>
    <w:link w:val="Heading6Char"/>
    <w:uiPriority w:val="1"/>
    <w:qFormat/>
    <w:rsid w:val="00F41DE0"/>
    <w:pPr>
      <w:keepNext/>
      <w:keepLines/>
      <w:outlineLvl w:val="5"/>
    </w:pPr>
    <w:rPr>
      <w:rFonts w:eastAsiaTheme="majorEastAsia"/>
      <w:spacing w:val="40"/>
    </w:rPr>
  </w:style>
  <w:style w:type="paragraph" w:styleId="Heading7">
    <w:name w:val="heading 7"/>
    <w:basedOn w:val="Normal"/>
    <w:next w:val="Normal"/>
    <w:link w:val="Heading7Char"/>
    <w:uiPriority w:val="1"/>
    <w:qFormat/>
    <w:rsid w:val="00F41DE0"/>
    <w:pPr>
      <w:keepNext/>
      <w:keepLines/>
      <w:outlineLvl w:val="6"/>
    </w:pPr>
    <w:rPr>
      <w:rFonts w:eastAsiaTheme="majorEastAsia"/>
      <w:bCs/>
      <w:spacing w:val="40"/>
    </w:rPr>
  </w:style>
  <w:style w:type="paragraph" w:styleId="Heading8">
    <w:name w:val="heading 8"/>
    <w:basedOn w:val="Normal"/>
    <w:next w:val="Normal"/>
    <w:link w:val="Heading8Char"/>
    <w:uiPriority w:val="1"/>
    <w:qFormat/>
    <w:rsid w:val="00F41DE0"/>
    <w:pPr>
      <w:keepNext/>
      <w:keepLines/>
      <w:outlineLvl w:val="7"/>
    </w:pPr>
    <w:rPr>
      <w:rFonts w:eastAsiaTheme="majorEastAsia"/>
      <w:spacing w:val="40"/>
    </w:rPr>
  </w:style>
  <w:style w:type="paragraph" w:styleId="Heading9">
    <w:name w:val="heading 9"/>
    <w:basedOn w:val="Normal"/>
    <w:next w:val="Normal"/>
    <w:link w:val="Heading9Char"/>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41DE0"/>
    <w:rPr>
      <w:rFonts w:eastAsiaTheme="majorEastAsia"/>
      <w:bCs/>
      <w:szCs w:val="36"/>
      <w:u w:val="single"/>
    </w:rPr>
  </w:style>
  <w:style w:type="character" w:customStyle="1" w:styleId="Heading2Char">
    <w:name w:val="Heading 2 Char"/>
    <w:basedOn w:val="DefaultParagraphFont"/>
    <w:link w:val="Heading2"/>
    <w:uiPriority w:val="1"/>
    <w:rsid w:val="00F41DE0"/>
    <w:rPr>
      <w:rFonts w:eastAsiaTheme="majorEastAsia"/>
      <w:bCs/>
      <w:szCs w:val="32"/>
    </w:rPr>
  </w:style>
  <w:style w:type="character" w:customStyle="1" w:styleId="Heading3Char">
    <w:name w:val="Heading 3 Char"/>
    <w:basedOn w:val="DefaultParagraphFont"/>
    <w:link w:val="Heading3"/>
    <w:uiPriority w:val="1"/>
    <w:rsid w:val="00F41DE0"/>
    <w:rPr>
      <w:rFonts w:eastAsiaTheme="majorEastAsia"/>
      <w:bCs/>
      <w:szCs w:val="28"/>
      <w:u w:val="single"/>
    </w:rPr>
  </w:style>
  <w:style w:type="character" w:customStyle="1" w:styleId="Heading4Char">
    <w:name w:val="Heading 4 Char"/>
    <w:basedOn w:val="DefaultParagraphFont"/>
    <w:link w:val="Heading4"/>
    <w:uiPriority w:val="1"/>
    <w:rsid w:val="00F41DE0"/>
    <w:rPr>
      <w:rFonts w:eastAsiaTheme="majorEastAsia"/>
      <w:bCs/>
      <w:szCs w:val="26"/>
    </w:rPr>
  </w:style>
  <w:style w:type="character" w:customStyle="1" w:styleId="Heading5Char">
    <w:name w:val="Heading 5 Char"/>
    <w:basedOn w:val="DefaultParagraphFont"/>
    <w:link w:val="Heading5"/>
    <w:uiPriority w:val="1"/>
    <w:rsid w:val="00F41DE0"/>
    <w:rPr>
      <w:rFonts w:eastAsiaTheme="majorEastAsia"/>
      <w:bCs/>
      <w:spacing w:val="40"/>
    </w:rPr>
  </w:style>
  <w:style w:type="character" w:customStyle="1" w:styleId="Heading6Char">
    <w:name w:val="Heading 6 Char"/>
    <w:basedOn w:val="DefaultParagraphFont"/>
    <w:link w:val="Heading6"/>
    <w:uiPriority w:val="1"/>
    <w:rsid w:val="00F41DE0"/>
    <w:rPr>
      <w:rFonts w:eastAsiaTheme="majorEastAsia"/>
      <w:spacing w:val="40"/>
    </w:rPr>
  </w:style>
  <w:style w:type="character" w:customStyle="1" w:styleId="Heading7Char">
    <w:name w:val="Heading 7 Char"/>
    <w:basedOn w:val="DefaultParagraphFont"/>
    <w:link w:val="Heading7"/>
    <w:uiPriority w:val="1"/>
    <w:rsid w:val="00F41DE0"/>
    <w:rPr>
      <w:rFonts w:eastAsiaTheme="majorEastAsia"/>
      <w:bCs/>
      <w:spacing w:val="40"/>
    </w:rPr>
  </w:style>
  <w:style w:type="character" w:customStyle="1" w:styleId="Heading8Char">
    <w:name w:val="Heading 8 Char"/>
    <w:basedOn w:val="DefaultParagraphFont"/>
    <w:link w:val="Heading8"/>
    <w:uiPriority w:val="1"/>
    <w:rsid w:val="00F41DE0"/>
    <w:rPr>
      <w:rFonts w:eastAsiaTheme="majorEastAsia"/>
      <w:spacing w:val="40"/>
    </w:rPr>
  </w:style>
  <w:style w:type="paragraph" w:styleId="Header">
    <w:name w:val="header"/>
    <w:basedOn w:val="Normal"/>
    <w:link w:val="HeaderChar"/>
    <w:uiPriority w:val="99"/>
    <w:unhideWhenUsed/>
    <w:rsid w:val="000501A4"/>
    <w:pPr>
      <w:tabs>
        <w:tab w:val="center" w:pos="4153"/>
        <w:tab w:val="right" w:pos="8306"/>
      </w:tabs>
      <w:spacing w:line="240" w:lineRule="auto"/>
    </w:pPr>
  </w:style>
  <w:style w:type="character" w:customStyle="1" w:styleId="HeaderChar">
    <w:name w:val="Header Char"/>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FooterChar"/>
    <w:uiPriority w:val="99"/>
    <w:unhideWhenUsed/>
    <w:qFormat/>
    <w:rsid w:val="000501A4"/>
    <w:pPr>
      <w:tabs>
        <w:tab w:val="center" w:pos="4153"/>
        <w:tab w:val="right" w:pos="8306"/>
      </w:tabs>
      <w:spacing w:line="240" w:lineRule="auto"/>
    </w:pPr>
  </w:style>
  <w:style w:type="character" w:customStyle="1" w:styleId="FooterChar">
    <w:name w:val="Footer Char"/>
    <w:aliases w:val="כותרת תחתונה תו תו תו Char,כותרת תחתונה תו תו תו תו תו Char"/>
    <w:basedOn w:val="DefaultParagraphFont"/>
    <w:link w:val="Footer"/>
    <w:uiPriority w:val="99"/>
    <w:rsid w:val="000501A4"/>
  </w:style>
  <w:style w:type="paragraph" w:styleId="Date">
    <w:name w:val="Date"/>
    <w:basedOn w:val="Normal"/>
    <w:next w:val="Normal"/>
    <w:link w:val="DateChar"/>
    <w:uiPriority w:val="99"/>
    <w:unhideWhenUsed/>
    <w:rsid w:val="000501A4"/>
    <w:pPr>
      <w:spacing w:before="120" w:line="240" w:lineRule="auto"/>
    </w:pPr>
  </w:style>
  <w:style w:type="character" w:customStyle="1" w:styleId="DateChar">
    <w:name w:val="Date Char"/>
    <w:basedOn w:val="DefaultParagraphFont"/>
    <w:link w:val="Date"/>
    <w:uiPriority w:val="99"/>
    <w:rsid w:val="000501A4"/>
  </w:style>
  <w:style w:type="paragraph" w:styleId="FootnoteText">
    <w:name w:val="footnote text"/>
    <w:aliases w:val=" Char,Char,FOOTNOTES,Footnote Text - Sharp,Footnote Text - Sharp Char,Footnote Text - Sharp Char Char,Footnote Text Char Char Char Char Char,Footnote reference,Sharp - Footnote Text,Sharp - Footnote Text1 Char,fn,footnote text,single space"/>
    <w:basedOn w:val="Normal"/>
    <w:link w:val="FootnoteTextChar"/>
    <w:uiPriority w:val="99"/>
    <w:qFormat/>
    <w:rsid w:val="00574579"/>
    <w:pPr>
      <w:spacing w:line="240" w:lineRule="auto"/>
      <w:ind w:left="720" w:hanging="720"/>
    </w:pPr>
    <w:rPr>
      <w:szCs w:val="20"/>
    </w:rPr>
  </w:style>
  <w:style w:type="character" w:customStyle="1" w:styleId="FootnoteTextChar">
    <w:name w:val="Footnote Text Char"/>
    <w:aliases w:val=" Char Char,FOOTNOTES Char,Footnote Text - Sharp Char Char Char,Footnote Text - Sharp Char Char1,Footnote Text - Sharp Char1,Footnote Text Char Char Char Char Char Char,Footnote reference Char,Sharp - Footnote Text Char,fn Char"/>
    <w:basedOn w:val="DefaultParagraphFont"/>
    <w:link w:val="FootnoteText"/>
    <w:uiPriority w:val="99"/>
    <w:rsid w:val="00574579"/>
    <w:rPr>
      <w:szCs w:val="20"/>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BalloonText">
    <w:name w:val="Balloon Text"/>
    <w:basedOn w:val="Normal"/>
    <w:link w:val="BalloonTextChar"/>
    <w:uiPriority w:val="99"/>
    <w:unhideWhenUsed/>
    <w:rsid w:val="00AF6305"/>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rsid w:val="00AF6305"/>
    <w:rPr>
      <w:rFonts w:ascii="Tahoma" w:hAnsi="Tahoma" w:cs="Tahoma"/>
      <w:sz w:val="18"/>
      <w:szCs w:val="18"/>
    </w:rPr>
  </w:style>
  <w:style w:type="paragraph" w:styleId="CommentText">
    <w:name w:val="annotation text"/>
    <w:basedOn w:val="Normal"/>
    <w:link w:val="CommentTextChar"/>
    <w:uiPriority w:val="99"/>
    <w:unhideWhenUsed/>
    <w:rsid w:val="005F492A"/>
    <w:pPr>
      <w:spacing w:line="240" w:lineRule="auto"/>
    </w:pPr>
    <w:rPr>
      <w:szCs w:val="20"/>
    </w:rPr>
  </w:style>
  <w:style w:type="character" w:customStyle="1" w:styleId="CommentTextChar">
    <w:name w:val="Comment Text Char"/>
    <w:basedOn w:val="DefaultParagraphFont"/>
    <w:link w:val="CommentText"/>
    <w:uiPriority w:val="99"/>
    <w:rsid w:val="005F492A"/>
    <w:rPr>
      <w:szCs w:val="20"/>
    </w:rPr>
  </w:style>
  <w:style w:type="paragraph" w:styleId="CommentSubject">
    <w:name w:val="annotation subject"/>
    <w:basedOn w:val="CommentText"/>
    <w:next w:val="CommentText"/>
    <w:link w:val="CommentSubjectChar"/>
    <w:uiPriority w:val="99"/>
    <w:unhideWhenUsed/>
    <w:rsid w:val="005F492A"/>
    <w:rPr>
      <w:b/>
      <w:bCs/>
    </w:rPr>
  </w:style>
  <w:style w:type="character" w:customStyle="1" w:styleId="CommentSubjectChar">
    <w:name w:val="Comment Subject Char"/>
    <w:basedOn w:val="CommentTextChar"/>
    <w:link w:val="CommentSubject"/>
    <w:uiPriority w:val="99"/>
    <w:rsid w:val="005F492A"/>
    <w:rPr>
      <w:b/>
      <w:bCs/>
      <w:szCs w:val="20"/>
    </w:rPr>
  </w:style>
  <w:style w:type="paragraph" w:styleId="ListParagraph">
    <w:name w:val="List Paragraph"/>
    <w:aliases w:val="Bullet List,Dell,FooterText,LP1,List Paragraph1,List Paragraph_0,List Paragraph_1,List Paragraph_2,Paragraphe de liste1,lp1,numbered,style 2,פיסקת bullets"/>
    <w:basedOn w:val="Normal"/>
    <w:link w:val="ListParagraphChar"/>
    <w:uiPriority w:val="34"/>
    <w:qFormat/>
    <w:rsid w:val="003F6D65"/>
    <w:pPr>
      <w:ind w:left="720"/>
      <w:contextualSpacing/>
    </w:pPr>
  </w:style>
  <w:style w:type="paragraph" w:customStyle="1" w:styleId="731">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5">
    <w:name w:val="75א פעולות ביקורת"/>
    <w:basedOn w:val="214"/>
    <w:qFormat/>
    <w:rsid w:val="0091353C"/>
    <w:pPr>
      <w:keepNext/>
      <w:keepLines/>
      <w:pBdr>
        <w:top w:val="double" w:sz="12" w:space="5" w:color="auto"/>
      </w:pBdr>
      <w:spacing w:before="480" w:after="360"/>
      <w:outlineLvl w:val="9"/>
    </w:pPr>
    <w:rPr>
      <w:b/>
      <w:noProof/>
      <w:sz w:val="31"/>
      <w:szCs w:val="31"/>
      <w:lang w:val="he-IL"/>
    </w:rPr>
  </w:style>
  <w:style w:type="character" w:styleId="Hyperlink">
    <w:name w:val="Hyperlink"/>
    <w:basedOn w:val="DefaultParagraphFont"/>
    <w:uiPriority w:val="99"/>
    <w:unhideWhenUsed/>
    <w:rsid w:val="005A4042"/>
    <w:rPr>
      <w:color w:val="6B9F25" w:themeColor="hyperlink"/>
      <w:u w:val="single"/>
    </w:rPr>
  </w:style>
  <w:style w:type="paragraph" w:customStyle="1" w:styleId="p00">
    <w:name w:val="p00"/>
    <w:basedOn w:val="Normal"/>
    <w:rsid w:val="00C24503"/>
    <w:pPr>
      <w:bidi w:val="0"/>
      <w:spacing w:before="100" w:beforeAutospacing="1" w:after="100" w:afterAutospacing="1" w:line="240" w:lineRule="auto"/>
      <w:jc w:val="left"/>
    </w:pPr>
    <w:rPr>
      <w:rFonts w:eastAsia="Times New Roman" w:cs="Times New Roman"/>
      <w:sz w:val="24"/>
    </w:rPr>
  </w:style>
  <w:style w:type="paragraph" w:styleId="Revision">
    <w:name w:val="Revision"/>
    <w:hidden/>
    <w:uiPriority w:val="99"/>
    <w:semiHidden/>
    <w:rsid w:val="00AF6A68"/>
    <w:pPr>
      <w:spacing w:after="0" w:line="240" w:lineRule="auto"/>
      <w:jc w:val="left"/>
    </w:pPr>
  </w:style>
  <w:style w:type="character" w:customStyle="1" w:styleId="default">
    <w:name w:val="default"/>
    <w:basedOn w:val="DefaultParagraphFont"/>
    <w:rsid w:val="00C24503"/>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0">
    <w:name w:val="73א קוביה רצה תו"/>
    <w:basedOn w:val="DefaultParagraphFont"/>
    <w:link w:val="7316"/>
    <w:rsid w:val="004B039B"/>
    <w:rPr>
      <w:rFonts w:ascii="Tahoma" w:eastAsia="Times New Roman" w:hAnsi="Tahoma" w:cs="Tahoma"/>
      <w:color w:val="0D0D0D" w:themeColor="text1" w:themeTint="F2"/>
      <w:sz w:val="18"/>
      <w:szCs w:val="18"/>
      <w:shd w:val="solid" w:color="CEEAF5" w:fill="auto"/>
      <w:lang w:eastAsia="he-IL"/>
    </w:rPr>
  </w:style>
  <w:style w:type="table" w:customStyle="1" w:styleId="1">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GridTable4Accent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table" w:styleId="GridTable4Accent1">
    <w:name w:val="Grid Table 4 Accent 1"/>
    <w:basedOn w:val="TableNormal"/>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aption">
    <w:name w:val="caption"/>
    <w:basedOn w:val="Normal"/>
    <w:next w:val="Normal"/>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BodyTextIndent">
    <w:name w:val="Body Text Indent"/>
    <w:basedOn w:val="Normal"/>
    <w:link w:val="BodyTextIndentChar"/>
    <w:uiPriority w:val="99"/>
    <w:unhideWhenUsed/>
    <w:rsid w:val="0006189A"/>
    <w:pPr>
      <w:spacing w:after="120"/>
      <w:ind w:left="340"/>
    </w:pPr>
    <w:rPr>
      <w:rFonts w:ascii="Tahoma" w:hAnsi="Tahoma" w:cs="Tahoma"/>
      <w:sz w:val="16"/>
      <w:szCs w:val="20"/>
    </w:rPr>
  </w:style>
  <w:style w:type="character" w:customStyle="1" w:styleId="BodyTextIndentChar">
    <w:name w:val="Body Text Indent Char"/>
    <w:basedOn w:val="DefaultParagraphFont"/>
    <w:link w:val="BodyTextIndent"/>
    <w:uiPriority w:val="99"/>
    <w:rsid w:val="0006189A"/>
    <w:rPr>
      <w:rFonts w:ascii="Tahoma" w:hAnsi="Tahoma" w:cs="Tahoma"/>
      <w:sz w:val="16"/>
      <w:szCs w:val="20"/>
    </w:rPr>
  </w:style>
  <w:style w:type="paragraph" w:customStyle="1" w:styleId="121">
    <w:name w:val="כותרת 1_21"/>
    <w:basedOn w:val="Normal"/>
    <w:link w:val="121Char"/>
    <w:qFormat/>
    <w:rsid w:val="00454096"/>
    <w:pPr>
      <w:spacing w:before="1440"/>
      <w:jc w:val="center"/>
      <w:outlineLvl w:val="0"/>
    </w:pPr>
    <w:rPr>
      <w:rFonts w:ascii="Tahoma" w:hAnsi="Tahoma" w:eastAsiaTheme="minorEastAsia" w:cs="Tahoma"/>
      <w:color w:val="2A2AA6"/>
      <w:sz w:val="42"/>
      <w:szCs w:val="42"/>
    </w:rPr>
  </w:style>
  <w:style w:type="character" w:customStyle="1" w:styleId="alink">
    <w:name w:val="a_link"/>
    <w:basedOn w:val="DefaultParagraphFont"/>
    <w:rsid w:val="00417266"/>
    <w:rPr>
      <w:color w:val="0000FF"/>
    </w:rPr>
  </w:style>
  <w:style w:type="paragraph" w:customStyle="1" w:styleId="a">
    <w:name w:val="תואר"/>
    <w:basedOn w:val="Normal"/>
    <w:link w:val="a0"/>
    <w:qFormat/>
    <w:rsid w:val="00417266"/>
    <w:pPr>
      <w:spacing w:line="240" w:lineRule="auto"/>
      <w:jc w:val="center"/>
    </w:pPr>
    <w:rPr>
      <w:rFonts w:eastAsia="Times New Roman" w:cs="Times New Roman"/>
      <w:b/>
      <w:bCs/>
      <w:sz w:val="32"/>
      <w:szCs w:val="32"/>
      <w:lang w:eastAsia="he-IL"/>
    </w:rPr>
  </w:style>
  <w:style w:type="character" w:customStyle="1" w:styleId="a0">
    <w:name w:val="תואר תו"/>
    <w:link w:val="a"/>
    <w:locked/>
    <w:rsid w:val="00417266"/>
    <w:rPr>
      <w:rFonts w:eastAsia="Times New Roman" w:cs="Times New Roman"/>
      <w:b/>
      <w:bCs/>
      <w:sz w:val="32"/>
      <w:szCs w:val="32"/>
      <w:lang w:eastAsia="he-IL"/>
    </w:rPr>
  </w:style>
  <w:style w:type="character" w:customStyle="1" w:styleId="2">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DefaultParagraphFont"/>
    <w:rsid w:val="00417266"/>
  </w:style>
  <w:style w:type="character" w:customStyle="1" w:styleId="10">
    <w:name w:val="נושא הערה תו1"/>
    <w:basedOn w:val="CommentTextChar"/>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B26B02"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33155">
    <w:name w:val="73א כותרת 3_15.5"/>
    <w:basedOn w:val="Heading3"/>
    <w:link w:val="7331550"/>
    <w:qFormat/>
    <w:rsid w:val="00092EAB"/>
    <w:pPr>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331550">
    <w:name w:val="73א כותרת 3_15.5 תו"/>
    <w:basedOn w:val="Heading3Char"/>
    <w:link w:val="733155"/>
    <w:rsid w:val="00092EAB"/>
    <w:rPr>
      <w:rFonts w:ascii="Tahoma" w:eastAsia="Times New Roman" w:hAnsi="Tahoma" w:cs="Tahoma"/>
      <w:b/>
      <w:bCs/>
      <w:color w:val="00305F"/>
      <w:sz w:val="31"/>
      <w:szCs w:val="31"/>
      <w:u w:val="single"/>
    </w:rPr>
  </w:style>
  <w:style w:type="paragraph" w:customStyle="1" w:styleId="732">
    <w:name w:val="73א הערות שוליים"/>
    <w:basedOn w:val="FootnoteText"/>
    <w:link w:val="7326"/>
    <w:qFormat/>
    <w:rsid w:val="00DE1F29"/>
    <w:pPr>
      <w:keepLines/>
      <w:spacing w:after="60" w:line="220" w:lineRule="exact"/>
      <w:ind w:left="397" w:hanging="397"/>
    </w:pPr>
    <w:rPr>
      <w:rFonts w:ascii="Tahoma" w:hAnsi="Tahoma" w:cs="Tahoma"/>
      <w:color w:val="0D0D0D" w:themeColor="text1" w:themeTint="F2"/>
      <w:sz w:val="14"/>
      <w:szCs w:val="14"/>
    </w:rPr>
  </w:style>
  <w:style w:type="paragraph" w:customStyle="1" w:styleId="733">
    <w:name w:val="73א לוחות/תרשימים/תמונות/אינפוגרפיקה/מפות"/>
    <w:basedOn w:val="Normal"/>
    <w:qFormat/>
    <w:rsid w:val="004B039B"/>
    <w:pPr>
      <w:keepNext/>
      <w:keepLines/>
      <w:widowControl w:val="0"/>
      <w:spacing w:before="240" w:after="240" w:line="260" w:lineRule="exact"/>
      <w:jc w:val="center"/>
      <w:outlineLvl w:val="6"/>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ListParagraphChar">
    <w:name w:val="List Paragraph Char"/>
    <w:aliases w:val="Bullet List Char,Dell Char,FooterText Char,LP1 Char,List Paragraph1 Char,List Paragraph_0 Char,List Paragraph_1 Char,List Paragraph_2 Char,Paragraphe de liste1 Char,lp1 Char,numbered Char,style 2 Char,פיסקת bullets Char"/>
    <w:link w:val="ListParagraph"/>
    <w:uiPriority w:val="34"/>
    <w:rsid w:val="00DD7B55"/>
  </w:style>
  <w:style w:type="paragraph" w:customStyle="1" w:styleId="734">
    <w:name w:val="73א הזחה ראשונה מספר"/>
    <w:basedOn w:val="ListParagraph"/>
    <w:link w:val="7332"/>
    <w:qFormat/>
    <w:rsid w:val="0091353C"/>
    <w:pPr>
      <w:spacing w:after="180" w:line="260" w:lineRule="exact"/>
      <w:ind w:left="709" w:hanging="454"/>
      <w:contextualSpacing w:val="0"/>
    </w:pPr>
    <w:rPr>
      <w:rFonts w:ascii="Tahoma" w:hAnsi="Tahoma" w:cs="Tahoma"/>
      <w:color w:val="0D0D0D" w:themeColor="text1" w:themeTint="F2"/>
      <w:sz w:val="18"/>
      <w:szCs w:val="18"/>
    </w:rPr>
  </w:style>
  <w:style w:type="paragraph" w:customStyle="1" w:styleId="735">
    <w:name w:val="73א הזחה שנייה ריק"/>
    <w:basedOn w:val="BodyTextIndent"/>
    <w:link w:val="7310"/>
    <w:qFormat/>
    <w:rsid w:val="0074714A"/>
    <w:pPr>
      <w:spacing w:after="180" w:line="260" w:lineRule="exact"/>
      <w:ind w:left="794"/>
    </w:pPr>
    <w:rPr>
      <w:color w:val="0D0D0D" w:themeColor="text1" w:themeTint="F2"/>
      <w:sz w:val="18"/>
      <w:szCs w:val="18"/>
    </w:rPr>
  </w:style>
  <w:style w:type="paragraph" w:customStyle="1" w:styleId="736">
    <w:name w:val="73א הזחה שנייה אותיות"/>
    <w:basedOn w:val="ListParagraph"/>
    <w:qFormat/>
    <w:rsid w:val="00591F15"/>
    <w:pPr>
      <w:spacing w:after="180" w:line="260" w:lineRule="exact"/>
      <w:ind w:left="0"/>
    </w:pPr>
    <w:rPr>
      <w:rFonts w:ascii="Tahoma" w:hAnsi="Tahoma" w:cs="Tahoma"/>
      <w:color w:val="0D0D0D" w:themeColor="text1" w:themeTint="F2"/>
      <w:sz w:val="18"/>
      <w:szCs w:val="18"/>
    </w:rPr>
  </w:style>
  <w:style w:type="paragraph" w:customStyle="1" w:styleId="750">
    <w:name w:val="75א מקרא+הערות לתרשים/לוח/תמונה"/>
    <w:basedOn w:val="732"/>
    <w:link w:val="75Char0"/>
    <w:qFormat/>
    <w:rsid w:val="00DE1F29"/>
    <w:pPr>
      <w:keepLines w:val="0"/>
      <w:spacing w:before="120" w:after="240" w:line="260" w:lineRule="exact"/>
      <w:ind w:left="0" w:firstLine="0"/>
    </w:pPr>
    <w:rPr>
      <w:sz w:val="16"/>
      <w:szCs w:val="16"/>
    </w:rPr>
  </w:style>
  <w:style w:type="paragraph" w:customStyle="1" w:styleId="737">
    <w:name w:val="73א קוביה כחולה הזחה שנייה"/>
    <w:basedOn w:val="Normal"/>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8">
    <w:name w:val="73א קוביה כחולה בתוך הזחה ראשונה"/>
    <w:basedOn w:val="737"/>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9">
    <w:name w:val="73א הזחה שנייה ללא מספר"/>
    <w:basedOn w:val="735"/>
    <w:link w:val="7311"/>
    <w:qFormat/>
    <w:rsid w:val="00543F8A"/>
  </w:style>
  <w:style w:type="character" w:customStyle="1" w:styleId="7310">
    <w:name w:val="73א הזחה שנייה ריק תו"/>
    <w:basedOn w:val="BodyTextIndentChar"/>
    <w:link w:val="735"/>
    <w:rsid w:val="0074714A"/>
    <w:rPr>
      <w:rFonts w:ascii="Tahoma" w:hAnsi="Tahoma" w:cs="Tahoma"/>
      <w:color w:val="0D0D0D" w:themeColor="text1" w:themeTint="F2"/>
      <w:sz w:val="18"/>
      <w:szCs w:val="18"/>
    </w:rPr>
  </w:style>
  <w:style w:type="character" w:customStyle="1" w:styleId="7311">
    <w:name w:val="73א הזחה שנייה ללא מספר תו"/>
    <w:basedOn w:val="7310"/>
    <w:link w:val="739"/>
    <w:rsid w:val="00543F8A"/>
    <w:rPr>
      <w:rFonts w:ascii="Tahoma" w:hAnsi="Tahoma" w:cs="Tahoma"/>
      <w:color w:val="0D0D0D" w:themeColor="text1" w:themeTint="F2"/>
      <w:sz w:val="18"/>
      <w:szCs w:val="18"/>
    </w:rPr>
  </w:style>
  <w:style w:type="paragraph" w:customStyle="1" w:styleId="7312">
    <w:name w:val="73א מספור הערות שוליים"/>
    <w:basedOn w:val="732"/>
    <w:qFormat/>
    <w:rsid w:val="003B639B"/>
  </w:style>
  <w:style w:type="paragraph" w:customStyle="1" w:styleId="73R">
    <w:name w:val="73א טבלה טקסט R"/>
    <w:basedOn w:val="Normal"/>
    <w:qFormat/>
    <w:rsid w:val="002F5524"/>
    <w:pPr>
      <w:keepLines/>
      <w:spacing w:before="120" w:after="120" w:line="180" w:lineRule="exact"/>
      <w:jc w:val="left"/>
    </w:pPr>
    <w:rPr>
      <w:rFonts w:ascii="Tahoma" w:hAnsi="Tahoma" w:eastAsiaTheme="minorEastAsia" w:cs="Tahoma"/>
      <w:sz w:val="16"/>
      <w:szCs w:val="16"/>
    </w:rPr>
  </w:style>
  <w:style w:type="paragraph" w:customStyle="1" w:styleId="73B">
    <w:name w:val="73א טבלה טקסט B"/>
    <w:basedOn w:val="Normal"/>
    <w:qFormat/>
    <w:rsid w:val="00520550"/>
    <w:pPr>
      <w:spacing w:before="120" w:after="120" w:line="180" w:lineRule="exact"/>
      <w:jc w:val="left"/>
    </w:pPr>
    <w:rPr>
      <w:rFonts w:ascii="Tahoma" w:hAnsi="Tahoma" w:eastAsiaTheme="minorEastAsia" w:cs="Tahoma"/>
      <w:b/>
      <w:bCs/>
      <w:sz w:val="16"/>
      <w:szCs w:val="16"/>
    </w:rPr>
  </w:style>
  <w:style w:type="paragraph" w:customStyle="1" w:styleId="73HEADER">
    <w:name w:val="73א טבלה HEADER"/>
    <w:basedOn w:val="Normal"/>
    <w:qFormat/>
    <w:rsid w:val="00520550"/>
    <w:pPr>
      <w:spacing w:before="120" w:after="120" w:line="180" w:lineRule="exact"/>
      <w:jc w:val="left"/>
    </w:pPr>
    <w:rPr>
      <w:rFonts w:ascii="Tahoma" w:hAnsi="Tahoma" w:eastAsiaTheme="minorEastAsia" w:cs="Tahoma"/>
      <w:b/>
      <w:color w:val="0D0D0D" w:themeColor="text1" w:themeTint="F2"/>
      <w:sz w:val="16"/>
      <w:szCs w:val="16"/>
    </w:rPr>
  </w:style>
  <w:style w:type="paragraph" w:customStyle="1" w:styleId="a1">
    <w:name w:val="כניסה שלישית"/>
    <w:basedOn w:val="ListParagraph"/>
    <w:qFormat/>
    <w:rsid w:val="008E5512"/>
    <w:pPr>
      <w:spacing w:after="120"/>
      <w:ind w:left="0"/>
    </w:pPr>
    <w:rPr>
      <w:rFonts w:ascii="Tahoma" w:hAnsi="Tahoma" w:cs="Tahoma"/>
      <w:szCs w:val="20"/>
    </w:rPr>
  </w:style>
  <w:style w:type="paragraph" w:customStyle="1" w:styleId="7313">
    <w:name w:val="73א הזחה שלישית"/>
    <w:basedOn w:val="739"/>
    <w:qFormat/>
    <w:rsid w:val="00591F15"/>
    <w:pPr>
      <w:ind w:left="1191"/>
    </w:pPr>
  </w:style>
  <w:style w:type="paragraph" w:customStyle="1" w:styleId="7314">
    <w:name w:val="73א קוביה כחולה הזחה שלישית"/>
    <w:basedOn w:val="737"/>
    <w:qFormat/>
    <w:rsid w:val="00FF6AD9"/>
    <w:pPr>
      <w:framePr w:wrap="around" w:vAnchor="text" w:hAnchor="text" w:y="1"/>
      <w:shd w:val="solid" w:color="CEEAF6" w:fill="CEEAF6"/>
      <w:spacing w:after="120"/>
      <w:ind w:left="1474"/>
    </w:pPr>
  </w:style>
  <w:style w:type="paragraph" w:customStyle="1" w:styleId="11">
    <w:name w:val="קוביה הזחה 1"/>
    <w:basedOn w:val="737"/>
    <w:qFormat/>
    <w:rsid w:val="005C2859"/>
    <w:pPr>
      <w:ind w:left="680"/>
    </w:pPr>
  </w:style>
  <w:style w:type="paragraph" w:customStyle="1" w:styleId="7315">
    <w:name w:val="73א הזחה ראשונה ללא מספר"/>
    <w:basedOn w:val="739"/>
    <w:qFormat/>
    <w:rsid w:val="003570AC"/>
    <w:pPr>
      <w:ind w:left="397"/>
    </w:pPr>
  </w:style>
  <w:style w:type="paragraph" w:customStyle="1" w:styleId="7316">
    <w:name w:val="73א קוביה רצה"/>
    <w:basedOn w:val="738"/>
    <w:link w:val="730"/>
    <w:qFormat/>
    <w:rsid w:val="004B039B"/>
    <w:pPr>
      <w:ind w:left="227"/>
    </w:pPr>
  </w:style>
  <w:style w:type="paragraph" w:customStyle="1" w:styleId="73414">
    <w:name w:val="73א כותרת 4_14"/>
    <w:basedOn w:val="Heading4"/>
    <w:qFormat/>
    <w:rsid w:val="0078358A"/>
    <w:pPr>
      <w:spacing w:after="180" w:line="240" w:lineRule="atLeast"/>
      <w:jc w:val="left"/>
    </w:pPr>
    <w:rPr>
      <w:rFonts w:ascii="Tahoma" w:hAnsi="Tahoma" w:cs="Tahoma"/>
      <w:b/>
      <w:color w:val="00305F"/>
      <w:sz w:val="28"/>
      <w:szCs w:val="28"/>
    </w:rPr>
  </w:style>
  <w:style w:type="paragraph" w:customStyle="1" w:styleId="7317">
    <w:name w:val="73א הזחה בתוך קוביה"/>
    <w:basedOn w:val="7316"/>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18">
    <w:name w:val="73א מספרים בתוך קוביה"/>
    <w:basedOn w:val="7317"/>
    <w:rsid w:val="00520550"/>
  </w:style>
  <w:style w:type="paragraph" w:customStyle="1" w:styleId="7319">
    <w:name w:val="73א אותיות בתוך קוביה 1"/>
    <w:basedOn w:val="7318"/>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PlainTextChar"/>
    <w:uiPriority w:val="99"/>
    <w:unhideWhenUsed/>
    <w:rsid w:val="006D5CCE"/>
    <w:pPr>
      <w:spacing w:line="240" w:lineRule="auto"/>
      <w:jc w:val="left"/>
    </w:pPr>
    <w:rPr>
      <w:rFonts w:ascii="Calibri" w:hAnsi="Calibri" w:cstheme="minorBidi"/>
      <w:sz w:val="22"/>
      <w:szCs w:val="21"/>
    </w:rPr>
  </w:style>
  <w:style w:type="character" w:customStyle="1" w:styleId="PlainTextChar">
    <w:name w:val="Plain Text Char"/>
    <w:basedOn w:val="DefaultParagraphFont"/>
    <w:link w:val="PlainText"/>
    <w:uiPriority w:val="99"/>
    <w:rsid w:val="006D5CCE"/>
    <w:rPr>
      <w:rFonts w:ascii="Calibri" w:hAnsi="Calibri" w:cstheme="minorBidi"/>
      <w:sz w:val="22"/>
      <w:szCs w:val="21"/>
    </w:rPr>
  </w:style>
  <w:style w:type="table" w:customStyle="1" w:styleId="20">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D5CCE"/>
    <w:pPr>
      <w:spacing w:line="240" w:lineRule="auto"/>
    </w:pPr>
    <w:rPr>
      <w:szCs w:val="20"/>
    </w:rPr>
  </w:style>
  <w:style w:type="character" w:customStyle="1" w:styleId="EndnoteTextChar">
    <w:name w:val="Endnote Text Char"/>
    <w:basedOn w:val="DefaultParagraphFont"/>
    <w:link w:val="EndnoteText"/>
    <w:uiPriority w:val="99"/>
    <w:semiHidden/>
    <w:rsid w:val="006D5CCE"/>
    <w:rPr>
      <w:szCs w:val="20"/>
    </w:rPr>
  </w:style>
  <w:style w:type="paragraph" w:customStyle="1" w:styleId="110">
    <w:name w:val="כותרת 11"/>
    <w:basedOn w:val="Normal"/>
    <w:next w:val="Normal"/>
    <w:link w:val="12"/>
    <w:uiPriority w:val="1"/>
    <w:qFormat/>
    <w:rsid w:val="002516DF"/>
    <w:pPr>
      <w:keepNext/>
      <w:keepLines/>
      <w:jc w:val="center"/>
      <w:outlineLvl w:val="0"/>
    </w:pPr>
    <w:rPr>
      <w:rFonts w:eastAsia="Times New Roman"/>
      <w:bCs/>
      <w:szCs w:val="36"/>
      <w:u w:val="single"/>
    </w:rPr>
  </w:style>
  <w:style w:type="paragraph" w:customStyle="1" w:styleId="21">
    <w:name w:val="כותרת 21"/>
    <w:basedOn w:val="Normal"/>
    <w:next w:val="Normal"/>
    <w:link w:val="22"/>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
    <w:uiPriority w:val="1"/>
    <w:qFormat/>
    <w:rsid w:val="002516DF"/>
    <w:pPr>
      <w:keepNext/>
      <w:keepLines/>
      <w:spacing w:before="120"/>
      <w:outlineLvl w:val="2"/>
    </w:pPr>
    <w:rPr>
      <w:rFonts w:eastAsia="Times New Roman"/>
      <w:bCs/>
      <w:szCs w:val="28"/>
      <w:u w:val="single"/>
    </w:rPr>
  </w:style>
  <w:style w:type="paragraph" w:customStyle="1" w:styleId="41">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2">
    <w:name w:val="כותרת 1 תו"/>
    <w:link w:val="110"/>
    <w:uiPriority w:val="1"/>
    <w:rsid w:val="002516DF"/>
    <w:rPr>
      <w:rFonts w:eastAsia="Times New Roman"/>
      <w:bCs/>
      <w:szCs w:val="36"/>
      <w:u w:val="single"/>
    </w:rPr>
  </w:style>
  <w:style w:type="character" w:customStyle="1" w:styleId="22">
    <w:name w:val="כותרת 2 תו"/>
    <w:link w:val="21"/>
    <w:uiPriority w:val="1"/>
    <w:rsid w:val="002516DF"/>
    <w:rPr>
      <w:rFonts w:eastAsia="Times New Roman"/>
      <w:bCs/>
      <w:szCs w:val="32"/>
    </w:rPr>
  </w:style>
  <w:style w:type="character" w:customStyle="1" w:styleId="3">
    <w:name w:val="כותרת 3 תו"/>
    <w:link w:val="31"/>
    <w:uiPriority w:val="1"/>
    <w:rsid w:val="002516DF"/>
    <w:rPr>
      <w:rFonts w:eastAsia="Times New Roman"/>
      <w:bCs/>
      <w:szCs w:val="28"/>
      <w:u w:val="single"/>
    </w:rPr>
  </w:style>
  <w:style w:type="character" w:customStyle="1" w:styleId="4">
    <w:name w:val="כותרת 4 תו"/>
    <w:link w:val="41"/>
    <w:uiPriority w:val="1"/>
    <w:rsid w:val="002516DF"/>
    <w:rPr>
      <w:rFonts w:eastAsia="Times New Roman"/>
      <w:bCs/>
      <w:szCs w:val="26"/>
    </w:rPr>
  </w:style>
  <w:style w:type="character" w:customStyle="1" w:styleId="5">
    <w:name w:val="כותרת 5 תו"/>
    <w:link w:val="51"/>
    <w:uiPriority w:val="1"/>
    <w:rsid w:val="002516DF"/>
    <w:rPr>
      <w:rFonts w:eastAsia="Times New Roman"/>
      <w:bCs/>
      <w:spacing w:val="40"/>
    </w:rPr>
  </w:style>
  <w:style w:type="character" w:customStyle="1" w:styleId="6">
    <w:name w:val="כותרת 6 תו"/>
    <w:link w:val="61"/>
    <w:uiPriority w:val="1"/>
    <w:rsid w:val="002516DF"/>
    <w:rPr>
      <w:rFonts w:eastAsia="Times New Roman"/>
      <w:spacing w:val="40"/>
    </w:rPr>
  </w:style>
  <w:style w:type="character" w:customStyle="1" w:styleId="7">
    <w:name w:val="כותרת 7 תו"/>
    <w:link w:val="71"/>
    <w:uiPriority w:val="1"/>
    <w:rsid w:val="002516DF"/>
    <w:rPr>
      <w:rFonts w:eastAsia="Times New Roman"/>
      <w:bCs/>
      <w:spacing w:val="40"/>
    </w:rPr>
  </w:style>
  <w:style w:type="character" w:customStyle="1" w:styleId="8">
    <w:name w:val="כותרת 8 תו"/>
    <w:link w:val="81"/>
    <w:uiPriority w:val="1"/>
    <w:rsid w:val="002516DF"/>
    <w:rPr>
      <w:rFonts w:eastAsia="Times New Roman"/>
      <w:spacing w:val="40"/>
    </w:rPr>
  </w:style>
  <w:style w:type="paragraph" w:customStyle="1" w:styleId="13">
    <w:name w:val="כותרת עליונה1"/>
    <w:basedOn w:val="Normal"/>
    <w:link w:val="a2"/>
    <w:uiPriority w:val="99"/>
    <w:unhideWhenUsed/>
    <w:rsid w:val="002516DF"/>
    <w:pPr>
      <w:tabs>
        <w:tab w:val="center" w:pos="4153"/>
        <w:tab w:val="right" w:pos="8306"/>
      </w:tabs>
      <w:spacing w:line="240" w:lineRule="auto"/>
    </w:pPr>
    <w:rPr>
      <w:rFonts w:eastAsia="Calibri"/>
    </w:rPr>
  </w:style>
  <w:style w:type="character" w:customStyle="1" w:styleId="a2">
    <w:name w:val="כותרת עליונה תו"/>
    <w:basedOn w:val="DefaultParagraphFont"/>
    <w:link w:val="13"/>
    <w:uiPriority w:val="99"/>
    <w:rsid w:val="002516DF"/>
    <w:rPr>
      <w:rFonts w:eastAsia="Calibri"/>
    </w:rPr>
  </w:style>
  <w:style w:type="paragraph" w:customStyle="1" w:styleId="14">
    <w:name w:val="כותרת תחתונה1"/>
    <w:basedOn w:val="Normal"/>
    <w:link w:val="a3"/>
    <w:uiPriority w:val="99"/>
    <w:unhideWhenUsed/>
    <w:rsid w:val="002516DF"/>
    <w:pPr>
      <w:tabs>
        <w:tab w:val="center" w:pos="4153"/>
        <w:tab w:val="right" w:pos="8306"/>
      </w:tabs>
      <w:spacing w:line="240" w:lineRule="auto"/>
    </w:pPr>
    <w:rPr>
      <w:rFonts w:eastAsia="Calibri"/>
    </w:rPr>
  </w:style>
  <w:style w:type="character" w:customStyle="1" w:styleId="a3">
    <w:name w:val="כותרת תחתונה תו"/>
    <w:basedOn w:val="DefaultParagraphFont"/>
    <w:link w:val="14"/>
    <w:uiPriority w:val="99"/>
    <w:rsid w:val="002516DF"/>
    <w:rPr>
      <w:rFonts w:eastAsia="Calibri"/>
    </w:rPr>
  </w:style>
  <w:style w:type="paragraph" w:customStyle="1" w:styleId="15">
    <w:name w:val="תאריך1"/>
    <w:basedOn w:val="Normal"/>
    <w:next w:val="Normal"/>
    <w:link w:val="a4"/>
    <w:uiPriority w:val="99"/>
    <w:unhideWhenUsed/>
    <w:rsid w:val="002516DF"/>
    <w:pPr>
      <w:spacing w:before="120" w:line="240" w:lineRule="auto"/>
    </w:pPr>
    <w:rPr>
      <w:rFonts w:eastAsia="Calibri"/>
    </w:rPr>
  </w:style>
  <w:style w:type="character" w:customStyle="1" w:styleId="a4">
    <w:name w:val="תאריך תו"/>
    <w:basedOn w:val="DefaultParagraphFont"/>
    <w:link w:val="15"/>
    <w:uiPriority w:val="99"/>
    <w:rsid w:val="002516DF"/>
    <w:rPr>
      <w:rFonts w:eastAsia="Calibri"/>
    </w:rPr>
  </w:style>
  <w:style w:type="character" w:customStyle="1" w:styleId="a5">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rsid w:val="002516DF"/>
    <w:rPr>
      <w:szCs w:val="20"/>
    </w:rPr>
  </w:style>
  <w:style w:type="paragraph" w:customStyle="1" w:styleId="16">
    <w:name w:val="פיסקת רשימה1"/>
    <w:basedOn w:val="Normal"/>
    <w:uiPriority w:val="34"/>
    <w:qFormat/>
    <w:rsid w:val="002516DF"/>
    <w:pPr>
      <w:ind w:left="720"/>
      <w:contextualSpacing/>
    </w:pPr>
    <w:rPr>
      <w:rFonts w:eastAsia="Calibri"/>
    </w:rPr>
  </w:style>
  <w:style w:type="paragraph" w:customStyle="1" w:styleId="a6">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7">
    <w:name w:val="טקסט בלונים1"/>
    <w:basedOn w:val="Normal"/>
    <w:link w:val="a7"/>
    <w:uiPriority w:val="99"/>
    <w:semiHidden/>
    <w:unhideWhenUsed/>
    <w:rsid w:val="002516DF"/>
    <w:pPr>
      <w:spacing w:line="240" w:lineRule="auto"/>
    </w:pPr>
    <w:rPr>
      <w:rFonts w:ascii="Tahoma" w:eastAsia="Calibri" w:hAnsi="Tahoma" w:cs="Tahoma"/>
      <w:sz w:val="18"/>
      <w:szCs w:val="18"/>
    </w:rPr>
  </w:style>
  <w:style w:type="character" w:customStyle="1" w:styleId="a7">
    <w:name w:val="טקסט בלונים תו"/>
    <w:link w:val="17"/>
    <w:uiPriority w:val="99"/>
    <w:semiHidden/>
    <w:rsid w:val="002516DF"/>
    <w:rPr>
      <w:rFonts w:ascii="Tahoma" w:eastAsia="Calibri" w:hAnsi="Tahoma" w:cs="Tahoma"/>
      <w:sz w:val="18"/>
      <w:szCs w:val="18"/>
    </w:rPr>
  </w:style>
  <w:style w:type="character" w:customStyle="1" w:styleId="18">
    <w:name w:val="כותרת תחתונה תו1"/>
    <w:uiPriority w:val="99"/>
    <w:rsid w:val="002516DF"/>
    <w:rPr>
      <w:rFonts w:cs="David"/>
      <w:sz w:val="24"/>
      <w:szCs w:val="24"/>
    </w:rPr>
  </w:style>
  <w:style w:type="character" w:customStyle="1" w:styleId="19">
    <w:name w:val="טקסט הערת שוליים תו1"/>
    <w:aliases w:val="Sharp - Footnote Text1 Char תו"/>
    <w:locked/>
    <w:rsid w:val="002516DF"/>
    <w:rPr>
      <w:rFonts w:cs="David"/>
      <w:sz w:val="20"/>
      <w:szCs w:val="20"/>
      <w:lang w:bidi="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1">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12">
    <w:name w:val="טקסט הערה1"/>
    <w:basedOn w:val="Normal"/>
    <w:link w:val="a8"/>
    <w:uiPriority w:val="99"/>
    <w:unhideWhenUsed/>
    <w:rsid w:val="002516DF"/>
    <w:pPr>
      <w:spacing w:line="240" w:lineRule="auto"/>
    </w:pPr>
    <w:rPr>
      <w:rFonts w:eastAsia="Calibri"/>
      <w:szCs w:val="20"/>
    </w:rPr>
  </w:style>
  <w:style w:type="character" w:customStyle="1" w:styleId="a8">
    <w:name w:val="טקסט הערה תו"/>
    <w:link w:val="112"/>
    <w:uiPriority w:val="99"/>
    <w:rsid w:val="002516DF"/>
    <w:rPr>
      <w:rFonts w:eastAsia="Calibri"/>
      <w:szCs w:val="20"/>
    </w:rPr>
  </w:style>
  <w:style w:type="paragraph" w:customStyle="1" w:styleId="113">
    <w:name w:val="נושא הערה1"/>
    <w:basedOn w:val="112"/>
    <w:next w:val="112"/>
    <w:link w:val="a9"/>
    <w:uiPriority w:val="99"/>
    <w:semiHidden/>
    <w:unhideWhenUsed/>
    <w:rsid w:val="002516DF"/>
    <w:rPr>
      <w:b/>
      <w:bCs/>
    </w:rPr>
  </w:style>
  <w:style w:type="character" w:customStyle="1" w:styleId="a9">
    <w:name w:val="נושא הערה תו"/>
    <w:link w:val="113"/>
    <w:uiPriority w:val="99"/>
    <w:semiHidden/>
    <w:rsid w:val="002516DF"/>
    <w:rPr>
      <w:rFonts w:eastAsia="Calibri"/>
      <w:b/>
      <w:bCs/>
      <w:szCs w:val="20"/>
    </w:rPr>
  </w:style>
  <w:style w:type="character" w:customStyle="1" w:styleId="210">
    <w:name w:val="כותרת 2 תו1"/>
    <w:basedOn w:val="DefaultParagraphFont"/>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0D5571" w:themeColor="accent1" w:themeShade="7F"/>
      <w:sz w:val="24"/>
      <w:szCs w:val="24"/>
    </w:rPr>
  </w:style>
  <w:style w:type="character" w:customStyle="1" w:styleId="114">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DefaultParagraphFont"/>
    <w:rsid w:val="00387987"/>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5">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0">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20">
    <w:name w:val="73א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21">
    <w:name w:val="73א כוכבית בתוך קוביה"/>
    <w:basedOn w:val="7316"/>
    <w:qFormat/>
    <w:rsid w:val="001F0DE8"/>
    <w:pPr>
      <w:jc w:val="center"/>
    </w:pPr>
    <w:rPr>
      <w:rFonts w:ascii="Segoe UI Symbol" w:hAnsi="Segoe UI Symbol" w:cs="Segoe UI Symbol"/>
    </w:rPr>
  </w:style>
  <w:style w:type="paragraph" w:customStyle="1" w:styleId="7322">
    <w:name w:val="73א הזחה אותיות"/>
    <w:basedOn w:val="ListParagraph"/>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23">
    <w:name w:val="73א מספור בתוך קוביה"/>
    <w:basedOn w:val="ListParagraph"/>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10">
    <w:name w:val="נבנצלים"/>
    <w:basedOn w:val="Normal"/>
    <w:next w:val="Normal"/>
    <w:rsid w:val="00114E4E"/>
    <w:pPr>
      <w:widowControl w:val="0"/>
      <w:ind w:left="-567"/>
    </w:pPr>
    <w:rPr>
      <w:rFonts w:eastAsia="Times New Roman"/>
      <w:sz w:val="24"/>
      <w:szCs w:val="20"/>
      <w:lang w:eastAsia="he-IL"/>
    </w:rPr>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SubtitleChar"/>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SubtitleChar">
    <w:name w:val="Subtitle Char"/>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TopofFormChar"/>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HTMLTopofForm"/>
    <w:uiPriority w:val="99"/>
    <w:semiHidden/>
    <w:rsid w:val="00114E4E"/>
    <w:rPr>
      <w:rFonts w:ascii="Arial" w:eastAsia="Times New Roman" w:hAnsi="Arial" w:cs="Arial"/>
      <w:vanish/>
      <w:sz w:val="16"/>
      <w:szCs w:val="16"/>
    </w:rPr>
  </w:style>
  <w:style w:type="character" w:customStyle="1" w:styleId="Heading9Char">
    <w:name w:val="Heading 9 Char"/>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Normal"/>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Normal"/>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TableNormal"/>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NoSpacing">
    <w:name w:val="No Spacing"/>
    <w:link w:val="NoSpacingChar"/>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A23AE"/>
    <w:rPr>
      <w:rFonts w:asciiTheme="minorHAnsi" w:eastAsiaTheme="minorEastAsia" w:hAnsiTheme="minorHAnsi" w:cstheme="minorBidi"/>
      <w:sz w:val="22"/>
      <w:szCs w:val="22"/>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134163" w:themeColor="accent2" w:themeShade="80"/>
      <w:sz w:val="22"/>
      <w:szCs w:val="22"/>
    </w:rPr>
  </w:style>
  <w:style w:type="table" w:customStyle="1" w:styleId="410">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11">
    <w:name w:val="טבלה הערות מתחת"/>
    <w:basedOn w:val="732"/>
    <w:qFormat/>
    <w:rsid w:val="00771BEC"/>
    <w:pPr>
      <w:spacing w:before="120"/>
    </w:pPr>
  </w:style>
  <w:style w:type="paragraph" w:customStyle="1" w:styleId="7324">
    <w:name w:val="73א אותיות רשימה א"/>
    <w:aliases w:val="ב"/>
    <w:basedOn w:val="ListParagraph"/>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12">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a13">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5">
    <w:name w:val="ציטוט בג&quot;צ Char"/>
    <w:link w:val="a14"/>
    <w:locked/>
    <w:rsid w:val="00CF1EB5"/>
    <w:rPr>
      <w:bCs/>
      <w:noProof/>
      <w:sz w:val="24"/>
      <w:lang w:eastAsia="he-IL"/>
    </w:rPr>
  </w:style>
  <w:style w:type="paragraph" w:customStyle="1" w:styleId="a14">
    <w:name w:val="ציטוט בג&quot;צ"/>
    <w:basedOn w:val="Normal"/>
    <w:link w:val="Char5"/>
    <w:qFormat/>
    <w:rsid w:val="00CF1EB5"/>
    <w:pPr>
      <w:spacing w:line="240" w:lineRule="auto"/>
      <w:ind w:left="1440" w:right="1440"/>
    </w:pPr>
    <w:rPr>
      <w:bCs/>
      <w:noProof/>
      <w:sz w:val="24"/>
      <w:lang w:eastAsia="he-IL"/>
    </w:rPr>
  </w:style>
  <w:style w:type="paragraph" w:customStyle="1" w:styleId="7380">
    <w:name w:val="73א כותרת 8"/>
    <w:basedOn w:val="Heading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16">
    <w:name w:val="כותרת טקסט1"/>
    <w:basedOn w:val="DefaultParagraphFont"/>
    <w:rsid w:val="00D81F77"/>
  </w:style>
  <w:style w:type="paragraph" w:customStyle="1" w:styleId="a15">
    <w:name w:val="כותרת סעיף"/>
    <w:basedOn w:val="Normal"/>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ListParagraph"/>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16">
    <w:name w:val="טקסט רץ"/>
    <w:basedOn w:val="100"/>
    <w:link w:val="Char6"/>
    <w:qFormat/>
    <w:rsid w:val="00D17911"/>
    <w:pPr>
      <w:spacing w:after="180" w:line="260" w:lineRule="exact"/>
    </w:pPr>
    <w:rPr>
      <w:color w:val="0D0D0D"/>
      <w:szCs w:val="18"/>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6">
    <w:name w:val="טקסט רץ Char"/>
    <w:basedOn w:val="10Char"/>
    <w:link w:val="a16"/>
    <w:rsid w:val="00D17911"/>
    <w:rPr>
      <w:rFonts w:ascii="Tahoma" w:hAnsi="Tahoma" w:cs="Tahoma"/>
      <w:color w:val="0D0D0D"/>
      <w:szCs w:val="18"/>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121Char">
    <w:name w:val="כותרת 1_21 Char"/>
    <w:basedOn w:val="DefaultParagraphFont"/>
    <w:link w:val="121"/>
    <w:rsid w:val="00454096"/>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hAnsi="Tahoma" w:eastAsiaTheme="minorEastAsia" w:cs="Tahoma"/>
      <w:color w:val="0D0D0D" w:themeColor="text1" w:themeTint="F2"/>
      <w:w w:val="90"/>
      <w:sz w:val="18"/>
      <w:szCs w:val="18"/>
    </w:rPr>
  </w:style>
  <w:style w:type="paragraph" w:customStyle="1" w:styleId="212">
    <w:name w:val="סיכום תקציר 21"/>
    <w:basedOn w:val="Normal"/>
    <w:link w:val="21Char"/>
    <w:qFormat/>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213">
    <w:name w:val="עיקרי המלצות הביקורת 21"/>
    <w:basedOn w:val="Normal"/>
    <w:link w:val="21Char0"/>
    <w:qFormat/>
    <w:rsid w:val="00454096"/>
    <w:pPr>
      <w:spacing w:after="180" w:line="240" w:lineRule="atLeast"/>
      <w:jc w:val="left"/>
      <w:outlineLvl w:val="1"/>
    </w:pPr>
    <w:rPr>
      <w:rFonts w:ascii="Tahoma" w:hAnsi="Tahoma" w:eastAsiaTheme="minorEastAsia" w:cs="Tahoma"/>
      <w:b/>
      <w:bCs/>
      <w:color w:val="002E5F"/>
      <w:sz w:val="34"/>
      <w:szCs w:val="32"/>
    </w:rPr>
  </w:style>
  <w:style w:type="character" w:customStyle="1" w:styleId="21Char">
    <w:name w:val="סיכום תקציר 21 Char"/>
    <w:basedOn w:val="DefaultParagraphFont"/>
    <w:link w:val="212"/>
    <w:rsid w:val="00454096"/>
    <w:rPr>
      <w:rFonts w:ascii="Tahoma" w:hAnsi="Tahoma" w:eastAsiaTheme="minorEastAsia" w:cs="Tahoma"/>
      <w:b/>
      <w:bCs/>
      <w:color w:val="00305F"/>
      <w:sz w:val="34"/>
      <w:szCs w:val="32"/>
    </w:rPr>
  </w:style>
  <w:style w:type="paragraph" w:customStyle="1" w:styleId="214">
    <w:name w:val="פעולות הביקורת 21"/>
    <w:basedOn w:val="Normal"/>
    <w:link w:val="21Char1"/>
    <w:qFormat/>
    <w:rsid w:val="00454096"/>
    <w:pPr>
      <w:spacing w:after="180" w:line="240" w:lineRule="atLeast"/>
      <w:jc w:val="left"/>
      <w:outlineLvl w:val="1"/>
    </w:pPr>
    <w:rPr>
      <w:rFonts w:ascii="Tahoma" w:hAnsi="Tahoma" w:eastAsiaTheme="minorEastAsia" w:cs="Tahoma"/>
      <w:bCs/>
      <w:color w:val="00305F"/>
      <w:sz w:val="32"/>
      <w:szCs w:val="32"/>
    </w:rPr>
  </w:style>
  <w:style w:type="character" w:customStyle="1" w:styleId="21Char0">
    <w:name w:val="עיקרי המלצות הביקורת 21 Char"/>
    <w:basedOn w:val="DefaultParagraphFont"/>
    <w:link w:val="213"/>
    <w:rsid w:val="00454096"/>
    <w:rPr>
      <w:rFonts w:ascii="Tahoma" w:hAnsi="Tahoma" w:eastAsiaTheme="minorEastAsia" w:cs="Tahoma"/>
      <w:b/>
      <w:bCs/>
      <w:color w:val="002E5F"/>
      <w:sz w:val="34"/>
      <w:szCs w:val="32"/>
    </w:rPr>
  </w:style>
  <w:style w:type="character" w:customStyle="1" w:styleId="21Char1">
    <w:name w:val="פעולות הביקורת 21 Char"/>
    <w:basedOn w:val="DefaultParagraphFont"/>
    <w:link w:val="214"/>
    <w:rsid w:val="00454096"/>
    <w:rPr>
      <w:rFonts w:ascii="Tahoma" w:hAnsi="Tahoma" w:eastAsiaTheme="minorEastAsia" w:cs="Tahoma"/>
      <w:b w:val="0"/>
      <w:bCs/>
      <w:color w:val="00305F"/>
      <w:sz w:val="32"/>
      <w:szCs w:val="32"/>
    </w:rPr>
  </w:style>
  <w:style w:type="paragraph" w:customStyle="1" w:styleId="215">
    <w:name w:val="פעולות הביקורת21"/>
    <w:basedOn w:val="Normal"/>
    <w:link w:val="21Char2"/>
    <w:qFormat/>
    <w:rsid w:val="001F3363"/>
    <w:pPr>
      <w:spacing w:after="180" w:line="260" w:lineRule="exact"/>
      <w:ind w:left="-1"/>
    </w:pPr>
    <w:rPr>
      <w:rFonts w:ascii="Tahoma" w:hAnsi="Tahoma" w:cs="Tahoma"/>
      <w:sz w:val="18"/>
      <w:szCs w:val="18"/>
    </w:rPr>
  </w:style>
  <w:style w:type="paragraph" w:customStyle="1" w:styleId="20211">
    <w:name w:val="טקסט רץ 2021"/>
    <w:basedOn w:val="Normal"/>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a17">
    <w:name w:val="לוחות/תרשימים/תמונות/אינפוגרפיקה/מפות"/>
    <w:basedOn w:val="Normal"/>
    <w:qFormat/>
    <w:rsid w:val="00A93F51"/>
    <w:pPr>
      <w:keepNext/>
      <w:spacing w:after="200"/>
      <w:jc w:val="center"/>
    </w:pPr>
    <w:rPr>
      <w:rFonts w:ascii="Tahoma" w:hAnsi="Tahoma" w:eastAsiaTheme="minorEastAsia" w:cs="Tahoma"/>
      <w:color w:val="1481AB" w:themeColor="accent1" w:themeShade="BF"/>
      <w:szCs w:val="20"/>
    </w:rPr>
  </w:style>
  <w:style w:type="paragraph" w:customStyle="1" w:styleId="7325">
    <w:name w:val="73א כותרת סיכום"/>
    <w:basedOn w:val="733155"/>
    <w:qFormat/>
    <w:rsid w:val="00662020"/>
    <w:rPr>
      <w:b w:val="0"/>
    </w:rPr>
  </w:style>
  <w:style w:type="paragraph" w:customStyle="1" w:styleId="751">
    <w:name w:val="75א תמונת המצב העולה מן הביקורת"/>
    <w:basedOn w:val="214"/>
    <w:link w:val="75Char"/>
    <w:qFormat/>
    <w:rsid w:val="006F49D3"/>
    <w:pPr>
      <w:keepNext/>
      <w:keepLines/>
      <w:pBdr>
        <w:top w:val="single" w:sz="12" w:space="5" w:color="auto"/>
      </w:pBdr>
      <w:spacing w:before="360" w:after="240"/>
      <w:outlineLvl w:val="9"/>
    </w:pPr>
    <w:rPr>
      <w:sz w:val="31"/>
      <w:szCs w:val="31"/>
    </w:rPr>
  </w:style>
  <w:style w:type="character" w:customStyle="1" w:styleId="75Char">
    <w:name w:val="75א תמונת המצב העולה מן הביקורת Char"/>
    <w:basedOn w:val="21Char1"/>
    <w:link w:val="751"/>
    <w:rsid w:val="006F49D3"/>
    <w:rPr>
      <w:rFonts w:ascii="Tahoma" w:hAnsi="Tahoma" w:eastAsiaTheme="minorEastAsia" w:cs="Tahoma"/>
      <w:b w:val="0"/>
      <w:bCs/>
      <w:color w:val="00305F"/>
      <w:sz w:val="31"/>
      <w:szCs w:val="31"/>
    </w:rPr>
  </w:style>
  <w:style w:type="paragraph" w:customStyle="1" w:styleId="752">
    <w:name w:val="75א כותרת 2"/>
    <w:link w:val="752Char"/>
    <w:qFormat/>
    <w:rsid w:val="00BB0517"/>
    <w:pPr>
      <w:keepNext/>
      <w:keepLines/>
      <w:bidi/>
      <w:spacing w:before="360" w:after="240" w:line="240" w:lineRule="atLeast"/>
      <w:jc w:val="left"/>
      <w:outlineLvl w:val="1"/>
    </w:pPr>
    <w:rPr>
      <w:rFonts w:ascii="Tahoma" w:hAnsi="Tahoma" w:cs="Tahoma"/>
      <w:b/>
      <w:bCs/>
      <w:color w:val="00305F"/>
      <w:sz w:val="34"/>
      <w:szCs w:val="34"/>
    </w:rPr>
  </w:style>
  <w:style w:type="character" w:customStyle="1" w:styleId="752Char">
    <w:name w:val="75א כותרת 2 Char"/>
    <w:basedOn w:val="DefaultParagraphFont"/>
    <w:link w:val="752"/>
    <w:rsid w:val="00BB0517"/>
    <w:rPr>
      <w:rFonts w:ascii="Tahoma" w:hAnsi="Tahoma" w:cs="Tahoma"/>
      <w:b/>
      <w:bCs/>
      <w:color w:val="00305F"/>
      <w:sz w:val="34"/>
      <w:szCs w:val="34"/>
    </w:rPr>
  </w:style>
  <w:style w:type="character" w:customStyle="1" w:styleId="7326">
    <w:name w:val="73א הערות שוליים תו"/>
    <w:basedOn w:val="FootnoteTextChar"/>
    <w:link w:val="732"/>
    <w:rsid w:val="00DE1F29"/>
    <w:rPr>
      <w:rFonts w:ascii="Tahoma" w:hAnsi="Tahoma" w:cs="Tahoma"/>
      <w:color w:val="0D0D0D" w:themeColor="text1" w:themeTint="F2"/>
      <w:sz w:val="14"/>
      <w:szCs w:val="14"/>
    </w:rPr>
  </w:style>
  <w:style w:type="paragraph" w:customStyle="1" w:styleId="7300">
    <w:name w:val="73א מקרא לתרשים תמונה לוח רווח אחרי 0"/>
    <w:basedOn w:val="750"/>
    <w:link w:val="7301"/>
    <w:qFormat/>
    <w:rsid w:val="00050995"/>
    <w:pPr>
      <w:spacing w:after="0"/>
    </w:pPr>
  </w:style>
  <w:style w:type="character" w:customStyle="1" w:styleId="75Char0">
    <w:name w:val="75א מקרא+הערות לתרשים/לוח/תמונה Char"/>
    <w:basedOn w:val="7326"/>
    <w:link w:val="750"/>
    <w:rsid w:val="00DE1F29"/>
    <w:rPr>
      <w:rFonts w:ascii="Tahoma" w:hAnsi="Tahoma" w:cs="Tahoma"/>
      <w:color w:val="0D0D0D" w:themeColor="text1" w:themeTint="F2"/>
      <w:sz w:val="16"/>
      <w:szCs w:val="16"/>
    </w:rPr>
  </w:style>
  <w:style w:type="character" w:customStyle="1" w:styleId="7301">
    <w:name w:val="73א מקרא לתרשים תמונה לוח רווח אחרי 0 תו"/>
    <w:basedOn w:val="75Char0"/>
    <w:link w:val="7300"/>
    <w:rsid w:val="00050995"/>
    <w:rPr>
      <w:rFonts w:ascii="Tahoma" w:hAnsi="Tahoma" w:cs="Tahoma"/>
      <w:color w:val="0D0D0D" w:themeColor="text1" w:themeTint="F2"/>
      <w:sz w:val="16"/>
      <w:szCs w:val="16"/>
    </w:rPr>
  </w:style>
  <w:style w:type="paragraph" w:customStyle="1" w:styleId="7390">
    <w:name w:val="73א בולד 9 בתוך שורה"/>
    <w:basedOn w:val="215"/>
    <w:link w:val="7391"/>
    <w:qFormat/>
    <w:rsid w:val="00FF6AD9"/>
    <w:pPr>
      <w:ind w:left="397"/>
    </w:pPr>
    <w:rPr>
      <w:bCs/>
      <w:noProof/>
      <w:color w:val="0D0D0D" w:themeColor="text1" w:themeTint="F2"/>
      <w:lang w:val="he-IL"/>
    </w:rPr>
  </w:style>
  <w:style w:type="character" w:customStyle="1" w:styleId="21Char2">
    <w:name w:val="פעולות הביקורת21 Char"/>
    <w:basedOn w:val="DefaultParagraphFont"/>
    <w:link w:val="215"/>
    <w:rsid w:val="001F3363"/>
    <w:rPr>
      <w:rFonts w:ascii="Tahoma" w:hAnsi="Tahoma" w:cs="Tahoma"/>
      <w:color w:val="0D0D0D" w:themeColor="text1" w:themeTint="F2"/>
      <w:sz w:val="18"/>
      <w:szCs w:val="18"/>
    </w:rPr>
  </w:style>
  <w:style w:type="character" w:customStyle="1" w:styleId="7391">
    <w:name w:val="73א בולד 9 בתוך שורה תו"/>
    <w:basedOn w:val="21Char2"/>
    <w:link w:val="7390"/>
    <w:rsid w:val="00FF6AD9"/>
    <w:rPr>
      <w:rFonts w:ascii="Tahoma" w:hAnsi="Tahoma" w:cs="Tahoma"/>
      <w:bCs/>
      <w:noProof/>
      <w:color w:val="0D0D0D" w:themeColor="text1" w:themeTint="F2"/>
      <w:sz w:val="18"/>
      <w:szCs w:val="18"/>
      <w:lang w:val="he-IL"/>
    </w:rPr>
  </w:style>
  <w:style w:type="paragraph" w:customStyle="1" w:styleId="30">
    <w:name w:val="שורת רווח לפני כותרת 3 בטקסט רץ"/>
    <w:basedOn w:val="Normal"/>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DefaultParagraphFont"/>
    <w:link w:val="30"/>
    <w:rsid w:val="001F3363"/>
    <w:rPr>
      <w:rFonts w:ascii="Tahoma" w:hAnsi="Tahoma" w:cs="Tahoma"/>
      <w:color w:val="0D0D0D" w:themeColor="text1" w:themeTint="F2"/>
      <w:sz w:val="18"/>
      <w:szCs w:val="18"/>
    </w:rPr>
  </w:style>
  <w:style w:type="paragraph" w:customStyle="1" w:styleId="73110">
    <w:name w:val="73א מרווח של 1 בטקס רץ"/>
    <w:basedOn w:val="Normal"/>
    <w:link w:val="73111"/>
    <w:qFormat/>
    <w:rsid w:val="001F3363"/>
    <w:pPr>
      <w:spacing w:after="180" w:line="260" w:lineRule="exact"/>
    </w:pPr>
    <w:rPr>
      <w:rFonts w:ascii="Tahoma" w:hAnsi="Tahoma" w:cs="Tahoma"/>
      <w:color w:val="0D0D0D" w:themeColor="text1" w:themeTint="F2"/>
      <w:spacing w:val="20"/>
      <w:sz w:val="18"/>
      <w:szCs w:val="18"/>
    </w:rPr>
  </w:style>
  <w:style w:type="character" w:customStyle="1" w:styleId="73111">
    <w:name w:val="73א מרווח של 1 בטקס רץ תו"/>
    <w:basedOn w:val="DefaultParagraphFont"/>
    <w:link w:val="73110"/>
    <w:rsid w:val="001F3363"/>
    <w:rPr>
      <w:rFonts w:ascii="Tahoma" w:hAnsi="Tahoma" w:cs="Tahoma"/>
      <w:color w:val="0D0D0D" w:themeColor="text1" w:themeTint="F2"/>
      <w:spacing w:val="20"/>
      <w:sz w:val="18"/>
      <w:szCs w:val="18"/>
    </w:rPr>
  </w:style>
  <w:style w:type="paragraph" w:customStyle="1" w:styleId="a18">
    <w:name w:val="כותרת לבנה בתוך תבנית אדומה בתקציר"/>
    <w:basedOn w:val="Normal"/>
    <w:link w:val="Char7"/>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27">
    <w:name w:val="73א כותרת לבנה בתוך תבנית אדומה בתקציר"/>
    <w:basedOn w:val="a18"/>
    <w:link w:val="7328"/>
    <w:qFormat/>
    <w:rsid w:val="00524400"/>
    <w:pPr>
      <w:keepNext/>
      <w:keepLines/>
      <w:spacing w:before="0"/>
    </w:pPr>
  </w:style>
  <w:style w:type="character" w:customStyle="1" w:styleId="Char7">
    <w:name w:val="כותרת לבנה בתוך תבנית אדומה בתקציר Char"/>
    <w:basedOn w:val="DefaultParagraphFont"/>
    <w:link w:val="a18"/>
    <w:rsid w:val="009D41AC"/>
    <w:rPr>
      <w:rFonts w:ascii="Tahoma" w:hAnsi="Tahoma" w:cs="Tahoma"/>
      <w:b/>
      <w:bCs/>
      <w:color w:val="FFFFFF" w:themeColor="background1"/>
      <w:sz w:val="22"/>
      <w:szCs w:val="22"/>
    </w:rPr>
  </w:style>
  <w:style w:type="character" w:customStyle="1" w:styleId="7328">
    <w:name w:val="73א כותרת לבנה בתוך תבנית אדומה בתקציר תו"/>
    <w:basedOn w:val="Char7"/>
    <w:link w:val="7327"/>
    <w:rsid w:val="00524400"/>
    <w:rPr>
      <w:rFonts w:ascii="Tahoma" w:hAnsi="Tahoma" w:cs="Tahoma"/>
      <w:b/>
      <w:bCs/>
      <w:color w:val="FFFFFF" w:themeColor="background1"/>
      <w:sz w:val="22"/>
      <w:szCs w:val="22"/>
    </w:rPr>
  </w:style>
  <w:style w:type="paragraph" w:customStyle="1" w:styleId="73112">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paragraph" w:customStyle="1" w:styleId="7329">
    <w:name w:val="73א היפרלינק"/>
    <w:basedOn w:val="732"/>
    <w:link w:val="7330"/>
    <w:qFormat/>
    <w:rsid w:val="009578F0"/>
    <w:pPr>
      <w:bidi w:val="0"/>
    </w:pPr>
    <w:rPr>
      <w:color w:val="6090CC"/>
      <w:u w:val="single"/>
    </w:rPr>
  </w:style>
  <w:style w:type="character" w:customStyle="1" w:styleId="7330">
    <w:name w:val="73א היפרלינק תו"/>
    <w:basedOn w:val="7326"/>
    <w:link w:val="7329"/>
    <w:rsid w:val="009578F0"/>
    <w:rPr>
      <w:rFonts w:ascii="Tahoma" w:hAnsi="Tahoma" w:cs="Tahoma"/>
      <w:color w:val="6090CC"/>
      <w:sz w:val="14"/>
      <w:szCs w:val="14"/>
      <w:u w:val="single"/>
    </w:rPr>
  </w:style>
  <w:style w:type="paragraph" w:customStyle="1" w:styleId="7331">
    <w:name w:val="73א קוביה כחולה עם מספר מוזח"/>
    <w:basedOn w:val="734"/>
    <w:link w:val="7333"/>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32">
    <w:name w:val="73א הזחה ראשונה מספר תו"/>
    <w:basedOn w:val="ListParagraphChar"/>
    <w:link w:val="734"/>
    <w:rsid w:val="0091353C"/>
    <w:rPr>
      <w:rFonts w:ascii="Tahoma" w:hAnsi="Tahoma" w:cs="Tahoma"/>
      <w:color w:val="0D0D0D" w:themeColor="text1" w:themeTint="F2"/>
      <w:sz w:val="18"/>
      <w:szCs w:val="18"/>
    </w:rPr>
  </w:style>
  <w:style w:type="character" w:customStyle="1" w:styleId="7333">
    <w:name w:val="73א קוביה כחולה עם מספר מוזח תו"/>
    <w:basedOn w:val="7332"/>
    <w:link w:val="7331"/>
    <w:rsid w:val="00FF6AD9"/>
    <w:rPr>
      <w:rFonts w:ascii="Tahoma" w:hAnsi="Tahoma" w:cs="Tahoma"/>
      <w:color w:val="0D0D0D" w:themeColor="text1" w:themeTint="F2"/>
      <w:sz w:val="18"/>
      <w:szCs w:val="18"/>
      <w:shd w:val="clear" w:color="auto" w:fill="CEEAF6"/>
    </w:rPr>
  </w:style>
  <w:style w:type="paragraph" w:customStyle="1" w:styleId="7334">
    <w:name w:val="73א כותרת טקסט רץ מודגשת"/>
    <w:basedOn w:val="Normal"/>
    <w:link w:val="7335"/>
    <w:qFormat/>
    <w:rsid w:val="001F3363"/>
    <w:pPr>
      <w:spacing w:after="180" w:line="260" w:lineRule="exact"/>
    </w:pPr>
    <w:rPr>
      <w:rFonts w:ascii="Tahoma" w:hAnsi="Tahoma" w:cs="Tahoma"/>
      <w:b/>
      <w:bCs/>
      <w:color w:val="0D0D0D" w:themeColor="text1" w:themeTint="F2"/>
      <w:sz w:val="18"/>
      <w:szCs w:val="18"/>
    </w:rPr>
  </w:style>
  <w:style w:type="character" w:customStyle="1" w:styleId="7335">
    <w:name w:val="73א כותרת טקסט רץ מודגשת תו"/>
    <w:basedOn w:val="DefaultParagraphFont"/>
    <w:link w:val="7334"/>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332"/>
    <w:link w:val="7370"/>
    <w:rsid w:val="0078358A"/>
    <w:rPr>
      <w:rFonts w:ascii="Tahoma" w:hAnsi="Tahoma" w:cs="Tahoma"/>
      <w:bCs/>
      <w:color w:val="0D0D0D" w:themeColor="text1" w:themeTint="F2"/>
      <w:sz w:val="18"/>
      <w:szCs w:val="18"/>
    </w:rPr>
  </w:style>
  <w:style w:type="paragraph" w:customStyle="1" w:styleId="P110">
    <w:name w:val="P11"/>
    <w:basedOn w:val="Normal"/>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19">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PreformattedChar"/>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20">
    <w:name w:val="נבנצאל תו"/>
    <w:basedOn w:val="DefaultParagraphFont"/>
    <w:link w:val="a21"/>
    <w:uiPriority w:val="99"/>
    <w:locked/>
    <w:rsid w:val="00905FB1"/>
    <w:rPr>
      <w:szCs w:val="20"/>
    </w:rPr>
  </w:style>
  <w:style w:type="paragraph" w:customStyle="1" w:styleId="a21">
    <w:name w:val="נבנצאל"/>
    <w:basedOn w:val="Normal"/>
    <w:next w:val="Normal"/>
    <w:link w:val="a20"/>
    <w:uiPriority w:val="99"/>
    <w:rsid w:val="00905FB1"/>
    <w:pPr>
      <w:ind w:left="-567"/>
    </w:pPr>
    <w:rPr>
      <w:szCs w:val="20"/>
    </w:rPr>
  </w:style>
  <w:style w:type="paragraph" w:styleId="DocumentMap">
    <w:name w:val="Document Map"/>
    <w:basedOn w:val="Normal"/>
    <w:link w:val="DocumentMapChar"/>
    <w:uiPriority w:val="99"/>
    <w:semiHidden/>
    <w:unhideWhenUsed/>
    <w:rsid w:val="0030451F"/>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0451F"/>
    <w:rPr>
      <w:rFonts w:ascii="Tahoma" w:hAnsi="Tahoma" w:cs="Tahoma"/>
      <w:sz w:val="16"/>
      <w:szCs w:val="16"/>
    </w:rPr>
  </w:style>
  <w:style w:type="paragraph" w:customStyle="1" w:styleId="117">
    <w:name w:val="סגנון1"/>
    <w:basedOn w:val="Caption"/>
    <w:qFormat/>
    <w:rsid w:val="0030451F"/>
    <w:pPr>
      <w:jc w:val="center"/>
    </w:pPr>
    <w:rPr>
      <w:b/>
      <w:bCs/>
      <w:iCs w:val="0"/>
      <w:color w:val="000000" w:themeColor="text1"/>
      <w:sz w:val="24"/>
      <w:szCs w:val="24"/>
    </w:rPr>
  </w:style>
  <w:style w:type="paragraph" w:customStyle="1" w:styleId="23">
    <w:name w:val="סגנון2"/>
    <w:basedOn w:val="Caption"/>
    <w:autoRedefine/>
    <w:qFormat/>
    <w:rsid w:val="0030451F"/>
    <w:pPr>
      <w:jc w:val="center"/>
    </w:pPr>
    <w:rPr>
      <w:b/>
      <w:bCs/>
      <w:iCs w:val="0"/>
      <w:color w:val="000000" w:themeColor="text1"/>
      <w:sz w:val="24"/>
      <w:szCs w:val="24"/>
    </w:rPr>
  </w:style>
  <w:style w:type="paragraph" w:customStyle="1" w:styleId="32">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22">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Normal"/>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DefaultParagraphFont"/>
    <w:link w:val="-8"/>
    <w:rsid w:val="001F3363"/>
    <w:rPr>
      <w:rFonts w:ascii="Tahoma" w:hAnsi="Tahoma" w:cs="Tahoma"/>
      <w:color w:val="00305F"/>
      <w:spacing w:val="20"/>
      <w:sz w:val="18"/>
      <w:szCs w:val="18"/>
    </w:rPr>
  </w:style>
  <w:style w:type="paragraph" w:customStyle="1" w:styleId="7350">
    <w:name w:val="73א כותרת 5 בתוך טקסט מודגש"/>
    <w:basedOn w:val="Normal"/>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DefaultParagraphFont"/>
    <w:link w:val="7350"/>
    <w:rsid w:val="001F3363"/>
    <w:rPr>
      <w:rFonts w:ascii="Tahoma" w:hAnsi="Tahoma" w:cs="Tahoma"/>
      <w:bCs/>
      <w:color w:val="00305F"/>
      <w:sz w:val="18"/>
      <w:szCs w:val="18"/>
    </w:rPr>
  </w:style>
  <w:style w:type="paragraph" w:customStyle="1" w:styleId="7381">
    <w:name w:val="73א כותרת 8 בתוך טקסט"/>
    <w:basedOn w:val="Normal"/>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DefaultParagraphFont"/>
    <w:link w:val="7381"/>
    <w:rsid w:val="0078358A"/>
    <w:rPr>
      <w:rFonts w:ascii="Tahoma" w:hAnsi="Tahoma" w:cs="Tahoma"/>
      <w:color w:val="0D0D0D" w:themeColor="text1" w:themeTint="F2"/>
      <w:spacing w:val="20"/>
      <w:sz w:val="19"/>
      <w:szCs w:val="18"/>
    </w:rPr>
  </w:style>
  <w:style w:type="paragraph" w:styleId="NormalWeb">
    <w:name w:val="Normal (Web)"/>
    <w:basedOn w:val="Normal"/>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36">
    <w:name w:val="73א מקרא+הערות לתרשים/לוח/תמונה כוכבית"/>
    <w:basedOn w:val="750"/>
    <w:qFormat/>
    <w:rsid w:val="002F430E"/>
    <w:pPr>
      <w:framePr w:wrap="around" w:vAnchor="text" w:hAnchor="text" w:y="1"/>
    </w:pPr>
  </w:style>
  <w:style w:type="paragraph" w:customStyle="1" w:styleId="a23">
    <w:name w:val="הערות לתרשימים"/>
    <w:basedOn w:val="750"/>
    <w:next w:val="732"/>
    <w:qFormat/>
    <w:rsid w:val="007A3AB1"/>
    <w:pPr>
      <w:framePr w:wrap="around" w:vAnchor="text" w:hAnchor="text" w:y="1"/>
      <w:spacing w:after="0"/>
    </w:pPr>
  </w:style>
  <w:style w:type="paragraph" w:customStyle="1" w:styleId="90">
    <w:name w:val="טקסט רץ 9 מודגש חדש"/>
    <w:basedOn w:val="Normal"/>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DefaultParagraphFont"/>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0">
    <w:name w:val="מבקר המדינה - עמוד שער(לבן)"/>
    <w:basedOn w:val="Normal"/>
    <w:qFormat/>
    <w:rsid w:val="003570AC"/>
    <w:pPr>
      <w:ind w:left="2268"/>
    </w:pPr>
    <w:rPr>
      <w:rFonts w:ascii="Tahoma" w:hAnsi="Tahoma" w:cs="Tahoma"/>
      <w:sz w:val="18"/>
      <w:szCs w:val="18"/>
    </w:rPr>
  </w:style>
  <w:style w:type="paragraph" w:customStyle="1" w:styleId="-1">
    <w:name w:val="עמוד שער פנימי - שם החטיבה"/>
    <w:basedOn w:val="Normal"/>
    <w:qFormat/>
    <w:rsid w:val="003570AC"/>
    <w:pPr>
      <w:ind w:left="2268"/>
      <w:jc w:val="left"/>
    </w:pPr>
    <w:rPr>
      <w:rFonts w:ascii="Tahoma" w:hAnsi="Tahoma" w:eastAsiaTheme="minorEastAsia" w:cs="Tahoma"/>
      <w:color w:val="FFFFFF" w:themeColor="background1"/>
      <w:sz w:val="28"/>
      <w:szCs w:val="28"/>
    </w:rPr>
  </w:style>
  <w:style w:type="paragraph" w:customStyle="1" w:styleId="-2">
    <w:name w:val="עמוד שער פנימי - שם הכתבה"/>
    <w:basedOn w:val="Normal"/>
    <w:qFormat/>
    <w:rsid w:val="003570AC"/>
    <w:pPr>
      <w:spacing w:before="360" w:line="600" w:lineRule="exact"/>
      <w:ind w:left="2268"/>
      <w:jc w:val="left"/>
    </w:pPr>
    <w:rPr>
      <w:rFonts w:ascii="Tahoma" w:hAnsi="Tahoma" w:cs="Tahoma"/>
      <w:b/>
      <w:bCs/>
      <w:sz w:val="40"/>
      <w:szCs w:val="40"/>
    </w:rPr>
  </w:style>
  <w:style w:type="paragraph" w:customStyle="1" w:styleId="a24">
    <w:name w:val="מספרים גדולים בנתוני מפתח"/>
    <w:basedOn w:val="Normal"/>
    <w:qFormat/>
    <w:rsid w:val="002D4D38"/>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16"/>
    <w:link w:val="7393"/>
    <w:qFormat/>
    <w:rsid w:val="00222C5D"/>
    <w:rPr>
      <w:color w:val="0D0D0D" w:themeColor="text1" w:themeTint="F2"/>
      <w:sz w:val="18"/>
    </w:rPr>
  </w:style>
  <w:style w:type="character" w:customStyle="1" w:styleId="7393">
    <w:name w:val="73א טקסט רץ 9 תו"/>
    <w:basedOn w:val="Char6"/>
    <w:link w:val="7392"/>
    <w:rsid w:val="00222C5D"/>
    <w:rPr>
      <w:rFonts w:ascii="Tahoma" w:hAnsi="Tahoma" w:cs="Tahoma"/>
      <w:color w:val="0D0D0D" w:themeColor="text1" w:themeTint="F2"/>
      <w:sz w:val="18"/>
      <w:szCs w:val="18"/>
    </w:rPr>
  </w:style>
  <w:style w:type="character" w:styleId="SubtleReference">
    <w:name w:val="Subtle Reference"/>
    <w:basedOn w:val="DefaultParagraphFont"/>
    <w:uiPriority w:val="31"/>
    <w:rsid w:val="003B23BE"/>
    <w:rPr>
      <w:smallCaps/>
      <w:color w:val="5A5A5A" w:themeColor="text1" w:themeTint="A5"/>
    </w:rPr>
  </w:style>
  <w:style w:type="paragraph" w:customStyle="1" w:styleId="RESHET">
    <w:name w:val="RESHET"/>
    <w:basedOn w:val="Normal"/>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Normal"/>
    <w:qFormat/>
    <w:rsid w:val="001A4FC5"/>
    <w:pPr>
      <w:keepNext/>
      <w:spacing w:before="120" w:after="120" w:line="320" w:lineRule="exact"/>
      <w:ind w:right="2268"/>
      <w:jc w:val="left"/>
    </w:pPr>
    <w:rPr>
      <w:rFonts w:ascii="Tahoma" w:hAnsi="Tahoma" w:eastAsiaTheme="minorEastAsi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hAnsi="Tahoma" w:eastAsiaTheme="minorEastAsia" w:cs="Tahoma"/>
      <w:sz w:val="17"/>
      <w:szCs w:val="18"/>
    </w:rPr>
  </w:style>
  <w:style w:type="paragraph" w:customStyle="1" w:styleId="text-source">
    <w:name w:val="text-source"/>
    <w:basedOn w:val="Normal"/>
    <w:next w:val="Normal"/>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0">
    <w:name w:val="Heading #2_"/>
    <w:basedOn w:val="DefaultParagraphFont"/>
    <w:link w:val="Heading21"/>
    <w:rsid w:val="001A4FC5"/>
    <w:rPr>
      <w:rFonts w:ascii="David" w:eastAsia="David" w:hAnsi="David"/>
      <w:b/>
      <w:bCs/>
      <w:szCs w:val="20"/>
      <w:shd w:val="clear" w:color="auto" w:fill="FFFFFF"/>
    </w:rPr>
  </w:style>
  <w:style w:type="character" w:customStyle="1" w:styleId="Heading2NotBold">
    <w:name w:val="Heading #2 + Not Bold"/>
    <w:basedOn w:val="Heading20"/>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1">
    <w:name w:val="Heading #2"/>
    <w:basedOn w:val="Normal"/>
    <w:link w:val="Heading20"/>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Normal"/>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Normal"/>
    <w:next w:val="Normal"/>
    <w:autoRedefine/>
    <w:uiPriority w:val="39"/>
    <w:unhideWhenUsed/>
    <w:qFormat/>
    <w:rsid w:val="00C9003B"/>
    <w:pPr>
      <w:tabs>
        <w:tab w:val="right" w:leader="dot" w:pos="8211"/>
      </w:tabs>
      <w:spacing w:after="100"/>
      <w:ind w:left="200"/>
    </w:pPr>
  </w:style>
  <w:style w:type="paragraph" w:styleId="TOC3">
    <w:name w:val="toc 3"/>
    <w:basedOn w:val="Normal"/>
    <w:next w:val="Normal"/>
    <w:autoRedefine/>
    <w:uiPriority w:val="39"/>
    <w:unhideWhenUsed/>
    <w:qFormat/>
    <w:rsid w:val="00C9003B"/>
    <w:pPr>
      <w:spacing w:after="100"/>
      <w:ind w:left="400"/>
    </w:pPr>
  </w:style>
  <w:style w:type="paragraph" w:styleId="TOC1">
    <w:name w:val="toc 1"/>
    <w:basedOn w:val="Normal"/>
    <w:next w:val="Normal"/>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Normal"/>
    <w:next w:val="Normal"/>
    <w:autoRedefine/>
    <w:uiPriority w:val="39"/>
    <w:unhideWhenUsed/>
    <w:rsid w:val="00C9003B"/>
    <w:pPr>
      <w:spacing w:after="100"/>
      <w:ind w:left="600"/>
    </w:pPr>
  </w:style>
  <w:style w:type="paragraph" w:styleId="TOC6">
    <w:name w:val="toc 6"/>
    <w:basedOn w:val="Normal"/>
    <w:next w:val="Normal"/>
    <w:autoRedefine/>
    <w:uiPriority w:val="39"/>
    <w:unhideWhenUsed/>
    <w:rsid w:val="00C9003B"/>
    <w:pPr>
      <w:spacing w:after="100"/>
      <w:ind w:left="1000"/>
    </w:pPr>
  </w:style>
  <w:style w:type="paragraph" w:styleId="TOC5">
    <w:name w:val="toc 5"/>
    <w:basedOn w:val="Normal"/>
    <w:next w:val="Normal"/>
    <w:autoRedefine/>
    <w:uiPriority w:val="39"/>
    <w:unhideWhenUsed/>
    <w:rsid w:val="00C9003B"/>
    <w:pPr>
      <w:spacing w:after="100"/>
      <w:ind w:left="800"/>
    </w:pPr>
  </w:style>
  <w:style w:type="paragraph" w:customStyle="1" w:styleId="ruller41">
    <w:name w:val="ruller41"/>
    <w:basedOn w:val="Normal"/>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DefaultParagraphFont"/>
    <w:link w:val="73610"/>
    <w:rsid w:val="0078358A"/>
    <w:rPr>
      <w:rFonts w:ascii="Tahoma" w:hAnsi="Tahoma" w:cs="Tahoma"/>
      <w:b/>
      <w:bCs/>
      <w:color w:val="00305F"/>
      <w:szCs w:val="20"/>
    </w:rPr>
  </w:style>
  <w:style w:type="paragraph" w:customStyle="1" w:styleId="msonormal">
    <w:name w:val="msonormal"/>
    <w:basedOn w:val="Normal"/>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Normal"/>
    <w:next w:val="Normal"/>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Normal"/>
    <w:rsid w:val="007324C6"/>
    <w:pPr>
      <w:bidi w:val="0"/>
      <w:spacing w:before="100" w:beforeAutospacing="1" w:after="100" w:afterAutospacing="1" w:line="240" w:lineRule="auto"/>
      <w:jc w:val="left"/>
    </w:pPr>
    <w:rPr>
      <w:rFonts w:eastAsia="Times New Roman" w:cs="Times New Roman"/>
      <w:sz w:val="24"/>
    </w:rPr>
  </w:style>
  <w:style w:type="table" w:styleId="GridTable1LightAccent5">
    <w:name w:val="Grid Table 1 Light Accent 5"/>
    <w:basedOn w:val="TableNormal"/>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4Accent5">
    <w:name w:val="Grid Table 4 Accent 5"/>
    <w:basedOn w:val="TableNormal"/>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0">
    <w:name w:val="סגנון5"/>
    <w:basedOn w:val="737"/>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314"/>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TableNormal"/>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Normal"/>
    <w:next w:val="Normal"/>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PageNumber">
    <w:name w:val="page number"/>
    <w:basedOn w:val="DefaultParagraphFont"/>
    <w:uiPriority w:val="99"/>
    <w:semiHidden/>
    <w:unhideWhenUsed/>
    <w:rsid w:val="005B2BF5"/>
  </w:style>
  <w:style w:type="table" w:customStyle="1" w:styleId="118">
    <w:name w:val="טבלת רשת1"/>
    <w:basedOn w:val="TableNormal"/>
    <w:next w:val="TableGrid"/>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DefaultParagraphFont"/>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0">
    <w:name w:val="Heading #1_"/>
    <w:basedOn w:val="DefaultParagraphFont"/>
    <w:link w:val="Heading11"/>
    <w:rsid w:val="005B2BF5"/>
    <w:rPr>
      <w:rFonts w:ascii="David" w:eastAsia="David" w:hAnsi="David"/>
      <w:b/>
      <w:bCs/>
      <w:sz w:val="54"/>
      <w:szCs w:val="54"/>
      <w:shd w:val="clear" w:color="auto" w:fill="FFFFFF"/>
    </w:rPr>
  </w:style>
  <w:style w:type="character" w:customStyle="1" w:styleId="Heading1Italic">
    <w:name w:val="Heading #1 + Italic"/>
    <w:basedOn w:val="Heading10"/>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1">
    <w:name w:val="Heading #1"/>
    <w:basedOn w:val="Normal"/>
    <w:link w:val="Heading10"/>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Normal"/>
    <w:rsid w:val="005B2BF5"/>
    <w:pPr>
      <w:widowControl w:val="0"/>
      <w:shd w:val="clear" w:color="auto" w:fill="FFFFFF"/>
      <w:spacing w:line="371" w:lineRule="exact"/>
      <w:ind w:hanging="740"/>
    </w:pPr>
    <w:rPr>
      <w:rFonts w:ascii="David" w:eastAsia="David" w:hAnsi="David"/>
      <w:sz w:val="22"/>
      <w:szCs w:val="22"/>
    </w:rPr>
  </w:style>
  <w:style w:type="paragraph" w:customStyle="1" w:styleId="a25">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26">
    <w:name w:val="תאריך הדוח"/>
    <w:qFormat/>
    <w:rsid w:val="000F5023"/>
    <w:pPr>
      <w:ind w:left="2268"/>
      <w:jc w:val="left"/>
    </w:pPr>
    <w:rPr>
      <w:rFonts w:ascii="Tahoma" w:hAnsi="Tahoma" w:cs="Tahoma"/>
      <w:sz w:val="18"/>
      <w:szCs w:val="18"/>
    </w:rPr>
  </w:style>
  <w:style w:type="paragraph" w:customStyle="1" w:styleId="70">
    <w:name w:val="סגנון7"/>
    <w:basedOn w:val="7331"/>
    <w:qFormat/>
    <w:rsid w:val="00F1103C"/>
    <w:pPr>
      <w:numPr>
        <w:numId w:val="9"/>
      </w:numPr>
      <w:ind w:left="850" w:right="284" w:hanging="425"/>
    </w:pPr>
    <w:rPr>
      <w:noProof/>
      <w:lang w:val="he-IL"/>
    </w:rPr>
  </w:style>
  <w:style w:type="paragraph" w:customStyle="1" w:styleId="710">
    <w:name w:val="71ג קוביה כחולה עם מספרים מוזחים"/>
    <w:basedOn w:val="Normal"/>
    <w:qFormat/>
    <w:rsid w:val="0052440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709" w:right="227" w:hanging="454"/>
    </w:pPr>
    <w:rPr>
      <w:rFonts w:ascii="Tahoma" w:hAnsi="Tahoma" w:cs="Tahoma"/>
      <w:color w:val="0D0D0D" w:themeColor="text1" w:themeTint="F2"/>
      <w:sz w:val="18"/>
      <w:szCs w:val="18"/>
    </w:rPr>
  </w:style>
  <w:style w:type="paragraph" w:customStyle="1" w:styleId="711">
    <w:name w:val="71ג הערות שוליים"/>
    <w:basedOn w:val="FootnoteText"/>
    <w:link w:val="71Char"/>
    <w:qFormat/>
    <w:rsid w:val="002507E8"/>
    <w:pPr>
      <w:keepNext/>
      <w:keepLines/>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FootnoteTextChar"/>
    <w:link w:val="711"/>
    <w:rsid w:val="002507E8"/>
    <w:rPr>
      <w:rFonts w:ascii="Tahoma" w:hAnsi="Tahoma" w:cs="Tahoma"/>
      <w:color w:val="0D0D0D" w:themeColor="text1" w:themeTint="F2"/>
      <w:sz w:val="14"/>
      <w:szCs w:val="14"/>
    </w:rPr>
  </w:style>
  <w:style w:type="paragraph" w:customStyle="1" w:styleId="712">
    <w:name w:val="71ג הזחה מספר בסוגריים"/>
    <w:basedOn w:val="ListParagraph"/>
    <w:qFormat/>
    <w:rsid w:val="0091353C"/>
    <w:pPr>
      <w:spacing w:after="180" w:line="260" w:lineRule="exact"/>
      <w:ind w:left="1276" w:hanging="255"/>
      <w:contextualSpacing w:val="0"/>
    </w:pPr>
    <w:rPr>
      <w:rFonts w:ascii="Tahoma" w:hAnsi="Tahoma" w:cs="Tahoma"/>
      <w:sz w:val="18"/>
      <w:szCs w:val="18"/>
    </w:rPr>
  </w:style>
  <w:style w:type="paragraph" w:customStyle="1" w:styleId="7120">
    <w:name w:val="71ג אותות בתוך קוביה 2"/>
    <w:basedOn w:val="Normal"/>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 w:type="paragraph" w:customStyle="1" w:styleId="73120">
    <w:name w:val="73 הביקורת הקודמת_12"/>
    <w:basedOn w:val="73512"/>
    <w:qFormat/>
    <w:rsid w:val="00943B48"/>
    <w:rPr>
      <w:rFonts w:eastAsia="Times New Roman"/>
      <w:b w:val="0"/>
      <w:color w:val="0073C2"/>
      <w:spacing w:val="20"/>
    </w:rPr>
  </w:style>
  <w:style w:type="paragraph" w:customStyle="1" w:styleId="101">
    <w:name w:val="הביקורת מעקב_10"/>
    <w:basedOn w:val="73610"/>
    <w:qFormat/>
    <w:rsid w:val="00943B48"/>
    <w:rPr>
      <w:color w:val="0073C2"/>
      <w:spacing w:val="20"/>
    </w:rPr>
  </w:style>
  <w:style w:type="paragraph" w:customStyle="1" w:styleId="80">
    <w:name w:val="סגנון8"/>
    <w:basedOn w:val="751"/>
    <w:qFormat/>
    <w:rsid w:val="00AB2F78"/>
  </w:style>
  <w:style w:type="paragraph" w:customStyle="1" w:styleId="a27">
    <w:name w:val="טקסט לבן על מלבן אדום"/>
    <w:qFormat/>
    <w:rsid w:val="00AB2F78"/>
    <w:pPr>
      <w:keepNext/>
      <w:keepLines/>
      <w:spacing w:line="240" w:lineRule="auto"/>
      <w:ind w:right="113"/>
      <w:suppressOverlap/>
      <w:jc w:val="left"/>
    </w:pPr>
    <w:rPr>
      <w:rFonts w:ascii="Tahoma" w:hAnsi="Tahoma" w:cs="Tahoma"/>
      <w:b/>
      <w:bCs/>
      <w:color w:val="FFFFFF" w:themeColor="background1"/>
      <w:sz w:val="22"/>
      <w:szCs w:val="22"/>
    </w:rPr>
  </w:style>
  <w:style w:type="paragraph" w:customStyle="1" w:styleId="0-">
    <w:name w:val="0-מידת תיקון הליקוי"/>
    <w:basedOn w:val="Normal"/>
    <w:link w:val="0-0"/>
    <w:qFormat/>
    <w:rsid w:val="002D5684"/>
    <w:pPr>
      <w:keepNext/>
      <w:keepLines/>
      <w:spacing w:before="180" w:after="180" w:line="260" w:lineRule="exact"/>
      <w:jc w:val="center"/>
    </w:pPr>
    <w:rPr>
      <w:rFonts w:ascii="Tahoma" w:hAnsi="Tahoma" w:cs="Tahoma"/>
      <w:b/>
      <w:bCs/>
      <w:color w:val="0D0D0D" w:themeColor="text1" w:themeTint="F2"/>
      <w:sz w:val="18"/>
      <w:szCs w:val="18"/>
    </w:rPr>
  </w:style>
  <w:style w:type="character" w:customStyle="1" w:styleId="0-0">
    <w:name w:val="0-מידת תיקון הליקוי תו"/>
    <w:basedOn w:val="DefaultParagraphFont"/>
    <w:link w:val="0-"/>
    <w:rsid w:val="002D5684"/>
    <w:rPr>
      <w:rFonts w:ascii="Tahoma" w:hAnsi="Tahoma" w:cs="Tahoma"/>
      <w:b/>
      <w:bCs/>
      <w:color w:val="0D0D0D" w:themeColor="text1" w:themeTint="F2"/>
      <w:sz w:val="18"/>
      <w:szCs w:val="18"/>
    </w:rPr>
  </w:style>
  <w:style w:type="character" w:styleId="FootnoteReference1">
    <w:name w:val="footnote reference"/>
    <w:aliases w:val="Footnote Reference_0,Footnote Reference_0_0,Footnote Reference_0_0_0,Footnote Reference_0_0_0_0,Footnote Reference_1,Footnote Reference_2,Footnote Reference_3,Footnote Reference_3_0,Footnote Reference_4,fr,הפניה להערת שוליים חדש,מ"/>
    <w:basedOn w:val="DefaultParagraphFont"/>
    <w:uiPriority w:val="99"/>
    <w:unhideWhenUsed/>
    <w:rsid w:val="00C00585"/>
    <w:rPr>
      <w:vertAlign w:val="superscript"/>
    </w:rPr>
  </w:style>
  <w:style w:type="character" w:styleId="CommentReference">
    <w:name w:val="annotation reference"/>
    <w:basedOn w:val="DefaultParagraphFont"/>
    <w:uiPriority w:val="99"/>
    <w:semiHidden/>
    <w:unhideWhenUsed/>
    <w:rsid w:val="0079701E"/>
    <w:rPr>
      <w:sz w:val="16"/>
      <w:szCs w:val="16"/>
    </w:rPr>
  </w:style>
  <w:style w:type="paragraph" w:customStyle="1" w:styleId="713">
    <w:name w:val="71ג לוחות/תרשימים/תמונות/אינפוגרפיקה/מפות"/>
    <w:basedOn w:val="Normal"/>
    <w:qFormat/>
    <w:rsid w:val="0079701E"/>
    <w:pPr>
      <w:keepNext/>
      <w:spacing w:before="240" w:after="240" w:line="260" w:lineRule="exact"/>
      <w:jc w:val="center"/>
    </w:pPr>
    <w:rPr>
      <w:rFonts w:ascii="Tahoma" w:hAnsi="Tahoma" w:eastAsiaTheme="minorEastAsia" w:cs="Tahoma"/>
      <w:b/>
      <w:bCs/>
      <w:color w:val="0D0D0D" w:themeColor="text1" w:themeTint="F2"/>
      <w:szCs w:val="20"/>
    </w:rPr>
  </w:style>
  <w:style w:type="character" w:customStyle="1" w:styleId="119">
    <w:name w:val="אזכור לא מזוהה1"/>
    <w:basedOn w:val="DefaultParagraphFont"/>
    <w:uiPriority w:val="99"/>
    <w:semiHidden/>
    <w:unhideWhenUsed/>
    <w:rsid w:val="0079701E"/>
    <w:rPr>
      <w:color w:val="605E5C"/>
      <w:shd w:val="clear" w:color="auto" w:fill="E1DFDD"/>
    </w:rPr>
  </w:style>
  <w:style w:type="paragraph" w:customStyle="1" w:styleId="a28">
    <w:name w:val="פרטי הדוח ממה"/>
    <w:basedOn w:val="Normal"/>
    <w:qFormat/>
    <w:rsid w:val="009F04C6"/>
    <w:pPr>
      <w:spacing w:before="600" w:line="240" w:lineRule="auto"/>
      <w:ind w:left="284"/>
      <w:jc w:val="left"/>
    </w:pPr>
    <w:rPr>
      <w:rFonts w:ascii="Calibri" w:eastAsia="Calibri" w:hAnsi="Calibri" w:cs="Calibri"/>
      <w:noProof/>
      <w:color w:val="FFFFFF" w:themeColor="background1"/>
      <w:sz w:val="24"/>
    </w:rPr>
  </w:style>
  <w:style w:type="paragraph" w:customStyle="1" w:styleId="a29">
    <w:name w:val="כותרת הדוח ממה"/>
    <w:basedOn w:val="Normal"/>
    <w:link w:val="a30"/>
    <w:qFormat/>
    <w:rsid w:val="009F04C6"/>
    <w:pPr>
      <w:widowControl w:val="0"/>
      <w:spacing w:before="600" w:line="240" w:lineRule="auto"/>
      <w:ind w:left="284"/>
      <w:jc w:val="left"/>
    </w:pPr>
    <w:rPr>
      <w:rFonts w:ascii="Calibri" w:hAnsi="Calibri" w:cs="Calibri"/>
      <w:b/>
      <w:bCs/>
      <w:color w:val="FFFFFF" w:themeColor="background1"/>
      <w:sz w:val="60"/>
      <w:szCs w:val="60"/>
    </w:rPr>
  </w:style>
  <w:style w:type="character" w:customStyle="1" w:styleId="a30">
    <w:name w:val="כותרת הדוח ממה תו"/>
    <w:basedOn w:val="DefaultParagraphFont"/>
    <w:link w:val="a29"/>
    <w:rsid w:val="009F04C6"/>
    <w:rPr>
      <w:rFonts w:ascii="Calibri" w:hAnsi="Calibri" w:cs="Calibri"/>
      <w:b/>
      <w:bCs/>
      <w:color w:val="FFFFFF" w:themeColor="background1"/>
      <w:sz w:val="60"/>
      <w:szCs w:val="60"/>
    </w:rPr>
  </w:style>
  <w:style w:type="paragraph" w:customStyle="1" w:styleId="a31">
    <w:name w:val="טקסט שם מונח ממה"/>
    <w:basedOn w:val="Normal"/>
    <w:qFormat/>
    <w:rsid w:val="009F04C6"/>
    <w:pPr>
      <w:suppressAutoHyphens/>
      <w:autoSpaceDE w:val="0"/>
      <w:autoSpaceDN w:val="0"/>
      <w:adjustRightInd w:val="0"/>
      <w:spacing w:before="60" w:after="60"/>
      <w:ind w:left="57" w:right="170"/>
      <w:jc w:val="left"/>
      <w:textAlignment w:val="center"/>
    </w:pPr>
    <w:rPr>
      <w:rFonts w:ascii="Calibri" w:eastAsia="DengXian" w:hAnsi="Calibri" w:cs="Calibri"/>
      <w:b/>
      <w:bCs/>
      <w:color w:val="002060"/>
      <w:sz w:val="24"/>
      <w:lang w:val="en-GB"/>
    </w:rPr>
  </w:style>
  <w:style w:type="paragraph" w:customStyle="1" w:styleId="a32">
    <w:name w:val="טקסט הגדרת מונח ממה"/>
    <w:link w:val="a33"/>
    <w:qFormat/>
    <w:rsid w:val="009F04C6"/>
    <w:pPr>
      <w:suppressAutoHyphens/>
      <w:autoSpaceDE w:val="0"/>
      <w:autoSpaceDN w:val="0"/>
      <w:bidi/>
      <w:adjustRightInd w:val="0"/>
      <w:spacing w:before="60" w:after="60" w:line="312" w:lineRule="auto"/>
      <w:ind w:left="57" w:right="170"/>
      <w:jc w:val="left"/>
      <w:textAlignment w:val="center"/>
    </w:pPr>
    <w:rPr>
      <w:rFonts w:ascii="Calibri" w:eastAsia="DengXian" w:hAnsi="Calibri" w:cs="Calibri"/>
      <w:color w:val="002060"/>
      <w:sz w:val="24"/>
      <w:lang w:val="en-GB"/>
    </w:rPr>
  </w:style>
  <w:style w:type="character" w:customStyle="1" w:styleId="a33">
    <w:name w:val="טקסט הגדרת מונח ממה תו"/>
    <w:basedOn w:val="DefaultParagraphFont"/>
    <w:link w:val="a32"/>
    <w:rsid w:val="009F04C6"/>
    <w:rPr>
      <w:rFonts w:ascii="Calibri" w:eastAsia="DengXian" w:hAnsi="Calibri" w:cs="Calibri"/>
      <w:color w:val="002060"/>
      <w:sz w:val="24"/>
      <w:lang w:val="en-GB"/>
    </w:rPr>
  </w:style>
  <w:style w:type="paragraph" w:customStyle="1" w:styleId="a34">
    <w:name w:val="מבוא ממה"/>
    <w:basedOn w:val="Normal"/>
    <w:next w:val="Normal"/>
    <w:link w:val="a35"/>
    <w:autoRedefine/>
    <w:qFormat/>
    <w:rsid w:val="009F04C6"/>
    <w:pPr>
      <w:pageBreakBefore/>
      <w:widowControl w:val="0"/>
      <w:shd w:val="clear" w:color="F3F7FF" w:fill="FFFFFF" w:themeFill="background1"/>
      <w:spacing w:before="120" w:line="276" w:lineRule="auto"/>
      <w:ind w:left="1134"/>
      <w:outlineLvl w:val="0"/>
    </w:pPr>
    <w:rPr>
      <w:rFonts w:ascii="Calibri" w:eastAsia="Calibri" w:hAnsi="Calibri" w:cs="Calibri"/>
      <w:color w:val="FFFFFF" w:themeColor="background1"/>
      <w:position w:val="6"/>
      <w:sz w:val="2"/>
      <w:szCs w:val="2"/>
      <w:u w:color="FFFFFF"/>
    </w:rPr>
  </w:style>
  <w:style w:type="character" w:customStyle="1" w:styleId="a35">
    <w:name w:val="מבוא ממה תו"/>
    <w:basedOn w:val="DefaultParagraphFont"/>
    <w:link w:val="a34"/>
    <w:rsid w:val="009F04C6"/>
    <w:rPr>
      <w:rFonts w:ascii="Calibri" w:eastAsia="Calibri" w:hAnsi="Calibri" w:cs="Calibri"/>
      <w:color w:val="FFFFFF" w:themeColor="background1"/>
      <w:position w:val="6"/>
      <w:sz w:val="2"/>
      <w:szCs w:val="2"/>
      <w:u w:color="FFFFFF"/>
      <w:shd w:val="clear" w:color="F3F7FF" w:fill="FFFFFF" w:themeFill="background1"/>
    </w:rPr>
  </w:style>
  <w:style w:type="paragraph" w:customStyle="1" w:styleId="a36">
    <w:name w:val="מראה מקום ממה"/>
    <w:basedOn w:val="Normal"/>
    <w:next w:val="Normal"/>
    <w:link w:val="a37"/>
    <w:qFormat/>
    <w:rsid w:val="009F04C6"/>
    <w:pPr>
      <w:widowControl w:val="0"/>
      <w:pBdr>
        <w:top w:val="single" w:sz="18" w:space="1" w:color="1CADE4" w:themeColor="accent1"/>
      </w:pBdr>
      <w:shd w:val="solid" w:color="F3F7FF" w:fill="auto"/>
      <w:spacing w:before="120" w:line="240" w:lineRule="auto"/>
      <w:ind w:left="1134"/>
    </w:pPr>
    <w:rPr>
      <w:rFonts w:ascii="Calibri" w:eastAsia="Calibri" w:hAnsi="Calibri" w:cs="Calibri"/>
      <w:b/>
      <w:bCs/>
      <w:color w:val="002060"/>
      <w:sz w:val="18"/>
      <w:szCs w:val="18"/>
    </w:rPr>
  </w:style>
  <w:style w:type="character" w:customStyle="1" w:styleId="a37">
    <w:name w:val="מראה מקום ממה תו"/>
    <w:basedOn w:val="DefaultParagraphFont"/>
    <w:link w:val="a36"/>
    <w:rsid w:val="009F04C6"/>
    <w:rPr>
      <w:rFonts w:ascii="Calibri" w:eastAsia="Calibri" w:hAnsi="Calibri" w:cs="Calibri"/>
      <w:b/>
      <w:bCs/>
      <w:color w:val="002060"/>
      <w:sz w:val="18"/>
      <w:szCs w:val="18"/>
      <w:shd w:val="solid" w:color="F3F7FF" w:fill="auto"/>
    </w:rPr>
  </w:style>
  <w:style w:type="paragraph" w:customStyle="1" w:styleId="a38">
    <w:name w:val="כותרת עליונה ממה"/>
    <w:basedOn w:val="Normal"/>
    <w:next w:val="Normal"/>
    <w:link w:val="a39"/>
    <w:qFormat/>
    <w:rsid w:val="009F04C6"/>
    <w:pPr>
      <w:spacing w:line="240" w:lineRule="auto"/>
      <w:ind w:left="737"/>
      <w:jc w:val="left"/>
    </w:pPr>
    <w:rPr>
      <w:rFonts w:ascii="Calibri" w:eastAsia="Calibri" w:hAnsi="Calibri" w:cs="Calibri"/>
      <w:color w:val="002060"/>
      <w:sz w:val="18"/>
      <w:szCs w:val="18"/>
    </w:rPr>
  </w:style>
  <w:style w:type="character" w:customStyle="1" w:styleId="a39">
    <w:name w:val="כותרת עליונה ממה תו"/>
    <w:basedOn w:val="DefaultParagraphFont"/>
    <w:link w:val="a38"/>
    <w:rsid w:val="009F04C6"/>
    <w:rPr>
      <w:rFonts w:ascii="Calibri" w:eastAsia="Calibri" w:hAnsi="Calibri" w:cs="Calibri"/>
      <w:color w:val="002060"/>
      <w:sz w:val="18"/>
      <w:szCs w:val="18"/>
    </w:rPr>
  </w:style>
  <w:style w:type="paragraph" w:customStyle="1" w:styleId="120">
    <w:name w:val="כותרת 1 ממה"/>
    <w:basedOn w:val="Normal"/>
    <w:next w:val="Normal"/>
    <w:link w:val="122"/>
    <w:qFormat/>
    <w:rsid w:val="009F04C6"/>
    <w:pPr>
      <w:keepNext/>
      <w:widowControl w:val="0"/>
      <w:numPr>
        <w:numId w:val="13"/>
      </w:numPr>
      <w:spacing w:before="240" w:after="120" w:line="440" w:lineRule="exact"/>
      <w:jc w:val="left"/>
      <w:outlineLvl w:val="0"/>
    </w:pPr>
    <w:rPr>
      <w:rFonts w:ascii="Calibri" w:eastAsia="Calibri" w:hAnsi="Calibri" w:cs="Calibri"/>
      <w:b/>
      <w:bCs/>
      <w:color w:val="002060"/>
      <w:sz w:val="40"/>
      <w:szCs w:val="40"/>
    </w:rPr>
  </w:style>
  <w:style w:type="character" w:customStyle="1" w:styleId="122">
    <w:name w:val="כותרת 1 ממה תו"/>
    <w:basedOn w:val="DefaultParagraphFont"/>
    <w:link w:val="120"/>
    <w:rsid w:val="009F04C6"/>
    <w:rPr>
      <w:rFonts w:ascii="Calibri" w:eastAsia="Calibri" w:hAnsi="Calibri" w:cs="Calibri"/>
      <w:b/>
      <w:bCs/>
      <w:color w:val="002060"/>
      <w:sz w:val="40"/>
      <w:szCs w:val="40"/>
    </w:rPr>
  </w:style>
  <w:style w:type="paragraph" w:customStyle="1" w:styleId="24">
    <w:name w:val="כותרת 2 ממה"/>
    <w:basedOn w:val="Normal"/>
    <w:next w:val="Normal"/>
    <w:link w:val="25"/>
    <w:qFormat/>
    <w:rsid w:val="009F04C6"/>
    <w:pPr>
      <w:keepNext/>
      <w:widowControl w:val="0"/>
      <w:numPr>
        <w:numId w:val="14"/>
      </w:numPr>
      <w:spacing w:before="240" w:line="280" w:lineRule="exact"/>
      <w:jc w:val="left"/>
      <w:outlineLvl w:val="1"/>
    </w:pPr>
    <w:rPr>
      <w:rFonts w:ascii="Calibri" w:eastAsia="Calibri" w:hAnsi="Calibri" w:cs="Calibri"/>
      <w:b/>
      <w:bCs/>
      <w:color w:val="002060"/>
      <w:sz w:val="36"/>
      <w:szCs w:val="36"/>
    </w:rPr>
  </w:style>
  <w:style w:type="character" w:customStyle="1" w:styleId="25">
    <w:name w:val="כותרת 2 ממה תו"/>
    <w:basedOn w:val="22"/>
    <w:link w:val="24"/>
    <w:rsid w:val="009F04C6"/>
    <w:rPr>
      <w:rFonts w:ascii="Calibri" w:eastAsia="Calibri" w:hAnsi="Calibri" w:cs="Calibri"/>
      <w:b/>
      <w:bCs/>
      <w:color w:val="002060"/>
      <w:sz w:val="36"/>
      <w:szCs w:val="36"/>
    </w:rPr>
  </w:style>
  <w:style w:type="paragraph" w:customStyle="1" w:styleId="33">
    <w:name w:val="כותרת 3 ממה"/>
    <w:basedOn w:val="Normal"/>
    <w:next w:val="Normal"/>
    <w:link w:val="34"/>
    <w:qFormat/>
    <w:rsid w:val="009F04C6"/>
    <w:pPr>
      <w:widowControl w:val="0"/>
      <w:numPr>
        <w:numId w:val="15"/>
      </w:numPr>
      <w:spacing w:before="240" w:line="280" w:lineRule="exact"/>
      <w:jc w:val="left"/>
    </w:pPr>
    <w:rPr>
      <w:rFonts w:ascii="Calibri" w:eastAsia="Calibri" w:hAnsi="Calibri" w:cs="Calibri"/>
      <w:b/>
      <w:bCs/>
      <w:color w:val="002060"/>
      <w:sz w:val="28"/>
      <w:szCs w:val="28"/>
      <w:u w:val="single"/>
    </w:rPr>
  </w:style>
  <w:style w:type="character" w:customStyle="1" w:styleId="34">
    <w:name w:val="כותרת 3 ממה תו"/>
    <w:basedOn w:val="3"/>
    <w:link w:val="33"/>
    <w:rsid w:val="009F04C6"/>
    <w:rPr>
      <w:rFonts w:ascii="Calibri" w:eastAsia="Calibri" w:hAnsi="Calibri" w:cs="Calibri"/>
      <w:b/>
      <w:bCs/>
      <w:color w:val="002060"/>
      <w:sz w:val="28"/>
      <w:szCs w:val="28"/>
      <w:u w:val="single"/>
    </w:rPr>
  </w:style>
  <w:style w:type="paragraph" w:customStyle="1" w:styleId="42">
    <w:name w:val="כותרת 4 ממה"/>
    <w:basedOn w:val="Normal"/>
    <w:next w:val="Normal"/>
    <w:link w:val="43"/>
    <w:qFormat/>
    <w:rsid w:val="009F04C6"/>
    <w:pPr>
      <w:keepNext/>
      <w:widowControl w:val="0"/>
      <w:spacing w:before="240" w:line="280" w:lineRule="exact"/>
      <w:ind w:left="1134"/>
      <w:jc w:val="left"/>
      <w:outlineLvl w:val="3"/>
    </w:pPr>
    <w:rPr>
      <w:rFonts w:ascii="Calibri" w:eastAsia="Calibri" w:hAnsi="Calibri" w:cs="Calibri"/>
      <w:color w:val="002060"/>
      <w:sz w:val="28"/>
      <w:szCs w:val="28"/>
    </w:rPr>
  </w:style>
  <w:style w:type="character" w:customStyle="1" w:styleId="43">
    <w:name w:val="כותרת 4 ממה תו"/>
    <w:basedOn w:val="DefaultParagraphFont"/>
    <w:link w:val="42"/>
    <w:rsid w:val="009F04C6"/>
    <w:rPr>
      <w:rFonts w:ascii="Calibri" w:eastAsia="Calibri" w:hAnsi="Calibri" w:cs="Calibri"/>
      <w:color w:val="002060"/>
      <w:sz w:val="28"/>
      <w:szCs w:val="28"/>
    </w:rPr>
  </w:style>
  <w:style w:type="paragraph" w:customStyle="1" w:styleId="123">
    <w:name w:val="רשימה1 ממה"/>
    <w:basedOn w:val="Normal"/>
    <w:link w:val="124"/>
    <w:qFormat/>
    <w:rsid w:val="009F04C6"/>
    <w:pPr>
      <w:widowControl w:val="0"/>
      <w:numPr>
        <w:numId w:val="16"/>
      </w:numPr>
      <w:spacing w:line="280" w:lineRule="exact"/>
    </w:pPr>
    <w:rPr>
      <w:rFonts w:ascii="Calibri" w:eastAsia="Calibri" w:hAnsi="Calibri" w:cs="Calibri"/>
      <w:color w:val="002060"/>
      <w:sz w:val="24"/>
    </w:rPr>
  </w:style>
  <w:style w:type="character" w:customStyle="1" w:styleId="124">
    <w:name w:val="רשימה1 ממה תו"/>
    <w:basedOn w:val="DefaultParagraphFont"/>
    <w:link w:val="123"/>
    <w:rsid w:val="009F04C6"/>
    <w:rPr>
      <w:rFonts w:ascii="Calibri" w:eastAsia="Calibri" w:hAnsi="Calibri" w:cs="Calibri"/>
      <w:color w:val="002060"/>
      <w:sz w:val="24"/>
    </w:rPr>
  </w:style>
  <w:style w:type="paragraph" w:customStyle="1" w:styleId="26">
    <w:name w:val="רשימה2 ממה"/>
    <w:basedOn w:val="Normal"/>
    <w:link w:val="27"/>
    <w:qFormat/>
    <w:rsid w:val="009F04C6"/>
    <w:pPr>
      <w:widowControl w:val="0"/>
      <w:spacing w:line="280" w:lineRule="exact"/>
      <w:ind w:left="1871"/>
    </w:pPr>
    <w:rPr>
      <w:rFonts w:ascii="Calibri" w:eastAsia="Calibri" w:hAnsi="Calibri" w:cs="Calibri"/>
      <w:color w:val="002060"/>
      <w:sz w:val="24"/>
    </w:rPr>
  </w:style>
  <w:style w:type="character" w:customStyle="1" w:styleId="27">
    <w:name w:val="רשימה2 ממה תו"/>
    <w:basedOn w:val="DefaultParagraphFont"/>
    <w:link w:val="26"/>
    <w:rsid w:val="009F04C6"/>
    <w:rPr>
      <w:rFonts w:ascii="Calibri" w:eastAsia="Calibri" w:hAnsi="Calibri" w:cs="Calibri"/>
      <w:color w:val="002060"/>
      <w:sz w:val="24"/>
    </w:rPr>
  </w:style>
  <w:style w:type="paragraph" w:customStyle="1" w:styleId="35">
    <w:name w:val="רשימה3 ממה"/>
    <w:basedOn w:val="Normal"/>
    <w:link w:val="36"/>
    <w:qFormat/>
    <w:rsid w:val="009F04C6"/>
    <w:pPr>
      <w:widowControl w:val="0"/>
      <w:numPr>
        <w:numId w:val="17"/>
      </w:numPr>
      <w:spacing w:line="280" w:lineRule="exact"/>
    </w:pPr>
    <w:rPr>
      <w:rFonts w:ascii="Calibri" w:eastAsia="Calibri" w:hAnsi="Calibri" w:cs="Calibri"/>
      <w:color w:val="002060"/>
      <w:sz w:val="24"/>
    </w:rPr>
  </w:style>
  <w:style w:type="character" w:customStyle="1" w:styleId="36">
    <w:name w:val="רשימה3 ממה תו"/>
    <w:basedOn w:val="DefaultParagraphFont"/>
    <w:link w:val="35"/>
    <w:rsid w:val="009F04C6"/>
    <w:rPr>
      <w:rFonts w:ascii="Calibri" w:eastAsia="Calibri" w:hAnsi="Calibri" w:cs="Calibri"/>
      <w:color w:val="002060"/>
      <w:sz w:val="24"/>
    </w:rPr>
  </w:style>
  <w:style w:type="paragraph" w:customStyle="1" w:styleId="44">
    <w:name w:val="רשימה4 ממה"/>
    <w:basedOn w:val="Normal"/>
    <w:link w:val="45"/>
    <w:qFormat/>
    <w:rsid w:val="009F04C6"/>
    <w:pPr>
      <w:widowControl w:val="0"/>
      <w:spacing w:line="280" w:lineRule="exact"/>
      <w:ind w:left="2552"/>
    </w:pPr>
    <w:rPr>
      <w:rFonts w:ascii="Calibri" w:eastAsia="Calibri" w:hAnsi="Calibri" w:cs="Calibri"/>
      <w:color w:val="002060"/>
      <w:sz w:val="24"/>
    </w:rPr>
  </w:style>
  <w:style w:type="character" w:customStyle="1" w:styleId="45">
    <w:name w:val="רשימה4 ממה תו"/>
    <w:basedOn w:val="DefaultParagraphFont"/>
    <w:link w:val="44"/>
    <w:rsid w:val="009F04C6"/>
    <w:rPr>
      <w:rFonts w:ascii="Calibri" w:eastAsia="Calibri" w:hAnsi="Calibri" w:cs="Calibri"/>
      <w:color w:val="002060"/>
      <w:sz w:val="24"/>
    </w:rPr>
  </w:style>
  <w:style w:type="paragraph" w:customStyle="1" w:styleId="52">
    <w:name w:val="רשימה5 ממה"/>
    <w:basedOn w:val="Normal"/>
    <w:link w:val="53"/>
    <w:qFormat/>
    <w:rsid w:val="009F04C6"/>
    <w:pPr>
      <w:widowControl w:val="0"/>
      <w:numPr>
        <w:numId w:val="18"/>
      </w:numPr>
      <w:spacing w:line="280" w:lineRule="exact"/>
    </w:pPr>
    <w:rPr>
      <w:rFonts w:ascii="Calibri" w:eastAsia="Calibri" w:hAnsi="Calibri" w:cs="Calibri"/>
      <w:color w:val="002060"/>
      <w:sz w:val="24"/>
    </w:rPr>
  </w:style>
  <w:style w:type="character" w:customStyle="1" w:styleId="53">
    <w:name w:val="רשימה5 ממה תו"/>
    <w:basedOn w:val="DefaultParagraphFont"/>
    <w:link w:val="52"/>
    <w:rsid w:val="009F04C6"/>
    <w:rPr>
      <w:rFonts w:ascii="Calibri" w:eastAsia="Calibri" w:hAnsi="Calibri" w:cs="Calibri"/>
      <w:color w:val="002060"/>
      <w:sz w:val="24"/>
    </w:rPr>
  </w:style>
  <w:style w:type="paragraph" w:customStyle="1" w:styleId="a40">
    <w:name w:val="הערת שוליים ממה"/>
    <w:basedOn w:val="Normal"/>
    <w:link w:val="a41"/>
    <w:qFormat/>
    <w:rsid w:val="009F04C6"/>
    <w:pPr>
      <w:widowControl w:val="0"/>
      <w:spacing w:line="280" w:lineRule="exact"/>
      <w:ind w:left="1985" w:hanging="851"/>
    </w:pPr>
    <w:rPr>
      <w:rFonts w:ascii="Calibri" w:eastAsia="Calibri" w:hAnsi="Calibri" w:cs="Calibri"/>
      <w:color w:val="002060"/>
      <w:sz w:val="24"/>
      <w:szCs w:val="20"/>
    </w:rPr>
  </w:style>
  <w:style w:type="character" w:customStyle="1" w:styleId="a41">
    <w:name w:val="הערת שוליים ממה תו"/>
    <w:basedOn w:val="DefaultParagraphFont"/>
    <w:link w:val="a40"/>
    <w:rsid w:val="009F04C6"/>
    <w:rPr>
      <w:rFonts w:ascii="Calibri" w:eastAsia="Calibri" w:hAnsi="Calibri" w:cs="Calibri"/>
      <w:color w:val="002060"/>
      <w:sz w:val="24"/>
      <w:szCs w:val="20"/>
    </w:rPr>
  </w:style>
  <w:style w:type="paragraph" w:customStyle="1" w:styleId="a42">
    <w:name w:val="הערת סיום ממה"/>
    <w:basedOn w:val="Normal"/>
    <w:link w:val="a43"/>
    <w:qFormat/>
    <w:rsid w:val="009F04C6"/>
    <w:pPr>
      <w:widowControl w:val="0"/>
      <w:spacing w:line="240" w:lineRule="auto"/>
      <w:ind w:left="1134"/>
    </w:pPr>
    <w:rPr>
      <w:rFonts w:ascii="Calibri" w:eastAsia="Calibri" w:hAnsi="Calibri" w:cs="Calibri"/>
      <w:color w:val="002060"/>
      <w:sz w:val="24"/>
      <w:szCs w:val="20"/>
    </w:rPr>
  </w:style>
  <w:style w:type="character" w:customStyle="1" w:styleId="a43">
    <w:name w:val="הערת סיום ממה תו"/>
    <w:basedOn w:val="DefaultParagraphFont"/>
    <w:link w:val="a42"/>
    <w:rsid w:val="009F04C6"/>
    <w:rPr>
      <w:rFonts w:ascii="Calibri" w:eastAsia="Calibri" w:hAnsi="Calibri" w:cs="Calibri"/>
      <w:color w:val="002060"/>
      <w:sz w:val="24"/>
      <w:szCs w:val="20"/>
    </w:rPr>
  </w:style>
  <w:style w:type="paragraph" w:customStyle="1" w:styleId="125">
    <w:name w:val="ליקוי/ממצא חיובי/המלצה1 ממה"/>
    <w:next w:val="Normal"/>
    <w:link w:val="126"/>
    <w:qFormat/>
    <w:rsid w:val="009F04C6"/>
    <w:pPr>
      <w:keepNext/>
      <w:keepLines/>
      <w:widowControl w:val="0"/>
      <w:pBdr>
        <w:bottom w:val="single" w:sz="2" w:space="1" w:color="002060"/>
      </w:pBdr>
      <w:bidi/>
      <w:spacing w:after="0" w:line="280" w:lineRule="exact"/>
      <w:ind w:left="1134"/>
      <w:outlineLvl w:val="8"/>
    </w:pPr>
    <w:rPr>
      <w:rFonts w:ascii="Calibri" w:eastAsia="Calibri" w:hAnsi="Calibri" w:cs="Calibri"/>
      <w:color w:val="002060"/>
      <w:sz w:val="24"/>
    </w:rPr>
  </w:style>
  <w:style w:type="character" w:customStyle="1" w:styleId="126">
    <w:name w:val="ליקוי/ממצא חיובי/המלצה1 ממה תו"/>
    <w:basedOn w:val="DefaultParagraphFont"/>
    <w:link w:val="125"/>
    <w:rsid w:val="009F04C6"/>
    <w:rPr>
      <w:rFonts w:ascii="Calibri" w:eastAsia="Calibri" w:hAnsi="Calibri" w:cs="Calibri"/>
      <w:color w:val="002060"/>
      <w:sz w:val="24"/>
    </w:rPr>
  </w:style>
  <w:style w:type="paragraph" w:customStyle="1" w:styleId="28">
    <w:name w:val="ליקוי/ממצא חיובי/המלצה2 ממה"/>
    <w:basedOn w:val="Normal"/>
    <w:next w:val="Normal"/>
    <w:link w:val="29"/>
    <w:qFormat/>
    <w:rsid w:val="009F04C6"/>
    <w:pPr>
      <w:keepNext/>
      <w:keepLines/>
      <w:widowControl w:val="0"/>
      <w:pBdr>
        <w:bottom w:val="single" w:sz="2" w:space="1" w:color="002060"/>
      </w:pBdr>
      <w:spacing w:line="280" w:lineRule="exact"/>
      <w:ind w:left="1871"/>
      <w:outlineLvl w:val="8"/>
    </w:pPr>
    <w:rPr>
      <w:rFonts w:ascii="Calibri" w:eastAsia="Calibri" w:hAnsi="Calibri" w:cs="Calibri"/>
      <w:color w:val="002060"/>
      <w:sz w:val="24"/>
    </w:rPr>
  </w:style>
  <w:style w:type="character" w:customStyle="1" w:styleId="29">
    <w:name w:val="ליקוי/ממצא חיובי/המלצה2 ממה תו"/>
    <w:basedOn w:val="126"/>
    <w:link w:val="28"/>
    <w:rsid w:val="009F04C6"/>
    <w:rPr>
      <w:rFonts w:ascii="Calibri" w:eastAsia="Calibri" w:hAnsi="Calibri" w:cs="Calibri"/>
      <w:color w:val="002060"/>
      <w:sz w:val="24"/>
    </w:rPr>
  </w:style>
  <w:style w:type="paragraph" w:customStyle="1" w:styleId="37">
    <w:name w:val="ליקוי/ממצא חיובי/המלצה3 ממה"/>
    <w:basedOn w:val="Normal"/>
    <w:link w:val="38"/>
    <w:qFormat/>
    <w:rsid w:val="009F04C6"/>
    <w:pPr>
      <w:keepNext/>
      <w:keepLines/>
      <w:widowControl w:val="0"/>
      <w:pBdr>
        <w:bottom w:val="single" w:sz="4" w:space="1" w:color="002060"/>
      </w:pBdr>
      <w:spacing w:line="280" w:lineRule="exact"/>
      <w:ind w:left="2552"/>
      <w:outlineLvl w:val="8"/>
    </w:pPr>
    <w:rPr>
      <w:rFonts w:ascii="Calibri" w:eastAsia="Calibri" w:hAnsi="Calibri" w:cs="Calibri"/>
      <w:color w:val="002060"/>
      <w:sz w:val="24"/>
    </w:rPr>
  </w:style>
  <w:style w:type="character" w:customStyle="1" w:styleId="38">
    <w:name w:val="ליקוי/ממצא חיובי/המלצה3 ממה תו"/>
    <w:basedOn w:val="DefaultParagraphFont"/>
    <w:link w:val="37"/>
    <w:rsid w:val="009F04C6"/>
    <w:rPr>
      <w:rFonts w:ascii="Calibri" w:eastAsia="Calibri" w:hAnsi="Calibri" w:cs="Calibri"/>
      <w:color w:val="002060"/>
      <w:sz w:val="24"/>
    </w:rPr>
  </w:style>
  <w:style w:type="paragraph" w:customStyle="1" w:styleId="a44">
    <w:name w:val="נבנצאל ממה"/>
    <w:basedOn w:val="Normal"/>
    <w:next w:val="Normal"/>
    <w:link w:val="a45"/>
    <w:uiPriority w:val="99"/>
    <w:qFormat/>
    <w:rsid w:val="009F04C6"/>
    <w:pPr>
      <w:keepNext/>
      <w:spacing w:line="280" w:lineRule="exact"/>
      <w:jc w:val="left"/>
    </w:pPr>
    <w:rPr>
      <w:rFonts w:ascii="Calibri" w:eastAsia="Calibri" w:hAnsi="Calibri" w:cs="Calibri"/>
      <w:color w:val="002060"/>
      <w:szCs w:val="20"/>
    </w:rPr>
  </w:style>
  <w:style w:type="character" w:customStyle="1" w:styleId="a45">
    <w:name w:val="נבנצאל ממה תו"/>
    <w:basedOn w:val="DefaultParagraphFont"/>
    <w:link w:val="a44"/>
    <w:uiPriority w:val="99"/>
    <w:rsid w:val="009F04C6"/>
    <w:rPr>
      <w:rFonts w:ascii="Calibri" w:eastAsia="Calibri" w:hAnsi="Calibri" w:cs="Calibri"/>
      <w:color w:val="002060"/>
      <w:szCs w:val="20"/>
    </w:rPr>
  </w:style>
  <w:style w:type="paragraph" w:customStyle="1" w:styleId="a46">
    <w:name w:val="רגיל ממה"/>
    <w:basedOn w:val="Normal"/>
    <w:link w:val="a47"/>
    <w:qFormat/>
    <w:rsid w:val="009F04C6"/>
    <w:pPr>
      <w:widowControl w:val="0"/>
      <w:spacing w:line="280" w:lineRule="exact"/>
      <w:ind w:left="1134"/>
    </w:pPr>
    <w:rPr>
      <w:rFonts w:ascii="Calibri" w:eastAsia="Calibri" w:hAnsi="Calibri" w:cs="Calibri"/>
      <w:color w:val="002060"/>
      <w:sz w:val="24"/>
    </w:rPr>
  </w:style>
  <w:style w:type="character" w:customStyle="1" w:styleId="a47">
    <w:name w:val="רגיל ממה תו"/>
    <w:basedOn w:val="DefaultParagraphFont"/>
    <w:link w:val="a46"/>
    <w:rsid w:val="009F04C6"/>
    <w:rPr>
      <w:rFonts w:ascii="Calibri" w:eastAsia="Calibri" w:hAnsi="Calibri" w:cs="Calibri"/>
      <w:color w:val="002060"/>
      <w:sz w:val="24"/>
    </w:rPr>
  </w:style>
  <w:style w:type="paragraph" w:customStyle="1" w:styleId="a48">
    <w:name w:val="סיכום ממה"/>
    <w:basedOn w:val="Normal"/>
    <w:next w:val="Normal"/>
    <w:link w:val="a49"/>
    <w:qFormat/>
    <w:rsid w:val="009F04C6"/>
    <w:pPr>
      <w:spacing w:line="276" w:lineRule="auto"/>
      <w:ind w:left="1140"/>
    </w:pPr>
    <w:rPr>
      <w:rFonts w:ascii="Calibri" w:eastAsia="Calibri" w:hAnsi="Calibri" w:cs="Calibri"/>
      <w:b/>
      <w:bCs/>
      <w:color w:val="FFFFFF" w:themeColor="background1"/>
      <w:sz w:val="2"/>
      <w:szCs w:val="2"/>
    </w:rPr>
  </w:style>
  <w:style w:type="character" w:customStyle="1" w:styleId="a49">
    <w:name w:val="סיכום ממה תו"/>
    <w:basedOn w:val="DefaultParagraphFont"/>
    <w:link w:val="a48"/>
    <w:rsid w:val="009F04C6"/>
    <w:rPr>
      <w:rFonts w:ascii="Calibri" w:eastAsia="Calibri" w:hAnsi="Calibri" w:cs="Calibri"/>
      <w:b/>
      <w:bCs/>
      <w:color w:val="FFFFFF" w:themeColor="background1"/>
      <w:sz w:val="2"/>
      <w:szCs w:val="2"/>
    </w:rPr>
  </w:style>
  <w:style w:type="paragraph" w:customStyle="1" w:styleId="a50">
    <w:name w:val="טקסט סיכום ממה"/>
    <w:basedOn w:val="Normal"/>
    <w:next w:val="Normal"/>
    <w:qFormat/>
    <w:rsid w:val="009F04C6"/>
    <w:pPr>
      <w:widowControl w:val="0"/>
      <w:spacing w:after="240" w:line="280" w:lineRule="exact"/>
      <w:ind w:left="1140"/>
    </w:pPr>
    <w:rPr>
      <w:rFonts w:ascii="Calibri" w:eastAsia="Calibri" w:hAnsi="Calibri" w:cs="Calibri"/>
      <w:bCs/>
      <w:color w:val="002060"/>
      <w:sz w:val="24"/>
    </w:rPr>
  </w:style>
  <w:style w:type="paragraph" w:customStyle="1" w:styleId="a51">
    <w:name w:val="סיכום ביניים ממה"/>
    <w:basedOn w:val="Normal"/>
    <w:next w:val="Normal"/>
    <w:qFormat/>
    <w:rsid w:val="009F04C6"/>
    <w:pPr>
      <w:widowControl w:val="0"/>
      <w:spacing w:before="240" w:after="240"/>
      <w:ind w:left="1134"/>
    </w:pPr>
    <w:rPr>
      <w:rFonts w:ascii="Calibri" w:eastAsia="Calibri" w:hAnsi="Calibri" w:cs="Calibri"/>
      <w:noProof/>
      <w:color w:val="002060"/>
      <w:sz w:val="24"/>
    </w:rPr>
  </w:style>
  <w:style w:type="paragraph" w:customStyle="1" w:styleId="a52">
    <w:name w:val="טקסט סיכום ביניים ממה"/>
    <w:basedOn w:val="Normal"/>
    <w:next w:val="Normal"/>
    <w:qFormat/>
    <w:rsid w:val="009F04C6"/>
    <w:pPr>
      <w:widowControl w:val="0"/>
      <w:spacing w:after="240" w:line="280" w:lineRule="exact"/>
      <w:ind w:left="1134"/>
    </w:pPr>
    <w:rPr>
      <w:rFonts w:ascii="Calibri" w:eastAsia="Calibri" w:hAnsi="Calibri" w:cs="Calibri"/>
      <w:bCs/>
      <w:color w:val="002060"/>
      <w:sz w:val="24"/>
    </w:rPr>
  </w:style>
  <w:style w:type="paragraph" w:customStyle="1" w:styleId="a53">
    <w:name w:val="תרשים ממה"/>
    <w:basedOn w:val="Normal"/>
    <w:next w:val="Normal"/>
    <w:link w:val="a54"/>
    <w:qFormat/>
    <w:rsid w:val="009F04C6"/>
    <w:pPr>
      <w:keepNext/>
      <w:keepLines/>
      <w:widowControl w:val="0"/>
      <w:numPr>
        <w:numId w:val="19"/>
      </w:numPr>
      <w:spacing w:line="280" w:lineRule="exact"/>
      <w:jc w:val="center"/>
      <w:outlineLvl w:val="6"/>
    </w:pPr>
    <w:rPr>
      <w:rFonts w:ascii="Calibri" w:eastAsia="Calibri" w:hAnsi="Calibri" w:cs="Calibri"/>
      <w:b/>
      <w:bCs/>
      <w:color w:val="002060"/>
      <w:sz w:val="24"/>
    </w:rPr>
  </w:style>
  <w:style w:type="character" w:customStyle="1" w:styleId="a54">
    <w:name w:val="תרשים ממה תו"/>
    <w:basedOn w:val="DefaultParagraphFont"/>
    <w:link w:val="a53"/>
    <w:rsid w:val="009F04C6"/>
    <w:rPr>
      <w:rFonts w:ascii="Calibri" w:eastAsia="Calibri" w:hAnsi="Calibri" w:cs="Calibri"/>
      <w:b/>
      <w:bCs/>
      <w:color w:val="002060"/>
      <w:sz w:val="24"/>
    </w:rPr>
  </w:style>
  <w:style w:type="paragraph" w:customStyle="1" w:styleId="a55">
    <w:name w:val="תמונה ממה"/>
    <w:basedOn w:val="Normal"/>
    <w:next w:val="Normal"/>
    <w:link w:val="a56"/>
    <w:qFormat/>
    <w:rsid w:val="009F04C6"/>
    <w:pPr>
      <w:keepNext/>
      <w:keepLines/>
      <w:widowControl w:val="0"/>
      <w:numPr>
        <w:numId w:val="20"/>
      </w:numPr>
      <w:spacing w:line="280" w:lineRule="exact"/>
      <w:jc w:val="center"/>
      <w:outlineLvl w:val="6"/>
    </w:pPr>
    <w:rPr>
      <w:rFonts w:ascii="Calibri" w:eastAsia="Calibri" w:hAnsi="Calibri" w:cs="Calibri"/>
      <w:b/>
      <w:bCs/>
      <w:color w:val="002060"/>
      <w:sz w:val="24"/>
    </w:rPr>
  </w:style>
  <w:style w:type="character" w:customStyle="1" w:styleId="a56">
    <w:name w:val="תמונה ממה תו"/>
    <w:basedOn w:val="DefaultParagraphFont"/>
    <w:link w:val="a55"/>
    <w:rsid w:val="009F04C6"/>
    <w:rPr>
      <w:rFonts w:ascii="Calibri" w:eastAsia="Calibri" w:hAnsi="Calibri" w:cs="Calibri"/>
      <w:b/>
      <w:bCs/>
      <w:color w:val="002060"/>
      <w:sz w:val="24"/>
    </w:rPr>
  </w:style>
  <w:style w:type="paragraph" w:customStyle="1" w:styleId="a57">
    <w:name w:val="לוח ממה"/>
    <w:basedOn w:val="Normal"/>
    <w:next w:val="Normal"/>
    <w:link w:val="a58"/>
    <w:qFormat/>
    <w:rsid w:val="009F04C6"/>
    <w:pPr>
      <w:keepNext/>
      <w:keepLines/>
      <w:widowControl w:val="0"/>
      <w:numPr>
        <w:numId w:val="21"/>
      </w:numPr>
      <w:spacing w:line="280" w:lineRule="exact"/>
      <w:jc w:val="center"/>
      <w:outlineLvl w:val="6"/>
    </w:pPr>
    <w:rPr>
      <w:rFonts w:ascii="Calibri" w:eastAsia="Calibri" w:hAnsi="Calibri" w:cs="Calibri"/>
      <w:b/>
      <w:bCs/>
      <w:color w:val="002060"/>
      <w:sz w:val="24"/>
    </w:rPr>
  </w:style>
  <w:style w:type="character" w:customStyle="1" w:styleId="a58">
    <w:name w:val="לוח ממה תו"/>
    <w:basedOn w:val="DefaultParagraphFont"/>
    <w:link w:val="a57"/>
    <w:rsid w:val="009F04C6"/>
    <w:rPr>
      <w:rFonts w:ascii="Calibri" w:eastAsia="Calibri" w:hAnsi="Calibri" w:cs="Calibri"/>
      <w:b/>
      <w:bCs/>
      <w:color w:val="002060"/>
      <w:sz w:val="24"/>
    </w:rPr>
  </w:style>
  <w:style w:type="paragraph" w:customStyle="1" w:styleId="a59">
    <w:name w:val="מפה ממה"/>
    <w:basedOn w:val="Normal"/>
    <w:next w:val="Normal"/>
    <w:link w:val="a60"/>
    <w:qFormat/>
    <w:rsid w:val="009F04C6"/>
    <w:pPr>
      <w:keepNext/>
      <w:keepLines/>
      <w:widowControl w:val="0"/>
      <w:numPr>
        <w:numId w:val="22"/>
      </w:numPr>
      <w:spacing w:line="280" w:lineRule="exact"/>
      <w:jc w:val="center"/>
      <w:outlineLvl w:val="6"/>
    </w:pPr>
    <w:rPr>
      <w:rFonts w:ascii="Calibri" w:eastAsia="Calibri" w:hAnsi="Calibri" w:cs="Calibri"/>
      <w:b/>
      <w:bCs/>
      <w:color w:val="002060"/>
      <w:sz w:val="24"/>
    </w:rPr>
  </w:style>
  <w:style w:type="character" w:customStyle="1" w:styleId="a60">
    <w:name w:val="מפה ממה תו"/>
    <w:basedOn w:val="DefaultParagraphFont"/>
    <w:link w:val="a59"/>
    <w:rsid w:val="009F04C6"/>
    <w:rPr>
      <w:rFonts w:ascii="Calibri" w:eastAsia="Calibri" w:hAnsi="Calibri" w:cs="Calibri"/>
      <w:b/>
      <w:bCs/>
      <w:color w:val="002060"/>
      <w:sz w:val="24"/>
    </w:rPr>
  </w:style>
  <w:style w:type="paragraph" w:customStyle="1" w:styleId="a61">
    <w:name w:val="מקור ממה"/>
    <w:basedOn w:val="Normal"/>
    <w:next w:val="Normal"/>
    <w:qFormat/>
    <w:rsid w:val="009F04C6"/>
    <w:pPr>
      <w:keepNext/>
      <w:keepLines/>
      <w:widowControl w:val="0"/>
      <w:ind w:left="1134"/>
    </w:pPr>
    <w:rPr>
      <w:rFonts w:ascii="Calibri" w:eastAsia="Calibri" w:hAnsi="Calibri" w:cs="Calibri"/>
      <w:color w:val="002060"/>
      <w:szCs w:val="20"/>
    </w:rPr>
  </w:style>
  <w:style w:type="paragraph" w:customStyle="1" w:styleId="a62">
    <w:name w:val="אובייקט ממה"/>
    <w:basedOn w:val="Normal"/>
    <w:next w:val="Normal"/>
    <w:qFormat/>
    <w:rsid w:val="009F04C6"/>
    <w:pPr>
      <w:keepNext/>
      <w:widowControl w:val="0"/>
      <w:spacing w:line="269" w:lineRule="auto"/>
      <w:ind w:left="1134"/>
    </w:pPr>
    <w:rPr>
      <w:rFonts w:ascii="Calibri" w:eastAsia="Calibri" w:hAnsi="Calibri" w:cs="Calibri"/>
      <w:noProof/>
      <w:color w:val="002060"/>
      <w:sz w:val="24"/>
    </w:rPr>
  </w:style>
  <w:style w:type="paragraph" w:customStyle="1" w:styleId="a63">
    <w:name w:val="רכיבי המבוא ממה"/>
    <w:basedOn w:val="Normal"/>
    <w:link w:val="a64"/>
    <w:qFormat/>
    <w:rsid w:val="009F04C6"/>
    <w:pPr>
      <w:pBdr>
        <w:bottom w:val="single" w:sz="8" w:space="1" w:color="F2F2F2"/>
      </w:pBdr>
      <w:spacing w:before="60" w:after="60" w:line="280" w:lineRule="exact"/>
      <w:ind w:left="170" w:right="57"/>
    </w:pPr>
    <w:rPr>
      <w:rFonts w:ascii="Calibri" w:eastAsia="Calibri" w:hAnsi="Calibri" w:cs="Calibri"/>
      <w:color w:val="002060"/>
      <w:szCs w:val="20"/>
    </w:rPr>
  </w:style>
  <w:style w:type="character" w:customStyle="1" w:styleId="a64">
    <w:name w:val="רכיבי המבוא ממה תו"/>
    <w:basedOn w:val="DefaultParagraphFont"/>
    <w:link w:val="a63"/>
    <w:rsid w:val="009F04C6"/>
    <w:rPr>
      <w:rFonts w:ascii="Calibri" w:eastAsia="Calibri" w:hAnsi="Calibri" w:cs="Calibri"/>
      <w:color w:val="002060"/>
      <w:szCs w:val="20"/>
    </w:rPr>
  </w:style>
  <w:style w:type="paragraph" w:customStyle="1" w:styleId="a65">
    <w:name w:val="אייקון במבוא ממה"/>
    <w:basedOn w:val="Normal"/>
    <w:link w:val="a66"/>
    <w:qFormat/>
    <w:rsid w:val="009F04C6"/>
    <w:pPr>
      <w:pBdr>
        <w:bottom w:val="single" w:sz="8" w:space="1" w:color="F2F2F2"/>
      </w:pBdr>
      <w:spacing w:line="240" w:lineRule="auto"/>
      <w:jc w:val="center"/>
    </w:pPr>
    <w:rPr>
      <w:rFonts w:ascii="Calibri" w:eastAsia="Calibri" w:hAnsi="Calibri" w:cs="Calibri"/>
      <w:bCs/>
      <w:color w:val="002060"/>
      <w:sz w:val="24"/>
      <w:szCs w:val="20"/>
    </w:rPr>
  </w:style>
  <w:style w:type="character" w:customStyle="1" w:styleId="a66">
    <w:name w:val="אייקון במבוא ממה תו"/>
    <w:basedOn w:val="DefaultParagraphFont"/>
    <w:link w:val="a65"/>
    <w:rsid w:val="009F04C6"/>
    <w:rPr>
      <w:rFonts w:ascii="Calibri" w:eastAsia="Calibri" w:hAnsi="Calibri" w:cs="Calibri"/>
      <w:bCs/>
      <w:color w:val="002060"/>
      <w:sz w:val="24"/>
      <w:szCs w:val="20"/>
    </w:rPr>
  </w:style>
  <w:style w:type="paragraph" w:customStyle="1" w:styleId="753">
    <w:name w:val="75א מספור הערות שוליים"/>
    <w:basedOn w:val="732"/>
    <w:qFormat/>
    <w:rsid w:val="007F4A1C"/>
  </w:style>
  <w:style w:type="paragraph" w:customStyle="1" w:styleId="759">
    <w:name w:val="75א טקסט רץ 9"/>
    <w:basedOn w:val="a16"/>
    <w:link w:val="759Char"/>
    <w:qFormat/>
    <w:rsid w:val="007F4A1C"/>
    <w:rPr>
      <w:color w:val="0D0D0D" w:themeColor="text1" w:themeTint="F2"/>
      <w:sz w:val="18"/>
    </w:rPr>
  </w:style>
  <w:style w:type="character" w:customStyle="1" w:styleId="759Char">
    <w:name w:val="75א טקסט רץ 9 Char"/>
    <w:basedOn w:val="Char6"/>
    <w:link w:val="759"/>
    <w:rsid w:val="007F4A1C"/>
    <w:rPr>
      <w:rFonts w:ascii="Tahoma" w:hAnsi="Tahoma" w:cs="Tahoma"/>
      <w:color w:val="0D0D0D" w:themeColor="text1" w:themeTint="F2"/>
      <w:sz w:val="18"/>
      <w:szCs w:val="18"/>
    </w:rPr>
  </w:style>
  <w:style w:type="paragraph" w:customStyle="1" w:styleId="752024">
    <w:name w:val="75א כיתוב בתוך טבלת תקציר 2024"/>
    <w:basedOn w:val="20210"/>
    <w:link w:val="752024Char"/>
    <w:qFormat/>
    <w:rsid w:val="00A541A4"/>
  </w:style>
  <w:style w:type="character" w:customStyle="1" w:styleId="752024Char">
    <w:name w:val="75א כיתוב בתוך טבלת תקציר 2024 Char"/>
    <w:basedOn w:val="2021Char0"/>
    <w:link w:val="752024"/>
    <w:rsid w:val="00A541A4"/>
    <w:rPr>
      <w:rFonts w:ascii="Tahoma" w:hAnsi="Tahoma" w:eastAsiaTheme="minorEastAsia" w:cs="Tahoma"/>
      <w:color w:val="0D0D0D" w:themeColor="text1" w:themeTint="F2"/>
      <w:w w:val="90"/>
      <w:sz w:val="18"/>
      <w:szCs w:val="18"/>
    </w:rPr>
  </w:style>
  <w:style w:type="paragraph" w:customStyle="1" w:styleId="754">
    <w:name w:val="75א הזחה שנייה עם בולטס"/>
    <w:basedOn w:val="739"/>
    <w:qFormat/>
    <w:rsid w:val="009641EB"/>
    <w:pPr>
      <w:numPr>
        <w:numId w:val="31"/>
      </w:numPr>
    </w:pPr>
  </w:style>
  <w:style w:type="paragraph" w:customStyle="1" w:styleId="755">
    <w:name w:val="75א הזחה ראשונה ללא מספר"/>
    <w:basedOn w:val="739"/>
    <w:qFormat/>
    <w:rsid w:val="00487083"/>
    <w:pPr>
      <w:ind w:left="397"/>
    </w:pPr>
  </w:style>
  <w:style w:type="paragraph" w:customStyle="1" w:styleId="714">
    <w:name w:val="71ג הזחה ראשונה ללא מספר"/>
    <w:basedOn w:val="Normal"/>
    <w:qFormat/>
    <w:rsid w:val="00487083"/>
    <w:pPr>
      <w:spacing w:after="180" w:line="260" w:lineRule="exact"/>
      <w:ind w:left="397"/>
    </w:pPr>
    <w:rPr>
      <w:rFonts w:ascii="Tahoma" w:hAnsi="Tahoma" w:cs="Tahoma"/>
      <w:color w:val="0D0D0D" w:themeColor="text1" w:themeTint="F2"/>
      <w:sz w:val="18"/>
      <w:szCs w:val="18"/>
    </w:rPr>
  </w:style>
  <w:style w:type="paragraph" w:customStyle="1" w:styleId="71R">
    <w:name w:val="71ג טבלה טקסט R"/>
    <w:basedOn w:val="Normal"/>
    <w:qFormat/>
    <w:rsid w:val="00BA7B4B"/>
    <w:pPr>
      <w:spacing w:before="120" w:after="120" w:line="240" w:lineRule="exact"/>
      <w:jc w:val="left"/>
    </w:pPr>
    <w:rPr>
      <w:rFonts w:ascii="Tahoma" w:hAnsi="Tahoma" w:eastAsiaTheme="minorEastAsia" w:cs="Tahoma"/>
      <w:color w:val="000000" w:themeColor="text1"/>
      <w:sz w:val="16"/>
      <w:szCs w:val="16"/>
    </w:rPr>
  </w:style>
  <w:style w:type="paragraph" w:customStyle="1" w:styleId="756">
    <w:name w:val="75א סיכום"/>
    <w:basedOn w:val="75"/>
    <w:qFormat/>
    <w:rsid w:val="001D6B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header" Target="header3.xml" /><Relationship Id="rId16" Type="http://schemas.openxmlformats.org/officeDocument/2006/relationships/image" Target="media/image5.jpeg" /><Relationship Id="rId17" Type="http://schemas.openxmlformats.org/officeDocument/2006/relationships/header" Target="header4.xml" /><Relationship Id="rId18" Type="http://schemas.openxmlformats.org/officeDocument/2006/relationships/footer" Target="footer2.xml" /><Relationship Id="rId19" Type="http://schemas.openxmlformats.org/officeDocument/2006/relationships/image" Target="media/image6.jpeg" /><Relationship Id="rId2" Type="http://schemas.openxmlformats.org/officeDocument/2006/relationships/endnotes" Target="endnotes.xml" /><Relationship Id="rId20" Type="http://schemas.openxmlformats.org/officeDocument/2006/relationships/image" Target="media/image7.jpeg" /><Relationship Id="rId21" Type="http://schemas.openxmlformats.org/officeDocument/2006/relationships/image" Target="media/image8.jpeg" /><Relationship Id="rId22" Type="http://schemas.openxmlformats.org/officeDocument/2006/relationships/image" Target="media/image9.jpeg" /><Relationship Id="rId23" Type="http://schemas.openxmlformats.org/officeDocument/2006/relationships/image" Target="media/image10.jpeg" /><Relationship Id="rId24" Type="http://schemas.openxmlformats.org/officeDocument/2006/relationships/image" Target="media/image11.jpeg" /><Relationship Id="rId25" Type="http://schemas.openxmlformats.org/officeDocument/2006/relationships/image" Target="media/image12.jpeg" /><Relationship Id="rId26" Type="http://schemas.openxmlformats.org/officeDocument/2006/relationships/image" Target="media/image13.jpeg" /><Relationship Id="rId27" Type="http://schemas.openxmlformats.org/officeDocument/2006/relationships/image" Target="media/image14.jpeg" /><Relationship Id="rId28" Type="http://schemas.openxmlformats.org/officeDocument/2006/relationships/image" Target="media/image15.jpeg" /><Relationship Id="rId29" Type="http://schemas.openxmlformats.org/officeDocument/2006/relationships/header" Target="header5.xml" /><Relationship Id="rId3" Type="http://schemas.openxmlformats.org/officeDocument/2006/relationships/settings" Target="settings.xml" /><Relationship Id="rId30" Type="http://schemas.openxmlformats.org/officeDocument/2006/relationships/theme" Target="theme/theme1.xml" /><Relationship Id="rId31" Type="http://schemas.openxmlformats.org/officeDocument/2006/relationships/numbering" Target="numbering.xml" /><Relationship Id="rId32"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3.jpeg" /></Relationships>
</file>

<file path=word/_rels/header2.xml.rels><?xml version="1.0" encoding="utf-8" standalone="yes"?><Relationships xmlns="http://schemas.openxmlformats.org/package/2006/relationships"><Relationship Id="rId1" Type="http://schemas.openxmlformats.org/officeDocument/2006/relationships/image" Target="media/image4.jpeg" /></Relationships>
</file>

<file path=word/_rels/header3.xml.rels><?xml version="1.0" encoding="utf-8" standalone="yes"?><Relationships xmlns="http://schemas.openxmlformats.org/package/2006/relationships"><Relationship Id="rId1" Type="http://schemas.openxmlformats.org/officeDocument/2006/relationships/image" Target="media/image3.jpeg" /></Relationships>
</file>

<file path=word/_rels/header4.xml.rels><?xml version="1.0" encoding="utf-8" standalone="yes"?><Relationships xmlns="http://schemas.openxmlformats.org/package/2006/relationships"><Relationship Id="rId1" Type="http://schemas.openxmlformats.org/officeDocument/2006/relationships/image" Target="media/image3.jpeg" /></Relationships>
</file>

<file path=word/_rels/header5.xml.rels><?xml version="1.0" encoding="utf-8" standalone="yes"?><Relationships xmlns="http://schemas.openxmlformats.org/package/2006/relationships"><Relationship Id="rId1" Type="http://schemas.openxmlformats.org/officeDocument/2006/relationships/image" Target="media/image4.jpeg" /></Relationships>
</file>

<file path=word/theme/_rels/theme1.xml.rels><?xml version="1.0" encoding="utf-8" standalone="yes"?><Relationships xmlns="http://schemas.openxmlformats.org/package/2006/relationships"><Relationship Id="rId1" Type="http://schemas.openxmlformats.org/officeDocument/2006/relationships/image" Target="../media/image16.jpeg" /></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03606-5E1C-4A20-A662-7530344C0C79}">
  <ds:schemaRefs>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schemas.microsoft.com/sharepoint/v3"/>
    <ds:schemaRef ds:uri="http://purl.org/dc/dcmitype/"/>
    <ds:schemaRef ds:uri="http://purl.org/dc/term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3.xml><?xml version="1.0" encoding="utf-8"?>
<ds:datastoreItem xmlns:ds="http://schemas.openxmlformats.org/officeDocument/2006/customXml" ds:itemID="{0A19E2AB-CAB4-41BA-BE38-6A6391342888}"/>
</file>

<file path=customXml/itemProps4.xml><?xml version="1.0" encoding="utf-8"?>
<ds:datastoreItem xmlns:ds="http://schemas.openxmlformats.org/officeDocument/2006/customXml" ds:itemID="{981BCB5C-4941-496E-9A8E-88C5F7900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28</Pages>
  <Words>5678</Words>
  <Characters>32365</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שושנה שחר שחר</cp:lastModifiedBy>
  <cp:revision>23</cp:revision>
  <cp:lastPrinted>2024-06-16T12:45:00Z</cp:lastPrinted>
  <dcterms:created xsi:type="dcterms:W3CDTF">2024-07-14T10:25:00Z</dcterms:created>
  <dcterms:modified xsi:type="dcterms:W3CDTF">2024-07-18T07:01:00Z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