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ody>
    <w:bookmarkStart w:id="0" w:name="_Toc349122061"/>
    <w:bookmarkStart w:id="1" w:name="_Toc349136480"/>
    <w:bookmarkStart w:id="2" w:name="_Toc352831083"/>
    <w:bookmarkStart w:id="3" w:name="_Toc354324568"/>
    <w:bookmarkStart w:id="4" w:name="_Toc354661923"/>
    <w:p w:rsidR="00E077B7" w:rsidRPr="00590929" w:rsidP="003323CD" w14:paraId="44EF2C79" w14:textId="4D2D2D5B">
      <w:pPr>
        <w:spacing w:line="240" w:lineRule="exact"/>
        <w:jc w:val="both"/>
        <w:rPr>
          <w:rFonts w:ascii="Tahoma" w:hAnsi="Tahoma" w:cs="Tahoma"/>
          <w:sz w:val="17"/>
          <w:szCs w:val="18"/>
          <w:rtl/>
        </w:rPr>
      </w:pPr>
      <w:r>
        <w:rPr>
          <w:noProof/>
          <w:szCs w:val="18"/>
        </w:rPr>
        <mc:AlternateContent>
          <mc:Choice Requires="wps">
            <w:drawing>
              <wp:anchor distT="0" distB="0" distL="114300" distR="114300" simplePos="0" relativeHeight="251660288" behindDoc="0" locked="0" layoutInCell="1" allowOverlap="1">
                <wp:simplePos x="0" y="0"/>
                <wp:positionH relativeFrom="column">
                  <wp:posOffset>-314079</wp:posOffset>
                </wp:positionH>
                <wp:positionV relativeFrom="paragraph">
                  <wp:posOffset>-2140585</wp:posOffset>
                </wp:positionV>
                <wp:extent cx="6436840" cy="10836533"/>
                <wp:effectExtent l="12700" t="12700" r="15240" b="952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6436840" cy="10836533"/>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6" style="width:506.85pt;height:853.25pt;margin-top:-168.55pt;margin-left:-24.75pt;mso-height-percent:0;mso-height-relative:margin;mso-width-percent:0;mso-width-relative:margin;mso-wrap-distance-bottom:0;mso-wrap-distance-left:9pt;mso-wrap-distance-right:9pt;mso-wrap-distance-top:0;mso-wrap-style:square;position:absolute;visibility:visible;v-text-anchor:middle;z-index:251661312" fillcolor="#00305f" strokecolor="#073662" strokeweight="1.5pt">
                <v:stroke endcap="round"/>
              </v:rect>
            </w:pict>
          </mc:Fallback>
        </mc:AlternateContent>
      </w:r>
      <w:r w:rsidR="00316D38">
        <w:rPr>
          <w:rFonts w:ascii="Tahoma" w:hAnsi="Tahoma" w:cs="Tahoma"/>
          <w:noProof/>
          <w:sz w:val="17"/>
          <w:szCs w:val="18"/>
        </w:rPr>
        <mc:AlternateContent>
          <mc:Choice Requires="wps">
            <w:drawing>
              <wp:anchor distT="0" distB="0" distL="114300" distR="114300" simplePos="0" relativeHeight="251658240" behindDoc="0" locked="0" layoutInCell="1" allowOverlap="1">
                <wp:simplePos x="0" y="0"/>
                <wp:positionH relativeFrom="column">
                  <wp:posOffset>1550035</wp:posOffset>
                </wp:positionH>
                <wp:positionV relativeFrom="paragraph">
                  <wp:posOffset>1248410</wp:posOffset>
                </wp:positionV>
                <wp:extent cx="53975" cy="2734945"/>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53975" cy="27349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7" style="width:4.25pt;height:215.35pt;margin-top:98.3pt;margin-left:122.05pt;mso-height-percent:0;mso-height-relative:margin;mso-width-percent:0;mso-width-relative:margin;mso-wrap-distance-bottom:0;mso-wrap-distance-left:9pt;mso-wrap-distance-right:9pt;mso-wrap-distance-top:0;mso-wrap-style:square;position:absolute;visibility:visible;v-text-anchor:middle;z-index:251659264" fillcolor="white" stroked="f" strokeweight="1.5pt">
                <v:stroke endcap="round"/>
              </v:rect>
            </w:pict>
          </mc:Fallback>
        </mc:AlternateContent>
      </w:r>
      <w:r w:rsidR="00316D38">
        <w:rPr>
          <w:rFonts w:ascii="Tahoma" w:hAnsi="Tahoma" w:cs="Tahoma"/>
          <w:sz w:val="17"/>
          <w:szCs w:val="18"/>
          <w:rtl/>
        </w:rPr>
        <w:softHyphen/>
      </w:r>
      <w:r w:rsidR="00316D38">
        <w:rPr>
          <w:rFonts w:ascii="Tahoma" w:hAnsi="Tahoma" w:cs="Tahoma"/>
          <w:sz w:val="17"/>
          <w:szCs w:val="18"/>
          <w:rtl/>
        </w:rPr>
        <w:softHyphen/>
      </w:r>
    </w:p>
    <w:p w:rsidR="006C5F46" w:rsidRPr="00E077B7" w:rsidP="00E077B7" w14:paraId="268A03C9" w14:textId="71A0E8EC">
      <w:pPr>
        <w:pStyle w:val="NAME"/>
        <w:rPr>
          <w:rtl/>
        </w:rPr>
        <w:sectPr w:rsidSect="00D05191">
          <w:footerReference w:type="even" r:id="rId7"/>
          <w:footerReference w:type="default" r:id="rId8"/>
          <w:headerReference w:type="first" r:id="rId9"/>
          <w:pgSz w:w="11906" w:h="16838" w:code="9"/>
          <w:pgMar w:top="3119" w:right="2268" w:bottom="2268" w:left="2268" w:header="1985" w:footer="709" w:gutter="0"/>
          <w:pgNumType w:start="1"/>
          <w:cols w:space="708"/>
          <w:titlePg/>
          <w:bidi/>
          <w:rtlGutter/>
          <w:docGrid w:linePitch="360"/>
        </w:sectPr>
      </w:pPr>
      <w:r>
        <w:rPr>
          <w:noProof/>
          <w:sz w:val="22"/>
          <w:szCs w:val="22"/>
          <w:rtl/>
          <w:lang w:val="he-IL"/>
        </w:rPr>
        <mc:AlternateContent>
          <mc:Choice Requires="wps">
            <w:drawing>
              <wp:anchor distT="0" distB="0" distL="114300" distR="114300" simplePos="0" relativeHeight="251664384" behindDoc="0" locked="0" layoutInCell="1" allowOverlap="1">
                <wp:simplePos x="0" y="0"/>
                <wp:positionH relativeFrom="column">
                  <wp:posOffset>1585872</wp:posOffset>
                </wp:positionH>
                <wp:positionV relativeFrom="paragraph">
                  <wp:posOffset>1021073</wp:posOffset>
                </wp:positionV>
                <wp:extent cx="0" cy="3720977"/>
                <wp:effectExtent l="25400" t="25400" r="25400" b="26035"/>
                <wp:wrapNone/>
                <wp:docPr id="1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720977"/>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8" style="mso-height-percent:0;mso-height-relative:margin;mso-width-percent:0;mso-width-relative:margin;mso-wrap-distance-bottom:0;mso-wrap-distance-left:9pt;mso-wrap-distance-right:9pt;mso-wrap-distance-top:0;mso-wrap-style:square;position:absolute;visibility:visible;z-index:251665408" from="124.85pt,80.4pt" to="124.85pt,373.4pt" strokecolor="white" strokeweight="4pt">
                <v:stroke endcap="round"/>
              </v:line>
            </w:pict>
          </mc:Fallback>
        </mc:AlternateContent>
      </w:r>
      <w:r w:rsidRPr="00E539EA" w:rsidR="00191BA6">
        <w:rPr>
          <w:noProof/>
          <w:sz w:val="17"/>
          <w:szCs w:val="18"/>
        </w:rPr>
        <mc:AlternateContent>
          <mc:Choice Requires="wps">
            <w:drawing>
              <wp:anchor distT="0" distB="0" distL="114300" distR="114300" simplePos="0" relativeHeight="251669504" behindDoc="0" locked="0" layoutInCell="1" allowOverlap="1">
                <wp:simplePos x="0" y="0"/>
                <wp:positionH relativeFrom="column">
                  <wp:posOffset>1767205</wp:posOffset>
                </wp:positionH>
                <wp:positionV relativeFrom="paragraph">
                  <wp:posOffset>2602865</wp:posOffset>
                </wp:positionV>
                <wp:extent cx="3153410" cy="2560320"/>
                <wp:effectExtent l="0" t="0" r="0" b="0"/>
                <wp:wrapNone/>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53410" cy="2560320"/>
                        </a:xfrm>
                        <a:prstGeom prst="rect">
                          <a:avLst/>
                        </a:prstGeom>
                        <a:noFill/>
                        <a:ln w="9525">
                          <a:noFill/>
                          <a:miter lim="800000"/>
                          <a:headEnd/>
                          <a:tailEnd/>
                        </a:ln>
                      </wps:spPr>
                      <wps:txbx>
                        <w:txbxContent>
                          <w:p w:rsidR="00355057" w:rsidRPr="00950E0A" w:rsidP="00355057" w14:textId="1F6B9960">
                            <w:pPr>
                              <w:bidi w:val="0"/>
                              <w:spacing w:after="0" w:line="240" w:lineRule="auto"/>
                              <w:rPr>
                                <w:rFonts w:asciiTheme="majorBidi" w:hAnsiTheme="majorBidi" w:cstheme="majorBidi"/>
                                <w:b/>
                                <w:bCs/>
                                <w:sz w:val="28"/>
                                <w:szCs w:val="28"/>
                                <w:rtl/>
                              </w:rPr>
                            </w:pPr>
                            <w:r w:rsidRPr="005239E3">
                              <w:rPr>
                                <w:rFonts w:ascii="Tahoma" w:hAnsi="Tahoma" w:cs="Tahoma"/>
                                <w:b/>
                                <w:bCs/>
                                <w:color w:val="FFFFFF" w:themeColor="background1"/>
                                <w:spacing w:val="6"/>
                                <w:sz w:val="40"/>
                                <w:szCs w:val="40"/>
                              </w:rPr>
                              <w:t>Outsourcing of Social Services by the Ministry of Welfare and Social Affairs</w:t>
                            </w:r>
                            <w:r>
                              <w:rPr>
                                <w:rFonts w:ascii="Tahoma" w:hAnsi="Tahoma" w:cs="Tahoma" w:hint="cs"/>
                                <w:b/>
                                <w:bCs/>
                                <w:color w:val="FFFFFF" w:themeColor="background1"/>
                                <w:spacing w:val="6"/>
                                <w:sz w:val="40"/>
                                <w:szCs w:val="40"/>
                                <w:rtl/>
                              </w:rPr>
                              <w:t xml:space="preserve"> </w:t>
                            </w:r>
                          </w:p>
                          <w:p w:rsidR="00E16003" w:rsidRPr="00950E0A" w:rsidP="00E16003" w14:textId="7DF0ECB1">
                            <w:pPr>
                              <w:bidi w:val="0"/>
                              <w:spacing w:after="0" w:line="600" w:lineRule="exact"/>
                              <w:rPr>
                                <w:rFonts w:asciiTheme="majorBidi" w:hAnsiTheme="majorBidi" w:cstheme="majorBidi"/>
                                <w:b/>
                                <w:bCs/>
                                <w:sz w:val="28"/>
                                <w:szCs w:val="28"/>
                                <w:rtl/>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width:248.3pt;height:201.6pt;margin-top:204.95pt;margin-left:139.15pt;mso-height-percent:0;mso-height-relative:margin;mso-width-percent:0;mso-width-relative:margin;mso-wrap-distance-bottom:0;mso-wrap-distance-left:9pt;mso-wrap-distance-right:9pt;mso-wrap-distance-top:0;mso-wrap-style:square;position:absolute;visibility:visible;v-text-anchor:top;z-index:251670528" filled="f" stroked="f">
                <v:textbox>
                  <w:txbxContent>
                    <w:p w:rsidR="00355057" w:rsidRPr="00950E0A" w:rsidP="00355057" w14:paraId="59184F06" w14:textId="1F6B9960">
                      <w:pPr>
                        <w:bidi w:val="0"/>
                        <w:spacing w:after="0" w:line="240" w:lineRule="auto"/>
                        <w:rPr>
                          <w:rFonts w:asciiTheme="majorBidi" w:hAnsiTheme="majorBidi" w:cstheme="majorBidi"/>
                          <w:b/>
                          <w:bCs/>
                          <w:sz w:val="28"/>
                          <w:szCs w:val="28"/>
                          <w:rtl/>
                        </w:rPr>
                      </w:pPr>
                      <w:r w:rsidRPr="005239E3">
                        <w:rPr>
                          <w:rFonts w:ascii="Tahoma" w:hAnsi="Tahoma" w:cs="Tahoma"/>
                          <w:b/>
                          <w:bCs/>
                          <w:color w:val="FFFFFF" w:themeColor="background1"/>
                          <w:spacing w:val="6"/>
                          <w:sz w:val="40"/>
                          <w:szCs w:val="40"/>
                        </w:rPr>
                        <w:t>Outsourcing of Social Services by the Ministry of Welfare and Social Affairs</w:t>
                      </w:r>
                      <w:r>
                        <w:rPr>
                          <w:rFonts w:ascii="Tahoma" w:hAnsi="Tahoma" w:cs="Tahoma" w:hint="cs"/>
                          <w:b/>
                          <w:bCs/>
                          <w:color w:val="FFFFFF" w:themeColor="background1"/>
                          <w:spacing w:val="6"/>
                          <w:sz w:val="40"/>
                          <w:szCs w:val="40"/>
                          <w:rtl/>
                        </w:rPr>
                        <w:t xml:space="preserve"> </w:t>
                      </w:r>
                    </w:p>
                    <w:p w:rsidR="00E16003" w:rsidRPr="00950E0A" w:rsidP="00E16003" w14:paraId="28E63122" w14:textId="7DF0ECB1">
                      <w:pPr>
                        <w:bidi w:val="0"/>
                        <w:spacing w:after="0" w:line="600" w:lineRule="exact"/>
                        <w:rPr>
                          <w:rFonts w:asciiTheme="majorBidi" w:hAnsiTheme="majorBidi" w:cstheme="majorBidi"/>
                          <w:b/>
                          <w:bCs/>
                          <w:sz w:val="28"/>
                          <w:szCs w:val="28"/>
                          <w:rtl/>
                        </w:rPr>
                      </w:pPr>
                    </w:p>
                  </w:txbxContent>
                </v:textbox>
              </v:shape>
            </w:pict>
          </mc:Fallback>
        </mc:AlternateContent>
      </w:r>
      <w:r w:rsidRPr="00E539EA" w:rsidR="00191BA6">
        <w:rPr>
          <w:noProof/>
          <w:sz w:val="17"/>
          <w:szCs w:val="18"/>
        </w:rPr>
        <mc:AlternateContent>
          <mc:Choice Requires="wps">
            <w:drawing>
              <wp:anchor distT="0" distB="0" distL="114300" distR="114300" simplePos="0" relativeHeight="251667456" behindDoc="0" locked="0" layoutInCell="1" allowOverlap="1">
                <wp:simplePos x="0" y="0"/>
                <wp:positionH relativeFrom="column">
                  <wp:posOffset>1775460</wp:posOffset>
                </wp:positionH>
                <wp:positionV relativeFrom="paragraph">
                  <wp:posOffset>2166620</wp:posOffset>
                </wp:positionV>
                <wp:extent cx="3226435" cy="317500"/>
                <wp:effectExtent l="0" t="0" r="0" b="0"/>
                <wp:wrapNone/>
                <wp:docPr id="1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6435" cy="317500"/>
                        </a:xfrm>
                        <a:prstGeom prst="rect">
                          <a:avLst/>
                        </a:prstGeom>
                        <a:noFill/>
                        <a:ln w="9525">
                          <a:noFill/>
                          <a:miter lim="800000"/>
                          <a:headEnd/>
                          <a:tailEnd/>
                        </a:ln>
                      </wps:spPr>
                      <wps:txbx>
                        <w:txbxContent>
                          <w:p w:rsidR="00E16003" w:rsidRPr="005239E3" w:rsidP="004736B8" w14:textId="3B29782C">
                            <w:pPr>
                              <w:bidi w:val="0"/>
                              <w:spacing w:line="276" w:lineRule="auto"/>
                              <w:rPr>
                                <w:rFonts w:ascii="Tahoma" w:hAnsi="Tahoma" w:cs="Tahoma"/>
                                <w:color w:val="FFFFFF" w:themeColor="background1"/>
                                <w:spacing w:val="6"/>
                                <w:sz w:val="28"/>
                                <w:szCs w:val="28"/>
                                <w:rtl/>
                                <w:lang w:val="en"/>
                              </w:rPr>
                            </w:pPr>
                            <w:r w:rsidRPr="005239E3">
                              <w:rPr>
                                <w:rFonts w:ascii="Tahoma" w:hAnsi="Tahoma" w:cs="Tahoma"/>
                                <w:color w:val="FFFFFF" w:themeColor="background1"/>
                                <w:sz w:val="28"/>
                                <w:szCs w:val="28"/>
                                <w:lang w:val="en"/>
                              </w:rPr>
                              <w:t>Ministry of Welfare and Social Affairs</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254.05pt;height:25pt;margin-top:170.6pt;margin-left:139.8pt;mso-height-percent:0;mso-height-relative:margin;mso-width-percent:0;mso-width-relative:margin;mso-wrap-distance-bottom:0;mso-wrap-distance-left:9pt;mso-wrap-distance-right:9pt;mso-wrap-distance-top:0;mso-wrap-style:square;position:absolute;visibility:visible;v-text-anchor:top;z-index:251668480" filled="f" stroked="f">
                <v:textbox>
                  <w:txbxContent>
                    <w:p w:rsidR="00E16003" w:rsidRPr="005239E3" w:rsidP="004736B8" w14:paraId="5EE59732" w14:textId="3B29782C">
                      <w:pPr>
                        <w:bidi w:val="0"/>
                        <w:spacing w:line="276" w:lineRule="auto"/>
                        <w:rPr>
                          <w:rFonts w:ascii="Tahoma" w:hAnsi="Tahoma" w:cs="Tahoma"/>
                          <w:color w:val="FFFFFF" w:themeColor="background1"/>
                          <w:spacing w:val="6"/>
                          <w:sz w:val="28"/>
                          <w:szCs w:val="28"/>
                          <w:rtl/>
                          <w:lang w:val="en"/>
                        </w:rPr>
                      </w:pPr>
                      <w:r w:rsidRPr="005239E3">
                        <w:rPr>
                          <w:rFonts w:ascii="Tahoma" w:hAnsi="Tahoma" w:cs="Tahoma"/>
                          <w:color w:val="FFFFFF" w:themeColor="background1"/>
                          <w:sz w:val="28"/>
                          <w:szCs w:val="28"/>
                          <w:lang w:val="en"/>
                        </w:rPr>
                        <w:t>Ministry of Welfare and Social Affairs</w:t>
                      </w:r>
                    </w:p>
                  </w:txbxContent>
                </v:textbox>
              </v:shape>
            </w:pict>
          </mc:Fallback>
        </mc:AlternateContent>
      </w:r>
      <w:r w:rsidR="00191BA6">
        <w:rPr>
          <w:noProof/>
          <w:sz w:val="22"/>
          <w:szCs w:val="22"/>
          <w:rtl/>
          <w:lang w:val="he-IL"/>
        </w:rPr>
        <mc:AlternateContent>
          <mc:Choice Requires="wps">
            <w:drawing>
              <wp:anchor distT="0" distB="0" distL="114300" distR="114300" simplePos="0" relativeHeight="251675648" behindDoc="0" locked="0" layoutInCell="1" allowOverlap="1">
                <wp:simplePos x="0" y="0"/>
                <wp:positionH relativeFrom="column">
                  <wp:posOffset>1849755</wp:posOffset>
                </wp:positionH>
                <wp:positionV relativeFrom="paragraph">
                  <wp:posOffset>2554070</wp:posOffset>
                </wp:positionV>
                <wp:extent cx="3074670" cy="0"/>
                <wp:effectExtent l="12700" t="12700" r="24130" b="12700"/>
                <wp:wrapNone/>
                <wp:docPr id="24"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307467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1" style="flip:x y;mso-height-percent:0;mso-height-relative:margin;mso-width-percent:0;mso-width-relative:margin;mso-wrap-distance-bottom:0;mso-wrap-distance-left:9pt;mso-wrap-distance-right:9pt;mso-wrap-distance-top:0;mso-wrap-style:square;position:absolute;visibility:visible;z-index:251676672" from="145.65pt,201.1pt" to="387.75pt,201.1pt" strokecolor="white" strokeweight="1.5pt">
                <v:stroke endcap="round"/>
              </v:line>
            </w:pict>
          </mc:Fallback>
        </mc:AlternateContent>
      </w:r>
      <w:r w:rsidRPr="00E539EA" w:rsidR="00191BA6">
        <w:rPr>
          <w:noProof/>
          <w:sz w:val="17"/>
          <w:szCs w:val="18"/>
        </w:rPr>
        <mc:AlternateContent>
          <mc:Choice Requires="wps">
            <w:drawing>
              <wp:anchor distT="0" distB="0" distL="114300" distR="114300" simplePos="0" relativeHeight="251671552" behindDoc="0" locked="0" layoutInCell="1" allowOverlap="1">
                <wp:simplePos x="0" y="0"/>
                <wp:positionH relativeFrom="column">
                  <wp:posOffset>1774658</wp:posOffset>
                </wp:positionH>
                <wp:positionV relativeFrom="paragraph">
                  <wp:posOffset>1371434</wp:posOffset>
                </wp:positionV>
                <wp:extent cx="3226435" cy="231006"/>
                <wp:effectExtent l="0" t="0" r="0" b="0"/>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6435" cy="231006"/>
                        </a:xfrm>
                        <a:prstGeom prst="rect">
                          <a:avLst/>
                        </a:prstGeom>
                        <a:noFill/>
                        <a:ln w="9525">
                          <a:noFill/>
                          <a:miter lim="800000"/>
                          <a:headEnd/>
                          <a:tailEnd/>
                        </a:ln>
                      </wps:spPr>
                      <wps:txbx>
                        <w:txbxContent>
                          <w:p w:rsidR="00E16003" w:rsidRPr="00CE2FA5" w:rsidP="00D546FF" w14:textId="53D95739">
                            <w:pPr>
                              <w:bidi w:val="0"/>
                              <w:rPr>
                                <w:rFonts w:ascii="Tahoma" w:hAnsi="Tahoma" w:cs="Tahoma"/>
                                <w:color w:val="FFFFFF" w:themeColor="background1"/>
                                <w:spacing w:val="6"/>
                                <w:sz w:val="17"/>
                                <w:szCs w:val="17"/>
                              </w:rPr>
                            </w:pPr>
                            <w:r w:rsidRPr="00DB54AF">
                              <w:rPr>
                                <w:rFonts w:ascii="Tahoma" w:hAnsi="Tahoma" w:cs="Tahoma"/>
                                <w:color w:val="FFFFFF" w:themeColor="background1"/>
                                <w:spacing w:val="6"/>
                                <w:sz w:val="17"/>
                                <w:szCs w:val="17"/>
                              </w:rPr>
                              <w:t>Report of the State Comptroller of Israel</w:t>
                            </w:r>
                            <w:r w:rsidR="009F49AD">
                              <w:rPr>
                                <w:rFonts w:ascii="Tahoma" w:hAnsi="Tahoma" w:cs="Tahoma" w:hint="cs"/>
                                <w:color w:val="FFFFFF" w:themeColor="background1"/>
                                <w:spacing w:val="6"/>
                                <w:sz w:val="17"/>
                                <w:szCs w:val="17"/>
                                <w:rtl/>
                              </w:rPr>
                              <w:t xml:space="preserve"> </w:t>
                            </w:r>
                            <w:r w:rsidRPr="00DB54AF">
                              <w:rPr>
                                <w:rFonts w:ascii="Tahoma" w:hAnsi="Tahoma" w:cs="Tahoma"/>
                                <w:color w:val="FFFFFF" w:themeColor="background1"/>
                                <w:spacing w:val="6"/>
                                <w:sz w:val="17"/>
                                <w:szCs w:val="17"/>
                              </w:rPr>
                              <w:t xml:space="preserve">| </w:t>
                            </w:r>
                            <w:r w:rsidRPr="0077600F" w:rsidR="0077600F">
                              <w:rPr>
                                <w:rFonts w:ascii="Tahoma" w:hAnsi="Tahoma" w:cs="Tahoma"/>
                                <w:color w:val="FFFFFF" w:themeColor="background1"/>
                                <w:spacing w:val="6"/>
                                <w:sz w:val="17"/>
                                <w:szCs w:val="17"/>
                              </w:rPr>
                              <w:t>July</w:t>
                            </w:r>
                            <w:r w:rsidR="0077600F">
                              <w:rPr>
                                <w:rFonts w:ascii="Tahoma" w:hAnsi="Tahoma" w:cs="Tahoma"/>
                                <w:color w:val="FFFFFF" w:themeColor="background1"/>
                                <w:spacing w:val="6"/>
                                <w:sz w:val="17"/>
                                <w:szCs w:val="17"/>
                              </w:rPr>
                              <w:t xml:space="preserve"> </w:t>
                            </w:r>
                            <w:r w:rsidRPr="00DB54AF">
                              <w:rPr>
                                <w:rFonts w:ascii="Tahoma" w:hAnsi="Tahoma" w:cs="Tahoma"/>
                                <w:color w:val="FFFFFF" w:themeColor="background1"/>
                                <w:spacing w:val="6"/>
                                <w:sz w:val="17"/>
                                <w:szCs w:val="17"/>
                              </w:rPr>
                              <w:t>2024</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254.05pt;height:18.2pt;margin-top:108pt;margin-left:139.75pt;mso-height-percent:0;mso-height-relative:margin;mso-width-percent:0;mso-width-relative:margin;mso-wrap-distance-bottom:0;mso-wrap-distance-left:9pt;mso-wrap-distance-right:9pt;mso-wrap-distance-top:0;mso-wrap-style:square;position:absolute;visibility:visible;v-text-anchor:top;z-index:251672576" filled="f" stroked="f">
                <v:textbox>
                  <w:txbxContent>
                    <w:p w:rsidR="00E16003" w:rsidRPr="00CE2FA5" w:rsidP="00D546FF" w14:paraId="5156A4BB" w14:textId="53D95739">
                      <w:pPr>
                        <w:bidi w:val="0"/>
                        <w:rPr>
                          <w:rFonts w:ascii="Tahoma" w:hAnsi="Tahoma" w:cs="Tahoma"/>
                          <w:color w:val="FFFFFF" w:themeColor="background1"/>
                          <w:spacing w:val="6"/>
                          <w:sz w:val="17"/>
                          <w:szCs w:val="17"/>
                        </w:rPr>
                      </w:pPr>
                      <w:r w:rsidRPr="00DB54AF">
                        <w:rPr>
                          <w:rFonts w:ascii="Tahoma" w:hAnsi="Tahoma" w:cs="Tahoma"/>
                          <w:color w:val="FFFFFF" w:themeColor="background1"/>
                          <w:spacing w:val="6"/>
                          <w:sz w:val="17"/>
                          <w:szCs w:val="17"/>
                        </w:rPr>
                        <w:t>Report of the State Comptroller of Israel</w:t>
                      </w:r>
                      <w:r w:rsidR="009F49AD">
                        <w:rPr>
                          <w:rFonts w:ascii="Tahoma" w:hAnsi="Tahoma" w:cs="Tahoma" w:hint="cs"/>
                          <w:color w:val="FFFFFF" w:themeColor="background1"/>
                          <w:spacing w:val="6"/>
                          <w:sz w:val="17"/>
                          <w:szCs w:val="17"/>
                          <w:rtl/>
                        </w:rPr>
                        <w:t xml:space="preserve"> </w:t>
                      </w:r>
                      <w:r w:rsidRPr="00DB54AF">
                        <w:rPr>
                          <w:rFonts w:ascii="Tahoma" w:hAnsi="Tahoma" w:cs="Tahoma"/>
                          <w:color w:val="FFFFFF" w:themeColor="background1"/>
                          <w:spacing w:val="6"/>
                          <w:sz w:val="17"/>
                          <w:szCs w:val="17"/>
                        </w:rPr>
                        <w:t xml:space="preserve">| </w:t>
                      </w:r>
                      <w:r w:rsidRPr="0077600F" w:rsidR="0077600F">
                        <w:rPr>
                          <w:rFonts w:ascii="Tahoma" w:hAnsi="Tahoma" w:cs="Tahoma"/>
                          <w:color w:val="FFFFFF" w:themeColor="background1"/>
                          <w:spacing w:val="6"/>
                          <w:sz w:val="17"/>
                          <w:szCs w:val="17"/>
                        </w:rPr>
                        <w:t>July</w:t>
                      </w:r>
                      <w:r w:rsidR="0077600F">
                        <w:rPr>
                          <w:rFonts w:ascii="Tahoma" w:hAnsi="Tahoma" w:cs="Tahoma"/>
                          <w:color w:val="FFFFFF" w:themeColor="background1"/>
                          <w:spacing w:val="6"/>
                          <w:sz w:val="17"/>
                          <w:szCs w:val="17"/>
                        </w:rPr>
                        <w:t xml:space="preserve"> </w:t>
                      </w:r>
                      <w:r w:rsidRPr="00DB54AF">
                        <w:rPr>
                          <w:rFonts w:ascii="Tahoma" w:hAnsi="Tahoma" w:cs="Tahoma"/>
                          <w:color w:val="FFFFFF" w:themeColor="background1"/>
                          <w:spacing w:val="6"/>
                          <w:sz w:val="17"/>
                          <w:szCs w:val="17"/>
                        </w:rPr>
                        <w:t>2024</w:t>
                      </w:r>
                    </w:p>
                  </w:txbxContent>
                </v:textbox>
              </v:shape>
            </w:pict>
          </mc:Fallback>
        </mc:AlternateContent>
      </w:r>
      <w:r w:rsidR="00B650F8">
        <w:rPr>
          <w:noProof/>
          <w:sz w:val="22"/>
          <w:szCs w:val="22"/>
          <w:rtl/>
          <w:lang w:val="he-IL"/>
        </w:rPr>
        <w:drawing>
          <wp:anchor distT="0" distB="0" distL="114300" distR="114300" simplePos="0" relativeHeight="251666432" behindDoc="0" locked="0" layoutInCell="1" allowOverlap="1">
            <wp:simplePos x="0" y="0"/>
            <wp:positionH relativeFrom="column">
              <wp:posOffset>471805</wp:posOffset>
            </wp:positionH>
            <wp:positionV relativeFrom="paragraph">
              <wp:posOffset>1159510</wp:posOffset>
            </wp:positionV>
            <wp:extent cx="1010285" cy="707390"/>
            <wp:effectExtent l="0" t="0" r="0" b="0"/>
            <wp:wrapSquare wrapText="bothSides"/>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0"/>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Pr>
          <w:noProof/>
          <w:sz w:val="22"/>
          <w:szCs w:val="22"/>
          <w:rtl/>
          <w:lang w:val="he-IL"/>
        </w:rPr>
        <mc:AlternateContent>
          <mc:Choice Requires="wps">
            <w:drawing>
              <wp:anchor distT="0" distB="0" distL="114300" distR="114300" simplePos="0" relativeHeight="251662336" behindDoc="0" locked="0" layoutInCell="1" allowOverlap="1">
                <wp:simplePos x="0" y="0"/>
                <wp:positionH relativeFrom="column">
                  <wp:posOffset>8342613</wp:posOffset>
                </wp:positionH>
                <wp:positionV relativeFrom="paragraph">
                  <wp:posOffset>748665</wp:posOffset>
                </wp:positionV>
                <wp:extent cx="0" cy="3448050"/>
                <wp:effectExtent l="25400" t="25400" r="25400" b="31750"/>
                <wp:wrapNone/>
                <wp:docPr id="13"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44805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33" style="mso-height-percent:0;mso-height-relative:margin;mso-wrap-distance-bottom:0;mso-wrap-distance-left:9pt;mso-wrap-distance-right:9pt;mso-wrap-distance-top:0;mso-wrap-style:square;position:absolute;visibility:visible;z-index:251663360" from="656.9pt,58.95pt" to="656.9pt,330.45pt" strokecolor="white" strokeweight="4pt">
                <v:stroke endcap="round"/>
              </v:line>
            </w:pict>
          </mc:Fallback>
        </mc:AlternateContent>
      </w:r>
    </w:p>
    <w:p w:rsidR="00F1368B" w:rsidRPr="00590929" w:rsidP="003323CD" w14:paraId="17C00A18" w14:textId="77777777">
      <w:pPr>
        <w:spacing w:line="240" w:lineRule="exact"/>
        <w:jc w:val="both"/>
        <w:rPr>
          <w:rFonts w:ascii="Tahoma" w:hAnsi="Tahoma" w:cs="Tahoma"/>
          <w:sz w:val="17"/>
          <w:szCs w:val="18"/>
          <w:rtl/>
        </w:rPr>
      </w:pPr>
    </w:p>
    <w:p w:rsidR="00327FBF" w:rsidRPr="0010599F" w:rsidP="003323CD" w14:paraId="3D4FE68D" w14:textId="77777777">
      <w:pPr>
        <w:spacing w:line="240" w:lineRule="exact"/>
        <w:jc w:val="both"/>
        <w:rPr>
          <w:rFonts w:ascii="Tahoma" w:hAnsi="Tahoma" w:cs="Tahoma"/>
          <w:sz w:val="17"/>
          <w:szCs w:val="17"/>
          <w:rtl/>
        </w:rPr>
        <w:sectPr w:rsidSect="00D05191">
          <w:headerReference w:type="even" r:id="rId11"/>
          <w:headerReference w:type="default" r:id="rId12"/>
          <w:headerReference w:type="first" r:id="rId13"/>
          <w:pgSz w:w="11906" w:h="16838" w:code="9"/>
          <w:pgMar w:top="3119" w:right="2268" w:bottom="2268" w:left="2268" w:header="1871" w:footer="709" w:gutter="0"/>
          <w:pgNumType w:start="2"/>
          <w:cols w:space="708"/>
          <w:titlePg/>
          <w:bidi/>
          <w:rtlGutter/>
          <w:docGrid w:linePitch="360"/>
        </w:sectPr>
      </w:pPr>
    </w:p>
    <w:bookmarkEnd w:id="0"/>
    <w:bookmarkEnd w:id="1"/>
    <w:bookmarkEnd w:id="2"/>
    <w:bookmarkEnd w:id="3"/>
    <w:bookmarkEnd w:id="4"/>
    <w:p w:rsidR="001D65CE" w:rsidRPr="00F052AC" w:rsidP="00191BA6" w14:paraId="647EBF7B" w14:textId="40CB36A1">
      <w:pPr>
        <w:pStyle w:val="7120"/>
        <w:bidi w:val="0"/>
        <w:spacing w:before="0" w:after="960"/>
        <w:ind w:right="-142"/>
        <w:rPr>
          <w:rFonts w:eastAsiaTheme="majorEastAsia"/>
          <w:sz w:val="34"/>
          <w:rtl/>
        </w:rPr>
      </w:pPr>
      <w:r>
        <w:rPr>
          <w:rFonts w:eastAsiaTheme="majorEastAsia" w:hint="cs"/>
          <w:noProof/>
          <w:sz w:val="34"/>
        </w:rPr>
        <mc:AlternateContent>
          <mc:Choice Requires="wps">
            <w:drawing>
              <wp:anchor distT="0" distB="0" distL="114300" distR="114300" simplePos="0" relativeHeight="251677696" behindDoc="0" locked="0" layoutInCell="1" allowOverlap="1">
                <wp:simplePos x="0" y="0"/>
                <wp:positionH relativeFrom="column">
                  <wp:posOffset>5069205</wp:posOffset>
                </wp:positionH>
                <wp:positionV relativeFrom="paragraph">
                  <wp:posOffset>199256</wp:posOffset>
                </wp:positionV>
                <wp:extent cx="192405" cy="6086475"/>
                <wp:effectExtent l="0" t="0" r="0" b="0"/>
                <wp:wrapNone/>
                <wp:docPr id="31" name="מלבן 31"/>
                <wp:cNvGraphicFramePr/>
                <a:graphic xmlns:a="http://schemas.openxmlformats.org/drawingml/2006/main">
                  <a:graphicData uri="http://schemas.microsoft.com/office/word/2010/wordprocessingShape">
                    <wps:wsp xmlns:wps="http://schemas.microsoft.com/office/word/2010/wordprocessingShape">
                      <wps:cNvSpPr/>
                      <wps:spPr>
                        <a:xfrm>
                          <a:off x="0" y="0"/>
                          <a:ext cx="192405" cy="6086475"/>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מלבן 31" o:spid="_x0000_s1034" style="width:15.15pt;height:479.25pt;margin-top:15.7pt;margin-left:399.15pt;mso-height-percent:0;mso-height-relative:margin;mso-width-percent:0;mso-width-relative:margin;mso-wrap-distance-bottom:0;mso-wrap-distance-left:9pt;mso-wrap-distance-right:9pt;mso-wrap-distance-top:0;mso-wrap-style:square;position:absolute;visibility:visible;v-text-anchor:middle;z-index:251678720" fillcolor="#00305f" stroked="f" strokeweight="1.5pt">
                <v:stroke endcap="round"/>
              </v:rect>
            </w:pict>
          </mc:Fallback>
        </mc:AlternateContent>
      </w:r>
      <w:r w:rsidRPr="005239E3" w:rsidR="005239E3">
        <w:rPr>
          <w:rFonts w:eastAsiaTheme="majorEastAsia"/>
          <w:noProof/>
          <w:sz w:val="34"/>
        </w:rPr>
        <w:t>Outsourcing of Social Services by the Ministry of Welfare and Social Affairs</w:t>
      </w:r>
      <w:r w:rsidRPr="00D12832" w:rsidR="00D12832">
        <w:rPr>
          <w:rFonts w:eastAsiaTheme="majorEastAsia"/>
          <w:noProof/>
          <w:sz w:val="34"/>
        </w:rPr>
        <w:t xml:space="preserve"> </w:t>
      </w:r>
    </w:p>
    <w:p w:rsidR="00605DF2" w:rsidP="00BB1479" w14:paraId="55A1FDE5" w14:textId="335E4CD7">
      <w:pPr>
        <w:bidi w:val="0"/>
        <w:spacing w:before="360" w:after="240" w:line="240" w:lineRule="atLeast"/>
        <w:jc w:val="both"/>
        <w:rPr>
          <w:rFonts w:ascii="Tahoma" w:hAnsi="Tahoma" w:cs="Tahoma"/>
          <w:color w:val="0D0D0D" w:themeColor="text1" w:themeTint="F2"/>
          <w:sz w:val="24"/>
          <w:szCs w:val="18"/>
          <w:rtl/>
        </w:rPr>
      </w:pPr>
      <w:r>
        <w:rPr>
          <w:rFonts w:ascii="Tahoma" w:hAnsi="Tahoma" w:cs="Tahoma"/>
          <w:noProof/>
          <w:color w:val="0D0D0D" w:themeColor="text1" w:themeTint="F2"/>
          <w:sz w:val="24"/>
          <w:szCs w:val="18"/>
          <w:rtl/>
        </w:rPr>
        <w:drawing>
          <wp:inline distT="0" distB="0" distL="0" distR="0">
            <wp:extent cx="1335027" cy="320919"/>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35027" cy="320919"/>
                    </a:xfrm>
                    <a:prstGeom prst="rect">
                      <a:avLst/>
                    </a:prstGeom>
                  </pic:spPr>
                </pic:pic>
              </a:graphicData>
            </a:graphic>
          </wp:inline>
        </w:drawing>
      </w:r>
    </w:p>
    <w:p w:rsidR="005239E3" w:rsidRPr="00CA64B8" w:rsidP="005239E3" w14:paraId="095D3FCE" w14:textId="77777777">
      <w:pPr>
        <w:pStyle w:val="719"/>
        <w:bidi w:val="0"/>
      </w:pPr>
      <w:r w:rsidRPr="00CA64B8">
        <w:t>An outsourced social service refers to an educational or treatment service purchased by the government and provided by external operators – private companies or non-profit organizations. These services are financed fully or partially by the government, which holds responsibility for their provision, regulation, and supervision (social procurement). The personal welfare services provided by the Ministry of Welfare and Social Affairs (Ministry of Welfare) encompass outsourced social services, categorized into two primary types: community services, where recipients do not reside at the service location (frameworks for at-risk children), and out-of-home services, provided in settings where recipients live permanently or temporarily outside their homes (residences for persons with disabilities). Local authorities are responsible for the provision of the community services, while the Ministry of Welfare is responsible for the provision of out-of-home services, including the selection of suppliers through social procurement tenders.</w:t>
      </w:r>
    </w:p>
    <w:p w:rsidR="005239E3" w:rsidRPr="00CA64B8" w:rsidP="005239E3" w14:paraId="59657D54" w14:textId="77777777">
      <w:pPr>
        <w:pStyle w:val="719"/>
        <w:bidi w:val="0"/>
      </w:pPr>
      <w:r w:rsidRPr="00CA64B8">
        <w:t>This report focuses on the procurement of out-of-home social services by the Ministry of Welfare within the Disability Administration, the Social and Personal Services Administration (SPSA), and the Rehabilitation, Support and Prevention Administration (RSPA). The significance of procurement in this domain is underscored by its financial implications; in 2022, the Ministry of Welfare expended about NIS 3.5 billion on outsourcing within these administrations, at about 36% of the Ministry's total budget for that year. The Ministry operates out-of-home services through selected bidders from tenders, with 254 external operators providing these outsourced welfare services in 2022.</w:t>
      </w:r>
    </w:p>
    <w:p w:rsidR="002A18A0" w:rsidRPr="001D0B8C" w:rsidP="005239E3" w14:paraId="446009E0" w14:textId="2585E1E6">
      <w:pPr>
        <w:pStyle w:val="719"/>
        <w:bidi w:val="0"/>
        <w:spacing w:after="360"/>
      </w:pPr>
      <w:r w:rsidRPr="00CA64B8">
        <w:t>Outsourcing welfare services presents several advantages, such as enhancing service quality, accessibility, and availability. However, it also poses challenges, including limitations on supervision and enforcement capabilities, as well as a lack of expertise in tender management. Furthermore, there exists a concern regarding "regulatory captivity", which refers to the significant dependence of regulators on service operators, potentially leading to biased decision-making favoring the operators and challenges in directing their activities. The extent to which these challenges manifest in the outsourcing of social services is heavily influenced by the actions of the Ministry of Welfare in its capacity as the regulator of social procurement</w:t>
      </w:r>
      <w:r w:rsidRPr="001D0B8C">
        <w:t>.</w:t>
      </w:r>
    </w:p>
    <w:p w:rsidR="00C50F58" w14:paraId="732E4F63" w14:textId="601C6591">
      <w:pPr>
        <w:bidi w:val="0"/>
        <w:rPr>
          <w:rFonts w:ascii="Tahoma" w:hAnsi="Tahoma" w:eastAsiaTheme="minorHAnsi" w:cs="Tahoma"/>
          <w:color w:val="0D0D0D" w:themeColor="text1" w:themeTint="F2"/>
          <w:sz w:val="18"/>
          <w:szCs w:val="18"/>
        </w:rPr>
      </w:pPr>
      <w:r>
        <w:br w:type="page"/>
      </w:r>
    </w:p>
    <w:p w:rsidR="008A5E62" w:rsidRPr="00DA3862" w:rsidP="003E0EAA" w14:paraId="498BB033" w14:textId="0375C781">
      <w:pPr>
        <w:bidi w:val="0"/>
        <w:spacing w:before="240" w:after="180" w:line="240" w:lineRule="atLeast"/>
        <w:jc w:val="both"/>
        <w:rPr>
          <w:rtl/>
        </w:rPr>
      </w:pPr>
      <w:r>
        <w:rPr>
          <w:noProof/>
          <w:rtl/>
        </w:rPr>
        <w:drawing>
          <wp:inline distT="0" distB="0" distL="0" distR="0">
            <wp:extent cx="1328928" cy="319454"/>
            <wp:effectExtent l="0" t="0" r="508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28928" cy="319454"/>
                    </a:xfrm>
                    <a:prstGeom prst="rect">
                      <a:avLst/>
                    </a:prstGeom>
                  </pic:spPr>
                </pic:pic>
              </a:graphicData>
            </a:graphic>
          </wp:inline>
        </w:drawing>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1709"/>
        <w:gridCol w:w="210"/>
        <w:gridCol w:w="1677"/>
        <w:gridCol w:w="209"/>
        <w:gridCol w:w="1679"/>
        <w:gridCol w:w="209"/>
        <w:gridCol w:w="1677"/>
      </w:tblGrid>
      <w:tr w14:paraId="5198069E" w14:textId="79DE7FA0" w:rsidTr="002A18A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Ex>
        <w:tc>
          <w:tcPr>
            <w:tcW w:w="1159" w:type="pct"/>
            <w:tcBorders>
              <w:bottom w:val="single" w:sz="8" w:space="0" w:color="auto"/>
            </w:tcBorders>
            <w:vAlign w:val="bottom"/>
          </w:tcPr>
          <w:p w:rsidR="005239E3" w:rsidRPr="005239E3" w:rsidP="005239E3" w14:paraId="1FB37F5E" w14:textId="5C782FE6">
            <w:pPr>
              <w:bidi w:val="0"/>
              <w:spacing w:after="60" w:line="240" w:lineRule="auto"/>
              <w:rPr>
                <w:rFonts w:ascii="Tahoma" w:hAnsi="Tahoma" w:cs="Tahoma"/>
                <w:b/>
                <w:bCs/>
                <w:color w:val="0D0D0D" w:themeColor="text1" w:themeTint="F2"/>
                <w:sz w:val="26"/>
                <w:szCs w:val="26"/>
                <w:rtl/>
              </w:rPr>
            </w:pPr>
            <w:r w:rsidRPr="005239E3">
              <w:rPr>
                <w:rFonts w:ascii="Tahoma" w:hAnsi="Tahoma" w:cs="Tahoma"/>
                <w:b/>
                <w:bCs/>
                <w:sz w:val="26"/>
                <w:szCs w:val="26"/>
              </w:rPr>
              <w:t xml:space="preserve">NIS </w:t>
            </w:r>
            <w:r w:rsidRPr="005239E3">
              <w:rPr>
                <w:rFonts w:ascii="Tahoma" w:hAnsi="Tahoma" w:cs="Tahoma"/>
                <w:b/>
                <w:bCs/>
                <w:sz w:val="36"/>
                <w:szCs w:val="36"/>
              </w:rPr>
              <w:t>3.5</w:t>
            </w:r>
            <w:r w:rsidRPr="005239E3">
              <w:rPr>
                <w:rFonts w:ascii="Tahoma" w:hAnsi="Tahoma" w:cs="Tahoma"/>
                <w:b/>
                <w:bCs/>
                <w:sz w:val="26"/>
                <w:szCs w:val="26"/>
              </w:rPr>
              <w:t xml:space="preserve"> billion</w:t>
            </w:r>
          </w:p>
        </w:tc>
        <w:tc>
          <w:tcPr>
            <w:tcW w:w="142" w:type="pct"/>
            <w:vAlign w:val="bottom"/>
          </w:tcPr>
          <w:p w:rsidR="005239E3" w:rsidRPr="005239E3" w:rsidP="005239E3" w14:paraId="4429F28B" w14:textId="77777777">
            <w:pPr>
              <w:bidi w:val="0"/>
              <w:spacing w:after="60" w:line="240" w:lineRule="auto"/>
              <w:rPr>
                <w:rFonts w:ascii="Tahoma" w:hAnsi="Tahoma" w:cs="Tahoma"/>
                <w:b/>
                <w:bCs/>
                <w:color w:val="0D0D0D" w:themeColor="text1" w:themeTint="F2"/>
                <w:sz w:val="26"/>
                <w:szCs w:val="26"/>
              </w:rPr>
            </w:pPr>
          </w:p>
        </w:tc>
        <w:tc>
          <w:tcPr>
            <w:tcW w:w="1138" w:type="pct"/>
            <w:tcBorders>
              <w:bottom w:val="single" w:sz="8" w:space="0" w:color="auto"/>
            </w:tcBorders>
            <w:vAlign w:val="bottom"/>
          </w:tcPr>
          <w:p w:rsidR="005239E3" w:rsidRPr="005239E3" w:rsidP="005239E3" w14:paraId="018C23DE" w14:textId="57289F5D">
            <w:pPr>
              <w:bidi w:val="0"/>
              <w:spacing w:after="60" w:line="240" w:lineRule="auto"/>
              <w:rPr>
                <w:rFonts w:ascii="Tahoma" w:hAnsi="Tahoma" w:cs="Tahoma"/>
                <w:b/>
                <w:bCs/>
                <w:color w:val="0D0D0D" w:themeColor="text1" w:themeTint="F2"/>
                <w:sz w:val="26"/>
                <w:szCs w:val="26"/>
                <w:rtl/>
              </w:rPr>
            </w:pPr>
            <w:r w:rsidRPr="005239E3">
              <w:rPr>
                <w:rFonts w:ascii="Tahoma" w:hAnsi="Tahoma" w:cs="Tahoma"/>
                <w:b/>
                <w:bCs/>
                <w:sz w:val="36"/>
                <w:szCs w:val="36"/>
                <w:rtl/>
              </w:rPr>
              <w:t>2</w:t>
            </w:r>
            <w:r w:rsidRPr="005239E3">
              <w:rPr>
                <w:rFonts w:ascii="Tahoma" w:hAnsi="Tahoma" w:cs="Tahoma"/>
                <w:b/>
                <w:bCs/>
                <w:sz w:val="36"/>
                <w:szCs w:val="36"/>
              </w:rPr>
              <w:t>.5</w:t>
            </w:r>
            <w:r w:rsidRPr="005239E3">
              <w:rPr>
                <w:rFonts w:ascii="Tahoma" w:hAnsi="Tahoma" w:cs="Tahoma"/>
                <w:b/>
                <w:bCs/>
                <w:sz w:val="26"/>
                <w:szCs w:val="26"/>
              </w:rPr>
              <w:t xml:space="preserve"> times</w:t>
            </w:r>
          </w:p>
        </w:tc>
        <w:tc>
          <w:tcPr>
            <w:tcW w:w="142" w:type="pct"/>
            <w:vAlign w:val="bottom"/>
          </w:tcPr>
          <w:p w:rsidR="005239E3" w:rsidRPr="005239E3" w:rsidP="005239E3" w14:paraId="78489ABE" w14:textId="77777777">
            <w:pPr>
              <w:bidi w:val="0"/>
              <w:spacing w:after="60" w:line="240" w:lineRule="auto"/>
              <w:rPr>
                <w:rFonts w:ascii="Tahoma" w:hAnsi="Tahoma" w:cs="Tahoma"/>
                <w:b/>
                <w:bCs/>
                <w:color w:val="0D0D0D" w:themeColor="text1" w:themeTint="F2"/>
                <w:sz w:val="26"/>
                <w:szCs w:val="26"/>
              </w:rPr>
            </w:pPr>
          </w:p>
        </w:tc>
        <w:tc>
          <w:tcPr>
            <w:tcW w:w="1139" w:type="pct"/>
            <w:tcBorders>
              <w:bottom w:val="single" w:sz="8" w:space="0" w:color="000000"/>
            </w:tcBorders>
            <w:vAlign w:val="bottom"/>
          </w:tcPr>
          <w:p w:rsidR="005239E3" w:rsidRPr="005239E3" w:rsidP="005239E3" w14:paraId="1465537A" w14:textId="7CB57402">
            <w:pPr>
              <w:bidi w:val="0"/>
              <w:spacing w:after="60" w:line="240" w:lineRule="auto"/>
              <w:rPr>
                <w:rFonts w:ascii="Tahoma" w:hAnsi="Tahoma" w:cs="Tahoma"/>
                <w:b/>
                <w:bCs/>
                <w:color w:val="0D0D0D" w:themeColor="text1" w:themeTint="F2"/>
                <w:sz w:val="26"/>
                <w:szCs w:val="26"/>
              </w:rPr>
            </w:pPr>
            <w:r w:rsidRPr="005239E3">
              <w:rPr>
                <w:rFonts w:ascii="Tahoma" w:hAnsi="Tahoma" w:cs="Tahoma"/>
                <w:b/>
                <w:bCs/>
                <w:sz w:val="26"/>
                <w:szCs w:val="26"/>
              </w:rPr>
              <w:t xml:space="preserve">over </w:t>
            </w:r>
            <w:r w:rsidRPr="005239E3">
              <w:rPr>
                <w:rFonts w:ascii="Tahoma" w:hAnsi="Tahoma" w:cs="Tahoma"/>
                <w:b/>
                <w:bCs/>
                <w:sz w:val="36"/>
                <w:szCs w:val="36"/>
              </w:rPr>
              <w:t>200%</w:t>
            </w:r>
          </w:p>
        </w:tc>
        <w:tc>
          <w:tcPr>
            <w:tcW w:w="142" w:type="pct"/>
            <w:vAlign w:val="bottom"/>
          </w:tcPr>
          <w:p w:rsidR="005239E3" w:rsidRPr="005239E3" w:rsidP="005239E3" w14:paraId="67D30B0B" w14:textId="77777777">
            <w:pPr>
              <w:bidi w:val="0"/>
              <w:spacing w:after="60" w:line="240" w:lineRule="auto"/>
              <w:rPr>
                <w:rFonts w:ascii="Tahoma" w:hAnsi="Tahoma" w:cs="Tahoma"/>
                <w:b/>
                <w:bCs/>
                <w:color w:val="0D0D0D" w:themeColor="text1" w:themeTint="F2"/>
                <w:sz w:val="26"/>
                <w:szCs w:val="26"/>
                <w:rtl/>
              </w:rPr>
            </w:pPr>
          </w:p>
        </w:tc>
        <w:tc>
          <w:tcPr>
            <w:tcW w:w="1138" w:type="pct"/>
            <w:tcBorders>
              <w:bottom w:val="single" w:sz="8" w:space="0" w:color="000000"/>
            </w:tcBorders>
            <w:vAlign w:val="bottom"/>
          </w:tcPr>
          <w:p w:rsidR="005239E3" w:rsidRPr="005239E3" w:rsidP="005239E3" w14:paraId="265B90D2" w14:textId="52D6E9E6">
            <w:pPr>
              <w:bidi w:val="0"/>
              <w:spacing w:after="60" w:line="240" w:lineRule="auto"/>
              <w:rPr>
                <w:rFonts w:ascii="Tahoma" w:hAnsi="Tahoma" w:cs="Tahoma"/>
                <w:b/>
                <w:bCs/>
                <w:color w:val="0D0D0D" w:themeColor="text1" w:themeTint="F2"/>
                <w:sz w:val="26"/>
                <w:szCs w:val="26"/>
                <w:rtl/>
              </w:rPr>
            </w:pPr>
            <w:r w:rsidRPr="005239E3">
              <w:rPr>
                <w:rFonts w:ascii="Tahoma" w:hAnsi="Tahoma" w:cs="Tahoma"/>
                <w:b/>
                <w:bCs/>
                <w:sz w:val="26"/>
                <w:szCs w:val="26"/>
              </w:rPr>
              <w:t xml:space="preserve">NIS </w:t>
            </w:r>
            <w:r w:rsidRPr="005239E3">
              <w:rPr>
                <w:rFonts w:ascii="Tahoma" w:hAnsi="Tahoma" w:cs="Tahoma"/>
                <w:b/>
                <w:bCs/>
                <w:sz w:val="36"/>
                <w:szCs w:val="36"/>
              </w:rPr>
              <w:t xml:space="preserve">512 </w:t>
            </w:r>
            <w:r w:rsidRPr="005239E3">
              <w:rPr>
                <w:rFonts w:ascii="Tahoma" w:hAnsi="Tahoma" w:cs="Tahoma"/>
                <w:b/>
                <w:bCs/>
                <w:sz w:val="26"/>
                <w:szCs w:val="26"/>
              </w:rPr>
              <w:t xml:space="preserve">million </w:t>
            </w:r>
          </w:p>
        </w:tc>
      </w:tr>
      <w:tr w14:paraId="633F9A1A" w14:textId="21CF8A61" w:rsidTr="002A18A0">
        <w:tblPrEx>
          <w:tblW w:w="5000" w:type="pct"/>
          <w:tblCellMar>
            <w:left w:w="57" w:type="dxa"/>
            <w:right w:w="57" w:type="dxa"/>
          </w:tblCellMar>
          <w:tblLook w:val="04A0"/>
        </w:tblPrEx>
        <w:tc>
          <w:tcPr>
            <w:tcW w:w="1159" w:type="pct"/>
            <w:tcBorders>
              <w:top w:val="single" w:sz="8" w:space="0" w:color="auto"/>
            </w:tcBorders>
          </w:tcPr>
          <w:p w:rsidR="005239E3" w:rsidRPr="00041AEB" w:rsidP="005239E3" w14:paraId="5042BE4E" w14:textId="211EE9A2">
            <w:pPr>
              <w:bidi w:val="0"/>
              <w:spacing w:after="0" w:line="240" w:lineRule="auto"/>
              <w:ind w:right="23"/>
              <w:rPr>
                <w:rFonts w:ascii="Tahoma" w:hAnsi="Tahoma" w:cs="Tahoma"/>
                <w:bCs/>
                <w:color w:val="0D0D0D" w:themeColor="text1" w:themeTint="F2"/>
                <w:w w:val="90"/>
                <w:sz w:val="18"/>
                <w:szCs w:val="18"/>
              </w:rPr>
            </w:pPr>
            <w:r w:rsidRPr="00CA64B8">
              <w:rPr>
                <w:rFonts w:ascii="Tahoma" w:hAnsi="Tahoma" w:cs="Tahoma"/>
                <w:bCs/>
                <w:color w:val="0D0D0D" w:themeColor="text1" w:themeTint="F2"/>
                <w:w w:val="90"/>
                <w:sz w:val="18"/>
                <w:szCs w:val="18"/>
              </w:rPr>
              <w:t xml:space="preserve">the scope of the Ministry of Welfare's annual expenditure in 2022 on the purchase of out-of-home social services from 254 operators in the Disabilities Administration, the Social and Personal Services Administration (SPSA), and the Rehabilitation, Support and Prevention Administration (RSPA) </w:t>
            </w:r>
          </w:p>
        </w:tc>
        <w:tc>
          <w:tcPr>
            <w:tcW w:w="142" w:type="pct"/>
          </w:tcPr>
          <w:p w:rsidR="005239E3" w:rsidRPr="00041AEB" w:rsidP="005239E3" w14:paraId="2B8B872F" w14:textId="77777777">
            <w:pPr>
              <w:bidi w:val="0"/>
              <w:spacing w:after="0" w:line="240" w:lineRule="auto"/>
              <w:rPr>
                <w:rFonts w:ascii="Tahoma" w:hAnsi="Tahoma" w:cs="Tahoma"/>
                <w:bCs/>
                <w:color w:val="0D0D0D" w:themeColor="text1" w:themeTint="F2"/>
                <w:w w:val="90"/>
                <w:sz w:val="18"/>
                <w:szCs w:val="18"/>
                <w:rtl/>
              </w:rPr>
            </w:pPr>
          </w:p>
        </w:tc>
        <w:tc>
          <w:tcPr>
            <w:tcW w:w="1138" w:type="pct"/>
            <w:tcBorders>
              <w:top w:val="single" w:sz="8" w:space="0" w:color="auto"/>
            </w:tcBorders>
          </w:tcPr>
          <w:p w:rsidR="005239E3" w:rsidRPr="00A0699D" w:rsidP="005239E3" w14:paraId="22CDEF8A" w14:textId="5D8BFDE9">
            <w:pPr>
              <w:bidi w:val="0"/>
              <w:spacing w:line="240" w:lineRule="auto"/>
              <w:ind w:right="23"/>
              <w:rPr>
                <w:bCs/>
                <w:rtl/>
              </w:rPr>
            </w:pPr>
            <w:r w:rsidRPr="00CA64B8">
              <w:rPr>
                <w:rFonts w:ascii="Tahoma" w:hAnsi="Tahoma" w:cs="Tahoma"/>
                <w:bCs/>
                <w:color w:val="0D0D0D" w:themeColor="text1" w:themeTint="F2"/>
                <w:w w:val="90"/>
                <w:sz w:val="18"/>
                <w:szCs w:val="18"/>
              </w:rPr>
              <w:t>the ratio between the average profitability rate in 2021 of private companies operating out-of-home frameworks for the Ministry of Welfare (9.7%) and the profitability rate set by the Ministry of Welfare (3.8%)</w:t>
            </w:r>
          </w:p>
        </w:tc>
        <w:tc>
          <w:tcPr>
            <w:tcW w:w="142" w:type="pct"/>
          </w:tcPr>
          <w:p w:rsidR="005239E3" w:rsidRPr="00041AEB" w:rsidP="005239E3" w14:paraId="516B5653" w14:textId="77777777">
            <w:pPr>
              <w:bidi w:val="0"/>
              <w:spacing w:after="0" w:line="240" w:lineRule="auto"/>
              <w:rPr>
                <w:rFonts w:ascii="Tahoma" w:hAnsi="Tahoma" w:cs="Tahoma"/>
                <w:bCs/>
                <w:color w:val="0D0D0D" w:themeColor="text1" w:themeTint="F2"/>
                <w:w w:val="90"/>
                <w:sz w:val="18"/>
                <w:szCs w:val="18"/>
                <w:rtl/>
              </w:rPr>
            </w:pPr>
          </w:p>
        </w:tc>
        <w:tc>
          <w:tcPr>
            <w:tcW w:w="1139" w:type="pct"/>
            <w:tcBorders>
              <w:top w:val="single" w:sz="8" w:space="0" w:color="000000"/>
            </w:tcBorders>
          </w:tcPr>
          <w:p w:rsidR="005239E3" w:rsidRPr="00041AEB" w:rsidP="005239E3" w14:paraId="1DDB9C26" w14:textId="272F4713">
            <w:pPr>
              <w:bidi w:val="0"/>
              <w:spacing w:after="0" w:line="240" w:lineRule="auto"/>
              <w:ind w:right="23"/>
              <w:rPr>
                <w:rFonts w:ascii="Tahoma" w:hAnsi="Tahoma" w:cs="Tahoma"/>
                <w:bCs/>
                <w:color w:val="0D0D0D" w:themeColor="text1" w:themeTint="F2"/>
                <w:w w:val="90"/>
                <w:sz w:val="18"/>
                <w:szCs w:val="18"/>
              </w:rPr>
            </w:pPr>
            <w:r w:rsidRPr="00CA64B8">
              <w:rPr>
                <w:rFonts w:ascii="Tahoma" w:hAnsi="Tahoma" w:cs="Tahoma"/>
                <w:bCs/>
                <w:color w:val="0D0D0D" w:themeColor="text1" w:themeTint="F2"/>
                <w:w w:val="90"/>
                <w:sz w:val="18"/>
                <w:szCs w:val="18"/>
              </w:rPr>
              <w:t>the rate of accumulated surpluses (totaling NIS 393 million) among operators of frameworks classified as non-profit organizations, compared to the revenue turnover of 20% of them, most of whose revenue is predominantly derived from providing out-of-home services for the Ministry of Welfare</w:t>
            </w:r>
          </w:p>
        </w:tc>
        <w:tc>
          <w:tcPr>
            <w:tcW w:w="142" w:type="pct"/>
          </w:tcPr>
          <w:p w:rsidR="005239E3" w:rsidRPr="00B662F5" w:rsidP="005239E3" w14:paraId="31FC66A8" w14:textId="77777777">
            <w:pPr>
              <w:bidi w:val="0"/>
              <w:spacing w:after="0" w:line="240" w:lineRule="auto"/>
              <w:ind w:right="23"/>
              <w:rPr>
                <w:rFonts w:ascii="Tahoma" w:hAnsi="Tahoma" w:cs="Tahoma"/>
                <w:bCs/>
                <w:color w:val="0D0D0D" w:themeColor="text1" w:themeTint="F2"/>
                <w:w w:val="90"/>
                <w:sz w:val="18"/>
                <w:szCs w:val="18"/>
              </w:rPr>
            </w:pPr>
          </w:p>
        </w:tc>
        <w:tc>
          <w:tcPr>
            <w:tcW w:w="1138" w:type="pct"/>
            <w:tcBorders>
              <w:top w:val="single" w:sz="8" w:space="0" w:color="000000"/>
            </w:tcBorders>
          </w:tcPr>
          <w:p w:rsidR="005239E3" w:rsidRPr="00B662F5" w:rsidP="005239E3" w14:paraId="3AFB1672" w14:textId="6876B7D5">
            <w:pPr>
              <w:bidi w:val="0"/>
              <w:spacing w:after="0" w:line="240" w:lineRule="auto"/>
              <w:ind w:right="23"/>
              <w:rPr>
                <w:rFonts w:ascii="Tahoma" w:hAnsi="Tahoma" w:cs="Tahoma"/>
                <w:bCs/>
                <w:color w:val="0D0D0D" w:themeColor="text1" w:themeTint="F2"/>
                <w:w w:val="90"/>
                <w:sz w:val="18"/>
                <w:szCs w:val="18"/>
              </w:rPr>
            </w:pPr>
            <w:r w:rsidRPr="00CA64B8">
              <w:rPr>
                <w:rFonts w:ascii="Tahoma" w:hAnsi="Tahoma" w:cs="Tahoma"/>
                <w:bCs/>
                <w:color w:val="0D0D0D" w:themeColor="text1" w:themeTint="F2"/>
                <w:w w:val="90"/>
                <w:sz w:val="18"/>
                <w:szCs w:val="18"/>
              </w:rPr>
              <w:t>the estimated budget that the Ministry of Welfare pays to operators for unfilled positions</w:t>
            </w:r>
          </w:p>
        </w:tc>
      </w:tr>
      <w:tr w14:paraId="3A3B2768" w14:textId="4D98DDF8" w:rsidTr="002A18A0">
        <w:tblPrEx>
          <w:tblW w:w="5000" w:type="pct"/>
          <w:tblCellMar>
            <w:left w:w="57" w:type="dxa"/>
            <w:right w:w="57" w:type="dxa"/>
          </w:tblCellMar>
          <w:tblLook w:val="04A0"/>
        </w:tblPrEx>
        <w:trPr>
          <w:trHeight w:val="397"/>
        </w:trPr>
        <w:tc>
          <w:tcPr>
            <w:tcW w:w="1159" w:type="pct"/>
          </w:tcPr>
          <w:p w:rsidR="008771C5" w:rsidRPr="00B47903" w:rsidP="008771C5" w14:paraId="1A07D554" w14:textId="35E38359">
            <w:pPr>
              <w:bidi w:val="0"/>
              <w:spacing w:before="120" w:after="0" w:line="240" w:lineRule="auto"/>
              <w:rPr>
                <w:rFonts w:ascii="Tahoma" w:hAnsi="Tahoma" w:cs="Tahoma"/>
                <w:b/>
                <w:bCs/>
                <w:color w:val="0D0D0D" w:themeColor="text1" w:themeTint="F2"/>
                <w:sz w:val="14"/>
                <w:szCs w:val="14"/>
                <w:rtl/>
              </w:rPr>
            </w:pPr>
          </w:p>
        </w:tc>
        <w:tc>
          <w:tcPr>
            <w:tcW w:w="142" w:type="pct"/>
          </w:tcPr>
          <w:p w:rsidR="008771C5" w:rsidRPr="00B47903" w:rsidP="008771C5" w14:paraId="398FB0FD" w14:textId="77777777">
            <w:pPr>
              <w:bidi w:val="0"/>
              <w:spacing w:before="120" w:after="0" w:line="240" w:lineRule="auto"/>
              <w:rPr>
                <w:rFonts w:ascii="Tahoma" w:hAnsi="Tahoma" w:cs="Tahoma"/>
                <w:b/>
                <w:bCs/>
                <w:color w:val="0D0D0D" w:themeColor="text1" w:themeTint="F2"/>
                <w:sz w:val="14"/>
                <w:szCs w:val="14"/>
              </w:rPr>
            </w:pPr>
          </w:p>
        </w:tc>
        <w:tc>
          <w:tcPr>
            <w:tcW w:w="1138" w:type="pct"/>
          </w:tcPr>
          <w:p w:rsidR="008771C5" w:rsidRPr="00B47903" w:rsidP="008771C5" w14:paraId="58859999" w14:textId="77777777">
            <w:pPr>
              <w:bidi w:val="0"/>
              <w:spacing w:before="120" w:after="0" w:line="240" w:lineRule="auto"/>
              <w:rPr>
                <w:rFonts w:ascii="Tahoma" w:hAnsi="Tahoma" w:cs="Tahoma"/>
                <w:b/>
                <w:bCs/>
                <w:color w:val="0D0D0D" w:themeColor="text1" w:themeTint="F2"/>
                <w:sz w:val="14"/>
                <w:szCs w:val="14"/>
                <w:rtl/>
              </w:rPr>
            </w:pPr>
          </w:p>
        </w:tc>
        <w:tc>
          <w:tcPr>
            <w:tcW w:w="142" w:type="pct"/>
          </w:tcPr>
          <w:p w:rsidR="008771C5" w:rsidRPr="00B47903" w:rsidP="008771C5" w14:paraId="18626B8F" w14:textId="77777777">
            <w:pPr>
              <w:bidi w:val="0"/>
              <w:spacing w:before="120" w:after="0" w:line="240" w:lineRule="auto"/>
              <w:rPr>
                <w:rFonts w:ascii="Tahoma" w:hAnsi="Tahoma" w:cs="Tahoma"/>
                <w:b/>
                <w:bCs/>
                <w:color w:val="0D0D0D" w:themeColor="text1" w:themeTint="F2"/>
                <w:sz w:val="14"/>
                <w:szCs w:val="14"/>
              </w:rPr>
            </w:pPr>
          </w:p>
        </w:tc>
        <w:tc>
          <w:tcPr>
            <w:tcW w:w="1139" w:type="pct"/>
          </w:tcPr>
          <w:p w:rsidR="008771C5" w:rsidRPr="00B47903" w:rsidP="008771C5" w14:paraId="12C512C9" w14:textId="77777777">
            <w:pPr>
              <w:bidi w:val="0"/>
              <w:spacing w:before="120" w:after="0" w:line="240" w:lineRule="auto"/>
              <w:rPr>
                <w:rFonts w:ascii="Tahoma" w:hAnsi="Tahoma" w:cs="Tahoma"/>
                <w:b/>
                <w:bCs/>
                <w:color w:val="0D0D0D" w:themeColor="text1" w:themeTint="F2"/>
                <w:sz w:val="14"/>
                <w:szCs w:val="14"/>
                <w:rtl/>
              </w:rPr>
            </w:pPr>
          </w:p>
        </w:tc>
        <w:tc>
          <w:tcPr>
            <w:tcW w:w="142" w:type="pct"/>
          </w:tcPr>
          <w:p w:rsidR="008771C5" w:rsidRPr="00B47903" w:rsidP="008771C5" w14:paraId="7C8842AA" w14:textId="77777777">
            <w:pPr>
              <w:bidi w:val="0"/>
              <w:spacing w:before="120" w:after="0" w:line="240" w:lineRule="auto"/>
              <w:rPr>
                <w:rFonts w:ascii="Tahoma" w:hAnsi="Tahoma" w:cs="Tahoma"/>
                <w:b/>
                <w:bCs/>
                <w:color w:val="0D0D0D" w:themeColor="text1" w:themeTint="F2"/>
                <w:sz w:val="14"/>
                <w:szCs w:val="14"/>
                <w:rtl/>
              </w:rPr>
            </w:pPr>
          </w:p>
        </w:tc>
        <w:tc>
          <w:tcPr>
            <w:tcW w:w="1138" w:type="pct"/>
          </w:tcPr>
          <w:p w:rsidR="008771C5" w:rsidRPr="00B47903" w:rsidP="008771C5" w14:paraId="12727038" w14:textId="77777777">
            <w:pPr>
              <w:bidi w:val="0"/>
              <w:spacing w:before="120" w:after="0" w:line="240" w:lineRule="auto"/>
              <w:rPr>
                <w:rFonts w:ascii="Tahoma" w:hAnsi="Tahoma" w:cs="Tahoma"/>
                <w:b/>
                <w:bCs/>
                <w:color w:val="0D0D0D" w:themeColor="text1" w:themeTint="F2"/>
                <w:sz w:val="14"/>
                <w:szCs w:val="14"/>
                <w:rtl/>
              </w:rPr>
            </w:pPr>
          </w:p>
        </w:tc>
      </w:tr>
      <w:tr w14:paraId="69DAE9C2" w14:textId="4B47BC94" w:rsidTr="002A18A0">
        <w:tblPrEx>
          <w:tblW w:w="5000" w:type="pct"/>
          <w:tblCellMar>
            <w:left w:w="57" w:type="dxa"/>
            <w:right w:w="57" w:type="dxa"/>
          </w:tblCellMar>
          <w:tblLook w:val="04A0"/>
        </w:tblPrEx>
        <w:tc>
          <w:tcPr>
            <w:tcW w:w="1159" w:type="pct"/>
            <w:tcBorders>
              <w:bottom w:val="single" w:sz="8" w:space="0" w:color="auto"/>
            </w:tcBorders>
            <w:vAlign w:val="bottom"/>
          </w:tcPr>
          <w:p w:rsidR="005239E3" w:rsidRPr="005239E3" w:rsidP="005239E3" w14:paraId="0A63A02B" w14:textId="0764BF03">
            <w:pPr>
              <w:bidi w:val="0"/>
              <w:spacing w:after="60" w:line="240" w:lineRule="auto"/>
              <w:rPr>
                <w:rFonts w:ascii="Tahoma" w:hAnsi="Tahoma" w:cs="Tahoma"/>
                <w:b/>
                <w:bCs/>
                <w:sz w:val="36"/>
                <w:szCs w:val="36"/>
              </w:rPr>
            </w:pPr>
            <w:r w:rsidRPr="005239E3">
              <w:rPr>
                <w:rFonts w:ascii="Tahoma" w:hAnsi="Tahoma" w:cs="Tahoma"/>
                <w:b/>
                <w:bCs/>
                <w:sz w:val="36"/>
                <w:szCs w:val="36"/>
              </w:rPr>
              <w:t>60%</w:t>
            </w:r>
          </w:p>
        </w:tc>
        <w:tc>
          <w:tcPr>
            <w:tcW w:w="142" w:type="pct"/>
            <w:tcBorders>
              <w:bottom w:val="single" w:sz="8" w:space="0" w:color="FFFFFF"/>
            </w:tcBorders>
            <w:vAlign w:val="bottom"/>
          </w:tcPr>
          <w:p w:rsidR="005239E3" w:rsidRPr="005239E3" w:rsidP="005239E3" w14:paraId="2B044DDD" w14:textId="77777777">
            <w:pPr>
              <w:bidi w:val="0"/>
              <w:spacing w:after="60" w:line="240" w:lineRule="auto"/>
              <w:rPr>
                <w:rFonts w:ascii="Tahoma" w:hAnsi="Tahoma" w:cs="Tahoma"/>
                <w:b/>
                <w:bCs/>
                <w:sz w:val="36"/>
                <w:szCs w:val="36"/>
              </w:rPr>
            </w:pPr>
          </w:p>
        </w:tc>
        <w:tc>
          <w:tcPr>
            <w:tcW w:w="1138" w:type="pct"/>
            <w:tcBorders>
              <w:bottom w:val="single" w:sz="8" w:space="0" w:color="auto"/>
            </w:tcBorders>
            <w:vAlign w:val="bottom"/>
          </w:tcPr>
          <w:p w:rsidR="005239E3" w:rsidRPr="005239E3" w:rsidP="005239E3" w14:paraId="5F2BF29F" w14:textId="02B16E7B">
            <w:pPr>
              <w:bidi w:val="0"/>
              <w:spacing w:after="60" w:line="240" w:lineRule="auto"/>
              <w:rPr>
                <w:rFonts w:ascii="Tahoma" w:hAnsi="Tahoma" w:cs="Tahoma"/>
                <w:b/>
                <w:bCs/>
                <w:sz w:val="36"/>
                <w:szCs w:val="36"/>
              </w:rPr>
            </w:pPr>
            <w:r w:rsidRPr="005239E3">
              <w:rPr>
                <w:rFonts w:ascii="Tahoma" w:hAnsi="Tahoma" w:cs="Tahoma"/>
                <w:b/>
                <w:bCs/>
                <w:sz w:val="36"/>
                <w:szCs w:val="36"/>
                <w:rtl/>
              </w:rPr>
              <w:t>68%</w:t>
            </w:r>
          </w:p>
        </w:tc>
        <w:tc>
          <w:tcPr>
            <w:tcW w:w="142" w:type="pct"/>
            <w:tcBorders>
              <w:bottom w:val="single" w:sz="8" w:space="0" w:color="FFFFFF"/>
            </w:tcBorders>
            <w:vAlign w:val="bottom"/>
          </w:tcPr>
          <w:p w:rsidR="005239E3" w:rsidRPr="005239E3" w:rsidP="005239E3" w14:paraId="3407A7B6" w14:textId="77777777">
            <w:pPr>
              <w:bidi w:val="0"/>
              <w:spacing w:after="60" w:line="240" w:lineRule="auto"/>
              <w:rPr>
                <w:rFonts w:ascii="Tahoma" w:hAnsi="Tahoma" w:cs="Tahoma"/>
                <w:b/>
                <w:bCs/>
                <w:sz w:val="36"/>
                <w:szCs w:val="36"/>
              </w:rPr>
            </w:pPr>
          </w:p>
        </w:tc>
        <w:tc>
          <w:tcPr>
            <w:tcW w:w="1139" w:type="pct"/>
            <w:tcBorders>
              <w:bottom w:val="single" w:sz="8" w:space="0" w:color="000000"/>
            </w:tcBorders>
            <w:vAlign w:val="bottom"/>
          </w:tcPr>
          <w:p w:rsidR="005239E3" w:rsidRPr="005239E3" w:rsidP="005239E3" w14:paraId="24B9C4D0" w14:textId="41868A7B">
            <w:pPr>
              <w:bidi w:val="0"/>
              <w:spacing w:after="60" w:line="240" w:lineRule="auto"/>
              <w:rPr>
                <w:rFonts w:ascii="Tahoma" w:hAnsi="Tahoma" w:cs="Tahoma"/>
                <w:b/>
                <w:bCs/>
                <w:sz w:val="36"/>
                <w:szCs w:val="36"/>
              </w:rPr>
            </w:pPr>
            <w:r w:rsidRPr="005239E3">
              <w:rPr>
                <w:rFonts w:ascii="Tahoma" w:hAnsi="Tahoma" w:cs="Tahoma"/>
                <w:b/>
                <w:bCs/>
                <w:sz w:val="36"/>
                <w:szCs w:val="36"/>
                <w:rtl/>
              </w:rPr>
              <w:t>89%</w:t>
            </w:r>
          </w:p>
        </w:tc>
        <w:tc>
          <w:tcPr>
            <w:tcW w:w="142" w:type="pct"/>
            <w:vAlign w:val="bottom"/>
          </w:tcPr>
          <w:p w:rsidR="005239E3" w:rsidRPr="005239E3" w:rsidP="005239E3" w14:paraId="1A1A685D" w14:textId="77777777">
            <w:pPr>
              <w:bidi w:val="0"/>
              <w:spacing w:after="60" w:line="240" w:lineRule="auto"/>
              <w:rPr>
                <w:rFonts w:ascii="Tahoma" w:hAnsi="Tahoma" w:cs="Tahoma"/>
                <w:b/>
                <w:bCs/>
                <w:color w:val="0D0D0D" w:themeColor="text1" w:themeTint="F2"/>
                <w:sz w:val="26"/>
                <w:szCs w:val="26"/>
              </w:rPr>
            </w:pPr>
          </w:p>
        </w:tc>
        <w:tc>
          <w:tcPr>
            <w:tcW w:w="1138" w:type="pct"/>
            <w:tcBorders>
              <w:bottom w:val="single" w:sz="8" w:space="0" w:color="000000"/>
            </w:tcBorders>
            <w:vAlign w:val="bottom"/>
          </w:tcPr>
          <w:p w:rsidR="005239E3" w:rsidRPr="005239E3" w:rsidP="005239E3" w14:paraId="02226F29" w14:textId="3B80D185">
            <w:pPr>
              <w:bidi w:val="0"/>
              <w:spacing w:after="60" w:line="240" w:lineRule="auto"/>
              <w:rPr>
                <w:rFonts w:ascii="Tahoma" w:hAnsi="Tahoma" w:cs="Tahoma"/>
                <w:b/>
                <w:bCs/>
                <w:color w:val="0D0D0D" w:themeColor="text1" w:themeTint="F2"/>
                <w:sz w:val="26"/>
                <w:szCs w:val="26"/>
              </w:rPr>
            </w:pPr>
            <w:r w:rsidRPr="005239E3">
              <w:rPr>
                <w:rFonts w:ascii="Tahoma" w:hAnsi="Tahoma" w:cs="Tahoma"/>
                <w:b/>
                <w:bCs/>
                <w:sz w:val="26"/>
                <w:szCs w:val="26"/>
              </w:rPr>
              <w:t xml:space="preserve">only </w:t>
            </w:r>
            <w:r w:rsidRPr="005239E3">
              <w:rPr>
                <w:rFonts w:ascii="Tahoma" w:hAnsi="Tahoma" w:cs="Tahoma"/>
                <w:b/>
                <w:bCs/>
                <w:sz w:val="36"/>
                <w:szCs w:val="36"/>
              </w:rPr>
              <w:t>2</w:t>
            </w:r>
            <w:r w:rsidR="00156EE0">
              <w:rPr>
                <w:rFonts w:ascii="Tahoma" w:hAnsi="Tahoma" w:cs="Tahoma"/>
                <w:b/>
                <w:bCs/>
                <w:sz w:val="36"/>
                <w:szCs w:val="36"/>
              </w:rPr>
              <w:t>–</w:t>
            </w:r>
            <w:r w:rsidRPr="005239E3">
              <w:rPr>
                <w:rFonts w:ascii="Tahoma" w:hAnsi="Tahoma" w:cs="Tahoma"/>
                <w:b/>
                <w:bCs/>
                <w:sz w:val="36"/>
                <w:szCs w:val="36"/>
              </w:rPr>
              <w:t>3</w:t>
            </w:r>
            <w:r w:rsidRPr="005239E3">
              <w:rPr>
                <w:rFonts w:ascii="Tahoma" w:hAnsi="Tahoma" w:cs="Tahoma"/>
                <w:b/>
                <w:bCs/>
                <w:sz w:val="26"/>
                <w:szCs w:val="26"/>
              </w:rPr>
              <w:t xml:space="preserve"> visits instead of </w:t>
            </w:r>
            <w:r w:rsidRPr="005239E3">
              <w:rPr>
                <w:rFonts w:ascii="Tahoma" w:hAnsi="Tahoma" w:cs="Tahoma"/>
                <w:b/>
                <w:bCs/>
                <w:sz w:val="36"/>
                <w:szCs w:val="36"/>
              </w:rPr>
              <w:t>13–18</w:t>
            </w:r>
          </w:p>
        </w:tc>
      </w:tr>
      <w:tr w14:paraId="7FB01C39" w14:textId="7E0F3449" w:rsidTr="00941C35">
        <w:tblPrEx>
          <w:tblW w:w="5000" w:type="pct"/>
          <w:tblCellMar>
            <w:left w:w="57" w:type="dxa"/>
            <w:right w:w="57" w:type="dxa"/>
          </w:tblCellMar>
          <w:tblLook w:val="04A0"/>
        </w:tblPrEx>
        <w:tc>
          <w:tcPr>
            <w:tcW w:w="1159" w:type="pct"/>
            <w:tcBorders>
              <w:top w:val="single" w:sz="8" w:space="0" w:color="000000"/>
            </w:tcBorders>
          </w:tcPr>
          <w:p w:rsidR="005239E3" w:rsidRPr="008A5E62" w:rsidP="005239E3" w14:paraId="0E469777" w14:textId="5487A501">
            <w:pPr>
              <w:bidi w:val="0"/>
              <w:spacing w:after="100" w:line="240" w:lineRule="auto"/>
              <w:rPr>
                <w:rFonts w:ascii="Tahoma" w:hAnsi="Tahoma" w:cs="Tahoma"/>
                <w:bCs/>
                <w:color w:val="0D0D0D" w:themeColor="text1" w:themeTint="F2"/>
                <w:w w:val="90"/>
                <w:sz w:val="18"/>
                <w:szCs w:val="18"/>
                <w:rtl/>
              </w:rPr>
            </w:pPr>
            <w:r w:rsidRPr="00CA64B8">
              <w:rPr>
                <w:rFonts w:ascii="Tahoma" w:hAnsi="Tahoma" w:cs="Tahoma"/>
                <w:bCs/>
                <w:color w:val="0D0D0D" w:themeColor="text1" w:themeTint="F2"/>
                <w:w w:val="90"/>
                <w:sz w:val="18"/>
                <w:szCs w:val="18"/>
              </w:rPr>
              <w:t>the Ministry of Welfare tenders' rate of the procurement of social services in 2013</w:t>
            </w:r>
            <w:r>
              <w:rPr>
                <w:rFonts w:ascii="Tahoma" w:hAnsi="Tahoma" w:cs="Tahoma"/>
                <w:bCs/>
                <w:color w:val="0D0D0D" w:themeColor="text1" w:themeTint="F2"/>
                <w:w w:val="90"/>
                <w:sz w:val="18"/>
                <w:szCs w:val="18"/>
              </w:rPr>
              <w:t>–</w:t>
            </w:r>
            <w:r w:rsidRPr="00CA64B8">
              <w:rPr>
                <w:rFonts w:ascii="Tahoma" w:hAnsi="Tahoma" w:cs="Tahoma"/>
                <w:bCs/>
                <w:color w:val="0D0D0D" w:themeColor="text1" w:themeTint="F2"/>
                <w:w w:val="90"/>
                <w:sz w:val="18"/>
                <w:szCs w:val="18"/>
              </w:rPr>
              <w:t>2022 in which every bid that passes the threshold conditions wins the tender, i.e. tenders in which there is no real competition (74 out of 128 tenders)</w:t>
            </w:r>
          </w:p>
        </w:tc>
        <w:tc>
          <w:tcPr>
            <w:tcW w:w="142" w:type="pct"/>
            <w:tcBorders>
              <w:top w:val="single" w:sz="8" w:space="0" w:color="FFFFFF"/>
            </w:tcBorders>
          </w:tcPr>
          <w:p w:rsidR="005239E3" w:rsidRPr="008A5E62" w:rsidP="005239E3" w14:paraId="452D577E" w14:textId="77777777">
            <w:pPr>
              <w:bidi w:val="0"/>
              <w:spacing w:after="100" w:line="240" w:lineRule="auto"/>
              <w:rPr>
                <w:rFonts w:ascii="Tahoma" w:hAnsi="Tahoma" w:cs="Tahoma"/>
                <w:bCs/>
                <w:color w:val="0D0D0D" w:themeColor="text1" w:themeTint="F2"/>
                <w:w w:val="90"/>
                <w:sz w:val="18"/>
                <w:szCs w:val="18"/>
                <w:rtl/>
              </w:rPr>
            </w:pPr>
          </w:p>
        </w:tc>
        <w:tc>
          <w:tcPr>
            <w:tcW w:w="1138" w:type="pct"/>
            <w:tcBorders>
              <w:top w:val="single" w:sz="8" w:space="0" w:color="000000"/>
            </w:tcBorders>
          </w:tcPr>
          <w:p w:rsidR="005239E3" w:rsidRPr="0015187B" w:rsidP="005239E3" w14:paraId="77825D81" w14:textId="267507CE">
            <w:pPr>
              <w:bidi w:val="0"/>
              <w:spacing w:line="240" w:lineRule="auto"/>
              <w:ind w:right="23"/>
              <w:rPr>
                <w:rFonts w:ascii="Tahoma" w:hAnsi="Tahoma" w:cs="Tahoma"/>
                <w:bCs/>
                <w:color w:val="0D0D0D" w:themeColor="text1" w:themeTint="F2"/>
                <w:w w:val="90"/>
                <w:sz w:val="18"/>
                <w:szCs w:val="18"/>
                <w:rtl/>
              </w:rPr>
            </w:pPr>
            <w:r w:rsidRPr="00CA64B8">
              <w:rPr>
                <w:rFonts w:ascii="Tahoma" w:hAnsi="Tahoma" w:cs="Tahoma"/>
                <w:bCs/>
                <w:color w:val="0D0D0D" w:themeColor="text1" w:themeTint="F2"/>
                <w:w w:val="90"/>
                <w:sz w:val="18"/>
                <w:szCs w:val="18"/>
              </w:rPr>
              <w:t>the Ministry of Welfare bids' rate of tenders for the procurement of welfare services out of those that passed the threshold conditions that received the maximum score in category of recommendations (273 out of 401 bids)</w:t>
            </w:r>
          </w:p>
        </w:tc>
        <w:tc>
          <w:tcPr>
            <w:tcW w:w="142" w:type="pct"/>
            <w:tcBorders>
              <w:top w:val="single" w:sz="8" w:space="0" w:color="FFFFFF"/>
            </w:tcBorders>
          </w:tcPr>
          <w:p w:rsidR="005239E3" w:rsidRPr="008A5E62" w:rsidP="005239E3" w14:paraId="5F4A0ACF" w14:textId="77777777">
            <w:pPr>
              <w:bidi w:val="0"/>
              <w:spacing w:after="100" w:line="240" w:lineRule="auto"/>
              <w:rPr>
                <w:rFonts w:ascii="Tahoma" w:hAnsi="Tahoma" w:cs="Tahoma"/>
                <w:bCs/>
                <w:color w:val="0D0D0D" w:themeColor="text1" w:themeTint="F2"/>
                <w:w w:val="90"/>
                <w:sz w:val="18"/>
                <w:szCs w:val="18"/>
                <w:rtl/>
              </w:rPr>
            </w:pPr>
          </w:p>
        </w:tc>
        <w:tc>
          <w:tcPr>
            <w:tcW w:w="1139" w:type="pct"/>
            <w:tcBorders>
              <w:top w:val="single" w:sz="8" w:space="0" w:color="000000"/>
            </w:tcBorders>
          </w:tcPr>
          <w:p w:rsidR="005239E3" w:rsidRPr="00353BAA" w:rsidP="005239E3" w14:paraId="368D853C" w14:textId="25A4B04B">
            <w:pPr>
              <w:bidi w:val="0"/>
              <w:spacing w:after="100" w:line="240" w:lineRule="auto"/>
              <w:ind w:right="23"/>
            </w:pPr>
            <w:r w:rsidRPr="00CA64B8">
              <w:rPr>
                <w:rFonts w:ascii="Tahoma" w:hAnsi="Tahoma" w:cs="Tahoma"/>
                <w:bCs/>
                <w:color w:val="0D0D0D" w:themeColor="text1" w:themeTint="F2"/>
                <w:w w:val="90"/>
                <w:sz w:val="18"/>
                <w:szCs w:val="18"/>
              </w:rPr>
              <w:t>of the total payments for the provision of out-of-home welfare services, are paid by the Ministry of Welfare to operators with 17 years or more of experience in providing services to the Ministry of Welfare (about NIS 3.1 billion)</w:t>
            </w:r>
          </w:p>
        </w:tc>
        <w:tc>
          <w:tcPr>
            <w:tcW w:w="142" w:type="pct"/>
          </w:tcPr>
          <w:p w:rsidR="005239E3" w:rsidRPr="00B662F5" w:rsidP="005239E3" w14:paraId="2855BDCC" w14:textId="77777777">
            <w:pPr>
              <w:bidi w:val="0"/>
              <w:spacing w:after="100" w:line="240" w:lineRule="auto"/>
              <w:ind w:right="23"/>
              <w:rPr>
                <w:rFonts w:ascii="Tahoma" w:hAnsi="Tahoma" w:cs="Tahoma"/>
                <w:bCs/>
                <w:color w:val="0D0D0D" w:themeColor="text1" w:themeTint="F2"/>
                <w:w w:val="90"/>
                <w:sz w:val="18"/>
                <w:szCs w:val="18"/>
              </w:rPr>
            </w:pPr>
          </w:p>
        </w:tc>
        <w:tc>
          <w:tcPr>
            <w:tcW w:w="1138" w:type="pct"/>
            <w:tcBorders>
              <w:top w:val="single" w:sz="8" w:space="0" w:color="000000"/>
            </w:tcBorders>
          </w:tcPr>
          <w:p w:rsidR="005239E3" w:rsidRPr="00B662F5" w:rsidP="005239E3" w14:paraId="7C5F0D74" w14:textId="791158D4">
            <w:pPr>
              <w:bidi w:val="0"/>
              <w:spacing w:after="100" w:line="240" w:lineRule="auto"/>
              <w:ind w:right="23"/>
              <w:rPr>
                <w:rFonts w:ascii="Tahoma" w:hAnsi="Tahoma" w:cs="Tahoma"/>
                <w:bCs/>
                <w:color w:val="0D0D0D" w:themeColor="text1" w:themeTint="F2"/>
                <w:w w:val="90"/>
                <w:sz w:val="18"/>
                <w:szCs w:val="18"/>
              </w:rPr>
            </w:pPr>
            <w:r w:rsidRPr="00CA64B8">
              <w:rPr>
                <w:rFonts w:ascii="Tahoma" w:hAnsi="Tahoma" w:cs="Tahoma"/>
                <w:bCs/>
                <w:color w:val="0D0D0D" w:themeColor="text1" w:themeTint="F2"/>
                <w:w w:val="90"/>
                <w:sz w:val="18"/>
                <w:szCs w:val="18"/>
              </w:rPr>
              <w:t>the median annual number of visits by inspectors in out-of-home settings compared to the recommendations of the Government Team for Improving the Provision of Outsourced Social Services from 2016</w:t>
            </w:r>
          </w:p>
        </w:tc>
      </w:tr>
      <w:tr w14:paraId="5B9C6C91" w14:textId="77777777" w:rsidTr="00941C35">
        <w:tblPrEx>
          <w:tblW w:w="5000" w:type="pct"/>
          <w:tblCellMar>
            <w:left w:w="57" w:type="dxa"/>
            <w:right w:w="57" w:type="dxa"/>
          </w:tblCellMar>
          <w:tblLook w:val="04A0"/>
        </w:tblPrEx>
        <w:tc>
          <w:tcPr>
            <w:tcW w:w="1159" w:type="pct"/>
          </w:tcPr>
          <w:p w:rsidR="00941C35" w:rsidRPr="00FF2854" w:rsidP="002A18A0" w14:paraId="12D1B7F9" w14:textId="77777777">
            <w:pPr>
              <w:bidi w:val="0"/>
              <w:spacing w:after="100" w:line="240" w:lineRule="auto"/>
              <w:rPr>
                <w:rFonts w:ascii="Tahoma" w:hAnsi="Tahoma" w:cs="Tahoma"/>
                <w:bCs/>
                <w:color w:val="0D0D0D" w:themeColor="text1" w:themeTint="F2"/>
                <w:w w:val="90"/>
                <w:sz w:val="18"/>
                <w:szCs w:val="18"/>
              </w:rPr>
            </w:pPr>
          </w:p>
        </w:tc>
        <w:tc>
          <w:tcPr>
            <w:tcW w:w="142" w:type="pct"/>
          </w:tcPr>
          <w:p w:rsidR="00941C35" w:rsidRPr="008A5E62" w:rsidP="002A18A0" w14:paraId="128B8634" w14:textId="77777777">
            <w:pPr>
              <w:bidi w:val="0"/>
              <w:spacing w:after="100" w:line="240" w:lineRule="auto"/>
              <w:rPr>
                <w:rFonts w:ascii="Tahoma" w:hAnsi="Tahoma" w:cs="Tahoma"/>
                <w:bCs/>
                <w:color w:val="0D0D0D" w:themeColor="text1" w:themeTint="F2"/>
                <w:w w:val="90"/>
                <w:sz w:val="18"/>
                <w:szCs w:val="18"/>
                <w:rtl/>
              </w:rPr>
            </w:pPr>
          </w:p>
        </w:tc>
        <w:tc>
          <w:tcPr>
            <w:tcW w:w="1138" w:type="pct"/>
          </w:tcPr>
          <w:p w:rsidR="00941C35" w:rsidRPr="00FF2854" w:rsidP="002A18A0" w14:paraId="0DA83BF4" w14:textId="77777777">
            <w:pPr>
              <w:bidi w:val="0"/>
              <w:spacing w:after="100" w:line="240" w:lineRule="auto"/>
              <w:rPr>
                <w:rFonts w:ascii="Tahoma" w:hAnsi="Tahoma" w:cs="Tahoma"/>
                <w:bCs/>
                <w:color w:val="0D0D0D" w:themeColor="text1" w:themeTint="F2"/>
                <w:w w:val="90"/>
                <w:sz w:val="18"/>
                <w:szCs w:val="18"/>
              </w:rPr>
            </w:pPr>
          </w:p>
        </w:tc>
        <w:tc>
          <w:tcPr>
            <w:tcW w:w="142" w:type="pct"/>
          </w:tcPr>
          <w:p w:rsidR="00941C35" w:rsidRPr="008A5E62" w:rsidP="002A18A0" w14:paraId="0A10C8ED" w14:textId="77777777">
            <w:pPr>
              <w:bidi w:val="0"/>
              <w:spacing w:after="100" w:line="240" w:lineRule="auto"/>
              <w:rPr>
                <w:rFonts w:ascii="Tahoma" w:hAnsi="Tahoma" w:cs="Tahoma"/>
                <w:bCs/>
                <w:color w:val="0D0D0D" w:themeColor="text1" w:themeTint="F2"/>
                <w:w w:val="90"/>
                <w:sz w:val="18"/>
                <w:szCs w:val="18"/>
                <w:rtl/>
              </w:rPr>
            </w:pPr>
          </w:p>
        </w:tc>
        <w:tc>
          <w:tcPr>
            <w:tcW w:w="1139" w:type="pct"/>
          </w:tcPr>
          <w:p w:rsidR="00941C35" w:rsidRPr="00FF2854" w:rsidP="002A18A0" w14:paraId="40F8D1F0" w14:textId="77777777">
            <w:pPr>
              <w:bidi w:val="0"/>
              <w:spacing w:after="100" w:line="240" w:lineRule="auto"/>
              <w:ind w:right="23"/>
              <w:rPr>
                <w:rFonts w:ascii="Tahoma" w:hAnsi="Tahoma" w:cs="Tahoma"/>
                <w:bCs/>
                <w:color w:val="0D0D0D" w:themeColor="text1" w:themeTint="F2"/>
                <w:w w:val="90"/>
                <w:sz w:val="18"/>
                <w:szCs w:val="18"/>
              </w:rPr>
            </w:pPr>
          </w:p>
        </w:tc>
        <w:tc>
          <w:tcPr>
            <w:tcW w:w="142" w:type="pct"/>
          </w:tcPr>
          <w:p w:rsidR="00941C35" w:rsidRPr="00B662F5" w:rsidP="002A18A0" w14:paraId="249AB39D" w14:textId="77777777">
            <w:pPr>
              <w:bidi w:val="0"/>
              <w:spacing w:after="100" w:line="240" w:lineRule="auto"/>
              <w:ind w:right="23"/>
              <w:rPr>
                <w:rFonts w:ascii="Tahoma" w:hAnsi="Tahoma" w:cs="Tahoma"/>
                <w:bCs/>
                <w:color w:val="0D0D0D" w:themeColor="text1" w:themeTint="F2"/>
                <w:w w:val="90"/>
                <w:sz w:val="18"/>
                <w:szCs w:val="18"/>
              </w:rPr>
            </w:pPr>
          </w:p>
        </w:tc>
        <w:tc>
          <w:tcPr>
            <w:tcW w:w="1138" w:type="pct"/>
          </w:tcPr>
          <w:p w:rsidR="00941C35" w:rsidRPr="00FF2854" w:rsidP="002A18A0" w14:paraId="5DE95631" w14:textId="77777777">
            <w:pPr>
              <w:bidi w:val="0"/>
              <w:spacing w:after="100" w:line="240" w:lineRule="auto"/>
              <w:ind w:right="23"/>
              <w:rPr>
                <w:rFonts w:ascii="Tahoma" w:hAnsi="Tahoma" w:cs="Tahoma"/>
                <w:bCs/>
                <w:color w:val="0D0D0D" w:themeColor="text1" w:themeTint="F2"/>
                <w:w w:val="90"/>
                <w:sz w:val="18"/>
                <w:szCs w:val="18"/>
              </w:rPr>
            </w:pPr>
          </w:p>
        </w:tc>
      </w:tr>
    </w:tbl>
    <w:p w:rsidR="002A18A0" w14:paraId="5146DA0D" w14:textId="77777777">
      <w:pPr>
        <w:bidi w:val="0"/>
        <w:rPr>
          <w:rFonts w:ascii="Tahoma" w:hAnsi="Tahoma" w:cs="Tahoma"/>
          <w:b/>
          <w:bCs/>
          <w:color w:val="00305F"/>
          <w:sz w:val="32"/>
          <w:szCs w:val="32"/>
        </w:rPr>
      </w:pPr>
      <w:bookmarkStart w:id="6" w:name="_Hlk62029958"/>
      <w:r>
        <w:rPr>
          <w:rFonts w:ascii="Tahoma" w:hAnsi="Tahoma" w:cs="Tahoma"/>
          <w:b/>
          <w:bCs/>
          <w:color w:val="00305F"/>
          <w:sz w:val="32"/>
          <w:szCs w:val="32"/>
        </w:rPr>
        <w:br w:type="page"/>
      </w:r>
    </w:p>
    <w:p w:rsidR="001E44CF" w:rsidP="009661D6" w14:paraId="5BE35871" w14:textId="6DAAECAF">
      <w:pPr>
        <w:bidi w:val="0"/>
        <w:spacing w:before="120" w:after="180" w:line="240" w:lineRule="atLeast"/>
        <w:rPr>
          <w:rFonts w:ascii="Tahoma" w:hAnsi="Tahoma" w:cs="Tahoma"/>
          <w:b/>
          <w:bCs/>
          <w:color w:val="00305F"/>
          <w:sz w:val="32"/>
          <w:szCs w:val="32"/>
        </w:rPr>
      </w:pPr>
      <w:r>
        <w:rPr>
          <w:rFonts w:ascii="Tahoma" w:hAnsi="Tahoma" w:cs="Tahoma"/>
          <w:b/>
          <w:bCs/>
          <w:noProof/>
          <w:color w:val="003364"/>
          <w:w w:val="90"/>
          <w:sz w:val="32"/>
          <w:szCs w:val="32"/>
        </w:rPr>
        <w:drawing>
          <wp:inline distT="0" distB="0" distL="0" distR="0">
            <wp:extent cx="4679950" cy="45720"/>
            <wp:effectExtent l="0" t="0" r="635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rsidR="009A341D" w:rsidRPr="00902625" w:rsidP="001E44CF" w14:paraId="62E9D9E2" w14:textId="5EE8C914">
      <w:pPr>
        <w:bidi w:val="0"/>
        <w:spacing w:before="120" w:after="180" w:line="240" w:lineRule="atLeast"/>
        <w:rPr>
          <w:rFonts w:ascii="Tahoma" w:hAnsi="Tahoma" w:cs="Tahoma"/>
          <w:b/>
          <w:bCs/>
          <w:color w:val="00305F"/>
          <w:sz w:val="32"/>
          <w:szCs w:val="32"/>
        </w:rPr>
      </w:pPr>
      <w:r w:rsidRPr="00AE5F94">
        <w:rPr>
          <w:rFonts w:ascii="Tahoma" w:hAnsi="Tahoma" w:cs="Tahoma"/>
          <w:b/>
          <w:bCs/>
          <w:color w:val="00305F"/>
          <w:sz w:val="32"/>
          <w:szCs w:val="32"/>
        </w:rPr>
        <w:t xml:space="preserve">Audit </w:t>
      </w:r>
      <w:r w:rsidR="004806D7">
        <w:rPr>
          <w:rFonts w:ascii="Tahoma" w:hAnsi="Tahoma" w:cs="Tahoma"/>
          <w:b/>
          <w:bCs/>
          <w:color w:val="00305F"/>
          <w:sz w:val="32"/>
          <w:szCs w:val="32"/>
        </w:rPr>
        <w:t>A</w:t>
      </w:r>
      <w:r w:rsidRPr="00AE5F94">
        <w:rPr>
          <w:rFonts w:ascii="Tahoma" w:hAnsi="Tahoma" w:cs="Tahoma"/>
          <w:b/>
          <w:bCs/>
          <w:color w:val="00305F"/>
          <w:sz w:val="32"/>
          <w:szCs w:val="32"/>
        </w:rPr>
        <w:t>ctions</w:t>
      </w:r>
    </w:p>
    <w:bookmarkEnd w:id="6"/>
    <w:p w:rsidR="005239E3" w:rsidRPr="005239E3" w:rsidP="005239E3" w14:paraId="31D41EE6" w14:textId="77777777">
      <w:pPr>
        <w:pStyle w:val="719"/>
        <w:bidi w:val="0"/>
        <w:ind w:left="397"/>
      </w:pPr>
      <w:r w:rsidRPr="005239E3">
        <w:rPr>
          <w:noProof/>
        </w:rPr>
        <w:drawing>
          <wp:anchor distT="0" distB="0" distL="0" distR="0" simplePos="0" relativeHeight="251683840" behindDoc="1" locked="0" layoutInCell="1" allowOverlap="1">
            <wp:simplePos x="0" y="0"/>
            <wp:positionH relativeFrom="margin">
              <wp:posOffset>0</wp:posOffset>
            </wp:positionH>
            <wp:positionV relativeFrom="margin">
              <wp:posOffset>667548</wp:posOffset>
            </wp:positionV>
            <wp:extent cx="161925" cy="177800"/>
            <wp:effectExtent l="0" t="0" r="3175" b="0"/>
            <wp:wrapTight wrapText="bothSides">
              <wp:wrapPolygon>
                <wp:start x="0" y="0"/>
                <wp:lineTo x="0" y="16971"/>
                <wp:lineTo x="11859" y="20057"/>
                <wp:lineTo x="20329" y="20057"/>
                <wp:lineTo x="20329" y="10800"/>
                <wp:lineTo x="16941" y="0"/>
                <wp:lineTo x="0" y="0"/>
              </wp:wrapPolygon>
            </wp:wrapTight>
            <wp:docPr id="21" name="תמונה 33"/>
            <wp:cNvGraphicFramePr/>
            <a:graphic xmlns:a="http://schemas.openxmlformats.org/drawingml/2006/main">
              <a:graphicData uri="http://schemas.openxmlformats.org/drawingml/2006/picture">
                <pic:pic xmlns:pic="http://schemas.openxmlformats.org/drawingml/2006/picture">
                  <pic:nvPicPr>
                    <pic:cNvPr id="21" name="תמונה 33"/>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7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239E3">
        <w:t>From January to October 2023, the State Comptroller's Office audited the Ministry of Welfare's actions regarding the procurement of outsourced welfare services. The audit focused on the structure of the out-of-home welfare services market, the rates for service provision, the supervision of service providers, and the planning of out-of-home welfare service offerings. The audit was carried out at the Disability Administration, the Social and Personal Services Administration (SPSA) and the Rehabilitation, Support and Prevention Administration (RSPA) within the Ministry of Welfare. Supplementary examinations were also conducted at the Competition Authority, the Prime Minister's Office, and the Chief Economist and Budget Divisions at the Ministry of Finance, as well as the Corporations Authority at the Ministry of Justice. It is important to note that the audit mainly examined the management of outsourced social procurement by the Ministry of Welfare and Social Affairs and did not assess the conduct or activities of the service providers.</w:t>
      </w:r>
    </w:p>
    <w:p w:rsidR="00A73A45" w:rsidRPr="005239E3" w:rsidP="005239E3" w14:paraId="602B8997" w14:textId="31B23BE4">
      <w:pPr>
        <w:pStyle w:val="719"/>
        <w:bidi w:val="0"/>
        <w:ind w:left="397"/>
      </w:pPr>
      <w:r w:rsidRPr="005239E3">
        <w:t xml:space="preserve">To analyze the tender process for social </w:t>
      </w:r>
      <w:r w:rsidRPr="005239E3">
        <w:t>procurement, and</w:t>
      </w:r>
      <w:r w:rsidRPr="005239E3">
        <w:t xml:space="preserve"> given the absence of a database from the Ministry of Welfare, the audit team collected tender documents and committee minutes discussing the bids submitted and electing the winning bids, for all social procurement tenders from 2013 to 2022. It extracted key data from these documents and converted them into quantitative variables, enabling analysis using advanced statistical tools such as regression analysis</w:t>
      </w:r>
      <w:r w:rsidRPr="005239E3" w:rsidR="00FF2854">
        <w:t>.</w:t>
      </w:r>
    </w:p>
    <w:p w:rsidR="000A1D75" w:rsidP="00B56681" w14:paraId="44F553C6" w14:textId="6D5C69C9">
      <w:pPr>
        <w:keepNext/>
        <w:keepLines/>
        <w:bidi w:val="0"/>
        <w:spacing w:before="600"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254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rsidR="000A1D75" w:rsidP="009661D6" w14:paraId="129BA907" w14:textId="147575D3">
      <w:pPr>
        <w:keepNext/>
        <w:keepLines/>
        <w:bidi w:val="0"/>
        <w:spacing w:before="120" w:after="180" w:line="240" w:lineRule="atLeast"/>
        <w:rPr>
          <w:rFonts w:ascii="Tahoma" w:hAnsi="Tahoma" w:cs="Tahoma"/>
          <w:b/>
          <w:bCs/>
          <w:color w:val="00305F"/>
          <w:sz w:val="32"/>
          <w:szCs w:val="32"/>
          <w:rtl/>
        </w:rPr>
      </w:pPr>
      <w:bookmarkStart w:id="7" w:name="_Hlk62030689"/>
      <w:r w:rsidRPr="00AE5F94">
        <w:rPr>
          <w:rFonts w:ascii="Tahoma" w:hAnsi="Tahoma" w:cs="Tahoma"/>
          <w:b/>
          <w:bCs/>
          <w:color w:val="00305F"/>
          <w:sz w:val="32"/>
          <w:szCs w:val="32"/>
        </w:rPr>
        <w:t xml:space="preserve">Key </w:t>
      </w:r>
      <w:r w:rsidR="004806D7">
        <w:rPr>
          <w:rFonts w:ascii="Tahoma" w:hAnsi="Tahoma" w:cs="Tahoma"/>
          <w:b/>
          <w:bCs/>
          <w:color w:val="00305F"/>
          <w:sz w:val="32"/>
          <w:szCs w:val="32"/>
        </w:rPr>
        <w:t>F</w:t>
      </w:r>
      <w:r w:rsidRPr="00AE5F94">
        <w:rPr>
          <w:rFonts w:ascii="Tahoma" w:hAnsi="Tahoma" w:cs="Tahoma"/>
          <w:b/>
          <w:bCs/>
          <w:color w:val="00305F"/>
          <w:sz w:val="32"/>
          <w:szCs w:val="32"/>
        </w:rPr>
        <w:t>indings</w:t>
      </w:r>
    </w:p>
    <w:p w:rsidR="00BD3044" w:rsidRPr="00BD3044" w:rsidP="00BD3044" w14:paraId="007359CF" w14:textId="2DF255FA">
      <w:pPr>
        <w:keepNext/>
        <w:keepLines/>
        <w:bidi w:val="0"/>
        <w:spacing w:after="180" w:line="240" w:lineRule="atLeast"/>
        <w:rPr>
          <w:rFonts w:ascii="Tahoma" w:hAnsi="Tahoma" w:cs="Tahoma"/>
          <w:b/>
          <w:bCs/>
          <w:color w:val="00305F"/>
          <w:sz w:val="4"/>
          <w:szCs w:val="4"/>
          <w:rtl/>
        </w:rPr>
      </w:pPr>
      <w:r>
        <w:rPr>
          <w:b/>
          <w:bCs/>
          <w:noProof/>
          <w:sz w:val="18"/>
        </w:rPr>
        <w:drawing>
          <wp:anchor distT="0" distB="0" distL="114300" distR="114300" simplePos="0" relativeHeight="251673600" behindDoc="1" locked="0" layoutInCell="1" allowOverlap="1">
            <wp:simplePos x="0" y="0"/>
            <wp:positionH relativeFrom="column">
              <wp:posOffset>1270</wp:posOffset>
            </wp:positionH>
            <wp:positionV relativeFrom="paragraph">
              <wp:posOffset>38295</wp:posOffset>
            </wp:positionV>
            <wp:extent cx="2879725" cy="158115"/>
            <wp:effectExtent l="0" t="0" r="0" b="0"/>
            <wp:wrapTight wrapText="bothSides">
              <wp:wrapPolygon>
                <wp:start x="4191" y="0"/>
                <wp:lineTo x="0" y="5205"/>
                <wp:lineTo x="0" y="8675"/>
                <wp:lineTo x="4191" y="19084"/>
                <wp:lineTo x="5906" y="19084"/>
                <wp:lineTo x="21433" y="8675"/>
                <wp:lineTo x="21433" y="5205"/>
                <wp:lineTo x="5906" y="0"/>
                <wp:lineTo x="4191"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a:xfrm>
                      <a:off x="0" y="0"/>
                      <a:ext cx="2879725" cy="158115"/>
                    </a:xfrm>
                    <a:prstGeom prst="rect">
                      <a:avLst/>
                    </a:prstGeom>
                  </pic:spPr>
                </pic:pic>
              </a:graphicData>
            </a:graphic>
            <wp14:sizeRelH relativeFrom="page">
              <wp14:pctWidth>0</wp14:pctWidth>
            </wp14:sizeRelH>
            <wp14:sizeRelV relativeFrom="page">
              <wp14:pctHeight>0</wp14:pctHeight>
            </wp14:sizeRelV>
          </wp:anchor>
        </w:drawing>
      </w:r>
    </w:p>
    <w:bookmarkEnd w:id="7"/>
    <w:p w:rsidR="00EA3DAD" w:rsidP="005239E3" w14:paraId="6867AAEC" w14:textId="2822844A">
      <w:pPr>
        <w:pStyle w:val="7191"/>
        <w:bidi w:val="0"/>
        <w:spacing w:before="240"/>
        <w:ind w:left="397"/>
      </w:pPr>
      <w:r w:rsidRPr="005239E3">
        <w:rPr>
          <w:rFonts w:hint="cs"/>
          <w:b/>
          <w:bCs/>
          <w:noProof/>
          <w:rtl/>
        </w:rPr>
        <w:drawing>
          <wp:anchor distT="0" distB="0" distL="0" distR="0" simplePos="0" relativeHeight="251674624"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2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239E3" w:rsidR="005239E3">
        <w:rPr>
          <w:b/>
          <w:bCs/>
          <w:noProof/>
        </w:rPr>
        <w:t>Redundancy (profit margins and surpluses) Among Operators of Out-of-Home Social Service Frameworks –</w:t>
      </w:r>
      <w:r w:rsidRPr="00CA64B8" w:rsidR="005239E3">
        <w:rPr>
          <w:noProof/>
        </w:rPr>
        <w:t xml:space="preserve"> in 2022, the Ministry of Welfare procured out-of-home social services at about NIS 3.5 billion from 254 operators. "Redundancy" is identified among private operators when their income exceeds expenses, leading to profit margins, and among non-profit organizations when their surplus exceeds their revenue cycle. Aggregate data from the Chief Economist Division of the Ministry of Finance indicates that, among the 84 private companies providing social services to the Ministry of Welfare, the average profitability rate in 2021 is about 2.5 times higher than the intended profitability rate according to the level of revenues established by the Ministry of Welfare, resulting in an estimated difference of around NIS 106 million. When analyzing only those operators where at least 70% of their revenue cycle is derived from the provision of out-of-home services for the Ministry of Welfare, the profitability rate is found to be 2.3 times higher than the intended profitability rate, with an estimated difference of about NIS 88 </w:t>
      </w:r>
      <w:r w:rsidRPr="00CA64B8" w:rsidR="005239E3">
        <w:rPr>
          <w:noProof/>
        </w:rPr>
        <w:t>million. Furthermore, an examination of the financial statements of all non-profit organizations, where at least half of the income is generated from out-of-home frameworks for the Ministry of Welfare (67 organizations) raises, among 38% of these organizations, surpluses exceeding 100% of their revenue cycle, at about NIS 725 million, while 20% have surpluses exceeding 200%, at about NIS 393 million</w:t>
      </w:r>
      <w:r w:rsidRPr="00D12832">
        <w:t>.</w:t>
      </w:r>
    </w:p>
    <w:p w:rsidR="00D12832" w:rsidRPr="00D12832" w:rsidP="005239E3" w14:paraId="2E8C0936" w14:textId="18D1DF99">
      <w:pPr>
        <w:pStyle w:val="7191"/>
        <w:bidi w:val="0"/>
        <w:spacing w:before="240"/>
        <w:ind w:left="397"/>
      </w:pPr>
      <w:r w:rsidRPr="005239E3">
        <w:rPr>
          <w:rFonts w:hint="cs"/>
          <w:b/>
          <w:bCs/>
          <w:noProof/>
          <w:rtl/>
        </w:rPr>
        <w:drawing>
          <wp:anchor distT="0" distB="0" distL="0" distR="0" simplePos="0" relativeHeight="251684864"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34168750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687503"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239E3" w:rsidR="005239E3">
        <w:rPr>
          <w:b/>
          <w:bCs/>
          <w:noProof/>
        </w:rPr>
        <w:t>Dynamism Within the Welfare Services Market –</w:t>
      </w:r>
      <w:r w:rsidRPr="00CA64B8" w:rsidR="005239E3">
        <w:rPr>
          <w:noProof/>
        </w:rPr>
        <w:t xml:space="preserve"> the audit highlights the low level of dynamism within the welfare services market. Despite the high profitability rates that should encourage new entrants, the market remains predominantly controlled by operators with over 17 years of experience in providing services to the Ministry of Welfare. These operators constitute 76% of all framework operators (192 out of 254), at about 89% of total payments made in 2022 for out-of-home welfare services (about NIS 3.1 billion). This lack of operator turnover within existing frameworks, combined with limited entry of new operators, raises concerns regarding the concentration of power among these operators and the potential reliance on outdated treatment methods. The Government Team report from 2016 indicated that long-term engagements could lead to regulatory captivity regarding service operators and result in stagnation in service quality</w:t>
      </w:r>
      <w:r w:rsidRPr="00D12832">
        <w:t>.</w:t>
      </w:r>
    </w:p>
    <w:p w:rsidR="005239E3" w:rsidRPr="005239E3" w:rsidP="005239E3" w14:paraId="7416BC92" w14:textId="359DEC6C">
      <w:pPr>
        <w:pStyle w:val="7191"/>
        <w:bidi w:val="0"/>
        <w:spacing w:before="240"/>
        <w:ind w:left="397"/>
        <w:rPr>
          <w:b/>
          <w:bCs/>
          <w:noProof/>
        </w:rPr>
      </w:pPr>
      <w:r w:rsidRPr="005239E3">
        <w:rPr>
          <w:rFonts w:hint="cs"/>
          <w:b/>
          <w:bCs/>
          <w:noProof/>
          <w:rtl/>
        </w:rPr>
        <w:drawing>
          <wp:anchor distT="0" distB="0" distL="0" distR="0" simplePos="0" relativeHeight="251685888"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5253067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30679"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239E3">
        <w:rPr>
          <w:b/>
          <w:bCs/>
          <w:noProof/>
        </w:rPr>
        <w:t>Analysis of the Ministry of Welfare Tender Procedures for the Procurement of Social Services from External Operators</w:t>
      </w:r>
    </w:p>
    <w:p w:rsidR="005239E3" w:rsidRPr="00CA64B8" w:rsidP="005239E3" w14:paraId="274D290C" w14:textId="77777777">
      <w:pPr>
        <w:pStyle w:val="7191"/>
        <w:numPr>
          <w:ilvl w:val="0"/>
          <w:numId w:val="38"/>
        </w:numPr>
        <w:bidi w:val="0"/>
        <w:spacing w:before="240"/>
        <w:rPr>
          <w:noProof/>
        </w:rPr>
      </w:pPr>
      <w:r w:rsidRPr="005239E3">
        <w:rPr>
          <w:b/>
          <w:bCs/>
          <w:noProof/>
        </w:rPr>
        <w:t>Competition in Tenders –</w:t>
      </w:r>
      <w:r w:rsidRPr="00CA64B8">
        <w:rPr>
          <w:noProof/>
        </w:rPr>
        <w:t xml:space="preserve"> the outsourced social procurement tender market at the Ministry of Welfare, is unique as the service rates are predetermined and disclosed to all bidders, with competitive focus being placed solely on service quality rather than pricing. Within the tendering method employed in the provision of welfare services, competition among operators occurs at the tender stage. Analysis indicates that competition in the outsourced welfare services market is limited; about 60% of tenders from 2013 to 2022 (74 out of 128 tenders) exhibited no competition among the submitted proposals, with any qualifying proposal securing the tender. Consequently, the bidding mechanism fails to foster genuine competition in most instances.</w:t>
      </w:r>
    </w:p>
    <w:p w:rsidR="005239E3" w:rsidRPr="00CA64B8" w:rsidP="005239E3" w14:paraId="562C7C83" w14:textId="77777777">
      <w:pPr>
        <w:pStyle w:val="7191"/>
        <w:numPr>
          <w:ilvl w:val="0"/>
          <w:numId w:val="38"/>
        </w:numPr>
        <w:bidi w:val="0"/>
        <w:spacing w:before="240"/>
        <w:rPr>
          <w:noProof/>
        </w:rPr>
      </w:pPr>
      <w:r w:rsidRPr="005239E3">
        <w:rPr>
          <w:b/>
          <w:bCs/>
          <w:noProof/>
        </w:rPr>
        <w:t>Impact of Operator Tenure on Threshold Condition Compliance –</w:t>
      </w:r>
      <w:r w:rsidRPr="00CA64B8">
        <w:rPr>
          <w:noProof/>
        </w:rPr>
        <w:t xml:space="preserve"> compliance with threshold conditions serves as an essential filter to determine whether bidders fulfill the requirements outlined in the tender. These conditions pertain to factors such as the operational structure, the workforce to be employed therein, and the bidder's financial stability. Bidders failing to meet all threshold conditions are disqualified from advancing to subsequent stages. Veterans in the bidding process (entities that have retained contracts with the Ministry of Welfare since 2005 or earlier) have a roughly 10 percentage point higher likelihood of meeting all threshold conditions compared to new bidders, who entered the market thereafter or have no engagements with the Ministry of Welfare. This indicates that </w:t>
      </w:r>
      <w:r w:rsidRPr="00CA64B8">
        <w:rPr>
          <w:noProof/>
        </w:rPr>
        <w:t>a fundamental cause of the stagnation in the social services market and the consolidation of power among established operators is the threshold conditions in tenders, which act as an entry barrier for new bidders. This is particularly evident in the administrative requirements that present a technical barrier, posing challenges for new entrants to meet.</w:t>
      </w:r>
    </w:p>
    <w:p w:rsidR="005239E3" w:rsidRPr="00CA64B8" w:rsidP="005239E3" w14:paraId="03B18E8D" w14:textId="77777777">
      <w:pPr>
        <w:pStyle w:val="7191"/>
        <w:numPr>
          <w:ilvl w:val="0"/>
          <w:numId w:val="38"/>
        </w:numPr>
        <w:bidi w:val="0"/>
        <w:spacing w:before="240"/>
        <w:rPr>
          <w:noProof/>
        </w:rPr>
      </w:pPr>
      <w:r w:rsidRPr="005239E3">
        <w:rPr>
          <w:b/>
          <w:bCs/>
          <w:noProof/>
        </w:rPr>
        <w:t>Benchmarks for Evaluating Bids for Operating Out-of-Home Frameworks –</w:t>
      </w:r>
      <w:r w:rsidRPr="00CA64B8">
        <w:rPr>
          <w:noProof/>
        </w:rPr>
        <w:t xml:space="preserve"> benchmarks serve as the main criteria for assessing the quality of bids for managing out-of-home frameworks. Findings indicate that 68% of bids meeting threshold conditions received the maximum score in recommendations, while 77% achieved the maximum score in terms of the bidder's experience. This suggests that these benchmarks are not effectively utilized as mechanisms for evaluating bid quality. Furthermore, the Ministry inspectors lack access to information regarding the contents of successful bids, and the Supervision and Control Division of the Ministry of Welfare is uninformed about the treatment plans and personnel proposed by winning bidders. Consequently, this division is unable to confirm that the services rendered align with the commitments made by operators. Ultimately, the established benchmarks intended to differentiate bid quality do not effectively bind winning bidders to deliver the promised service quality, leading to a scenario in which the tendering process, designed to stimulate competition on service quality, results in a competition merely "on paper". This framework benefits veteran bidders who are cognizant of tender process limitations and supervisory mechanisms, understanding that they are not necessarily obligated to fulfill their submissions in practice.</w:t>
      </w:r>
    </w:p>
    <w:p w:rsidR="00D12832" w:rsidRPr="00D12832" w:rsidP="005239E3" w14:paraId="2EE4E33B" w14:textId="6F15C287">
      <w:pPr>
        <w:pStyle w:val="7191"/>
        <w:bidi w:val="0"/>
        <w:spacing w:before="240"/>
        <w:ind w:left="397"/>
      </w:pPr>
      <w:r w:rsidRPr="005239E3">
        <w:rPr>
          <w:rFonts w:hint="cs"/>
          <w:b/>
          <w:bCs/>
          <w:noProof/>
          <w:rtl/>
        </w:rPr>
        <w:drawing>
          <wp:anchor distT="0" distB="0" distL="0" distR="0" simplePos="0" relativeHeight="251686912"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35719256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192565"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239E3" w:rsidR="005239E3">
        <w:rPr>
          <w:b/>
          <w:bCs/>
          <w:noProof/>
        </w:rPr>
        <w:t xml:space="preserve">Involvement of the Competition Authority in the Regulation of Out-of-Home Welfare Services – </w:t>
      </w:r>
      <w:r w:rsidRPr="00CA64B8" w:rsidR="005239E3">
        <w:rPr>
          <w:noProof/>
        </w:rPr>
        <w:t>the Competition Authority, operating under the Economic Competition Law, 1988, is responsible for preserving and promoting free competition within the economy. The audit raise that the Competition Authority did not conduct a comprehensive examination of the welfare services market. Although a consultation took place between the Ministry of Welfare and the Competition Authority in February 2017 regarding specific tenders, this did not evolve into thorough cooperation or an in-depth analysis of market competition</w:t>
      </w:r>
      <w:r w:rsidRPr="00D12832">
        <w:t>.</w:t>
      </w:r>
    </w:p>
    <w:p w:rsidR="00D12832" w:rsidRPr="00D12832" w:rsidP="005239E3" w14:paraId="17B4BF12" w14:textId="25D00550">
      <w:pPr>
        <w:pStyle w:val="7191"/>
        <w:bidi w:val="0"/>
        <w:spacing w:before="240"/>
        <w:ind w:left="397"/>
      </w:pPr>
      <w:r w:rsidRPr="005239E3">
        <w:rPr>
          <w:rFonts w:hint="cs"/>
          <w:b/>
          <w:bCs/>
          <w:noProof/>
          <w:rtl/>
        </w:rPr>
        <w:drawing>
          <wp:anchor distT="0" distB="0" distL="0" distR="0" simplePos="0" relativeHeight="251687936"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73685758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857582"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239E3" w:rsidR="005239E3">
        <w:rPr>
          <w:b/>
          <w:bCs/>
          <w:noProof/>
        </w:rPr>
        <w:t>Determination of Out-of-Home Settings Rates –</w:t>
      </w:r>
      <w:r w:rsidRPr="00CA64B8" w:rsidR="005239E3">
        <w:rPr>
          <w:noProof/>
        </w:rPr>
        <w:t xml:space="preserve"> to ensure adequate service levels for social service recipients, the Ministry of Welfare has set a uniform rate for social services by the operators, intended to reflect the anticipated costs associated with the inputs required per service recipient as per agreements with the Ministry. The audit raised that the rate mechanism is not differential and fails to align with the actual expense structure of operators, resulting in distortions, and creates disincentives for operators to fulfill all their contractual commitments to the Ministry of Welfare. For instance, the salary rates set within the rates system for nurses and doctors (NIS 11,000 and NIS 17,000, respectively) are significantly lower than their average salaries (NIS 22,000 and NIS 36,000, respectively) and are less than 40% of their median salary in </w:t>
      </w:r>
      <w:r w:rsidRPr="00CA64B8" w:rsidR="005239E3">
        <w:rPr>
          <w:noProof/>
        </w:rPr>
        <w:t>the civil service (NIS 19,000 and NIS 29,000, respectively). Additionally, the rent component in the rate is based on average costs, which may not appropriately reflect market conditions in central versus peripheral areas. The Ministry of Welfare has not amended the profitability rate, which has remained unchanged at 4% for over 25 years. In a high-interest rate environment, this static profitability rate does not incentivize new entrants to the social services market, as they are unaware that actual profitability is significantly higher and as they face the requirement of making new infrastructure investments at the outset of the contract</w:t>
      </w:r>
      <w:r w:rsidRPr="00D12832">
        <w:t>.</w:t>
      </w:r>
    </w:p>
    <w:p w:rsidR="00D12832" w:rsidRPr="00D12832" w:rsidP="005239E3" w14:paraId="18CA7A28" w14:textId="064969BB">
      <w:pPr>
        <w:pStyle w:val="7191"/>
        <w:bidi w:val="0"/>
        <w:spacing w:before="240"/>
        <w:ind w:left="397"/>
      </w:pPr>
      <w:r w:rsidRPr="005239E3">
        <w:rPr>
          <w:rFonts w:hint="cs"/>
          <w:b/>
          <w:bCs/>
          <w:noProof/>
          <w:rtl/>
        </w:rPr>
        <w:drawing>
          <wp:anchor distT="0" distB="0" distL="0" distR="0" simplePos="0" relativeHeight="251688960"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30015594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155946"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239E3" w:rsidR="005239E3">
        <w:rPr>
          <w:b/>
          <w:bCs/>
          <w:noProof/>
        </w:rPr>
        <w:t>Sanctions Against Operators for Insufficient Personnel Allocation –</w:t>
      </w:r>
      <w:r w:rsidRPr="00CA64B8" w:rsidR="005239E3">
        <w:rPr>
          <w:noProof/>
        </w:rPr>
        <w:t xml:space="preserve"> the enforcement procedure permits the Ministry of Welfare to offset payments from operators who fail to meet contractual obligations. Despite being aware of substantial personnel shortages among framework operators (notably a 42% deficit in social workers), the Ministry of Welfare refrains from applying the enforcement procedure concerning offsets. Consequently, of the estimated NIS 512 million disbursed annually, the Ministry pays operators for positions that remain unfilled, suggesting suspected damage to the public purse. The Ministry's failure to sanction the offsets and its ongoing payment for services not rendered reflects a disregard for compliance among contract violators, highlighting the Ministry's dependence on these operators. This situation not only undermines the integrity of public funds but also permits operators to deliver substandard services to recipients without facing consequences</w:t>
      </w:r>
      <w:r w:rsidRPr="00D12832">
        <w:t>.</w:t>
      </w:r>
    </w:p>
    <w:p w:rsidR="00D12832" w:rsidRPr="00D12832" w:rsidP="005239E3" w14:paraId="57AD7108" w14:textId="2C11577D">
      <w:pPr>
        <w:pStyle w:val="7191"/>
        <w:bidi w:val="0"/>
        <w:spacing w:before="240"/>
        <w:ind w:left="397"/>
      </w:pPr>
      <w:r w:rsidRPr="005239E3">
        <w:rPr>
          <w:rFonts w:hint="cs"/>
          <w:b/>
          <w:bCs/>
          <w:noProof/>
          <w:rtl/>
        </w:rPr>
        <w:drawing>
          <wp:anchor distT="0" distB="0" distL="0" distR="0" simplePos="0" relativeHeight="251689984"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14911004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110044"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239E3" w:rsidR="005239E3">
        <w:rPr>
          <w:b/>
          <w:bCs/>
          <w:noProof/>
        </w:rPr>
        <w:t>The Ministry of Welfare's Supervision of Out-of-Home Settings –</w:t>
      </w:r>
      <w:r w:rsidRPr="00CA64B8" w:rsidR="005239E3">
        <w:rPr>
          <w:noProof/>
        </w:rPr>
        <w:t xml:space="preserve"> the Ministry of Welfare has set a standard of 485 supervisory positions for out-of-home settings, yet currently employs only 453, leaving 32 positions unfilled. The supervisory role encompasses 50% control and enforcement tasks and 50% consulting tasks, yet many control components outlined in a 1950 government resolution are either absent or only partially fulfilled by the Ministry of Welfare. Thus, for example, there is inconsistency between the contract content and the inspectors' work, accompanied by an absence of monitoring for the rectification of deficiencies. Inspectors do not receive information regarding the successful bids or treatment plans associated with the frameworks in which they operate, nor do they verify that the services provided align with the commitments made by operators to enhance service quality. Moreover, the limited frequency of supervisory visits, averaging 2–3 per year, falls short of the government-recommended 13–18 visits annually, hindering the identification by the inspectors of service deficiencies, including issues related to shortages in treatment staff and substandard living conditions. Notably, between 2020 and 2022, the Ministry stopped placements in frameworks in about 40 instances of contractual violations by operators, relying solely on this sanction, without imposing financial penalties. Unlike some countries, for example the UK, where the Care Quality Commission (CQC) is an independent regulatory body involved only in supervision and enforcement, in Israel the district inspectors are tasked with both oversight and advisory roles</w:t>
      </w:r>
      <w:r w:rsidRPr="00D12832">
        <w:t>.</w:t>
      </w:r>
    </w:p>
    <w:p w:rsidR="00D12832" w:rsidRPr="00D12832" w:rsidP="005239E3" w14:paraId="0C1A70B1" w14:textId="05F7BB59">
      <w:pPr>
        <w:pStyle w:val="7191"/>
        <w:bidi w:val="0"/>
        <w:spacing w:before="240"/>
        <w:ind w:left="397"/>
      </w:pPr>
      <w:r w:rsidRPr="005239E3">
        <w:rPr>
          <w:rFonts w:hint="cs"/>
          <w:b/>
          <w:bCs/>
          <w:noProof/>
          <w:rtl/>
        </w:rPr>
        <w:drawing>
          <wp:anchor distT="0" distB="0" distL="0" distR="0" simplePos="0" relativeHeight="251691008" behindDoc="0" locked="0" layoutInCell="1" allowOverlap="1">
            <wp:simplePos x="0" y="0"/>
            <wp:positionH relativeFrom="column">
              <wp:posOffset>15875</wp:posOffset>
            </wp:positionH>
            <wp:positionV relativeFrom="paragraph">
              <wp:posOffset>20967</wp:posOffset>
            </wp:positionV>
            <wp:extent cx="162000" cy="162000"/>
            <wp:effectExtent l="0" t="0" r="3175" b="3175"/>
            <wp:wrapSquare wrapText="bothSides"/>
            <wp:docPr id="76205747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057477"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239E3" w:rsidR="005239E3">
        <w:rPr>
          <w:b/>
          <w:bCs/>
          <w:noProof/>
        </w:rPr>
        <w:t>The Ministry of Welfare's Financial Control over Out-of-Home Frameworks Operators –</w:t>
      </w:r>
      <w:r w:rsidRPr="00CA64B8" w:rsidR="005239E3">
        <w:rPr>
          <w:noProof/>
        </w:rPr>
        <w:t xml:space="preserve"> the financial control exercised by the Ministry of Welfare over the operators of out-of-home frameworks is intended to ensure proper allocation of budgets in line with tender requirements, to provide optimal care for the residents, and to enhance financial transparency and supervision. However, the audit found that the Ministry does not effectively monitor the operators' financial practices. Beyond the initial tender phase, the Ministry does not require financial statements from operators incorporated as private companies, nor does it analyze the published statements of those incorporated as nonprofit organizations, even though they are published on the Ministry of Justice website. This inadequacy means that the Ministry does not routinely assess the financial stability of operators or identify warning signs of potential risks to their viability, if any, or to identify significant redundancies (profit margins and surpluses) among operators. Furthermore, it does not carry out a comprehensive financial audit to ascertain whether operators are utilizing the funds provided as agreed</w:t>
      </w:r>
      <w:r w:rsidRPr="00D12832">
        <w:t>.</w:t>
      </w:r>
    </w:p>
    <w:p w:rsidR="003E0EAA" w:rsidRPr="008874F2" w:rsidP="003E0EAA" w14:paraId="13335FCD" w14:textId="3C836A42">
      <w:pPr>
        <w:pStyle w:val="719"/>
        <w:bidi w:val="0"/>
        <w:rPr>
          <w:rtl/>
        </w:rPr>
      </w:pPr>
      <w:r>
        <w:rPr>
          <w:noProof/>
          <w:sz w:val="19"/>
          <w:szCs w:val="19"/>
        </w:rPr>
        <w:drawing>
          <wp:anchor distT="0" distB="0" distL="114300" distR="114300" simplePos="0" relativeHeight="251679744" behindDoc="0" locked="0" layoutInCell="1" allowOverlap="1">
            <wp:simplePos x="0" y="0"/>
            <wp:positionH relativeFrom="column">
              <wp:posOffset>-3175</wp:posOffset>
            </wp:positionH>
            <wp:positionV relativeFrom="paragraph">
              <wp:posOffset>54787</wp:posOffset>
            </wp:positionV>
            <wp:extent cx="2879725" cy="158115"/>
            <wp:effectExtent l="0" t="0" r="0" b="0"/>
            <wp:wrapNone/>
            <wp:docPr id="145106665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52" name="Picture 2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a:xfrm>
                      <a:off x="0" y="0"/>
                      <a:ext cx="2879725" cy="158115"/>
                    </a:xfrm>
                    <a:prstGeom prst="rect">
                      <a:avLst/>
                    </a:prstGeom>
                  </pic:spPr>
                </pic:pic>
              </a:graphicData>
            </a:graphic>
            <wp14:sizeRelH relativeFrom="page">
              <wp14:pctWidth>0</wp14:pctWidth>
            </wp14:sizeRelH>
            <wp14:sizeRelV relativeFrom="page">
              <wp14:pctHeight>0</wp14:pctHeight>
            </wp14:sizeRelV>
          </wp:anchor>
        </w:drawing>
      </w:r>
    </w:p>
    <w:p w:rsidR="00CF20CC" w:rsidRPr="00FF2854" w:rsidP="00CF20CC" w14:paraId="7D359DB3" w14:textId="0FE0B8BE">
      <w:pPr>
        <w:pStyle w:val="7191"/>
        <w:bidi w:val="0"/>
        <w:spacing w:before="240"/>
        <w:ind w:left="397"/>
        <w:rPr>
          <w:bCs/>
          <w:noProof/>
        </w:rPr>
      </w:pPr>
      <w:r w:rsidRPr="005239E3">
        <w:rPr>
          <w:b/>
          <w:bCs/>
          <w:noProof/>
        </w:rPr>
        <w:t>The Structures Threshold Conditions –</w:t>
      </w:r>
      <w:r w:rsidRPr="00CA64B8">
        <w:rPr>
          <w:noProof/>
        </w:rPr>
        <w:t xml:space="preserve"> a central component in the operation of out-of-home frameworks, mandates the existence of a structure suitable for the residence of service recipients. This threshold condition posed a significant barrier, particularly for new bidders who had not previously operated out-of-home frameworks. Until 2016, bidders were required to demonstrate ownership of a building as early as the first stage, as part of the threshold conditions. To facilitate this process for bidders and to expand competition, the Ministry of Welfare decided to suspend the requirement for proof of ownership of a building for a period exceeding one year. Following this policy change by the Ministry of Welfare in 2016, there was a marked decrease in the number of bidders disqualified for not meeting this threshold condition. The State Comptroller's Office commends the Ministry of Welfare's decision to ease this threshold condition, promoting the entry of new participants into the market</w:t>
      </w:r>
      <w:r w:rsidRPr="00FF2854">
        <w:rPr>
          <w:bCs/>
          <w:noProof/>
        </w:rPr>
        <w:t>.</w:t>
      </w:r>
    </w:p>
    <w:p w:rsidR="004516D9" w:rsidP="004516D9" w14:paraId="3B611378" w14:textId="77777777">
      <w:pPr>
        <w:pStyle w:val="7191"/>
        <w:bidi w:val="0"/>
        <w:spacing w:after="0"/>
      </w:pPr>
    </w:p>
    <w:p w:rsidR="00EB59F5" w14:paraId="76AC50DD" w14:textId="77777777">
      <w:pPr>
        <w:bidi w:val="0"/>
        <w:rPr>
          <w:rFonts w:ascii="Tahoma" w:hAnsi="Tahoma" w:cs="Tahoma"/>
          <w:b/>
          <w:bCs/>
          <w:color w:val="003364"/>
          <w:w w:val="90"/>
          <w:sz w:val="32"/>
          <w:szCs w:val="32"/>
        </w:rPr>
      </w:pPr>
      <w:r>
        <w:rPr>
          <w:rFonts w:ascii="Tahoma" w:hAnsi="Tahoma" w:cs="Tahoma"/>
          <w:b/>
          <w:bCs/>
          <w:color w:val="003364"/>
          <w:w w:val="90"/>
          <w:sz w:val="32"/>
          <w:szCs w:val="32"/>
        </w:rPr>
        <w:br w:type="page"/>
      </w:r>
    </w:p>
    <w:p w:rsidR="007E0204" w:rsidP="007E0204" w14:paraId="45D89D2D" w14:textId="50C37D57">
      <w:pPr>
        <w:bidi w:val="0"/>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2545"/>
            <wp:effectExtent l="0" t="0" r="6350" b="0"/>
            <wp:docPr id="3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0"/>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rsidR="007E0204" w:rsidRPr="00902625" w:rsidP="007E0204" w14:paraId="221294C0" w14:textId="2073DB49">
      <w:pPr>
        <w:bidi w:val="0"/>
        <w:spacing w:before="120" w:after="240" w:line="240" w:lineRule="atLeast"/>
        <w:rPr>
          <w:rFonts w:ascii="Tahoma" w:hAnsi="Tahoma" w:cs="Tahoma"/>
          <w:b/>
          <w:bCs/>
          <w:color w:val="00305F"/>
          <w:sz w:val="32"/>
          <w:szCs w:val="32"/>
          <w:rtl/>
        </w:rPr>
      </w:pPr>
      <w:r w:rsidRPr="00AE5F94">
        <w:rPr>
          <w:rFonts w:ascii="Tahoma" w:hAnsi="Tahoma" w:cs="Tahoma"/>
          <w:b/>
          <w:bCs/>
          <w:color w:val="00305F"/>
          <w:sz w:val="32"/>
          <w:szCs w:val="32"/>
        </w:rPr>
        <w:t xml:space="preserve">Key </w:t>
      </w:r>
      <w:r w:rsidR="004806D7">
        <w:rPr>
          <w:rFonts w:ascii="Tahoma" w:hAnsi="Tahoma" w:cs="Tahoma"/>
          <w:b/>
          <w:bCs/>
          <w:color w:val="00305F"/>
          <w:sz w:val="32"/>
          <w:szCs w:val="32"/>
        </w:rPr>
        <w:t>R</w:t>
      </w:r>
      <w:r w:rsidRPr="00AE5F94">
        <w:rPr>
          <w:rFonts w:ascii="Tahoma" w:hAnsi="Tahoma" w:cs="Tahoma"/>
          <w:b/>
          <w:bCs/>
          <w:color w:val="00305F"/>
          <w:sz w:val="32"/>
          <w:szCs w:val="32"/>
        </w:rPr>
        <w:t>ecommendations</w:t>
      </w:r>
    </w:p>
    <w:p w:rsidR="007E0204" w:rsidRPr="00C50F58" w:rsidP="00682C3F" w14:paraId="33D561A5" w14:textId="31C0AD25">
      <w:pPr>
        <w:pStyle w:val="ListParagraph"/>
        <w:numPr>
          <w:ilvl w:val="0"/>
          <w:numId w:val="0"/>
        </w:numPr>
        <w:bidi w:val="0"/>
        <w:spacing w:after="180" w:line="260" w:lineRule="exact"/>
        <w:ind w:left="397"/>
        <w:rPr>
          <w:spacing w:val="-2"/>
          <w:sz w:val="18"/>
          <w:szCs w:val="18"/>
        </w:rPr>
      </w:pPr>
      <w:r w:rsidRPr="005239E3">
        <w:rPr>
          <w:b/>
          <w:bCs/>
          <w:noProof/>
          <w:spacing w:val="-2"/>
          <w:sz w:val="18"/>
          <w:szCs w:val="18"/>
        </w:rPr>
        <w:drawing>
          <wp:anchor distT="0" distB="3600450" distL="114300" distR="114300" simplePos="0" relativeHeight="251681792"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49" name="תמונה 33"/>
            <wp:cNvGraphicFramePr/>
            <a:graphic xmlns:a="http://schemas.openxmlformats.org/drawingml/2006/main">
              <a:graphicData uri="http://schemas.openxmlformats.org/drawingml/2006/picture">
                <pic:pic xmlns:pic="http://schemas.openxmlformats.org/drawingml/2006/picture">
                  <pic:nvPicPr>
                    <pic:cNvPr id="49"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239E3" w:rsidR="005239E3">
        <w:rPr>
          <w:b/>
          <w:bCs/>
          <w:noProof/>
          <w:spacing w:val="-2"/>
          <w:sz w:val="18"/>
          <w:szCs w:val="18"/>
        </w:rPr>
        <w:t>Analysis of the Bidding Process –</w:t>
      </w:r>
      <w:r w:rsidRPr="00CA64B8" w:rsidR="005239E3">
        <w:rPr>
          <w:noProof/>
          <w:spacing w:val="-2"/>
          <w:sz w:val="18"/>
          <w:szCs w:val="18"/>
        </w:rPr>
        <w:t xml:space="preserve"> to enhance competition for the quality of social services, the Ministry of Welfare should increase the number of bids by implementing in tenders or in any other way, "nascent protection", which safeguards new bidders against the influence of dominant operators with longstanding market presence, thereby improving the level of competition in the initial phase. Additionally, it is recommended that it consider adjustments to the threshold conditions for bidders to enable participation by new entrants, thereby expanding competition in the subsequent phase and enabling effective ranking of bids based on quality. Furthermore, the Ministry should strengthen the interfaces between the selection phase of framework operators and the supervision and control phase, both by ensuring effective ranking of proposals based on accumulated experience with bidders and by notifying inspectors of winning proposals to monitor the fulfilment of operators' obligations</w:t>
      </w:r>
      <w:r w:rsidRPr="00C50F58">
        <w:rPr>
          <w:rFonts w:hint="cs"/>
          <w:spacing w:val="-2"/>
          <w:sz w:val="18"/>
          <w:szCs w:val="18"/>
        </w:rPr>
        <w:t xml:space="preserve">. </w:t>
      </w:r>
    </w:p>
    <w:p w:rsidR="007E0204" w:rsidP="00682C3F" w14:paraId="1C0FBD87" w14:textId="18FD4D12">
      <w:pPr>
        <w:pStyle w:val="ListParagraph"/>
        <w:numPr>
          <w:ilvl w:val="0"/>
          <w:numId w:val="0"/>
        </w:numPr>
        <w:bidi w:val="0"/>
        <w:spacing w:after="180" w:line="260" w:lineRule="exact"/>
        <w:ind w:left="397"/>
        <w:rPr>
          <w:spacing w:val="-2"/>
          <w:sz w:val="18"/>
          <w:szCs w:val="18"/>
        </w:rPr>
      </w:pPr>
      <w:r w:rsidRPr="005239E3">
        <w:rPr>
          <w:b/>
          <w:bCs/>
          <w:noProof/>
          <w:spacing w:val="-2"/>
          <w:sz w:val="18"/>
          <w:szCs w:val="18"/>
        </w:rPr>
        <w:drawing>
          <wp:anchor distT="0" distB="3600450" distL="114300" distR="114300" simplePos="0" relativeHeight="251682816"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47" name="תמונה 33"/>
            <wp:cNvGraphicFramePr/>
            <a:graphic xmlns:a="http://schemas.openxmlformats.org/drawingml/2006/main">
              <a:graphicData uri="http://schemas.openxmlformats.org/drawingml/2006/picture">
                <pic:pic xmlns:pic="http://schemas.openxmlformats.org/drawingml/2006/picture">
                  <pic:nvPicPr>
                    <pic:cNvPr id="47"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239E3" w:rsidR="005239E3">
        <w:rPr>
          <w:b/>
          <w:bCs/>
          <w:noProof/>
          <w:spacing w:val="-2"/>
          <w:sz w:val="18"/>
          <w:szCs w:val="18"/>
        </w:rPr>
        <w:t>Benchmarks for Evaluating Bids for Out-of-Home Frameworks –</w:t>
      </w:r>
      <w:r w:rsidRPr="00CA64B8" w:rsidR="005239E3">
        <w:rPr>
          <w:noProof/>
          <w:spacing w:val="-2"/>
          <w:sz w:val="18"/>
          <w:szCs w:val="18"/>
        </w:rPr>
        <w:t xml:space="preserve"> to guarantee that the benchmarks effectively function as a framework for the commitment of the winning bidders to service quality and promote competition in service quality during the bidding process, it is recommended that the Ministry of Welfare ensure that inspectors are informed about the content of the successful bids in the tender and verify that the operators comply with them. Furthermore, the Supervision and Control Division should receive information regarding the treatment plans and personnel proposed by the tender winners</w:t>
      </w:r>
      <w:r w:rsidRPr="00C50F58">
        <w:rPr>
          <w:rFonts w:hint="cs"/>
          <w:spacing w:val="-2"/>
          <w:sz w:val="18"/>
          <w:szCs w:val="18"/>
        </w:rPr>
        <w:t>.</w:t>
      </w:r>
    </w:p>
    <w:p w:rsidR="00D12832" w:rsidRPr="00C50F58" w:rsidP="00D12832" w14:paraId="275C7970" w14:textId="5B4CFD0A">
      <w:pPr>
        <w:pStyle w:val="ListParagraph"/>
        <w:numPr>
          <w:ilvl w:val="0"/>
          <w:numId w:val="0"/>
        </w:numPr>
        <w:bidi w:val="0"/>
        <w:spacing w:after="180" w:line="260" w:lineRule="exact"/>
        <w:ind w:left="397"/>
        <w:rPr>
          <w:spacing w:val="-2"/>
          <w:sz w:val="18"/>
          <w:szCs w:val="18"/>
        </w:rPr>
      </w:pPr>
      <w:r w:rsidRPr="005239E3">
        <w:rPr>
          <w:b/>
          <w:bCs/>
          <w:noProof/>
          <w:spacing w:val="-2"/>
          <w:sz w:val="18"/>
          <w:szCs w:val="18"/>
        </w:rPr>
        <w:drawing>
          <wp:anchor distT="0" distB="3600450" distL="114300" distR="114300" simplePos="0" relativeHeight="251692032"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917672958" name="תמונה 33"/>
            <wp:cNvGraphicFramePr/>
            <a:graphic xmlns:a="http://schemas.openxmlformats.org/drawingml/2006/main">
              <a:graphicData uri="http://schemas.openxmlformats.org/drawingml/2006/picture">
                <pic:pic xmlns:pic="http://schemas.openxmlformats.org/drawingml/2006/picture">
                  <pic:nvPicPr>
                    <pic:cNvPr id="1917672958"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239E3" w:rsidR="005239E3">
        <w:rPr>
          <w:b/>
          <w:bCs/>
          <w:noProof/>
          <w:spacing w:val="-2"/>
          <w:sz w:val="18"/>
          <w:szCs w:val="18"/>
        </w:rPr>
        <w:t>Rates for the Provision of Out-of-Home Welfare Services –</w:t>
      </w:r>
      <w:r w:rsidRPr="00CA64B8" w:rsidR="005239E3">
        <w:rPr>
          <w:noProof/>
          <w:spacing w:val="-2"/>
          <w:sz w:val="18"/>
          <w:szCs w:val="18"/>
        </w:rPr>
        <w:t xml:space="preserve"> to improve and refine the welfare services market, the Ministry of Welfare should reduce distortions in the existing rate mechanism and ensure that service operators deliver the full spectrum of required services. Rate structures should incorporate incentives for operators to retain treatment staff and mitigate burnout, impose offsets for absentee personnel, and periodically adjust profitability rates in line with changes in the economic environment, including fluctuations in the Bank of Israel interest rate or profitability of similar employment sectors</w:t>
      </w:r>
      <w:r w:rsidRPr="00C50F58">
        <w:rPr>
          <w:rFonts w:hint="cs"/>
          <w:spacing w:val="-2"/>
          <w:sz w:val="18"/>
          <w:szCs w:val="18"/>
        </w:rPr>
        <w:t xml:space="preserve">. </w:t>
      </w:r>
    </w:p>
    <w:p w:rsidR="00D12832" w:rsidRPr="00C50F58" w:rsidP="00D12832" w14:paraId="60A330EC" w14:textId="54232275">
      <w:pPr>
        <w:pStyle w:val="ListParagraph"/>
        <w:numPr>
          <w:ilvl w:val="0"/>
          <w:numId w:val="0"/>
        </w:numPr>
        <w:bidi w:val="0"/>
        <w:spacing w:after="180" w:line="260" w:lineRule="exact"/>
        <w:ind w:left="397"/>
        <w:rPr>
          <w:spacing w:val="-2"/>
          <w:sz w:val="18"/>
          <w:szCs w:val="18"/>
        </w:rPr>
      </w:pPr>
      <w:r w:rsidRPr="005239E3">
        <w:rPr>
          <w:b/>
          <w:bCs/>
          <w:noProof/>
          <w:spacing w:val="-2"/>
          <w:sz w:val="18"/>
          <w:szCs w:val="18"/>
        </w:rPr>
        <w:drawing>
          <wp:anchor distT="0" distB="3600450" distL="114300" distR="114300" simplePos="0" relativeHeight="251693056"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719082896" name="תמונה 33"/>
            <wp:cNvGraphicFramePr/>
            <a:graphic xmlns:a="http://schemas.openxmlformats.org/drawingml/2006/main">
              <a:graphicData uri="http://schemas.openxmlformats.org/drawingml/2006/picture">
                <pic:pic xmlns:pic="http://schemas.openxmlformats.org/drawingml/2006/picture">
                  <pic:nvPicPr>
                    <pic:cNvPr id="719082896"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239E3" w:rsidR="005239E3">
        <w:rPr>
          <w:b/>
          <w:bCs/>
          <w:noProof/>
          <w:spacing w:val="-2"/>
          <w:sz w:val="18"/>
          <w:szCs w:val="18"/>
        </w:rPr>
        <w:t>Supervision Scope over Out-of-Home Frameworks –</w:t>
      </w:r>
      <w:r w:rsidRPr="00CA64B8" w:rsidR="005239E3">
        <w:rPr>
          <w:noProof/>
          <w:spacing w:val="-2"/>
          <w:sz w:val="18"/>
          <w:szCs w:val="18"/>
        </w:rPr>
        <w:t xml:space="preserve"> to ensure effective supervision of out-of-home frameworks, it is recommended that the Ministry of Welfare establish a standard for supervisory frequency tailored to the characteristics of various frameworks. This should inform the optimal number of frameworks each inspector oversees in accordance with established priorities and necessary staffing levels. Moreover, the Ministry should ensure that inspectors are well-informed of operators' obligations as per their agreements with the Ministry and the bids made during the tender process, imposing sanctions for repeated violations. Given the limited scope of the Ministry's supervision of out-of-home settings, coupled with the diverse responsibilities of inspectors, including consulting functions, it is recommended that the Ministry conduct an occupational analysis of the inspector position. This analysis should explore potential updates to the role, drawing </w:t>
      </w:r>
      <w:r w:rsidRPr="00CA64B8" w:rsidR="005239E3">
        <w:rPr>
          <w:noProof/>
          <w:spacing w:val="-2"/>
          <w:sz w:val="18"/>
          <w:szCs w:val="18"/>
        </w:rPr>
        <w:t>from successful models in other jurisdictions, such as the Care Quality Commission (CQC) in the United Kingdom, which focuses exclusively on control and enforcement</w:t>
      </w:r>
      <w:r w:rsidRPr="00C50F58">
        <w:rPr>
          <w:rFonts w:hint="cs"/>
          <w:spacing w:val="-2"/>
          <w:sz w:val="18"/>
          <w:szCs w:val="18"/>
        </w:rPr>
        <w:t xml:space="preserve">. </w:t>
      </w:r>
    </w:p>
    <w:p w:rsidR="00D12832" w:rsidRPr="00C50F58" w:rsidP="00D12832" w14:paraId="195EE1A5" w14:textId="65C22669">
      <w:pPr>
        <w:pStyle w:val="ListParagraph"/>
        <w:numPr>
          <w:ilvl w:val="0"/>
          <w:numId w:val="0"/>
        </w:numPr>
        <w:bidi w:val="0"/>
        <w:spacing w:after="180" w:line="260" w:lineRule="exact"/>
        <w:ind w:left="397"/>
        <w:rPr>
          <w:spacing w:val="-2"/>
          <w:sz w:val="18"/>
          <w:szCs w:val="18"/>
        </w:rPr>
      </w:pPr>
      <w:r w:rsidRPr="005239E3">
        <w:rPr>
          <w:b/>
          <w:bCs/>
          <w:noProof/>
          <w:spacing w:val="-2"/>
          <w:sz w:val="18"/>
          <w:szCs w:val="18"/>
        </w:rPr>
        <w:drawing>
          <wp:anchor distT="0" distB="3600450" distL="114300" distR="114300" simplePos="0" relativeHeight="251694080"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474628561" name="תמונה 33"/>
            <wp:cNvGraphicFramePr/>
            <a:graphic xmlns:a="http://schemas.openxmlformats.org/drawingml/2006/main">
              <a:graphicData uri="http://schemas.openxmlformats.org/drawingml/2006/picture">
                <pic:pic xmlns:pic="http://schemas.openxmlformats.org/drawingml/2006/picture">
                  <pic:nvPicPr>
                    <pic:cNvPr id="1474628561"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239E3" w:rsidR="005239E3">
        <w:rPr>
          <w:b/>
          <w:bCs/>
          <w:noProof/>
          <w:spacing w:val="-2"/>
          <w:sz w:val="18"/>
          <w:szCs w:val="18"/>
        </w:rPr>
        <w:t>Financial Supervision of Out-of-Home Framework Operators –</w:t>
      </w:r>
      <w:r w:rsidRPr="00CA64B8" w:rsidR="005239E3">
        <w:rPr>
          <w:noProof/>
          <w:spacing w:val="-2"/>
          <w:sz w:val="18"/>
          <w:szCs w:val="18"/>
        </w:rPr>
        <w:t xml:space="preserve"> it is recommended that the Ministry of Welfare supervise the financial management of out-of-home framework operators. This should be achieved through the regular receipt of financial statements from operators and periodic in-depth assessments of their financial practices, conducted either in a sample-based manner or utilizing risk management principles</w:t>
      </w:r>
      <w:r w:rsidRPr="00C50F58">
        <w:rPr>
          <w:rFonts w:hint="cs"/>
          <w:spacing w:val="-2"/>
          <w:sz w:val="18"/>
          <w:szCs w:val="18"/>
        </w:rPr>
        <w:t xml:space="preserve">. </w:t>
      </w:r>
    </w:p>
    <w:p w:rsidR="00D12832" w:rsidRPr="00C50F58" w:rsidP="00D12832" w14:paraId="7D34CD01" w14:textId="77D71516">
      <w:pPr>
        <w:pStyle w:val="ListParagraph"/>
        <w:numPr>
          <w:ilvl w:val="0"/>
          <w:numId w:val="0"/>
        </w:numPr>
        <w:bidi w:val="0"/>
        <w:spacing w:after="180" w:line="260" w:lineRule="exact"/>
        <w:ind w:left="397"/>
        <w:rPr>
          <w:spacing w:val="-2"/>
          <w:sz w:val="18"/>
          <w:szCs w:val="18"/>
        </w:rPr>
      </w:pPr>
      <w:r w:rsidRPr="005239E3">
        <w:rPr>
          <w:b/>
          <w:bCs/>
          <w:noProof/>
          <w:spacing w:val="-2"/>
          <w:sz w:val="18"/>
          <w:szCs w:val="18"/>
        </w:rPr>
        <w:drawing>
          <wp:anchor distT="0" distB="3600450" distL="114300" distR="114300" simplePos="0" relativeHeight="251695104"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455820183" name="תמונה 33"/>
            <wp:cNvGraphicFramePr/>
            <a:graphic xmlns:a="http://schemas.openxmlformats.org/drawingml/2006/main">
              <a:graphicData uri="http://schemas.openxmlformats.org/drawingml/2006/picture">
                <pic:pic xmlns:pic="http://schemas.openxmlformats.org/drawingml/2006/picture">
                  <pic:nvPicPr>
                    <pic:cNvPr id="455820183"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239E3" w:rsidR="005239E3">
        <w:rPr>
          <w:b/>
          <w:bCs/>
          <w:noProof/>
          <w:spacing w:val="-2"/>
          <w:sz w:val="18"/>
          <w:szCs w:val="18"/>
        </w:rPr>
        <w:t xml:space="preserve">Reevaluation of </w:t>
      </w:r>
      <w:r w:rsidRPr="005239E3" w:rsidR="005239E3">
        <w:rPr>
          <w:rFonts w:hint="cs"/>
          <w:b/>
          <w:bCs/>
          <w:noProof/>
          <w:spacing w:val="-2"/>
          <w:sz w:val="18"/>
          <w:szCs w:val="18"/>
        </w:rPr>
        <w:t>W</w:t>
      </w:r>
      <w:r w:rsidRPr="005239E3" w:rsidR="005239E3">
        <w:rPr>
          <w:b/>
          <w:bCs/>
          <w:noProof/>
          <w:spacing w:val="-2"/>
          <w:sz w:val="18"/>
          <w:szCs w:val="18"/>
        </w:rPr>
        <w:t>elfare Service Provision Methods –</w:t>
      </w:r>
      <w:r w:rsidRPr="00CA64B8" w:rsidR="005239E3">
        <w:rPr>
          <w:noProof/>
          <w:spacing w:val="-2"/>
          <w:sz w:val="18"/>
          <w:szCs w:val="18"/>
        </w:rPr>
        <w:t xml:space="preserve"> globally, various recognized methods for providing social services, including welfare services, exist, which present differing levels of competition among providers. The specific combination of methods and the range of services encompassed within each are determined by the regulatory body, considering the nature of the service and the characteristics of its recipients. The "armored markets" approach grants licenses to non-profit organizations, resulting in limited competition. The "tenders combining price and quality" method bases competition on a combination of price and quality criteria. The "customer at the center" approach allocates the service budget directly to beneficiaries, allowing them to select their service providers. The "licensing" method offers recipients choice, emphasizing competition among suppliers as a key factor. Therefore, the pertinent government entities including the Ministry of Welfare, the Prime Minister's Office, the Competition Authority, and the Ministry of Finance should collaborate to form an inter-ministerial team tasked with evaluating service provision methods against global practices, and considering the diversity of services offered by the Ministry of Welfare and the characteristics of the service recipients. This includes factors such as the recipients' ability to make choices, the duration of assistance required by them, and their family environment</w:t>
      </w:r>
      <w:r w:rsidRPr="00C50F58">
        <w:rPr>
          <w:rFonts w:hint="cs"/>
          <w:spacing w:val="-2"/>
          <w:sz w:val="18"/>
          <w:szCs w:val="18"/>
        </w:rPr>
        <w:t xml:space="preserve">. </w:t>
      </w:r>
    </w:p>
    <w:p w:rsidR="00D12832" w14:paraId="74026A2B" w14:textId="77777777">
      <w:pPr>
        <w:bidi w:val="0"/>
        <w:rPr>
          <w:rFonts w:ascii="Tahoma" w:hAnsi="Tahoma" w:cs="Tahoma"/>
          <w:b/>
          <w:bCs/>
          <w:noProof/>
          <w:color w:val="FFFFFF" w:themeColor="background1"/>
          <w:sz w:val="22"/>
          <w:szCs w:val="22"/>
        </w:rPr>
      </w:pPr>
      <w:r>
        <w:rPr>
          <w:rFonts w:ascii="Tahoma" w:hAnsi="Tahoma" w:cs="Tahoma"/>
          <w:b/>
          <w:bCs/>
          <w:noProof/>
          <w:color w:val="FFFFFF" w:themeColor="background1"/>
          <w:sz w:val="22"/>
          <w:szCs w:val="22"/>
        </w:rPr>
        <w:br w:type="page"/>
      </w:r>
    </w:p>
    <w:p w:rsidR="004B3772" w:rsidRPr="004C3206" w:rsidP="005239E3" w14:paraId="65300AB3" w14:textId="653BD791">
      <w:pPr>
        <w:bidi w:val="0"/>
        <w:spacing w:line="276" w:lineRule="auto"/>
        <w:ind w:left="170"/>
        <w:rPr>
          <w:rFonts w:ascii="Tahoma" w:hAnsi="Tahoma" w:cs="Tahoma"/>
          <w:b/>
          <w:bCs/>
          <w:color w:val="FFFFFF" w:themeColor="background1"/>
          <w:sz w:val="22"/>
          <w:szCs w:val="22"/>
        </w:rPr>
      </w:pPr>
      <w:r w:rsidRPr="00474ED3">
        <w:rPr>
          <w:rFonts w:ascii="Tahoma" w:hAnsi="Tahoma" w:cs="Tahoma" w:hint="eastAsia"/>
          <w:b/>
          <w:bCs/>
          <w:noProof/>
          <w:color w:val="FFFFFF" w:themeColor="background1"/>
          <w:sz w:val="22"/>
          <w:szCs w:val="22"/>
          <w:rtl/>
        </w:rPr>
        <w:drawing>
          <wp:anchor distT="0" distB="0" distL="114300" distR="114300" simplePos="0" relativeHeight="251680768" behindDoc="1" locked="0" layoutInCell="1" allowOverlap="1">
            <wp:simplePos x="0" y="0"/>
            <wp:positionH relativeFrom="column">
              <wp:posOffset>-1905</wp:posOffset>
            </wp:positionH>
            <wp:positionV relativeFrom="paragraph">
              <wp:posOffset>-67322</wp:posOffset>
            </wp:positionV>
            <wp:extent cx="4692370" cy="914400"/>
            <wp:effectExtent l="0" t="0" r="0" b="0"/>
            <wp:wrapNone/>
            <wp:docPr id="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92370" cy="914400"/>
                    </a:xfrm>
                    <a:prstGeom prst="rect">
                      <a:avLst/>
                    </a:prstGeom>
                  </pic:spPr>
                </pic:pic>
              </a:graphicData>
            </a:graphic>
            <wp14:sizeRelH relativeFrom="margin">
              <wp14:pctWidth>0</wp14:pctWidth>
            </wp14:sizeRelH>
            <wp14:sizeRelV relativeFrom="margin">
              <wp14:pctHeight>0</wp14:pctHeight>
            </wp14:sizeRelV>
          </wp:anchor>
        </w:drawing>
      </w:r>
      <w:r w:rsidRPr="005239E3" w:rsidR="005239E3">
        <w:rPr>
          <w:rFonts w:ascii="Tahoma" w:hAnsi="Tahoma" w:cs="Tahoma"/>
          <w:b/>
          <w:bCs/>
          <w:noProof/>
          <w:color w:val="FFFFFF" w:themeColor="background1"/>
          <w:sz w:val="22"/>
          <w:szCs w:val="22"/>
        </w:rPr>
        <w:t>The Average Pre-Tax Profit Rate of all Private Companies that Operated Out-of-Home Frameworks for the Ministry of Welfare in 2018–2021, Broken Down by Disabilities Administrations</w:t>
      </w:r>
    </w:p>
    <w:p w:rsidR="004B58CE" w:rsidRPr="004B58CE" w:rsidP="005239E3" w14:paraId="3ADE1FD2" w14:textId="3C9707C0">
      <w:pPr>
        <w:spacing w:before="600"/>
        <w:rPr>
          <w:rtl/>
        </w:rPr>
      </w:pPr>
      <w:r>
        <w:rPr>
          <w:noProof/>
          <w:rtl/>
          <w:lang w:val="he-IL"/>
        </w:rPr>
        <w:drawing>
          <wp:inline distT="0" distB="0" distL="0" distR="0">
            <wp:extent cx="4653016" cy="3001132"/>
            <wp:effectExtent l="0" t="0" r="0" b="0"/>
            <wp:docPr id="1802614487"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614487" name="תמונה 1"/>
                    <pic:cNvPicPr/>
                  </pic:nvPicPr>
                  <pic:blipFill>
                    <a:blip xmlns:r="http://schemas.openxmlformats.org/officeDocument/2006/relationships" r:embed="rId24"/>
                    <a:stretch>
                      <a:fillRect/>
                    </a:stretch>
                  </pic:blipFill>
                  <pic:spPr>
                    <a:xfrm>
                      <a:off x="0" y="0"/>
                      <a:ext cx="4653016" cy="3001132"/>
                    </a:xfrm>
                    <a:prstGeom prst="rect">
                      <a:avLst/>
                    </a:prstGeom>
                  </pic:spPr>
                </pic:pic>
              </a:graphicData>
            </a:graphic>
          </wp:inline>
        </w:drawing>
      </w:r>
    </w:p>
    <w:p w:rsidR="005239E3" w14:paraId="340D0F87" w14:textId="77777777">
      <w:pPr>
        <w:bidi w:val="0"/>
        <w:rPr>
          <w:rFonts w:ascii="Tahoma" w:hAnsi="Tahoma" w:cs="Tahoma"/>
          <w:spacing w:val="-2"/>
          <w:sz w:val="18"/>
          <w:szCs w:val="18"/>
        </w:rPr>
      </w:pPr>
    </w:p>
    <w:p w:rsidR="001C27C2" w:rsidP="005239E3" w14:paraId="003A9204" w14:textId="0B256129">
      <w:pPr>
        <w:bidi w:val="0"/>
        <w:rPr>
          <w:rFonts w:ascii="Tahoma" w:hAnsi="Tahoma" w:cs="Tahoma"/>
          <w:spacing w:val="-2"/>
          <w:sz w:val="18"/>
          <w:szCs w:val="18"/>
        </w:rPr>
      </w:pPr>
      <w:r>
        <w:rPr>
          <w:rFonts w:ascii="Tahoma" w:hAnsi="Tahoma" w:cs="Tahoma"/>
          <w:spacing w:val="-2"/>
          <w:sz w:val="18"/>
          <w:szCs w:val="18"/>
        </w:rPr>
        <w:br w:type="page"/>
      </w:r>
    </w:p>
    <w:p w:rsidR="00496CBE" w:rsidP="004B3772" w14:paraId="5C46C175" w14:textId="6CEEC138">
      <w:pPr>
        <w:bidi w:val="0"/>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572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rsidR="00496CBE" w:rsidRPr="00902625" w:rsidP="009661D6" w14:paraId="21789D2B" w14:textId="045CFE37">
      <w:pPr>
        <w:bidi w:val="0"/>
        <w:spacing w:before="120" w:after="180" w:line="240" w:lineRule="atLeast"/>
        <w:rPr>
          <w:rFonts w:ascii="Tahoma" w:hAnsi="Tahoma" w:cs="Tahoma"/>
          <w:b/>
          <w:bCs/>
          <w:color w:val="00305F"/>
          <w:sz w:val="32"/>
          <w:szCs w:val="32"/>
        </w:rPr>
      </w:pPr>
      <w:r w:rsidRPr="00AE5F94">
        <w:rPr>
          <w:rFonts w:ascii="Tahoma" w:hAnsi="Tahoma" w:cs="Tahoma"/>
          <w:b/>
          <w:bCs/>
          <w:color w:val="00305F"/>
          <w:sz w:val="32"/>
          <w:szCs w:val="32"/>
        </w:rPr>
        <w:t>Summary</w:t>
      </w:r>
    </w:p>
    <w:p w:rsidR="005239E3" w:rsidRPr="00CA64B8" w:rsidP="005239E3" w14:paraId="46C89D10" w14:textId="77777777">
      <w:pPr>
        <w:pStyle w:val="running-text"/>
        <w:spacing w:after="180" w:line="260" w:lineRule="exact"/>
        <w:ind w:right="0"/>
        <w:rPr>
          <w:color w:val="0D0D0D" w:themeColor="text1" w:themeTint="F2"/>
          <w:sz w:val="18"/>
        </w:rPr>
      </w:pPr>
      <w:r w:rsidRPr="00CA64B8">
        <w:rPr>
          <w:color w:val="0D0D0D" w:themeColor="text1" w:themeTint="F2"/>
          <w:sz w:val="18"/>
        </w:rPr>
        <w:t xml:space="preserve">The regulation of welfare services in Israel is governed by the Mandatory Tenders Law and its associated regulations, to ensure </w:t>
      </w:r>
      <w:r w:rsidRPr="00CA64B8">
        <w:rPr>
          <w:color w:val="0D0D0D" w:themeColor="text1" w:themeTint="F2"/>
          <w:sz w:val="18"/>
        </w:rPr>
        <w:t>a sufficient number of</w:t>
      </w:r>
      <w:r w:rsidRPr="00CA64B8">
        <w:rPr>
          <w:color w:val="0D0D0D" w:themeColor="text1" w:themeTint="F2"/>
          <w:sz w:val="18"/>
        </w:rPr>
        <w:t xml:space="preserve"> bids to facilitate the selection of the most advantageous proposal and to promote fair and equitable competition. In 2022, the Ministry of Welfare allocated about 36% of its total budget, at about NIS 3.5 billion, towards the procurement of outsourced out-of-home social services. The current </w:t>
      </w:r>
      <w:r w:rsidRPr="00CA64B8">
        <w:rPr>
          <w:color w:val="0D0D0D" w:themeColor="text1" w:themeTint="F2"/>
          <w:sz w:val="18"/>
        </w:rPr>
        <w:t>state of affairs</w:t>
      </w:r>
      <w:r w:rsidRPr="00CA64B8">
        <w:rPr>
          <w:color w:val="0D0D0D" w:themeColor="text1" w:themeTint="F2"/>
          <w:sz w:val="18"/>
        </w:rPr>
        <w:t xml:space="preserve">, with respect to the characteristics of the social procurement market outsourced by the Ministry of Welfare, indicates signs of redundancy (profit margins and surpluses) among the operators of out-of-home frameworks. Audit findings indicate that the current tendering mechanism fails to foster genuine competition, as about 60% of tenders result in any compliant bid being awarded, and stifling dynamism in the social services market, which remains predominantly under the control of long-standing providers. A substantial 89% (NIS 3.1 billion) of payments for these services are directed to operators with 17 or more years of experience in providing services to the Ministry. This scenario stems from threshold conditions set within tenders that act as entry barriers for new bidders, including stringent administrative requirements that are challenging for newcomers, as well as benchmarks that do not necessarily correlate with the actual service quality provided, thus favoring established operators. The audit further reveals that the structure of the rate disbursed by the Ministry of Welfare to the operators of out-of-home frameworks does not align with their genuine expense structures, and the Ministry has not recouped over half a billion NIS for services reportedly unprovided. Additionally, there are challenges in the effective supervision of service quality. </w:t>
      </w:r>
    </w:p>
    <w:p w:rsidR="005239E3" w:rsidRPr="00CA64B8" w:rsidP="005239E3" w14:paraId="193E42BC" w14:textId="77777777">
      <w:pPr>
        <w:pStyle w:val="running-text"/>
        <w:spacing w:after="180" w:line="260" w:lineRule="exact"/>
        <w:ind w:right="0"/>
        <w:rPr>
          <w:color w:val="0D0D0D" w:themeColor="text1" w:themeTint="F2"/>
          <w:sz w:val="18"/>
        </w:rPr>
      </w:pPr>
      <w:r w:rsidRPr="00CA64B8">
        <w:rPr>
          <w:color w:val="0D0D0D" w:themeColor="text1" w:themeTint="F2"/>
          <w:sz w:val="18"/>
        </w:rPr>
        <w:t xml:space="preserve">Consequently, the tendering approach employed by the Ministry of Welfare for the management and procurement of outsourced welfare services is suboptimal, failing to achieve the intended competitive market structure that would enhance, in practice, service quality for its recipients. </w:t>
      </w:r>
    </w:p>
    <w:p w:rsidR="001C54F4" w:rsidRPr="005239E3" w:rsidP="005239E3" w14:paraId="1C1ADDB0" w14:textId="4D655C3E">
      <w:pPr>
        <w:pStyle w:val="running-text"/>
        <w:spacing w:after="180" w:line="260" w:lineRule="exact"/>
        <w:ind w:right="0"/>
        <w:rPr>
          <w:color w:val="0D0D0D" w:themeColor="text1" w:themeTint="F2"/>
          <w:sz w:val="18"/>
        </w:rPr>
      </w:pPr>
      <w:r w:rsidRPr="00CA64B8">
        <w:rPr>
          <w:color w:val="0D0D0D" w:themeColor="text1" w:themeTint="F2"/>
          <w:sz w:val="18"/>
        </w:rPr>
        <w:t xml:space="preserve">To promote competition and improve the quality of social services in the short term, the Ministry of Welfare should strive to increase the number of bids in tenders by exploring the provision of "nascent protection" or alternative strategies. It is recommended to consider revising the threshold conditions for bidders to enhance competition without compromising bid quality, to inform inspectors of awarded bids, to mitigate distortions in the existing rate mechanism, and to offset the rate for insufficient staffing levels. Moreover, it is recommended that the Ministry conduct an occupation analysis for the inspector position and evaluate the necessity of updating the role in line with global models. From a strategic perspective regarding the long-term vision of the Ministry of Welfare’s outsourced social procurement market, the Competition Authority, in cooperation with the Ministry of Finance, the Prime Minister's Office, and the Ministry of Welfare, should establish an inter-ministerial team to thoroughly assess the market for outsourced welfare services and identify optimal mechanisms to leverage competition advantages, while also considering alternative models for welfare service provision recognized internationally. This initiative to ensure the delivery </w:t>
      </w:r>
      <w:r w:rsidRPr="00CA64B8">
        <w:rPr>
          <w:color w:val="0D0D0D" w:themeColor="text1" w:themeTint="F2"/>
          <w:sz w:val="18"/>
        </w:rPr>
        <w:t>of quality services to recipients, particularly those belonging to the most vulnerable populations in Israeli society.</w:t>
      </w:r>
    </w:p>
    <w:sectPr w:rsidSect="00BE36E6">
      <w:headerReference w:type="even" r:id="rId25"/>
      <w:headerReference w:type="default" r:id="rId26"/>
      <w:headerReference w:type="first" r:id="rId27"/>
      <w:pgSz w:w="11906" w:h="16838" w:code="9"/>
      <w:pgMar w:top="2892" w:right="2268" w:bottom="2438" w:left="2268" w:header="1871" w:footer="1928" w:gutter="0"/>
      <w:pgNumType w:start="4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BC7FB1" w14:paraId="100B235D" w14:textId="77777777">
      <w:pPr>
        <w:spacing w:after="0" w:line="240" w:lineRule="auto"/>
      </w:pPr>
      <w:r>
        <w:separator/>
      </w:r>
    </w:p>
  </w:endnote>
  <w:endnote w:type="continuationSeparator" w:id="1">
    <w:p w:rsidR="00BC7FB1" w14:paraId="56942D9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Segoe MDL2 Assets">
    <w:altName w:val="Segoe UI"/>
    <w:panose1 w:val="020B0604020202020204"/>
    <w:charset w:val="00"/>
    <w:family w:val="roman"/>
    <w:pitch w:val="variable"/>
    <w:sig w:usb0="00000003" w:usb1="10000000" w:usb2="00000000" w:usb3="00000000" w:csb0="00000001" w:csb1="00000000"/>
  </w:font>
  <w:font w:name="FrankRuehl">
    <w:panose1 w:val="020E0503060101010101"/>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roman"/>
    <w:pitch w:val="default"/>
  </w:font>
  <w:font w:name="Gisha">
    <w:panose1 w:val="020B0502040204020203"/>
    <w:charset w:val="B1"/>
    <w:family w:val="swiss"/>
    <w:pitch w:val="variable"/>
    <w:sig w:usb0="80000807" w:usb1="40000042"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750A" w:rsidRPr="009507DB" w:rsidP="00440360" w14:paraId="0F4EB562" w14:textId="77777777">
    <w:pPr>
      <w:pStyle w:val="Footer"/>
      <w:tabs>
        <w:tab w:val="center" w:pos="-284"/>
        <w:tab w:val="right" w:pos="0"/>
        <w:tab w:val="clear" w:pos="4320"/>
        <w:tab w:val="clear" w:pos="8640"/>
      </w:tabs>
      <w:bidi w:val="0"/>
      <w:ind w:left="-1191" w:right="7314"/>
      <w:jc w:val="right"/>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00B7022A">
      <w:rPr>
        <w:rFonts w:ascii="Tahoma" w:hAnsi="Tahoma" w:cs="Tahoma"/>
        <w:noProof/>
        <w:color w:val="231F20"/>
        <w:sz w:val="18"/>
        <w:szCs w:val="18"/>
      </w:rPr>
      <w:t>16</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08F2" w:rsidRPr="009507DB" w:rsidP="00440360" w14:paraId="2E4A7A26" w14:textId="77777777">
    <w:pPr>
      <w:pStyle w:val="Footer"/>
      <w:tabs>
        <w:tab w:val="clear" w:pos="4320"/>
        <w:tab w:val="center" w:pos="7654"/>
        <w:tab w:val="right" w:pos="7937"/>
        <w:tab w:val="clear" w:pos="8640"/>
      </w:tabs>
      <w:bidi w:val="0"/>
      <w:ind w:left="7343" w:right="-1247"/>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00B7022A">
      <w:rPr>
        <w:rFonts w:ascii="Tahoma" w:hAnsi="Tahoma" w:cs="Tahoma"/>
        <w:noProof/>
        <w:color w:val="231F20"/>
        <w:sz w:val="18"/>
        <w:szCs w:val="18"/>
      </w:rPr>
      <w:t>15</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C7FB1" w:rsidP="00BD3044" w14:paraId="0C10F5A9" w14:textId="77777777">
      <w:pPr>
        <w:spacing w:after="0" w:line="240" w:lineRule="auto"/>
        <w:jc w:val="right"/>
      </w:pPr>
      <w:r>
        <w:separator/>
      </w:r>
    </w:p>
  </w:footnote>
  <w:footnote w:type="continuationSeparator" w:id="1">
    <w:p w:rsidR="00BC7FB1" w14:paraId="6544D0F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bookmarkStart w:id="5" w:name="_Hlk63775048"/>
  <w:bookmarkEnd w:id="5"/>
  <w:p w:rsidR="00B650F8" w:rsidRPr="00B650F8" w:rsidP="00B650F8" w14:paraId="2F61E770" w14:textId="502FA0FF">
    <w:r>
      <w:rPr>
        <w:noProof/>
      </w:rPr>
      <mc:AlternateContent>
        <mc:Choice Requires="wps">
          <w:drawing>
            <wp:anchor distT="0" distB="0" distL="114300" distR="114300" simplePos="0" relativeHeight="251665408" behindDoc="1" locked="0" layoutInCell="1" allowOverlap="1">
              <wp:simplePos x="0" y="0"/>
              <wp:positionH relativeFrom="column">
                <wp:posOffset>-1464894</wp:posOffset>
              </wp:positionH>
              <wp:positionV relativeFrom="paragraph">
                <wp:posOffset>-247221</wp:posOffset>
              </wp:positionV>
              <wp:extent cx="7594686" cy="0"/>
              <wp:effectExtent l="0" t="0" r="12700"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7594686" cy="0"/>
                      </a:xfrm>
                      <a:prstGeom prst="line">
                        <a:avLst/>
                      </a:prstGeom>
                      <a:ln>
                        <a:gradFill rotWithShape="1">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2049" style="flip:x;mso-height-percent:0;mso-height-relative:margin;mso-width-percent:0;mso-width-relative:margin;mso-wrap-distance-bottom:0;mso-wrap-distance-left:9pt;mso-wrap-distance-right:9pt;mso-wrap-distance-top:0;mso-wrap-style:square;position:absolute;visibility:visible;z-index:-251650048" from="-115.35pt,-19.45pt" to="482.65pt,-19.45pt">
              <v:stroke endcap="round"/>
            </v:line>
          </w:pict>
        </mc:Fallback>
      </mc:AlternateContent>
    </w:r>
    <w:r>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642E60" w:rsidP="00642E60" w14:paraId="09CB2EB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7F1A39" w:rsidP="007F1A39" w14:paraId="174E2EDE" w14:textId="77777777">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cs"/>
        <w:noProof/>
        <w:color w:val="0B5294" w:themeColor="accent1" w:themeShade="BF"/>
        <w:sz w:val="16"/>
        <w:szCs w:val="16"/>
        <w:rtl/>
      </w:rPr>
      <w:t>שם הגוף המבוקר</w:t>
    </w:r>
    <w:r w:rsidR="00767790">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hint="cs"/>
        <w:noProof/>
        <w:color w:val="0B5294" w:themeColor="accent1" w:themeShade="BF"/>
        <w:sz w:val="16"/>
        <w:szCs w:val="16"/>
        <w:rtl/>
      </w:rPr>
      <w:t>|</w:t>
    </w:r>
    <w:r w:rsidR="00767790">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3323CD">
      <w:rPr>
        <w:rFonts w:ascii="Tahoma" w:hAnsi="Tahoma" w:eastAsiaTheme="majorEastAsia" w:cs="Tahoma"/>
        <w:b/>
        <w:bCs/>
        <w:noProof/>
        <w:color w:val="0B5294" w:themeColor="accent1" w:themeShade="BF"/>
        <w:sz w:val="16"/>
        <w:szCs w:val="16"/>
        <w:rtl/>
      </w:rPr>
      <w:t>3</w:t>
    </w:r>
    <w:r w:rsidRPr="007F1A39">
      <w:rPr>
        <w:rFonts w:ascii="Tahoma" w:hAnsi="Tahoma" w:eastAsiaTheme="majorEastAsia" w:cs="Tahoma"/>
        <w:b/>
        <w:bCs/>
        <w:noProof/>
        <w:color w:val="0B5294" w:themeColor="accent1" w:themeShade="BF"/>
        <w:sz w:val="16"/>
        <w:szCs w:val="16"/>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890ED9" w:rsidP="00890ED9" w14:paraId="24EF87A9"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10CA" w:rsidRPr="007C10CA" w:rsidP="00086BC2" w14:paraId="3F4CF5A8" w14:textId="18C32CDC">
    <w:pPr>
      <w:bidi w:val="0"/>
      <w:spacing w:after="0" w:line="240" w:lineRule="auto"/>
      <w:rPr>
        <w:rFonts w:ascii="Tahoma" w:hAnsi="Tahoma" w:cs="Tahoma"/>
        <w:color w:val="0D0D0D" w:themeColor="text1" w:themeTint="F2"/>
        <w:sz w:val="16"/>
        <w:szCs w:val="16"/>
      </w:rPr>
    </w:pPr>
    <w:r w:rsidRPr="006637B9">
      <w:rPr>
        <w:rFonts w:ascii="Tahoma" w:hAnsi="Tahoma" w:cs="Tahoma"/>
        <w:noProof/>
        <w:color w:val="002060"/>
        <w:sz w:val="18"/>
        <w:szCs w:val="18"/>
      </w:rPr>
      <mc:AlternateContent>
        <mc:Choice Requires="wps">
          <w:drawing>
            <wp:anchor distT="0" distB="0" distL="114300" distR="114300" simplePos="0" relativeHeight="251667456" behindDoc="0" locked="0" layoutInCell="1" allowOverlap="1">
              <wp:simplePos x="0" y="0"/>
              <wp:positionH relativeFrom="column">
                <wp:posOffset>219075</wp:posOffset>
              </wp:positionH>
              <wp:positionV relativeFrom="paragraph">
                <wp:posOffset>179070</wp:posOffset>
              </wp:positionV>
              <wp:extent cx="4625340" cy="224790"/>
              <wp:effectExtent l="0" t="0" r="0" b="3810"/>
              <wp:wrapSquare wrapText="bothSides"/>
              <wp:docPr id="145106665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25340" cy="224790"/>
                      </a:xfrm>
                      <a:prstGeom prst="rect">
                        <a:avLst/>
                      </a:prstGeom>
                      <a:solidFill>
                        <a:srgbClr val="FFFFFF"/>
                      </a:solidFill>
                      <a:ln w="9525">
                        <a:noFill/>
                        <a:miter lim="800000"/>
                        <a:headEnd/>
                        <a:tailEnd/>
                      </a:ln>
                    </wps:spPr>
                    <wps:txbx>
                      <w:txbxContent>
                        <w:p w:rsidR="00086BC2" w:rsidRPr="00FC4CA4" w:rsidP="00086BC2" w14:textId="5719D056">
                          <w:pPr>
                            <w:bidi w:val="0"/>
                            <w:spacing w:after="0" w:line="240" w:lineRule="auto"/>
                            <w:rPr>
                              <w:rFonts w:ascii="Tahoma" w:hAnsi="Tahoma" w:cs="Tahoma"/>
                              <w:color w:val="0D0D0D" w:themeColor="text1" w:themeTint="F2"/>
                              <w:sz w:val="16"/>
                              <w:szCs w:val="16"/>
                              <w:lang w:val="en"/>
                            </w:rPr>
                          </w:pPr>
                          <w:r w:rsidRPr="005239E3">
                            <w:rPr>
                              <w:rFonts w:ascii="Tahoma" w:hAnsi="Tahoma" w:cs="Tahoma"/>
                              <w:color w:val="0D0D0D" w:themeColor="text1" w:themeTint="F2"/>
                              <w:sz w:val="16"/>
                              <w:szCs w:val="16"/>
                              <w:lang w:val="en"/>
                            </w:rPr>
                            <w:t>Outsourcing of Social Services by the Ministry of Welfare and Social Affairs</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0" type="#_x0000_t202" style="width:364.2pt;height:17.7pt;margin-top:14.1pt;margin-left:17.25pt;mso-height-percent:0;mso-height-relative:margin;mso-width-percent:0;mso-width-relative:margin;mso-wrap-distance-bottom:0;mso-wrap-distance-left:9pt;mso-wrap-distance-right:9pt;mso-wrap-distance-top:0;mso-wrap-style:square;position:absolute;visibility:visible;v-text-anchor:top;z-index:251668480" stroked="f">
              <v:textbox>
                <w:txbxContent>
                  <w:p w:rsidR="00086BC2" w:rsidRPr="00FC4CA4" w:rsidP="00086BC2" w14:paraId="760267C9" w14:textId="5719D056">
                    <w:pPr>
                      <w:bidi w:val="0"/>
                      <w:spacing w:after="0" w:line="240" w:lineRule="auto"/>
                      <w:rPr>
                        <w:rFonts w:ascii="Tahoma" w:hAnsi="Tahoma" w:cs="Tahoma"/>
                        <w:color w:val="0D0D0D" w:themeColor="text1" w:themeTint="F2"/>
                        <w:sz w:val="16"/>
                        <w:szCs w:val="16"/>
                        <w:lang w:val="en"/>
                      </w:rPr>
                    </w:pPr>
                    <w:r w:rsidRPr="005239E3">
                      <w:rPr>
                        <w:rFonts w:ascii="Tahoma" w:hAnsi="Tahoma" w:cs="Tahoma"/>
                        <w:color w:val="0D0D0D" w:themeColor="text1" w:themeTint="F2"/>
                        <w:sz w:val="16"/>
                        <w:szCs w:val="16"/>
                        <w:lang w:val="en"/>
                      </w:rPr>
                      <w:t>Outsourcing of Social Services by the Ministry of Welfare and Social Affairs</w:t>
                    </w:r>
                  </w:p>
                </w:txbxContent>
              </v:textbox>
              <w10:wrap type="square"/>
            </v:shape>
          </w:pict>
        </mc:Fallback>
      </mc:AlternateContent>
    </w:r>
    <w:r w:rsidR="003340AD">
      <w:rPr>
        <w:noProof/>
        <w:rtl/>
        <w:lang w:val="he-IL"/>
      </w:rPr>
      <mc:AlternateContent>
        <mc:Choice Requires="wps">
          <w:drawing>
            <wp:anchor distT="0" distB="0" distL="114300" distR="114300" simplePos="0" relativeHeight="251669504" behindDoc="1" locked="0" layoutInCell="1" allowOverlap="1">
              <wp:simplePos x="0" y="0"/>
              <wp:positionH relativeFrom="margin">
                <wp:posOffset>-952500</wp:posOffset>
              </wp:positionH>
              <wp:positionV relativeFrom="margin">
                <wp:posOffset>-1054735</wp:posOffset>
              </wp:positionV>
              <wp:extent cx="6479540" cy="8999855"/>
              <wp:effectExtent l="0" t="0" r="10160" b="17145"/>
              <wp:wrapNone/>
              <wp:docPr id="1141261157"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3340AD" w:rsidRPr="00DE3ECA" w:rsidP="003340A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3" o:spid="_x0000_s2051" type="#_x0000_t202" style="width:510.2pt;height:708.65pt;margin-top:-83.05pt;margin-left:-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5952" filled="f" strokecolor="#a5a5a5" strokeweight="0.25pt">
              <v:stroke dashstyle="longDash"/>
              <v:textbox>
                <w:txbxContent>
                  <w:p w:rsidR="003340AD" w:rsidRPr="00DE3ECA" w:rsidP="003340AD" w14:paraId="01679594"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sidRPr="007C10CA" w:rsidR="00086BC2">
      <w:rPr>
        <w:rFonts w:ascii="Tahoma" w:hAnsi="Tahoma" w:eastAsiaTheme="minorHAnsi" w:cs="Tahoma" w:hint="eastAsia"/>
        <w:color w:val="0D0D0D" w:themeColor="text1" w:themeTint="F2"/>
        <w:sz w:val="16"/>
        <w:szCs w:val="16"/>
        <w:rtl/>
        <w:lang w:val="en"/>
      </w:rPr>
      <w:t xml:space="preserve"> </w:t>
    </w:r>
    <w:r w:rsidRPr="007C10CA" w:rsidR="008615A2">
      <w:rPr>
        <w:rFonts w:ascii="Tahoma" w:hAnsi="Tahoma" w:eastAsiaTheme="minorHAnsi" w:cs="Tahoma" w:hint="eastAsia"/>
        <w:noProof/>
        <w:color w:val="0D0D0D" w:themeColor="text1" w:themeTint="F2"/>
        <w:sz w:val="16"/>
        <w:szCs w:val="16"/>
        <w:rtl/>
        <w:lang w:val="en"/>
      </w:rPr>
      <w:drawing>
        <wp:anchor distT="0" distB="0" distL="114300" distR="114300" simplePos="0" relativeHeight="251659264" behindDoc="1" locked="0" layoutInCell="1" allowOverlap="1">
          <wp:simplePos x="0" y="0"/>
          <wp:positionH relativeFrom="page">
            <wp:posOffset>5745</wp:posOffset>
          </wp:positionH>
          <wp:positionV relativeFrom="page">
            <wp:posOffset>65674</wp:posOffset>
          </wp:positionV>
          <wp:extent cx="7549200" cy="10670400"/>
          <wp:effectExtent l="0" t="0" r="0" b="0"/>
          <wp:wrapNone/>
          <wp:docPr id="1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0"/>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p>
  <w:p w:rsidR="00C82866" w:rsidRPr="00950E0A" w:rsidP="008A4007" w14:paraId="74C5211B" w14:textId="01775043">
    <w:pPr>
      <w:pStyle w:val="Header"/>
      <w:bidi w:val="0"/>
      <w:spacing w:before="240" w:after="180"/>
      <w:rPr>
        <w:rFonts w:ascii="Tahoma" w:hAnsi="Tahoma" w:eastAsiaTheme="majorEastAsia" w:cs="Tahoma"/>
        <w:noProof/>
        <w:color w:val="0D0D0D" w:themeColor="text1" w:themeTint="F2"/>
        <w:sz w:val="16"/>
        <w:szCs w:val="16"/>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2866" w:rsidRPr="00D05191" w:rsidP="005411EA" w14:paraId="50443D29" w14:textId="77A41BEE">
    <w:pPr>
      <w:pStyle w:val="Header"/>
      <w:bidi w:val="0"/>
      <w:spacing w:before="240" w:after="180"/>
      <w:ind w:right="567"/>
      <w:jc w:val="right"/>
      <w:rPr>
        <w:rFonts w:ascii="Tahoma" w:hAnsi="Tahoma" w:eastAsiaTheme="majorEastAsia" w:cs="Tahoma"/>
        <w:noProof/>
        <w:color w:val="231F20"/>
        <w:sz w:val="16"/>
        <w:szCs w:val="16"/>
      </w:rPr>
    </w:pPr>
    <w:r w:rsidRPr="00C86180">
      <w:rPr>
        <w:noProof/>
        <w:sz w:val="22"/>
        <w:szCs w:val="22"/>
        <w:rtl/>
        <w:lang w:val="he-IL"/>
      </w:rPr>
      <mc:AlternateContent>
        <mc:Choice Requires="wps">
          <w:drawing>
            <wp:anchor distT="0" distB="0" distL="114300" distR="114300" simplePos="0" relativeHeight="251660288" behindDoc="0" locked="0" layoutInCell="1" allowOverlap="1">
              <wp:simplePos x="0" y="0"/>
              <wp:positionH relativeFrom="column">
                <wp:posOffset>5037460</wp:posOffset>
              </wp:positionH>
              <wp:positionV relativeFrom="paragraph">
                <wp:posOffset>-1180402</wp:posOffset>
              </wp:positionV>
              <wp:extent cx="299085" cy="8437069"/>
              <wp:effectExtent l="0" t="0" r="5715" b="0"/>
              <wp:wrapNone/>
              <wp:docPr id="6"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299085" cy="8437069"/>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2052" style="width:23.55pt;height:664.35pt;margin-top:-92.95pt;margin-left:396.65pt;flip:y;mso-height-percent:0;mso-height-relative:margin;mso-width-percent:0;mso-width-relative:margin;mso-wrap-distance-bottom:0;mso-wrap-distance-left:9pt;mso-wrap-distance-right:9pt;mso-wrap-distance-top:0;mso-wrap-style:square;position:absolute;visibility:visible;v-text-anchor:middle;z-index:251661312" fillcolor="#00305f" stroked="f" strokeweight="1.5pt">
              <v:stroke endcap="round"/>
            </v:rect>
          </w:pict>
        </mc:Fallback>
      </mc:AlternateContent>
    </w:r>
    <w:r w:rsidR="003340AD">
      <w:rPr>
        <w:noProof/>
        <w:rtl/>
        <w:lang w:val="he-IL"/>
      </w:rPr>
      <mc:AlternateContent>
        <mc:Choice Requires="wps">
          <w:drawing>
            <wp:anchor distT="0" distB="0" distL="114300" distR="114300" simplePos="0" relativeHeight="251671552" behindDoc="1" locked="0" layoutInCell="1" allowOverlap="1">
              <wp:simplePos x="0" y="0"/>
              <wp:positionH relativeFrom="margin">
                <wp:posOffset>-957930</wp:posOffset>
              </wp:positionH>
              <wp:positionV relativeFrom="margin">
                <wp:posOffset>-903605</wp:posOffset>
              </wp:positionV>
              <wp:extent cx="6479540" cy="8999855"/>
              <wp:effectExtent l="0" t="0" r="10160" b="17145"/>
              <wp:wrapNone/>
              <wp:docPr id="545322748"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3340AD" w:rsidRPr="00DE3ECA" w:rsidP="003340A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3" type="#_x0000_t202" style="width:510.2pt;height:708.65pt;margin-top:-71.15pt;margin-left:-75.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3904" filled="f" strokecolor="#a5a5a5" strokeweight="0.25pt">
              <v:stroke dashstyle="longDash"/>
              <v:textbox>
                <w:txbxContent>
                  <w:p w:rsidR="003340AD" w:rsidRPr="00DE3ECA" w:rsidP="003340AD" w14:paraId="5E74C7C1"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sidRPr="006061A9" w:rsidR="00555EDA">
      <w:rPr>
        <w:rFonts w:ascii="Tahoma" w:hAnsi="Tahoma" w:eastAsiaTheme="majorEastAsia" w:cs="Tahoma"/>
        <w:noProof/>
        <w:color w:val="0D0D0D" w:themeColor="text1" w:themeTint="F2"/>
        <w:sz w:val="16"/>
        <w:szCs w:val="16"/>
      </w:rPr>
      <mc:AlternateContent>
        <mc:Choice Requires="wps">
          <w:drawing>
            <wp:anchor distT="0" distB="0" distL="114300" distR="114300" simplePos="0" relativeHeight="251662336" behindDoc="0" locked="0" layoutInCell="1" allowOverlap="1">
              <wp:simplePos x="0" y="0"/>
              <wp:positionH relativeFrom="column">
                <wp:posOffset>4960620</wp:posOffset>
              </wp:positionH>
              <wp:positionV relativeFrom="paragraph">
                <wp:posOffset>-41077</wp:posOffset>
              </wp:positionV>
              <wp:extent cx="489585" cy="7483377"/>
              <wp:effectExtent l="0" t="0" r="0" b="0"/>
              <wp:wrapNone/>
              <wp:docPr id="2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9585" cy="7483377"/>
                      </a:xfrm>
                      <a:prstGeom prst="rect">
                        <a:avLst/>
                      </a:prstGeom>
                      <a:noFill/>
                      <a:ln w="9525">
                        <a:noFill/>
                        <a:miter lim="800000"/>
                        <a:headEnd/>
                        <a:tailEnd/>
                      </a:ln>
                    </wps:spPr>
                    <wps:txbx>
                      <w:txbxContent>
                        <w:p w:rsidR="00741C9B" w:rsidRPr="00941C35" w:rsidP="005239E3" w14:textId="3FBBE372">
                          <w:pPr>
                            <w:pStyle w:val="7120"/>
                            <w:bidi w:val="0"/>
                            <w:spacing w:before="0" w:after="0"/>
                            <w:ind w:left="284" w:right="-142"/>
                            <w:rPr>
                              <w:color w:val="FFFFFF" w:themeColor="background1"/>
                              <w:spacing w:val="-2"/>
                              <w:sz w:val="19"/>
                              <w:szCs w:val="19"/>
                            </w:rPr>
                          </w:pPr>
                          <w:r w:rsidRPr="00555EDA">
                            <w:rPr>
                              <w:b w:val="0"/>
                              <w:bCs w:val="0"/>
                              <w:color w:val="FFFFFF" w:themeColor="background1"/>
                              <w:sz w:val="20"/>
                              <w:szCs w:val="20"/>
                            </w:rPr>
                            <w:t xml:space="preserve">Abstract </w:t>
                          </w:r>
                          <w:r w:rsidRPr="00555EDA" w:rsidR="001B75AD">
                            <w:rPr>
                              <w:b w:val="0"/>
                              <w:bCs w:val="0"/>
                              <w:color w:val="FFFFFF" w:themeColor="background1"/>
                              <w:sz w:val="20"/>
                              <w:szCs w:val="20"/>
                            </w:rPr>
                            <w:t xml:space="preserve"> </w:t>
                          </w:r>
                          <w:r w:rsidRPr="00555EDA">
                            <w:rPr>
                              <w:rFonts w:hint="cs"/>
                              <w:b w:val="0"/>
                              <w:bCs w:val="0"/>
                              <w:color w:val="FFFFFF" w:themeColor="background1"/>
                              <w:sz w:val="20"/>
                              <w:szCs w:val="20"/>
                              <w:rtl/>
                            </w:rPr>
                            <w:t>|</w:t>
                          </w:r>
                          <w:r w:rsidRPr="00555EDA" w:rsidR="00690F71">
                            <w:rPr>
                              <w:b w:val="0"/>
                              <w:bCs w:val="0"/>
                              <w:color w:val="FFFFFF" w:themeColor="background1"/>
                              <w:sz w:val="18"/>
                              <w:szCs w:val="18"/>
                            </w:rPr>
                            <w:t xml:space="preserve"> </w:t>
                          </w:r>
                          <w:r w:rsidRPr="00555EDA" w:rsidR="001B75AD">
                            <w:rPr>
                              <w:b w:val="0"/>
                              <w:bCs w:val="0"/>
                              <w:color w:val="FFFFFF" w:themeColor="background1"/>
                              <w:sz w:val="19"/>
                              <w:szCs w:val="19"/>
                            </w:rPr>
                            <w:t xml:space="preserve"> </w:t>
                          </w:r>
                          <w:r w:rsidRPr="005239E3" w:rsidR="005239E3">
                            <w:rPr>
                              <w:rFonts w:eastAsiaTheme="minorEastAsia"/>
                              <w:color w:val="FFFFFF" w:themeColor="background1"/>
                              <w:spacing w:val="-2"/>
                              <w:sz w:val="20"/>
                              <w:szCs w:val="20"/>
                            </w:rPr>
                            <w:t>Outsourcing of Social Services by the Ministry of Welfare and Social Affairs</w:t>
                          </w:r>
                        </w:p>
                      </w:txbxContent>
                    </wps:txbx>
                    <wps:bodyPr rot="0" vert="vert" wrap="square" anchor="t" anchorCtr="0"/>
                  </wps:wsp>
                </a:graphicData>
              </a:graphic>
              <wp14:sizeRelH relativeFrom="margin">
                <wp14:pctWidth>0</wp14:pctWidth>
              </wp14:sizeRelH>
              <wp14:sizeRelV relativeFrom="margin">
                <wp14:pctHeight>0</wp14:pctHeight>
              </wp14:sizeRelV>
            </wp:anchor>
          </w:drawing>
        </mc:Choice>
        <mc:Fallback>
          <w:pict>
            <v:shape id="_x0000_s2054" type="#_x0000_t202" style="width:38.55pt;height:589.25pt;margin-top:-3.25pt;margin-left:390.6pt;mso-height-percent:0;mso-height-relative:margin;mso-width-percent:0;mso-width-relative:margin;mso-wrap-distance-bottom:0;mso-wrap-distance-left:9pt;mso-wrap-distance-right:9pt;mso-wrap-distance-top:0;mso-wrap-style:square;position:absolute;visibility:visible;v-text-anchor:top;z-index:251663360" filled="f" stroked="f">
              <v:textbox style="layout-flow:vertical">
                <w:txbxContent>
                  <w:p w:rsidR="00741C9B" w:rsidRPr="00941C35" w:rsidP="005239E3" w14:paraId="542790B6" w14:textId="3FBBE372">
                    <w:pPr>
                      <w:pStyle w:val="7120"/>
                      <w:bidi w:val="0"/>
                      <w:spacing w:before="0" w:after="0"/>
                      <w:ind w:left="284" w:right="-142"/>
                      <w:rPr>
                        <w:color w:val="FFFFFF" w:themeColor="background1"/>
                        <w:spacing w:val="-2"/>
                        <w:sz w:val="19"/>
                        <w:szCs w:val="19"/>
                      </w:rPr>
                    </w:pPr>
                    <w:r w:rsidRPr="00555EDA">
                      <w:rPr>
                        <w:b w:val="0"/>
                        <w:bCs w:val="0"/>
                        <w:color w:val="FFFFFF" w:themeColor="background1"/>
                        <w:sz w:val="20"/>
                        <w:szCs w:val="20"/>
                      </w:rPr>
                      <w:t xml:space="preserve">Abstract </w:t>
                    </w:r>
                    <w:r w:rsidRPr="00555EDA" w:rsidR="001B75AD">
                      <w:rPr>
                        <w:b w:val="0"/>
                        <w:bCs w:val="0"/>
                        <w:color w:val="FFFFFF" w:themeColor="background1"/>
                        <w:sz w:val="20"/>
                        <w:szCs w:val="20"/>
                      </w:rPr>
                      <w:t xml:space="preserve"> </w:t>
                    </w:r>
                    <w:r w:rsidRPr="00555EDA">
                      <w:rPr>
                        <w:rFonts w:hint="cs"/>
                        <w:b w:val="0"/>
                        <w:bCs w:val="0"/>
                        <w:color w:val="FFFFFF" w:themeColor="background1"/>
                        <w:sz w:val="20"/>
                        <w:szCs w:val="20"/>
                        <w:rtl/>
                      </w:rPr>
                      <w:t>|</w:t>
                    </w:r>
                    <w:r w:rsidRPr="00555EDA" w:rsidR="00690F71">
                      <w:rPr>
                        <w:b w:val="0"/>
                        <w:bCs w:val="0"/>
                        <w:color w:val="FFFFFF" w:themeColor="background1"/>
                        <w:sz w:val="18"/>
                        <w:szCs w:val="18"/>
                      </w:rPr>
                      <w:t xml:space="preserve"> </w:t>
                    </w:r>
                    <w:r w:rsidRPr="00555EDA" w:rsidR="001B75AD">
                      <w:rPr>
                        <w:b w:val="0"/>
                        <w:bCs w:val="0"/>
                        <w:color w:val="FFFFFF" w:themeColor="background1"/>
                        <w:sz w:val="19"/>
                        <w:szCs w:val="19"/>
                      </w:rPr>
                      <w:t xml:space="preserve"> </w:t>
                    </w:r>
                    <w:r w:rsidRPr="005239E3" w:rsidR="005239E3">
                      <w:rPr>
                        <w:rFonts w:eastAsiaTheme="minorEastAsia"/>
                        <w:color w:val="FFFFFF" w:themeColor="background1"/>
                        <w:spacing w:val="-2"/>
                        <w:sz w:val="20"/>
                        <w:szCs w:val="20"/>
                      </w:rPr>
                      <w:t>Outsourcing of Social Services by the Ministry of Welfare and Social Affairs</w:t>
                    </w:r>
                  </w:p>
                </w:txbxContent>
              </v:textbox>
            </v:shape>
          </w:pict>
        </mc:Fallback>
      </mc:AlternateContent>
    </w:r>
    <w:r w:rsidR="008615A2">
      <w:rPr>
        <w:rFonts w:ascii="Tahoma" w:hAnsi="Tahoma" w:eastAsiaTheme="majorEastAsia" w:cs="Tahoma"/>
        <w:noProof/>
        <w:color w:val="0D0D0D" w:themeColor="text1" w:themeTint="F2"/>
        <w:sz w:val="16"/>
        <w:szCs w:val="16"/>
      </w:rPr>
      <w:drawing>
        <wp:anchor distT="0" distB="0" distL="114300" distR="114300" simplePos="0" relativeHeight="251658240" behindDoc="1" locked="0" layoutInCell="1" allowOverlap="1">
          <wp:simplePos x="0" y="0"/>
          <wp:positionH relativeFrom="column">
            <wp:align>center</wp:align>
          </wp:positionH>
          <wp:positionV relativeFrom="page">
            <wp:align>center</wp:align>
          </wp:positionV>
          <wp:extent cx="7549200" cy="10670400"/>
          <wp:effectExtent l="0" t="0" r="0" b="0"/>
          <wp:wrapNone/>
          <wp:docPr id="2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Pr="00D05191" w:rsidR="0038050A">
      <w:rPr>
        <w:rFonts w:ascii="Tahoma" w:hAnsi="Tahoma" w:eastAsiaTheme="majorEastAsia" w:cs="Tahoma"/>
        <w:noProof/>
        <w:color w:val="0D0D0D" w:themeColor="text1" w:themeTint="F2"/>
        <w:sz w:val="15"/>
        <w:szCs w:val="15"/>
      </w:rPr>
      <w:t xml:space="preserve"> </w:t>
    </w:r>
    <w:r w:rsidRPr="00DB54AF" w:rsidR="00DB54AF">
      <w:rPr>
        <w:rFonts w:ascii="Tahoma" w:hAnsi="Tahoma" w:eastAsiaTheme="majorEastAsia" w:cs="Tahoma"/>
        <w:noProof/>
        <w:color w:val="0D0D0D" w:themeColor="text1" w:themeTint="F2"/>
        <w:sz w:val="16"/>
        <w:szCs w:val="16"/>
      </w:rPr>
      <w:t>Report of the State Comptroller of Israel</w:t>
    </w:r>
    <w:r w:rsidR="009F49AD">
      <w:rPr>
        <w:rFonts w:ascii="Tahoma" w:hAnsi="Tahoma" w:eastAsiaTheme="majorEastAsia" w:cs="Tahoma" w:hint="cs"/>
        <w:noProof/>
        <w:color w:val="0D0D0D" w:themeColor="text1" w:themeTint="F2"/>
        <w:sz w:val="16"/>
        <w:szCs w:val="16"/>
        <w:rtl/>
      </w:rPr>
      <w:t xml:space="preserve"> </w:t>
    </w:r>
    <w:r w:rsidRPr="00DB54AF" w:rsidR="00DB54AF">
      <w:rPr>
        <w:rFonts w:ascii="Tahoma" w:hAnsi="Tahoma" w:eastAsiaTheme="majorEastAsia" w:cs="Tahoma"/>
        <w:noProof/>
        <w:color w:val="0D0D0D" w:themeColor="text1" w:themeTint="F2"/>
        <w:sz w:val="16"/>
        <w:szCs w:val="16"/>
      </w:rPr>
      <w:t xml:space="preserve">| </w:t>
    </w:r>
    <w:r w:rsidRPr="0077600F" w:rsidR="0077600F">
      <w:rPr>
        <w:rFonts w:ascii="Tahoma" w:hAnsi="Tahoma" w:eastAsiaTheme="majorEastAsia" w:cs="Tahoma"/>
        <w:noProof/>
        <w:color w:val="0D0D0D" w:themeColor="text1" w:themeTint="F2"/>
        <w:sz w:val="16"/>
        <w:szCs w:val="16"/>
      </w:rPr>
      <w:t>July</w:t>
    </w:r>
    <w:r w:rsidR="0077600F">
      <w:rPr>
        <w:rFonts w:ascii="Tahoma" w:hAnsi="Tahoma" w:eastAsiaTheme="majorEastAsia" w:cs="Tahoma"/>
        <w:noProof/>
        <w:color w:val="0D0D0D" w:themeColor="text1" w:themeTint="F2"/>
        <w:sz w:val="16"/>
        <w:szCs w:val="16"/>
      </w:rPr>
      <w:t xml:space="preserve"> </w:t>
    </w:r>
    <w:r w:rsidRPr="00DB54AF" w:rsidR="00DB54AF">
      <w:rPr>
        <w:rFonts w:ascii="Tahoma" w:hAnsi="Tahoma" w:eastAsiaTheme="majorEastAsia" w:cs="Tahoma"/>
        <w:noProof/>
        <w:color w:val="0D0D0D" w:themeColor="text1" w:themeTint="F2"/>
        <w:sz w:val="16"/>
        <w:szCs w:val="16"/>
      </w:rPr>
      <w:t>2024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2866" w:rsidRPr="00890ED9" w:rsidP="00890ED9" w14:paraId="3011DE6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mc:AlternateContent>
      <mc:Choice Requires="v">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630670990" o:spid="_x0000_i1025" type="#_x0000_t75" style="width:52.9pt;height:58.05pt" o:bullet="t">
            <v:imagedata r:id="rId1" o:title=""/>
          </v:shape>
        </w:pict>
      </mc:Choice>
      <mc:Fallback>
        <w:drawing>
          <wp:inline distT="0" distB="0" distL="0" distR="0">
            <wp:extent cx="671830" cy="737235"/>
            <wp:effectExtent l="0" t="0" r="0" b="0"/>
            <wp:docPr id="630670990" name="תמונה 630670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71830" cy="737235"/>
                    </a:xfrm>
                    <a:prstGeom prst="rect">
                      <a:avLst/>
                    </a:prstGeom>
                    <a:noFill/>
                    <a:ln>
                      <a:noFill/>
                    </a:ln>
                  </pic:spPr>
                </pic:pic>
              </a:graphicData>
            </a:graphic>
          </wp:inline>
        </w:drawing>
      </mc:Fallback>
    </mc:AlternateContent>
  </w:numPicBullet>
  <w:abstractNum w:abstractNumId="0">
    <w:nsid w:val="FFFFFF89"/>
    <w:multiLevelType w:val="singleLevel"/>
    <w:tmpl w:val="386851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EB68CF"/>
    <w:multiLevelType w:val="hybridMultilevel"/>
    <w:tmpl w:val="4DBA338A"/>
    <w:lvl w:ilvl="0">
      <w:start w:val="1"/>
      <w:numFmt w:val="bullet"/>
      <w:lvlText w:val=""/>
      <w:lvlJc w:val="left"/>
      <w:pPr>
        <w:ind w:left="1514"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2">
    <w:nsid w:val="07C54509"/>
    <w:multiLevelType w:val="multilevel"/>
    <w:tmpl w:val="3030E6FC"/>
    <w:lvl w:ilvl="0">
      <w:start w:val="1"/>
      <w:numFmt w:val="decimal"/>
      <w:pStyle w:val="71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
    <w:nsid w:val="0D1C1A57"/>
    <w:multiLevelType w:val="hybridMultilevel"/>
    <w:tmpl w:val="79BA3268"/>
    <w:lvl w:ilvl="0">
      <w:start w:val="5"/>
      <w:numFmt w:val="bullet"/>
      <w:lvlText w:val=""/>
      <w:lvlJc w:val="left"/>
      <w:pPr>
        <w:ind w:left="72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E176D6"/>
    <w:multiLevelType w:val="hybridMultilevel"/>
    <w:tmpl w:val="16842C8E"/>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5773226"/>
    <w:multiLevelType w:val="hybridMultilevel"/>
    <w:tmpl w:val="16AC4A82"/>
    <w:lvl w:ilvl="0">
      <w:start w:val="1"/>
      <w:numFmt w:val="bullet"/>
      <w:lvlText w:val=""/>
      <w:lvlJc w:val="left"/>
      <w:pPr>
        <w:ind w:left="1117" w:hanging="360"/>
      </w:pPr>
      <w:rPr>
        <w:rFonts w:ascii="Symbol" w:hAnsi="Symbol" w:cs="Symbol" w:hint="default"/>
        <w:b/>
        <w:bCs/>
        <w:i w:val="0"/>
        <w:caps w:val="0"/>
        <w:strike w:val="0"/>
        <w:dstrike w:val="0"/>
        <w:vanish w:val="0"/>
        <w:color w:val="E41E2A"/>
        <w:sz w:val="28"/>
        <w:szCs w:val="28"/>
        <w:vertAlign w:val="baseline"/>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6">
    <w:nsid w:val="166C55F3"/>
    <w:multiLevelType w:val="multilevel"/>
    <w:tmpl w:val="767C0EC2"/>
    <w:lvl w:ilvl="0">
      <w:start w:val="1"/>
      <w:numFmt w:val="decimal"/>
      <w:lvlText w:val="%1."/>
      <w:lvlJc w:val="left"/>
      <w:pPr>
        <w:ind w:left="340" w:hanging="340"/>
      </w:pPr>
      <w:rPr>
        <w:b/>
        <w:bC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7">
    <w:nsid w:val="1A013EB0"/>
    <w:multiLevelType w:val="hybridMultilevel"/>
    <w:tmpl w:val="1662FF5E"/>
    <w:lvl w:ilvl="0">
      <w:start w:val="2"/>
      <w:numFmt w:val="decimal"/>
      <w:lvlText w:val="%1."/>
      <w:lvlJc w:val="left"/>
      <w:pPr>
        <w:ind w:left="720" w:hanging="360"/>
      </w:pPr>
      <w:rPr>
        <w:rFonts w:hint="default"/>
        <w:b/>
        <w:bCs/>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8">
    <w:nsid w:val="1D0C0DF6"/>
    <w:multiLevelType w:val="hybridMultilevel"/>
    <w:tmpl w:val="A1EC5E72"/>
    <w:lvl w:ilvl="0">
      <w:start w:val="1"/>
      <w:numFmt w:val="bullet"/>
      <w:lvlText w:val=""/>
      <w:lvlPicBulletId w:val="0"/>
      <w:lvlJc w:val="left"/>
      <w:pPr>
        <w:ind w:left="397" w:hanging="397"/>
      </w:pPr>
      <w:rPr>
        <w:rFonts w:ascii="Symbol" w:hAnsi="Symbol" w:hint="default"/>
        <w:color w:val="auto"/>
        <w:sz w:val="28"/>
        <w:szCs w:val="28"/>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10">
    <w:nsid w:val="235F1CDB"/>
    <w:multiLevelType w:val="hybridMultilevel"/>
    <w:tmpl w:val="8284614E"/>
    <w:lvl w:ilvl="0">
      <w:start w:val="1"/>
      <w:numFmt w:val="decimal"/>
      <w:pStyle w:val="ListParagraph"/>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5C11F8F"/>
    <w:multiLevelType w:val="hybridMultilevel"/>
    <w:tmpl w:val="A948D90A"/>
    <w:lvl w:ilvl="0">
      <w:start w:val="1"/>
      <w:numFmt w:val="bullet"/>
      <w:pStyle w:val="75"/>
      <w:lvlText w:val=""/>
      <w:lvlJc w:val="left"/>
      <w:pPr>
        <w:ind w:left="927" w:hanging="360"/>
      </w:pPr>
      <w:rPr>
        <w:rFonts w:ascii="Symbol" w:hAnsi="Symbol" w:cs="Symbol" w:hint="default"/>
        <w:b/>
        <w:bCs/>
        <w:color w:val="FF0000"/>
        <w:sz w:val="19"/>
        <w:szCs w:val="19"/>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12">
    <w:nsid w:val="273D0009"/>
    <w:multiLevelType w:val="hybridMultilevel"/>
    <w:tmpl w:val="3F6A506E"/>
    <w:lvl w:ilvl="0">
      <w:start w:val="1"/>
      <w:numFmt w:val="decimal"/>
      <w:lvlText w:val="%1."/>
      <w:lvlJc w:val="left"/>
      <w:pPr>
        <w:ind w:left="170" w:hanging="170"/>
      </w:pPr>
      <w:rPr>
        <w:rFonts w:hint="default"/>
        <w:b w:val="0"/>
        <w:b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0C40368"/>
    <w:multiLevelType w:val="hybridMultilevel"/>
    <w:tmpl w:val="A95E18E0"/>
    <w:lvl w:ilvl="0">
      <w:start w:val="1"/>
      <w:numFmt w:val="bullet"/>
      <w:lvlText w:val=""/>
      <w:lvlJc w:val="left"/>
      <w:pPr>
        <w:ind w:left="284" w:firstLine="1023"/>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1DE49CA"/>
    <w:multiLevelType w:val="hybridMultilevel"/>
    <w:tmpl w:val="A488764C"/>
    <w:lvl w:ilvl="0">
      <w:start w:val="1"/>
      <w:numFmt w:val="decimal"/>
      <w:lvlText w:val="%1."/>
      <w:lvlJc w:val="left"/>
      <w:pPr>
        <w:ind w:left="1060" w:hanging="360"/>
      </w:pPr>
      <w:rPr>
        <w:rFonts w:hint="default"/>
        <w:b/>
        <w:bCs/>
        <w:color w:val="FFFFFF" w:themeColor="background1"/>
      </w:rPr>
    </w:lvl>
    <w:lvl w:ilvl="1" w:tentative="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15">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37F73A6F"/>
    <w:multiLevelType w:val="hybridMultilevel"/>
    <w:tmpl w:val="FFEC8C08"/>
    <w:lvl w:ilvl="0">
      <w:start w:val="1"/>
      <w:numFmt w:val="bullet"/>
      <w:lvlText w:val=""/>
      <w:lvlJc w:val="left"/>
      <w:pPr>
        <w:ind w:left="794" w:hanging="397"/>
      </w:pPr>
      <w:rPr>
        <w:rFonts w:ascii="Symbol" w:hAnsi="Symbol" w:cs="Symbol" w:hint="default"/>
        <w:b/>
        <w:bCs/>
        <w:i w:val="0"/>
        <w:caps w:val="0"/>
        <w:strike w:val="0"/>
        <w:dstrike w:val="0"/>
        <w:vanish w:val="0"/>
        <w:color w:val="E41E2A"/>
        <w:sz w:val="28"/>
        <w:szCs w:val="28"/>
        <w:vertAlign w:val="baseline"/>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7">
    <w:nsid w:val="46765C41"/>
    <w:multiLevelType w:val="hybridMultilevel"/>
    <w:tmpl w:val="C504B200"/>
    <w:lvl w:ilvl="0">
      <w:start w:val="5"/>
      <w:numFmt w:val="bullet"/>
      <w:lvlText w:val=""/>
      <w:lvlJc w:val="left"/>
      <w:pPr>
        <w:ind w:left="72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FAE0F0F"/>
    <w:multiLevelType w:val="hybridMultilevel"/>
    <w:tmpl w:val="7C7897AA"/>
    <w:lvl w:ilvl="0">
      <w:start w:val="2"/>
      <w:numFmt w:val="decimal"/>
      <w:lvlText w:val="%1."/>
      <w:lvlJc w:val="left"/>
      <w:pPr>
        <w:ind w:left="1060" w:hanging="360"/>
      </w:pPr>
      <w:rPr>
        <w:rFonts w:hint="default"/>
        <w:b/>
        <w:bCs/>
        <w:color w:val="FFFFFF" w:themeColor="background1"/>
      </w:rPr>
    </w:lvl>
    <w:lvl w:ilvl="1" w:tentative="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19">
    <w:nsid w:val="55E326D5"/>
    <w:multiLevelType w:val="hybridMultilevel"/>
    <w:tmpl w:val="F03CDE30"/>
    <w:lvl w:ilvl="0">
      <w:start w:val="1"/>
      <w:numFmt w:val="bullet"/>
      <w:lvlText w:val=""/>
      <w:lvlJc w:val="left"/>
      <w:pPr>
        <w:ind w:left="1514"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20">
    <w:nsid w:val="5EDA18C9"/>
    <w:multiLevelType w:val="hybridMultilevel"/>
    <w:tmpl w:val="18F24D2E"/>
    <w:lvl w:ilvl="0">
      <w:start w:val="1"/>
      <w:numFmt w:val="decimal"/>
      <w:lvlText w:val="%1."/>
      <w:lvlJc w:val="left"/>
      <w:pPr>
        <w:ind w:left="700" w:hanging="360"/>
      </w:pPr>
      <w:rPr>
        <w:rFonts w:ascii="Tahoma" w:hAnsi="Tahoma" w:cs="Tahoma" w:hint="default"/>
        <w:b/>
        <w:color w:val="FFFFFF" w:themeColor="background1"/>
        <w:sz w:val="22"/>
      </w:rPr>
    </w:lvl>
    <w:lvl w:ilvl="1" w:tentative="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21">
    <w:nsid w:val="6079445E"/>
    <w:multiLevelType w:val="hybridMultilevel"/>
    <w:tmpl w:val="01E0535A"/>
    <w:lvl w:ilvl="0">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6699458C"/>
    <w:multiLevelType w:val="hybridMultilevel"/>
    <w:tmpl w:val="B9E2BA9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67BF5139"/>
    <w:multiLevelType w:val="multilevel"/>
    <w:tmpl w:val="DC6C961C"/>
    <w:lvl w:ilvl="0">
      <w:start w:val="1"/>
      <w:numFmt w:val="decimal"/>
      <w:pStyle w:val="a1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4">
    <w:nsid w:val="68B7092F"/>
    <w:multiLevelType w:val="hybridMultilevel"/>
    <w:tmpl w:val="CD303DDE"/>
    <w:lvl w:ilvl="0">
      <w:start w:val="1"/>
      <w:numFmt w:val="bullet"/>
      <w:lvlText w:val=""/>
      <w:lvlPicBulletId w:val="0"/>
      <w:lvlJc w:val="left"/>
      <w:pPr>
        <w:ind w:left="397" w:hanging="397"/>
      </w:pPr>
      <w:rPr>
        <w:rFonts w:ascii="Symbol" w:hAnsi="Symbol" w:hint="default"/>
        <w:color w:val="auto"/>
        <w:sz w:val="28"/>
        <w:szCs w:val="28"/>
      </w:rPr>
    </w:lvl>
    <w:lvl w:ilvl="1">
      <w:start w:val="1"/>
      <w:numFmt w:val="bullet"/>
      <w:lvlText w:val="o"/>
      <w:lvlJc w:val="left"/>
      <w:pPr>
        <w:ind w:left="927"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9F51C67"/>
    <w:multiLevelType w:val="hybridMultilevel"/>
    <w:tmpl w:val="1C706308"/>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17B4C9C"/>
    <w:multiLevelType w:val="hybridMultilevel"/>
    <w:tmpl w:val="D1E844FC"/>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27">
    <w:nsid w:val="75BB59BB"/>
    <w:multiLevelType w:val="hybridMultilevel"/>
    <w:tmpl w:val="8DE4081E"/>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D365B29"/>
    <w:multiLevelType w:val="multilevel"/>
    <w:tmpl w:val="E3AA6D54"/>
    <w:lvl w:ilvl="0">
      <w:start w:val="1"/>
      <w:numFmt w:val="hebrew1"/>
      <w:pStyle w:val="715"/>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441336782">
    <w:abstractNumId w:val="15"/>
  </w:num>
  <w:num w:numId="2" w16cid:durableId="767771938">
    <w:abstractNumId w:val="23"/>
  </w:num>
  <w:num w:numId="3" w16cid:durableId="1533149807">
    <w:abstractNumId w:val="10"/>
  </w:num>
  <w:num w:numId="4" w16cid:durableId="1169364424">
    <w:abstractNumId w:val="9"/>
  </w:num>
  <w:num w:numId="5" w16cid:durableId="1531528138">
    <w:abstractNumId w:val="8"/>
  </w:num>
  <w:num w:numId="6" w16cid:durableId="378214401">
    <w:abstractNumId w:val="2"/>
  </w:num>
  <w:num w:numId="7" w16cid:durableId="1558588035">
    <w:abstractNumId w:val="3"/>
  </w:num>
  <w:num w:numId="8" w16cid:durableId="966810605">
    <w:abstractNumId w:val="28"/>
  </w:num>
  <w:num w:numId="9" w16cid:durableId="1709639913">
    <w:abstractNumId w:val="13"/>
  </w:num>
  <w:num w:numId="10" w16cid:durableId="2061510871">
    <w:abstractNumId w:val="10"/>
  </w:num>
  <w:num w:numId="11" w16cid:durableId="150566361">
    <w:abstractNumId w:val="17"/>
  </w:num>
  <w:num w:numId="12" w16cid:durableId="1884517408">
    <w:abstractNumId w:val="7"/>
  </w:num>
  <w:num w:numId="13" w16cid:durableId="1138574288">
    <w:abstractNumId w:val="18"/>
  </w:num>
  <w:num w:numId="14" w16cid:durableId="2021731970">
    <w:abstractNumId w:val="10"/>
  </w:num>
  <w:num w:numId="15" w16cid:durableId="294525774">
    <w:abstractNumId w:val="14"/>
  </w:num>
  <w:num w:numId="16" w16cid:durableId="1938829469">
    <w:abstractNumId w:val="20"/>
  </w:num>
  <w:num w:numId="17" w16cid:durableId="1870992102">
    <w:abstractNumId w:val="10"/>
  </w:num>
  <w:num w:numId="18" w16cid:durableId="875392425">
    <w:abstractNumId w:val="22"/>
  </w:num>
  <w:num w:numId="19" w16cid:durableId="1757364398">
    <w:abstractNumId w:val="10"/>
  </w:num>
  <w:num w:numId="20" w16cid:durableId="2080326639">
    <w:abstractNumId w:val="6"/>
  </w:num>
  <w:num w:numId="21" w16cid:durableId="1517109532">
    <w:abstractNumId w:val="21"/>
  </w:num>
  <w:num w:numId="22" w16cid:durableId="199829528">
    <w:abstractNumId w:val="24"/>
  </w:num>
  <w:num w:numId="23" w16cid:durableId="630592101">
    <w:abstractNumId w:val="10"/>
  </w:num>
  <w:num w:numId="24" w16cid:durableId="781344904">
    <w:abstractNumId w:val="10"/>
  </w:num>
  <w:num w:numId="25" w16cid:durableId="1029065817">
    <w:abstractNumId w:val="0"/>
  </w:num>
  <w:num w:numId="26" w16cid:durableId="1835028128">
    <w:abstractNumId w:val="12"/>
  </w:num>
  <w:num w:numId="27" w16cid:durableId="515264686">
    <w:abstractNumId w:val="10"/>
  </w:num>
  <w:num w:numId="28" w16cid:durableId="1118644431">
    <w:abstractNumId w:val="10"/>
  </w:num>
  <w:num w:numId="29" w16cid:durableId="495343087">
    <w:abstractNumId w:val="10"/>
  </w:num>
  <w:num w:numId="30" w16cid:durableId="93281274">
    <w:abstractNumId w:val="19"/>
  </w:num>
  <w:num w:numId="31" w16cid:durableId="575818460">
    <w:abstractNumId w:val="1"/>
  </w:num>
  <w:num w:numId="32" w16cid:durableId="871304304">
    <w:abstractNumId w:val="26"/>
  </w:num>
  <w:num w:numId="33" w16cid:durableId="1853570904">
    <w:abstractNumId w:val="4"/>
  </w:num>
  <w:num w:numId="34" w16cid:durableId="822430797">
    <w:abstractNumId w:val="27"/>
  </w:num>
  <w:num w:numId="35" w16cid:durableId="1334841248">
    <w:abstractNumId w:val="25"/>
  </w:num>
  <w:num w:numId="36" w16cid:durableId="700976905">
    <w:abstractNumId w:val="11"/>
  </w:num>
  <w:num w:numId="37" w16cid:durableId="694230711">
    <w:abstractNumId w:val="5"/>
  </w:num>
  <w:num w:numId="38" w16cid:durableId="1692292574">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isplayBackgroundShape/>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397"/>
  <w:evenAndOddHeaders/>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3AF"/>
    <w:rsid w:val="0000095B"/>
    <w:rsid w:val="00002000"/>
    <w:rsid w:val="000021BD"/>
    <w:rsid w:val="00002A6A"/>
    <w:rsid w:val="00002B48"/>
    <w:rsid w:val="000035C3"/>
    <w:rsid w:val="0000362C"/>
    <w:rsid w:val="0000373B"/>
    <w:rsid w:val="0000400F"/>
    <w:rsid w:val="000047FD"/>
    <w:rsid w:val="00005D49"/>
    <w:rsid w:val="00006C22"/>
    <w:rsid w:val="000073CC"/>
    <w:rsid w:val="000105AD"/>
    <w:rsid w:val="0001149A"/>
    <w:rsid w:val="000114F5"/>
    <w:rsid w:val="00011508"/>
    <w:rsid w:val="000123B5"/>
    <w:rsid w:val="00012511"/>
    <w:rsid w:val="00012E42"/>
    <w:rsid w:val="00012FC5"/>
    <w:rsid w:val="00013127"/>
    <w:rsid w:val="00015A73"/>
    <w:rsid w:val="00015D42"/>
    <w:rsid w:val="00017099"/>
    <w:rsid w:val="000174BC"/>
    <w:rsid w:val="00021662"/>
    <w:rsid w:val="000217C4"/>
    <w:rsid w:val="00021A89"/>
    <w:rsid w:val="000225D3"/>
    <w:rsid w:val="000249E2"/>
    <w:rsid w:val="00025440"/>
    <w:rsid w:val="00025650"/>
    <w:rsid w:val="0002681A"/>
    <w:rsid w:val="0002689B"/>
    <w:rsid w:val="00027245"/>
    <w:rsid w:val="000315F5"/>
    <w:rsid w:val="00031938"/>
    <w:rsid w:val="00032126"/>
    <w:rsid w:val="000331D3"/>
    <w:rsid w:val="0003392D"/>
    <w:rsid w:val="00033E04"/>
    <w:rsid w:val="0003470F"/>
    <w:rsid w:val="00034F3F"/>
    <w:rsid w:val="000350BF"/>
    <w:rsid w:val="000356A7"/>
    <w:rsid w:val="00035AA3"/>
    <w:rsid w:val="00035BD0"/>
    <w:rsid w:val="00036469"/>
    <w:rsid w:val="00036B1B"/>
    <w:rsid w:val="00036F3C"/>
    <w:rsid w:val="00037596"/>
    <w:rsid w:val="00040CFC"/>
    <w:rsid w:val="00041AEB"/>
    <w:rsid w:val="00044478"/>
    <w:rsid w:val="00044647"/>
    <w:rsid w:val="00044A44"/>
    <w:rsid w:val="00045345"/>
    <w:rsid w:val="000461F4"/>
    <w:rsid w:val="0004650A"/>
    <w:rsid w:val="00046B8C"/>
    <w:rsid w:val="00046DDB"/>
    <w:rsid w:val="00046F96"/>
    <w:rsid w:val="000473A2"/>
    <w:rsid w:val="0004763A"/>
    <w:rsid w:val="000504A0"/>
    <w:rsid w:val="00051008"/>
    <w:rsid w:val="000523CB"/>
    <w:rsid w:val="0005567A"/>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14D"/>
    <w:rsid w:val="00072DC7"/>
    <w:rsid w:val="000760A4"/>
    <w:rsid w:val="00076160"/>
    <w:rsid w:val="000761E8"/>
    <w:rsid w:val="00076AD4"/>
    <w:rsid w:val="00076C3B"/>
    <w:rsid w:val="00076C6A"/>
    <w:rsid w:val="00076C94"/>
    <w:rsid w:val="000771FA"/>
    <w:rsid w:val="000772F2"/>
    <w:rsid w:val="000812BC"/>
    <w:rsid w:val="00082C54"/>
    <w:rsid w:val="0008321A"/>
    <w:rsid w:val="00083F4F"/>
    <w:rsid w:val="00084171"/>
    <w:rsid w:val="000841FE"/>
    <w:rsid w:val="000847F9"/>
    <w:rsid w:val="00084F1F"/>
    <w:rsid w:val="0008572D"/>
    <w:rsid w:val="000868BD"/>
    <w:rsid w:val="00086BC2"/>
    <w:rsid w:val="00090AB0"/>
    <w:rsid w:val="00092220"/>
    <w:rsid w:val="0009240F"/>
    <w:rsid w:val="00092F71"/>
    <w:rsid w:val="00093068"/>
    <w:rsid w:val="00093178"/>
    <w:rsid w:val="00095581"/>
    <w:rsid w:val="0009699F"/>
    <w:rsid w:val="000A0FC0"/>
    <w:rsid w:val="000A16EF"/>
    <w:rsid w:val="000A18FC"/>
    <w:rsid w:val="000A1D75"/>
    <w:rsid w:val="000A251B"/>
    <w:rsid w:val="000A2903"/>
    <w:rsid w:val="000A2BC9"/>
    <w:rsid w:val="000A34B5"/>
    <w:rsid w:val="000A3864"/>
    <w:rsid w:val="000A3CD0"/>
    <w:rsid w:val="000A3DC6"/>
    <w:rsid w:val="000A4798"/>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939"/>
    <w:rsid w:val="000B2D78"/>
    <w:rsid w:val="000B3659"/>
    <w:rsid w:val="000B3933"/>
    <w:rsid w:val="000B4E54"/>
    <w:rsid w:val="000B544F"/>
    <w:rsid w:val="000B565F"/>
    <w:rsid w:val="000B6085"/>
    <w:rsid w:val="000B62E6"/>
    <w:rsid w:val="000B6799"/>
    <w:rsid w:val="000B7227"/>
    <w:rsid w:val="000B73A9"/>
    <w:rsid w:val="000C0334"/>
    <w:rsid w:val="000C0F9D"/>
    <w:rsid w:val="000C19F9"/>
    <w:rsid w:val="000C1BB0"/>
    <w:rsid w:val="000C1DB1"/>
    <w:rsid w:val="000C1F02"/>
    <w:rsid w:val="000C2518"/>
    <w:rsid w:val="000C2E22"/>
    <w:rsid w:val="000C4DEF"/>
    <w:rsid w:val="000C5425"/>
    <w:rsid w:val="000C57FF"/>
    <w:rsid w:val="000C6595"/>
    <w:rsid w:val="000C6708"/>
    <w:rsid w:val="000C7018"/>
    <w:rsid w:val="000D1157"/>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4F0D"/>
    <w:rsid w:val="000E5AF7"/>
    <w:rsid w:val="000E5B6C"/>
    <w:rsid w:val="000E5C35"/>
    <w:rsid w:val="000E642B"/>
    <w:rsid w:val="000E6B72"/>
    <w:rsid w:val="000E6D1A"/>
    <w:rsid w:val="000E761F"/>
    <w:rsid w:val="000E7743"/>
    <w:rsid w:val="000E7FC4"/>
    <w:rsid w:val="000F0117"/>
    <w:rsid w:val="000F0D79"/>
    <w:rsid w:val="000F311F"/>
    <w:rsid w:val="000F3B27"/>
    <w:rsid w:val="000F41D0"/>
    <w:rsid w:val="000F4951"/>
    <w:rsid w:val="000F4997"/>
    <w:rsid w:val="000F49B9"/>
    <w:rsid w:val="000F4C6C"/>
    <w:rsid w:val="000F4E31"/>
    <w:rsid w:val="000F4F2E"/>
    <w:rsid w:val="000F51B7"/>
    <w:rsid w:val="000F5901"/>
    <w:rsid w:val="000F68CD"/>
    <w:rsid w:val="000F69B0"/>
    <w:rsid w:val="000F6B40"/>
    <w:rsid w:val="000F722D"/>
    <w:rsid w:val="000F7E18"/>
    <w:rsid w:val="00100786"/>
    <w:rsid w:val="0010121F"/>
    <w:rsid w:val="001012CC"/>
    <w:rsid w:val="001017ED"/>
    <w:rsid w:val="00101DD5"/>
    <w:rsid w:val="0010229A"/>
    <w:rsid w:val="001024AF"/>
    <w:rsid w:val="001033B3"/>
    <w:rsid w:val="00103971"/>
    <w:rsid w:val="00103CED"/>
    <w:rsid w:val="00103D42"/>
    <w:rsid w:val="00103FBC"/>
    <w:rsid w:val="00104839"/>
    <w:rsid w:val="00104E94"/>
    <w:rsid w:val="0010564D"/>
    <w:rsid w:val="0010599F"/>
    <w:rsid w:val="00105A73"/>
    <w:rsid w:val="00105B88"/>
    <w:rsid w:val="00105ED4"/>
    <w:rsid w:val="00106FBF"/>
    <w:rsid w:val="00106FC5"/>
    <w:rsid w:val="00107938"/>
    <w:rsid w:val="00110E7D"/>
    <w:rsid w:val="00111817"/>
    <w:rsid w:val="00111D0B"/>
    <w:rsid w:val="00112B7B"/>
    <w:rsid w:val="00112D83"/>
    <w:rsid w:val="00113A65"/>
    <w:rsid w:val="00113BEC"/>
    <w:rsid w:val="0011400B"/>
    <w:rsid w:val="00114587"/>
    <w:rsid w:val="00114818"/>
    <w:rsid w:val="001156F5"/>
    <w:rsid w:val="00115F32"/>
    <w:rsid w:val="00116EC6"/>
    <w:rsid w:val="00117163"/>
    <w:rsid w:val="00117668"/>
    <w:rsid w:val="00120C15"/>
    <w:rsid w:val="00121460"/>
    <w:rsid w:val="001215F4"/>
    <w:rsid w:val="001221B2"/>
    <w:rsid w:val="00123BF9"/>
    <w:rsid w:val="00124D10"/>
    <w:rsid w:val="00125732"/>
    <w:rsid w:val="00126FB8"/>
    <w:rsid w:val="00127083"/>
    <w:rsid w:val="00127147"/>
    <w:rsid w:val="00127204"/>
    <w:rsid w:val="001275EC"/>
    <w:rsid w:val="00130912"/>
    <w:rsid w:val="00130ABF"/>
    <w:rsid w:val="00130E45"/>
    <w:rsid w:val="0013170A"/>
    <w:rsid w:val="00131A11"/>
    <w:rsid w:val="00131AAF"/>
    <w:rsid w:val="0013238E"/>
    <w:rsid w:val="00132921"/>
    <w:rsid w:val="00132FFC"/>
    <w:rsid w:val="00133E28"/>
    <w:rsid w:val="00134716"/>
    <w:rsid w:val="00135EB9"/>
    <w:rsid w:val="00136B9E"/>
    <w:rsid w:val="00141E28"/>
    <w:rsid w:val="00142877"/>
    <w:rsid w:val="001435CD"/>
    <w:rsid w:val="00143613"/>
    <w:rsid w:val="00144786"/>
    <w:rsid w:val="00144967"/>
    <w:rsid w:val="00145DAD"/>
    <w:rsid w:val="00146345"/>
    <w:rsid w:val="00150E90"/>
    <w:rsid w:val="001510CF"/>
    <w:rsid w:val="0015132E"/>
    <w:rsid w:val="0015187B"/>
    <w:rsid w:val="001519D2"/>
    <w:rsid w:val="00152684"/>
    <w:rsid w:val="00152C39"/>
    <w:rsid w:val="00153D39"/>
    <w:rsid w:val="00154886"/>
    <w:rsid w:val="00154C30"/>
    <w:rsid w:val="00154C71"/>
    <w:rsid w:val="001551EA"/>
    <w:rsid w:val="001553E4"/>
    <w:rsid w:val="00156292"/>
    <w:rsid w:val="001563D0"/>
    <w:rsid w:val="0015640A"/>
    <w:rsid w:val="0015686E"/>
    <w:rsid w:val="00156A81"/>
    <w:rsid w:val="00156EE0"/>
    <w:rsid w:val="001571C9"/>
    <w:rsid w:val="00160149"/>
    <w:rsid w:val="00160DE1"/>
    <w:rsid w:val="00161297"/>
    <w:rsid w:val="00161324"/>
    <w:rsid w:val="0016160F"/>
    <w:rsid w:val="00161CBD"/>
    <w:rsid w:val="0016215A"/>
    <w:rsid w:val="00162B28"/>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8EF"/>
    <w:rsid w:val="00176E39"/>
    <w:rsid w:val="00177295"/>
    <w:rsid w:val="001772DD"/>
    <w:rsid w:val="00177493"/>
    <w:rsid w:val="0018090E"/>
    <w:rsid w:val="00180C76"/>
    <w:rsid w:val="001816A1"/>
    <w:rsid w:val="00181B5A"/>
    <w:rsid w:val="001856B7"/>
    <w:rsid w:val="0018650A"/>
    <w:rsid w:val="001866EE"/>
    <w:rsid w:val="00186FA6"/>
    <w:rsid w:val="0018762D"/>
    <w:rsid w:val="001876BD"/>
    <w:rsid w:val="0018773C"/>
    <w:rsid w:val="001877CA"/>
    <w:rsid w:val="0019127D"/>
    <w:rsid w:val="00191BA6"/>
    <w:rsid w:val="001927CC"/>
    <w:rsid w:val="00192DC4"/>
    <w:rsid w:val="001933DD"/>
    <w:rsid w:val="0019373E"/>
    <w:rsid w:val="00193C51"/>
    <w:rsid w:val="00194AD1"/>
    <w:rsid w:val="00194E25"/>
    <w:rsid w:val="00194FE0"/>
    <w:rsid w:val="00195AB1"/>
    <w:rsid w:val="00196762"/>
    <w:rsid w:val="00196B27"/>
    <w:rsid w:val="00196D01"/>
    <w:rsid w:val="001A06FA"/>
    <w:rsid w:val="001A14B8"/>
    <w:rsid w:val="001A1832"/>
    <w:rsid w:val="001A1A35"/>
    <w:rsid w:val="001A1D8E"/>
    <w:rsid w:val="001A214C"/>
    <w:rsid w:val="001A2CAF"/>
    <w:rsid w:val="001A2E4B"/>
    <w:rsid w:val="001A2F80"/>
    <w:rsid w:val="001A39E5"/>
    <w:rsid w:val="001A3DA4"/>
    <w:rsid w:val="001A417A"/>
    <w:rsid w:val="001A4362"/>
    <w:rsid w:val="001A4C86"/>
    <w:rsid w:val="001A559D"/>
    <w:rsid w:val="001A56B7"/>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B5590"/>
    <w:rsid w:val="001B5E86"/>
    <w:rsid w:val="001B75AD"/>
    <w:rsid w:val="001B7FC5"/>
    <w:rsid w:val="001C06B5"/>
    <w:rsid w:val="001C0ABC"/>
    <w:rsid w:val="001C125C"/>
    <w:rsid w:val="001C265D"/>
    <w:rsid w:val="001C27C2"/>
    <w:rsid w:val="001C29CD"/>
    <w:rsid w:val="001C3D63"/>
    <w:rsid w:val="001C3F29"/>
    <w:rsid w:val="001C4789"/>
    <w:rsid w:val="001C4FC8"/>
    <w:rsid w:val="001C54F4"/>
    <w:rsid w:val="001C5E08"/>
    <w:rsid w:val="001C6058"/>
    <w:rsid w:val="001C617B"/>
    <w:rsid w:val="001C65F5"/>
    <w:rsid w:val="001C7011"/>
    <w:rsid w:val="001C7644"/>
    <w:rsid w:val="001D0B8C"/>
    <w:rsid w:val="001D200A"/>
    <w:rsid w:val="001D220E"/>
    <w:rsid w:val="001D3B88"/>
    <w:rsid w:val="001D409D"/>
    <w:rsid w:val="001D4460"/>
    <w:rsid w:val="001D458D"/>
    <w:rsid w:val="001D5906"/>
    <w:rsid w:val="001D65CE"/>
    <w:rsid w:val="001D7F39"/>
    <w:rsid w:val="001E070A"/>
    <w:rsid w:val="001E179C"/>
    <w:rsid w:val="001E21EA"/>
    <w:rsid w:val="001E25A0"/>
    <w:rsid w:val="001E3273"/>
    <w:rsid w:val="001E3AD0"/>
    <w:rsid w:val="001E3D2B"/>
    <w:rsid w:val="001E44CF"/>
    <w:rsid w:val="001E5A0D"/>
    <w:rsid w:val="001E5BF1"/>
    <w:rsid w:val="001E5C22"/>
    <w:rsid w:val="001E7054"/>
    <w:rsid w:val="001E7248"/>
    <w:rsid w:val="001E732D"/>
    <w:rsid w:val="001E7790"/>
    <w:rsid w:val="001F03F5"/>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83F"/>
    <w:rsid w:val="001F68F6"/>
    <w:rsid w:val="001F6D2B"/>
    <w:rsid w:val="001F7132"/>
    <w:rsid w:val="00201773"/>
    <w:rsid w:val="00201C60"/>
    <w:rsid w:val="002020AF"/>
    <w:rsid w:val="00202CDF"/>
    <w:rsid w:val="00203A69"/>
    <w:rsid w:val="0020423A"/>
    <w:rsid w:val="00204FD5"/>
    <w:rsid w:val="00206427"/>
    <w:rsid w:val="00206B50"/>
    <w:rsid w:val="00206E89"/>
    <w:rsid w:val="0020737B"/>
    <w:rsid w:val="002108C3"/>
    <w:rsid w:val="00211189"/>
    <w:rsid w:val="00211542"/>
    <w:rsid w:val="002115E2"/>
    <w:rsid w:val="00211890"/>
    <w:rsid w:val="00211AB3"/>
    <w:rsid w:val="00211BD2"/>
    <w:rsid w:val="00211CD5"/>
    <w:rsid w:val="00212C70"/>
    <w:rsid w:val="00212CC9"/>
    <w:rsid w:val="0021383C"/>
    <w:rsid w:val="002138DE"/>
    <w:rsid w:val="00213D63"/>
    <w:rsid w:val="00214667"/>
    <w:rsid w:val="002164D6"/>
    <w:rsid w:val="00216564"/>
    <w:rsid w:val="00216CE4"/>
    <w:rsid w:val="00216E18"/>
    <w:rsid w:val="00217002"/>
    <w:rsid w:val="00217D25"/>
    <w:rsid w:val="00220150"/>
    <w:rsid w:val="00220A56"/>
    <w:rsid w:val="00220B1E"/>
    <w:rsid w:val="00220D93"/>
    <w:rsid w:val="0022183F"/>
    <w:rsid w:val="0022195F"/>
    <w:rsid w:val="00221B6D"/>
    <w:rsid w:val="002229D0"/>
    <w:rsid w:val="00222EFD"/>
    <w:rsid w:val="00223498"/>
    <w:rsid w:val="00223E18"/>
    <w:rsid w:val="00224285"/>
    <w:rsid w:val="00225614"/>
    <w:rsid w:val="00225E4F"/>
    <w:rsid w:val="002262C7"/>
    <w:rsid w:val="00226BE5"/>
    <w:rsid w:val="00226D6C"/>
    <w:rsid w:val="0023014C"/>
    <w:rsid w:val="002303B8"/>
    <w:rsid w:val="00230D48"/>
    <w:rsid w:val="0023147E"/>
    <w:rsid w:val="002314C8"/>
    <w:rsid w:val="002330D7"/>
    <w:rsid w:val="00233EF1"/>
    <w:rsid w:val="002348BC"/>
    <w:rsid w:val="0023632E"/>
    <w:rsid w:val="00236CF1"/>
    <w:rsid w:val="0023718D"/>
    <w:rsid w:val="0023728A"/>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46DC7"/>
    <w:rsid w:val="002511A2"/>
    <w:rsid w:val="002518DB"/>
    <w:rsid w:val="002525CC"/>
    <w:rsid w:val="002529D6"/>
    <w:rsid w:val="002530C2"/>
    <w:rsid w:val="00253904"/>
    <w:rsid w:val="002557C3"/>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0B91"/>
    <w:rsid w:val="002712C2"/>
    <w:rsid w:val="002717B8"/>
    <w:rsid w:val="00271BBF"/>
    <w:rsid w:val="002722F1"/>
    <w:rsid w:val="00272DCB"/>
    <w:rsid w:val="00273409"/>
    <w:rsid w:val="002735DC"/>
    <w:rsid w:val="00273C82"/>
    <w:rsid w:val="00273E3E"/>
    <w:rsid w:val="00274CC2"/>
    <w:rsid w:val="00274D7E"/>
    <w:rsid w:val="0027512D"/>
    <w:rsid w:val="0027747C"/>
    <w:rsid w:val="00277717"/>
    <w:rsid w:val="00277BC2"/>
    <w:rsid w:val="00277E0B"/>
    <w:rsid w:val="002805E4"/>
    <w:rsid w:val="00280807"/>
    <w:rsid w:val="00280A33"/>
    <w:rsid w:val="00280F37"/>
    <w:rsid w:val="00281CA7"/>
    <w:rsid w:val="00281D26"/>
    <w:rsid w:val="00281E80"/>
    <w:rsid w:val="002821A4"/>
    <w:rsid w:val="0028253B"/>
    <w:rsid w:val="00282FD6"/>
    <w:rsid w:val="00283C5E"/>
    <w:rsid w:val="00284052"/>
    <w:rsid w:val="0028477B"/>
    <w:rsid w:val="00285214"/>
    <w:rsid w:val="002861DE"/>
    <w:rsid w:val="00286F9F"/>
    <w:rsid w:val="002870C0"/>
    <w:rsid w:val="00287413"/>
    <w:rsid w:val="0028785B"/>
    <w:rsid w:val="002908EC"/>
    <w:rsid w:val="002917D1"/>
    <w:rsid w:val="00293651"/>
    <w:rsid w:val="00293C1D"/>
    <w:rsid w:val="002943E4"/>
    <w:rsid w:val="00294765"/>
    <w:rsid w:val="0029606C"/>
    <w:rsid w:val="002963FC"/>
    <w:rsid w:val="0029657A"/>
    <w:rsid w:val="00296649"/>
    <w:rsid w:val="00296C96"/>
    <w:rsid w:val="0029750A"/>
    <w:rsid w:val="002975FB"/>
    <w:rsid w:val="00297F9D"/>
    <w:rsid w:val="002A049D"/>
    <w:rsid w:val="002A0F5E"/>
    <w:rsid w:val="002A11BD"/>
    <w:rsid w:val="002A122A"/>
    <w:rsid w:val="002A18A0"/>
    <w:rsid w:val="002A38DF"/>
    <w:rsid w:val="002A4062"/>
    <w:rsid w:val="002A4C50"/>
    <w:rsid w:val="002A51A3"/>
    <w:rsid w:val="002A6B27"/>
    <w:rsid w:val="002A7A49"/>
    <w:rsid w:val="002A7A4A"/>
    <w:rsid w:val="002A7C14"/>
    <w:rsid w:val="002B0204"/>
    <w:rsid w:val="002B064A"/>
    <w:rsid w:val="002B0758"/>
    <w:rsid w:val="002B07BA"/>
    <w:rsid w:val="002B0A10"/>
    <w:rsid w:val="002B146E"/>
    <w:rsid w:val="002B1D68"/>
    <w:rsid w:val="002B285B"/>
    <w:rsid w:val="002B3C5B"/>
    <w:rsid w:val="002B4623"/>
    <w:rsid w:val="002B5441"/>
    <w:rsid w:val="002B5517"/>
    <w:rsid w:val="002B5743"/>
    <w:rsid w:val="002B6920"/>
    <w:rsid w:val="002B6B84"/>
    <w:rsid w:val="002B701A"/>
    <w:rsid w:val="002C0374"/>
    <w:rsid w:val="002C0D01"/>
    <w:rsid w:val="002C167F"/>
    <w:rsid w:val="002C1805"/>
    <w:rsid w:val="002C3001"/>
    <w:rsid w:val="002C3A61"/>
    <w:rsid w:val="002C517F"/>
    <w:rsid w:val="002C53F1"/>
    <w:rsid w:val="002C5B2A"/>
    <w:rsid w:val="002C5D25"/>
    <w:rsid w:val="002C6165"/>
    <w:rsid w:val="002C6364"/>
    <w:rsid w:val="002C68CB"/>
    <w:rsid w:val="002C6F0A"/>
    <w:rsid w:val="002C796B"/>
    <w:rsid w:val="002D1462"/>
    <w:rsid w:val="002D173D"/>
    <w:rsid w:val="002D1F63"/>
    <w:rsid w:val="002D2002"/>
    <w:rsid w:val="002D238D"/>
    <w:rsid w:val="002D239D"/>
    <w:rsid w:val="002D2A02"/>
    <w:rsid w:val="002D2A09"/>
    <w:rsid w:val="002D2B39"/>
    <w:rsid w:val="002D30FC"/>
    <w:rsid w:val="002D41DC"/>
    <w:rsid w:val="002D4324"/>
    <w:rsid w:val="002D54F5"/>
    <w:rsid w:val="002D62C9"/>
    <w:rsid w:val="002D644D"/>
    <w:rsid w:val="002E0FBF"/>
    <w:rsid w:val="002E19D0"/>
    <w:rsid w:val="002E2762"/>
    <w:rsid w:val="002E317F"/>
    <w:rsid w:val="002E395E"/>
    <w:rsid w:val="002E4809"/>
    <w:rsid w:val="002E4AD0"/>
    <w:rsid w:val="002E4B6B"/>
    <w:rsid w:val="002E4D18"/>
    <w:rsid w:val="002E6C36"/>
    <w:rsid w:val="002E722A"/>
    <w:rsid w:val="002E7650"/>
    <w:rsid w:val="002E7F4E"/>
    <w:rsid w:val="002F0438"/>
    <w:rsid w:val="002F0B22"/>
    <w:rsid w:val="002F0C58"/>
    <w:rsid w:val="002F1280"/>
    <w:rsid w:val="002F165F"/>
    <w:rsid w:val="002F195C"/>
    <w:rsid w:val="002F1A0D"/>
    <w:rsid w:val="002F2133"/>
    <w:rsid w:val="002F2319"/>
    <w:rsid w:val="002F2754"/>
    <w:rsid w:val="002F3251"/>
    <w:rsid w:val="002F6D3A"/>
    <w:rsid w:val="003006EA"/>
    <w:rsid w:val="00300E9F"/>
    <w:rsid w:val="00301280"/>
    <w:rsid w:val="00302559"/>
    <w:rsid w:val="003027AA"/>
    <w:rsid w:val="00302CDA"/>
    <w:rsid w:val="00303F69"/>
    <w:rsid w:val="003044D4"/>
    <w:rsid w:val="00304A28"/>
    <w:rsid w:val="00305501"/>
    <w:rsid w:val="003057BE"/>
    <w:rsid w:val="00306333"/>
    <w:rsid w:val="00310CE8"/>
    <w:rsid w:val="00311D24"/>
    <w:rsid w:val="00312650"/>
    <w:rsid w:val="003133FC"/>
    <w:rsid w:val="00313EC4"/>
    <w:rsid w:val="00314CE5"/>
    <w:rsid w:val="003150B1"/>
    <w:rsid w:val="00316C90"/>
    <w:rsid w:val="00316D38"/>
    <w:rsid w:val="003173E0"/>
    <w:rsid w:val="00320159"/>
    <w:rsid w:val="00321D1B"/>
    <w:rsid w:val="0032364A"/>
    <w:rsid w:val="00323E46"/>
    <w:rsid w:val="003243AF"/>
    <w:rsid w:val="00325332"/>
    <w:rsid w:val="00325469"/>
    <w:rsid w:val="00327C2A"/>
    <w:rsid w:val="00327FBF"/>
    <w:rsid w:val="0033032D"/>
    <w:rsid w:val="00330465"/>
    <w:rsid w:val="00330697"/>
    <w:rsid w:val="00330FEC"/>
    <w:rsid w:val="0033100C"/>
    <w:rsid w:val="00331522"/>
    <w:rsid w:val="00331A56"/>
    <w:rsid w:val="00331DAB"/>
    <w:rsid w:val="003323CD"/>
    <w:rsid w:val="00333810"/>
    <w:rsid w:val="00333FB0"/>
    <w:rsid w:val="003340AD"/>
    <w:rsid w:val="00334BBC"/>
    <w:rsid w:val="00334E99"/>
    <w:rsid w:val="00335960"/>
    <w:rsid w:val="00335F65"/>
    <w:rsid w:val="00336334"/>
    <w:rsid w:val="00336A22"/>
    <w:rsid w:val="00336A9C"/>
    <w:rsid w:val="003408F2"/>
    <w:rsid w:val="00341EDA"/>
    <w:rsid w:val="00342E41"/>
    <w:rsid w:val="00342F9F"/>
    <w:rsid w:val="003437E8"/>
    <w:rsid w:val="00344900"/>
    <w:rsid w:val="00345A36"/>
    <w:rsid w:val="003464F7"/>
    <w:rsid w:val="003466C7"/>
    <w:rsid w:val="00346DF9"/>
    <w:rsid w:val="003478E2"/>
    <w:rsid w:val="003504AD"/>
    <w:rsid w:val="00350894"/>
    <w:rsid w:val="00350FCA"/>
    <w:rsid w:val="00351463"/>
    <w:rsid w:val="00352F48"/>
    <w:rsid w:val="00353326"/>
    <w:rsid w:val="0035361A"/>
    <w:rsid w:val="00353BAA"/>
    <w:rsid w:val="003541A3"/>
    <w:rsid w:val="0035442A"/>
    <w:rsid w:val="00354900"/>
    <w:rsid w:val="00355057"/>
    <w:rsid w:val="003572C8"/>
    <w:rsid w:val="00357D06"/>
    <w:rsid w:val="003609E2"/>
    <w:rsid w:val="00361B78"/>
    <w:rsid w:val="00361CD3"/>
    <w:rsid w:val="00362B2C"/>
    <w:rsid w:val="0036393B"/>
    <w:rsid w:val="00363C0F"/>
    <w:rsid w:val="00363C25"/>
    <w:rsid w:val="00363DBE"/>
    <w:rsid w:val="00364230"/>
    <w:rsid w:val="00364FDF"/>
    <w:rsid w:val="003651AA"/>
    <w:rsid w:val="00366DF1"/>
    <w:rsid w:val="00367BD8"/>
    <w:rsid w:val="00370725"/>
    <w:rsid w:val="003707D3"/>
    <w:rsid w:val="00370A28"/>
    <w:rsid w:val="00373C76"/>
    <w:rsid w:val="0037422E"/>
    <w:rsid w:val="0037507E"/>
    <w:rsid w:val="00375407"/>
    <w:rsid w:val="003757ED"/>
    <w:rsid w:val="00375D53"/>
    <w:rsid w:val="00377C93"/>
    <w:rsid w:val="0038050A"/>
    <w:rsid w:val="003807F4"/>
    <w:rsid w:val="00380913"/>
    <w:rsid w:val="00381451"/>
    <w:rsid w:val="00381B6E"/>
    <w:rsid w:val="00381C43"/>
    <w:rsid w:val="00381C86"/>
    <w:rsid w:val="00381F88"/>
    <w:rsid w:val="0038206D"/>
    <w:rsid w:val="00382431"/>
    <w:rsid w:val="00382614"/>
    <w:rsid w:val="00383BAA"/>
    <w:rsid w:val="00384065"/>
    <w:rsid w:val="00384B2A"/>
    <w:rsid w:val="003850F7"/>
    <w:rsid w:val="00385249"/>
    <w:rsid w:val="003859A8"/>
    <w:rsid w:val="00386540"/>
    <w:rsid w:val="00386671"/>
    <w:rsid w:val="003866F8"/>
    <w:rsid w:val="003875EE"/>
    <w:rsid w:val="00387A0C"/>
    <w:rsid w:val="00390616"/>
    <w:rsid w:val="00390F86"/>
    <w:rsid w:val="003923EB"/>
    <w:rsid w:val="00392980"/>
    <w:rsid w:val="00392AA4"/>
    <w:rsid w:val="00392AA6"/>
    <w:rsid w:val="0039302F"/>
    <w:rsid w:val="0039384A"/>
    <w:rsid w:val="00393B5E"/>
    <w:rsid w:val="00393B7D"/>
    <w:rsid w:val="00393D36"/>
    <w:rsid w:val="00394124"/>
    <w:rsid w:val="00394BB0"/>
    <w:rsid w:val="003954BF"/>
    <w:rsid w:val="00396C01"/>
    <w:rsid w:val="00397204"/>
    <w:rsid w:val="003976F4"/>
    <w:rsid w:val="003A082D"/>
    <w:rsid w:val="003A0B69"/>
    <w:rsid w:val="003A0F7A"/>
    <w:rsid w:val="003A10E7"/>
    <w:rsid w:val="003A16B7"/>
    <w:rsid w:val="003A1745"/>
    <w:rsid w:val="003A2E56"/>
    <w:rsid w:val="003A3862"/>
    <w:rsid w:val="003A4357"/>
    <w:rsid w:val="003A436D"/>
    <w:rsid w:val="003B0565"/>
    <w:rsid w:val="003B159D"/>
    <w:rsid w:val="003B19BE"/>
    <w:rsid w:val="003B1E8D"/>
    <w:rsid w:val="003B1FEC"/>
    <w:rsid w:val="003B348F"/>
    <w:rsid w:val="003B4927"/>
    <w:rsid w:val="003B4D44"/>
    <w:rsid w:val="003B5B95"/>
    <w:rsid w:val="003B69D2"/>
    <w:rsid w:val="003B6EA3"/>
    <w:rsid w:val="003B7DC9"/>
    <w:rsid w:val="003C0020"/>
    <w:rsid w:val="003C02EE"/>
    <w:rsid w:val="003C0AAE"/>
    <w:rsid w:val="003C1185"/>
    <w:rsid w:val="003C11B6"/>
    <w:rsid w:val="003C2223"/>
    <w:rsid w:val="003C317B"/>
    <w:rsid w:val="003C3AD5"/>
    <w:rsid w:val="003C4C2F"/>
    <w:rsid w:val="003C4D6C"/>
    <w:rsid w:val="003C57DC"/>
    <w:rsid w:val="003C5926"/>
    <w:rsid w:val="003C5929"/>
    <w:rsid w:val="003C67A4"/>
    <w:rsid w:val="003D04FC"/>
    <w:rsid w:val="003D0701"/>
    <w:rsid w:val="003D09D3"/>
    <w:rsid w:val="003D0B43"/>
    <w:rsid w:val="003D14AF"/>
    <w:rsid w:val="003D15EC"/>
    <w:rsid w:val="003D3AD8"/>
    <w:rsid w:val="003D4208"/>
    <w:rsid w:val="003D4441"/>
    <w:rsid w:val="003D4A2A"/>
    <w:rsid w:val="003D4DAC"/>
    <w:rsid w:val="003D4DE9"/>
    <w:rsid w:val="003D4FDE"/>
    <w:rsid w:val="003D5F15"/>
    <w:rsid w:val="003D751C"/>
    <w:rsid w:val="003D7986"/>
    <w:rsid w:val="003E04AC"/>
    <w:rsid w:val="003E06C7"/>
    <w:rsid w:val="003E0C5E"/>
    <w:rsid w:val="003E0EAA"/>
    <w:rsid w:val="003E1352"/>
    <w:rsid w:val="003E1383"/>
    <w:rsid w:val="003E323C"/>
    <w:rsid w:val="003E5430"/>
    <w:rsid w:val="003E709A"/>
    <w:rsid w:val="003E79AE"/>
    <w:rsid w:val="003F0A5C"/>
    <w:rsid w:val="003F0C3A"/>
    <w:rsid w:val="003F112F"/>
    <w:rsid w:val="003F1906"/>
    <w:rsid w:val="003F2367"/>
    <w:rsid w:val="003F2902"/>
    <w:rsid w:val="003F2CA1"/>
    <w:rsid w:val="003F2E86"/>
    <w:rsid w:val="003F2FA6"/>
    <w:rsid w:val="003F35EC"/>
    <w:rsid w:val="003F3B10"/>
    <w:rsid w:val="003F4201"/>
    <w:rsid w:val="003F566D"/>
    <w:rsid w:val="003F5CC7"/>
    <w:rsid w:val="003F5E93"/>
    <w:rsid w:val="003F6C4B"/>
    <w:rsid w:val="003F6E1A"/>
    <w:rsid w:val="003F6FB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3FB8"/>
    <w:rsid w:val="004248CA"/>
    <w:rsid w:val="00424B82"/>
    <w:rsid w:val="00424CEB"/>
    <w:rsid w:val="0042536D"/>
    <w:rsid w:val="00425447"/>
    <w:rsid w:val="004255E3"/>
    <w:rsid w:val="00425D49"/>
    <w:rsid w:val="00426A12"/>
    <w:rsid w:val="00427615"/>
    <w:rsid w:val="004278E5"/>
    <w:rsid w:val="00427CBA"/>
    <w:rsid w:val="00427DE9"/>
    <w:rsid w:val="00430526"/>
    <w:rsid w:val="004309B3"/>
    <w:rsid w:val="004309C5"/>
    <w:rsid w:val="00430F36"/>
    <w:rsid w:val="00431864"/>
    <w:rsid w:val="00431E6E"/>
    <w:rsid w:val="00432DBC"/>
    <w:rsid w:val="004334FD"/>
    <w:rsid w:val="004335F4"/>
    <w:rsid w:val="00434573"/>
    <w:rsid w:val="00434710"/>
    <w:rsid w:val="00434979"/>
    <w:rsid w:val="00434B71"/>
    <w:rsid w:val="004359AD"/>
    <w:rsid w:val="00436570"/>
    <w:rsid w:val="00436B3D"/>
    <w:rsid w:val="00436DAE"/>
    <w:rsid w:val="00437A8F"/>
    <w:rsid w:val="00437CA8"/>
    <w:rsid w:val="00440360"/>
    <w:rsid w:val="00440A9C"/>
    <w:rsid w:val="00441319"/>
    <w:rsid w:val="00441A9F"/>
    <w:rsid w:val="00442153"/>
    <w:rsid w:val="00442D2E"/>
    <w:rsid w:val="00442E1F"/>
    <w:rsid w:val="00443C31"/>
    <w:rsid w:val="00444737"/>
    <w:rsid w:val="00445112"/>
    <w:rsid w:val="00445C07"/>
    <w:rsid w:val="00445CE5"/>
    <w:rsid w:val="00446104"/>
    <w:rsid w:val="0044687F"/>
    <w:rsid w:val="00446C74"/>
    <w:rsid w:val="00447EBD"/>
    <w:rsid w:val="0045028B"/>
    <w:rsid w:val="004505D6"/>
    <w:rsid w:val="00450E59"/>
    <w:rsid w:val="004516D9"/>
    <w:rsid w:val="00451F72"/>
    <w:rsid w:val="00451F8B"/>
    <w:rsid w:val="004535E7"/>
    <w:rsid w:val="00455350"/>
    <w:rsid w:val="004557A8"/>
    <w:rsid w:val="00456349"/>
    <w:rsid w:val="00456430"/>
    <w:rsid w:val="0045656B"/>
    <w:rsid w:val="0045684E"/>
    <w:rsid w:val="00456CEF"/>
    <w:rsid w:val="00457C4A"/>
    <w:rsid w:val="00460732"/>
    <w:rsid w:val="00460993"/>
    <w:rsid w:val="00460F53"/>
    <w:rsid w:val="004618B5"/>
    <w:rsid w:val="00461FDC"/>
    <w:rsid w:val="00462875"/>
    <w:rsid w:val="004638C4"/>
    <w:rsid w:val="00463924"/>
    <w:rsid w:val="00464628"/>
    <w:rsid w:val="004649FA"/>
    <w:rsid w:val="004660F8"/>
    <w:rsid w:val="00466196"/>
    <w:rsid w:val="0046631D"/>
    <w:rsid w:val="0046700E"/>
    <w:rsid w:val="00467F06"/>
    <w:rsid w:val="00470F05"/>
    <w:rsid w:val="004718D9"/>
    <w:rsid w:val="00472462"/>
    <w:rsid w:val="00472670"/>
    <w:rsid w:val="00472C02"/>
    <w:rsid w:val="00472DBD"/>
    <w:rsid w:val="00473314"/>
    <w:rsid w:val="0047349A"/>
    <w:rsid w:val="004736B8"/>
    <w:rsid w:val="004739CF"/>
    <w:rsid w:val="00473C08"/>
    <w:rsid w:val="0047493C"/>
    <w:rsid w:val="00474ED3"/>
    <w:rsid w:val="00475484"/>
    <w:rsid w:val="00475740"/>
    <w:rsid w:val="004768DA"/>
    <w:rsid w:val="004800D1"/>
    <w:rsid w:val="004806D7"/>
    <w:rsid w:val="0048083D"/>
    <w:rsid w:val="00480E15"/>
    <w:rsid w:val="00480F04"/>
    <w:rsid w:val="004813E6"/>
    <w:rsid w:val="0048191F"/>
    <w:rsid w:val="00484C76"/>
    <w:rsid w:val="00484D2D"/>
    <w:rsid w:val="004859FE"/>
    <w:rsid w:val="00485F83"/>
    <w:rsid w:val="004862E9"/>
    <w:rsid w:val="0048660B"/>
    <w:rsid w:val="00487C38"/>
    <w:rsid w:val="00487D38"/>
    <w:rsid w:val="00487D6F"/>
    <w:rsid w:val="0049073A"/>
    <w:rsid w:val="004912FC"/>
    <w:rsid w:val="00491500"/>
    <w:rsid w:val="00491894"/>
    <w:rsid w:val="00491D9E"/>
    <w:rsid w:val="00492046"/>
    <w:rsid w:val="0049260B"/>
    <w:rsid w:val="00492BEB"/>
    <w:rsid w:val="00492C38"/>
    <w:rsid w:val="004936A3"/>
    <w:rsid w:val="0049381F"/>
    <w:rsid w:val="00493A82"/>
    <w:rsid w:val="00493F55"/>
    <w:rsid w:val="00494463"/>
    <w:rsid w:val="00494D79"/>
    <w:rsid w:val="00494DFB"/>
    <w:rsid w:val="00494F20"/>
    <w:rsid w:val="00494FCB"/>
    <w:rsid w:val="0049571D"/>
    <w:rsid w:val="004957E6"/>
    <w:rsid w:val="004958EF"/>
    <w:rsid w:val="00496CBE"/>
    <w:rsid w:val="00497B53"/>
    <w:rsid w:val="004A0293"/>
    <w:rsid w:val="004A083D"/>
    <w:rsid w:val="004A1648"/>
    <w:rsid w:val="004A1E6D"/>
    <w:rsid w:val="004A36ED"/>
    <w:rsid w:val="004A4AA6"/>
    <w:rsid w:val="004A4B65"/>
    <w:rsid w:val="004A5646"/>
    <w:rsid w:val="004A6733"/>
    <w:rsid w:val="004A7324"/>
    <w:rsid w:val="004A7AFD"/>
    <w:rsid w:val="004B02B5"/>
    <w:rsid w:val="004B1AC6"/>
    <w:rsid w:val="004B2AE7"/>
    <w:rsid w:val="004B2F00"/>
    <w:rsid w:val="004B3772"/>
    <w:rsid w:val="004B4F74"/>
    <w:rsid w:val="004B58CE"/>
    <w:rsid w:val="004B5BE6"/>
    <w:rsid w:val="004B6CE7"/>
    <w:rsid w:val="004B781B"/>
    <w:rsid w:val="004B7EE2"/>
    <w:rsid w:val="004C0DF9"/>
    <w:rsid w:val="004C1982"/>
    <w:rsid w:val="004C24BD"/>
    <w:rsid w:val="004C2BED"/>
    <w:rsid w:val="004C3206"/>
    <w:rsid w:val="004C41A4"/>
    <w:rsid w:val="004C5249"/>
    <w:rsid w:val="004C646D"/>
    <w:rsid w:val="004C777F"/>
    <w:rsid w:val="004D04A5"/>
    <w:rsid w:val="004D0789"/>
    <w:rsid w:val="004D2DF8"/>
    <w:rsid w:val="004D37E1"/>
    <w:rsid w:val="004D4132"/>
    <w:rsid w:val="004D496C"/>
    <w:rsid w:val="004D54CD"/>
    <w:rsid w:val="004D650D"/>
    <w:rsid w:val="004D67A8"/>
    <w:rsid w:val="004D78FF"/>
    <w:rsid w:val="004D7DDE"/>
    <w:rsid w:val="004E018A"/>
    <w:rsid w:val="004E0587"/>
    <w:rsid w:val="004E0FD4"/>
    <w:rsid w:val="004E106A"/>
    <w:rsid w:val="004E1BCE"/>
    <w:rsid w:val="004E2013"/>
    <w:rsid w:val="004E382E"/>
    <w:rsid w:val="004E3B8C"/>
    <w:rsid w:val="004E44CC"/>
    <w:rsid w:val="004E55BE"/>
    <w:rsid w:val="004E5760"/>
    <w:rsid w:val="004E5C99"/>
    <w:rsid w:val="004E7AEF"/>
    <w:rsid w:val="004F0150"/>
    <w:rsid w:val="004F08EA"/>
    <w:rsid w:val="004F172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0381"/>
    <w:rsid w:val="00501EBE"/>
    <w:rsid w:val="00503016"/>
    <w:rsid w:val="00503346"/>
    <w:rsid w:val="00503914"/>
    <w:rsid w:val="00505054"/>
    <w:rsid w:val="00505951"/>
    <w:rsid w:val="00505E67"/>
    <w:rsid w:val="00505EE4"/>
    <w:rsid w:val="00505EE7"/>
    <w:rsid w:val="00506823"/>
    <w:rsid w:val="00506896"/>
    <w:rsid w:val="00506FE2"/>
    <w:rsid w:val="005072C0"/>
    <w:rsid w:val="005073A4"/>
    <w:rsid w:val="00510C73"/>
    <w:rsid w:val="0051115F"/>
    <w:rsid w:val="00511771"/>
    <w:rsid w:val="00511D75"/>
    <w:rsid w:val="00512355"/>
    <w:rsid w:val="005124C7"/>
    <w:rsid w:val="00512C90"/>
    <w:rsid w:val="00512CF1"/>
    <w:rsid w:val="00513FBC"/>
    <w:rsid w:val="00514E43"/>
    <w:rsid w:val="00515123"/>
    <w:rsid w:val="0051556D"/>
    <w:rsid w:val="0052041C"/>
    <w:rsid w:val="00521E20"/>
    <w:rsid w:val="00522AB2"/>
    <w:rsid w:val="0052337C"/>
    <w:rsid w:val="005239E3"/>
    <w:rsid w:val="00523A2E"/>
    <w:rsid w:val="0052427E"/>
    <w:rsid w:val="00524A5D"/>
    <w:rsid w:val="005256F3"/>
    <w:rsid w:val="00525E93"/>
    <w:rsid w:val="0052621D"/>
    <w:rsid w:val="00527462"/>
    <w:rsid w:val="005276C3"/>
    <w:rsid w:val="00527873"/>
    <w:rsid w:val="00530040"/>
    <w:rsid w:val="005302AB"/>
    <w:rsid w:val="00530806"/>
    <w:rsid w:val="00530A7F"/>
    <w:rsid w:val="00530F88"/>
    <w:rsid w:val="00531652"/>
    <w:rsid w:val="00531E87"/>
    <w:rsid w:val="00532AAB"/>
    <w:rsid w:val="00532B27"/>
    <w:rsid w:val="0053421A"/>
    <w:rsid w:val="00535208"/>
    <w:rsid w:val="00536356"/>
    <w:rsid w:val="00536463"/>
    <w:rsid w:val="0053710C"/>
    <w:rsid w:val="005377A6"/>
    <w:rsid w:val="00540FE0"/>
    <w:rsid w:val="005411EA"/>
    <w:rsid w:val="0054263B"/>
    <w:rsid w:val="0054264F"/>
    <w:rsid w:val="00542ACA"/>
    <w:rsid w:val="005437E8"/>
    <w:rsid w:val="005438E7"/>
    <w:rsid w:val="00543BD2"/>
    <w:rsid w:val="00543F87"/>
    <w:rsid w:val="00544C20"/>
    <w:rsid w:val="00544E40"/>
    <w:rsid w:val="00545D3C"/>
    <w:rsid w:val="00545FBB"/>
    <w:rsid w:val="005476ED"/>
    <w:rsid w:val="00551A41"/>
    <w:rsid w:val="00552038"/>
    <w:rsid w:val="00552145"/>
    <w:rsid w:val="005529D8"/>
    <w:rsid w:val="00553692"/>
    <w:rsid w:val="00554557"/>
    <w:rsid w:val="00554A39"/>
    <w:rsid w:val="00555B3E"/>
    <w:rsid w:val="00555EDA"/>
    <w:rsid w:val="005560EB"/>
    <w:rsid w:val="005562B3"/>
    <w:rsid w:val="0055660D"/>
    <w:rsid w:val="00556AFE"/>
    <w:rsid w:val="00557333"/>
    <w:rsid w:val="00557DD2"/>
    <w:rsid w:val="0056030C"/>
    <w:rsid w:val="00561B31"/>
    <w:rsid w:val="00562A5B"/>
    <w:rsid w:val="00562D71"/>
    <w:rsid w:val="00563438"/>
    <w:rsid w:val="005634A6"/>
    <w:rsid w:val="005638B0"/>
    <w:rsid w:val="00563A26"/>
    <w:rsid w:val="00563B11"/>
    <w:rsid w:val="005643A3"/>
    <w:rsid w:val="0056507A"/>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0C4"/>
    <w:rsid w:val="00580C39"/>
    <w:rsid w:val="005814FF"/>
    <w:rsid w:val="005818ED"/>
    <w:rsid w:val="00582EEE"/>
    <w:rsid w:val="00584ECC"/>
    <w:rsid w:val="00584FCC"/>
    <w:rsid w:val="0058546D"/>
    <w:rsid w:val="0058562D"/>
    <w:rsid w:val="005864CB"/>
    <w:rsid w:val="00586C76"/>
    <w:rsid w:val="0058797C"/>
    <w:rsid w:val="00590929"/>
    <w:rsid w:val="0059097C"/>
    <w:rsid w:val="00590AF8"/>
    <w:rsid w:val="00591657"/>
    <w:rsid w:val="00591F7E"/>
    <w:rsid w:val="00592124"/>
    <w:rsid w:val="00592176"/>
    <w:rsid w:val="0059367A"/>
    <w:rsid w:val="00593D11"/>
    <w:rsid w:val="005943AE"/>
    <w:rsid w:val="00595206"/>
    <w:rsid w:val="00595D31"/>
    <w:rsid w:val="00595EE3"/>
    <w:rsid w:val="005968D1"/>
    <w:rsid w:val="00597D43"/>
    <w:rsid w:val="00597F91"/>
    <w:rsid w:val="005A00A1"/>
    <w:rsid w:val="005A01C8"/>
    <w:rsid w:val="005A0264"/>
    <w:rsid w:val="005A02D4"/>
    <w:rsid w:val="005A15A4"/>
    <w:rsid w:val="005A169C"/>
    <w:rsid w:val="005A1CF1"/>
    <w:rsid w:val="005A1F68"/>
    <w:rsid w:val="005A2372"/>
    <w:rsid w:val="005A4DBF"/>
    <w:rsid w:val="005A720C"/>
    <w:rsid w:val="005B0219"/>
    <w:rsid w:val="005B07DE"/>
    <w:rsid w:val="005B0DFE"/>
    <w:rsid w:val="005B12E9"/>
    <w:rsid w:val="005B1713"/>
    <w:rsid w:val="005B2281"/>
    <w:rsid w:val="005B2537"/>
    <w:rsid w:val="005B3350"/>
    <w:rsid w:val="005B3874"/>
    <w:rsid w:val="005B426A"/>
    <w:rsid w:val="005B463B"/>
    <w:rsid w:val="005B515A"/>
    <w:rsid w:val="005B55EC"/>
    <w:rsid w:val="005B59FC"/>
    <w:rsid w:val="005B5C8A"/>
    <w:rsid w:val="005B622B"/>
    <w:rsid w:val="005B7B43"/>
    <w:rsid w:val="005B7EBA"/>
    <w:rsid w:val="005C0F41"/>
    <w:rsid w:val="005C33A1"/>
    <w:rsid w:val="005C3866"/>
    <w:rsid w:val="005C4646"/>
    <w:rsid w:val="005C593E"/>
    <w:rsid w:val="005C7407"/>
    <w:rsid w:val="005D0510"/>
    <w:rsid w:val="005D142B"/>
    <w:rsid w:val="005D198B"/>
    <w:rsid w:val="005D2DCD"/>
    <w:rsid w:val="005D2F13"/>
    <w:rsid w:val="005D4091"/>
    <w:rsid w:val="005D4105"/>
    <w:rsid w:val="005D42F8"/>
    <w:rsid w:val="005D4696"/>
    <w:rsid w:val="005D4C93"/>
    <w:rsid w:val="005D4FBA"/>
    <w:rsid w:val="005D5D01"/>
    <w:rsid w:val="005D5EA2"/>
    <w:rsid w:val="005D6AA1"/>
    <w:rsid w:val="005D6EC7"/>
    <w:rsid w:val="005D713A"/>
    <w:rsid w:val="005D7B4E"/>
    <w:rsid w:val="005D7FE0"/>
    <w:rsid w:val="005E234F"/>
    <w:rsid w:val="005E2557"/>
    <w:rsid w:val="005E441D"/>
    <w:rsid w:val="005E4B81"/>
    <w:rsid w:val="005E50FE"/>
    <w:rsid w:val="005E539D"/>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5026"/>
    <w:rsid w:val="005F620B"/>
    <w:rsid w:val="005F665B"/>
    <w:rsid w:val="005F6FCA"/>
    <w:rsid w:val="0060059B"/>
    <w:rsid w:val="00601C39"/>
    <w:rsid w:val="00601FC8"/>
    <w:rsid w:val="00602B4F"/>
    <w:rsid w:val="0060384E"/>
    <w:rsid w:val="0060570A"/>
    <w:rsid w:val="00605DF2"/>
    <w:rsid w:val="00605EF8"/>
    <w:rsid w:val="006061A9"/>
    <w:rsid w:val="00606EC8"/>
    <w:rsid w:val="00607172"/>
    <w:rsid w:val="00607298"/>
    <w:rsid w:val="00610160"/>
    <w:rsid w:val="00611F89"/>
    <w:rsid w:val="0061200A"/>
    <w:rsid w:val="0061213D"/>
    <w:rsid w:val="00613A83"/>
    <w:rsid w:val="00613B94"/>
    <w:rsid w:val="00613C40"/>
    <w:rsid w:val="0061400C"/>
    <w:rsid w:val="00614331"/>
    <w:rsid w:val="006152BC"/>
    <w:rsid w:val="00615BC7"/>
    <w:rsid w:val="006162C2"/>
    <w:rsid w:val="00616A04"/>
    <w:rsid w:val="00622048"/>
    <w:rsid w:val="00622944"/>
    <w:rsid w:val="006235F2"/>
    <w:rsid w:val="00624217"/>
    <w:rsid w:val="006243BF"/>
    <w:rsid w:val="00624795"/>
    <w:rsid w:val="00624B39"/>
    <w:rsid w:val="00624B91"/>
    <w:rsid w:val="006250CA"/>
    <w:rsid w:val="0062578F"/>
    <w:rsid w:val="00625EFD"/>
    <w:rsid w:val="00626741"/>
    <w:rsid w:val="006274AF"/>
    <w:rsid w:val="00627BBF"/>
    <w:rsid w:val="00630845"/>
    <w:rsid w:val="006339F3"/>
    <w:rsid w:val="00633BB2"/>
    <w:rsid w:val="00634119"/>
    <w:rsid w:val="0063470B"/>
    <w:rsid w:val="0063519E"/>
    <w:rsid w:val="0063628B"/>
    <w:rsid w:val="0063632E"/>
    <w:rsid w:val="00640298"/>
    <w:rsid w:val="00641FC6"/>
    <w:rsid w:val="006423C5"/>
    <w:rsid w:val="00642E60"/>
    <w:rsid w:val="0064502B"/>
    <w:rsid w:val="00645307"/>
    <w:rsid w:val="006453AA"/>
    <w:rsid w:val="006454C5"/>
    <w:rsid w:val="00646076"/>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5DF"/>
    <w:rsid w:val="00662ED9"/>
    <w:rsid w:val="006638D7"/>
    <w:rsid w:val="00663E81"/>
    <w:rsid w:val="0066553D"/>
    <w:rsid w:val="006655A1"/>
    <w:rsid w:val="00665F32"/>
    <w:rsid w:val="006706C3"/>
    <w:rsid w:val="006716C5"/>
    <w:rsid w:val="00672A57"/>
    <w:rsid w:val="0067322C"/>
    <w:rsid w:val="00674685"/>
    <w:rsid w:val="00674B39"/>
    <w:rsid w:val="00674CB4"/>
    <w:rsid w:val="00676370"/>
    <w:rsid w:val="006765F7"/>
    <w:rsid w:val="00676683"/>
    <w:rsid w:val="00677315"/>
    <w:rsid w:val="006779F2"/>
    <w:rsid w:val="00677C89"/>
    <w:rsid w:val="00680880"/>
    <w:rsid w:val="00682C3F"/>
    <w:rsid w:val="0068493A"/>
    <w:rsid w:val="00685F36"/>
    <w:rsid w:val="006864D0"/>
    <w:rsid w:val="006869CE"/>
    <w:rsid w:val="006869E9"/>
    <w:rsid w:val="00686AC9"/>
    <w:rsid w:val="006879DE"/>
    <w:rsid w:val="00690F71"/>
    <w:rsid w:val="006915EC"/>
    <w:rsid w:val="006917A2"/>
    <w:rsid w:val="00692071"/>
    <w:rsid w:val="0069266B"/>
    <w:rsid w:val="00692787"/>
    <w:rsid w:val="006928C5"/>
    <w:rsid w:val="00692AB8"/>
    <w:rsid w:val="006949D7"/>
    <w:rsid w:val="006953FC"/>
    <w:rsid w:val="00696B9F"/>
    <w:rsid w:val="00696D29"/>
    <w:rsid w:val="006977B2"/>
    <w:rsid w:val="00697BF1"/>
    <w:rsid w:val="00697F56"/>
    <w:rsid w:val="006A019B"/>
    <w:rsid w:val="006A257A"/>
    <w:rsid w:val="006A2939"/>
    <w:rsid w:val="006A534E"/>
    <w:rsid w:val="006A639B"/>
    <w:rsid w:val="006A7554"/>
    <w:rsid w:val="006A77B5"/>
    <w:rsid w:val="006B0E6C"/>
    <w:rsid w:val="006B1191"/>
    <w:rsid w:val="006B1C39"/>
    <w:rsid w:val="006B3631"/>
    <w:rsid w:val="006B3684"/>
    <w:rsid w:val="006B3FDE"/>
    <w:rsid w:val="006B5117"/>
    <w:rsid w:val="006B5429"/>
    <w:rsid w:val="006B59CA"/>
    <w:rsid w:val="006B5D69"/>
    <w:rsid w:val="006B6A43"/>
    <w:rsid w:val="006B6B3C"/>
    <w:rsid w:val="006B6E97"/>
    <w:rsid w:val="006B77AC"/>
    <w:rsid w:val="006B78C5"/>
    <w:rsid w:val="006C085A"/>
    <w:rsid w:val="006C2067"/>
    <w:rsid w:val="006C314D"/>
    <w:rsid w:val="006C3610"/>
    <w:rsid w:val="006C3674"/>
    <w:rsid w:val="006C3E19"/>
    <w:rsid w:val="006C47F6"/>
    <w:rsid w:val="006C4AC5"/>
    <w:rsid w:val="006C5F46"/>
    <w:rsid w:val="006C6EFC"/>
    <w:rsid w:val="006C7D34"/>
    <w:rsid w:val="006D0320"/>
    <w:rsid w:val="006D07E5"/>
    <w:rsid w:val="006D0882"/>
    <w:rsid w:val="006D093A"/>
    <w:rsid w:val="006D278D"/>
    <w:rsid w:val="006D497F"/>
    <w:rsid w:val="006D50D8"/>
    <w:rsid w:val="006D5526"/>
    <w:rsid w:val="006D5D93"/>
    <w:rsid w:val="006D6574"/>
    <w:rsid w:val="006D6D82"/>
    <w:rsid w:val="006D738E"/>
    <w:rsid w:val="006D7F0F"/>
    <w:rsid w:val="006E013E"/>
    <w:rsid w:val="006E139E"/>
    <w:rsid w:val="006E1EA3"/>
    <w:rsid w:val="006E2471"/>
    <w:rsid w:val="006E32AD"/>
    <w:rsid w:val="006E4CAE"/>
    <w:rsid w:val="006E53DD"/>
    <w:rsid w:val="006E6A69"/>
    <w:rsid w:val="006E6BDB"/>
    <w:rsid w:val="006E78D2"/>
    <w:rsid w:val="006F011F"/>
    <w:rsid w:val="006F06E2"/>
    <w:rsid w:val="006F3869"/>
    <w:rsid w:val="006F4319"/>
    <w:rsid w:val="006F5088"/>
    <w:rsid w:val="006F52D7"/>
    <w:rsid w:val="006F580D"/>
    <w:rsid w:val="006F63D4"/>
    <w:rsid w:val="006F6AA7"/>
    <w:rsid w:val="006F738C"/>
    <w:rsid w:val="006F75B9"/>
    <w:rsid w:val="006F7845"/>
    <w:rsid w:val="00700AAE"/>
    <w:rsid w:val="00701BD8"/>
    <w:rsid w:val="007020A2"/>
    <w:rsid w:val="00702D9F"/>
    <w:rsid w:val="00702F1B"/>
    <w:rsid w:val="007034C9"/>
    <w:rsid w:val="00703639"/>
    <w:rsid w:val="00703667"/>
    <w:rsid w:val="00703D4D"/>
    <w:rsid w:val="007046B8"/>
    <w:rsid w:val="007050EE"/>
    <w:rsid w:val="007052DE"/>
    <w:rsid w:val="0070658D"/>
    <w:rsid w:val="00706A5D"/>
    <w:rsid w:val="00706D86"/>
    <w:rsid w:val="00707B71"/>
    <w:rsid w:val="0071065C"/>
    <w:rsid w:val="00710A24"/>
    <w:rsid w:val="00710B0D"/>
    <w:rsid w:val="00710F9E"/>
    <w:rsid w:val="0071172E"/>
    <w:rsid w:val="00711A26"/>
    <w:rsid w:val="007121A5"/>
    <w:rsid w:val="007124F9"/>
    <w:rsid w:val="007126F8"/>
    <w:rsid w:val="00712AAD"/>
    <w:rsid w:val="0071362B"/>
    <w:rsid w:val="00714130"/>
    <w:rsid w:val="0071436C"/>
    <w:rsid w:val="007151B8"/>
    <w:rsid w:val="0071538E"/>
    <w:rsid w:val="00715C5C"/>
    <w:rsid w:val="00716502"/>
    <w:rsid w:val="00716E79"/>
    <w:rsid w:val="00717591"/>
    <w:rsid w:val="007177E4"/>
    <w:rsid w:val="00720F2C"/>
    <w:rsid w:val="007215EA"/>
    <w:rsid w:val="0072431C"/>
    <w:rsid w:val="007256CC"/>
    <w:rsid w:val="00725709"/>
    <w:rsid w:val="00726A8E"/>
    <w:rsid w:val="00726E7C"/>
    <w:rsid w:val="007310D1"/>
    <w:rsid w:val="007318CB"/>
    <w:rsid w:val="00731C66"/>
    <w:rsid w:val="00731F92"/>
    <w:rsid w:val="007323EF"/>
    <w:rsid w:val="0073258E"/>
    <w:rsid w:val="007334C1"/>
    <w:rsid w:val="0073386A"/>
    <w:rsid w:val="00733F84"/>
    <w:rsid w:val="00734514"/>
    <w:rsid w:val="007345A2"/>
    <w:rsid w:val="007349B8"/>
    <w:rsid w:val="007359A3"/>
    <w:rsid w:val="00736A81"/>
    <w:rsid w:val="007373F6"/>
    <w:rsid w:val="00737811"/>
    <w:rsid w:val="0073787B"/>
    <w:rsid w:val="00737F3F"/>
    <w:rsid w:val="00737F8A"/>
    <w:rsid w:val="00740459"/>
    <w:rsid w:val="00741B41"/>
    <w:rsid w:val="00741B9F"/>
    <w:rsid w:val="00741C9B"/>
    <w:rsid w:val="00741CCD"/>
    <w:rsid w:val="00742351"/>
    <w:rsid w:val="00742EB6"/>
    <w:rsid w:val="00742F52"/>
    <w:rsid w:val="007443E2"/>
    <w:rsid w:val="0074486F"/>
    <w:rsid w:val="00744AB2"/>
    <w:rsid w:val="00745414"/>
    <w:rsid w:val="007457FE"/>
    <w:rsid w:val="00745E61"/>
    <w:rsid w:val="00745EA3"/>
    <w:rsid w:val="00747605"/>
    <w:rsid w:val="007478C9"/>
    <w:rsid w:val="00747A16"/>
    <w:rsid w:val="00747C60"/>
    <w:rsid w:val="00747EEB"/>
    <w:rsid w:val="00747FE0"/>
    <w:rsid w:val="007508DF"/>
    <w:rsid w:val="007509FE"/>
    <w:rsid w:val="00750CA6"/>
    <w:rsid w:val="00751401"/>
    <w:rsid w:val="0075152D"/>
    <w:rsid w:val="00751A50"/>
    <w:rsid w:val="00751CE2"/>
    <w:rsid w:val="00752D9A"/>
    <w:rsid w:val="0075390C"/>
    <w:rsid w:val="00754C8A"/>
    <w:rsid w:val="00755065"/>
    <w:rsid w:val="00755174"/>
    <w:rsid w:val="00755361"/>
    <w:rsid w:val="0075563D"/>
    <w:rsid w:val="007568D6"/>
    <w:rsid w:val="00757121"/>
    <w:rsid w:val="007579EE"/>
    <w:rsid w:val="00757CAF"/>
    <w:rsid w:val="00760971"/>
    <w:rsid w:val="0076145B"/>
    <w:rsid w:val="0076183F"/>
    <w:rsid w:val="007621B6"/>
    <w:rsid w:val="00762B63"/>
    <w:rsid w:val="00763840"/>
    <w:rsid w:val="00763FE4"/>
    <w:rsid w:val="0076417E"/>
    <w:rsid w:val="00764C43"/>
    <w:rsid w:val="00764CDA"/>
    <w:rsid w:val="00766489"/>
    <w:rsid w:val="00766F23"/>
    <w:rsid w:val="00767790"/>
    <w:rsid w:val="00767C08"/>
    <w:rsid w:val="0077052B"/>
    <w:rsid w:val="00770607"/>
    <w:rsid w:val="00770C49"/>
    <w:rsid w:val="00770D17"/>
    <w:rsid w:val="00770FE5"/>
    <w:rsid w:val="00772204"/>
    <w:rsid w:val="0077271C"/>
    <w:rsid w:val="00772DF5"/>
    <w:rsid w:val="0077600F"/>
    <w:rsid w:val="007763DB"/>
    <w:rsid w:val="00776637"/>
    <w:rsid w:val="007778F3"/>
    <w:rsid w:val="00777AED"/>
    <w:rsid w:val="00781580"/>
    <w:rsid w:val="00781B8F"/>
    <w:rsid w:val="007825F8"/>
    <w:rsid w:val="007829F0"/>
    <w:rsid w:val="00783703"/>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14"/>
    <w:rsid w:val="00792257"/>
    <w:rsid w:val="00792932"/>
    <w:rsid w:val="00793681"/>
    <w:rsid w:val="0079422A"/>
    <w:rsid w:val="00795996"/>
    <w:rsid w:val="00796B9C"/>
    <w:rsid w:val="00796C2E"/>
    <w:rsid w:val="007A071F"/>
    <w:rsid w:val="007A1C50"/>
    <w:rsid w:val="007A2601"/>
    <w:rsid w:val="007A2DB8"/>
    <w:rsid w:val="007A3327"/>
    <w:rsid w:val="007A3601"/>
    <w:rsid w:val="007A55DD"/>
    <w:rsid w:val="007A6A91"/>
    <w:rsid w:val="007A6F7E"/>
    <w:rsid w:val="007A73F1"/>
    <w:rsid w:val="007A76BA"/>
    <w:rsid w:val="007A7AAB"/>
    <w:rsid w:val="007B1194"/>
    <w:rsid w:val="007B1532"/>
    <w:rsid w:val="007B17AF"/>
    <w:rsid w:val="007B24B1"/>
    <w:rsid w:val="007B2A3E"/>
    <w:rsid w:val="007B3E10"/>
    <w:rsid w:val="007B42B1"/>
    <w:rsid w:val="007B485B"/>
    <w:rsid w:val="007B4ADC"/>
    <w:rsid w:val="007B55B2"/>
    <w:rsid w:val="007B654B"/>
    <w:rsid w:val="007B6EC7"/>
    <w:rsid w:val="007B7880"/>
    <w:rsid w:val="007B7A4C"/>
    <w:rsid w:val="007C08FF"/>
    <w:rsid w:val="007C10CA"/>
    <w:rsid w:val="007C1B63"/>
    <w:rsid w:val="007C206C"/>
    <w:rsid w:val="007C237A"/>
    <w:rsid w:val="007C270F"/>
    <w:rsid w:val="007C2833"/>
    <w:rsid w:val="007C2B52"/>
    <w:rsid w:val="007C375F"/>
    <w:rsid w:val="007C4083"/>
    <w:rsid w:val="007C438D"/>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AD6"/>
    <w:rsid w:val="007D5EA7"/>
    <w:rsid w:val="007D65FD"/>
    <w:rsid w:val="007D7362"/>
    <w:rsid w:val="007E0204"/>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3F5B"/>
    <w:rsid w:val="007F4D25"/>
    <w:rsid w:val="007F58F7"/>
    <w:rsid w:val="007F5F57"/>
    <w:rsid w:val="007F6279"/>
    <w:rsid w:val="007F6E0D"/>
    <w:rsid w:val="007F7121"/>
    <w:rsid w:val="007F7833"/>
    <w:rsid w:val="007F78FF"/>
    <w:rsid w:val="00800A36"/>
    <w:rsid w:val="008011FB"/>
    <w:rsid w:val="00801750"/>
    <w:rsid w:val="00801B26"/>
    <w:rsid w:val="00801D83"/>
    <w:rsid w:val="00804534"/>
    <w:rsid w:val="00805601"/>
    <w:rsid w:val="0081005B"/>
    <w:rsid w:val="00810C64"/>
    <w:rsid w:val="00810F32"/>
    <w:rsid w:val="008116BD"/>
    <w:rsid w:val="008120B2"/>
    <w:rsid w:val="00812495"/>
    <w:rsid w:val="00812889"/>
    <w:rsid w:val="008129CB"/>
    <w:rsid w:val="0081405F"/>
    <w:rsid w:val="0081431F"/>
    <w:rsid w:val="008145FF"/>
    <w:rsid w:val="008149D8"/>
    <w:rsid w:val="00814F32"/>
    <w:rsid w:val="00815050"/>
    <w:rsid w:val="00815294"/>
    <w:rsid w:val="0081575E"/>
    <w:rsid w:val="0081584B"/>
    <w:rsid w:val="00816193"/>
    <w:rsid w:val="00816EF0"/>
    <w:rsid w:val="008170D9"/>
    <w:rsid w:val="008173FC"/>
    <w:rsid w:val="00817431"/>
    <w:rsid w:val="00817709"/>
    <w:rsid w:val="00817DC4"/>
    <w:rsid w:val="00820812"/>
    <w:rsid w:val="00821549"/>
    <w:rsid w:val="00821CC7"/>
    <w:rsid w:val="00822AC6"/>
    <w:rsid w:val="008231DC"/>
    <w:rsid w:val="0082398B"/>
    <w:rsid w:val="00824815"/>
    <w:rsid w:val="00824E8B"/>
    <w:rsid w:val="00824F71"/>
    <w:rsid w:val="00825707"/>
    <w:rsid w:val="008266BB"/>
    <w:rsid w:val="008269D5"/>
    <w:rsid w:val="00827C3F"/>
    <w:rsid w:val="0083167E"/>
    <w:rsid w:val="00831834"/>
    <w:rsid w:val="00831F16"/>
    <w:rsid w:val="00832EA1"/>
    <w:rsid w:val="00833570"/>
    <w:rsid w:val="008341F0"/>
    <w:rsid w:val="008345DE"/>
    <w:rsid w:val="00835A31"/>
    <w:rsid w:val="00837A4C"/>
    <w:rsid w:val="00837D6E"/>
    <w:rsid w:val="008405E1"/>
    <w:rsid w:val="00840A50"/>
    <w:rsid w:val="00840ECB"/>
    <w:rsid w:val="00841411"/>
    <w:rsid w:val="00842D0F"/>
    <w:rsid w:val="008435D2"/>
    <w:rsid w:val="00843AF4"/>
    <w:rsid w:val="00843FC0"/>
    <w:rsid w:val="0084415B"/>
    <w:rsid w:val="008446DF"/>
    <w:rsid w:val="008460DC"/>
    <w:rsid w:val="00846205"/>
    <w:rsid w:val="00846236"/>
    <w:rsid w:val="00850CF8"/>
    <w:rsid w:val="00850D48"/>
    <w:rsid w:val="00850FF6"/>
    <w:rsid w:val="008510EB"/>
    <w:rsid w:val="00851C2F"/>
    <w:rsid w:val="00852B4D"/>
    <w:rsid w:val="008536FF"/>
    <w:rsid w:val="0085406D"/>
    <w:rsid w:val="008541DD"/>
    <w:rsid w:val="0085492B"/>
    <w:rsid w:val="00854FDC"/>
    <w:rsid w:val="00855126"/>
    <w:rsid w:val="00855AA6"/>
    <w:rsid w:val="008562A8"/>
    <w:rsid w:val="0085690A"/>
    <w:rsid w:val="00856FB0"/>
    <w:rsid w:val="008572A2"/>
    <w:rsid w:val="00857574"/>
    <w:rsid w:val="00857767"/>
    <w:rsid w:val="008577DA"/>
    <w:rsid w:val="00860D6C"/>
    <w:rsid w:val="008615A2"/>
    <w:rsid w:val="008617C9"/>
    <w:rsid w:val="00862168"/>
    <w:rsid w:val="0086284D"/>
    <w:rsid w:val="008635A7"/>
    <w:rsid w:val="008644E0"/>
    <w:rsid w:val="00865CCF"/>
    <w:rsid w:val="00865D67"/>
    <w:rsid w:val="00865F8B"/>
    <w:rsid w:val="00866E36"/>
    <w:rsid w:val="008672D0"/>
    <w:rsid w:val="00870102"/>
    <w:rsid w:val="0087179D"/>
    <w:rsid w:val="008723A0"/>
    <w:rsid w:val="00874CE4"/>
    <w:rsid w:val="00875335"/>
    <w:rsid w:val="0087623D"/>
    <w:rsid w:val="008769A8"/>
    <w:rsid w:val="008771C5"/>
    <w:rsid w:val="008809B1"/>
    <w:rsid w:val="00881ACD"/>
    <w:rsid w:val="00882BBF"/>
    <w:rsid w:val="00882DEC"/>
    <w:rsid w:val="00884819"/>
    <w:rsid w:val="00884846"/>
    <w:rsid w:val="008854C1"/>
    <w:rsid w:val="00885759"/>
    <w:rsid w:val="008860A4"/>
    <w:rsid w:val="008862D2"/>
    <w:rsid w:val="0088680D"/>
    <w:rsid w:val="00886893"/>
    <w:rsid w:val="008874F2"/>
    <w:rsid w:val="00890ED9"/>
    <w:rsid w:val="008917FE"/>
    <w:rsid w:val="00891992"/>
    <w:rsid w:val="00891FD5"/>
    <w:rsid w:val="0089389E"/>
    <w:rsid w:val="00893B2F"/>
    <w:rsid w:val="008947B7"/>
    <w:rsid w:val="0089480A"/>
    <w:rsid w:val="00894B47"/>
    <w:rsid w:val="008952A5"/>
    <w:rsid w:val="008960FE"/>
    <w:rsid w:val="008968F5"/>
    <w:rsid w:val="00896F60"/>
    <w:rsid w:val="00897663"/>
    <w:rsid w:val="00897B6A"/>
    <w:rsid w:val="008A007A"/>
    <w:rsid w:val="008A0E23"/>
    <w:rsid w:val="008A0E45"/>
    <w:rsid w:val="008A19E8"/>
    <w:rsid w:val="008A1C40"/>
    <w:rsid w:val="008A1DA2"/>
    <w:rsid w:val="008A281D"/>
    <w:rsid w:val="008A3686"/>
    <w:rsid w:val="008A3BB9"/>
    <w:rsid w:val="008A3FF2"/>
    <w:rsid w:val="008A4007"/>
    <w:rsid w:val="008A4077"/>
    <w:rsid w:val="008A4453"/>
    <w:rsid w:val="008A5932"/>
    <w:rsid w:val="008A5E62"/>
    <w:rsid w:val="008A6F4C"/>
    <w:rsid w:val="008A74DD"/>
    <w:rsid w:val="008A76FB"/>
    <w:rsid w:val="008B059F"/>
    <w:rsid w:val="008B1A71"/>
    <w:rsid w:val="008B3389"/>
    <w:rsid w:val="008B4CCE"/>
    <w:rsid w:val="008B5585"/>
    <w:rsid w:val="008B5613"/>
    <w:rsid w:val="008B5617"/>
    <w:rsid w:val="008B57E5"/>
    <w:rsid w:val="008B6FFC"/>
    <w:rsid w:val="008C03D1"/>
    <w:rsid w:val="008C15A5"/>
    <w:rsid w:val="008C1E66"/>
    <w:rsid w:val="008C25DE"/>
    <w:rsid w:val="008C26B7"/>
    <w:rsid w:val="008C3428"/>
    <w:rsid w:val="008C37DE"/>
    <w:rsid w:val="008C3BD6"/>
    <w:rsid w:val="008C438F"/>
    <w:rsid w:val="008C43F1"/>
    <w:rsid w:val="008C51A0"/>
    <w:rsid w:val="008C590F"/>
    <w:rsid w:val="008C6028"/>
    <w:rsid w:val="008C64A5"/>
    <w:rsid w:val="008C6B96"/>
    <w:rsid w:val="008C6DE4"/>
    <w:rsid w:val="008D0753"/>
    <w:rsid w:val="008D14B1"/>
    <w:rsid w:val="008D1C34"/>
    <w:rsid w:val="008D3AE9"/>
    <w:rsid w:val="008D405B"/>
    <w:rsid w:val="008D4FAC"/>
    <w:rsid w:val="008D629E"/>
    <w:rsid w:val="008D6F63"/>
    <w:rsid w:val="008D7A33"/>
    <w:rsid w:val="008E0524"/>
    <w:rsid w:val="008E0A00"/>
    <w:rsid w:val="008E1DB9"/>
    <w:rsid w:val="008E1EBA"/>
    <w:rsid w:val="008E20FC"/>
    <w:rsid w:val="008E3519"/>
    <w:rsid w:val="008E3AF7"/>
    <w:rsid w:val="008E405A"/>
    <w:rsid w:val="008E4957"/>
    <w:rsid w:val="008E6454"/>
    <w:rsid w:val="008E71D2"/>
    <w:rsid w:val="008E76BF"/>
    <w:rsid w:val="008F0135"/>
    <w:rsid w:val="008F1460"/>
    <w:rsid w:val="008F2459"/>
    <w:rsid w:val="008F2583"/>
    <w:rsid w:val="008F2C31"/>
    <w:rsid w:val="008F3566"/>
    <w:rsid w:val="008F459A"/>
    <w:rsid w:val="008F4DD2"/>
    <w:rsid w:val="008F4F78"/>
    <w:rsid w:val="008F5897"/>
    <w:rsid w:val="008F6EB4"/>
    <w:rsid w:val="008F6EFC"/>
    <w:rsid w:val="008F7A3A"/>
    <w:rsid w:val="00901329"/>
    <w:rsid w:val="009016E3"/>
    <w:rsid w:val="00902085"/>
    <w:rsid w:val="00902426"/>
    <w:rsid w:val="00902625"/>
    <w:rsid w:val="00903071"/>
    <w:rsid w:val="00903450"/>
    <w:rsid w:val="00903F84"/>
    <w:rsid w:val="009044F4"/>
    <w:rsid w:val="009053DA"/>
    <w:rsid w:val="009059FF"/>
    <w:rsid w:val="009060FE"/>
    <w:rsid w:val="009101A6"/>
    <w:rsid w:val="00910747"/>
    <w:rsid w:val="00910E3B"/>
    <w:rsid w:val="00911329"/>
    <w:rsid w:val="009122D0"/>
    <w:rsid w:val="009125B7"/>
    <w:rsid w:val="00912880"/>
    <w:rsid w:val="00912B57"/>
    <w:rsid w:val="00912C7A"/>
    <w:rsid w:val="00912CFB"/>
    <w:rsid w:val="009139E6"/>
    <w:rsid w:val="00913C98"/>
    <w:rsid w:val="009175E4"/>
    <w:rsid w:val="00917AF0"/>
    <w:rsid w:val="00917C5F"/>
    <w:rsid w:val="00920A37"/>
    <w:rsid w:val="00920ACC"/>
    <w:rsid w:val="00920F8A"/>
    <w:rsid w:val="00921FB5"/>
    <w:rsid w:val="00922D49"/>
    <w:rsid w:val="009243D2"/>
    <w:rsid w:val="0092481E"/>
    <w:rsid w:val="009250F2"/>
    <w:rsid w:val="00926506"/>
    <w:rsid w:val="0092688E"/>
    <w:rsid w:val="00927CFC"/>
    <w:rsid w:val="00927DF8"/>
    <w:rsid w:val="00930567"/>
    <w:rsid w:val="00930E5C"/>
    <w:rsid w:val="009313D4"/>
    <w:rsid w:val="0093159F"/>
    <w:rsid w:val="00931974"/>
    <w:rsid w:val="009319B4"/>
    <w:rsid w:val="00931A16"/>
    <w:rsid w:val="0093264A"/>
    <w:rsid w:val="00932776"/>
    <w:rsid w:val="00932A90"/>
    <w:rsid w:val="00933096"/>
    <w:rsid w:val="00934385"/>
    <w:rsid w:val="009350D0"/>
    <w:rsid w:val="00935FD5"/>
    <w:rsid w:val="00936019"/>
    <w:rsid w:val="0093607D"/>
    <w:rsid w:val="0093614F"/>
    <w:rsid w:val="009366F7"/>
    <w:rsid w:val="00936799"/>
    <w:rsid w:val="009370FC"/>
    <w:rsid w:val="009374D4"/>
    <w:rsid w:val="00937A70"/>
    <w:rsid w:val="00940034"/>
    <w:rsid w:val="009403CE"/>
    <w:rsid w:val="0094087B"/>
    <w:rsid w:val="00941C35"/>
    <w:rsid w:val="00942A3D"/>
    <w:rsid w:val="0094352E"/>
    <w:rsid w:val="00944100"/>
    <w:rsid w:val="00944AE0"/>
    <w:rsid w:val="00945C1B"/>
    <w:rsid w:val="00946475"/>
    <w:rsid w:val="00946587"/>
    <w:rsid w:val="0094720D"/>
    <w:rsid w:val="0094772D"/>
    <w:rsid w:val="009507DB"/>
    <w:rsid w:val="00950E0A"/>
    <w:rsid w:val="009511E5"/>
    <w:rsid w:val="0095149D"/>
    <w:rsid w:val="009517F6"/>
    <w:rsid w:val="009521C1"/>
    <w:rsid w:val="00952A15"/>
    <w:rsid w:val="009534C9"/>
    <w:rsid w:val="00953EF6"/>
    <w:rsid w:val="0095402B"/>
    <w:rsid w:val="00954A6B"/>
    <w:rsid w:val="00955290"/>
    <w:rsid w:val="00955331"/>
    <w:rsid w:val="00955773"/>
    <w:rsid w:val="00955EBD"/>
    <w:rsid w:val="009568B5"/>
    <w:rsid w:val="00960237"/>
    <w:rsid w:val="00961752"/>
    <w:rsid w:val="00962F77"/>
    <w:rsid w:val="00963193"/>
    <w:rsid w:val="00964AA4"/>
    <w:rsid w:val="00964DE9"/>
    <w:rsid w:val="00965598"/>
    <w:rsid w:val="009661D6"/>
    <w:rsid w:val="00966367"/>
    <w:rsid w:val="009665B5"/>
    <w:rsid w:val="0096660F"/>
    <w:rsid w:val="009677C7"/>
    <w:rsid w:val="009712EA"/>
    <w:rsid w:val="009729A9"/>
    <w:rsid w:val="00972C6C"/>
    <w:rsid w:val="00973643"/>
    <w:rsid w:val="009752BE"/>
    <w:rsid w:val="009752D4"/>
    <w:rsid w:val="0097535C"/>
    <w:rsid w:val="00975710"/>
    <w:rsid w:val="00975A23"/>
    <w:rsid w:val="009761D3"/>
    <w:rsid w:val="009762F4"/>
    <w:rsid w:val="00976F28"/>
    <w:rsid w:val="009809B5"/>
    <w:rsid w:val="0098132E"/>
    <w:rsid w:val="009822AB"/>
    <w:rsid w:val="00982A00"/>
    <w:rsid w:val="00983048"/>
    <w:rsid w:val="0098318A"/>
    <w:rsid w:val="0098335A"/>
    <w:rsid w:val="00983B82"/>
    <w:rsid w:val="00986127"/>
    <w:rsid w:val="009864F0"/>
    <w:rsid w:val="00986603"/>
    <w:rsid w:val="00986D7B"/>
    <w:rsid w:val="00987481"/>
    <w:rsid w:val="009877D6"/>
    <w:rsid w:val="00987864"/>
    <w:rsid w:val="00987BF2"/>
    <w:rsid w:val="00990141"/>
    <w:rsid w:val="00993242"/>
    <w:rsid w:val="0099325E"/>
    <w:rsid w:val="00993CF6"/>
    <w:rsid w:val="009943FA"/>
    <w:rsid w:val="009960EE"/>
    <w:rsid w:val="00996ACF"/>
    <w:rsid w:val="00997F29"/>
    <w:rsid w:val="009A01B1"/>
    <w:rsid w:val="009A2106"/>
    <w:rsid w:val="009A29D8"/>
    <w:rsid w:val="009A29E9"/>
    <w:rsid w:val="009A2D45"/>
    <w:rsid w:val="009A341D"/>
    <w:rsid w:val="009A4540"/>
    <w:rsid w:val="009A56C0"/>
    <w:rsid w:val="009A6C25"/>
    <w:rsid w:val="009A6D2A"/>
    <w:rsid w:val="009A797B"/>
    <w:rsid w:val="009A7FF9"/>
    <w:rsid w:val="009B015F"/>
    <w:rsid w:val="009B04E6"/>
    <w:rsid w:val="009B0883"/>
    <w:rsid w:val="009B0AD1"/>
    <w:rsid w:val="009B0AF0"/>
    <w:rsid w:val="009B0CDF"/>
    <w:rsid w:val="009B2515"/>
    <w:rsid w:val="009B2CE1"/>
    <w:rsid w:val="009B3AFA"/>
    <w:rsid w:val="009B3B5C"/>
    <w:rsid w:val="009B7053"/>
    <w:rsid w:val="009B7CBB"/>
    <w:rsid w:val="009C0063"/>
    <w:rsid w:val="009C030B"/>
    <w:rsid w:val="009C0321"/>
    <w:rsid w:val="009C13C8"/>
    <w:rsid w:val="009C29DF"/>
    <w:rsid w:val="009C3181"/>
    <w:rsid w:val="009C555E"/>
    <w:rsid w:val="009C68C7"/>
    <w:rsid w:val="009C7936"/>
    <w:rsid w:val="009D0074"/>
    <w:rsid w:val="009D1A50"/>
    <w:rsid w:val="009D2E7D"/>
    <w:rsid w:val="009D3321"/>
    <w:rsid w:val="009D40F2"/>
    <w:rsid w:val="009D491B"/>
    <w:rsid w:val="009D557A"/>
    <w:rsid w:val="009D65BC"/>
    <w:rsid w:val="009D7C5D"/>
    <w:rsid w:val="009D7F07"/>
    <w:rsid w:val="009D7F36"/>
    <w:rsid w:val="009E124C"/>
    <w:rsid w:val="009E2122"/>
    <w:rsid w:val="009E2170"/>
    <w:rsid w:val="009E2628"/>
    <w:rsid w:val="009E2729"/>
    <w:rsid w:val="009E29EC"/>
    <w:rsid w:val="009E2E72"/>
    <w:rsid w:val="009E2FC5"/>
    <w:rsid w:val="009E343C"/>
    <w:rsid w:val="009E4190"/>
    <w:rsid w:val="009E4504"/>
    <w:rsid w:val="009E4F58"/>
    <w:rsid w:val="009E5242"/>
    <w:rsid w:val="009E71B8"/>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8AF"/>
    <w:rsid w:val="009F3D37"/>
    <w:rsid w:val="009F49AD"/>
    <w:rsid w:val="009F4DAB"/>
    <w:rsid w:val="009F580E"/>
    <w:rsid w:val="009F5C95"/>
    <w:rsid w:val="009F5F29"/>
    <w:rsid w:val="009F6428"/>
    <w:rsid w:val="009F64DC"/>
    <w:rsid w:val="00A0092D"/>
    <w:rsid w:val="00A00AB9"/>
    <w:rsid w:val="00A00FC6"/>
    <w:rsid w:val="00A014DF"/>
    <w:rsid w:val="00A018DB"/>
    <w:rsid w:val="00A018F9"/>
    <w:rsid w:val="00A01C8C"/>
    <w:rsid w:val="00A02A8E"/>
    <w:rsid w:val="00A02BE8"/>
    <w:rsid w:val="00A0304E"/>
    <w:rsid w:val="00A0323A"/>
    <w:rsid w:val="00A05E5D"/>
    <w:rsid w:val="00A068D1"/>
    <w:rsid w:val="00A0699D"/>
    <w:rsid w:val="00A069A8"/>
    <w:rsid w:val="00A079A4"/>
    <w:rsid w:val="00A1046C"/>
    <w:rsid w:val="00A11E5A"/>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AA"/>
    <w:rsid w:val="00A21ED8"/>
    <w:rsid w:val="00A22EA6"/>
    <w:rsid w:val="00A239BC"/>
    <w:rsid w:val="00A24167"/>
    <w:rsid w:val="00A25379"/>
    <w:rsid w:val="00A25895"/>
    <w:rsid w:val="00A26B14"/>
    <w:rsid w:val="00A27187"/>
    <w:rsid w:val="00A27B7B"/>
    <w:rsid w:val="00A3003D"/>
    <w:rsid w:val="00A30122"/>
    <w:rsid w:val="00A30FE4"/>
    <w:rsid w:val="00A31BFA"/>
    <w:rsid w:val="00A31F85"/>
    <w:rsid w:val="00A35A9D"/>
    <w:rsid w:val="00A36929"/>
    <w:rsid w:val="00A36F15"/>
    <w:rsid w:val="00A371B5"/>
    <w:rsid w:val="00A40BC1"/>
    <w:rsid w:val="00A41377"/>
    <w:rsid w:val="00A413BE"/>
    <w:rsid w:val="00A428DD"/>
    <w:rsid w:val="00A43126"/>
    <w:rsid w:val="00A439BC"/>
    <w:rsid w:val="00A4464E"/>
    <w:rsid w:val="00A44AA1"/>
    <w:rsid w:val="00A44DE9"/>
    <w:rsid w:val="00A460E1"/>
    <w:rsid w:val="00A463D3"/>
    <w:rsid w:val="00A47580"/>
    <w:rsid w:val="00A479C4"/>
    <w:rsid w:val="00A50246"/>
    <w:rsid w:val="00A51691"/>
    <w:rsid w:val="00A51EC8"/>
    <w:rsid w:val="00A52274"/>
    <w:rsid w:val="00A523F8"/>
    <w:rsid w:val="00A52DF0"/>
    <w:rsid w:val="00A52F64"/>
    <w:rsid w:val="00A53A47"/>
    <w:rsid w:val="00A548C5"/>
    <w:rsid w:val="00A54FBC"/>
    <w:rsid w:val="00A5509C"/>
    <w:rsid w:val="00A55649"/>
    <w:rsid w:val="00A557A7"/>
    <w:rsid w:val="00A56559"/>
    <w:rsid w:val="00A56B64"/>
    <w:rsid w:val="00A6114C"/>
    <w:rsid w:val="00A6230A"/>
    <w:rsid w:val="00A6310F"/>
    <w:rsid w:val="00A63741"/>
    <w:rsid w:val="00A63E2A"/>
    <w:rsid w:val="00A644A5"/>
    <w:rsid w:val="00A6494D"/>
    <w:rsid w:val="00A64AFA"/>
    <w:rsid w:val="00A64BC4"/>
    <w:rsid w:val="00A64E0C"/>
    <w:rsid w:val="00A6523B"/>
    <w:rsid w:val="00A654A2"/>
    <w:rsid w:val="00A65B5B"/>
    <w:rsid w:val="00A65E42"/>
    <w:rsid w:val="00A67EE2"/>
    <w:rsid w:val="00A67F8F"/>
    <w:rsid w:val="00A71215"/>
    <w:rsid w:val="00A71736"/>
    <w:rsid w:val="00A71870"/>
    <w:rsid w:val="00A7298C"/>
    <w:rsid w:val="00A72A97"/>
    <w:rsid w:val="00A73A45"/>
    <w:rsid w:val="00A73EAD"/>
    <w:rsid w:val="00A740B1"/>
    <w:rsid w:val="00A74325"/>
    <w:rsid w:val="00A75949"/>
    <w:rsid w:val="00A76915"/>
    <w:rsid w:val="00A80991"/>
    <w:rsid w:val="00A8099A"/>
    <w:rsid w:val="00A8199B"/>
    <w:rsid w:val="00A82511"/>
    <w:rsid w:val="00A827F3"/>
    <w:rsid w:val="00A82A69"/>
    <w:rsid w:val="00A8379B"/>
    <w:rsid w:val="00A84A7A"/>
    <w:rsid w:val="00A8593C"/>
    <w:rsid w:val="00A863C1"/>
    <w:rsid w:val="00A8660E"/>
    <w:rsid w:val="00A879CC"/>
    <w:rsid w:val="00A9017C"/>
    <w:rsid w:val="00A90478"/>
    <w:rsid w:val="00A90540"/>
    <w:rsid w:val="00A90667"/>
    <w:rsid w:val="00A91319"/>
    <w:rsid w:val="00A913C6"/>
    <w:rsid w:val="00A914F9"/>
    <w:rsid w:val="00A9188B"/>
    <w:rsid w:val="00A92764"/>
    <w:rsid w:val="00A92AB8"/>
    <w:rsid w:val="00A92DE6"/>
    <w:rsid w:val="00A92E65"/>
    <w:rsid w:val="00A93164"/>
    <w:rsid w:val="00A93AA6"/>
    <w:rsid w:val="00A93E9A"/>
    <w:rsid w:val="00A95011"/>
    <w:rsid w:val="00A9575F"/>
    <w:rsid w:val="00A95783"/>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6AC"/>
    <w:rsid w:val="00AA3E65"/>
    <w:rsid w:val="00AA4691"/>
    <w:rsid w:val="00AA4DC0"/>
    <w:rsid w:val="00AA5779"/>
    <w:rsid w:val="00AA5C59"/>
    <w:rsid w:val="00AA5D8A"/>
    <w:rsid w:val="00AA673E"/>
    <w:rsid w:val="00AA69B7"/>
    <w:rsid w:val="00AA6EDE"/>
    <w:rsid w:val="00AA77AB"/>
    <w:rsid w:val="00AB180E"/>
    <w:rsid w:val="00AB1B9B"/>
    <w:rsid w:val="00AB1DEE"/>
    <w:rsid w:val="00AB211A"/>
    <w:rsid w:val="00AB37FE"/>
    <w:rsid w:val="00AB3B26"/>
    <w:rsid w:val="00AB4D98"/>
    <w:rsid w:val="00AB51DF"/>
    <w:rsid w:val="00AB54B2"/>
    <w:rsid w:val="00AB598D"/>
    <w:rsid w:val="00AB598E"/>
    <w:rsid w:val="00AB59EB"/>
    <w:rsid w:val="00AB62DA"/>
    <w:rsid w:val="00AB6EB2"/>
    <w:rsid w:val="00AB753D"/>
    <w:rsid w:val="00AB7EB3"/>
    <w:rsid w:val="00AC0359"/>
    <w:rsid w:val="00AC0DBD"/>
    <w:rsid w:val="00AC296D"/>
    <w:rsid w:val="00AC3E3F"/>
    <w:rsid w:val="00AC428D"/>
    <w:rsid w:val="00AC4547"/>
    <w:rsid w:val="00AC4609"/>
    <w:rsid w:val="00AC4636"/>
    <w:rsid w:val="00AC49A9"/>
    <w:rsid w:val="00AC4E14"/>
    <w:rsid w:val="00AC58AC"/>
    <w:rsid w:val="00AC58FF"/>
    <w:rsid w:val="00AC6194"/>
    <w:rsid w:val="00AC6547"/>
    <w:rsid w:val="00AC67E4"/>
    <w:rsid w:val="00AC68A0"/>
    <w:rsid w:val="00AC76EA"/>
    <w:rsid w:val="00AC7BC7"/>
    <w:rsid w:val="00AC7CAA"/>
    <w:rsid w:val="00AD028A"/>
    <w:rsid w:val="00AD1019"/>
    <w:rsid w:val="00AD13F3"/>
    <w:rsid w:val="00AD1AEF"/>
    <w:rsid w:val="00AD1C51"/>
    <w:rsid w:val="00AD1CB2"/>
    <w:rsid w:val="00AD262A"/>
    <w:rsid w:val="00AD2BA6"/>
    <w:rsid w:val="00AD380D"/>
    <w:rsid w:val="00AD38D9"/>
    <w:rsid w:val="00AD39BA"/>
    <w:rsid w:val="00AD3D04"/>
    <w:rsid w:val="00AD4FCA"/>
    <w:rsid w:val="00AD57B5"/>
    <w:rsid w:val="00AD6429"/>
    <w:rsid w:val="00AD6A86"/>
    <w:rsid w:val="00AD7241"/>
    <w:rsid w:val="00AE0583"/>
    <w:rsid w:val="00AE1C4C"/>
    <w:rsid w:val="00AE1E4E"/>
    <w:rsid w:val="00AE2012"/>
    <w:rsid w:val="00AE387A"/>
    <w:rsid w:val="00AE3E83"/>
    <w:rsid w:val="00AE473B"/>
    <w:rsid w:val="00AE547B"/>
    <w:rsid w:val="00AE5987"/>
    <w:rsid w:val="00AE5ABB"/>
    <w:rsid w:val="00AE5B9F"/>
    <w:rsid w:val="00AE5F94"/>
    <w:rsid w:val="00AE627E"/>
    <w:rsid w:val="00AE67E3"/>
    <w:rsid w:val="00AE6B27"/>
    <w:rsid w:val="00AE6B76"/>
    <w:rsid w:val="00AE712D"/>
    <w:rsid w:val="00AE7B89"/>
    <w:rsid w:val="00AF0C95"/>
    <w:rsid w:val="00AF1D04"/>
    <w:rsid w:val="00AF21F0"/>
    <w:rsid w:val="00AF2CFE"/>
    <w:rsid w:val="00AF2F84"/>
    <w:rsid w:val="00AF31C6"/>
    <w:rsid w:val="00AF3B28"/>
    <w:rsid w:val="00AF4BB2"/>
    <w:rsid w:val="00AF4D00"/>
    <w:rsid w:val="00AF7C38"/>
    <w:rsid w:val="00B00474"/>
    <w:rsid w:val="00B00878"/>
    <w:rsid w:val="00B0276C"/>
    <w:rsid w:val="00B0286F"/>
    <w:rsid w:val="00B030C8"/>
    <w:rsid w:val="00B043D6"/>
    <w:rsid w:val="00B050C4"/>
    <w:rsid w:val="00B05327"/>
    <w:rsid w:val="00B05B8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1DD"/>
    <w:rsid w:val="00B12DE1"/>
    <w:rsid w:val="00B12E08"/>
    <w:rsid w:val="00B130FD"/>
    <w:rsid w:val="00B13320"/>
    <w:rsid w:val="00B13D0A"/>
    <w:rsid w:val="00B13D36"/>
    <w:rsid w:val="00B1464A"/>
    <w:rsid w:val="00B1480F"/>
    <w:rsid w:val="00B14D75"/>
    <w:rsid w:val="00B15605"/>
    <w:rsid w:val="00B160CB"/>
    <w:rsid w:val="00B165D6"/>
    <w:rsid w:val="00B172F9"/>
    <w:rsid w:val="00B174F2"/>
    <w:rsid w:val="00B20507"/>
    <w:rsid w:val="00B21049"/>
    <w:rsid w:val="00B2219E"/>
    <w:rsid w:val="00B2285D"/>
    <w:rsid w:val="00B22929"/>
    <w:rsid w:val="00B237F8"/>
    <w:rsid w:val="00B243C7"/>
    <w:rsid w:val="00B245CD"/>
    <w:rsid w:val="00B25E04"/>
    <w:rsid w:val="00B26A10"/>
    <w:rsid w:val="00B278EC"/>
    <w:rsid w:val="00B30AF1"/>
    <w:rsid w:val="00B30C3B"/>
    <w:rsid w:val="00B3356E"/>
    <w:rsid w:val="00B3392D"/>
    <w:rsid w:val="00B33F95"/>
    <w:rsid w:val="00B353A7"/>
    <w:rsid w:val="00B35C04"/>
    <w:rsid w:val="00B35CE3"/>
    <w:rsid w:val="00B367CB"/>
    <w:rsid w:val="00B3765C"/>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903"/>
    <w:rsid w:val="00B47EDD"/>
    <w:rsid w:val="00B5059C"/>
    <w:rsid w:val="00B50AB6"/>
    <w:rsid w:val="00B50C14"/>
    <w:rsid w:val="00B51222"/>
    <w:rsid w:val="00B514C6"/>
    <w:rsid w:val="00B51761"/>
    <w:rsid w:val="00B51829"/>
    <w:rsid w:val="00B51968"/>
    <w:rsid w:val="00B52936"/>
    <w:rsid w:val="00B529B9"/>
    <w:rsid w:val="00B52D6D"/>
    <w:rsid w:val="00B52F79"/>
    <w:rsid w:val="00B54E91"/>
    <w:rsid w:val="00B55203"/>
    <w:rsid w:val="00B55C79"/>
    <w:rsid w:val="00B56002"/>
    <w:rsid w:val="00B56681"/>
    <w:rsid w:val="00B570C1"/>
    <w:rsid w:val="00B572E8"/>
    <w:rsid w:val="00B57514"/>
    <w:rsid w:val="00B57CE4"/>
    <w:rsid w:val="00B6077E"/>
    <w:rsid w:val="00B616D3"/>
    <w:rsid w:val="00B6296B"/>
    <w:rsid w:val="00B634DD"/>
    <w:rsid w:val="00B638B6"/>
    <w:rsid w:val="00B6458A"/>
    <w:rsid w:val="00B650F8"/>
    <w:rsid w:val="00B658C4"/>
    <w:rsid w:val="00B662F5"/>
    <w:rsid w:val="00B66841"/>
    <w:rsid w:val="00B670B3"/>
    <w:rsid w:val="00B671C2"/>
    <w:rsid w:val="00B67321"/>
    <w:rsid w:val="00B7022A"/>
    <w:rsid w:val="00B70706"/>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85F0B"/>
    <w:rsid w:val="00B8653F"/>
    <w:rsid w:val="00B90C3E"/>
    <w:rsid w:val="00B90E79"/>
    <w:rsid w:val="00B914C7"/>
    <w:rsid w:val="00B9160E"/>
    <w:rsid w:val="00B9248D"/>
    <w:rsid w:val="00B92AC7"/>
    <w:rsid w:val="00B947EE"/>
    <w:rsid w:val="00B95615"/>
    <w:rsid w:val="00B96064"/>
    <w:rsid w:val="00B96F64"/>
    <w:rsid w:val="00B972EE"/>
    <w:rsid w:val="00B97379"/>
    <w:rsid w:val="00B97A74"/>
    <w:rsid w:val="00BA051B"/>
    <w:rsid w:val="00BA08DC"/>
    <w:rsid w:val="00BA0B98"/>
    <w:rsid w:val="00BA18EC"/>
    <w:rsid w:val="00BA26BF"/>
    <w:rsid w:val="00BA2C23"/>
    <w:rsid w:val="00BA3299"/>
    <w:rsid w:val="00BA358D"/>
    <w:rsid w:val="00BA4104"/>
    <w:rsid w:val="00BA482A"/>
    <w:rsid w:val="00BA4CF3"/>
    <w:rsid w:val="00BA5F0A"/>
    <w:rsid w:val="00BA6595"/>
    <w:rsid w:val="00BA6B90"/>
    <w:rsid w:val="00BA6DE9"/>
    <w:rsid w:val="00BA74E6"/>
    <w:rsid w:val="00BA76BF"/>
    <w:rsid w:val="00BA797C"/>
    <w:rsid w:val="00BA7C7A"/>
    <w:rsid w:val="00BB04B9"/>
    <w:rsid w:val="00BB0D0A"/>
    <w:rsid w:val="00BB0DD3"/>
    <w:rsid w:val="00BB143A"/>
    <w:rsid w:val="00BB1479"/>
    <w:rsid w:val="00BB162C"/>
    <w:rsid w:val="00BB3047"/>
    <w:rsid w:val="00BB4C24"/>
    <w:rsid w:val="00BB4C95"/>
    <w:rsid w:val="00BB58FC"/>
    <w:rsid w:val="00BB6D1C"/>
    <w:rsid w:val="00BB6D74"/>
    <w:rsid w:val="00BC0FC9"/>
    <w:rsid w:val="00BC244D"/>
    <w:rsid w:val="00BC4504"/>
    <w:rsid w:val="00BC54FE"/>
    <w:rsid w:val="00BC6C3B"/>
    <w:rsid w:val="00BC6F81"/>
    <w:rsid w:val="00BC7E86"/>
    <w:rsid w:val="00BC7FB1"/>
    <w:rsid w:val="00BD0182"/>
    <w:rsid w:val="00BD01FC"/>
    <w:rsid w:val="00BD0E50"/>
    <w:rsid w:val="00BD1505"/>
    <w:rsid w:val="00BD178B"/>
    <w:rsid w:val="00BD296C"/>
    <w:rsid w:val="00BD2B58"/>
    <w:rsid w:val="00BD3044"/>
    <w:rsid w:val="00BD38C5"/>
    <w:rsid w:val="00BD436E"/>
    <w:rsid w:val="00BD43BF"/>
    <w:rsid w:val="00BD675C"/>
    <w:rsid w:val="00BD6C42"/>
    <w:rsid w:val="00BD704C"/>
    <w:rsid w:val="00BD71E6"/>
    <w:rsid w:val="00BE03E9"/>
    <w:rsid w:val="00BE0988"/>
    <w:rsid w:val="00BE110D"/>
    <w:rsid w:val="00BE237A"/>
    <w:rsid w:val="00BE36E6"/>
    <w:rsid w:val="00BE37E0"/>
    <w:rsid w:val="00BE3F2F"/>
    <w:rsid w:val="00BE475F"/>
    <w:rsid w:val="00BE531E"/>
    <w:rsid w:val="00BE5EA7"/>
    <w:rsid w:val="00BE630D"/>
    <w:rsid w:val="00BE6D46"/>
    <w:rsid w:val="00BE6D7B"/>
    <w:rsid w:val="00BF044F"/>
    <w:rsid w:val="00BF071E"/>
    <w:rsid w:val="00BF1F74"/>
    <w:rsid w:val="00BF3588"/>
    <w:rsid w:val="00BF3CC5"/>
    <w:rsid w:val="00BF42A4"/>
    <w:rsid w:val="00BF5C04"/>
    <w:rsid w:val="00BF6CCE"/>
    <w:rsid w:val="00BF7116"/>
    <w:rsid w:val="00BF7CA8"/>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3F4"/>
    <w:rsid w:val="00C41706"/>
    <w:rsid w:val="00C43668"/>
    <w:rsid w:val="00C43CDD"/>
    <w:rsid w:val="00C443B1"/>
    <w:rsid w:val="00C45109"/>
    <w:rsid w:val="00C45621"/>
    <w:rsid w:val="00C4624B"/>
    <w:rsid w:val="00C46382"/>
    <w:rsid w:val="00C46854"/>
    <w:rsid w:val="00C47F61"/>
    <w:rsid w:val="00C47FB9"/>
    <w:rsid w:val="00C5074B"/>
    <w:rsid w:val="00C508EA"/>
    <w:rsid w:val="00C50F58"/>
    <w:rsid w:val="00C51E75"/>
    <w:rsid w:val="00C524A1"/>
    <w:rsid w:val="00C52CB1"/>
    <w:rsid w:val="00C54AF8"/>
    <w:rsid w:val="00C564D6"/>
    <w:rsid w:val="00C57862"/>
    <w:rsid w:val="00C5799C"/>
    <w:rsid w:val="00C60040"/>
    <w:rsid w:val="00C6028A"/>
    <w:rsid w:val="00C61068"/>
    <w:rsid w:val="00C61174"/>
    <w:rsid w:val="00C61467"/>
    <w:rsid w:val="00C62529"/>
    <w:rsid w:val="00C63553"/>
    <w:rsid w:val="00C64599"/>
    <w:rsid w:val="00C64FB4"/>
    <w:rsid w:val="00C654B2"/>
    <w:rsid w:val="00C658F0"/>
    <w:rsid w:val="00C65C4E"/>
    <w:rsid w:val="00C663C1"/>
    <w:rsid w:val="00C66A56"/>
    <w:rsid w:val="00C66B15"/>
    <w:rsid w:val="00C709C7"/>
    <w:rsid w:val="00C7227D"/>
    <w:rsid w:val="00C72405"/>
    <w:rsid w:val="00C73D25"/>
    <w:rsid w:val="00C755DA"/>
    <w:rsid w:val="00C7701F"/>
    <w:rsid w:val="00C80CDA"/>
    <w:rsid w:val="00C8105B"/>
    <w:rsid w:val="00C81E8F"/>
    <w:rsid w:val="00C8274E"/>
    <w:rsid w:val="00C82866"/>
    <w:rsid w:val="00C830F4"/>
    <w:rsid w:val="00C83C29"/>
    <w:rsid w:val="00C83EC4"/>
    <w:rsid w:val="00C84EB4"/>
    <w:rsid w:val="00C85E9F"/>
    <w:rsid w:val="00C86438"/>
    <w:rsid w:val="00C86D14"/>
    <w:rsid w:val="00C86E09"/>
    <w:rsid w:val="00C86FBB"/>
    <w:rsid w:val="00C873AE"/>
    <w:rsid w:val="00C90B47"/>
    <w:rsid w:val="00C9124C"/>
    <w:rsid w:val="00C92423"/>
    <w:rsid w:val="00C92E91"/>
    <w:rsid w:val="00C95789"/>
    <w:rsid w:val="00C95D08"/>
    <w:rsid w:val="00C96091"/>
    <w:rsid w:val="00C969A5"/>
    <w:rsid w:val="00C96B43"/>
    <w:rsid w:val="00C97642"/>
    <w:rsid w:val="00C97EE5"/>
    <w:rsid w:val="00CA02EF"/>
    <w:rsid w:val="00CA07ED"/>
    <w:rsid w:val="00CA1595"/>
    <w:rsid w:val="00CA1A7A"/>
    <w:rsid w:val="00CA2809"/>
    <w:rsid w:val="00CA2E35"/>
    <w:rsid w:val="00CA39BF"/>
    <w:rsid w:val="00CA3AD1"/>
    <w:rsid w:val="00CA4073"/>
    <w:rsid w:val="00CA43A3"/>
    <w:rsid w:val="00CA44DA"/>
    <w:rsid w:val="00CA4558"/>
    <w:rsid w:val="00CA47FD"/>
    <w:rsid w:val="00CA4E2D"/>
    <w:rsid w:val="00CA54D1"/>
    <w:rsid w:val="00CA64B8"/>
    <w:rsid w:val="00CA761A"/>
    <w:rsid w:val="00CA77B7"/>
    <w:rsid w:val="00CB13D3"/>
    <w:rsid w:val="00CB1E24"/>
    <w:rsid w:val="00CB232B"/>
    <w:rsid w:val="00CB2820"/>
    <w:rsid w:val="00CB3322"/>
    <w:rsid w:val="00CB3A3B"/>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567"/>
    <w:rsid w:val="00CD183A"/>
    <w:rsid w:val="00CD1B85"/>
    <w:rsid w:val="00CD2727"/>
    <w:rsid w:val="00CD293F"/>
    <w:rsid w:val="00CD3559"/>
    <w:rsid w:val="00CD3FC9"/>
    <w:rsid w:val="00CD632A"/>
    <w:rsid w:val="00CD63F0"/>
    <w:rsid w:val="00CD7551"/>
    <w:rsid w:val="00CE0511"/>
    <w:rsid w:val="00CE0A90"/>
    <w:rsid w:val="00CE1025"/>
    <w:rsid w:val="00CE172B"/>
    <w:rsid w:val="00CE1CCD"/>
    <w:rsid w:val="00CE28D6"/>
    <w:rsid w:val="00CE2FA5"/>
    <w:rsid w:val="00CE3019"/>
    <w:rsid w:val="00CE30E3"/>
    <w:rsid w:val="00CE312E"/>
    <w:rsid w:val="00CE3D12"/>
    <w:rsid w:val="00CE3D6F"/>
    <w:rsid w:val="00CE3E1D"/>
    <w:rsid w:val="00CE3E46"/>
    <w:rsid w:val="00CE4847"/>
    <w:rsid w:val="00CE5877"/>
    <w:rsid w:val="00CE7203"/>
    <w:rsid w:val="00CE7948"/>
    <w:rsid w:val="00CF0094"/>
    <w:rsid w:val="00CF2005"/>
    <w:rsid w:val="00CF20CC"/>
    <w:rsid w:val="00CF31C2"/>
    <w:rsid w:val="00CF3645"/>
    <w:rsid w:val="00CF3951"/>
    <w:rsid w:val="00CF3EF0"/>
    <w:rsid w:val="00CF3FF4"/>
    <w:rsid w:val="00CF455A"/>
    <w:rsid w:val="00CF68E5"/>
    <w:rsid w:val="00CF6A48"/>
    <w:rsid w:val="00CF7D0D"/>
    <w:rsid w:val="00CF7D0F"/>
    <w:rsid w:val="00D00580"/>
    <w:rsid w:val="00D005FD"/>
    <w:rsid w:val="00D015BA"/>
    <w:rsid w:val="00D01782"/>
    <w:rsid w:val="00D02C6D"/>
    <w:rsid w:val="00D02D97"/>
    <w:rsid w:val="00D03561"/>
    <w:rsid w:val="00D03764"/>
    <w:rsid w:val="00D03998"/>
    <w:rsid w:val="00D0513D"/>
    <w:rsid w:val="00D05191"/>
    <w:rsid w:val="00D074AE"/>
    <w:rsid w:val="00D0792B"/>
    <w:rsid w:val="00D10410"/>
    <w:rsid w:val="00D10817"/>
    <w:rsid w:val="00D108DB"/>
    <w:rsid w:val="00D114FE"/>
    <w:rsid w:val="00D119AC"/>
    <w:rsid w:val="00D11AF0"/>
    <w:rsid w:val="00D12832"/>
    <w:rsid w:val="00D13727"/>
    <w:rsid w:val="00D147D7"/>
    <w:rsid w:val="00D15224"/>
    <w:rsid w:val="00D17D22"/>
    <w:rsid w:val="00D20DDF"/>
    <w:rsid w:val="00D21745"/>
    <w:rsid w:val="00D228C5"/>
    <w:rsid w:val="00D228EE"/>
    <w:rsid w:val="00D2438E"/>
    <w:rsid w:val="00D255A3"/>
    <w:rsid w:val="00D25F82"/>
    <w:rsid w:val="00D27368"/>
    <w:rsid w:val="00D3198F"/>
    <w:rsid w:val="00D31CB3"/>
    <w:rsid w:val="00D3342D"/>
    <w:rsid w:val="00D3355B"/>
    <w:rsid w:val="00D33781"/>
    <w:rsid w:val="00D33C49"/>
    <w:rsid w:val="00D33D8A"/>
    <w:rsid w:val="00D343EC"/>
    <w:rsid w:val="00D35654"/>
    <w:rsid w:val="00D3573F"/>
    <w:rsid w:val="00D36781"/>
    <w:rsid w:val="00D36866"/>
    <w:rsid w:val="00D373E5"/>
    <w:rsid w:val="00D37527"/>
    <w:rsid w:val="00D3772C"/>
    <w:rsid w:val="00D40268"/>
    <w:rsid w:val="00D40382"/>
    <w:rsid w:val="00D40B22"/>
    <w:rsid w:val="00D40DD4"/>
    <w:rsid w:val="00D4121F"/>
    <w:rsid w:val="00D41CF8"/>
    <w:rsid w:val="00D42A82"/>
    <w:rsid w:val="00D4381E"/>
    <w:rsid w:val="00D43BAD"/>
    <w:rsid w:val="00D452E5"/>
    <w:rsid w:val="00D45FC0"/>
    <w:rsid w:val="00D46617"/>
    <w:rsid w:val="00D4689F"/>
    <w:rsid w:val="00D46996"/>
    <w:rsid w:val="00D46ECB"/>
    <w:rsid w:val="00D47438"/>
    <w:rsid w:val="00D47996"/>
    <w:rsid w:val="00D47B16"/>
    <w:rsid w:val="00D47D8C"/>
    <w:rsid w:val="00D50466"/>
    <w:rsid w:val="00D527BD"/>
    <w:rsid w:val="00D5367E"/>
    <w:rsid w:val="00D5428E"/>
    <w:rsid w:val="00D54395"/>
    <w:rsid w:val="00D546FF"/>
    <w:rsid w:val="00D54DF6"/>
    <w:rsid w:val="00D5644A"/>
    <w:rsid w:val="00D56955"/>
    <w:rsid w:val="00D56993"/>
    <w:rsid w:val="00D5717C"/>
    <w:rsid w:val="00D5730E"/>
    <w:rsid w:val="00D57418"/>
    <w:rsid w:val="00D575ED"/>
    <w:rsid w:val="00D57DA6"/>
    <w:rsid w:val="00D6123D"/>
    <w:rsid w:val="00D6153D"/>
    <w:rsid w:val="00D615BB"/>
    <w:rsid w:val="00D61C87"/>
    <w:rsid w:val="00D61CAC"/>
    <w:rsid w:val="00D62DB8"/>
    <w:rsid w:val="00D631C3"/>
    <w:rsid w:val="00D63803"/>
    <w:rsid w:val="00D63A85"/>
    <w:rsid w:val="00D63A93"/>
    <w:rsid w:val="00D6487C"/>
    <w:rsid w:val="00D64BAB"/>
    <w:rsid w:val="00D6685C"/>
    <w:rsid w:val="00D70430"/>
    <w:rsid w:val="00D707E1"/>
    <w:rsid w:val="00D714D0"/>
    <w:rsid w:val="00D7180F"/>
    <w:rsid w:val="00D719EC"/>
    <w:rsid w:val="00D71DD0"/>
    <w:rsid w:val="00D7309D"/>
    <w:rsid w:val="00D7311C"/>
    <w:rsid w:val="00D7331D"/>
    <w:rsid w:val="00D73FED"/>
    <w:rsid w:val="00D74906"/>
    <w:rsid w:val="00D74C73"/>
    <w:rsid w:val="00D74F71"/>
    <w:rsid w:val="00D75313"/>
    <w:rsid w:val="00D762C2"/>
    <w:rsid w:val="00D770B2"/>
    <w:rsid w:val="00D77E06"/>
    <w:rsid w:val="00D80113"/>
    <w:rsid w:val="00D80DC8"/>
    <w:rsid w:val="00D814E6"/>
    <w:rsid w:val="00D81C35"/>
    <w:rsid w:val="00D81DDF"/>
    <w:rsid w:val="00D824AE"/>
    <w:rsid w:val="00D82742"/>
    <w:rsid w:val="00D82986"/>
    <w:rsid w:val="00D82A10"/>
    <w:rsid w:val="00D82BD3"/>
    <w:rsid w:val="00D8333F"/>
    <w:rsid w:val="00D83408"/>
    <w:rsid w:val="00D83AE7"/>
    <w:rsid w:val="00D84096"/>
    <w:rsid w:val="00D84D68"/>
    <w:rsid w:val="00D864F9"/>
    <w:rsid w:val="00D86A15"/>
    <w:rsid w:val="00D86B3D"/>
    <w:rsid w:val="00D86FC5"/>
    <w:rsid w:val="00D87793"/>
    <w:rsid w:val="00D9086E"/>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57F4"/>
    <w:rsid w:val="00D96534"/>
    <w:rsid w:val="00D96D5A"/>
    <w:rsid w:val="00D96F58"/>
    <w:rsid w:val="00D973E8"/>
    <w:rsid w:val="00DA00E3"/>
    <w:rsid w:val="00DA1383"/>
    <w:rsid w:val="00DA1594"/>
    <w:rsid w:val="00DA1CB6"/>
    <w:rsid w:val="00DA1E5D"/>
    <w:rsid w:val="00DA35D6"/>
    <w:rsid w:val="00DA3862"/>
    <w:rsid w:val="00DA4F09"/>
    <w:rsid w:val="00DA52E3"/>
    <w:rsid w:val="00DA5A48"/>
    <w:rsid w:val="00DA5AB2"/>
    <w:rsid w:val="00DA607F"/>
    <w:rsid w:val="00DA6850"/>
    <w:rsid w:val="00DA6C5B"/>
    <w:rsid w:val="00DB1106"/>
    <w:rsid w:val="00DB12CA"/>
    <w:rsid w:val="00DB19C5"/>
    <w:rsid w:val="00DB1D55"/>
    <w:rsid w:val="00DB212F"/>
    <w:rsid w:val="00DB348A"/>
    <w:rsid w:val="00DB48E2"/>
    <w:rsid w:val="00DB4D24"/>
    <w:rsid w:val="00DB514B"/>
    <w:rsid w:val="00DB54AF"/>
    <w:rsid w:val="00DB553B"/>
    <w:rsid w:val="00DB6C5A"/>
    <w:rsid w:val="00DB7611"/>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1C36"/>
    <w:rsid w:val="00DD29E9"/>
    <w:rsid w:val="00DD31F3"/>
    <w:rsid w:val="00DD3938"/>
    <w:rsid w:val="00DD3AE5"/>
    <w:rsid w:val="00DD444B"/>
    <w:rsid w:val="00DD5506"/>
    <w:rsid w:val="00DD5587"/>
    <w:rsid w:val="00DD5D7C"/>
    <w:rsid w:val="00DD733B"/>
    <w:rsid w:val="00DD7E98"/>
    <w:rsid w:val="00DD7F36"/>
    <w:rsid w:val="00DD7F4E"/>
    <w:rsid w:val="00DE0589"/>
    <w:rsid w:val="00DE1685"/>
    <w:rsid w:val="00DE1AE0"/>
    <w:rsid w:val="00DE1C0C"/>
    <w:rsid w:val="00DE1F98"/>
    <w:rsid w:val="00DE3984"/>
    <w:rsid w:val="00DE3B4A"/>
    <w:rsid w:val="00DE3C4A"/>
    <w:rsid w:val="00DE3ECA"/>
    <w:rsid w:val="00DE4168"/>
    <w:rsid w:val="00DE447F"/>
    <w:rsid w:val="00DE575A"/>
    <w:rsid w:val="00DE5E8E"/>
    <w:rsid w:val="00DE63CA"/>
    <w:rsid w:val="00DE7757"/>
    <w:rsid w:val="00DE7947"/>
    <w:rsid w:val="00DF009A"/>
    <w:rsid w:val="00DF0608"/>
    <w:rsid w:val="00DF090C"/>
    <w:rsid w:val="00DF0A38"/>
    <w:rsid w:val="00DF0FE3"/>
    <w:rsid w:val="00DF13A8"/>
    <w:rsid w:val="00DF1DBA"/>
    <w:rsid w:val="00DF21D0"/>
    <w:rsid w:val="00DF34C1"/>
    <w:rsid w:val="00DF4141"/>
    <w:rsid w:val="00DF41D1"/>
    <w:rsid w:val="00DF6172"/>
    <w:rsid w:val="00DF77EF"/>
    <w:rsid w:val="00DF7D2F"/>
    <w:rsid w:val="00E00145"/>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6EA7"/>
    <w:rsid w:val="00E077B7"/>
    <w:rsid w:val="00E10234"/>
    <w:rsid w:val="00E10A13"/>
    <w:rsid w:val="00E11DD7"/>
    <w:rsid w:val="00E11F05"/>
    <w:rsid w:val="00E12809"/>
    <w:rsid w:val="00E12EE0"/>
    <w:rsid w:val="00E12F4E"/>
    <w:rsid w:val="00E12FFB"/>
    <w:rsid w:val="00E13798"/>
    <w:rsid w:val="00E138C6"/>
    <w:rsid w:val="00E13CEF"/>
    <w:rsid w:val="00E14358"/>
    <w:rsid w:val="00E14804"/>
    <w:rsid w:val="00E15AE5"/>
    <w:rsid w:val="00E16003"/>
    <w:rsid w:val="00E167E6"/>
    <w:rsid w:val="00E170B7"/>
    <w:rsid w:val="00E1723C"/>
    <w:rsid w:val="00E1774A"/>
    <w:rsid w:val="00E2018D"/>
    <w:rsid w:val="00E205EB"/>
    <w:rsid w:val="00E2089B"/>
    <w:rsid w:val="00E21918"/>
    <w:rsid w:val="00E21F2E"/>
    <w:rsid w:val="00E220A2"/>
    <w:rsid w:val="00E23066"/>
    <w:rsid w:val="00E250CE"/>
    <w:rsid w:val="00E25CAE"/>
    <w:rsid w:val="00E26BCB"/>
    <w:rsid w:val="00E270D3"/>
    <w:rsid w:val="00E27274"/>
    <w:rsid w:val="00E2744B"/>
    <w:rsid w:val="00E27572"/>
    <w:rsid w:val="00E27A76"/>
    <w:rsid w:val="00E27F7E"/>
    <w:rsid w:val="00E3002F"/>
    <w:rsid w:val="00E306E0"/>
    <w:rsid w:val="00E309D7"/>
    <w:rsid w:val="00E30DEE"/>
    <w:rsid w:val="00E317B9"/>
    <w:rsid w:val="00E321AA"/>
    <w:rsid w:val="00E32B95"/>
    <w:rsid w:val="00E3316F"/>
    <w:rsid w:val="00E335E0"/>
    <w:rsid w:val="00E33AFB"/>
    <w:rsid w:val="00E343D4"/>
    <w:rsid w:val="00E358D2"/>
    <w:rsid w:val="00E36E76"/>
    <w:rsid w:val="00E3779D"/>
    <w:rsid w:val="00E40305"/>
    <w:rsid w:val="00E40973"/>
    <w:rsid w:val="00E40ADE"/>
    <w:rsid w:val="00E40F44"/>
    <w:rsid w:val="00E41D67"/>
    <w:rsid w:val="00E43F01"/>
    <w:rsid w:val="00E46189"/>
    <w:rsid w:val="00E46878"/>
    <w:rsid w:val="00E46C28"/>
    <w:rsid w:val="00E50BA5"/>
    <w:rsid w:val="00E5284F"/>
    <w:rsid w:val="00E53108"/>
    <w:rsid w:val="00E53841"/>
    <w:rsid w:val="00E539EA"/>
    <w:rsid w:val="00E53BBE"/>
    <w:rsid w:val="00E54965"/>
    <w:rsid w:val="00E549F2"/>
    <w:rsid w:val="00E54EB6"/>
    <w:rsid w:val="00E5529E"/>
    <w:rsid w:val="00E56791"/>
    <w:rsid w:val="00E56EA4"/>
    <w:rsid w:val="00E57291"/>
    <w:rsid w:val="00E61369"/>
    <w:rsid w:val="00E6240F"/>
    <w:rsid w:val="00E62CC8"/>
    <w:rsid w:val="00E64F58"/>
    <w:rsid w:val="00E657A9"/>
    <w:rsid w:val="00E665E9"/>
    <w:rsid w:val="00E66603"/>
    <w:rsid w:val="00E66DCA"/>
    <w:rsid w:val="00E67056"/>
    <w:rsid w:val="00E677DE"/>
    <w:rsid w:val="00E67E7C"/>
    <w:rsid w:val="00E710A4"/>
    <w:rsid w:val="00E721AF"/>
    <w:rsid w:val="00E72DE0"/>
    <w:rsid w:val="00E7492C"/>
    <w:rsid w:val="00E74E55"/>
    <w:rsid w:val="00E76C73"/>
    <w:rsid w:val="00E77874"/>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3DAD"/>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9F5"/>
    <w:rsid w:val="00EB5C46"/>
    <w:rsid w:val="00EB5E88"/>
    <w:rsid w:val="00EB6CAF"/>
    <w:rsid w:val="00EB7BDE"/>
    <w:rsid w:val="00EB7D56"/>
    <w:rsid w:val="00EB7D7A"/>
    <w:rsid w:val="00EC0238"/>
    <w:rsid w:val="00EC106E"/>
    <w:rsid w:val="00EC38E4"/>
    <w:rsid w:val="00EC411D"/>
    <w:rsid w:val="00EC42A5"/>
    <w:rsid w:val="00EC4B5F"/>
    <w:rsid w:val="00EC6320"/>
    <w:rsid w:val="00EC6340"/>
    <w:rsid w:val="00EC6FC1"/>
    <w:rsid w:val="00ED00B0"/>
    <w:rsid w:val="00ED01F1"/>
    <w:rsid w:val="00ED07DF"/>
    <w:rsid w:val="00ED091A"/>
    <w:rsid w:val="00ED0E81"/>
    <w:rsid w:val="00ED1385"/>
    <w:rsid w:val="00ED15C2"/>
    <w:rsid w:val="00ED2CB6"/>
    <w:rsid w:val="00ED347F"/>
    <w:rsid w:val="00ED37A2"/>
    <w:rsid w:val="00ED4067"/>
    <w:rsid w:val="00ED4BB5"/>
    <w:rsid w:val="00ED5E40"/>
    <w:rsid w:val="00ED6E15"/>
    <w:rsid w:val="00ED7639"/>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7CC"/>
    <w:rsid w:val="00EE7D3F"/>
    <w:rsid w:val="00EF020B"/>
    <w:rsid w:val="00EF2B60"/>
    <w:rsid w:val="00EF2C79"/>
    <w:rsid w:val="00EF3241"/>
    <w:rsid w:val="00EF41CD"/>
    <w:rsid w:val="00EF524B"/>
    <w:rsid w:val="00EF58D8"/>
    <w:rsid w:val="00EF6212"/>
    <w:rsid w:val="00F00459"/>
    <w:rsid w:val="00F00FDE"/>
    <w:rsid w:val="00F01D75"/>
    <w:rsid w:val="00F0213D"/>
    <w:rsid w:val="00F03432"/>
    <w:rsid w:val="00F03DA1"/>
    <w:rsid w:val="00F03DBB"/>
    <w:rsid w:val="00F03FDB"/>
    <w:rsid w:val="00F047CB"/>
    <w:rsid w:val="00F04852"/>
    <w:rsid w:val="00F052AC"/>
    <w:rsid w:val="00F06211"/>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5CD2"/>
    <w:rsid w:val="00F16057"/>
    <w:rsid w:val="00F17776"/>
    <w:rsid w:val="00F17B6C"/>
    <w:rsid w:val="00F209E9"/>
    <w:rsid w:val="00F20BD8"/>
    <w:rsid w:val="00F20EBB"/>
    <w:rsid w:val="00F2229D"/>
    <w:rsid w:val="00F22B38"/>
    <w:rsid w:val="00F22C95"/>
    <w:rsid w:val="00F23538"/>
    <w:rsid w:val="00F2356D"/>
    <w:rsid w:val="00F24631"/>
    <w:rsid w:val="00F2504F"/>
    <w:rsid w:val="00F2553B"/>
    <w:rsid w:val="00F25B9A"/>
    <w:rsid w:val="00F268B5"/>
    <w:rsid w:val="00F27446"/>
    <w:rsid w:val="00F30688"/>
    <w:rsid w:val="00F30756"/>
    <w:rsid w:val="00F308C8"/>
    <w:rsid w:val="00F30D7F"/>
    <w:rsid w:val="00F313AE"/>
    <w:rsid w:val="00F314F5"/>
    <w:rsid w:val="00F32AFF"/>
    <w:rsid w:val="00F32B41"/>
    <w:rsid w:val="00F340BA"/>
    <w:rsid w:val="00F34506"/>
    <w:rsid w:val="00F34FA4"/>
    <w:rsid w:val="00F3514E"/>
    <w:rsid w:val="00F3577A"/>
    <w:rsid w:val="00F3666B"/>
    <w:rsid w:val="00F36A56"/>
    <w:rsid w:val="00F3702E"/>
    <w:rsid w:val="00F379A8"/>
    <w:rsid w:val="00F404B0"/>
    <w:rsid w:val="00F40685"/>
    <w:rsid w:val="00F40C61"/>
    <w:rsid w:val="00F413CE"/>
    <w:rsid w:val="00F42536"/>
    <w:rsid w:val="00F42F16"/>
    <w:rsid w:val="00F43906"/>
    <w:rsid w:val="00F44A9E"/>
    <w:rsid w:val="00F44AFB"/>
    <w:rsid w:val="00F46152"/>
    <w:rsid w:val="00F46AFB"/>
    <w:rsid w:val="00F46BF5"/>
    <w:rsid w:val="00F47170"/>
    <w:rsid w:val="00F47BD3"/>
    <w:rsid w:val="00F47FF3"/>
    <w:rsid w:val="00F50B37"/>
    <w:rsid w:val="00F514E1"/>
    <w:rsid w:val="00F521FE"/>
    <w:rsid w:val="00F52D85"/>
    <w:rsid w:val="00F52E56"/>
    <w:rsid w:val="00F535ED"/>
    <w:rsid w:val="00F5471B"/>
    <w:rsid w:val="00F55B59"/>
    <w:rsid w:val="00F566D4"/>
    <w:rsid w:val="00F56BEB"/>
    <w:rsid w:val="00F607EE"/>
    <w:rsid w:val="00F6171E"/>
    <w:rsid w:val="00F62F4B"/>
    <w:rsid w:val="00F64120"/>
    <w:rsid w:val="00F646CD"/>
    <w:rsid w:val="00F65293"/>
    <w:rsid w:val="00F65969"/>
    <w:rsid w:val="00F65E52"/>
    <w:rsid w:val="00F65E5D"/>
    <w:rsid w:val="00F66C8C"/>
    <w:rsid w:val="00F67E4C"/>
    <w:rsid w:val="00F70F31"/>
    <w:rsid w:val="00F71CB3"/>
    <w:rsid w:val="00F72123"/>
    <w:rsid w:val="00F72A6B"/>
    <w:rsid w:val="00F73DC1"/>
    <w:rsid w:val="00F744C3"/>
    <w:rsid w:val="00F75043"/>
    <w:rsid w:val="00F7554E"/>
    <w:rsid w:val="00F76CF7"/>
    <w:rsid w:val="00F77502"/>
    <w:rsid w:val="00F77CE9"/>
    <w:rsid w:val="00F80159"/>
    <w:rsid w:val="00F8029A"/>
    <w:rsid w:val="00F80A42"/>
    <w:rsid w:val="00F829DA"/>
    <w:rsid w:val="00F8432A"/>
    <w:rsid w:val="00F8705E"/>
    <w:rsid w:val="00F870DE"/>
    <w:rsid w:val="00F87698"/>
    <w:rsid w:val="00F87ED6"/>
    <w:rsid w:val="00F9001F"/>
    <w:rsid w:val="00F901E3"/>
    <w:rsid w:val="00F90409"/>
    <w:rsid w:val="00F90411"/>
    <w:rsid w:val="00F90FEF"/>
    <w:rsid w:val="00F9180A"/>
    <w:rsid w:val="00F91AD7"/>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0B20"/>
    <w:rsid w:val="00FA0C07"/>
    <w:rsid w:val="00FA2663"/>
    <w:rsid w:val="00FA296C"/>
    <w:rsid w:val="00FA2A0F"/>
    <w:rsid w:val="00FA3478"/>
    <w:rsid w:val="00FA409F"/>
    <w:rsid w:val="00FA5231"/>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154"/>
    <w:rsid w:val="00FB5D10"/>
    <w:rsid w:val="00FC0A33"/>
    <w:rsid w:val="00FC10A2"/>
    <w:rsid w:val="00FC11B6"/>
    <w:rsid w:val="00FC149D"/>
    <w:rsid w:val="00FC1512"/>
    <w:rsid w:val="00FC1B41"/>
    <w:rsid w:val="00FC2CE7"/>
    <w:rsid w:val="00FC2E4B"/>
    <w:rsid w:val="00FC35E0"/>
    <w:rsid w:val="00FC4CA4"/>
    <w:rsid w:val="00FC4D11"/>
    <w:rsid w:val="00FC5175"/>
    <w:rsid w:val="00FC6B5B"/>
    <w:rsid w:val="00FC6C0B"/>
    <w:rsid w:val="00FC778C"/>
    <w:rsid w:val="00FC7EC0"/>
    <w:rsid w:val="00FD0A22"/>
    <w:rsid w:val="00FD0CA5"/>
    <w:rsid w:val="00FD10C3"/>
    <w:rsid w:val="00FD15E8"/>
    <w:rsid w:val="00FD32D1"/>
    <w:rsid w:val="00FD3317"/>
    <w:rsid w:val="00FD3AAE"/>
    <w:rsid w:val="00FD3D4B"/>
    <w:rsid w:val="00FD3E67"/>
    <w:rsid w:val="00FD3F95"/>
    <w:rsid w:val="00FD4271"/>
    <w:rsid w:val="00FE0AD4"/>
    <w:rsid w:val="00FE1FB9"/>
    <w:rsid w:val="00FE22AD"/>
    <w:rsid w:val="00FE2588"/>
    <w:rsid w:val="00FE28E3"/>
    <w:rsid w:val="00FE31DC"/>
    <w:rsid w:val="00FE50EC"/>
    <w:rsid w:val="00FE5CC4"/>
    <w:rsid w:val="00FE6451"/>
    <w:rsid w:val="00FE745F"/>
    <w:rsid w:val="00FE761A"/>
    <w:rsid w:val="00FE7AF1"/>
    <w:rsid w:val="00FE7B7D"/>
    <w:rsid w:val="00FF08E1"/>
    <w:rsid w:val="00FF092B"/>
    <w:rsid w:val="00FF191A"/>
    <w:rsid w:val="00FF2854"/>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14:docId w14:val="537A6EB2"/>
  <w15:docId w15:val="{479C3BBB-F8F5-4A83-8CC9-F12CB0F6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8C7"/>
    <w:pPr>
      <w:bidi/>
    </w:pPr>
  </w:style>
  <w:style w:type="paragraph" w:styleId="Heading1">
    <w:name w:val="heading 1"/>
    <w:basedOn w:val="Normal"/>
    <w:next w:val="Normal"/>
    <w:link w:val="11"/>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21"/>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31"/>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41"/>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53"/>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62"/>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73"/>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81"/>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91"/>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21">
    <w:name w:val="כותרת 2 תו1"/>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31">
    <w:name w:val="כותרת 3 תו1"/>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41">
    <w:name w:val="כותרת 4 תו1"/>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53">
    <w:name w:val="כותרת 5 תו3"/>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62">
    <w:name w:val="כותרת 6 תו2"/>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73">
    <w:name w:val="כותרת 7 תו3"/>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81">
    <w:name w:val="כותרת 8 תו1"/>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91">
    <w:name w:val="כותרת 9 תו1"/>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aliases w:val="Bullet List,FooterText,LP1,List Paragraph1,List Paragraph_0,List Paragraph_1,List Paragraph_2,Paragraphe de liste1,lp1,numbered,style 2,פיסקת bullets"/>
    <w:basedOn w:val="Normal"/>
    <w:link w:val="a"/>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a">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1"/>
    <w:uiPriority w:val="99"/>
    <w:unhideWhenUsed/>
    <w:rsid w:val="00CB3322"/>
    <w:pPr>
      <w:tabs>
        <w:tab w:val="center" w:pos="4320"/>
        <w:tab w:val="right" w:pos="8640"/>
      </w:tabs>
      <w:spacing w:after="0" w:line="240" w:lineRule="auto"/>
    </w:pPr>
  </w:style>
  <w:style w:type="character" w:customStyle="1" w:styleId="1">
    <w:name w:val="כותרת עליונה תו1"/>
    <w:basedOn w:val="DefaultParagraphFont"/>
    <w:link w:val="Header"/>
    <w:uiPriority w:val="99"/>
    <w:rsid w:val="00CB3322"/>
    <w:rPr>
      <w:rFonts w:cs="David"/>
      <w:sz w:val="24"/>
      <w:szCs w:val="24"/>
    </w:rPr>
  </w:style>
  <w:style w:type="paragraph" w:styleId="Footer">
    <w:name w:val="footer"/>
    <w:basedOn w:val="Normal"/>
    <w:link w:val="10"/>
    <w:uiPriority w:val="99"/>
    <w:unhideWhenUsed/>
    <w:qFormat/>
    <w:rsid w:val="00CB3322"/>
    <w:pPr>
      <w:tabs>
        <w:tab w:val="center" w:pos="4320"/>
        <w:tab w:val="right" w:pos="8640"/>
      </w:tabs>
      <w:spacing w:after="0" w:line="240" w:lineRule="auto"/>
    </w:pPr>
  </w:style>
  <w:style w:type="character" w:customStyle="1" w:styleId="10">
    <w:name w:val="כותרת תחתונה תו1"/>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a0"/>
    <w:uiPriority w:val="99"/>
    <w:unhideWhenUsed/>
    <w:rsid w:val="00702D9F"/>
    <w:pPr>
      <w:spacing w:line="240" w:lineRule="auto"/>
    </w:pPr>
    <w:rPr>
      <w:sz w:val="20"/>
      <w:szCs w:val="20"/>
    </w:rPr>
  </w:style>
  <w:style w:type="character" w:customStyle="1" w:styleId="a0">
    <w:name w:val="טקסט הערה תו"/>
    <w:basedOn w:val="DefaultParagraphFont"/>
    <w:link w:val="CommentText"/>
    <w:uiPriority w:val="99"/>
    <w:rsid w:val="00702D9F"/>
    <w:rPr>
      <w:rFonts w:cs="David"/>
    </w:rPr>
  </w:style>
  <w:style w:type="paragraph" w:styleId="CommentSubject">
    <w:name w:val="annotation subject"/>
    <w:basedOn w:val="CommentText"/>
    <w:next w:val="CommentText"/>
    <w:link w:val="a1"/>
    <w:uiPriority w:val="99"/>
    <w:semiHidden/>
    <w:unhideWhenUsed/>
    <w:rsid w:val="00702D9F"/>
    <w:rPr>
      <w:b/>
      <w:bCs/>
    </w:rPr>
  </w:style>
  <w:style w:type="character" w:customStyle="1" w:styleId="a1">
    <w:name w:val="נושא הערה תו"/>
    <w:basedOn w:val="a0"/>
    <w:link w:val="CommentSubject"/>
    <w:uiPriority w:val="99"/>
    <w:semiHidden/>
    <w:rsid w:val="00702D9F"/>
    <w:rPr>
      <w:rFonts w:cs="David"/>
      <w:b/>
      <w:bCs/>
    </w:rPr>
  </w:style>
  <w:style w:type="paragraph" w:styleId="BalloonText">
    <w:name w:val="Balloon Text"/>
    <w:basedOn w:val="Normal"/>
    <w:link w:val="a2"/>
    <w:uiPriority w:val="99"/>
    <w:semiHidden/>
    <w:unhideWhenUsed/>
    <w:rsid w:val="00702D9F"/>
    <w:pPr>
      <w:spacing w:after="0" w:line="240" w:lineRule="auto"/>
    </w:pPr>
    <w:rPr>
      <w:rFonts w:ascii="Segoe UI" w:hAnsi="Segoe UI" w:cs="Segoe UI"/>
      <w:sz w:val="18"/>
      <w:szCs w:val="18"/>
    </w:rPr>
  </w:style>
  <w:style w:type="character" w:customStyle="1" w:styleId="a2">
    <w:name w:val="טקסט בלונים תו"/>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aliases w:val="ללא"/>
    <w:basedOn w:val="TableNormal"/>
    <w:uiPriority w:val="3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F,FOOTNOTES,Footnote Text - Sharp,Footnote Text - Sharp Char,Footnote Text - Sharp Char Char,Footnote Text Char Char Char Char Char,Footnote reference,Sharp - Footnote Text,Sharp - Footnote Text1 Char,fn,footnote text,single space"/>
    <w:basedOn w:val="Normal"/>
    <w:link w:val="12"/>
    <w:uiPriority w:val="99"/>
    <w:unhideWhenUsed/>
    <w:qFormat/>
    <w:rsid w:val="00D36781"/>
    <w:pPr>
      <w:keepLines/>
      <w:spacing w:after="40" w:line="200" w:lineRule="exact"/>
      <w:ind w:left="397" w:right="2268" w:hanging="397"/>
      <w:jc w:val="both"/>
    </w:pPr>
    <w:rPr>
      <w:rFonts w:ascii="Tahoma" w:hAnsi="Tahoma" w:cs="Tahoma"/>
      <w:sz w:val="14"/>
      <w:szCs w:val="14"/>
    </w:rPr>
  </w:style>
  <w:style w:type="character" w:customStyle="1" w:styleId="12">
    <w:name w:val="טקסט הערת שוליים תו1"/>
    <w:aliases w:val="Char תו,FOOTNOTES תו,Footnote Text - Sharp Char Char תו,Footnote Text - Sharp Char תו,Footnote Text - Sharp תו,Footnote Text Char Char Char Char Char תו,Footnote reference תו,Sharp - Footnote Text תו,Sharp - Footnote Text1 Char תו"/>
    <w:basedOn w:val="DefaultParagraphFont"/>
    <w:link w:val="FootnoteText"/>
    <w:uiPriority w:val="99"/>
    <w:rsid w:val="00D36781"/>
    <w:rPr>
      <w:rFonts w:ascii="Tahoma" w:hAnsi="Tahoma" w:cs="Tahoma"/>
      <w:sz w:val="14"/>
      <w:szCs w:val="14"/>
    </w:rPr>
  </w:style>
  <w:style w:type="character" w:styleId="FootnoteReference1">
    <w:name w:val="footnote reference"/>
    <w:aliases w:val="Footnote Reference_0,Footnote Reference_0_0,Footnote Reference_0_0_0,Footnote Reference_0_0_0_0,Footnote Reference_1,Footnote Reference_1_0,Footnote Reference_2,Footnote Reference_3,Footnote Reference_4,Footnote Reference_4_0,Style,מ"/>
    <w:basedOn w:val="DefaultParagraphFont"/>
    <w:uiPriority w:val="99"/>
    <w:unhideWhenUsed/>
    <w:qFormat/>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13"/>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13">
    <w:name w:val="כותרת טקסט תו1"/>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a3"/>
    <w:uiPriority w:val="11"/>
    <w:qFormat/>
    <w:rsid w:val="005C0F41"/>
    <w:pPr>
      <w:numPr>
        <w:ilvl w:val="1"/>
      </w:numPr>
      <w:bidi w:val="0"/>
      <w:spacing w:after="240"/>
    </w:pPr>
    <w:rPr>
      <w:caps/>
      <w:color w:val="404040" w:themeColor="text1" w:themeTint="BF"/>
      <w:spacing w:val="20"/>
      <w:sz w:val="28"/>
      <w:szCs w:val="28"/>
    </w:rPr>
  </w:style>
  <w:style w:type="character" w:customStyle="1" w:styleId="a3">
    <w:name w:val="כותרת משנה תו"/>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a4"/>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4">
    <w:name w:val="ציטוט תו"/>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a5"/>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a5">
    <w:name w:val="ציטוט חזק תו"/>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a6"/>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a6">
    <w:name w:val="גוף טקסט תו"/>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2"/>
    <w:unhideWhenUsed/>
    <w:rsid w:val="00DB1D55"/>
    <w:pPr>
      <w:tabs>
        <w:tab w:val="left" w:pos="340"/>
      </w:tabs>
      <w:spacing w:line="360" w:lineRule="exact"/>
      <w:jc w:val="both"/>
    </w:pPr>
    <w:rPr>
      <w:rFonts w:ascii="Tahoma" w:hAnsi="Tahoma" w:cs="Tahoma"/>
      <w:sz w:val="22"/>
      <w:szCs w:val="22"/>
    </w:rPr>
  </w:style>
  <w:style w:type="character" w:customStyle="1" w:styleId="2">
    <w:name w:val="גוף טקסט 2 תו"/>
    <w:basedOn w:val="DefaultParagraphFont"/>
    <w:link w:val="BodyText2"/>
    <w:uiPriority w:val="99"/>
    <w:rsid w:val="00DB1D55"/>
    <w:rPr>
      <w:rFonts w:ascii="Tahoma" w:hAnsi="Tahoma" w:cs="Tahoma"/>
      <w:sz w:val="22"/>
      <w:szCs w:val="22"/>
    </w:rPr>
  </w:style>
  <w:style w:type="character" w:customStyle="1" w:styleId="14">
    <w:name w:val="כותרת 1 תו"/>
    <w:locked/>
    <w:rsid w:val="00F1368B"/>
    <w:rPr>
      <w:rFonts w:ascii="Cambria" w:hAnsi="Cambria" w:cs="Times New Roman"/>
      <w:b/>
      <w:bCs/>
      <w:kern w:val="32"/>
      <w:sz w:val="32"/>
      <w:szCs w:val="32"/>
    </w:rPr>
  </w:style>
  <w:style w:type="character" w:customStyle="1" w:styleId="20">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7">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8">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9">
    <w:name w:val="כותרת עליונה תו"/>
    <w:uiPriority w:val="99"/>
    <w:locked/>
    <w:rsid w:val="00F1368B"/>
    <w:rPr>
      <w:rFonts w:cs="David"/>
      <w:sz w:val="24"/>
      <w:szCs w:val="24"/>
      <w:lang w:bidi="he-IL"/>
    </w:rPr>
  </w:style>
  <w:style w:type="character" w:customStyle="1" w:styleId="a10">
    <w:name w:val="כותרת תחתונה תו"/>
    <w:locked/>
    <w:rsid w:val="00F1368B"/>
    <w:rPr>
      <w:rFonts w:cs="David"/>
      <w:sz w:val="24"/>
      <w:szCs w:val="24"/>
      <w:lang w:bidi="he-IL"/>
    </w:rPr>
  </w:style>
  <w:style w:type="character" w:customStyle="1" w:styleId="a11">
    <w:name w:val="טקסט הערת סיום תו"/>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a11"/>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32">
    <w:name w:val="גוף טקסט 3 תו"/>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32"/>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a12"/>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a12">
    <w:name w:val="טקסט רגיל תו"/>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1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1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5">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22">
    <w:name w:val="כניסה בגוף טקסט 2 תו"/>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22"/>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15">
    <w:name w:val="טקסט הערות שוליים תו"/>
    <w:rsid w:val="00F1368B"/>
    <w:rPr>
      <w:lang w:val="en-US" w:eastAsia="en-US"/>
    </w:rPr>
  </w:style>
  <w:style w:type="character" w:customStyle="1" w:styleId="a16">
    <w:name w:val="טקסט הערת שוליים תו"/>
    <w:aliases w:val="FT Char Char תו,FT Char Char1 Char Char תו,FT תו,Footnote Text Char Char תו,Footnote Text Char Char1 Char Char תו,Footnote Text Char1 Char Char תו,Footnote Text1 תו,f תו,fn Char Char Char Char תו,fn Char Char תו,fn Char תו,fn תו"/>
    <w:uiPriority w:val="99"/>
    <w:locked/>
    <w:rsid w:val="00F1368B"/>
    <w:rPr>
      <w:lang w:val="en-US" w:eastAsia="en-US"/>
    </w:rPr>
  </w:style>
  <w:style w:type="character" w:customStyle="1" w:styleId="33">
    <w:name w:val="כניסה בגוף טקסט 3 תו"/>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33"/>
    <w:semiHidden/>
    <w:rsid w:val="00F1368B"/>
    <w:pPr>
      <w:spacing w:line="240" w:lineRule="exact"/>
      <w:ind w:left="283"/>
    </w:pPr>
    <w:rPr>
      <w:rFonts w:ascii="Times New Roman" w:eastAsia="Times New Roman" w:hAnsi="Times New Roman" w:cs="David"/>
      <w:sz w:val="16"/>
      <w:szCs w:val="16"/>
    </w:rPr>
  </w:style>
  <w:style w:type="paragraph" w:customStyle="1" w:styleId="16">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a17">
    <w:name w:val="כניסה בגוף טקסט תו"/>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a17"/>
    <w:semiHidden/>
    <w:rsid w:val="00F1368B"/>
    <w:pPr>
      <w:spacing w:line="240" w:lineRule="exact"/>
      <w:ind w:left="283"/>
    </w:pPr>
    <w:rPr>
      <w:rFonts w:ascii="Times New Roman" w:eastAsia="Times New Roman" w:hAnsi="Times New Roman" w:cs="David"/>
      <w:sz w:val="24"/>
      <w:szCs w:val="24"/>
    </w:rPr>
  </w:style>
  <w:style w:type="paragraph" w:customStyle="1" w:styleId="310">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0">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3">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0">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1">
    <w:name w:val="כותרת 41 תו"/>
    <w:rsid w:val="00F1368B"/>
    <w:rPr>
      <w:rFonts w:cs="David"/>
      <w:b/>
      <w:bCs/>
      <w:sz w:val="22"/>
      <w:szCs w:val="26"/>
    </w:rPr>
  </w:style>
  <w:style w:type="character" w:customStyle="1" w:styleId="a18">
    <w:name w:val="מפת מסמך תו"/>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a18"/>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19">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20">
    <w:name w:val="נבנצאל תו"/>
    <w:uiPriority w:val="99"/>
    <w:locked/>
    <w:rsid w:val="00F1368B"/>
    <w:rPr>
      <w:rFonts w:ascii="Rockwell" w:eastAsia="Rockwell" w:hAnsi="Rockwell" w:cs="David"/>
      <w:sz w:val="22"/>
    </w:rPr>
  </w:style>
  <w:style w:type="paragraph" w:styleId="Date">
    <w:name w:val="Date"/>
    <w:basedOn w:val="Normal"/>
    <w:next w:val="Normal"/>
    <w:link w:val="17"/>
    <w:uiPriority w:val="99"/>
    <w:rsid w:val="00F1368B"/>
    <w:pPr>
      <w:spacing w:before="120" w:after="200" w:line="240" w:lineRule="auto"/>
    </w:pPr>
    <w:rPr>
      <w:rFonts w:ascii="Rockwell" w:eastAsia="Rockwell" w:hAnsi="Rockwell" w:cs="David"/>
      <w:sz w:val="22"/>
      <w:szCs w:val="22"/>
    </w:rPr>
  </w:style>
  <w:style w:type="character" w:customStyle="1" w:styleId="17">
    <w:name w:val="תאריך תו1"/>
    <w:basedOn w:val="DefaultParagraphFont"/>
    <w:link w:val="Date"/>
    <w:uiPriority w:val="99"/>
    <w:rsid w:val="00F1368B"/>
    <w:rPr>
      <w:rFonts w:ascii="Rockwell" w:eastAsia="Rockwell" w:hAnsi="Rockwell" w:cs="David"/>
      <w:sz w:val="22"/>
      <w:szCs w:val="22"/>
    </w:rPr>
  </w:style>
  <w:style w:type="character" w:customStyle="1" w:styleId="a21">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table" w:customStyle="1" w:styleId="18">
    <w:name w:val="רשת טבלה1"/>
    <w:basedOn w:val="TableNormal"/>
    <w:next w:val="TableGrid"/>
    <w:uiPriority w:val="59"/>
    <w:rsid w:val="005C33A1"/>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T1N">
    <w:name w:val="KOT1N"/>
    <w:qFormat/>
    <w:rsid w:val="008723A0"/>
    <w:pPr>
      <w:spacing w:line="440" w:lineRule="exact"/>
      <w:jc w:val="center"/>
    </w:pPr>
    <w:rPr>
      <w:rFonts w:ascii="Arial Bold" w:hAnsi="Arial Bold" w:eastAsiaTheme="majorEastAsia" w:cs="Tahoma"/>
      <w:b/>
      <w:bCs/>
      <w:color w:val="00305F"/>
      <w:sz w:val="34"/>
      <w:szCs w:val="34"/>
    </w:rPr>
  </w:style>
  <w:style w:type="paragraph" w:customStyle="1" w:styleId="KOT2N">
    <w:name w:val="KOT2N"/>
    <w:basedOn w:val="KOT2"/>
    <w:qFormat/>
    <w:rsid w:val="008723A0"/>
    <w:pPr>
      <w:pageBreakBefore w:val="0"/>
      <w:spacing w:line="440" w:lineRule="exact"/>
      <w:ind w:right="0"/>
      <w:outlineLvl w:val="1"/>
    </w:pPr>
    <w:rPr>
      <w:b/>
      <w:bCs/>
      <w:color w:val="00305F"/>
      <w:sz w:val="34"/>
      <w:szCs w:val="34"/>
    </w:rPr>
  </w:style>
  <w:style w:type="paragraph" w:customStyle="1" w:styleId="KOT3N">
    <w:name w:val="KOT3N"/>
    <w:basedOn w:val="Normal"/>
    <w:qFormat/>
    <w:rsid w:val="008723A0"/>
    <w:pPr>
      <w:spacing w:before="360" w:after="180" w:line="240" w:lineRule="atLeast"/>
      <w:outlineLvl w:val="2"/>
    </w:pPr>
    <w:rPr>
      <w:rFonts w:ascii="Tahoma" w:hAnsi="Tahoma" w:cs="Tahoma"/>
      <w:b/>
      <w:bCs/>
      <w:color w:val="00305F"/>
      <w:sz w:val="32"/>
      <w:szCs w:val="32"/>
    </w:rPr>
  </w:style>
  <w:style w:type="paragraph" w:customStyle="1" w:styleId="KOT4N">
    <w:name w:val="KOT4N"/>
    <w:basedOn w:val="Normal"/>
    <w:qFormat/>
    <w:rsid w:val="008723A0"/>
    <w:pPr>
      <w:spacing w:before="240" w:after="180" w:line="240" w:lineRule="atLeast"/>
      <w:outlineLvl w:val="2"/>
    </w:pPr>
    <w:rPr>
      <w:rFonts w:ascii="Tahoma" w:hAnsi="Tahoma" w:cs="Tahoma"/>
      <w:b/>
      <w:bCs/>
      <w:color w:val="00305F"/>
      <w:sz w:val="28"/>
      <w:szCs w:val="28"/>
    </w:rPr>
  </w:style>
  <w:style w:type="paragraph" w:customStyle="1" w:styleId="KOT5N">
    <w:name w:val="KOT5N"/>
    <w:basedOn w:val="Normal"/>
    <w:qFormat/>
    <w:rsid w:val="008723A0"/>
    <w:pPr>
      <w:spacing w:before="240" w:after="180" w:line="240" w:lineRule="atLeast"/>
      <w:outlineLvl w:val="4"/>
    </w:pPr>
    <w:rPr>
      <w:rFonts w:ascii="Tahoma" w:hAnsi="Tahoma" w:cs="Tahoma"/>
      <w:b/>
      <w:bCs/>
      <w:color w:val="00305F"/>
      <w:sz w:val="24"/>
      <w:szCs w:val="24"/>
    </w:rPr>
  </w:style>
  <w:style w:type="paragraph" w:customStyle="1" w:styleId="KOT6N">
    <w:name w:val="KOT6N"/>
    <w:basedOn w:val="Normal"/>
    <w:qFormat/>
    <w:rsid w:val="008723A0"/>
    <w:pPr>
      <w:spacing w:before="240" w:after="180" w:line="240" w:lineRule="atLeast"/>
      <w:outlineLvl w:val="4"/>
    </w:pPr>
    <w:rPr>
      <w:rFonts w:ascii="Tahoma" w:hAnsi="Tahoma" w:cs="Tahoma"/>
      <w:color w:val="00305F"/>
      <w:sz w:val="20"/>
      <w:szCs w:val="20"/>
    </w:rPr>
  </w:style>
  <w:style w:type="character" w:customStyle="1" w:styleId="KOT8N">
    <w:name w:val="KOT8N"/>
    <w:basedOn w:val="DefaultParagraphFont"/>
    <w:uiPriority w:val="1"/>
    <w:qFormat/>
    <w:rsid w:val="00AC58AC"/>
    <w:rPr>
      <w:rFonts w:ascii="Tahoma" w:hAnsi="Tahoma" w:cs="Tahoma"/>
      <w:color w:val="00305F"/>
      <w:spacing w:val="20"/>
      <w:sz w:val="19"/>
      <w:szCs w:val="19"/>
    </w:rPr>
  </w:style>
  <w:style w:type="character" w:customStyle="1" w:styleId="KOT7N">
    <w:name w:val="KOT7N"/>
    <w:basedOn w:val="KOT8N"/>
    <w:uiPriority w:val="1"/>
    <w:qFormat/>
    <w:rsid w:val="00AC58AC"/>
    <w:rPr>
      <w:rFonts w:ascii="Tahoma" w:hAnsi="Tahoma" w:cs="Tahoma"/>
      <w:b/>
      <w:bCs/>
      <w:color w:val="00305F"/>
      <w:spacing w:val="20"/>
      <w:sz w:val="18"/>
      <w:szCs w:val="18"/>
    </w:rPr>
  </w:style>
  <w:style w:type="paragraph" w:customStyle="1" w:styleId="KOT-TAB">
    <w:name w:val="KOT-TAB"/>
    <w:basedOn w:val="Normal"/>
    <w:qFormat/>
    <w:rsid w:val="00AC58AC"/>
    <w:pPr>
      <w:keepNext/>
      <w:tabs>
        <w:tab w:val="left" w:pos="424"/>
      </w:tabs>
      <w:spacing w:before="240" w:after="240" w:line="260" w:lineRule="exact"/>
      <w:jc w:val="center"/>
    </w:pPr>
    <w:rPr>
      <w:rFonts w:ascii="Tahoma" w:hAnsi="Tahoma" w:cs="Tahoma"/>
      <w:color w:val="0D0D0D" w:themeColor="text1" w:themeTint="F2"/>
      <w:sz w:val="20"/>
      <w:szCs w:val="20"/>
    </w:rPr>
  </w:style>
  <w:style w:type="paragraph" w:customStyle="1" w:styleId="KOT-source">
    <w:name w:val="KOT-source"/>
    <w:basedOn w:val="Normal"/>
    <w:qFormat/>
    <w:rsid w:val="00AC58AC"/>
    <w:pPr>
      <w:tabs>
        <w:tab w:val="left" w:pos="424"/>
      </w:tabs>
      <w:spacing w:after="240" w:line="260" w:lineRule="exact"/>
      <w:jc w:val="both"/>
    </w:pPr>
    <w:rPr>
      <w:rFonts w:ascii="Tahoma" w:hAnsi="Tahoma" w:cs="Tahoma"/>
      <w:color w:val="0D0D0D" w:themeColor="text1" w:themeTint="F2"/>
      <w:sz w:val="16"/>
      <w:szCs w:val="16"/>
    </w:rPr>
  </w:style>
  <w:style w:type="paragraph" w:customStyle="1" w:styleId="7195">
    <w:name w:val="71ג בולד 9.5 בתוך שורה"/>
    <w:basedOn w:val="Normal"/>
    <w:link w:val="7195Char"/>
    <w:qFormat/>
    <w:rsid w:val="00770D17"/>
    <w:pPr>
      <w:spacing w:after="180" w:line="260" w:lineRule="exact"/>
      <w:ind w:left="397"/>
      <w:jc w:val="both"/>
      <w:outlineLvl w:val="3"/>
    </w:pPr>
    <w:rPr>
      <w:rFonts w:ascii="Tahoma" w:hAnsi="Tahoma" w:eastAsiaTheme="minorHAnsi" w:cs="Tahoma"/>
      <w:bCs/>
      <w:noProof/>
      <w:color w:val="0D0D0D" w:themeColor="text1" w:themeTint="F2"/>
      <w:sz w:val="18"/>
      <w:szCs w:val="19"/>
      <w:lang w:val="he-IL"/>
    </w:rPr>
  </w:style>
  <w:style w:type="character" w:customStyle="1" w:styleId="7195Char">
    <w:name w:val="71ג בולד 9.5 בתוך שורה Char"/>
    <w:basedOn w:val="DefaultParagraphFont"/>
    <w:link w:val="7195"/>
    <w:rsid w:val="00770D17"/>
    <w:rPr>
      <w:rFonts w:ascii="Tahoma" w:hAnsi="Tahoma" w:eastAsiaTheme="minorHAnsi" w:cs="Tahoma"/>
      <w:bCs/>
      <w:noProof/>
      <w:color w:val="0D0D0D" w:themeColor="text1" w:themeTint="F2"/>
      <w:sz w:val="18"/>
      <w:szCs w:val="19"/>
      <w:lang w:val="he-IL"/>
    </w:rPr>
  </w:style>
  <w:style w:type="table" w:customStyle="1" w:styleId="BlueTable">
    <w:name w:val="Blue Table"/>
    <w:basedOn w:val="GridTable4Accent1"/>
    <w:uiPriority w:val="99"/>
    <w:rsid w:val="00770D17"/>
    <w:pPr>
      <w:spacing w:before="120"/>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0F6FC6"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C7E2FA"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styleId="GridTable4Accent1">
    <w:name w:val="Grid Table 4 Accent 1"/>
    <w:basedOn w:val="TableNormal"/>
    <w:uiPriority w:val="49"/>
    <w:rsid w:val="00770D17"/>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paragraph" w:customStyle="1" w:styleId="a22">
    <w:name w:val="הערות שוליים דוח קורונה"/>
    <w:basedOn w:val="FootnoteText"/>
    <w:qFormat/>
    <w:rsid w:val="00B70706"/>
    <w:pPr>
      <w:bidi w:val="0"/>
      <w:spacing w:after="120"/>
      <w:ind w:left="0" w:right="0" w:firstLine="0"/>
    </w:pPr>
  </w:style>
  <w:style w:type="paragraph" w:customStyle="1" w:styleId="719">
    <w:name w:val="71ג׳ טקסט רץ 9"/>
    <w:basedOn w:val="Normal"/>
    <w:link w:val="7190"/>
    <w:qFormat/>
    <w:rsid w:val="00BD3044"/>
    <w:pPr>
      <w:spacing w:after="180" w:line="260" w:lineRule="exact"/>
      <w:jc w:val="both"/>
    </w:pPr>
    <w:rPr>
      <w:rFonts w:ascii="Tahoma" w:hAnsi="Tahoma" w:eastAsiaTheme="minorHAnsi" w:cs="Tahoma"/>
      <w:color w:val="0D0D0D" w:themeColor="text1" w:themeTint="F2"/>
      <w:sz w:val="18"/>
      <w:szCs w:val="18"/>
    </w:rPr>
  </w:style>
  <w:style w:type="character" w:customStyle="1" w:styleId="7190">
    <w:name w:val="71ג׳ טקסט רץ 9 תו"/>
    <w:basedOn w:val="DefaultParagraphFont"/>
    <w:link w:val="719"/>
    <w:rsid w:val="00BD3044"/>
    <w:rPr>
      <w:rFonts w:ascii="Tahoma" w:hAnsi="Tahoma" w:eastAsiaTheme="minorHAnsi" w:cs="Tahoma"/>
      <w:color w:val="0D0D0D" w:themeColor="text1" w:themeTint="F2"/>
      <w:sz w:val="18"/>
      <w:szCs w:val="18"/>
    </w:rPr>
  </w:style>
  <w:style w:type="paragraph" w:customStyle="1" w:styleId="710">
    <w:name w:val="71ג הערות שוליים"/>
    <w:basedOn w:val="FootnoteText"/>
    <w:link w:val="71Char"/>
    <w:qFormat/>
    <w:rsid w:val="00493F55"/>
    <w:pPr>
      <w:keepLines w:val="0"/>
      <w:spacing w:after="60"/>
      <w:ind w:right="0"/>
    </w:pPr>
    <w:rPr>
      <w:rFonts w:eastAsiaTheme="minorHAnsi"/>
      <w:color w:val="0D0D0D" w:themeColor="text1" w:themeTint="F2"/>
    </w:rPr>
  </w:style>
  <w:style w:type="paragraph" w:customStyle="1" w:styleId="711">
    <w:name w:val="71ג מקרא+הערות לתרשים/לוח/תמונה"/>
    <w:basedOn w:val="710"/>
    <w:link w:val="71Char0"/>
    <w:qFormat/>
    <w:rsid w:val="00A52F64"/>
    <w:pPr>
      <w:spacing w:before="120" w:after="240" w:line="260" w:lineRule="exact"/>
    </w:pPr>
    <w:rPr>
      <w:sz w:val="16"/>
      <w:szCs w:val="16"/>
    </w:rPr>
  </w:style>
  <w:style w:type="character" w:customStyle="1" w:styleId="71Char">
    <w:name w:val="71ג הערות שוליים Char"/>
    <w:basedOn w:val="DefaultParagraphFont"/>
    <w:link w:val="710"/>
    <w:rsid w:val="00493F55"/>
    <w:rPr>
      <w:rFonts w:ascii="Tahoma" w:hAnsi="Tahoma" w:eastAsiaTheme="minorHAnsi" w:cs="Tahoma"/>
      <w:color w:val="0D0D0D" w:themeColor="text1" w:themeTint="F2"/>
      <w:sz w:val="14"/>
      <w:szCs w:val="14"/>
    </w:rPr>
  </w:style>
  <w:style w:type="character" w:customStyle="1" w:styleId="71Char0">
    <w:name w:val="71ג מקרא+הערות לתרשים/לוח/תמונה Char"/>
    <w:basedOn w:val="71Char"/>
    <w:link w:val="711"/>
    <w:rsid w:val="00A52F64"/>
    <w:rPr>
      <w:rFonts w:ascii="Tahoma" w:hAnsi="Tahoma" w:eastAsiaTheme="minorHAnsi" w:cs="Tahoma"/>
      <w:color w:val="0D0D0D" w:themeColor="text1" w:themeTint="F2"/>
      <w:sz w:val="16"/>
      <w:szCs w:val="16"/>
    </w:rPr>
  </w:style>
  <w:style w:type="paragraph" w:customStyle="1" w:styleId="712">
    <w:name w:val="71ג היפרלינק"/>
    <w:basedOn w:val="710"/>
    <w:link w:val="71Char1"/>
    <w:qFormat/>
    <w:rsid w:val="00A52F64"/>
    <w:pPr>
      <w:bidi w:val="0"/>
    </w:pPr>
    <w:rPr>
      <w:color w:val="0000FF"/>
      <w:u w:val="single"/>
    </w:rPr>
  </w:style>
  <w:style w:type="character" w:customStyle="1" w:styleId="71Char1">
    <w:name w:val="71ג היפרלינק Char"/>
    <w:basedOn w:val="71Char"/>
    <w:link w:val="712"/>
    <w:rsid w:val="00A52F64"/>
    <w:rPr>
      <w:rFonts w:ascii="Tahoma" w:hAnsi="Tahoma" w:eastAsiaTheme="minorHAnsi" w:cs="Tahoma"/>
      <w:color w:val="0000FF"/>
      <w:sz w:val="14"/>
      <w:szCs w:val="14"/>
      <w:u w:val="single"/>
    </w:rPr>
  </w:style>
  <w:style w:type="paragraph" w:customStyle="1" w:styleId="7120">
    <w:name w:val="71ג כותרת 2"/>
    <w:basedOn w:val="Normal"/>
    <w:link w:val="712Char"/>
    <w:qFormat/>
    <w:rsid w:val="001D65CE"/>
    <w:pPr>
      <w:keepNext/>
      <w:spacing w:before="360" w:after="240" w:line="440" w:lineRule="exact"/>
      <w:outlineLvl w:val="1"/>
    </w:pPr>
    <w:rPr>
      <w:rFonts w:ascii="Tahoma" w:hAnsi="Tahoma" w:eastAsiaTheme="minorHAnsi" w:cs="Tahoma"/>
      <w:b/>
      <w:bCs/>
      <w:color w:val="00305F"/>
      <w:sz w:val="40"/>
      <w:szCs w:val="34"/>
    </w:rPr>
  </w:style>
  <w:style w:type="character" w:customStyle="1" w:styleId="712Char">
    <w:name w:val="71ג כותרת 2 Char"/>
    <w:basedOn w:val="DefaultParagraphFont"/>
    <w:link w:val="7120"/>
    <w:rsid w:val="001D65CE"/>
    <w:rPr>
      <w:rFonts w:ascii="Tahoma" w:hAnsi="Tahoma" w:eastAsiaTheme="minorHAnsi" w:cs="Tahoma"/>
      <w:b/>
      <w:bCs/>
      <w:color w:val="00305F"/>
      <w:sz w:val="40"/>
      <w:szCs w:val="34"/>
    </w:rPr>
  </w:style>
  <w:style w:type="paragraph" w:customStyle="1" w:styleId="713">
    <w:name w:val="71ג מספור הערות שוליים"/>
    <w:basedOn w:val="710"/>
    <w:qFormat/>
    <w:rsid w:val="001E44CF"/>
  </w:style>
  <w:style w:type="paragraph" w:customStyle="1" w:styleId="7191">
    <w:name w:val="71ג טקסט רץ 9"/>
    <w:basedOn w:val="Normal"/>
    <w:link w:val="719Char"/>
    <w:qFormat/>
    <w:rsid w:val="0010564D"/>
    <w:pPr>
      <w:spacing w:after="180" w:line="260" w:lineRule="exact"/>
      <w:jc w:val="both"/>
      <w:outlineLvl w:val="3"/>
    </w:pPr>
    <w:rPr>
      <w:rFonts w:ascii="Tahoma" w:hAnsi="Tahoma" w:eastAsiaTheme="minorHAnsi" w:cs="Tahoma"/>
      <w:color w:val="0D0D0D" w:themeColor="text1" w:themeTint="F2"/>
      <w:sz w:val="18"/>
      <w:szCs w:val="18"/>
    </w:rPr>
  </w:style>
  <w:style w:type="character" w:customStyle="1" w:styleId="719Char">
    <w:name w:val="71ג טקסט רץ 9 Char"/>
    <w:basedOn w:val="DefaultParagraphFont"/>
    <w:link w:val="7191"/>
    <w:rsid w:val="0010564D"/>
    <w:rPr>
      <w:rFonts w:ascii="Tahoma" w:hAnsi="Tahoma" w:eastAsiaTheme="minorHAnsi" w:cs="Tahoma"/>
      <w:color w:val="0D0D0D" w:themeColor="text1" w:themeTint="F2"/>
      <w:sz w:val="18"/>
      <w:szCs w:val="18"/>
    </w:rPr>
  </w:style>
  <w:style w:type="paragraph" w:customStyle="1" w:styleId="71612">
    <w:name w:val="71ג כותרת 6_12"/>
    <w:basedOn w:val="Normal"/>
    <w:link w:val="716120"/>
    <w:qFormat/>
    <w:rsid w:val="0010564D"/>
    <w:pPr>
      <w:spacing w:before="240" w:after="180" w:line="240" w:lineRule="atLeast"/>
    </w:pPr>
    <w:rPr>
      <w:rFonts w:ascii="Tahoma" w:hAnsi="Tahoma" w:eastAsiaTheme="minorHAnsi" w:cs="Tahoma"/>
      <w:color w:val="00305F"/>
      <w:sz w:val="24"/>
      <w:szCs w:val="24"/>
    </w:rPr>
  </w:style>
  <w:style w:type="character" w:customStyle="1" w:styleId="716120">
    <w:name w:val="71ג כותרת 6_12 תו"/>
    <w:basedOn w:val="DefaultParagraphFont"/>
    <w:link w:val="71612"/>
    <w:rsid w:val="0010564D"/>
    <w:rPr>
      <w:rFonts w:ascii="Tahoma" w:hAnsi="Tahoma" w:eastAsiaTheme="minorHAnsi" w:cs="Tahoma"/>
      <w:color w:val="00305F"/>
      <w:sz w:val="24"/>
      <w:szCs w:val="24"/>
    </w:rPr>
  </w:style>
  <w:style w:type="paragraph" w:customStyle="1" w:styleId="714">
    <w:name w:val="71ג מספור בתוך קוביה"/>
    <w:basedOn w:val="ListParagraph"/>
    <w:qFormat/>
    <w:rsid w:val="00463924"/>
    <w:pPr>
      <w:numPr>
        <w:numId w:val="6"/>
      </w:numPr>
      <w:pBdr>
        <w:top w:val="single" w:sz="18" w:space="4" w:color="EDF1FA"/>
        <w:left w:val="single" w:sz="18" w:space="11" w:color="EDF1FA"/>
        <w:bottom w:val="single" w:sz="18" w:space="6" w:color="EDF1FA"/>
        <w:right w:val="single" w:sz="18" w:space="11" w:color="EDF1FA"/>
      </w:pBdr>
      <w:shd w:val="solid" w:color="EDF1FA" w:fill="CEEAF5"/>
      <w:autoSpaceDE/>
      <w:autoSpaceDN/>
      <w:adjustRightInd/>
      <w:spacing w:after="180" w:line="260" w:lineRule="exact"/>
      <w:ind w:left="397" w:right="227" w:hanging="397"/>
    </w:pPr>
    <w:rPr>
      <w:rFonts w:eastAsiaTheme="minorHAnsi"/>
      <w:color w:val="0D0D0D" w:themeColor="text1" w:themeTint="F2"/>
      <w:sz w:val="18"/>
      <w:szCs w:val="18"/>
    </w:rPr>
  </w:style>
  <w:style w:type="paragraph" w:customStyle="1" w:styleId="2021">
    <w:name w:val="כיתוב בתוך טבלת תקציר 2021"/>
    <w:basedOn w:val="Normal"/>
    <w:link w:val="2021Char"/>
    <w:qFormat/>
    <w:rsid w:val="00041AEB"/>
    <w:pPr>
      <w:spacing w:after="180" w:line="240" w:lineRule="auto"/>
      <w:outlineLvl w:val="0"/>
    </w:pPr>
    <w:rPr>
      <w:rFonts w:ascii="Tahoma" w:hAnsi="Tahoma" w:cs="Tahoma"/>
      <w:color w:val="0D0D0D" w:themeColor="text1" w:themeTint="F2"/>
      <w:w w:val="90"/>
      <w:sz w:val="18"/>
      <w:szCs w:val="18"/>
    </w:rPr>
  </w:style>
  <w:style w:type="character" w:customStyle="1" w:styleId="2021Char">
    <w:name w:val="כיתוב בתוך טבלת תקציר 2021 Char"/>
    <w:basedOn w:val="DefaultParagraphFont"/>
    <w:link w:val="2021"/>
    <w:rsid w:val="00041AEB"/>
    <w:rPr>
      <w:rFonts w:ascii="Tahoma" w:hAnsi="Tahoma" w:cs="Tahoma"/>
      <w:color w:val="0D0D0D" w:themeColor="text1" w:themeTint="F2"/>
      <w:w w:val="90"/>
      <w:sz w:val="18"/>
      <w:szCs w:val="18"/>
    </w:rPr>
  </w:style>
  <w:style w:type="character" w:customStyle="1" w:styleId="24">
    <w:name w:val="כותרת תחתונה תו2"/>
    <w:basedOn w:val="DefaultParagraphFont"/>
    <w:uiPriority w:val="99"/>
    <w:rsid w:val="00B56681"/>
  </w:style>
  <w:style w:type="paragraph" w:customStyle="1" w:styleId="715">
    <w:name w:val="71ג הזחה אותיות"/>
    <w:basedOn w:val="ListParagraph"/>
    <w:qFormat/>
    <w:rsid w:val="007E0204"/>
    <w:pPr>
      <w:numPr>
        <w:numId w:val="8"/>
      </w:numPr>
      <w:autoSpaceDE/>
      <w:autoSpaceDN/>
      <w:adjustRightInd/>
      <w:spacing w:after="180" w:line="260" w:lineRule="exact"/>
      <w:ind w:left="794" w:hanging="397"/>
      <w:contextualSpacing/>
    </w:pPr>
    <w:rPr>
      <w:rFonts w:eastAsiaTheme="minorHAnsi"/>
      <w:color w:val="0D0D0D" w:themeColor="text1" w:themeTint="F2"/>
      <w:sz w:val="18"/>
      <w:szCs w:val="18"/>
    </w:rPr>
  </w:style>
  <w:style w:type="paragraph" w:customStyle="1" w:styleId="font2">
    <w:name w:val="font_2"/>
    <w:basedOn w:val="Normal"/>
    <w:rsid w:val="007E020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17Char">
    <w:name w:val="71 ג כותרת 7 הדגשת קטע בטקסט רץ Char"/>
    <w:basedOn w:val="7190"/>
    <w:link w:val="717"/>
    <w:rsid w:val="00A8593C"/>
    <w:rPr>
      <w:rFonts w:ascii="Tahoma" w:hAnsi="Tahoma" w:eastAsiaTheme="minorHAnsi" w:cs="Tahoma"/>
      <w:bCs/>
      <w:color w:val="0D0D0D" w:themeColor="text1" w:themeTint="F2"/>
      <w:sz w:val="18"/>
      <w:szCs w:val="18"/>
    </w:rPr>
  </w:style>
  <w:style w:type="paragraph" w:customStyle="1" w:styleId="717">
    <w:name w:val="71 ג כותרת 7 הדגשת קטע בטקסט רץ"/>
    <w:basedOn w:val="719"/>
    <w:link w:val="717Char"/>
    <w:qFormat/>
    <w:rsid w:val="00A8593C"/>
    <w:rPr>
      <w:rFonts w:eastAsiaTheme="minorEastAsia"/>
      <w:bCs/>
    </w:rPr>
  </w:style>
  <w:style w:type="paragraph" w:customStyle="1" w:styleId="716">
    <w:name w:val="71ג הזחה ראשונה ללא מספר"/>
    <w:basedOn w:val="Normal"/>
    <w:qFormat/>
    <w:rsid w:val="008874F2"/>
    <w:pPr>
      <w:spacing w:after="180" w:line="260" w:lineRule="exact"/>
      <w:ind w:left="397"/>
      <w:jc w:val="both"/>
    </w:pPr>
    <w:rPr>
      <w:rFonts w:ascii="Tahoma" w:hAnsi="Tahoma" w:eastAsiaTheme="minorHAnsi" w:cs="Tahoma"/>
      <w:color w:val="0D0D0D" w:themeColor="text1" w:themeTint="F2"/>
      <w:sz w:val="18"/>
      <w:szCs w:val="18"/>
    </w:rPr>
  </w:style>
  <w:style w:type="paragraph" w:styleId="ListBullet">
    <w:name w:val="List Bullet"/>
    <w:basedOn w:val="Normal"/>
    <w:uiPriority w:val="99"/>
    <w:unhideWhenUsed/>
    <w:rsid w:val="00424CEB"/>
    <w:pPr>
      <w:numPr>
        <w:numId w:val="25"/>
      </w:numPr>
      <w:bidi w:val="0"/>
      <w:spacing w:after="0" w:line="259" w:lineRule="auto"/>
      <w:contextualSpacing/>
      <w:jc w:val="both"/>
    </w:pPr>
    <w:rPr>
      <w:rFonts w:ascii="Times New Roman" w:hAnsi="Times New Roman" w:eastAsiaTheme="minorHAnsi" w:cs="David"/>
      <w:sz w:val="24"/>
      <w:szCs w:val="28"/>
    </w:rPr>
  </w:style>
  <w:style w:type="paragraph" w:customStyle="1" w:styleId="73R">
    <w:name w:val="73א טבלה טקסט R"/>
    <w:basedOn w:val="Normal"/>
    <w:qFormat/>
    <w:rsid w:val="00493F55"/>
    <w:pPr>
      <w:keepLines/>
      <w:spacing w:before="120" w:line="200" w:lineRule="exact"/>
    </w:pPr>
    <w:rPr>
      <w:rFonts w:ascii="Tahoma" w:hAnsi="Tahoma" w:cs="Tahoma"/>
      <w:sz w:val="16"/>
      <w:szCs w:val="16"/>
    </w:rPr>
  </w:style>
  <w:style w:type="paragraph" w:customStyle="1" w:styleId="a23">
    <w:name w:val="טקסט טבלה"/>
    <w:basedOn w:val="Normal"/>
    <w:qFormat/>
    <w:rsid w:val="00921FB5"/>
    <w:pPr>
      <w:keepLines/>
      <w:bidi w:val="0"/>
      <w:spacing w:before="120" w:line="240" w:lineRule="auto"/>
    </w:pPr>
    <w:rPr>
      <w:rFonts w:ascii="Tahoma" w:hAnsi="Tahoma" w:cs="Tahoma"/>
      <w:sz w:val="16"/>
      <w:szCs w:val="16"/>
    </w:rPr>
  </w:style>
  <w:style w:type="paragraph" w:customStyle="1" w:styleId="730">
    <w:name w:val="73א הערות שוליים"/>
    <w:basedOn w:val="FootnoteText"/>
    <w:link w:val="731"/>
    <w:qFormat/>
    <w:rsid w:val="00434B71"/>
    <w:pPr>
      <w:keepLines w:val="0"/>
      <w:spacing w:after="60" w:line="220" w:lineRule="exact"/>
      <w:ind w:right="0"/>
    </w:pPr>
    <w:rPr>
      <w:rFonts w:eastAsiaTheme="minorHAnsi"/>
      <w:color w:val="0D0D0D" w:themeColor="text1" w:themeTint="F2"/>
    </w:rPr>
  </w:style>
  <w:style w:type="character" w:customStyle="1" w:styleId="731">
    <w:name w:val="73א הערות שוליים תו"/>
    <w:basedOn w:val="DefaultParagraphFont"/>
    <w:link w:val="730"/>
    <w:rsid w:val="00434B71"/>
    <w:rPr>
      <w:rFonts w:ascii="Tahoma" w:hAnsi="Tahoma" w:eastAsiaTheme="minorHAnsi" w:cs="Tahoma"/>
      <w:color w:val="0D0D0D" w:themeColor="text1" w:themeTint="F2"/>
      <w:sz w:val="14"/>
      <w:szCs w:val="14"/>
    </w:rPr>
  </w:style>
  <w:style w:type="character" w:customStyle="1" w:styleId="34">
    <w:name w:val="טקסט הערת שוליים תו3"/>
    <w:aliases w:val=" Char תו1,F תו,FOOTNOTES תו1,Footnote Text - Sharp Char Char תו1,Footnote Text - Sharp Char תו1,Footnote Text - Sharp תו1,Footnote Text Char Char Char Char Char תו1,Footnote reference תו1,Sharp - Footnote Text תו1,fn תו1"/>
    <w:basedOn w:val="DefaultParagraphFont"/>
    <w:uiPriority w:val="99"/>
    <w:rsid w:val="002A18A0"/>
    <w:rPr>
      <w:szCs w:val="20"/>
    </w:rPr>
  </w:style>
  <w:style w:type="table" w:customStyle="1" w:styleId="4-11">
    <w:name w:val="טבלת רשת 4 - הדגשה 11"/>
    <w:basedOn w:val="TableNormal"/>
    <w:uiPriority w:val="49"/>
    <w:rsid w:val="006E013E"/>
    <w:pPr>
      <w:spacing w:after="0" w:line="240" w:lineRule="auto"/>
      <w:jc w:val="both"/>
    </w:pPr>
    <w:rPr>
      <w:rFonts w:ascii="Times New Roman" w:hAnsi="Times New Roman" w:eastAsiaTheme="minorHAnsi" w:cs="David"/>
      <w:sz w:val="20"/>
      <w:szCs w:val="24"/>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customStyle="1" w:styleId="311">
    <w:name w:val="טבלת רשת 31"/>
    <w:basedOn w:val="TableNormal"/>
    <w:uiPriority w:val="48"/>
    <w:rsid w:val="005239E3"/>
    <w:pPr>
      <w:spacing w:after="0" w:line="240" w:lineRule="auto"/>
      <w:jc w:val="both"/>
    </w:pPr>
    <w:rPr>
      <w:rFonts w:ascii="Times New Roman" w:hAnsi="Times New Roman" w:eastAsiaTheme="minorHAnsi" w:cs="David"/>
      <w:sz w:val="20"/>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732">
    <w:name w:val="73א הזחה ראשונה ללא מספר"/>
    <w:basedOn w:val="Normal"/>
    <w:qFormat/>
    <w:rsid w:val="005239E3"/>
    <w:pPr>
      <w:spacing w:after="180" w:line="260" w:lineRule="exact"/>
      <w:ind w:left="397"/>
      <w:jc w:val="both"/>
    </w:pPr>
    <w:rPr>
      <w:rFonts w:ascii="Tahoma" w:hAnsi="Tahoma" w:eastAsiaTheme="minorHAnsi" w:cs="Tahoma"/>
      <w:color w:val="0D0D0D" w:themeColor="text1" w:themeTint="F2"/>
      <w:sz w:val="18"/>
      <w:szCs w:val="18"/>
    </w:rPr>
  </w:style>
  <w:style w:type="paragraph" w:customStyle="1" w:styleId="75">
    <w:name w:val="75א הזחה שנייה עם בולטס"/>
    <w:basedOn w:val="Normal"/>
    <w:qFormat/>
    <w:rsid w:val="005239E3"/>
    <w:pPr>
      <w:numPr>
        <w:numId w:val="36"/>
      </w:numPr>
      <w:spacing w:after="180" w:line="260" w:lineRule="exact"/>
      <w:jc w:val="both"/>
    </w:pPr>
    <w:rPr>
      <w:rFonts w:ascii="Tahoma" w:hAnsi="Tahoma" w:eastAsiaTheme="minorHAnsi" w:cs="Tahoma"/>
      <w:color w:val="0D0D0D" w:themeColor="text1" w:themeTint="F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7.jpeg"/><Relationship Id="rId26" Type="http://schemas.openxmlformats.org/officeDocument/2006/relationships/header" Target="header6.xml"/><Relationship Id="rId21" Type="http://schemas.openxmlformats.org/officeDocument/2006/relationships/image" Target="media/image10.jpeg"/><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image" Target="media/image6.jpeg"/><Relationship Id="rId25" Type="http://schemas.openxmlformats.org/officeDocument/2006/relationships/header" Target="header5.xml"/><Relationship Id="rId7" Type="http://schemas.openxmlformats.org/officeDocument/2006/relationships/footer" Target="footer1.xml"/><Relationship Id="rId33" Type="http://schemas.openxmlformats.org/officeDocument/2006/relationships/customXml" Target="../customXml/item4.xml"/><Relationship Id="rId16" Type="http://schemas.openxmlformats.org/officeDocument/2006/relationships/image" Target="media/image5.jpeg"/><Relationship Id="rId2" Type="http://schemas.openxmlformats.org/officeDocument/2006/relationships/endnotes" Target="endnotes.xml"/><Relationship Id="rId20" Type="http://schemas.openxmlformats.org/officeDocument/2006/relationships/image" Target="media/image9.jpeg"/><Relationship Id="rId29" Type="http://schemas.openxmlformats.org/officeDocument/2006/relationships/numbering" Target="numbering.xml"/><Relationship Id="rId1"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emf"/><Relationship Id="rId6" Type="http://schemas.openxmlformats.org/officeDocument/2006/relationships/customXml" Target="../customXml/item1.xml"/><Relationship Id="rId32" Type="http://schemas.openxmlformats.org/officeDocument/2006/relationships/customXml" Target="../customXml/item3.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8.jpeg"/><Relationship Id="rId31" Type="http://schemas.openxmlformats.org/officeDocument/2006/relationships/customXml" Target="../customXml/item2.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header" Target="header7.xml"/><Relationship Id="rId30" Type="http://schemas.openxmlformats.org/officeDocument/2006/relationships/styles" Target="styles.xml"/><Relationship Id="rId4" Type="http://schemas.openxmlformats.org/officeDocument/2006/relationships/webSettings" Target="webSettings.xml"/><Relationship Id="rId9" Type="http://schemas.openxmlformats.org/officeDocument/2006/relationships/header" Target="header1.xml"/><Relationship Id="rId8" Type="http://schemas.openxmlformats.org/officeDocument/2006/relationships/footer" Target="footer2.xml"/></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5.xml.rels><?xml version="1.0" encoding="utf-8" standalone="yes"?><Relationships xmlns="http://schemas.openxmlformats.org/package/2006/relationships"><Relationship Id="rId1" Type="http://schemas.openxmlformats.org/officeDocument/2006/relationships/image" Target="media/image14.jpeg" /></Relationships>
</file>

<file path=word/_rels/header6.xml.rels><?xml version="1.0" encoding="utf-8" standalone="yes"?><Relationships xmlns="http://schemas.openxmlformats.org/package/2006/relationships"><Relationship Id="rId1" Type="http://schemas.openxmlformats.org/officeDocument/2006/relationships/image" Target="media/image15.jpeg" /></Relationships>
</file>

<file path=word/_rels/numbering.xml.rels><?xml version="1.0" encoding="utf-8" standalone="yes"?><Relationships xmlns="http://schemas.openxmlformats.org/package/2006/relationships"><Relationship Id="rId1" Type="http://schemas.openxmlformats.org/officeDocument/2006/relationships/image" Target="media/image16.png" /></Relationships>
</file>

<file path=word/theme/_rels/theme1.xml.rels><?xml version="1.0" encoding="utf-8" standalone="yes"?><Relationships xmlns="http://schemas.openxmlformats.org/package/2006/relationships"><Relationship Id="rId1" Type="http://schemas.openxmlformats.org/officeDocument/2006/relationships/image" Target="../media/image18.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1DF395-4A6D-4BC0-978A-D3BFA99824FB}">
  <ds:schemaRefs>
    <ds:schemaRef ds:uri="http://schemas.openxmlformats.org/officeDocument/2006/bibliography"/>
  </ds:schemaRefs>
</ds:datastoreItem>
</file>

<file path=customXml/itemProps2.xml><?xml version="1.0" encoding="utf-8"?>
<ds:datastoreItem xmlns:ds="http://schemas.openxmlformats.org/officeDocument/2006/customXml" ds:itemID="{FB697771-1AF2-4C30-81BF-C1B41AB85382}"/>
</file>

<file path=customXml/itemProps3.xml><?xml version="1.0" encoding="utf-8"?>
<ds:datastoreItem xmlns:ds="http://schemas.openxmlformats.org/officeDocument/2006/customXml" ds:itemID="{FF4A448A-4D5D-48D7-A2CE-2EEA1472DDED}"/>
</file>

<file path=customXml/itemProps4.xml><?xml version="1.0" encoding="utf-8"?>
<ds:datastoreItem xmlns:ds="http://schemas.openxmlformats.org/officeDocument/2006/customXml" ds:itemID="{8562EF1E-AC8E-4913-8786-D155E2188DF0}"/>
</file>

<file path=docProps/app.xml><?xml version="1.0" encoding="utf-8"?>
<Properties xmlns="http://schemas.openxmlformats.org/officeDocument/2006/extended-properties" xmlns:vt="http://schemas.openxmlformats.org/officeDocument/2006/docPropsVTypes">
  <Template>Normal.dotm</Template>
  <TotalTime>10</TotalTime>
  <Pages>14</Pages>
  <Words>4640</Words>
  <Characters>23201</Characters>
  <Application>Microsoft Office Word</Application>
  <DocSecurity>0</DocSecurity>
  <Lines>193</Lines>
  <Paragraphs>55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Outsourcing of Social Services by the Ministry of Welfare and Social Affairs</dc:title>
  <cp:lastModifiedBy>studio er</cp:lastModifiedBy>
  <cp:revision>10</cp:revision>
  <cp:lastPrinted>2022-08-30T09:23:00Z</cp:lastPrinted>
  <dcterms:created xsi:type="dcterms:W3CDTF">2025-02-17T12:06:00Z</dcterms:created>
  <dcterms:modified xsi:type="dcterms:W3CDTF">2025-03-20T08:16:00Z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