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ody>
    <w:bookmarkStart w:id="0" w:name="_Toc349122061"/>
    <w:bookmarkStart w:id="1" w:name="_Toc349136480"/>
    <w:bookmarkStart w:id="2" w:name="_Toc352831083"/>
    <w:bookmarkStart w:id="3" w:name="_Toc354324568"/>
    <w:bookmarkStart w:id="4" w:name="_Toc354661923"/>
    <w:p w:rsidR="00E077B7" w:rsidRPr="00590929" w:rsidP="003323CD" w14:paraId="44EF2C79" w14:textId="4D2D2D5B">
      <w:pPr>
        <w:spacing w:line="240" w:lineRule="exact"/>
        <w:jc w:val="both"/>
        <w:rPr>
          <w:rFonts w:ascii="Tahoma" w:hAnsi="Tahoma" w:cs="Tahoma"/>
          <w:sz w:val="17"/>
          <w:szCs w:val="18"/>
          <w:rtl/>
        </w:rPr>
      </w:pPr>
      <w:r>
        <w:rPr>
          <w:noProof/>
          <w:szCs w:val="18"/>
        </w:rPr>
        <mc:AlternateContent>
          <mc:Choice Requires="wps">
            <w:drawing>
              <wp:anchor distT="0" distB="0" distL="114300" distR="114300" simplePos="0" relativeHeight="251660288" behindDoc="0" locked="0" layoutInCell="1" allowOverlap="1">
                <wp:simplePos x="0" y="0"/>
                <wp:positionH relativeFrom="column">
                  <wp:posOffset>-314079</wp:posOffset>
                </wp:positionH>
                <wp:positionV relativeFrom="paragraph">
                  <wp:posOffset>-2140585</wp:posOffset>
                </wp:positionV>
                <wp:extent cx="6436840" cy="10836533"/>
                <wp:effectExtent l="12700" t="12700" r="15240" b="952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6436840" cy="10836533"/>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6" style="width:506.85pt;height:853.25pt;margin-top:-168.55pt;margin-left:-24.75pt;mso-height-percent:0;mso-height-relative:margin;mso-width-percent:0;mso-width-relative:margin;mso-wrap-distance-bottom:0;mso-wrap-distance-left:9pt;mso-wrap-distance-right:9pt;mso-wrap-distance-top:0;mso-wrap-style:square;position:absolute;visibility:visible;v-text-anchor:middle;z-index:251661312" fillcolor="#00305f" strokecolor="#073662" strokeweight="1.5pt">
                <v:stroke endcap="round"/>
              </v:rect>
            </w:pict>
          </mc:Fallback>
        </mc:AlternateContent>
      </w:r>
      <w:r w:rsidR="00316D38">
        <w:rPr>
          <w:rFonts w:ascii="Tahoma" w:hAnsi="Tahoma" w:cs="Tahoma"/>
          <w:noProof/>
          <w:sz w:val="17"/>
          <w:szCs w:val="18"/>
        </w:rPr>
        <mc:AlternateContent>
          <mc:Choice Requires="wps">
            <w:drawing>
              <wp:anchor distT="0" distB="0" distL="114300" distR="114300" simplePos="0" relativeHeight="251658240" behindDoc="0" locked="0" layoutInCell="1" allowOverlap="1">
                <wp:simplePos x="0" y="0"/>
                <wp:positionH relativeFrom="column">
                  <wp:posOffset>1550035</wp:posOffset>
                </wp:positionH>
                <wp:positionV relativeFrom="paragraph">
                  <wp:posOffset>1248410</wp:posOffset>
                </wp:positionV>
                <wp:extent cx="53975" cy="2734945"/>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53975" cy="27349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7" style="width:4.25pt;height:215.35pt;margin-top:98.3pt;margin-left:122.05pt;mso-height-percent:0;mso-height-relative:margin;mso-width-percent:0;mso-width-relative:margin;mso-wrap-distance-bottom:0;mso-wrap-distance-left:9pt;mso-wrap-distance-right:9pt;mso-wrap-distance-top:0;mso-wrap-style:square;position:absolute;visibility:visible;v-text-anchor:middle;z-index:251659264" fillcolor="white" stroked="f" strokeweight="1.5pt">
                <v:stroke endcap="round"/>
              </v:rect>
            </w:pict>
          </mc:Fallback>
        </mc:AlternateContent>
      </w:r>
      <w:r w:rsidR="00316D38">
        <w:rPr>
          <w:rFonts w:ascii="Tahoma" w:hAnsi="Tahoma" w:cs="Tahoma"/>
          <w:sz w:val="17"/>
          <w:szCs w:val="18"/>
          <w:rtl/>
        </w:rPr>
        <w:softHyphen/>
      </w:r>
      <w:r w:rsidR="00316D38">
        <w:rPr>
          <w:rFonts w:ascii="Tahoma" w:hAnsi="Tahoma" w:cs="Tahoma"/>
          <w:sz w:val="17"/>
          <w:szCs w:val="18"/>
          <w:rtl/>
        </w:rPr>
        <w:softHyphen/>
      </w:r>
    </w:p>
    <w:p w:rsidR="006C5F46" w:rsidRPr="00E077B7" w:rsidP="00E077B7" w14:paraId="268A03C9" w14:textId="700EA5D4">
      <w:pPr>
        <w:pStyle w:val="NAME"/>
        <w:rPr>
          <w:rtl/>
        </w:rPr>
        <w:sectPr w:rsidSect="00D05191">
          <w:headerReference w:type="even" r:id="rId7"/>
          <w:headerReference w:type="default" r:id="rId8"/>
          <w:footerReference w:type="even" r:id="rId9"/>
          <w:footerReference w:type="default" r:id="rId10"/>
          <w:headerReference w:type="first" r:id="rId11"/>
          <w:footerReference w:type="first" r:id="rId12"/>
          <w:pgSz w:w="11906" w:h="16838" w:code="9"/>
          <w:pgMar w:top="3119" w:right="2268" w:bottom="2268" w:left="2268" w:header="1985" w:footer="709" w:gutter="0"/>
          <w:pgNumType w:start="1"/>
          <w:cols w:space="708"/>
          <w:titlePg/>
          <w:bidi/>
          <w:rtlGutter/>
          <w:docGrid w:linePitch="360"/>
        </w:sectPr>
      </w:pPr>
      <w:r>
        <w:rPr>
          <w:noProof/>
          <w:sz w:val="22"/>
          <w:szCs w:val="22"/>
          <w:rtl/>
          <w:lang w:val="he-IL"/>
        </w:rPr>
        <mc:AlternateContent>
          <mc:Choice Requires="wps">
            <w:drawing>
              <wp:anchor distT="0" distB="0" distL="114300" distR="114300" simplePos="0" relativeHeight="251664384" behindDoc="0" locked="0" layoutInCell="1" allowOverlap="1">
                <wp:simplePos x="0" y="0"/>
                <wp:positionH relativeFrom="column">
                  <wp:posOffset>1587365</wp:posOffset>
                </wp:positionH>
                <wp:positionV relativeFrom="paragraph">
                  <wp:posOffset>1020681</wp:posOffset>
                </wp:positionV>
                <wp:extent cx="0" cy="3761673"/>
                <wp:effectExtent l="25400" t="25400" r="25400" b="36195"/>
                <wp:wrapNone/>
                <wp:docPr id="1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761673"/>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8" style="mso-height-percent:0;mso-height-relative:margin;mso-width-percent:0;mso-width-relative:margin;mso-wrap-distance-bottom:0;mso-wrap-distance-left:9pt;mso-wrap-distance-right:9pt;mso-wrap-distance-top:0;mso-wrap-style:square;position:absolute;visibility:visible;z-index:251665408" from="125pt,80.35pt" to="125pt,376.55pt" strokecolor="white" strokeweight="4pt">
                <v:stroke endcap="round"/>
              </v:line>
            </w:pict>
          </mc:Fallback>
        </mc:AlternateContent>
      </w:r>
      <w:r w:rsidRPr="00E539EA" w:rsidR="00191BA6">
        <w:rPr>
          <w:noProof/>
          <w:sz w:val="17"/>
          <w:szCs w:val="18"/>
        </w:rPr>
        <mc:AlternateContent>
          <mc:Choice Requires="wps">
            <w:drawing>
              <wp:anchor distT="0" distB="0" distL="114300" distR="114300" simplePos="0" relativeHeight="251669504" behindDoc="0" locked="0" layoutInCell="1" allowOverlap="1">
                <wp:simplePos x="0" y="0"/>
                <wp:positionH relativeFrom="column">
                  <wp:posOffset>1767205</wp:posOffset>
                </wp:positionH>
                <wp:positionV relativeFrom="paragraph">
                  <wp:posOffset>2602865</wp:posOffset>
                </wp:positionV>
                <wp:extent cx="3153410" cy="2560320"/>
                <wp:effectExtent l="0" t="0" r="0" b="0"/>
                <wp:wrapNone/>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53410" cy="2560320"/>
                        </a:xfrm>
                        <a:prstGeom prst="rect">
                          <a:avLst/>
                        </a:prstGeom>
                        <a:noFill/>
                        <a:ln w="9525">
                          <a:noFill/>
                          <a:miter lim="800000"/>
                          <a:headEnd/>
                          <a:tailEnd/>
                        </a:ln>
                      </wps:spPr>
                      <wps:txbx>
                        <w:txbxContent>
                          <w:p w:rsidR="00355057" w:rsidRPr="00950E0A" w:rsidP="00355057" w14:textId="726DAEE9">
                            <w:pPr>
                              <w:bidi w:val="0"/>
                              <w:spacing w:after="0" w:line="240" w:lineRule="auto"/>
                              <w:rPr>
                                <w:rFonts w:asciiTheme="majorBidi" w:hAnsiTheme="majorBidi" w:cstheme="majorBidi"/>
                                <w:b/>
                                <w:bCs/>
                                <w:sz w:val="28"/>
                                <w:szCs w:val="28"/>
                                <w:rtl/>
                              </w:rPr>
                            </w:pPr>
                            <w:r w:rsidRPr="00D064B0">
                              <w:rPr>
                                <w:rFonts w:ascii="Tahoma" w:hAnsi="Tahoma" w:cs="Tahoma"/>
                                <w:b/>
                                <w:bCs/>
                                <w:color w:val="FFFFFF" w:themeColor="background1"/>
                                <w:spacing w:val="6"/>
                                <w:sz w:val="40"/>
                                <w:szCs w:val="40"/>
                              </w:rPr>
                              <w:t>Cellular Communication Infrastructure</w:t>
                            </w:r>
                            <w:r>
                              <w:rPr>
                                <w:rFonts w:ascii="Tahoma" w:hAnsi="Tahoma" w:cs="Tahoma" w:hint="cs"/>
                                <w:b/>
                                <w:bCs/>
                                <w:color w:val="FFFFFF" w:themeColor="background1"/>
                                <w:spacing w:val="6"/>
                                <w:sz w:val="40"/>
                                <w:szCs w:val="40"/>
                                <w:rtl/>
                              </w:rPr>
                              <w:t xml:space="preserve"> </w:t>
                            </w:r>
                          </w:p>
                          <w:p w:rsidR="00E16003" w:rsidRPr="00950E0A" w:rsidP="00E16003" w14:textId="7DF0ECB1">
                            <w:pPr>
                              <w:bidi w:val="0"/>
                              <w:spacing w:after="0" w:line="600" w:lineRule="exact"/>
                              <w:rPr>
                                <w:rFonts w:asciiTheme="majorBidi" w:hAnsiTheme="majorBidi" w:cstheme="majorBidi"/>
                                <w:b/>
                                <w:bCs/>
                                <w:sz w:val="28"/>
                                <w:szCs w:val="28"/>
                                <w:rtl/>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width:248.3pt;height:201.6pt;margin-top:204.95pt;margin-left:139.15pt;mso-height-percent:0;mso-height-relative:margin;mso-width-percent:0;mso-width-relative:margin;mso-wrap-distance-bottom:0;mso-wrap-distance-left:9pt;mso-wrap-distance-right:9pt;mso-wrap-distance-top:0;mso-wrap-style:square;position:absolute;visibility:visible;v-text-anchor:top;z-index:251670528" filled="f" stroked="f">
                <v:textbox>
                  <w:txbxContent>
                    <w:p w:rsidR="00355057" w:rsidRPr="00950E0A" w:rsidP="00355057" w14:paraId="59184F06" w14:textId="726DAEE9">
                      <w:pPr>
                        <w:bidi w:val="0"/>
                        <w:spacing w:after="0" w:line="240" w:lineRule="auto"/>
                        <w:rPr>
                          <w:rFonts w:asciiTheme="majorBidi" w:hAnsiTheme="majorBidi" w:cstheme="majorBidi"/>
                          <w:b/>
                          <w:bCs/>
                          <w:sz w:val="28"/>
                          <w:szCs w:val="28"/>
                          <w:rtl/>
                        </w:rPr>
                      </w:pPr>
                      <w:r w:rsidRPr="00D064B0">
                        <w:rPr>
                          <w:rFonts w:ascii="Tahoma" w:hAnsi="Tahoma" w:cs="Tahoma"/>
                          <w:b/>
                          <w:bCs/>
                          <w:color w:val="FFFFFF" w:themeColor="background1"/>
                          <w:spacing w:val="6"/>
                          <w:sz w:val="40"/>
                          <w:szCs w:val="40"/>
                        </w:rPr>
                        <w:t>Cellular Communication Infrastructure</w:t>
                      </w:r>
                      <w:r>
                        <w:rPr>
                          <w:rFonts w:ascii="Tahoma" w:hAnsi="Tahoma" w:cs="Tahoma" w:hint="cs"/>
                          <w:b/>
                          <w:bCs/>
                          <w:color w:val="FFFFFF" w:themeColor="background1"/>
                          <w:spacing w:val="6"/>
                          <w:sz w:val="40"/>
                          <w:szCs w:val="40"/>
                          <w:rtl/>
                        </w:rPr>
                        <w:t xml:space="preserve"> </w:t>
                      </w:r>
                    </w:p>
                    <w:p w:rsidR="00E16003" w:rsidRPr="00950E0A" w:rsidP="00E16003" w14:paraId="28E63122" w14:textId="7DF0ECB1">
                      <w:pPr>
                        <w:bidi w:val="0"/>
                        <w:spacing w:after="0" w:line="600" w:lineRule="exact"/>
                        <w:rPr>
                          <w:rFonts w:asciiTheme="majorBidi" w:hAnsiTheme="majorBidi" w:cstheme="majorBidi"/>
                          <w:b/>
                          <w:bCs/>
                          <w:sz w:val="28"/>
                          <w:szCs w:val="28"/>
                          <w:rtl/>
                        </w:rPr>
                      </w:pPr>
                    </w:p>
                  </w:txbxContent>
                </v:textbox>
              </v:shape>
            </w:pict>
          </mc:Fallback>
        </mc:AlternateContent>
      </w:r>
      <w:r w:rsidRPr="00E539EA" w:rsidR="00191BA6">
        <w:rPr>
          <w:noProof/>
          <w:sz w:val="17"/>
          <w:szCs w:val="18"/>
        </w:rPr>
        <mc:AlternateContent>
          <mc:Choice Requires="wps">
            <w:drawing>
              <wp:anchor distT="0" distB="0" distL="114300" distR="114300" simplePos="0" relativeHeight="251667456" behindDoc="0" locked="0" layoutInCell="1" allowOverlap="1">
                <wp:simplePos x="0" y="0"/>
                <wp:positionH relativeFrom="column">
                  <wp:posOffset>1775460</wp:posOffset>
                </wp:positionH>
                <wp:positionV relativeFrom="paragraph">
                  <wp:posOffset>2166620</wp:posOffset>
                </wp:positionV>
                <wp:extent cx="3226435" cy="317500"/>
                <wp:effectExtent l="0" t="0" r="0" b="0"/>
                <wp:wrapNone/>
                <wp:docPr id="1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6435" cy="317500"/>
                        </a:xfrm>
                        <a:prstGeom prst="rect">
                          <a:avLst/>
                        </a:prstGeom>
                        <a:noFill/>
                        <a:ln w="9525">
                          <a:noFill/>
                          <a:miter lim="800000"/>
                          <a:headEnd/>
                          <a:tailEnd/>
                        </a:ln>
                      </wps:spPr>
                      <wps:txbx>
                        <w:txbxContent>
                          <w:p w:rsidR="00E16003" w:rsidRPr="00463924" w:rsidP="004736B8" w14:textId="2084AF7A">
                            <w:pPr>
                              <w:bidi w:val="0"/>
                              <w:spacing w:line="276" w:lineRule="auto"/>
                              <w:rPr>
                                <w:rFonts w:ascii="Tahoma" w:hAnsi="Tahoma" w:cs="Tahoma"/>
                                <w:color w:val="FFFFFF" w:themeColor="background1"/>
                                <w:spacing w:val="6"/>
                                <w:sz w:val="28"/>
                                <w:szCs w:val="28"/>
                                <w:rtl/>
                                <w:lang w:val="en"/>
                              </w:rPr>
                            </w:pPr>
                            <w:r w:rsidRPr="00D064B0">
                              <w:rPr>
                                <w:rFonts w:ascii="Tahoma" w:hAnsi="Tahoma" w:cs="Tahoma"/>
                                <w:color w:val="FFFFFF" w:themeColor="background1"/>
                                <w:sz w:val="28"/>
                                <w:szCs w:val="28"/>
                                <w:lang w:val="en"/>
                              </w:rPr>
                              <w:t>Ministry of Communications</w:t>
                            </w:r>
                            <w:r>
                              <w:rPr>
                                <w:rFonts w:ascii="Tahoma" w:hAnsi="Tahoma" w:cs="Tahoma" w:hint="cs"/>
                                <w:color w:val="FFFFFF" w:themeColor="background1"/>
                                <w:sz w:val="28"/>
                                <w:szCs w:val="28"/>
                                <w:rtl/>
                                <w:lang w:val="en"/>
                              </w:rPr>
                              <w:t xml:space="preserve"> </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254.05pt;height:25pt;margin-top:170.6pt;margin-left:139.8pt;mso-height-percent:0;mso-height-relative:margin;mso-width-percent:0;mso-width-relative:margin;mso-wrap-distance-bottom:0;mso-wrap-distance-left:9pt;mso-wrap-distance-right:9pt;mso-wrap-distance-top:0;mso-wrap-style:square;position:absolute;visibility:visible;v-text-anchor:top;z-index:251668480" filled="f" stroked="f">
                <v:textbox>
                  <w:txbxContent>
                    <w:p w:rsidR="00E16003" w:rsidRPr="00463924" w:rsidP="004736B8" w14:paraId="5EE59732" w14:textId="2084AF7A">
                      <w:pPr>
                        <w:bidi w:val="0"/>
                        <w:spacing w:line="276" w:lineRule="auto"/>
                        <w:rPr>
                          <w:rFonts w:ascii="Tahoma" w:hAnsi="Tahoma" w:cs="Tahoma"/>
                          <w:color w:val="FFFFFF" w:themeColor="background1"/>
                          <w:spacing w:val="6"/>
                          <w:sz w:val="28"/>
                          <w:szCs w:val="28"/>
                          <w:rtl/>
                          <w:lang w:val="en"/>
                        </w:rPr>
                      </w:pPr>
                      <w:r w:rsidRPr="00D064B0">
                        <w:rPr>
                          <w:rFonts w:ascii="Tahoma" w:hAnsi="Tahoma" w:cs="Tahoma"/>
                          <w:color w:val="FFFFFF" w:themeColor="background1"/>
                          <w:sz w:val="28"/>
                          <w:szCs w:val="28"/>
                          <w:lang w:val="en"/>
                        </w:rPr>
                        <w:t>Ministry of Communications</w:t>
                      </w:r>
                      <w:r>
                        <w:rPr>
                          <w:rFonts w:ascii="Tahoma" w:hAnsi="Tahoma" w:cs="Tahoma" w:hint="cs"/>
                          <w:color w:val="FFFFFF" w:themeColor="background1"/>
                          <w:sz w:val="28"/>
                          <w:szCs w:val="28"/>
                          <w:rtl/>
                          <w:lang w:val="en"/>
                        </w:rPr>
                        <w:t xml:space="preserve"> </w:t>
                      </w:r>
                    </w:p>
                  </w:txbxContent>
                </v:textbox>
              </v:shape>
            </w:pict>
          </mc:Fallback>
        </mc:AlternateContent>
      </w:r>
      <w:r w:rsidR="00191BA6">
        <w:rPr>
          <w:noProof/>
          <w:sz w:val="22"/>
          <w:szCs w:val="22"/>
          <w:rtl/>
          <w:lang w:val="he-IL"/>
        </w:rPr>
        <mc:AlternateContent>
          <mc:Choice Requires="wps">
            <w:drawing>
              <wp:anchor distT="0" distB="0" distL="114300" distR="114300" simplePos="0" relativeHeight="251675648" behindDoc="0" locked="0" layoutInCell="1" allowOverlap="1">
                <wp:simplePos x="0" y="0"/>
                <wp:positionH relativeFrom="column">
                  <wp:posOffset>1849755</wp:posOffset>
                </wp:positionH>
                <wp:positionV relativeFrom="paragraph">
                  <wp:posOffset>2554070</wp:posOffset>
                </wp:positionV>
                <wp:extent cx="3074670" cy="0"/>
                <wp:effectExtent l="12700" t="12700" r="24130" b="12700"/>
                <wp:wrapNone/>
                <wp:docPr id="24"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307467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1" style="flip:x y;mso-height-percent:0;mso-height-relative:margin;mso-width-percent:0;mso-width-relative:margin;mso-wrap-distance-bottom:0;mso-wrap-distance-left:9pt;mso-wrap-distance-right:9pt;mso-wrap-distance-top:0;mso-wrap-style:square;position:absolute;visibility:visible;z-index:251676672" from="145.65pt,201.1pt" to="387.75pt,201.1pt" strokecolor="white" strokeweight="1.5pt">
                <v:stroke endcap="round"/>
              </v:line>
            </w:pict>
          </mc:Fallback>
        </mc:AlternateContent>
      </w:r>
      <w:r w:rsidRPr="00E539EA" w:rsidR="00191BA6">
        <w:rPr>
          <w:noProof/>
          <w:sz w:val="17"/>
          <w:szCs w:val="18"/>
        </w:rPr>
        <mc:AlternateContent>
          <mc:Choice Requires="wps">
            <w:drawing>
              <wp:anchor distT="0" distB="0" distL="114300" distR="114300" simplePos="0" relativeHeight="251671552" behindDoc="0" locked="0" layoutInCell="1" allowOverlap="1">
                <wp:simplePos x="0" y="0"/>
                <wp:positionH relativeFrom="column">
                  <wp:posOffset>1774658</wp:posOffset>
                </wp:positionH>
                <wp:positionV relativeFrom="paragraph">
                  <wp:posOffset>1371434</wp:posOffset>
                </wp:positionV>
                <wp:extent cx="3226435" cy="231006"/>
                <wp:effectExtent l="0" t="0" r="0" b="0"/>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6435" cy="231006"/>
                        </a:xfrm>
                        <a:prstGeom prst="rect">
                          <a:avLst/>
                        </a:prstGeom>
                        <a:noFill/>
                        <a:ln w="9525">
                          <a:noFill/>
                          <a:miter lim="800000"/>
                          <a:headEnd/>
                          <a:tailEnd/>
                        </a:ln>
                      </wps:spPr>
                      <wps:txbx>
                        <w:txbxContent>
                          <w:p w:rsidR="00E16003" w:rsidRPr="00CE2FA5" w:rsidP="00D546FF" w14:textId="5A614326">
                            <w:pPr>
                              <w:bidi w:val="0"/>
                              <w:rPr>
                                <w:rFonts w:ascii="Tahoma" w:hAnsi="Tahoma" w:cs="Tahoma"/>
                                <w:color w:val="FFFFFF" w:themeColor="background1"/>
                                <w:spacing w:val="6"/>
                                <w:sz w:val="17"/>
                                <w:szCs w:val="17"/>
                              </w:rPr>
                            </w:pPr>
                            <w:r w:rsidRPr="00DB54AF">
                              <w:rPr>
                                <w:rFonts w:ascii="Tahoma" w:hAnsi="Tahoma" w:cs="Tahoma"/>
                                <w:color w:val="FFFFFF" w:themeColor="background1"/>
                                <w:spacing w:val="6"/>
                                <w:sz w:val="17"/>
                                <w:szCs w:val="17"/>
                              </w:rPr>
                              <w:t>Report of the State Comptroller of Israel</w:t>
                            </w:r>
                            <w:r w:rsidR="0028524C">
                              <w:rPr>
                                <w:rFonts w:ascii="Tahoma" w:hAnsi="Tahoma" w:cs="Tahoma" w:hint="cs"/>
                                <w:color w:val="FFFFFF" w:themeColor="background1"/>
                                <w:spacing w:val="6"/>
                                <w:sz w:val="17"/>
                                <w:szCs w:val="17"/>
                                <w:rtl/>
                              </w:rPr>
                              <w:t xml:space="preserve"> </w:t>
                            </w:r>
                            <w:r w:rsidRPr="00DB54AF">
                              <w:rPr>
                                <w:rFonts w:ascii="Tahoma" w:hAnsi="Tahoma" w:cs="Tahoma"/>
                                <w:color w:val="FFFFFF" w:themeColor="background1"/>
                                <w:spacing w:val="6"/>
                                <w:sz w:val="17"/>
                                <w:szCs w:val="17"/>
                              </w:rPr>
                              <w:t xml:space="preserve">| </w:t>
                            </w:r>
                            <w:r w:rsidRPr="004C676E" w:rsidR="004C676E">
                              <w:rPr>
                                <w:rFonts w:ascii="Tahoma" w:hAnsi="Tahoma" w:cs="Tahoma"/>
                                <w:color w:val="FFFFFF" w:themeColor="background1"/>
                                <w:spacing w:val="6"/>
                                <w:sz w:val="17"/>
                                <w:szCs w:val="17"/>
                              </w:rPr>
                              <w:t>July</w:t>
                            </w:r>
                            <w:r w:rsidR="004C676E">
                              <w:rPr>
                                <w:rFonts w:ascii="Tahoma" w:hAnsi="Tahoma" w:cs="Tahoma"/>
                                <w:color w:val="FFFFFF" w:themeColor="background1"/>
                                <w:spacing w:val="6"/>
                                <w:sz w:val="17"/>
                                <w:szCs w:val="17"/>
                              </w:rPr>
                              <w:t xml:space="preserve"> </w:t>
                            </w:r>
                            <w:r w:rsidRPr="00DB54AF">
                              <w:rPr>
                                <w:rFonts w:ascii="Tahoma" w:hAnsi="Tahoma" w:cs="Tahoma"/>
                                <w:color w:val="FFFFFF" w:themeColor="background1"/>
                                <w:spacing w:val="6"/>
                                <w:sz w:val="17"/>
                                <w:szCs w:val="17"/>
                              </w:rPr>
                              <w:t>2024</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254.05pt;height:18.2pt;margin-top:108pt;margin-left:139.75pt;mso-height-percent:0;mso-height-relative:margin;mso-width-percent:0;mso-width-relative:margin;mso-wrap-distance-bottom:0;mso-wrap-distance-left:9pt;mso-wrap-distance-right:9pt;mso-wrap-distance-top:0;mso-wrap-style:square;position:absolute;visibility:visible;v-text-anchor:top;z-index:251672576" filled="f" stroked="f">
                <v:textbox>
                  <w:txbxContent>
                    <w:p w:rsidR="00E16003" w:rsidRPr="00CE2FA5" w:rsidP="00D546FF" w14:paraId="5156A4BB" w14:textId="5A614326">
                      <w:pPr>
                        <w:bidi w:val="0"/>
                        <w:rPr>
                          <w:rFonts w:ascii="Tahoma" w:hAnsi="Tahoma" w:cs="Tahoma"/>
                          <w:color w:val="FFFFFF" w:themeColor="background1"/>
                          <w:spacing w:val="6"/>
                          <w:sz w:val="17"/>
                          <w:szCs w:val="17"/>
                        </w:rPr>
                      </w:pPr>
                      <w:r w:rsidRPr="00DB54AF">
                        <w:rPr>
                          <w:rFonts w:ascii="Tahoma" w:hAnsi="Tahoma" w:cs="Tahoma"/>
                          <w:color w:val="FFFFFF" w:themeColor="background1"/>
                          <w:spacing w:val="6"/>
                          <w:sz w:val="17"/>
                          <w:szCs w:val="17"/>
                        </w:rPr>
                        <w:t>Report of the State Comptroller of Israel</w:t>
                      </w:r>
                      <w:r w:rsidR="0028524C">
                        <w:rPr>
                          <w:rFonts w:ascii="Tahoma" w:hAnsi="Tahoma" w:cs="Tahoma" w:hint="cs"/>
                          <w:color w:val="FFFFFF" w:themeColor="background1"/>
                          <w:spacing w:val="6"/>
                          <w:sz w:val="17"/>
                          <w:szCs w:val="17"/>
                          <w:rtl/>
                        </w:rPr>
                        <w:t xml:space="preserve"> </w:t>
                      </w:r>
                      <w:r w:rsidRPr="00DB54AF">
                        <w:rPr>
                          <w:rFonts w:ascii="Tahoma" w:hAnsi="Tahoma" w:cs="Tahoma"/>
                          <w:color w:val="FFFFFF" w:themeColor="background1"/>
                          <w:spacing w:val="6"/>
                          <w:sz w:val="17"/>
                          <w:szCs w:val="17"/>
                        </w:rPr>
                        <w:t xml:space="preserve">| </w:t>
                      </w:r>
                      <w:r w:rsidRPr="004C676E" w:rsidR="004C676E">
                        <w:rPr>
                          <w:rFonts w:ascii="Tahoma" w:hAnsi="Tahoma" w:cs="Tahoma"/>
                          <w:color w:val="FFFFFF" w:themeColor="background1"/>
                          <w:spacing w:val="6"/>
                          <w:sz w:val="17"/>
                          <w:szCs w:val="17"/>
                        </w:rPr>
                        <w:t>July</w:t>
                      </w:r>
                      <w:r w:rsidR="004C676E">
                        <w:rPr>
                          <w:rFonts w:ascii="Tahoma" w:hAnsi="Tahoma" w:cs="Tahoma"/>
                          <w:color w:val="FFFFFF" w:themeColor="background1"/>
                          <w:spacing w:val="6"/>
                          <w:sz w:val="17"/>
                          <w:szCs w:val="17"/>
                        </w:rPr>
                        <w:t xml:space="preserve"> </w:t>
                      </w:r>
                      <w:r w:rsidRPr="00DB54AF">
                        <w:rPr>
                          <w:rFonts w:ascii="Tahoma" w:hAnsi="Tahoma" w:cs="Tahoma"/>
                          <w:color w:val="FFFFFF" w:themeColor="background1"/>
                          <w:spacing w:val="6"/>
                          <w:sz w:val="17"/>
                          <w:szCs w:val="17"/>
                        </w:rPr>
                        <w:t>2024</w:t>
                      </w:r>
                    </w:p>
                  </w:txbxContent>
                </v:textbox>
              </v:shape>
            </w:pict>
          </mc:Fallback>
        </mc:AlternateContent>
      </w:r>
      <w:r w:rsidR="00B650F8">
        <w:rPr>
          <w:noProof/>
          <w:sz w:val="22"/>
          <w:szCs w:val="22"/>
          <w:rtl/>
          <w:lang w:val="he-IL"/>
        </w:rPr>
        <w:drawing>
          <wp:anchor distT="0" distB="0" distL="114300" distR="114300" simplePos="0" relativeHeight="251666432" behindDoc="0" locked="0" layoutInCell="1" allowOverlap="1">
            <wp:simplePos x="0" y="0"/>
            <wp:positionH relativeFrom="column">
              <wp:posOffset>471805</wp:posOffset>
            </wp:positionH>
            <wp:positionV relativeFrom="paragraph">
              <wp:posOffset>1159510</wp:posOffset>
            </wp:positionV>
            <wp:extent cx="1010285" cy="707390"/>
            <wp:effectExtent l="0" t="0" r="0" b="0"/>
            <wp:wrapSquare wrapText="bothSides"/>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0"/>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Pr>
          <w:noProof/>
          <w:sz w:val="22"/>
          <w:szCs w:val="22"/>
          <w:rtl/>
          <w:lang w:val="he-IL"/>
        </w:rPr>
        <mc:AlternateContent>
          <mc:Choice Requires="wps">
            <w:drawing>
              <wp:anchor distT="0" distB="0" distL="114300" distR="114300" simplePos="0" relativeHeight="251662336" behindDoc="0" locked="0" layoutInCell="1" allowOverlap="1">
                <wp:simplePos x="0" y="0"/>
                <wp:positionH relativeFrom="column">
                  <wp:posOffset>8342613</wp:posOffset>
                </wp:positionH>
                <wp:positionV relativeFrom="paragraph">
                  <wp:posOffset>748665</wp:posOffset>
                </wp:positionV>
                <wp:extent cx="0" cy="3448050"/>
                <wp:effectExtent l="25400" t="25400" r="25400" b="31750"/>
                <wp:wrapNone/>
                <wp:docPr id="13"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44805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33" style="mso-height-percent:0;mso-height-relative:margin;mso-wrap-distance-bottom:0;mso-wrap-distance-left:9pt;mso-wrap-distance-right:9pt;mso-wrap-distance-top:0;mso-wrap-style:square;position:absolute;visibility:visible;z-index:251663360" from="656.9pt,58.95pt" to="656.9pt,330.45pt" strokecolor="white" strokeweight="4pt">
                <v:stroke endcap="round"/>
              </v:line>
            </w:pict>
          </mc:Fallback>
        </mc:AlternateContent>
      </w:r>
    </w:p>
    <w:p w:rsidR="00F1368B" w:rsidRPr="00590929" w:rsidP="003323CD" w14:paraId="17C00A18" w14:textId="77777777">
      <w:pPr>
        <w:spacing w:line="240" w:lineRule="exact"/>
        <w:jc w:val="both"/>
        <w:rPr>
          <w:rFonts w:ascii="Tahoma" w:hAnsi="Tahoma" w:cs="Tahoma"/>
          <w:sz w:val="17"/>
          <w:szCs w:val="18"/>
          <w:rtl/>
        </w:rPr>
      </w:pPr>
    </w:p>
    <w:p w:rsidR="00327FBF" w:rsidRPr="0010599F" w:rsidP="003323CD" w14:paraId="3D4FE68D" w14:textId="77777777">
      <w:pPr>
        <w:spacing w:line="240" w:lineRule="exact"/>
        <w:jc w:val="both"/>
        <w:rPr>
          <w:rFonts w:ascii="Tahoma" w:hAnsi="Tahoma" w:cs="Tahoma"/>
          <w:sz w:val="17"/>
          <w:szCs w:val="17"/>
          <w:rtl/>
        </w:rPr>
        <w:sectPr w:rsidSect="00D05191">
          <w:headerReference w:type="even" r:id="rId14"/>
          <w:headerReference w:type="default" r:id="rId15"/>
          <w:headerReference w:type="first" r:id="rId16"/>
          <w:pgSz w:w="11906" w:h="16838" w:code="9"/>
          <w:pgMar w:top="3119" w:right="2268" w:bottom="2268" w:left="2268" w:header="1871" w:footer="709" w:gutter="0"/>
          <w:pgNumType w:start="2"/>
          <w:cols w:space="708"/>
          <w:titlePg/>
          <w:bidi/>
          <w:rtlGutter/>
          <w:docGrid w:linePitch="360"/>
        </w:sectPr>
      </w:pPr>
    </w:p>
    <w:bookmarkEnd w:id="0"/>
    <w:bookmarkEnd w:id="1"/>
    <w:bookmarkEnd w:id="2"/>
    <w:bookmarkEnd w:id="3"/>
    <w:bookmarkEnd w:id="4"/>
    <w:p w:rsidR="001D65CE" w:rsidRPr="00F052AC" w:rsidP="00191BA6" w14:paraId="647EBF7B" w14:textId="75F2D6E0">
      <w:pPr>
        <w:pStyle w:val="7120"/>
        <w:bidi w:val="0"/>
        <w:spacing w:before="0" w:after="960"/>
        <w:ind w:right="-142"/>
        <w:rPr>
          <w:rFonts w:eastAsiaTheme="majorEastAsia"/>
          <w:sz w:val="34"/>
          <w:rtl/>
        </w:rPr>
      </w:pPr>
      <w:r>
        <w:rPr>
          <w:rFonts w:eastAsiaTheme="majorEastAsia" w:hint="cs"/>
          <w:noProof/>
          <w:sz w:val="34"/>
        </w:rPr>
        <mc:AlternateContent>
          <mc:Choice Requires="wps">
            <w:drawing>
              <wp:anchor distT="0" distB="0" distL="114300" distR="114300" simplePos="0" relativeHeight="251677696" behindDoc="0" locked="0" layoutInCell="1" allowOverlap="1">
                <wp:simplePos x="0" y="0"/>
                <wp:positionH relativeFrom="column">
                  <wp:posOffset>5069205</wp:posOffset>
                </wp:positionH>
                <wp:positionV relativeFrom="paragraph">
                  <wp:posOffset>199256</wp:posOffset>
                </wp:positionV>
                <wp:extent cx="192405" cy="6086475"/>
                <wp:effectExtent l="0" t="0" r="0" b="0"/>
                <wp:wrapNone/>
                <wp:docPr id="31" name="מלבן 31"/>
                <wp:cNvGraphicFramePr/>
                <a:graphic xmlns:a="http://schemas.openxmlformats.org/drawingml/2006/main">
                  <a:graphicData uri="http://schemas.microsoft.com/office/word/2010/wordprocessingShape">
                    <wps:wsp xmlns:wps="http://schemas.microsoft.com/office/word/2010/wordprocessingShape">
                      <wps:cNvSpPr/>
                      <wps:spPr>
                        <a:xfrm>
                          <a:off x="0" y="0"/>
                          <a:ext cx="192405" cy="6086475"/>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מלבן 31" o:spid="_x0000_s1034" style="width:15.15pt;height:479.25pt;margin-top:15.7pt;margin-left:399.15pt;mso-height-percent:0;mso-height-relative:margin;mso-width-percent:0;mso-width-relative:margin;mso-wrap-distance-bottom:0;mso-wrap-distance-left:9pt;mso-wrap-distance-right:9pt;mso-wrap-distance-top:0;mso-wrap-style:square;position:absolute;visibility:visible;v-text-anchor:middle;z-index:251678720" fillcolor="#00305f" stroked="f" strokeweight="1.5pt">
                <v:stroke endcap="round"/>
              </v:rect>
            </w:pict>
          </mc:Fallback>
        </mc:AlternateContent>
      </w:r>
      <w:r w:rsidRPr="002F6545" w:rsidR="002F6545">
        <w:rPr>
          <w:rFonts w:eastAsiaTheme="majorEastAsia"/>
          <w:noProof/>
          <w:sz w:val="34"/>
        </w:rPr>
        <w:t>Cellular Communication Infrastructure</w:t>
      </w:r>
      <w:r w:rsidR="002F6545">
        <w:rPr>
          <w:rFonts w:eastAsiaTheme="majorEastAsia"/>
          <w:noProof/>
          <w:sz w:val="34"/>
        </w:rPr>
        <w:t xml:space="preserve"> </w:t>
      </w:r>
    </w:p>
    <w:p w:rsidR="00605DF2" w:rsidP="00BB1479" w14:paraId="55A1FDE5" w14:textId="335E4CD7">
      <w:pPr>
        <w:bidi w:val="0"/>
        <w:spacing w:before="360" w:after="240" w:line="240" w:lineRule="atLeast"/>
        <w:jc w:val="both"/>
        <w:rPr>
          <w:rFonts w:ascii="Tahoma" w:hAnsi="Tahoma" w:cs="Tahoma"/>
          <w:color w:val="0D0D0D" w:themeColor="text1" w:themeTint="F2"/>
          <w:sz w:val="24"/>
          <w:szCs w:val="18"/>
          <w:rtl/>
        </w:rPr>
      </w:pPr>
      <w:r>
        <w:rPr>
          <w:rFonts w:ascii="Tahoma" w:hAnsi="Tahoma" w:cs="Tahoma"/>
          <w:noProof/>
          <w:color w:val="0D0D0D" w:themeColor="text1" w:themeTint="F2"/>
          <w:sz w:val="24"/>
          <w:szCs w:val="18"/>
          <w:rtl/>
        </w:rPr>
        <w:drawing>
          <wp:inline distT="0" distB="0" distL="0" distR="0">
            <wp:extent cx="1335027" cy="320919"/>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35027" cy="320919"/>
                    </a:xfrm>
                    <a:prstGeom prst="rect">
                      <a:avLst/>
                    </a:prstGeom>
                  </pic:spPr>
                </pic:pic>
              </a:graphicData>
            </a:graphic>
          </wp:inline>
        </w:drawing>
      </w:r>
    </w:p>
    <w:p w:rsidR="002A18A0" w:rsidRPr="001D0B8C" w:rsidP="002A18A0" w14:paraId="446009E0" w14:textId="3AE96841">
      <w:pPr>
        <w:pStyle w:val="719"/>
        <w:bidi w:val="0"/>
        <w:spacing w:after="360"/>
      </w:pPr>
      <w:r w:rsidRPr="009C7184">
        <w:t xml:space="preserve">Cellular communication infrastructures are essential for maintaining a normal lifestyle and developing the Israeli economy and industry. The implementation of advanced cellular infrastructures promotes initiatives in various sectors, including health, transportation, and agriculture, resulting in economic benefits. The cellular market is regulated through licenses issued by the Ministry of Communications to cell companies under the Communications (Telecommunications and Broadcasting) Law, 1982, and the Wireless Telegraph Ordinance [New Version], 1972, permitting the use of a limited state resource – radio frequencies. As stipulated in these licenses, cell companies are obligated to establish cellular broadcasting installations and ensure coverage across areas via cellular communication networks, thereby delivering reliable service to the public while accommodating the increasing volume of cellular data consumption in Israel. Cellular communication technology is categorized by "generations" (from 2 to 5), with any significant technological advancement necessitating a redeployment or enhancement of the physical communication system classified as a new generation. The transition between generations enables the evolution of new services and the enhancement of existing services and user experiences. The Ministry of Environmental Protection issues, under the Non-Ionizing Radiation Law, </w:t>
      </w:r>
      <w:r w:rsidRPr="009C7184">
        <w:t>2006,  construction</w:t>
      </w:r>
      <w:r w:rsidRPr="009C7184">
        <w:t xml:space="preserve"> and operating permits for cellular broadcasting installations (antennas) and supervises the compliance of cell companies with permit conditions</w:t>
      </w:r>
      <w:r w:rsidRPr="001D0B8C">
        <w:t>.</w:t>
      </w:r>
    </w:p>
    <w:p w:rsidR="00C50F58" w14:paraId="732E4F63" w14:textId="601C6591">
      <w:pPr>
        <w:bidi w:val="0"/>
        <w:rPr>
          <w:rFonts w:ascii="Tahoma" w:hAnsi="Tahoma" w:eastAsiaTheme="minorHAnsi" w:cs="Tahoma"/>
          <w:color w:val="0D0D0D" w:themeColor="text1" w:themeTint="F2"/>
          <w:sz w:val="18"/>
          <w:szCs w:val="18"/>
        </w:rPr>
      </w:pPr>
      <w:r>
        <w:br w:type="page"/>
      </w:r>
    </w:p>
    <w:p w:rsidR="008A5E62" w:rsidRPr="00DA3862" w:rsidP="003E0EAA" w14:paraId="498BB033" w14:textId="0375C781">
      <w:pPr>
        <w:bidi w:val="0"/>
        <w:spacing w:before="240" w:after="180" w:line="240" w:lineRule="atLeast"/>
        <w:jc w:val="both"/>
        <w:rPr>
          <w:rtl/>
        </w:rPr>
      </w:pPr>
      <w:r>
        <w:rPr>
          <w:noProof/>
          <w:rtl/>
        </w:rPr>
        <w:drawing>
          <wp:inline distT="0" distB="0" distL="0" distR="0">
            <wp:extent cx="1328928" cy="319454"/>
            <wp:effectExtent l="0" t="0" r="508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28928" cy="319454"/>
                    </a:xfrm>
                    <a:prstGeom prst="rect">
                      <a:avLst/>
                    </a:prstGeom>
                  </pic:spPr>
                </pic:pic>
              </a:graphicData>
            </a:graphic>
          </wp:inline>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142"/>
        <w:gridCol w:w="314"/>
        <w:gridCol w:w="2143"/>
        <w:gridCol w:w="314"/>
        <w:gridCol w:w="314"/>
        <w:gridCol w:w="1829"/>
        <w:gridCol w:w="314"/>
      </w:tblGrid>
      <w:tr w14:paraId="5198069E" w14:textId="79DE7FA0" w:rsidTr="002F6545">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Ex>
        <w:tc>
          <w:tcPr>
            <w:tcW w:w="1453" w:type="pct"/>
            <w:tcBorders>
              <w:bottom w:val="single" w:sz="8" w:space="0" w:color="auto"/>
            </w:tcBorders>
            <w:vAlign w:val="bottom"/>
          </w:tcPr>
          <w:p w:rsidR="002F6545" w:rsidRPr="002F6545" w:rsidP="002F6545" w14:paraId="1FB37F5E" w14:textId="3A3C2A4C">
            <w:pPr>
              <w:bidi w:val="0"/>
              <w:spacing w:after="60" w:line="240" w:lineRule="auto"/>
              <w:rPr>
                <w:rFonts w:ascii="Tahoma" w:hAnsi="Tahoma" w:cs="Tahoma"/>
                <w:b/>
                <w:bCs/>
                <w:color w:val="0D0D0D" w:themeColor="text1" w:themeTint="F2"/>
                <w:sz w:val="26"/>
                <w:szCs w:val="26"/>
                <w:rtl/>
              </w:rPr>
            </w:pPr>
            <w:r w:rsidRPr="002F6545">
              <w:rPr>
                <w:rFonts w:ascii="Tahoma" w:hAnsi="Tahoma" w:cs="Tahoma"/>
                <w:b/>
                <w:bCs/>
                <w:sz w:val="26"/>
                <w:szCs w:val="26"/>
              </w:rPr>
              <w:t xml:space="preserve">NIS </w:t>
            </w:r>
            <w:r w:rsidRPr="002F6545">
              <w:rPr>
                <w:rFonts w:ascii="Tahoma" w:hAnsi="Tahoma" w:cs="Tahoma"/>
                <w:b/>
                <w:bCs/>
                <w:sz w:val="36"/>
                <w:szCs w:val="36"/>
              </w:rPr>
              <w:t>9.1</w:t>
            </w:r>
            <w:r w:rsidRPr="002F6545">
              <w:rPr>
                <w:rFonts w:ascii="Tahoma" w:hAnsi="Tahoma" w:cs="Tahoma"/>
                <w:b/>
                <w:bCs/>
                <w:sz w:val="26"/>
                <w:szCs w:val="26"/>
              </w:rPr>
              <w:t xml:space="preserve"> billion </w:t>
            </w:r>
          </w:p>
        </w:tc>
        <w:tc>
          <w:tcPr>
            <w:tcW w:w="213" w:type="pct"/>
            <w:vAlign w:val="bottom"/>
          </w:tcPr>
          <w:p w:rsidR="002F6545" w:rsidRPr="002F6545" w:rsidP="002F6545" w14:paraId="4429F28B" w14:textId="77777777">
            <w:pPr>
              <w:bidi w:val="0"/>
              <w:spacing w:after="60" w:line="240" w:lineRule="auto"/>
              <w:rPr>
                <w:rFonts w:ascii="Tahoma" w:hAnsi="Tahoma" w:cs="Tahoma"/>
                <w:b/>
                <w:bCs/>
                <w:color w:val="0D0D0D" w:themeColor="text1" w:themeTint="F2"/>
                <w:sz w:val="26"/>
                <w:szCs w:val="26"/>
              </w:rPr>
            </w:pPr>
          </w:p>
        </w:tc>
        <w:tc>
          <w:tcPr>
            <w:tcW w:w="1454" w:type="pct"/>
            <w:tcBorders>
              <w:bottom w:val="single" w:sz="8" w:space="0" w:color="auto"/>
            </w:tcBorders>
            <w:vAlign w:val="bottom"/>
          </w:tcPr>
          <w:p w:rsidR="002F6545" w:rsidRPr="002F6545" w:rsidP="002F6545" w14:paraId="018C23DE" w14:textId="41239F52">
            <w:pPr>
              <w:bidi w:val="0"/>
              <w:spacing w:after="60" w:line="240" w:lineRule="auto"/>
              <w:rPr>
                <w:rFonts w:ascii="Tahoma" w:hAnsi="Tahoma" w:cs="Tahoma"/>
                <w:b/>
                <w:bCs/>
                <w:color w:val="0D0D0D" w:themeColor="text1" w:themeTint="F2"/>
                <w:sz w:val="26"/>
                <w:szCs w:val="26"/>
                <w:rtl/>
              </w:rPr>
            </w:pPr>
            <w:r w:rsidRPr="002F6545">
              <w:rPr>
                <w:rFonts w:ascii="Tahoma" w:hAnsi="Tahoma" w:cs="Tahoma"/>
                <w:b/>
                <w:bCs/>
                <w:sz w:val="36"/>
                <w:szCs w:val="36"/>
              </w:rPr>
              <w:t>64</w:t>
            </w:r>
            <w:r w:rsidRPr="002F6545">
              <w:rPr>
                <w:rFonts w:ascii="Tahoma" w:hAnsi="Tahoma" w:cs="Tahoma"/>
                <w:b/>
                <w:bCs/>
                <w:sz w:val="36"/>
                <w:szCs w:val="36"/>
                <w:vertAlign w:val="superscript"/>
              </w:rPr>
              <w:t>th</w:t>
            </w:r>
            <w:r w:rsidRPr="002F6545">
              <w:rPr>
                <w:rFonts w:ascii="Tahoma" w:hAnsi="Tahoma" w:cs="Tahoma"/>
                <w:b/>
                <w:bCs/>
                <w:sz w:val="26"/>
                <w:szCs w:val="26"/>
              </w:rPr>
              <w:t xml:space="preserve"> place </w:t>
            </w:r>
            <w:r>
              <w:rPr>
                <w:rFonts w:ascii="Tahoma" w:hAnsi="Tahoma" w:cs="Tahoma"/>
                <w:b/>
                <w:bCs/>
                <w:sz w:val="26"/>
                <w:szCs w:val="26"/>
              </w:rPr>
              <w:br/>
            </w:r>
            <w:r w:rsidRPr="002F6545">
              <w:rPr>
                <w:rFonts w:ascii="Tahoma" w:hAnsi="Tahoma" w:cs="Tahoma"/>
                <w:b/>
                <w:bCs/>
                <w:sz w:val="26"/>
                <w:szCs w:val="26"/>
              </w:rPr>
              <w:t xml:space="preserve">out of </w:t>
            </w:r>
            <w:r w:rsidRPr="002F6545">
              <w:rPr>
                <w:rFonts w:ascii="Tahoma" w:hAnsi="Tahoma" w:cs="Tahoma"/>
                <w:b/>
                <w:bCs/>
                <w:sz w:val="36"/>
                <w:szCs w:val="36"/>
              </w:rPr>
              <w:t>145</w:t>
            </w:r>
          </w:p>
        </w:tc>
        <w:tc>
          <w:tcPr>
            <w:tcW w:w="213" w:type="pct"/>
            <w:vAlign w:val="bottom"/>
          </w:tcPr>
          <w:p w:rsidR="002F6545" w:rsidRPr="002F6545" w:rsidP="002F6545" w14:paraId="78489ABE" w14:textId="77777777">
            <w:pPr>
              <w:bidi w:val="0"/>
              <w:spacing w:after="60" w:line="240" w:lineRule="auto"/>
              <w:rPr>
                <w:rFonts w:ascii="Tahoma" w:hAnsi="Tahoma" w:cs="Tahoma"/>
                <w:b/>
                <w:bCs/>
                <w:color w:val="0D0D0D" w:themeColor="text1" w:themeTint="F2"/>
                <w:sz w:val="26"/>
                <w:szCs w:val="26"/>
              </w:rPr>
            </w:pPr>
          </w:p>
        </w:tc>
        <w:tc>
          <w:tcPr>
            <w:tcW w:w="1454" w:type="pct"/>
            <w:gridSpan w:val="2"/>
            <w:tcBorders>
              <w:bottom w:val="single" w:sz="8" w:space="0" w:color="000000"/>
            </w:tcBorders>
            <w:vAlign w:val="bottom"/>
          </w:tcPr>
          <w:p w:rsidR="002F6545" w:rsidRPr="002F6545" w:rsidP="002F6545" w14:paraId="1465537A" w14:textId="75EBF636">
            <w:pPr>
              <w:bidi w:val="0"/>
              <w:spacing w:after="60" w:line="240" w:lineRule="auto"/>
              <w:rPr>
                <w:rFonts w:ascii="Tahoma" w:hAnsi="Tahoma" w:cs="Tahoma"/>
                <w:b/>
                <w:bCs/>
                <w:color w:val="0D0D0D" w:themeColor="text1" w:themeTint="F2"/>
                <w:sz w:val="26"/>
                <w:szCs w:val="26"/>
              </w:rPr>
            </w:pPr>
            <w:r w:rsidRPr="002F6545">
              <w:rPr>
                <w:rFonts w:ascii="Tahoma" w:hAnsi="Tahoma" w:cs="Tahoma"/>
                <w:b/>
                <w:bCs/>
                <w:sz w:val="36"/>
                <w:szCs w:val="36"/>
              </w:rPr>
              <w:t>0</w:t>
            </w:r>
            <w:r w:rsidRPr="002F6545">
              <w:rPr>
                <w:rFonts w:ascii="Tahoma" w:hAnsi="Tahoma" w:cs="Tahoma"/>
                <w:b/>
                <w:bCs/>
                <w:sz w:val="26"/>
                <w:szCs w:val="26"/>
              </w:rPr>
              <w:t xml:space="preserve"> financial sanctions</w:t>
            </w:r>
          </w:p>
        </w:tc>
        <w:tc>
          <w:tcPr>
            <w:tcW w:w="213" w:type="pct"/>
            <w:vAlign w:val="bottom"/>
          </w:tcPr>
          <w:p w:rsidR="002F6545" w:rsidRPr="00941C35" w:rsidP="002F6545" w14:paraId="67D30B0B" w14:textId="77777777">
            <w:pPr>
              <w:bidi w:val="0"/>
              <w:spacing w:after="60" w:line="240" w:lineRule="auto"/>
              <w:rPr>
                <w:rFonts w:ascii="Tahoma" w:hAnsi="Tahoma" w:cs="Tahoma"/>
                <w:b/>
                <w:bCs/>
                <w:color w:val="0D0D0D" w:themeColor="text1" w:themeTint="F2"/>
                <w:sz w:val="36"/>
                <w:szCs w:val="36"/>
                <w:rtl/>
              </w:rPr>
            </w:pPr>
          </w:p>
        </w:tc>
      </w:tr>
      <w:tr w14:paraId="633F9A1A" w14:textId="21CF8A61" w:rsidTr="002F6545">
        <w:tblPrEx>
          <w:tblW w:w="5000" w:type="pct"/>
          <w:tblCellMar>
            <w:left w:w="57" w:type="dxa"/>
            <w:right w:w="57" w:type="dxa"/>
          </w:tblCellMar>
          <w:tblLook w:val="04A0"/>
        </w:tblPrEx>
        <w:tc>
          <w:tcPr>
            <w:tcW w:w="1453" w:type="pct"/>
            <w:tcBorders>
              <w:top w:val="single" w:sz="8" w:space="0" w:color="auto"/>
            </w:tcBorders>
          </w:tcPr>
          <w:p w:rsidR="002F6545" w:rsidRPr="00041AEB" w:rsidP="002F6545" w14:paraId="5042BE4E" w14:textId="39BC07DA">
            <w:pPr>
              <w:bidi w:val="0"/>
              <w:spacing w:after="0" w:line="240" w:lineRule="auto"/>
              <w:ind w:right="23"/>
              <w:rPr>
                <w:rFonts w:ascii="Tahoma" w:hAnsi="Tahoma" w:cs="Tahoma"/>
                <w:bCs/>
                <w:color w:val="0D0D0D" w:themeColor="text1" w:themeTint="F2"/>
                <w:w w:val="90"/>
                <w:sz w:val="18"/>
                <w:szCs w:val="18"/>
              </w:rPr>
            </w:pPr>
            <w:r w:rsidRPr="009C7184">
              <w:rPr>
                <w:rFonts w:ascii="Tahoma" w:hAnsi="Tahoma" w:cs="Tahoma"/>
                <w:bCs/>
                <w:color w:val="0D0D0D" w:themeColor="text1" w:themeTint="F2"/>
                <w:w w:val="90"/>
                <w:sz w:val="18"/>
                <w:szCs w:val="18"/>
              </w:rPr>
              <w:t>cellular infrastructure companies' revenues in Israel in 2022</w:t>
            </w:r>
          </w:p>
        </w:tc>
        <w:tc>
          <w:tcPr>
            <w:tcW w:w="213" w:type="pct"/>
          </w:tcPr>
          <w:p w:rsidR="002F6545" w:rsidRPr="00041AEB" w:rsidP="002F6545" w14:paraId="2B8B872F" w14:textId="77777777">
            <w:pPr>
              <w:bidi w:val="0"/>
              <w:spacing w:after="0" w:line="240" w:lineRule="auto"/>
              <w:rPr>
                <w:rFonts w:ascii="Tahoma" w:hAnsi="Tahoma" w:cs="Tahoma"/>
                <w:bCs/>
                <w:color w:val="0D0D0D" w:themeColor="text1" w:themeTint="F2"/>
                <w:w w:val="90"/>
                <w:sz w:val="18"/>
                <w:szCs w:val="18"/>
                <w:rtl/>
              </w:rPr>
            </w:pPr>
          </w:p>
        </w:tc>
        <w:tc>
          <w:tcPr>
            <w:tcW w:w="1454" w:type="pct"/>
            <w:tcBorders>
              <w:top w:val="single" w:sz="8" w:space="0" w:color="auto"/>
            </w:tcBorders>
          </w:tcPr>
          <w:p w:rsidR="002F6545" w:rsidRPr="00A0699D" w:rsidP="002F6545" w14:paraId="22CDEF8A" w14:textId="621638CE">
            <w:pPr>
              <w:bidi w:val="0"/>
              <w:spacing w:line="240" w:lineRule="auto"/>
              <w:ind w:right="23"/>
              <w:rPr>
                <w:bCs/>
                <w:rtl/>
              </w:rPr>
            </w:pPr>
            <w:r w:rsidRPr="009C7184">
              <w:rPr>
                <w:rFonts w:ascii="Tahoma" w:hAnsi="Tahoma" w:cs="Tahoma"/>
                <w:bCs/>
                <w:color w:val="0D0D0D" w:themeColor="text1" w:themeTint="F2"/>
                <w:w w:val="90"/>
                <w:sz w:val="18"/>
                <w:szCs w:val="18"/>
              </w:rPr>
              <w:t>Israel's rank in the median mobile download speed index out of 145 countries as of August 2023</w:t>
            </w:r>
          </w:p>
        </w:tc>
        <w:tc>
          <w:tcPr>
            <w:tcW w:w="213" w:type="pct"/>
          </w:tcPr>
          <w:p w:rsidR="002F6545" w:rsidRPr="00041AEB" w:rsidP="002F6545" w14:paraId="516B5653" w14:textId="77777777">
            <w:pPr>
              <w:bidi w:val="0"/>
              <w:spacing w:after="0" w:line="240" w:lineRule="auto"/>
              <w:rPr>
                <w:rFonts w:ascii="Tahoma" w:hAnsi="Tahoma" w:cs="Tahoma"/>
                <w:bCs/>
                <w:color w:val="0D0D0D" w:themeColor="text1" w:themeTint="F2"/>
                <w:w w:val="90"/>
                <w:sz w:val="18"/>
                <w:szCs w:val="18"/>
                <w:rtl/>
              </w:rPr>
            </w:pPr>
          </w:p>
        </w:tc>
        <w:tc>
          <w:tcPr>
            <w:tcW w:w="1454" w:type="pct"/>
            <w:gridSpan w:val="2"/>
            <w:tcBorders>
              <w:top w:val="single" w:sz="8" w:space="0" w:color="000000"/>
            </w:tcBorders>
          </w:tcPr>
          <w:p w:rsidR="002F6545" w:rsidRPr="00041AEB" w:rsidP="002F6545" w14:paraId="1DDB9C26" w14:textId="2D0B0D07">
            <w:pPr>
              <w:bidi w:val="0"/>
              <w:spacing w:after="0" w:line="240" w:lineRule="auto"/>
              <w:ind w:right="23"/>
              <w:rPr>
                <w:rFonts w:ascii="Tahoma" w:hAnsi="Tahoma" w:cs="Tahoma"/>
                <w:bCs/>
                <w:color w:val="0D0D0D" w:themeColor="text1" w:themeTint="F2"/>
                <w:w w:val="90"/>
                <w:sz w:val="18"/>
                <w:szCs w:val="18"/>
              </w:rPr>
            </w:pPr>
            <w:r w:rsidRPr="009C7184">
              <w:rPr>
                <w:rFonts w:ascii="Tahoma" w:hAnsi="Tahoma" w:cs="Tahoma"/>
                <w:bCs/>
                <w:color w:val="0D0D0D" w:themeColor="text1" w:themeTint="F2"/>
                <w:w w:val="90"/>
                <w:sz w:val="18"/>
                <w:szCs w:val="18"/>
              </w:rPr>
              <w:t>imposed by the Ministry of Communications on cellular infrastructure companies regarding cellular coverage</w:t>
            </w:r>
          </w:p>
        </w:tc>
        <w:tc>
          <w:tcPr>
            <w:tcW w:w="213" w:type="pct"/>
          </w:tcPr>
          <w:p w:rsidR="002F6545" w:rsidRPr="00B662F5" w:rsidP="002F6545" w14:paraId="31FC66A8" w14:textId="77777777">
            <w:pPr>
              <w:bidi w:val="0"/>
              <w:spacing w:after="0" w:line="240" w:lineRule="auto"/>
              <w:ind w:right="23"/>
              <w:rPr>
                <w:rFonts w:ascii="Tahoma" w:hAnsi="Tahoma" w:cs="Tahoma"/>
                <w:bCs/>
                <w:color w:val="0D0D0D" w:themeColor="text1" w:themeTint="F2"/>
                <w:w w:val="90"/>
                <w:sz w:val="18"/>
                <w:szCs w:val="18"/>
              </w:rPr>
            </w:pPr>
          </w:p>
        </w:tc>
      </w:tr>
      <w:tr w14:paraId="3A3B2768" w14:textId="4D98DDF8" w:rsidTr="002F6545">
        <w:tblPrEx>
          <w:tblW w:w="5000" w:type="pct"/>
          <w:tblCellMar>
            <w:left w:w="57" w:type="dxa"/>
            <w:right w:w="57" w:type="dxa"/>
          </w:tblCellMar>
          <w:tblLook w:val="04A0"/>
        </w:tblPrEx>
        <w:trPr>
          <w:trHeight w:val="397"/>
        </w:trPr>
        <w:tc>
          <w:tcPr>
            <w:tcW w:w="1453" w:type="pct"/>
          </w:tcPr>
          <w:p w:rsidR="002F6545" w:rsidRPr="00B47903" w:rsidP="008771C5" w14:paraId="1A07D554" w14:textId="35E38359">
            <w:pPr>
              <w:bidi w:val="0"/>
              <w:spacing w:before="120" w:after="0" w:line="240" w:lineRule="auto"/>
              <w:rPr>
                <w:rFonts w:ascii="Tahoma" w:hAnsi="Tahoma" w:cs="Tahoma"/>
                <w:b/>
                <w:bCs/>
                <w:color w:val="0D0D0D" w:themeColor="text1" w:themeTint="F2"/>
                <w:sz w:val="14"/>
                <w:szCs w:val="14"/>
                <w:rtl/>
              </w:rPr>
            </w:pPr>
          </w:p>
        </w:tc>
        <w:tc>
          <w:tcPr>
            <w:tcW w:w="213" w:type="pct"/>
          </w:tcPr>
          <w:p w:rsidR="002F6545" w:rsidRPr="00B47903" w:rsidP="008771C5" w14:paraId="398FB0FD" w14:textId="77777777">
            <w:pPr>
              <w:bidi w:val="0"/>
              <w:spacing w:before="120" w:after="0" w:line="240" w:lineRule="auto"/>
              <w:rPr>
                <w:rFonts w:ascii="Tahoma" w:hAnsi="Tahoma" w:cs="Tahoma"/>
                <w:b/>
                <w:bCs/>
                <w:color w:val="0D0D0D" w:themeColor="text1" w:themeTint="F2"/>
                <w:sz w:val="14"/>
                <w:szCs w:val="14"/>
              </w:rPr>
            </w:pPr>
          </w:p>
        </w:tc>
        <w:tc>
          <w:tcPr>
            <w:tcW w:w="1454" w:type="pct"/>
          </w:tcPr>
          <w:p w:rsidR="002F6545" w:rsidRPr="00B47903" w:rsidP="008771C5" w14:paraId="58859999" w14:textId="77777777">
            <w:pPr>
              <w:bidi w:val="0"/>
              <w:spacing w:before="120" w:after="0" w:line="240" w:lineRule="auto"/>
              <w:rPr>
                <w:rFonts w:ascii="Tahoma" w:hAnsi="Tahoma" w:cs="Tahoma"/>
                <w:b/>
                <w:bCs/>
                <w:color w:val="0D0D0D" w:themeColor="text1" w:themeTint="F2"/>
                <w:sz w:val="14"/>
                <w:szCs w:val="14"/>
                <w:rtl/>
              </w:rPr>
            </w:pPr>
          </w:p>
        </w:tc>
        <w:tc>
          <w:tcPr>
            <w:tcW w:w="213" w:type="pct"/>
          </w:tcPr>
          <w:p w:rsidR="002F6545" w:rsidRPr="00B47903" w:rsidP="008771C5" w14:paraId="18626B8F" w14:textId="77777777">
            <w:pPr>
              <w:bidi w:val="0"/>
              <w:spacing w:before="120" w:after="0" w:line="240" w:lineRule="auto"/>
              <w:rPr>
                <w:rFonts w:ascii="Tahoma" w:hAnsi="Tahoma" w:cs="Tahoma"/>
                <w:b/>
                <w:bCs/>
                <w:color w:val="0D0D0D" w:themeColor="text1" w:themeTint="F2"/>
                <w:sz w:val="14"/>
                <w:szCs w:val="14"/>
              </w:rPr>
            </w:pPr>
          </w:p>
        </w:tc>
        <w:tc>
          <w:tcPr>
            <w:tcW w:w="1454" w:type="pct"/>
            <w:gridSpan w:val="2"/>
          </w:tcPr>
          <w:p w:rsidR="002F6545" w:rsidRPr="00B47903" w:rsidP="008771C5" w14:paraId="12C512C9" w14:textId="77777777">
            <w:pPr>
              <w:bidi w:val="0"/>
              <w:spacing w:before="120" w:after="0" w:line="240" w:lineRule="auto"/>
              <w:rPr>
                <w:rFonts w:ascii="Tahoma" w:hAnsi="Tahoma" w:cs="Tahoma"/>
                <w:b/>
                <w:bCs/>
                <w:color w:val="0D0D0D" w:themeColor="text1" w:themeTint="F2"/>
                <w:sz w:val="14"/>
                <w:szCs w:val="14"/>
                <w:rtl/>
              </w:rPr>
            </w:pPr>
          </w:p>
        </w:tc>
        <w:tc>
          <w:tcPr>
            <w:tcW w:w="213" w:type="pct"/>
          </w:tcPr>
          <w:p w:rsidR="002F6545" w:rsidRPr="00B47903" w:rsidP="008771C5" w14:paraId="7C8842AA" w14:textId="77777777">
            <w:pPr>
              <w:bidi w:val="0"/>
              <w:spacing w:before="120" w:after="0" w:line="240" w:lineRule="auto"/>
              <w:rPr>
                <w:rFonts w:ascii="Tahoma" w:hAnsi="Tahoma" w:cs="Tahoma"/>
                <w:b/>
                <w:bCs/>
                <w:color w:val="0D0D0D" w:themeColor="text1" w:themeTint="F2"/>
                <w:sz w:val="14"/>
                <w:szCs w:val="14"/>
                <w:rtl/>
              </w:rPr>
            </w:pPr>
          </w:p>
        </w:tc>
      </w:tr>
      <w:tr w14:paraId="69DAE9C2" w14:textId="4B47BC94" w:rsidTr="002F6545">
        <w:tblPrEx>
          <w:tblW w:w="5000" w:type="pct"/>
          <w:tblCellMar>
            <w:left w:w="57" w:type="dxa"/>
            <w:right w:w="57" w:type="dxa"/>
          </w:tblCellMar>
          <w:tblLook w:val="04A0"/>
        </w:tblPrEx>
        <w:trPr>
          <w:gridAfter w:val="2"/>
          <w:wAfter w:w="1454" w:type="dxa"/>
        </w:trPr>
        <w:tc>
          <w:tcPr>
            <w:tcW w:w="1453" w:type="pct"/>
            <w:tcBorders>
              <w:bottom w:val="single" w:sz="8" w:space="0" w:color="auto"/>
            </w:tcBorders>
            <w:vAlign w:val="bottom"/>
          </w:tcPr>
          <w:p w:rsidR="002F6545" w:rsidRPr="002F6545" w:rsidP="002F6545" w14:paraId="0A63A02B" w14:textId="7E2DF599">
            <w:pPr>
              <w:bidi w:val="0"/>
              <w:spacing w:after="60" w:line="240" w:lineRule="auto"/>
              <w:rPr>
                <w:rFonts w:ascii="Tahoma" w:hAnsi="Tahoma" w:cs="Tahoma"/>
                <w:b/>
                <w:bCs/>
                <w:color w:val="0D0D0D" w:themeColor="text1" w:themeTint="F2"/>
                <w:sz w:val="26"/>
                <w:szCs w:val="26"/>
              </w:rPr>
            </w:pPr>
            <w:r w:rsidRPr="002F6545">
              <w:rPr>
                <w:rFonts w:ascii="Tahoma" w:hAnsi="Tahoma" w:cs="Tahoma"/>
                <w:b/>
                <w:bCs/>
                <w:sz w:val="36"/>
                <w:szCs w:val="36"/>
                <w:rtl/>
              </w:rPr>
              <w:t>8,262</w:t>
            </w:r>
          </w:p>
        </w:tc>
        <w:tc>
          <w:tcPr>
            <w:tcW w:w="213" w:type="pct"/>
            <w:tcBorders>
              <w:bottom w:val="single" w:sz="8" w:space="0" w:color="FFFFFF"/>
            </w:tcBorders>
            <w:vAlign w:val="bottom"/>
          </w:tcPr>
          <w:p w:rsidR="002F6545" w:rsidRPr="002F6545" w:rsidP="002F6545" w14:paraId="2B044DDD" w14:textId="77777777">
            <w:pPr>
              <w:bidi w:val="0"/>
              <w:spacing w:after="60" w:line="240" w:lineRule="auto"/>
              <w:rPr>
                <w:rFonts w:ascii="Tahoma" w:hAnsi="Tahoma" w:cs="Tahoma"/>
                <w:b/>
                <w:bCs/>
                <w:color w:val="0D0D0D" w:themeColor="text1" w:themeTint="F2"/>
                <w:sz w:val="26"/>
                <w:szCs w:val="26"/>
              </w:rPr>
            </w:pPr>
          </w:p>
        </w:tc>
        <w:tc>
          <w:tcPr>
            <w:tcW w:w="1454" w:type="pct"/>
            <w:tcBorders>
              <w:bottom w:val="single" w:sz="8" w:space="0" w:color="auto"/>
            </w:tcBorders>
            <w:vAlign w:val="bottom"/>
          </w:tcPr>
          <w:p w:rsidR="002F6545" w:rsidRPr="002F6545" w:rsidP="002F6545" w14:paraId="5F2BF29F" w14:textId="460AB99A">
            <w:pPr>
              <w:bidi w:val="0"/>
              <w:spacing w:after="60" w:line="240" w:lineRule="auto"/>
              <w:rPr>
                <w:rFonts w:ascii="Tahoma" w:hAnsi="Tahoma" w:cs="Tahoma"/>
                <w:b/>
                <w:bCs/>
                <w:color w:val="0D0D0D" w:themeColor="text1" w:themeTint="F2"/>
                <w:sz w:val="26"/>
                <w:szCs w:val="26"/>
              </w:rPr>
            </w:pPr>
            <w:r w:rsidRPr="002F6545">
              <w:rPr>
                <w:rFonts w:ascii="Tahoma" w:hAnsi="Tahoma" w:cs="Tahoma"/>
                <w:b/>
                <w:bCs/>
                <w:sz w:val="26"/>
                <w:szCs w:val="26"/>
              </w:rPr>
              <w:t xml:space="preserve">over </w:t>
            </w:r>
            <w:r w:rsidRPr="002F6545">
              <w:rPr>
                <w:rFonts w:ascii="Tahoma" w:hAnsi="Tahoma" w:cs="Tahoma"/>
                <w:b/>
                <w:bCs/>
                <w:sz w:val="36"/>
                <w:szCs w:val="36"/>
              </w:rPr>
              <w:t>17</w:t>
            </w:r>
            <w:r w:rsidRPr="002F6545">
              <w:rPr>
                <w:rFonts w:ascii="Tahoma" w:hAnsi="Tahoma" w:cs="Tahoma"/>
                <w:b/>
                <w:bCs/>
                <w:sz w:val="26"/>
                <w:szCs w:val="26"/>
              </w:rPr>
              <w:t xml:space="preserve"> years</w:t>
            </w:r>
          </w:p>
        </w:tc>
        <w:tc>
          <w:tcPr>
            <w:tcW w:w="213" w:type="pct"/>
            <w:tcBorders>
              <w:bottom w:val="single" w:sz="8" w:space="0" w:color="FFFFFF"/>
            </w:tcBorders>
            <w:vAlign w:val="bottom"/>
          </w:tcPr>
          <w:p w:rsidR="002F6545" w:rsidRPr="002F6545" w:rsidP="002F6545" w14:paraId="3407A7B6" w14:textId="77777777">
            <w:pPr>
              <w:bidi w:val="0"/>
              <w:spacing w:after="60" w:line="240" w:lineRule="auto"/>
              <w:rPr>
                <w:rFonts w:ascii="Tahoma" w:hAnsi="Tahoma" w:cs="Tahoma"/>
                <w:b/>
                <w:bCs/>
                <w:color w:val="0D0D0D" w:themeColor="text1" w:themeTint="F2"/>
                <w:sz w:val="26"/>
                <w:szCs w:val="26"/>
              </w:rPr>
            </w:pPr>
          </w:p>
        </w:tc>
        <w:tc>
          <w:tcPr>
            <w:tcW w:w="213" w:type="pct"/>
            <w:vAlign w:val="bottom"/>
          </w:tcPr>
          <w:p w:rsidR="002F6545" w:rsidRPr="002A18A0" w:rsidP="002F6545" w14:paraId="1A1A685D" w14:textId="77777777">
            <w:pPr>
              <w:bidi w:val="0"/>
              <w:spacing w:after="60" w:line="240" w:lineRule="auto"/>
              <w:rPr>
                <w:rFonts w:ascii="Tahoma" w:hAnsi="Tahoma" w:cs="Tahoma"/>
                <w:b/>
                <w:bCs/>
                <w:color w:val="0D0D0D" w:themeColor="text1" w:themeTint="F2"/>
                <w:sz w:val="36"/>
                <w:szCs w:val="36"/>
              </w:rPr>
            </w:pPr>
          </w:p>
        </w:tc>
      </w:tr>
      <w:tr w14:paraId="7FB01C39" w14:textId="7E0F3449" w:rsidTr="002F6545">
        <w:tblPrEx>
          <w:tblW w:w="5000" w:type="pct"/>
          <w:tblCellMar>
            <w:left w:w="57" w:type="dxa"/>
            <w:right w:w="57" w:type="dxa"/>
          </w:tblCellMar>
          <w:tblLook w:val="04A0"/>
        </w:tblPrEx>
        <w:trPr>
          <w:gridAfter w:val="2"/>
          <w:wAfter w:w="1454" w:type="dxa"/>
        </w:trPr>
        <w:tc>
          <w:tcPr>
            <w:tcW w:w="1453" w:type="pct"/>
            <w:tcBorders>
              <w:top w:val="single" w:sz="8" w:space="0" w:color="000000"/>
            </w:tcBorders>
          </w:tcPr>
          <w:p w:rsidR="002F6545" w:rsidRPr="008A5E62" w:rsidP="002F6545" w14:paraId="0E469777" w14:textId="5A14778C">
            <w:pPr>
              <w:bidi w:val="0"/>
              <w:spacing w:after="100" w:line="240" w:lineRule="auto"/>
              <w:rPr>
                <w:rFonts w:ascii="Tahoma" w:hAnsi="Tahoma" w:cs="Tahoma"/>
                <w:bCs/>
                <w:color w:val="0D0D0D" w:themeColor="text1" w:themeTint="F2"/>
                <w:w w:val="90"/>
                <w:sz w:val="18"/>
                <w:szCs w:val="18"/>
                <w:rtl/>
              </w:rPr>
            </w:pPr>
            <w:r w:rsidRPr="009C7184">
              <w:rPr>
                <w:rFonts w:ascii="Tahoma" w:hAnsi="Tahoma" w:cs="Tahoma"/>
                <w:bCs/>
                <w:color w:val="0D0D0D" w:themeColor="text1" w:themeTint="F2"/>
                <w:w w:val="90"/>
                <w:sz w:val="18"/>
                <w:szCs w:val="18"/>
              </w:rPr>
              <w:t>active cellular broadcasting installations (antennas) in Israel – as of July 2023</w:t>
            </w:r>
          </w:p>
        </w:tc>
        <w:tc>
          <w:tcPr>
            <w:tcW w:w="213" w:type="pct"/>
            <w:tcBorders>
              <w:top w:val="single" w:sz="8" w:space="0" w:color="FFFFFF"/>
            </w:tcBorders>
          </w:tcPr>
          <w:p w:rsidR="002F6545" w:rsidRPr="008A5E62" w:rsidP="002F6545" w14:paraId="452D577E" w14:textId="77777777">
            <w:pPr>
              <w:bidi w:val="0"/>
              <w:spacing w:after="100" w:line="240" w:lineRule="auto"/>
              <w:rPr>
                <w:rFonts w:ascii="Tahoma" w:hAnsi="Tahoma" w:cs="Tahoma"/>
                <w:bCs/>
                <w:color w:val="0D0D0D" w:themeColor="text1" w:themeTint="F2"/>
                <w:w w:val="90"/>
                <w:sz w:val="18"/>
                <w:szCs w:val="18"/>
                <w:rtl/>
              </w:rPr>
            </w:pPr>
          </w:p>
        </w:tc>
        <w:tc>
          <w:tcPr>
            <w:tcW w:w="1454" w:type="pct"/>
            <w:tcBorders>
              <w:top w:val="single" w:sz="8" w:space="0" w:color="000000"/>
            </w:tcBorders>
          </w:tcPr>
          <w:p w:rsidR="002F6545" w:rsidRPr="0015187B" w:rsidP="002F6545" w14:paraId="77825D81" w14:textId="38899B8E">
            <w:pPr>
              <w:bidi w:val="0"/>
              <w:spacing w:after="100" w:line="240" w:lineRule="auto"/>
              <w:rPr>
                <w:rFonts w:ascii="Tahoma" w:hAnsi="Tahoma" w:cs="Tahoma"/>
                <w:bCs/>
                <w:color w:val="0D0D0D" w:themeColor="text1" w:themeTint="F2"/>
                <w:w w:val="90"/>
                <w:sz w:val="18"/>
                <w:szCs w:val="18"/>
                <w:rtl/>
              </w:rPr>
            </w:pPr>
            <w:r w:rsidRPr="009C7184">
              <w:rPr>
                <w:rFonts w:ascii="Tahoma" w:hAnsi="Tahoma" w:cs="Tahoma"/>
                <w:bCs/>
                <w:color w:val="0D0D0D" w:themeColor="text1" w:themeTint="F2"/>
                <w:w w:val="90"/>
                <w:sz w:val="18"/>
                <w:szCs w:val="18"/>
              </w:rPr>
              <w:t>the Ministers of Environmental Protection have not regulated maximum exposure levels to radiation from cellular broadcasting installations, as required by law</w:t>
            </w:r>
          </w:p>
        </w:tc>
        <w:tc>
          <w:tcPr>
            <w:tcW w:w="213" w:type="pct"/>
            <w:tcBorders>
              <w:top w:val="single" w:sz="8" w:space="0" w:color="FFFFFF"/>
            </w:tcBorders>
          </w:tcPr>
          <w:p w:rsidR="002F6545" w:rsidRPr="008A5E62" w:rsidP="002F6545" w14:paraId="5F4A0ACF" w14:textId="77777777">
            <w:pPr>
              <w:bidi w:val="0"/>
              <w:spacing w:after="100" w:line="240" w:lineRule="auto"/>
              <w:rPr>
                <w:rFonts w:ascii="Tahoma" w:hAnsi="Tahoma" w:cs="Tahoma"/>
                <w:bCs/>
                <w:color w:val="0D0D0D" w:themeColor="text1" w:themeTint="F2"/>
                <w:w w:val="90"/>
                <w:sz w:val="18"/>
                <w:szCs w:val="18"/>
                <w:rtl/>
              </w:rPr>
            </w:pPr>
          </w:p>
        </w:tc>
        <w:tc>
          <w:tcPr>
            <w:tcW w:w="213" w:type="pct"/>
          </w:tcPr>
          <w:p w:rsidR="002F6545" w:rsidRPr="00B662F5" w:rsidP="002F6545" w14:paraId="2855BDCC" w14:textId="77777777">
            <w:pPr>
              <w:bidi w:val="0"/>
              <w:spacing w:after="100" w:line="240" w:lineRule="auto"/>
              <w:ind w:right="23"/>
              <w:rPr>
                <w:rFonts w:ascii="Tahoma" w:hAnsi="Tahoma" w:cs="Tahoma"/>
                <w:bCs/>
                <w:color w:val="0D0D0D" w:themeColor="text1" w:themeTint="F2"/>
                <w:w w:val="90"/>
                <w:sz w:val="18"/>
                <w:szCs w:val="18"/>
              </w:rPr>
            </w:pPr>
          </w:p>
        </w:tc>
      </w:tr>
      <w:tr w14:paraId="5B9C6C91" w14:textId="77777777" w:rsidTr="002F6545">
        <w:tblPrEx>
          <w:tblW w:w="5000" w:type="pct"/>
          <w:tblCellMar>
            <w:left w:w="57" w:type="dxa"/>
            <w:right w:w="57" w:type="dxa"/>
          </w:tblCellMar>
          <w:tblLook w:val="04A0"/>
        </w:tblPrEx>
        <w:tc>
          <w:tcPr>
            <w:tcW w:w="1453" w:type="pct"/>
          </w:tcPr>
          <w:p w:rsidR="002F6545" w:rsidRPr="00FF2854" w:rsidP="002A18A0" w14:paraId="12D1B7F9" w14:textId="77777777">
            <w:pPr>
              <w:bidi w:val="0"/>
              <w:spacing w:after="100" w:line="240" w:lineRule="auto"/>
              <w:rPr>
                <w:rFonts w:ascii="Tahoma" w:hAnsi="Tahoma" w:cs="Tahoma"/>
                <w:bCs/>
                <w:color w:val="0D0D0D" w:themeColor="text1" w:themeTint="F2"/>
                <w:w w:val="90"/>
                <w:sz w:val="18"/>
                <w:szCs w:val="18"/>
              </w:rPr>
            </w:pPr>
          </w:p>
        </w:tc>
        <w:tc>
          <w:tcPr>
            <w:tcW w:w="213" w:type="pct"/>
          </w:tcPr>
          <w:p w:rsidR="002F6545" w:rsidRPr="008A5E62" w:rsidP="002A18A0" w14:paraId="128B8634" w14:textId="77777777">
            <w:pPr>
              <w:bidi w:val="0"/>
              <w:spacing w:after="100" w:line="240" w:lineRule="auto"/>
              <w:rPr>
                <w:rFonts w:ascii="Tahoma" w:hAnsi="Tahoma" w:cs="Tahoma"/>
                <w:bCs/>
                <w:color w:val="0D0D0D" w:themeColor="text1" w:themeTint="F2"/>
                <w:w w:val="90"/>
                <w:sz w:val="18"/>
                <w:szCs w:val="18"/>
                <w:rtl/>
              </w:rPr>
            </w:pPr>
          </w:p>
        </w:tc>
        <w:tc>
          <w:tcPr>
            <w:tcW w:w="1454" w:type="pct"/>
          </w:tcPr>
          <w:p w:rsidR="002F6545" w:rsidRPr="00FF2854" w:rsidP="002A18A0" w14:paraId="0DA83BF4" w14:textId="77777777">
            <w:pPr>
              <w:bidi w:val="0"/>
              <w:spacing w:after="100" w:line="240" w:lineRule="auto"/>
              <w:rPr>
                <w:rFonts w:ascii="Tahoma" w:hAnsi="Tahoma" w:cs="Tahoma"/>
                <w:bCs/>
                <w:color w:val="0D0D0D" w:themeColor="text1" w:themeTint="F2"/>
                <w:w w:val="90"/>
                <w:sz w:val="18"/>
                <w:szCs w:val="18"/>
              </w:rPr>
            </w:pPr>
          </w:p>
        </w:tc>
        <w:tc>
          <w:tcPr>
            <w:tcW w:w="213" w:type="pct"/>
          </w:tcPr>
          <w:p w:rsidR="002F6545" w:rsidRPr="008A5E62" w:rsidP="002A18A0" w14:paraId="0A10C8ED" w14:textId="77777777">
            <w:pPr>
              <w:bidi w:val="0"/>
              <w:spacing w:after="100" w:line="240" w:lineRule="auto"/>
              <w:rPr>
                <w:rFonts w:ascii="Tahoma" w:hAnsi="Tahoma" w:cs="Tahoma"/>
                <w:bCs/>
                <w:color w:val="0D0D0D" w:themeColor="text1" w:themeTint="F2"/>
                <w:w w:val="90"/>
                <w:sz w:val="18"/>
                <w:szCs w:val="18"/>
                <w:rtl/>
              </w:rPr>
            </w:pPr>
          </w:p>
        </w:tc>
        <w:tc>
          <w:tcPr>
            <w:tcW w:w="1454" w:type="pct"/>
            <w:gridSpan w:val="2"/>
          </w:tcPr>
          <w:p w:rsidR="002F6545" w:rsidRPr="00FF2854" w:rsidP="002A18A0" w14:paraId="40F8D1F0" w14:textId="77777777">
            <w:pPr>
              <w:bidi w:val="0"/>
              <w:spacing w:after="100" w:line="240" w:lineRule="auto"/>
              <w:ind w:right="23"/>
              <w:rPr>
                <w:rFonts w:ascii="Tahoma" w:hAnsi="Tahoma" w:cs="Tahoma"/>
                <w:bCs/>
                <w:color w:val="0D0D0D" w:themeColor="text1" w:themeTint="F2"/>
                <w:w w:val="90"/>
                <w:sz w:val="18"/>
                <w:szCs w:val="18"/>
              </w:rPr>
            </w:pPr>
          </w:p>
        </w:tc>
        <w:tc>
          <w:tcPr>
            <w:tcW w:w="213" w:type="pct"/>
          </w:tcPr>
          <w:p w:rsidR="002F6545" w:rsidRPr="00B662F5" w:rsidP="002A18A0" w14:paraId="249AB39D" w14:textId="77777777">
            <w:pPr>
              <w:bidi w:val="0"/>
              <w:spacing w:after="100" w:line="240" w:lineRule="auto"/>
              <w:ind w:right="23"/>
              <w:rPr>
                <w:rFonts w:ascii="Tahoma" w:hAnsi="Tahoma" w:cs="Tahoma"/>
                <w:bCs/>
                <w:color w:val="0D0D0D" w:themeColor="text1" w:themeTint="F2"/>
                <w:w w:val="90"/>
                <w:sz w:val="18"/>
                <w:szCs w:val="18"/>
              </w:rPr>
            </w:pPr>
          </w:p>
        </w:tc>
      </w:tr>
      <w:tr w14:paraId="3D0BD69E" w14:textId="77777777" w:rsidTr="002F6545">
        <w:tblPrEx>
          <w:tblW w:w="5000" w:type="pct"/>
          <w:tblCellMar>
            <w:left w:w="57" w:type="dxa"/>
            <w:right w:w="57" w:type="dxa"/>
          </w:tblCellMar>
          <w:tblLook w:val="04A0"/>
        </w:tblPrEx>
        <w:tc>
          <w:tcPr>
            <w:tcW w:w="1453" w:type="pct"/>
            <w:tcBorders>
              <w:bottom w:val="single" w:sz="8" w:space="0" w:color="000000"/>
            </w:tcBorders>
            <w:vAlign w:val="bottom"/>
          </w:tcPr>
          <w:p w:rsidR="002F6545" w:rsidRPr="002F6545" w:rsidP="002F6545" w14:paraId="1AFDDD8E" w14:textId="1225BF4B">
            <w:pPr>
              <w:bidi w:val="0"/>
              <w:spacing w:after="100" w:line="240" w:lineRule="auto"/>
              <w:rPr>
                <w:rFonts w:ascii="Tahoma" w:hAnsi="Tahoma" w:cs="Tahoma"/>
                <w:bCs/>
                <w:color w:val="0D0D0D" w:themeColor="text1" w:themeTint="F2"/>
                <w:w w:val="90"/>
                <w:sz w:val="26"/>
                <w:szCs w:val="26"/>
              </w:rPr>
            </w:pPr>
            <w:r w:rsidRPr="002F6545">
              <w:rPr>
                <w:rFonts w:ascii="Tahoma" w:hAnsi="Tahoma" w:cs="Tahoma"/>
                <w:b/>
                <w:bCs/>
                <w:sz w:val="26"/>
                <w:szCs w:val="26"/>
              </w:rPr>
              <w:t xml:space="preserve">only </w:t>
            </w:r>
            <w:r w:rsidRPr="002F6545">
              <w:rPr>
                <w:rFonts w:ascii="Tahoma" w:hAnsi="Tahoma" w:cs="Tahoma"/>
                <w:b/>
                <w:bCs/>
                <w:sz w:val="36"/>
                <w:szCs w:val="36"/>
              </w:rPr>
              <w:t>3%</w:t>
            </w:r>
            <w:r w:rsidRPr="002F6545">
              <w:rPr>
                <w:rFonts w:ascii="Tahoma" w:hAnsi="Tahoma" w:cs="Tahoma"/>
                <w:b/>
                <w:bCs/>
                <w:sz w:val="26"/>
                <w:szCs w:val="26"/>
              </w:rPr>
              <w:t xml:space="preserve"> of local authorities</w:t>
            </w:r>
          </w:p>
        </w:tc>
        <w:tc>
          <w:tcPr>
            <w:tcW w:w="213" w:type="pct"/>
            <w:tcBorders>
              <w:bottom w:val="single" w:sz="8" w:space="0" w:color="FFFFFF"/>
            </w:tcBorders>
            <w:vAlign w:val="bottom"/>
          </w:tcPr>
          <w:p w:rsidR="002F6545" w:rsidRPr="002F6545" w:rsidP="002F6545" w14:paraId="18295320" w14:textId="77777777">
            <w:pPr>
              <w:bidi w:val="0"/>
              <w:spacing w:after="100" w:line="240" w:lineRule="auto"/>
              <w:rPr>
                <w:rFonts w:ascii="Tahoma" w:hAnsi="Tahoma" w:cs="Tahoma"/>
                <w:bCs/>
                <w:color w:val="0D0D0D" w:themeColor="text1" w:themeTint="F2"/>
                <w:w w:val="90"/>
                <w:sz w:val="26"/>
                <w:szCs w:val="26"/>
                <w:rtl/>
              </w:rPr>
            </w:pPr>
          </w:p>
        </w:tc>
        <w:tc>
          <w:tcPr>
            <w:tcW w:w="1454" w:type="pct"/>
            <w:tcBorders>
              <w:bottom w:val="single" w:sz="8" w:space="0" w:color="000000"/>
            </w:tcBorders>
            <w:vAlign w:val="bottom"/>
          </w:tcPr>
          <w:p w:rsidR="002F6545" w:rsidRPr="002F6545" w:rsidP="002F6545" w14:paraId="0466B17E" w14:textId="2DF9E85C">
            <w:pPr>
              <w:bidi w:val="0"/>
              <w:spacing w:after="100" w:line="240" w:lineRule="auto"/>
              <w:rPr>
                <w:rFonts w:ascii="Tahoma" w:hAnsi="Tahoma" w:cs="Tahoma"/>
                <w:bCs/>
                <w:color w:val="0D0D0D" w:themeColor="text1" w:themeTint="F2"/>
                <w:w w:val="90"/>
                <w:sz w:val="26"/>
                <w:szCs w:val="26"/>
              </w:rPr>
            </w:pPr>
            <w:r w:rsidRPr="002F6545">
              <w:rPr>
                <w:rFonts w:ascii="Tahoma" w:hAnsi="Tahoma" w:cs="Tahoma"/>
                <w:b/>
                <w:bCs/>
                <w:sz w:val="36"/>
                <w:szCs w:val="36"/>
                <w:rtl/>
              </w:rPr>
              <w:t>55</w:t>
            </w:r>
            <w:r w:rsidRPr="002F6545">
              <w:rPr>
                <w:rFonts w:ascii="Tahoma" w:hAnsi="Tahoma" w:cs="Tahoma"/>
                <w:b/>
                <w:bCs/>
                <w:sz w:val="36"/>
                <w:szCs w:val="36"/>
              </w:rPr>
              <w:t>%</w:t>
            </w:r>
            <w:r w:rsidRPr="002F6545">
              <w:rPr>
                <w:rFonts w:ascii="Tahoma" w:hAnsi="Tahoma" w:cs="Tahoma"/>
                <w:b/>
                <w:bCs/>
                <w:sz w:val="26"/>
                <w:szCs w:val="26"/>
              </w:rPr>
              <w:t xml:space="preserve"> of residents</w:t>
            </w:r>
          </w:p>
        </w:tc>
        <w:tc>
          <w:tcPr>
            <w:tcW w:w="213" w:type="pct"/>
            <w:tcBorders>
              <w:bottom w:val="single" w:sz="8" w:space="0" w:color="FFFFFF"/>
            </w:tcBorders>
            <w:vAlign w:val="bottom"/>
          </w:tcPr>
          <w:p w:rsidR="002F6545" w:rsidRPr="002F6545" w:rsidP="002F6545" w14:paraId="72B3F175" w14:textId="77777777">
            <w:pPr>
              <w:bidi w:val="0"/>
              <w:spacing w:after="100" w:line="240" w:lineRule="auto"/>
              <w:rPr>
                <w:rFonts w:ascii="Tahoma" w:hAnsi="Tahoma" w:cs="Tahoma"/>
                <w:bCs/>
                <w:color w:val="0D0D0D" w:themeColor="text1" w:themeTint="F2"/>
                <w:w w:val="90"/>
                <w:sz w:val="26"/>
                <w:szCs w:val="26"/>
                <w:rtl/>
              </w:rPr>
            </w:pPr>
          </w:p>
        </w:tc>
        <w:tc>
          <w:tcPr>
            <w:tcW w:w="1454" w:type="pct"/>
            <w:gridSpan w:val="2"/>
            <w:tcBorders>
              <w:bottom w:val="single" w:sz="8" w:space="0" w:color="000000"/>
            </w:tcBorders>
            <w:vAlign w:val="bottom"/>
          </w:tcPr>
          <w:p w:rsidR="002F6545" w:rsidRPr="002F6545" w:rsidP="002F6545" w14:paraId="7C4308AA" w14:textId="16983BFE">
            <w:pPr>
              <w:bidi w:val="0"/>
              <w:spacing w:after="100" w:line="240" w:lineRule="auto"/>
              <w:ind w:right="23"/>
              <w:rPr>
                <w:rFonts w:ascii="Tahoma" w:hAnsi="Tahoma" w:cs="Tahoma"/>
                <w:bCs/>
                <w:color w:val="0D0D0D" w:themeColor="text1" w:themeTint="F2"/>
                <w:w w:val="90"/>
                <w:sz w:val="26"/>
                <w:szCs w:val="26"/>
              </w:rPr>
            </w:pPr>
            <w:r w:rsidRPr="002F6545">
              <w:rPr>
                <w:rFonts w:ascii="Tahoma" w:hAnsi="Tahoma" w:cs="Tahoma"/>
                <w:b/>
                <w:bCs/>
                <w:sz w:val="36"/>
                <w:szCs w:val="36"/>
              </w:rPr>
              <w:t>53%</w:t>
            </w:r>
          </w:p>
        </w:tc>
        <w:tc>
          <w:tcPr>
            <w:tcW w:w="213" w:type="pct"/>
            <w:vAlign w:val="bottom"/>
          </w:tcPr>
          <w:p w:rsidR="002F6545" w:rsidRPr="00B662F5" w:rsidP="002F6545" w14:paraId="32B06901" w14:textId="77777777">
            <w:pPr>
              <w:bidi w:val="0"/>
              <w:spacing w:after="100" w:line="240" w:lineRule="auto"/>
              <w:ind w:right="23"/>
              <w:rPr>
                <w:rFonts w:ascii="Tahoma" w:hAnsi="Tahoma" w:cs="Tahoma"/>
                <w:bCs/>
                <w:color w:val="0D0D0D" w:themeColor="text1" w:themeTint="F2"/>
                <w:w w:val="90"/>
                <w:sz w:val="18"/>
                <w:szCs w:val="18"/>
              </w:rPr>
            </w:pPr>
          </w:p>
        </w:tc>
      </w:tr>
      <w:tr w14:paraId="4CEBF2E2" w14:textId="77777777" w:rsidTr="002F6545">
        <w:tblPrEx>
          <w:tblW w:w="5000" w:type="pct"/>
          <w:tblCellMar>
            <w:left w:w="57" w:type="dxa"/>
            <w:right w:w="57" w:type="dxa"/>
          </w:tblCellMar>
          <w:tblLook w:val="04A0"/>
        </w:tblPrEx>
        <w:tc>
          <w:tcPr>
            <w:tcW w:w="1453" w:type="pct"/>
            <w:tcBorders>
              <w:top w:val="single" w:sz="8" w:space="0" w:color="000000"/>
            </w:tcBorders>
          </w:tcPr>
          <w:p w:rsidR="002F6545" w:rsidRPr="00FF2854" w:rsidP="002F6545" w14:paraId="4DFB2EB3" w14:textId="261E4C7D">
            <w:pPr>
              <w:bidi w:val="0"/>
              <w:spacing w:after="100" w:line="240" w:lineRule="auto"/>
              <w:rPr>
                <w:rFonts w:ascii="Tahoma" w:hAnsi="Tahoma" w:cs="Tahoma"/>
                <w:bCs/>
                <w:color w:val="0D0D0D" w:themeColor="text1" w:themeTint="F2"/>
                <w:w w:val="90"/>
                <w:sz w:val="18"/>
                <w:szCs w:val="18"/>
              </w:rPr>
            </w:pPr>
            <w:r w:rsidRPr="009C7184">
              <w:rPr>
                <w:rFonts w:ascii="Tahoma" w:hAnsi="Tahoma" w:cs="Tahoma"/>
                <w:bCs/>
                <w:color w:val="0D0D0D" w:themeColor="text1" w:themeTint="F2"/>
                <w:w w:val="90"/>
                <w:sz w:val="18"/>
                <w:szCs w:val="18"/>
              </w:rPr>
              <w:t>declared that reception in the residential neighborhoods under their jurisdiction is good</w:t>
            </w:r>
          </w:p>
        </w:tc>
        <w:tc>
          <w:tcPr>
            <w:tcW w:w="213" w:type="pct"/>
            <w:tcBorders>
              <w:top w:val="single" w:sz="8" w:space="0" w:color="FFFFFF"/>
            </w:tcBorders>
          </w:tcPr>
          <w:p w:rsidR="002F6545" w:rsidRPr="008A5E62" w:rsidP="002F6545" w14:paraId="383B645E" w14:textId="77777777">
            <w:pPr>
              <w:bidi w:val="0"/>
              <w:spacing w:after="100" w:line="240" w:lineRule="auto"/>
              <w:rPr>
                <w:rFonts w:ascii="Tahoma" w:hAnsi="Tahoma" w:cs="Tahoma"/>
                <w:bCs/>
                <w:color w:val="0D0D0D" w:themeColor="text1" w:themeTint="F2"/>
                <w:w w:val="90"/>
                <w:sz w:val="18"/>
                <w:szCs w:val="18"/>
                <w:rtl/>
              </w:rPr>
            </w:pPr>
          </w:p>
        </w:tc>
        <w:tc>
          <w:tcPr>
            <w:tcW w:w="1454" w:type="pct"/>
            <w:tcBorders>
              <w:top w:val="single" w:sz="8" w:space="0" w:color="000000"/>
            </w:tcBorders>
          </w:tcPr>
          <w:p w:rsidR="002F6545" w:rsidRPr="00FF2854" w:rsidP="002F6545" w14:paraId="59862DBC" w14:textId="641FD0CC">
            <w:pPr>
              <w:bidi w:val="0"/>
              <w:spacing w:after="100" w:line="240" w:lineRule="auto"/>
              <w:rPr>
                <w:rFonts w:ascii="Tahoma" w:hAnsi="Tahoma" w:cs="Tahoma"/>
                <w:bCs/>
                <w:color w:val="0D0D0D" w:themeColor="text1" w:themeTint="F2"/>
                <w:w w:val="90"/>
                <w:sz w:val="18"/>
                <w:szCs w:val="18"/>
              </w:rPr>
            </w:pPr>
            <w:r w:rsidRPr="009C7184">
              <w:rPr>
                <w:rFonts w:ascii="Tahoma" w:hAnsi="Tahoma" w:cs="Tahoma"/>
                <w:bCs/>
                <w:color w:val="0D0D0D" w:themeColor="text1" w:themeTint="F2"/>
                <w:w w:val="90"/>
                <w:sz w:val="18"/>
                <w:szCs w:val="18"/>
              </w:rPr>
              <w:t>in 18, local authorities reported reception difficulties in internet usage on cell phone (without a wireless internet network)</w:t>
            </w:r>
          </w:p>
        </w:tc>
        <w:tc>
          <w:tcPr>
            <w:tcW w:w="213" w:type="pct"/>
            <w:tcBorders>
              <w:top w:val="single" w:sz="8" w:space="0" w:color="FFFFFF"/>
              <w:bottom w:val="single" w:sz="8" w:space="0" w:color="FFFFFF"/>
            </w:tcBorders>
          </w:tcPr>
          <w:p w:rsidR="002F6545" w:rsidRPr="008A5E62" w:rsidP="002F6545" w14:paraId="0B9558FF" w14:textId="77777777">
            <w:pPr>
              <w:bidi w:val="0"/>
              <w:spacing w:after="100" w:line="240" w:lineRule="auto"/>
              <w:rPr>
                <w:rFonts w:ascii="Tahoma" w:hAnsi="Tahoma" w:cs="Tahoma"/>
                <w:bCs/>
                <w:color w:val="0D0D0D" w:themeColor="text1" w:themeTint="F2"/>
                <w:w w:val="90"/>
                <w:sz w:val="18"/>
                <w:szCs w:val="18"/>
                <w:rtl/>
              </w:rPr>
            </w:pPr>
          </w:p>
        </w:tc>
        <w:tc>
          <w:tcPr>
            <w:tcW w:w="1454" w:type="pct"/>
            <w:gridSpan w:val="2"/>
            <w:tcBorders>
              <w:top w:val="single" w:sz="8" w:space="0" w:color="000000"/>
            </w:tcBorders>
          </w:tcPr>
          <w:p w:rsidR="002F6545" w:rsidRPr="00FF2854" w:rsidP="002F6545" w14:paraId="7B83DDFD" w14:textId="38FE2170">
            <w:pPr>
              <w:bidi w:val="0"/>
              <w:spacing w:after="100" w:line="240" w:lineRule="auto"/>
              <w:ind w:right="23"/>
              <w:rPr>
                <w:rFonts w:ascii="Tahoma" w:hAnsi="Tahoma" w:cs="Tahoma"/>
                <w:bCs/>
                <w:color w:val="0D0D0D" w:themeColor="text1" w:themeTint="F2"/>
                <w:w w:val="90"/>
                <w:sz w:val="18"/>
                <w:szCs w:val="18"/>
              </w:rPr>
            </w:pPr>
            <w:r w:rsidRPr="009C7184">
              <w:rPr>
                <w:rFonts w:ascii="Tahoma" w:hAnsi="Tahoma" w:cs="Tahoma"/>
                <w:bCs/>
                <w:color w:val="0D0D0D" w:themeColor="text1" w:themeTint="F2"/>
                <w:w w:val="90"/>
                <w:sz w:val="18"/>
                <w:szCs w:val="18"/>
              </w:rPr>
              <w:t>of peripheral Arab communities have no 5G technology broadcasting installations (local authorities with 10,000 or more residents)</w:t>
            </w:r>
          </w:p>
        </w:tc>
        <w:tc>
          <w:tcPr>
            <w:tcW w:w="213" w:type="pct"/>
          </w:tcPr>
          <w:p w:rsidR="002F6545" w:rsidRPr="00B662F5" w:rsidP="002F6545" w14:paraId="0CE82B53" w14:textId="77777777">
            <w:pPr>
              <w:bidi w:val="0"/>
              <w:spacing w:after="100" w:line="240" w:lineRule="auto"/>
              <w:ind w:right="23"/>
              <w:rPr>
                <w:rFonts w:ascii="Tahoma" w:hAnsi="Tahoma" w:cs="Tahoma"/>
                <w:bCs/>
                <w:color w:val="0D0D0D" w:themeColor="text1" w:themeTint="F2"/>
                <w:w w:val="90"/>
                <w:sz w:val="18"/>
                <w:szCs w:val="18"/>
              </w:rPr>
            </w:pPr>
          </w:p>
        </w:tc>
      </w:tr>
    </w:tbl>
    <w:p w:rsidR="002A18A0" w14:paraId="5146DA0D" w14:textId="77777777">
      <w:pPr>
        <w:bidi w:val="0"/>
        <w:rPr>
          <w:rFonts w:ascii="Tahoma" w:hAnsi="Tahoma" w:cs="Tahoma"/>
          <w:b/>
          <w:bCs/>
          <w:color w:val="00305F"/>
          <w:sz w:val="32"/>
          <w:szCs w:val="32"/>
        </w:rPr>
      </w:pPr>
      <w:bookmarkStart w:id="6" w:name="_Hlk62029958"/>
      <w:r>
        <w:rPr>
          <w:rFonts w:ascii="Tahoma" w:hAnsi="Tahoma" w:cs="Tahoma"/>
          <w:b/>
          <w:bCs/>
          <w:color w:val="00305F"/>
          <w:sz w:val="32"/>
          <w:szCs w:val="32"/>
        </w:rPr>
        <w:br w:type="page"/>
      </w:r>
    </w:p>
    <w:p w:rsidR="001E44CF" w:rsidP="009661D6" w14:paraId="5BE35871" w14:textId="6DAAECAF">
      <w:pPr>
        <w:bidi w:val="0"/>
        <w:spacing w:before="120" w:after="180" w:line="240" w:lineRule="atLeast"/>
        <w:rPr>
          <w:rFonts w:ascii="Tahoma" w:hAnsi="Tahoma" w:cs="Tahoma"/>
          <w:b/>
          <w:bCs/>
          <w:color w:val="00305F"/>
          <w:sz w:val="32"/>
          <w:szCs w:val="32"/>
        </w:rPr>
      </w:pPr>
      <w:r>
        <w:rPr>
          <w:rFonts w:ascii="Tahoma" w:hAnsi="Tahoma" w:cs="Tahoma"/>
          <w:b/>
          <w:bCs/>
          <w:noProof/>
          <w:color w:val="003364"/>
          <w:w w:val="90"/>
          <w:sz w:val="32"/>
          <w:szCs w:val="32"/>
        </w:rPr>
        <w:drawing>
          <wp:inline distT="0" distB="0" distL="0" distR="0">
            <wp:extent cx="4679950" cy="45720"/>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rsidR="009A341D" w:rsidRPr="00902625" w:rsidP="001E44CF" w14:paraId="62E9D9E2" w14:textId="5EE8C914">
      <w:pPr>
        <w:bidi w:val="0"/>
        <w:spacing w:before="120" w:after="180" w:line="240" w:lineRule="atLeast"/>
        <w:rPr>
          <w:rFonts w:ascii="Tahoma" w:hAnsi="Tahoma" w:cs="Tahoma"/>
          <w:b/>
          <w:bCs/>
          <w:color w:val="00305F"/>
          <w:sz w:val="32"/>
          <w:szCs w:val="32"/>
        </w:rPr>
      </w:pPr>
      <w:r w:rsidRPr="00AE5F94">
        <w:rPr>
          <w:rFonts w:ascii="Tahoma" w:hAnsi="Tahoma" w:cs="Tahoma"/>
          <w:b/>
          <w:bCs/>
          <w:color w:val="00305F"/>
          <w:sz w:val="32"/>
          <w:szCs w:val="32"/>
        </w:rPr>
        <w:t xml:space="preserve">Audit </w:t>
      </w:r>
      <w:r w:rsidR="004806D7">
        <w:rPr>
          <w:rFonts w:ascii="Tahoma" w:hAnsi="Tahoma" w:cs="Tahoma"/>
          <w:b/>
          <w:bCs/>
          <w:color w:val="00305F"/>
          <w:sz w:val="32"/>
          <w:szCs w:val="32"/>
        </w:rPr>
        <w:t>A</w:t>
      </w:r>
      <w:r w:rsidRPr="00AE5F94">
        <w:rPr>
          <w:rFonts w:ascii="Tahoma" w:hAnsi="Tahoma" w:cs="Tahoma"/>
          <w:b/>
          <w:bCs/>
          <w:color w:val="00305F"/>
          <w:sz w:val="32"/>
          <w:szCs w:val="32"/>
        </w:rPr>
        <w:t>ctions</w:t>
      </w:r>
    </w:p>
    <w:bookmarkEnd w:id="6"/>
    <w:p w:rsidR="002F6545" w:rsidRPr="002F6545" w:rsidP="002F6545" w14:paraId="219556C4" w14:textId="04A6F1E7">
      <w:pPr>
        <w:pStyle w:val="7191"/>
        <w:bidi w:val="0"/>
        <w:ind w:left="397"/>
      </w:pPr>
      <w:r w:rsidRPr="002F6545">
        <w:rPr>
          <w:rStyle w:val="7190"/>
          <w:noProof/>
        </w:rPr>
        <w:drawing>
          <wp:anchor distT="0" distB="0" distL="0" distR="0" simplePos="0" relativeHeight="251683840" behindDoc="1" locked="0" layoutInCell="1" allowOverlap="1">
            <wp:simplePos x="0" y="0"/>
            <wp:positionH relativeFrom="margin">
              <wp:posOffset>0</wp:posOffset>
            </wp:positionH>
            <wp:positionV relativeFrom="margin">
              <wp:posOffset>667548</wp:posOffset>
            </wp:positionV>
            <wp:extent cx="161925" cy="177800"/>
            <wp:effectExtent l="0" t="0" r="3175" b="0"/>
            <wp:wrapTight wrapText="bothSides">
              <wp:wrapPolygon>
                <wp:start x="0" y="0"/>
                <wp:lineTo x="0" y="16971"/>
                <wp:lineTo x="11859" y="20057"/>
                <wp:lineTo x="20329" y="20057"/>
                <wp:lineTo x="20329" y="10800"/>
                <wp:lineTo x="16941" y="0"/>
                <wp:lineTo x="0" y="0"/>
              </wp:wrapPolygon>
            </wp:wrapTight>
            <wp:docPr id="21" name="תמונה 33"/>
            <wp:cNvGraphicFramePr/>
            <a:graphic xmlns:a="http://schemas.openxmlformats.org/drawingml/2006/main">
              <a:graphicData uri="http://schemas.openxmlformats.org/drawingml/2006/picture">
                <pic:pic xmlns:pic="http://schemas.openxmlformats.org/drawingml/2006/picture">
                  <pic:nvPicPr>
                    <pic:cNvPr id="21" name="תמונה 33"/>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7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6545">
        <w:t>From February to July 2023, the State Comptroller's Office audited cellular communication infrastructures, including obligations of cellular companies and their supervision; Planning, licensing, and placement of cellular broadcasting installations; Protection against radiation from cellular broadcasting installations; And cellular communication infrastructure utilizing 5</w:t>
      </w:r>
      <w:r w:rsidRPr="003126AC">
        <w:rPr>
          <w:vertAlign w:val="superscript"/>
        </w:rPr>
        <w:t>th</w:t>
      </w:r>
      <w:r w:rsidRPr="002F6545">
        <w:t xml:space="preserve"> generation technology. The audit was conducted at the Ministry of Communications, with completion examinations carried out at the Ministry of Environmental Protection, the Ministry of Health, the Ministry of Finance, the Ministry of Transport and Road Safety, the Planning Administration, and the following municipalities: </w:t>
      </w:r>
      <w:r w:rsidRPr="002F6545">
        <w:rPr>
          <w:b/>
          <w:bCs/>
        </w:rPr>
        <w:t>Harish</w:t>
      </w:r>
      <w:r w:rsidRPr="002F6545">
        <w:t xml:space="preserve">, </w:t>
      </w:r>
      <w:r w:rsidRPr="002F6545">
        <w:rPr>
          <w:b/>
          <w:bCs/>
        </w:rPr>
        <w:t>Beit</w:t>
      </w:r>
      <w:r w:rsidRPr="002F6545">
        <w:t xml:space="preserve"> </w:t>
      </w:r>
      <w:r w:rsidRPr="002F6545">
        <w:rPr>
          <w:b/>
          <w:bCs/>
        </w:rPr>
        <w:t>Shemesh</w:t>
      </w:r>
      <w:r w:rsidRPr="002F6545">
        <w:t xml:space="preserve">, </w:t>
      </w:r>
      <w:r w:rsidRPr="002F6545">
        <w:rPr>
          <w:b/>
          <w:bCs/>
        </w:rPr>
        <w:t>Rahat</w:t>
      </w:r>
      <w:r w:rsidRPr="002F6545">
        <w:t xml:space="preserve">, </w:t>
      </w:r>
      <w:r w:rsidRPr="002F6545">
        <w:rPr>
          <w:b/>
          <w:bCs/>
        </w:rPr>
        <w:t>Modi'in-</w:t>
      </w:r>
      <w:r w:rsidRPr="002F6545">
        <w:rPr>
          <w:b/>
          <w:bCs/>
        </w:rPr>
        <w:t>Maccabim</w:t>
      </w:r>
      <w:r w:rsidRPr="002F6545">
        <w:rPr>
          <w:b/>
          <w:bCs/>
        </w:rPr>
        <w:t>-</w:t>
      </w:r>
      <w:r w:rsidRPr="002F6545">
        <w:rPr>
          <w:b/>
          <w:bCs/>
        </w:rPr>
        <w:t>Re'ut</w:t>
      </w:r>
      <w:r w:rsidRPr="002F6545">
        <w:t xml:space="preserve">, </w:t>
      </w:r>
      <w:r w:rsidRPr="002F6545">
        <w:rPr>
          <w:b/>
          <w:bCs/>
        </w:rPr>
        <w:t>Baqa al-</w:t>
      </w:r>
      <w:r w:rsidRPr="002F6545">
        <w:rPr>
          <w:b/>
          <w:bCs/>
        </w:rPr>
        <w:t>Gharbiyye</w:t>
      </w:r>
      <w:r w:rsidRPr="002F6545">
        <w:t xml:space="preserve">, and </w:t>
      </w:r>
      <w:r w:rsidRPr="002F6545">
        <w:rPr>
          <w:b/>
          <w:bCs/>
        </w:rPr>
        <w:t>Herzliya</w:t>
      </w:r>
      <w:r w:rsidRPr="002F6545">
        <w:t xml:space="preserve">. </w:t>
      </w:r>
    </w:p>
    <w:p w:rsidR="00A73A45" w:rsidRPr="002F6545" w:rsidP="002F6545" w14:paraId="602B8997" w14:textId="792E6894">
      <w:pPr>
        <w:pStyle w:val="7191"/>
        <w:bidi w:val="0"/>
        <w:ind w:left="397"/>
        <w:rPr>
          <w:rStyle w:val="7190"/>
        </w:rPr>
      </w:pPr>
      <w:r w:rsidRPr="002F6545">
        <w:t xml:space="preserve">Additionally, data and information were collected from local authorities and residents using two audit tools. An internet survey combined with telephone interviews was conducted from September to October 2023 among 2,139 residents across 18 local authorities in Israel. This survey focused on the nature and quality of cell reception, interviewing a representative sample of the local authority surveyed. A questionnaire distributed to 35 local authorities, adequately representing districts, municipalities, local authorities, and regional councils. The questionnaire addressed the quality of cell reception within the authority's territory as of July 2023, public inquiries regarding cell reception, and the establishment of cellular broadcasting installations on properties owned by the local authority. 32 local authorities </w:t>
      </w:r>
      <w:r w:rsidRPr="002F6545">
        <w:t>respondes</w:t>
      </w:r>
      <w:r w:rsidRPr="002F6545">
        <w:t xml:space="preserve"> to the questionnaire</w:t>
      </w:r>
      <w:r w:rsidRPr="002F6545" w:rsidR="00FF2854">
        <w:rPr>
          <w:rStyle w:val="7190"/>
        </w:rPr>
        <w:t>.</w:t>
      </w:r>
    </w:p>
    <w:p w:rsidR="000A1D75" w:rsidP="00B56681" w14:paraId="44F553C6" w14:textId="6D5C69C9">
      <w:pPr>
        <w:keepNext/>
        <w:keepLines/>
        <w:bidi w:val="0"/>
        <w:spacing w:before="600"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0A1D75" w:rsidP="009661D6" w14:paraId="129BA907" w14:textId="147575D3">
      <w:pPr>
        <w:keepNext/>
        <w:keepLines/>
        <w:bidi w:val="0"/>
        <w:spacing w:before="120" w:after="180" w:line="240" w:lineRule="atLeast"/>
        <w:rPr>
          <w:rFonts w:ascii="Tahoma" w:hAnsi="Tahoma" w:cs="Tahoma"/>
          <w:b/>
          <w:bCs/>
          <w:color w:val="00305F"/>
          <w:sz w:val="32"/>
          <w:szCs w:val="32"/>
          <w:rtl/>
        </w:rPr>
      </w:pPr>
      <w:bookmarkStart w:id="7" w:name="_Hlk62030689"/>
      <w:r w:rsidRPr="00AE5F94">
        <w:rPr>
          <w:rFonts w:ascii="Tahoma" w:hAnsi="Tahoma" w:cs="Tahoma"/>
          <w:b/>
          <w:bCs/>
          <w:color w:val="00305F"/>
          <w:sz w:val="32"/>
          <w:szCs w:val="32"/>
        </w:rPr>
        <w:t xml:space="preserve">Key </w:t>
      </w:r>
      <w:r w:rsidR="004806D7">
        <w:rPr>
          <w:rFonts w:ascii="Tahoma" w:hAnsi="Tahoma" w:cs="Tahoma"/>
          <w:b/>
          <w:bCs/>
          <w:color w:val="00305F"/>
          <w:sz w:val="32"/>
          <w:szCs w:val="32"/>
        </w:rPr>
        <w:t>F</w:t>
      </w:r>
      <w:r w:rsidRPr="00AE5F94">
        <w:rPr>
          <w:rFonts w:ascii="Tahoma" w:hAnsi="Tahoma" w:cs="Tahoma"/>
          <w:b/>
          <w:bCs/>
          <w:color w:val="00305F"/>
          <w:sz w:val="32"/>
          <w:szCs w:val="32"/>
        </w:rPr>
        <w:t>indings</w:t>
      </w:r>
    </w:p>
    <w:p w:rsidR="00BD3044" w:rsidRPr="00BD3044" w:rsidP="00BD3044" w14:paraId="007359CF" w14:textId="2DF255FA">
      <w:pPr>
        <w:keepNext/>
        <w:keepLines/>
        <w:bidi w:val="0"/>
        <w:spacing w:after="180" w:line="240" w:lineRule="atLeast"/>
        <w:rPr>
          <w:rFonts w:ascii="Tahoma" w:hAnsi="Tahoma" w:cs="Tahoma"/>
          <w:b/>
          <w:bCs/>
          <w:color w:val="00305F"/>
          <w:sz w:val="4"/>
          <w:szCs w:val="4"/>
          <w:rtl/>
        </w:rPr>
      </w:pPr>
      <w:r>
        <w:rPr>
          <w:b/>
          <w:bCs/>
          <w:noProof/>
          <w:sz w:val="18"/>
        </w:rPr>
        <w:drawing>
          <wp:anchor distT="0" distB="0" distL="114300" distR="114300" simplePos="0" relativeHeight="251673600" behindDoc="1" locked="0" layoutInCell="1" allowOverlap="1">
            <wp:simplePos x="0" y="0"/>
            <wp:positionH relativeFrom="column">
              <wp:posOffset>1270</wp:posOffset>
            </wp:positionH>
            <wp:positionV relativeFrom="paragraph">
              <wp:posOffset>38295</wp:posOffset>
            </wp:positionV>
            <wp:extent cx="2879725" cy="158115"/>
            <wp:effectExtent l="0" t="0" r="0" b="0"/>
            <wp:wrapTight wrapText="bothSides">
              <wp:wrapPolygon>
                <wp:start x="4191" y="0"/>
                <wp:lineTo x="0" y="5205"/>
                <wp:lineTo x="0" y="8675"/>
                <wp:lineTo x="4191" y="19084"/>
                <wp:lineTo x="5906" y="19084"/>
                <wp:lineTo x="21433" y="8675"/>
                <wp:lineTo x="21433" y="5205"/>
                <wp:lineTo x="5906" y="0"/>
                <wp:lineTo x="4191"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a:xfrm>
                      <a:off x="0" y="0"/>
                      <a:ext cx="2879725" cy="158115"/>
                    </a:xfrm>
                    <a:prstGeom prst="rect">
                      <a:avLst/>
                    </a:prstGeom>
                  </pic:spPr>
                </pic:pic>
              </a:graphicData>
            </a:graphic>
            <wp14:sizeRelH relativeFrom="page">
              <wp14:pctWidth>0</wp14:pctWidth>
            </wp14:sizeRelH>
            <wp14:sizeRelV relativeFrom="page">
              <wp14:pctHeight>0</wp14:pctHeight>
            </wp14:sizeRelV>
          </wp:anchor>
        </w:drawing>
      </w:r>
    </w:p>
    <w:bookmarkEnd w:id="7"/>
    <w:p w:rsidR="002F6545" w:rsidRPr="002F6545" w:rsidP="002F6545" w14:paraId="357EF0E8" w14:textId="16AD7AB4">
      <w:pPr>
        <w:pStyle w:val="7191"/>
        <w:bidi w:val="0"/>
        <w:ind w:left="397"/>
        <w:rPr>
          <w:b/>
          <w:bCs/>
          <w:noProof/>
        </w:rPr>
      </w:pPr>
      <w:r w:rsidRPr="002F6545">
        <w:rPr>
          <w:rFonts w:hint="cs"/>
          <w:b/>
          <w:bCs/>
          <w:noProof/>
          <w:rtl/>
        </w:rPr>
        <w:drawing>
          <wp:anchor distT="0" distB="0" distL="0" distR="0" simplePos="0" relativeHeight="251674624" behindDoc="0" locked="0" layoutInCell="1" allowOverlap="1">
            <wp:simplePos x="0" y="0"/>
            <wp:positionH relativeFrom="column">
              <wp:posOffset>15875</wp:posOffset>
            </wp:positionH>
            <wp:positionV relativeFrom="paragraph">
              <wp:posOffset>23081</wp:posOffset>
            </wp:positionV>
            <wp:extent cx="162000" cy="162000"/>
            <wp:effectExtent l="0" t="0" r="3175" b="3175"/>
            <wp:wrapSquare wrapText="bothSides"/>
            <wp:docPr id="2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F6545">
        <w:rPr>
          <w:b/>
          <w:bCs/>
          <w:noProof/>
        </w:rPr>
        <w:t>Quality of the Cellular Infrastructure</w:t>
      </w:r>
    </w:p>
    <w:p w:rsidR="002F6545" w:rsidRPr="009C7184" w:rsidP="002F6545" w14:paraId="61ECB9BD" w14:textId="77777777">
      <w:pPr>
        <w:pStyle w:val="7191"/>
        <w:numPr>
          <w:ilvl w:val="0"/>
          <w:numId w:val="38"/>
        </w:numPr>
        <w:bidi w:val="0"/>
        <w:rPr>
          <w:noProof/>
        </w:rPr>
      </w:pPr>
      <w:r w:rsidRPr="009C7184">
        <w:rPr>
          <w:noProof/>
        </w:rPr>
        <w:t>As of August 2023, Israel ranks 64th among 145 countries in the median download speed index for mobile browsing.</w:t>
      </w:r>
    </w:p>
    <w:p w:rsidR="003126AC" w:rsidP="002F6545" w14:paraId="519E701C" w14:textId="59AB603F">
      <w:pPr>
        <w:pStyle w:val="7191"/>
        <w:numPr>
          <w:ilvl w:val="0"/>
          <w:numId w:val="38"/>
        </w:numPr>
        <w:bidi w:val="0"/>
        <w:rPr>
          <w:noProof/>
        </w:rPr>
      </w:pPr>
      <w:r w:rsidRPr="009C7184">
        <w:rPr>
          <w:noProof/>
        </w:rPr>
        <w:t>The Ministry of Communications has not exercised its authority to impose financial sanctions on cellular infrastructure companies concerning their cellular coverage obligations.</w:t>
      </w:r>
    </w:p>
    <w:p w:rsidR="003126AC" w14:paraId="1E983E0F" w14:textId="77777777">
      <w:pPr>
        <w:bidi w:val="0"/>
        <w:rPr>
          <w:rFonts w:ascii="Tahoma" w:hAnsi="Tahoma" w:eastAsiaTheme="minorHAnsi" w:cs="Tahoma"/>
          <w:noProof/>
          <w:color w:val="0D0D0D" w:themeColor="text1" w:themeTint="F2"/>
          <w:sz w:val="18"/>
          <w:szCs w:val="18"/>
        </w:rPr>
      </w:pPr>
      <w:r>
        <w:rPr>
          <w:noProof/>
        </w:rPr>
        <w:br w:type="page"/>
      </w:r>
    </w:p>
    <w:p w:rsidR="002F6545" w:rsidRPr="002F6545" w:rsidP="002F6545" w14:paraId="05A2C361" w14:textId="07879806">
      <w:pPr>
        <w:pStyle w:val="7191"/>
        <w:bidi w:val="0"/>
        <w:ind w:left="397"/>
        <w:rPr>
          <w:b/>
          <w:bCs/>
          <w:noProof/>
        </w:rPr>
      </w:pPr>
      <w:r w:rsidRPr="002F6545">
        <w:rPr>
          <w:rFonts w:hint="cs"/>
          <w:b/>
          <w:bCs/>
          <w:noProof/>
          <w:rtl/>
        </w:rPr>
        <w:drawing>
          <wp:anchor distT="0" distB="0" distL="0" distR="0" simplePos="0" relativeHeight="251684864" behindDoc="0" locked="0" layoutInCell="1" allowOverlap="1">
            <wp:simplePos x="0" y="0"/>
            <wp:positionH relativeFrom="column">
              <wp:posOffset>15875</wp:posOffset>
            </wp:positionH>
            <wp:positionV relativeFrom="paragraph">
              <wp:posOffset>35974</wp:posOffset>
            </wp:positionV>
            <wp:extent cx="162000" cy="162000"/>
            <wp:effectExtent l="0" t="0" r="3175" b="3175"/>
            <wp:wrapSquare wrapText="bothSides"/>
            <wp:docPr id="134168750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687503"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F6545">
        <w:rPr>
          <w:b/>
          <w:bCs/>
          <w:noProof/>
        </w:rPr>
        <w:t>Cellular Coverage and its Quality</w:t>
      </w:r>
    </w:p>
    <w:p w:rsidR="002F6545" w:rsidRPr="002F6545" w:rsidP="002F6545" w14:paraId="502E0FBE" w14:textId="77777777">
      <w:pPr>
        <w:pStyle w:val="7191"/>
        <w:numPr>
          <w:ilvl w:val="0"/>
          <w:numId w:val="38"/>
        </w:numPr>
        <w:bidi w:val="0"/>
        <w:rPr>
          <w:b/>
          <w:bCs/>
          <w:noProof/>
        </w:rPr>
      </w:pPr>
      <w:r w:rsidRPr="002F6545">
        <w:rPr>
          <w:b/>
          <w:bCs/>
          <w:noProof/>
        </w:rPr>
        <w:t>The Ministry of Communications' Data on Cellular Coverage and its Quality</w:t>
      </w:r>
    </w:p>
    <w:p w:rsidR="002F6545" w:rsidRPr="009C7184" w:rsidP="002F6545" w14:paraId="121ECC02" w14:textId="77777777">
      <w:pPr>
        <w:pStyle w:val="7191"/>
        <w:bidi w:val="0"/>
        <w:ind w:left="794"/>
        <w:rPr>
          <w:noProof/>
        </w:rPr>
      </w:pPr>
      <w:r w:rsidRPr="009C7184">
        <w:rPr>
          <w:noProof/>
        </w:rPr>
        <w:t>The Ministry of Communications has delineated in the licenses for operators of mobile radio telephone, specific obligations to reliably deliver services to their subscribers, ensuring quality that meets the standards outlined in their licenses. Additionally, the Ministry has established coverage obligations in the licenses granted to cellular infrastructure companies, when as of February 2023, these companies are required to comply with coverage obligations for 4th generation technology, ensuring coverage for 99% of the population. This includes providing coverage for 95% of the area within each local authority and coverage ranging from 80% to 95% for roads. It was found that:</w:t>
      </w:r>
    </w:p>
    <w:p w:rsidR="002F6545" w:rsidRPr="009C7184" w:rsidP="002F6545" w14:paraId="4285365A" w14:textId="77777777">
      <w:pPr>
        <w:pStyle w:val="7191"/>
        <w:numPr>
          <w:ilvl w:val="0"/>
          <w:numId w:val="41"/>
        </w:numPr>
        <w:bidi w:val="0"/>
        <w:rPr>
          <w:noProof/>
        </w:rPr>
      </w:pPr>
      <w:r w:rsidRPr="009C7184">
        <w:rPr>
          <w:noProof/>
        </w:rPr>
        <w:t>The Ministry of Communications does not require cellular infrastructure companies to provide coverage data, settling for reports relying on their projections, which may not accurately reflect cell reception. In March 2023, cellular infrastructure companies reported meeting coverage obligations in 98.9% to 100% of local authorities. However, significant discrepancies were identified between these reports and audit findings on cell reception, as detailed below.</w:t>
      </w:r>
    </w:p>
    <w:p w:rsidR="002F6545" w:rsidRPr="009C7184" w:rsidP="002F6545" w14:paraId="0B82FB6E" w14:textId="77777777">
      <w:pPr>
        <w:pStyle w:val="7191"/>
        <w:numPr>
          <w:ilvl w:val="0"/>
          <w:numId w:val="41"/>
        </w:numPr>
        <w:bidi w:val="0"/>
        <w:rPr>
          <w:noProof/>
        </w:rPr>
      </w:pPr>
      <w:r w:rsidRPr="009C7184">
        <w:rPr>
          <w:noProof/>
        </w:rPr>
        <w:t>Until 2023, the Ministry did not evaluate the accuracy of the reports submitted by cellular companies regarding compliance with coverage obligations in their licenses. There was no assessment of compliance based on actual data or projections.</w:t>
      </w:r>
    </w:p>
    <w:p w:rsidR="002F6545" w:rsidRPr="009C7184" w:rsidP="002F6545" w14:paraId="3AF4718B" w14:textId="77777777">
      <w:pPr>
        <w:pStyle w:val="7191"/>
        <w:numPr>
          <w:ilvl w:val="0"/>
          <w:numId w:val="41"/>
        </w:numPr>
        <w:bidi w:val="0"/>
        <w:rPr>
          <w:noProof/>
        </w:rPr>
      </w:pPr>
      <w:r w:rsidRPr="009C7184">
        <w:rPr>
          <w:noProof/>
        </w:rPr>
        <w:t xml:space="preserve">The Ministry of Communications' information, was based solely on the cellular infrastructure companies' projections. Hence it is insufficient to draw reliable conclusions regarding their adherence to the obligations outlined in their licenses related to cellular coverage and network quality. Consequently, the Ministry cannot perform comprehensive supervision of the companies or determine whether there is justification for imposing financial sanctions for non-compliance. </w:t>
      </w:r>
    </w:p>
    <w:p w:rsidR="002F6545" w:rsidRPr="002F6545" w:rsidP="002F6545" w14:paraId="4EB4BF61" w14:textId="77777777">
      <w:pPr>
        <w:pStyle w:val="7191"/>
        <w:numPr>
          <w:ilvl w:val="0"/>
          <w:numId w:val="38"/>
        </w:numPr>
        <w:bidi w:val="0"/>
        <w:rPr>
          <w:b/>
          <w:bCs/>
          <w:noProof/>
        </w:rPr>
      </w:pPr>
      <w:r w:rsidRPr="002F6545">
        <w:rPr>
          <w:b/>
          <w:bCs/>
          <w:noProof/>
        </w:rPr>
        <w:t>Cellular Coverage and Quality</w:t>
      </w:r>
    </w:p>
    <w:p w:rsidR="002F6545" w:rsidRPr="009C7184" w:rsidP="002F6545" w14:paraId="071EDCEF" w14:textId="77777777">
      <w:pPr>
        <w:pStyle w:val="7191"/>
        <w:numPr>
          <w:ilvl w:val="0"/>
          <w:numId w:val="41"/>
        </w:numPr>
        <w:bidi w:val="0"/>
        <w:rPr>
          <w:noProof/>
        </w:rPr>
      </w:pPr>
      <w:r w:rsidRPr="009C7184">
        <w:rPr>
          <w:noProof/>
        </w:rPr>
        <w:t xml:space="preserve">In the analysis of cell reception quality in Israel, it was found that the public faced challenges regarding cell reception in various local authorities, resulting in moderate to poor reception and malfunctions while using cellular phones. These findings were generated from responses provided by local authorities to the State Comptroller's Office questionnaire, consultations with local authorities' engineering units, and a survey conducted among residents. Specifically, 28% of responding authorities reported reception difficulties in </w:t>
      </w:r>
      <w:r w:rsidRPr="009C7184">
        <w:rPr>
          <w:noProof/>
        </w:rPr>
        <w:t>their jurisdictions; 37% of surveyed residents indicated that cell reception in their homes was average or poor, while 50% experienced malfunctions when attempting to use their cell phones within a month before the survey. Additionally, 29% reported moderate or poor cell reception outside their homes, and 42% experienced malfunctions while attempting to make calls outdoors during the same period. Furthermore, 37% reported difficulties in contacting them due to reception issues at home or in their residential areas, and 55% reported challenges using the internet on their cell phones without a wireless internet connection.</w:t>
      </w:r>
    </w:p>
    <w:p w:rsidR="002F6545" w:rsidRPr="003126AC" w:rsidP="002F6545" w14:paraId="460E777E" w14:textId="77777777">
      <w:pPr>
        <w:pStyle w:val="7191"/>
        <w:numPr>
          <w:ilvl w:val="0"/>
          <w:numId w:val="41"/>
        </w:numPr>
        <w:bidi w:val="0"/>
        <w:rPr>
          <w:noProof/>
          <w:spacing w:val="-4"/>
        </w:rPr>
      </w:pPr>
      <w:r w:rsidRPr="003126AC">
        <w:rPr>
          <w:noProof/>
          <w:spacing w:val="-4"/>
        </w:rPr>
        <w:t>Significant discrepancies were identified between the the Ministry of Communications' data, by which the quality of reception is generally good or even optimal, and the reports from local authorities and residents regarding actual cell reception quality. For instance, in the 18 local authorities surveyed, 11% to 78% of respondents experienced moderate or poor cell reception outside their homes, contrary to the Ministry’s claim that cellular coverage in these areas ranges from 99.92% to 100%, indicating full or nearly complete coverage.</w:t>
      </w:r>
    </w:p>
    <w:p w:rsidR="002F6545" w:rsidRPr="009C7184" w:rsidP="002F6545" w14:paraId="340AFF3B" w14:textId="77777777">
      <w:pPr>
        <w:pStyle w:val="7191"/>
        <w:numPr>
          <w:ilvl w:val="0"/>
          <w:numId w:val="41"/>
        </w:numPr>
        <w:bidi w:val="0"/>
        <w:rPr>
          <w:noProof/>
        </w:rPr>
      </w:pPr>
      <w:r w:rsidRPr="009C7184">
        <w:rPr>
          <w:noProof/>
        </w:rPr>
        <w:t>These audit findings raise concerns that the cellular infrastructure companies do not meet the coverage and reception threshold required by the licenses.</w:t>
      </w:r>
    </w:p>
    <w:p w:rsidR="002F6545" w:rsidRPr="009C7184" w:rsidP="002F6545" w14:paraId="24EE47D6" w14:textId="77777777">
      <w:pPr>
        <w:pStyle w:val="7191"/>
        <w:numPr>
          <w:ilvl w:val="0"/>
          <w:numId w:val="42"/>
        </w:numPr>
        <w:bidi w:val="0"/>
        <w:rPr>
          <w:noProof/>
        </w:rPr>
      </w:pPr>
      <w:r w:rsidRPr="002F6545">
        <w:rPr>
          <w:b/>
          <w:bCs/>
          <w:noProof/>
        </w:rPr>
        <w:t xml:space="preserve">Cell Reception in Judea and Samaria – </w:t>
      </w:r>
      <w:r w:rsidRPr="009C7184">
        <w:rPr>
          <w:noProof/>
        </w:rPr>
        <w:t>the State Comptroller's Office survey in May 2022 on the security of residents in Judea and Samaria on the traffic routes, found that 81% of respondents reported little to moderate cellular coverage in their regular travel areas.</w:t>
      </w:r>
    </w:p>
    <w:p w:rsidR="002F6545" w:rsidRPr="009C7184" w:rsidP="002F6545" w14:paraId="6446A891" w14:textId="77777777">
      <w:pPr>
        <w:pStyle w:val="7191"/>
        <w:numPr>
          <w:ilvl w:val="0"/>
          <w:numId w:val="42"/>
        </w:numPr>
        <w:bidi w:val="0"/>
        <w:rPr>
          <w:noProof/>
        </w:rPr>
      </w:pPr>
      <w:r w:rsidRPr="002F6545">
        <w:rPr>
          <w:b/>
          <w:bCs/>
          <w:noProof/>
        </w:rPr>
        <w:t>Cell Reception in Bomb Shelters –</w:t>
      </w:r>
      <w:r w:rsidRPr="009C7184">
        <w:rPr>
          <w:noProof/>
        </w:rPr>
        <w:t xml:space="preserve"> cell reception may be inadequate in sheltered structures, hindering mobile phone use for those staying in such buildings. In November 2023, the Ministry of Communications issued a public notice regarding the possibility of conducting cellular calls in sheltered structures with weak reception (such as bomb shelters or apartment shelters) using Wi-Fi calling technology. However, this option is conditional and may not adequately address all instances where the public needs mobile phone access within sheltered structures.</w:t>
      </w:r>
    </w:p>
    <w:p w:rsidR="003126AC" w:rsidP="002F6545" w14:paraId="05BDBBFD" w14:textId="12BE358D">
      <w:pPr>
        <w:pStyle w:val="7191"/>
        <w:numPr>
          <w:ilvl w:val="0"/>
          <w:numId w:val="42"/>
        </w:numPr>
        <w:bidi w:val="0"/>
        <w:rPr>
          <w:noProof/>
        </w:rPr>
      </w:pPr>
      <w:r w:rsidRPr="002F6545">
        <w:rPr>
          <w:b/>
          <w:bCs/>
          <w:noProof/>
        </w:rPr>
        <w:t>Complaints Regarding Cell Reception Difficulties –</w:t>
      </w:r>
      <w:r w:rsidRPr="009C7184">
        <w:rPr>
          <w:noProof/>
        </w:rPr>
        <w:t xml:space="preserve"> complaints received by the Ministry of Communications regarding cell reception difficulties for two and a half years indicated issues concentrated in 21 specific </w:t>
      </w:r>
      <w:bookmarkStart w:id="8" w:name="_Hlk188516861"/>
      <w:r w:rsidRPr="009C7184">
        <w:rPr>
          <w:noProof/>
        </w:rPr>
        <w:t>local authorities and neighborhoods</w:t>
      </w:r>
      <w:bookmarkEnd w:id="8"/>
      <w:r w:rsidRPr="009C7184">
        <w:rPr>
          <w:noProof/>
        </w:rPr>
        <w:t>, inconsistent with the data provided by cellular infrastructure companies. Nonetheless, the Ministry did not demand that the cellular infrastructure companies provide accurate data (as opposed to projections) on cell reception in the above local authorities and neighborhoods and did not independently verify cellular coverage in these areas.</w:t>
      </w:r>
    </w:p>
    <w:p w:rsidR="002F6545" w:rsidRPr="009C7184" w:rsidP="002F6545" w14:paraId="5AE18F4F" w14:textId="77777777">
      <w:pPr>
        <w:pStyle w:val="7191"/>
        <w:numPr>
          <w:ilvl w:val="0"/>
          <w:numId w:val="42"/>
        </w:numPr>
        <w:bidi w:val="0"/>
        <w:rPr>
          <w:noProof/>
        </w:rPr>
      </w:pPr>
      <w:r w:rsidRPr="002F6545">
        <w:rPr>
          <w:b/>
          <w:bCs/>
          <w:noProof/>
        </w:rPr>
        <w:t>Transparency of Information Regarding Cellular Service Coverage and Quality –</w:t>
      </w:r>
      <w:r w:rsidRPr="009C7184">
        <w:rPr>
          <w:noProof/>
        </w:rPr>
        <w:t xml:space="preserve"> it was found that the Ministry of Communications does not publish the coverage data it possesses, including projections from cellular infrastructure </w:t>
      </w:r>
      <w:r w:rsidRPr="009C7184">
        <w:rPr>
          <w:noProof/>
        </w:rPr>
        <w:t>companies. Furthermore, the Ministry has not published the findings, either through maps or any other means, related to cellular coverage along Route 40 and Route 13 (in the Eilat and Arava area), as raised in inspections conducted in October 2022.</w:t>
      </w:r>
    </w:p>
    <w:p w:rsidR="002F6545" w:rsidRPr="002F6545" w:rsidP="002F6545" w14:paraId="7A888324" w14:textId="7B099ED9">
      <w:pPr>
        <w:pStyle w:val="7191"/>
        <w:bidi w:val="0"/>
        <w:ind w:left="397"/>
        <w:rPr>
          <w:b/>
          <w:bCs/>
          <w:noProof/>
        </w:rPr>
      </w:pPr>
      <w:r w:rsidRPr="002F6545">
        <w:rPr>
          <w:rFonts w:hint="cs"/>
          <w:b/>
          <w:bCs/>
          <w:noProof/>
          <w:rtl/>
        </w:rPr>
        <w:drawing>
          <wp:anchor distT="0" distB="0" distL="0" distR="0" simplePos="0" relativeHeight="251685888" behindDoc="0" locked="0" layoutInCell="1" allowOverlap="1">
            <wp:simplePos x="0" y="0"/>
            <wp:positionH relativeFrom="column">
              <wp:posOffset>15875</wp:posOffset>
            </wp:positionH>
            <wp:positionV relativeFrom="paragraph">
              <wp:posOffset>24986</wp:posOffset>
            </wp:positionV>
            <wp:extent cx="162000" cy="162000"/>
            <wp:effectExtent l="0" t="0" r="3175" b="3175"/>
            <wp:wrapSquare wrapText="bothSides"/>
            <wp:docPr id="15253067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0679"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F6545">
        <w:rPr>
          <w:b/>
          <w:bCs/>
          <w:noProof/>
        </w:rPr>
        <w:t xml:space="preserve">Planning, </w:t>
      </w:r>
      <w:r w:rsidRPr="002F6545">
        <w:rPr>
          <w:rFonts w:hint="cs"/>
          <w:b/>
          <w:bCs/>
          <w:noProof/>
        </w:rPr>
        <w:t>L</w:t>
      </w:r>
      <w:r w:rsidRPr="002F6545">
        <w:rPr>
          <w:b/>
          <w:bCs/>
          <w:noProof/>
        </w:rPr>
        <w:t>icensing, and Placement of Cellular Broadcasting Installations</w:t>
      </w:r>
    </w:p>
    <w:p w:rsidR="002F6545" w:rsidRPr="009C7184" w:rsidP="002F6545" w14:paraId="621BF2B0" w14:textId="77777777">
      <w:pPr>
        <w:pStyle w:val="7191"/>
        <w:numPr>
          <w:ilvl w:val="0"/>
          <w:numId w:val="44"/>
        </w:numPr>
        <w:bidi w:val="0"/>
        <w:rPr>
          <w:noProof/>
        </w:rPr>
      </w:pPr>
      <w:r w:rsidRPr="002F6545">
        <w:rPr>
          <w:b/>
          <w:bCs/>
          <w:noProof/>
        </w:rPr>
        <w:t>Shortage of Broadcasting Installations –</w:t>
      </w:r>
      <w:r w:rsidRPr="009C7184">
        <w:rPr>
          <w:noProof/>
        </w:rPr>
        <w:t xml:space="preserve"> according the Ministry of Communications' information in May 2023, there is a shortage of thousands of broadcasting installations in Israel. However, the Ministry lacks comprehensive data on all the missing broadcasting installations, particularly at the local level, which is essential for providing quality cellular services to the public.</w:t>
      </w:r>
    </w:p>
    <w:p w:rsidR="002F6545" w:rsidRPr="009C7184" w:rsidP="002F6545" w14:paraId="653A3874" w14:textId="77777777">
      <w:pPr>
        <w:pStyle w:val="7191"/>
        <w:numPr>
          <w:ilvl w:val="0"/>
          <w:numId w:val="44"/>
        </w:numPr>
        <w:bidi w:val="0"/>
        <w:rPr>
          <w:noProof/>
        </w:rPr>
      </w:pPr>
      <w:r w:rsidRPr="002F6545">
        <w:rPr>
          <w:b/>
          <w:bCs/>
          <w:noProof/>
        </w:rPr>
        <w:t>Amendment No. 128 to the Planning and Building Law –</w:t>
      </w:r>
      <w:r w:rsidRPr="009C7184">
        <w:rPr>
          <w:noProof/>
        </w:rPr>
        <w:t xml:space="preserve"> Amendment 128 established a licensing track for cellular broadcasting installations through the National Infrastructure Commission. As of June 2023, this licensing track, established by the amendment enacted in January 2022, had not been utilized.</w:t>
      </w:r>
    </w:p>
    <w:p w:rsidR="002F6545" w:rsidRPr="009C7184" w:rsidP="002F6545" w14:paraId="0594B746" w14:textId="77777777">
      <w:pPr>
        <w:pStyle w:val="7191"/>
        <w:numPr>
          <w:ilvl w:val="0"/>
          <w:numId w:val="44"/>
        </w:numPr>
        <w:bidi w:val="0"/>
        <w:rPr>
          <w:noProof/>
        </w:rPr>
      </w:pPr>
      <w:r w:rsidRPr="002F6545">
        <w:rPr>
          <w:b/>
          <w:bCs/>
          <w:noProof/>
        </w:rPr>
        <w:t>Updating the National Outline Plan –</w:t>
      </w:r>
      <w:r w:rsidRPr="009C7184">
        <w:rPr>
          <w:noProof/>
        </w:rPr>
        <w:t xml:space="preserve"> in August 2021, the government instructed the Ministry of Communications and the National Council for Planning and Building to promote changes to the national outline plan for small and miniature broadcasting installations (NOP 36/A). However, about two years later, the Planning Administration and the Ministry of Communications have not completed the implementation of this decision, mainly due to the Ministry's failure to provide the Planning Administration with a professional planning team, due to budgetary shortage for hiring the team's services.</w:t>
      </w:r>
    </w:p>
    <w:p w:rsidR="002F6545" w:rsidRPr="009C7184" w:rsidP="002F6545" w14:paraId="3547B8F2" w14:textId="339E6BF0">
      <w:pPr>
        <w:pStyle w:val="7191"/>
        <w:numPr>
          <w:ilvl w:val="0"/>
          <w:numId w:val="44"/>
        </w:numPr>
        <w:bidi w:val="0"/>
        <w:rPr>
          <w:noProof/>
        </w:rPr>
      </w:pPr>
      <w:r w:rsidRPr="002F6545">
        <w:rPr>
          <w:b/>
          <w:bCs/>
          <w:noProof/>
        </w:rPr>
        <w:t>Placement of Broadcasting Installations on Government Buildings –</w:t>
      </w:r>
      <w:r w:rsidRPr="009C7184">
        <w:rPr>
          <w:noProof/>
        </w:rPr>
        <w:t xml:space="preserve"> the government's resolution from August 2021 to promote the establishment of cellular broadcasting installations atop government housing buildings was minimally implemented. The number of broadcasting installations on these buildings increased from 11 to only 17 between January 2021 and June 2023. Additionally, during the two years from August 2021 to the audit end, the ministers of communications did not report to the government of the implementation of the decision according to the format set out in the government decision.</w:t>
      </w:r>
    </w:p>
    <w:p w:rsidR="002F6545" w:rsidRPr="002F6545" w:rsidP="002F6545" w14:paraId="1B8EDE74" w14:textId="77777777">
      <w:pPr>
        <w:pStyle w:val="7191"/>
        <w:numPr>
          <w:ilvl w:val="0"/>
          <w:numId w:val="44"/>
        </w:numPr>
        <w:bidi w:val="0"/>
        <w:rPr>
          <w:b/>
          <w:bCs/>
          <w:noProof/>
        </w:rPr>
      </w:pPr>
      <w:r w:rsidRPr="002F6545">
        <w:rPr>
          <w:b/>
          <w:bCs/>
          <w:noProof/>
        </w:rPr>
        <w:t>Broadcasting Installations in the Territories of Local Authorities</w:t>
      </w:r>
    </w:p>
    <w:p w:rsidR="002F6545" w:rsidRPr="00110E8E" w:rsidP="002F6545" w14:paraId="52F8C701" w14:textId="77777777">
      <w:pPr>
        <w:pStyle w:val="7191"/>
        <w:numPr>
          <w:ilvl w:val="0"/>
          <w:numId w:val="41"/>
        </w:numPr>
        <w:bidi w:val="0"/>
        <w:rPr>
          <w:noProof/>
          <w:spacing w:val="-2"/>
        </w:rPr>
      </w:pPr>
      <w:r w:rsidRPr="00110E8E">
        <w:rPr>
          <w:b/>
          <w:bCs/>
          <w:noProof/>
          <w:spacing w:val="-2"/>
        </w:rPr>
        <w:t>Placement of Broadcasting Installations on Local Authority Buildings –</w:t>
      </w:r>
      <w:r w:rsidRPr="00110E8E">
        <w:rPr>
          <w:noProof/>
          <w:spacing w:val="-2"/>
        </w:rPr>
        <w:t xml:space="preserve"> 59% of authorities responding to the questionnaire did not install broadcasting installations on buildings or land owned or leased by the authority. In situations where cell reception quality is inadequate, and no broadcasting installations exist on authority properties, there is a concern that the authority does not increase the number of broadcasting installations in its area despite the potential for such an increase to enhance cellular coverage and reception quality for residents.</w:t>
      </w:r>
    </w:p>
    <w:p w:rsidR="002F6545" w:rsidRPr="009C7184" w:rsidP="002F6545" w14:paraId="2CF75A6A" w14:textId="77777777">
      <w:pPr>
        <w:pStyle w:val="7191"/>
        <w:numPr>
          <w:ilvl w:val="0"/>
          <w:numId w:val="41"/>
        </w:numPr>
        <w:bidi w:val="0"/>
        <w:rPr>
          <w:noProof/>
        </w:rPr>
      </w:pPr>
      <w:r w:rsidRPr="002F6545">
        <w:rPr>
          <w:b/>
          <w:bCs/>
          <w:noProof/>
        </w:rPr>
        <w:t>Collection of Rental Fees for Broadcasting Installation Placement –</w:t>
      </w:r>
      <w:r w:rsidRPr="009C7184">
        <w:rPr>
          <w:noProof/>
        </w:rPr>
        <w:t xml:space="preserve"> a discrepancy was noted in the average rental fees for broadcasting installation placement across nine local authorities, with differences reaching up to 400% (ranging from NIS 2,083 per month in Elad to NIS 10,583 per month in Herzliya). Furthermore, the gap in average monthly rent paid by one cellular company to various local authorities in 2023 reached up to 500%. These disparities indicate significant differences in the rental fees demanded by local authorities when imposing disproportionately high rental fees compared to local authorities with similar characteristics, which may lessen a cellular company's incentive to install a broadcasting installation within its jurisdiction.</w:t>
      </w:r>
    </w:p>
    <w:p w:rsidR="002F6545" w:rsidRPr="009C7184" w:rsidP="002F6545" w14:paraId="28546150" w14:textId="77777777">
      <w:pPr>
        <w:pStyle w:val="7191"/>
        <w:numPr>
          <w:ilvl w:val="0"/>
          <w:numId w:val="45"/>
        </w:numPr>
        <w:bidi w:val="0"/>
        <w:rPr>
          <w:noProof/>
        </w:rPr>
      </w:pPr>
      <w:r w:rsidRPr="002F6545">
        <w:rPr>
          <w:b/>
          <w:bCs/>
          <w:noProof/>
        </w:rPr>
        <w:t>Planning Cellular Infrastructure in New Local Authorities and New Residential Neighborhoods –</w:t>
      </w:r>
      <w:r w:rsidRPr="009C7184">
        <w:rPr>
          <w:noProof/>
        </w:rPr>
        <w:t xml:space="preserve"> the Planning and Building Law, 1965, permits planning authorities to include guidelines regarding cellular communication infrastructure in their plans; However, it does not mandate this inclusion. Twelve out of thirty-two authorities (37%) responded in the questionnaire that no guidelines were established for erecting cellular antennas in the plans related to neighborhoods that were planned, constructed, or inhabited between 2019 and 2023. Including guidelines pertaining to cellular broadcasting installations in plans for new local authorities and neighborhoods that may enhance service quality for residents upon initial occupation and potentially mitigate objections to establishing cellular facilities in designated areas. Some authorities reported that cell phone coverage in the neighborhoods was moderate or low after the building and population.</w:t>
      </w:r>
    </w:p>
    <w:p w:rsidR="002F6545" w:rsidRPr="009C7184" w:rsidP="002F6545" w14:paraId="4825F482" w14:textId="77777777">
      <w:pPr>
        <w:pStyle w:val="7191"/>
        <w:numPr>
          <w:ilvl w:val="0"/>
          <w:numId w:val="45"/>
        </w:numPr>
        <w:bidi w:val="0"/>
        <w:rPr>
          <w:noProof/>
        </w:rPr>
      </w:pPr>
      <w:r w:rsidRPr="002F6545">
        <w:rPr>
          <w:b/>
          <w:bCs/>
          <w:noProof/>
        </w:rPr>
        <w:t>Planning Cellular Infrastructure in Tunnels –</w:t>
      </w:r>
      <w:r w:rsidRPr="009C7184">
        <w:rPr>
          <w:noProof/>
        </w:rPr>
        <w:t xml:space="preserve"> in August 2022, Highway 16 at the entrance to Jerusalem opened to traffic; However, the road tunnel’s cell reception regulations were not established until May 2023. Consequently, the Ministry of Transport has decided that future projects involving tunnels will require executing plans incorporating cellular communication infrastructure. As of August 2023, this decision has yet to be anchored officially by the Ministry of Transport.</w:t>
      </w:r>
    </w:p>
    <w:p w:rsidR="002F6545" w:rsidRPr="002F6545" w:rsidP="002F6545" w14:paraId="182B3824" w14:textId="28300CB0">
      <w:pPr>
        <w:pStyle w:val="7191"/>
        <w:bidi w:val="0"/>
        <w:ind w:left="397"/>
        <w:rPr>
          <w:b/>
          <w:bCs/>
          <w:noProof/>
        </w:rPr>
      </w:pPr>
      <w:r w:rsidRPr="002F6545">
        <w:rPr>
          <w:rFonts w:hint="cs"/>
          <w:b/>
          <w:bCs/>
          <w:noProof/>
          <w:rtl/>
        </w:rPr>
        <w:drawing>
          <wp:anchor distT="0" distB="0" distL="0" distR="0" simplePos="0" relativeHeight="251686912" behindDoc="0" locked="0" layoutInCell="1" allowOverlap="1">
            <wp:simplePos x="0" y="0"/>
            <wp:positionH relativeFrom="column">
              <wp:posOffset>15875</wp:posOffset>
            </wp:positionH>
            <wp:positionV relativeFrom="paragraph">
              <wp:posOffset>19464</wp:posOffset>
            </wp:positionV>
            <wp:extent cx="162000" cy="162000"/>
            <wp:effectExtent l="0" t="0" r="3175" b="3175"/>
            <wp:wrapSquare wrapText="bothSides"/>
            <wp:docPr id="35719256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192565"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F6545">
        <w:rPr>
          <w:b/>
          <w:bCs/>
          <w:noProof/>
        </w:rPr>
        <w:t>Protection Against Radiation from Cellular Broadcasting Installations</w:t>
      </w:r>
    </w:p>
    <w:p w:rsidR="002F6545" w:rsidRPr="009C7184" w:rsidP="002F6545" w14:paraId="4D156B29" w14:textId="77777777">
      <w:pPr>
        <w:pStyle w:val="7191"/>
        <w:bidi w:val="0"/>
        <w:ind w:left="397"/>
        <w:rPr>
          <w:noProof/>
        </w:rPr>
      </w:pPr>
      <w:r w:rsidRPr="009C7184">
        <w:rPr>
          <w:noProof/>
        </w:rPr>
        <w:t>In 2011, the World Health Organization's International Agency for Research on Cancer classified non-ionizing radiofrequency radiation as a potential carcinogen in humans, a classification still recognized in 2023.</w:t>
      </w:r>
    </w:p>
    <w:p w:rsidR="002F6545" w:rsidRPr="002F6545" w:rsidP="002F6545" w14:paraId="49BCD292" w14:textId="77777777">
      <w:pPr>
        <w:pStyle w:val="7191"/>
        <w:numPr>
          <w:ilvl w:val="0"/>
          <w:numId w:val="47"/>
        </w:numPr>
        <w:bidi w:val="0"/>
        <w:rPr>
          <w:b/>
          <w:bCs/>
          <w:noProof/>
        </w:rPr>
      </w:pPr>
      <w:r w:rsidRPr="002F6545">
        <w:rPr>
          <w:b/>
          <w:bCs/>
          <w:noProof/>
        </w:rPr>
        <w:t>Determining Maximum Exposure Levels to Radiation from Cellular Broadcasting Installations</w:t>
      </w:r>
    </w:p>
    <w:p w:rsidR="002F6545" w:rsidRPr="009C7184" w:rsidP="002F6545" w14:paraId="6BE6FA3C" w14:textId="77777777">
      <w:pPr>
        <w:pStyle w:val="7191"/>
        <w:numPr>
          <w:ilvl w:val="0"/>
          <w:numId w:val="41"/>
        </w:numPr>
        <w:bidi w:val="0"/>
        <w:rPr>
          <w:noProof/>
        </w:rPr>
      </w:pPr>
      <w:r w:rsidRPr="009C20A2">
        <w:rPr>
          <w:b/>
          <w:bCs/>
          <w:noProof/>
        </w:rPr>
        <w:t>Enactment of Regulations –</w:t>
      </w:r>
      <w:r w:rsidRPr="009C7184">
        <w:rPr>
          <w:noProof/>
        </w:rPr>
        <w:t xml:space="preserve"> for over 17 years, regulations have not defined the maximum permissible exposure levels for humans to radiation from radio frequency sources (radiation from cellular broadcasting installations), as stipulated by the Non-Ionizing Radiation Law, 2006. Maximum exposure levels are set in rules published by the Radiation Commissioner in the Ministry of </w:t>
      </w:r>
      <w:r w:rsidRPr="009C7184">
        <w:rPr>
          <w:noProof/>
        </w:rPr>
        <w:t xml:space="preserve">Environmental Protection in 2009 and in the operating permits issued by the Radiation Commissioner. </w:t>
      </w:r>
    </w:p>
    <w:p w:rsidR="002F6545" w:rsidRPr="009C7184" w:rsidP="002F6545" w14:paraId="171ACFC7" w14:textId="77777777">
      <w:pPr>
        <w:pStyle w:val="7191"/>
        <w:numPr>
          <w:ilvl w:val="0"/>
          <w:numId w:val="41"/>
        </w:numPr>
        <w:bidi w:val="0"/>
        <w:rPr>
          <w:noProof/>
        </w:rPr>
      </w:pPr>
      <w:r w:rsidRPr="009C20A2">
        <w:rPr>
          <w:b/>
          <w:bCs/>
          <w:noProof/>
        </w:rPr>
        <w:t>Determining Maximum Exposure Levels Without the Involvement of the Ministry of Health –</w:t>
      </w:r>
      <w:r w:rsidRPr="009C7184">
        <w:rPr>
          <w:noProof/>
        </w:rPr>
        <w:t xml:space="preserve"> the Ministry of Environmental Protection consulted the Ministry of Health regarding maximum exposure levels in 2007 while the latter was formulating draft regulations. Since then, for about 17 years, there has been no consultation on the matter between these two ministries. During this period, the Ministry of Environmental Protection established maximum exposure levels to radiation from cellular broadcasting installations in 2009 and ratified these rules in 2010 and 2020 without consulting the Ministry of Health, which is responsible for public health, and without rendering its opinion.</w:t>
      </w:r>
    </w:p>
    <w:p w:rsidR="002F6545" w:rsidRPr="009C7184" w:rsidP="002F6545" w14:paraId="7AA1C20E" w14:textId="77777777">
      <w:pPr>
        <w:pStyle w:val="7191"/>
        <w:numPr>
          <w:ilvl w:val="0"/>
          <w:numId w:val="41"/>
        </w:numPr>
        <w:bidi w:val="0"/>
        <w:rPr>
          <w:noProof/>
        </w:rPr>
      </w:pPr>
      <w:r w:rsidRPr="009C20A2">
        <w:rPr>
          <w:b/>
          <w:bCs/>
          <w:noProof/>
        </w:rPr>
        <w:t>Formation of National Knowledge on the Health Consequences of Non-Ionizing Radiation –</w:t>
      </w:r>
      <w:r w:rsidRPr="009C7184">
        <w:rPr>
          <w:noProof/>
        </w:rPr>
        <w:t xml:space="preserve"> Israel lacks a governmental entity dedicated to the health effects of non-ionizing radiation. Following the closure of the "Tnuda" knowledge center in 2022, there is no source of research information available to government ministries on the subject, also for informing and educating the public.</w:t>
      </w:r>
    </w:p>
    <w:p w:rsidR="002F6545" w:rsidRPr="009C7184" w:rsidP="002F6545" w14:paraId="2A9E9F34" w14:textId="77777777">
      <w:pPr>
        <w:pStyle w:val="7191"/>
        <w:numPr>
          <w:ilvl w:val="0"/>
          <w:numId w:val="48"/>
        </w:numPr>
        <w:bidi w:val="0"/>
        <w:rPr>
          <w:noProof/>
        </w:rPr>
      </w:pPr>
      <w:r w:rsidRPr="002F6545">
        <w:rPr>
          <w:b/>
          <w:bCs/>
          <w:noProof/>
        </w:rPr>
        <w:t>Examination of Health Aspects Regarding the Deployment of Fifth-Generation (5G) Infrastructure –</w:t>
      </w:r>
      <w:r w:rsidRPr="009C7184">
        <w:rPr>
          <w:noProof/>
        </w:rPr>
        <w:t xml:space="preserve"> the Ministry of Health did not participate in the inter-ministerial team operating within the Ministry of Communications beginning in August 2020, at the initiative of the Ministry of Health to assess the health implications of radiation exposure from cellular infrastructure utilizing 5G technology. Consequently, the Ministry of Health did not formulate the team's decisions regarding health risks associated with deploying 5G technology. Although the Ministry of Health considered the "Tnuda" center as its representative within the team, concerns have been raised regarding the potential for decisions affecting public health to be made without direct involvement from the Ministry.</w:t>
      </w:r>
    </w:p>
    <w:p w:rsidR="002F6545" w:rsidRPr="002F6545" w:rsidP="002F6545" w14:paraId="241B2F12" w14:textId="7DE6BAFE">
      <w:pPr>
        <w:pStyle w:val="7191"/>
        <w:bidi w:val="0"/>
        <w:ind w:left="397"/>
        <w:rPr>
          <w:b/>
          <w:bCs/>
          <w:noProof/>
        </w:rPr>
      </w:pPr>
      <w:r w:rsidRPr="002F6545">
        <w:rPr>
          <w:rFonts w:hint="cs"/>
          <w:b/>
          <w:bCs/>
          <w:noProof/>
          <w:rtl/>
        </w:rPr>
        <w:drawing>
          <wp:anchor distT="0" distB="0" distL="0" distR="0" simplePos="0" relativeHeight="251687936" behindDoc="0" locked="0" layoutInCell="1" allowOverlap="1">
            <wp:simplePos x="0" y="0"/>
            <wp:positionH relativeFrom="column">
              <wp:posOffset>15875</wp:posOffset>
            </wp:positionH>
            <wp:positionV relativeFrom="paragraph">
              <wp:posOffset>35146</wp:posOffset>
            </wp:positionV>
            <wp:extent cx="162000" cy="162000"/>
            <wp:effectExtent l="0" t="0" r="3175" b="3175"/>
            <wp:wrapSquare wrapText="bothSides"/>
            <wp:docPr id="173685758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857582"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F6545">
        <w:rPr>
          <w:b/>
          <w:bCs/>
          <w:noProof/>
        </w:rPr>
        <w:t xml:space="preserve">Monitoring Radiation from </w:t>
      </w:r>
      <w:r w:rsidRPr="002F6545">
        <w:rPr>
          <w:rFonts w:hint="cs"/>
          <w:b/>
          <w:bCs/>
          <w:noProof/>
        </w:rPr>
        <w:t>B</w:t>
      </w:r>
      <w:r w:rsidRPr="002F6545">
        <w:rPr>
          <w:b/>
          <w:bCs/>
          <w:noProof/>
        </w:rPr>
        <w:t xml:space="preserve">roadcasting </w:t>
      </w:r>
      <w:r w:rsidRPr="002F6545">
        <w:rPr>
          <w:rFonts w:hint="cs"/>
          <w:b/>
          <w:bCs/>
          <w:noProof/>
        </w:rPr>
        <w:t>I</w:t>
      </w:r>
      <w:r w:rsidRPr="002F6545">
        <w:rPr>
          <w:b/>
          <w:bCs/>
          <w:noProof/>
        </w:rPr>
        <w:t>nstallations</w:t>
      </w:r>
    </w:p>
    <w:p w:rsidR="002F6545" w:rsidRPr="009C7184" w:rsidP="002F6545" w14:paraId="41E98AD9" w14:textId="77777777">
      <w:pPr>
        <w:pStyle w:val="7191"/>
        <w:numPr>
          <w:ilvl w:val="0"/>
          <w:numId w:val="50"/>
        </w:numPr>
        <w:bidi w:val="0"/>
        <w:rPr>
          <w:noProof/>
        </w:rPr>
      </w:pPr>
      <w:r w:rsidRPr="002F6545">
        <w:rPr>
          <w:b/>
          <w:bCs/>
          <w:noProof/>
        </w:rPr>
        <w:t xml:space="preserve">Measuring </w:t>
      </w:r>
      <w:r w:rsidRPr="002F6545">
        <w:rPr>
          <w:rFonts w:hint="cs"/>
          <w:b/>
          <w:bCs/>
          <w:noProof/>
        </w:rPr>
        <w:t>R</w:t>
      </w:r>
      <w:r w:rsidRPr="002F6545">
        <w:rPr>
          <w:b/>
          <w:bCs/>
          <w:noProof/>
        </w:rPr>
        <w:t xml:space="preserve">adiation </w:t>
      </w:r>
      <w:r w:rsidRPr="002F6545">
        <w:rPr>
          <w:rFonts w:hint="cs"/>
          <w:b/>
          <w:bCs/>
          <w:noProof/>
        </w:rPr>
        <w:t>I</w:t>
      </w:r>
      <w:r w:rsidRPr="002F6545">
        <w:rPr>
          <w:b/>
          <w:bCs/>
          <w:noProof/>
        </w:rPr>
        <w:t xml:space="preserve">ntensity in </w:t>
      </w:r>
      <w:r w:rsidRPr="002F6545">
        <w:rPr>
          <w:rFonts w:hint="cs"/>
          <w:b/>
          <w:bCs/>
          <w:noProof/>
        </w:rPr>
        <w:t>P</w:t>
      </w:r>
      <w:r w:rsidRPr="002F6545">
        <w:rPr>
          <w:b/>
          <w:bCs/>
          <w:noProof/>
        </w:rPr>
        <w:t>ractice –</w:t>
      </w:r>
      <w:r w:rsidRPr="009C7184">
        <w:rPr>
          <w:noProof/>
        </w:rPr>
        <w:t xml:space="preserve"> the Ministry of Environmental Protection monitors radiation emissions from cellular broadcasting installations using four methods, one of which includes a "continuous monitoring system" linked to the radio switches of cellular infrastructure companies. It was noted that the Ministry's only independent monitoring measure assessing actual radiation intensity in the field was implemented on less than 1% of active broadcasting installations in 2020–2022.</w:t>
      </w:r>
    </w:p>
    <w:p w:rsidR="002F6545" w:rsidRPr="009C7184" w:rsidP="002F6545" w14:paraId="37808159" w14:textId="77777777">
      <w:pPr>
        <w:pStyle w:val="7191"/>
        <w:numPr>
          <w:ilvl w:val="0"/>
          <w:numId w:val="50"/>
        </w:numPr>
        <w:bidi w:val="0"/>
        <w:rPr>
          <w:noProof/>
        </w:rPr>
      </w:pPr>
      <w:r w:rsidRPr="002F6545">
        <w:rPr>
          <w:b/>
          <w:bCs/>
          <w:noProof/>
        </w:rPr>
        <w:t>Collection of Fees Vis-a-Vis the Allocation of Supervision Resources –</w:t>
      </w:r>
      <w:r w:rsidRPr="009C7184">
        <w:rPr>
          <w:noProof/>
        </w:rPr>
        <w:t xml:space="preserve"> the Ministry of Environmental Protection collects annual fees from cell companies in exchange for permits to construct and operate cellular broadcasting installations, which was about NIS 8 million in 2021 and NIS 11.3 million in 2022. However, these </w:t>
      </w:r>
      <w:r w:rsidRPr="009C7184">
        <w:rPr>
          <w:noProof/>
        </w:rPr>
        <w:t>fees are transferred to the State Treasury and are not allocated as the Ministry's resources for monitoring purposes. Consequently, these payments are inaccessible to the Ministry of Environmental Protection for monitoring broadcasting installations. The Ministry of Environmental Protection indicates that it lacks data on the total budget for monitoring radiation from cellular broadcasting installations in those years. However, the Ministry of Environmental Protection's data indicate that the budget for the calibration of measuring devices and the budget for the continuous monitoring system combined was about 11.5% of the cellular permit fees collected in 2021 and about 8% of the fees collected in 2022.</w:t>
      </w:r>
    </w:p>
    <w:p w:rsidR="002F6545" w:rsidRPr="009C7184" w:rsidP="002F6545" w14:paraId="57EEF6FE" w14:textId="77777777">
      <w:pPr>
        <w:pStyle w:val="7191"/>
        <w:numPr>
          <w:ilvl w:val="0"/>
          <w:numId w:val="50"/>
        </w:numPr>
        <w:bidi w:val="0"/>
        <w:rPr>
          <w:noProof/>
        </w:rPr>
      </w:pPr>
      <w:r w:rsidRPr="002F6545">
        <w:rPr>
          <w:b/>
          <w:bCs/>
          <w:noProof/>
        </w:rPr>
        <w:t>Publication of Information About Radiation from Cellular Broadcasting Installations –</w:t>
      </w:r>
      <w:r w:rsidRPr="009C7184">
        <w:rPr>
          <w:noProof/>
        </w:rPr>
        <w:t xml:space="preserve"> the Ministry is not in compliance with the Non-Ionizing Radiation Law, 2006, and its associated regulations, as it has failed to publish data about the actual radiation intensity of broadcasting installations to the public.</w:t>
      </w:r>
    </w:p>
    <w:p w:rsidR="002F6545" w:rsidRPr="009C7184" w:rsidP="002F6545" w14:paraId="058648F1" w14:textId="77777777">
      <w:pPr>
        <w:pStyle w:val="7191"/>
        <w:numPr>
          <w:ilvl w:val="0"/>
          <w:numId w:val="50"/>
        </w:numPr>
        <w:bidi w:val="0"/>
        <w:rPr>
          <w:noProof/>
        </w:rPr>
      </w:pPr>
      <w:r w:rsidRPr="002F6545">
        <w:rPr>
          <w:b/>
          <w:bCs/>
          <w:noProof/>
        </w:rPr>
        <w:t>Information to the Public –</w:t>
      </w:r>
      <w:r w:rsidRPr="009C7184">
        <w:rPr>
          <w:noProof/>
        </w:rPr>
        <w:t xml:space="preserve"> providing adequate information regarding the health consequences of non-ionizing radiation and the necessity for additional broadcasting installations to mitigate radiation exposure levels may significantly reduce public objections and facilitate the expansion of cellular infrastructure. However, the relevant government ministries – the Ministry of Communications, the Ministry of Environmental Protection, and the Ministry of Health – do not recognize their responsibility for carrying out such outreach initiatives, nor have they established any requirements for outreach activities. According to findings from the State Comptroller's Office questionnaire to local authorities, outreach activities were not conducted in 91% of the local authorities that responded between 2019 and 2023.</w:t>
      </w:r>
    </w:p>
    <w:p w:rsidR="002F6545" w:rsidRPr="002F6545" w:rsidP="002F6545" w14:paraId="0E2EADFD" w14:textId="4C01D5BE">
      <w:pPr>
        <w:pStyle w:val="7191"/>
        <w:bidi w:val="0"/>
        <w:ind w:left="397"/>
        <w:rPr>
          <w:b/>
          <w:bCs/>
          <w:noProof/>
        </w:rPr>
      </w:pPr>
      <w:r w:rsidRPr="002F6545">
        <w:rPr>
          <w:rFonts w:hint="cs"/>
          <w:b/>
          <w:bCs/>
          <w:noProof/>
          <w:rtl/>
        </w:rPr>
        <w:drawing>
          <wp:anchor distT="0" distB="0" distL="0" distR="0" simplePos="0" relativeHeight="251688960" behindDoc="0" locked="0" layoutInCell="1" allowOverlap="1">
            <wp:simplePos x="0" y="0"/>
            <wp:positionH relativeFrom="column">
              <wp:posOffset>15875</wp:posOffset>
            </wp:positionH>
            <wp:positionV relativeFrom="paragraph">
              <wp:posOffset>35146</wp:posOffset>
            </wp:positionV>
            <wp:extent cx="162000" cy="162000"/>
            <wp:effectExtent l="0" t="0" r="3175" b="3175"/>
            <wp:wrapSquare wrapText="bothSides"/>
            <wp:docPr id="130015594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155946"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F6545">
        <w:rPr>
          <w:b/>
          <w:bCs/>
          <w:noProof/>
        </w:rPr>
        <w:t>Cellular Communication Infrastructures Through 5th Generation Technology</w:t>
      </w:r>
    </w:p>
    <w:p w:rsidR="002F6545" w:rsidRPr="009C7184" w:rsidP="002F6545" w14:paraId="2FD56F0B" w14:textId="77777777">
      <w:pPr>
        <w:pStyle w:val="7191"/>
        <w:bidi w:val="0"/>
        <w:ind w:left="397"/>
        <w:rPr>
          <w:noProof/>
        </w:rPr>
      </w:pPr>
      <w:r w:rsidRPr="009C7184">
        <w:rPr>
          <w:noProof/>
        </w:rPr>
        <w:t>The 5</w:t>
      </w:r>
      <w:r w:rsidRPr="002F6545">
        <w:rPr>
          <w:noProof/>
          <w:vertAlign w:val="superscript"/>
        </w:rPr>
        <w:t>th</w:t>
      </w:r>
      <w:r w:rsidRPr="009C7184">
        <w:rPr>
          <w:noProof/>
        </w:rPr>
        <w:t xml:space="preserve"> generation technology facilitates rapid data downloading and uploading and enhances cellular service capabilities that were unattainable in earlier generations.</w:t>
      </w:r>
    </w:p>
    <w:p w:rsidR="002F6545" w:rsidRPr="009C7184" w:rsidP="002F6545" w14:paraId="2A11D250" w14:textId="77777777">
      <w:pPr>
        <w:pStyle w:val="7191"/>
        <w:numPr>
          <w:ilvl w:val="0"/>
          <w:numId w:val="53"/>
        </w:numPr>
        <w:bidi w:val="0"/>
        <w:rPr>
          <w:noProof/>
        </w:rPr>
      </w:pPr>
      <w:r w:rsidRPr="002F6545">
        <w:rPr>
          <w:b/>
          <w:bCs/>
          <w:noProof/>
        </w:rPr>
        <w:t>Deployment of 5th Generation Infrastructure –</w:t>
      </w:r>
      <w:r w:rsidRPr="009C7184">
        <w:rPr>
          <w:noProof/>
        </w:rPr>
        <w:t xml:space="preserve"> from August 2020 to the end of 2020, 762 broadcasting installations utilizing 5th-generation technology were established. Additionally, the companies awarded deployment grants in the 5th generation tender received, cumulatively, NIS 200 million, disbursed at the end of 2022. As of July 2022, the average coverage of 5th-generation cellular networks in households within the European Union was about 80% (coverage in at least one network), while in Israel, cellular infrastructure providers (except for one) were required to achieve 70% coverage of the population in residential areas and 65% coverage of residential areas by October 2023 within the 700 MHz frequency bands allocated in the 5G tender. Furthermore, they were required to achieve deployment in statistical areas that will provide them with at least 200 points within the frequency bands ranging from 3,500 to 3,800 MHz allocated in the 5G tender. However, as of October 2023, the Ministry of Communications had not received </w:t>
      </w:r>
      <w:r w:rsidRPr="009C7184">
        <w:rPr>
          <w:noProof/>
        </w:rPr>
        <w:t>coverage data for 5G technology, enabling it to assess compliance with license obligations or determine whether sanctions were necessary. The rates of deployment and operation of the installations above suggest, as of July 2023, that the scope of deployment did not align with the Ministry of Communications' licensing requirements, and Israel's coverage rate with this technology is lower than that of the previous year in most EU countries, with 1,943 active 5G broadcasting installations in Israel at that time.</w:t>
      </w:r>
    </w:p>
    <w:p w:rsidR="002F6545" w:rsidRPr="009C7184" w:rsidP="002F6545" w14:paraId="08BE0E53" w14:textId="77777777">
      <w:pPr>
        <w:pStyle w:val="7191"/>
        <w:numPr>
          <w:ilvl w:val="0"/>
          <w:numId w:val="53"/>
        </w:numPr>
        <w:bidi w:val="0"/>
        <w:rPr>
          <w:noProof/>
        </w:rPr>
      </w:pPr>
      <w:r w:rsidRPr="002F6545">
        <w:rPr>
          <w:b/>
          <w:bCs/>
          <w:noProof/>
        </w:rPr>
        <w:t>Geographical Distribution of 5th Generation Infrastructures –</w:t>
      </w:r>
      <w:r w:rsidRPr="009C7184">
        <w:rPr>
          <w:noProof/>
        </w:rPr>
        <w:t xml:space="preserve"> an analysis of active 5th generation broadcasting installations relative to population size raised significant disparities between large and peripheral local authorities. Notable gaps existed among more significant peripheral local authorities with populations exceeding 100,000, with discrepancies reaching 285% (comparing </w:t>
      </w:r>
      <w:r w:rsidRPr="002F6545">
        <w:rPr>
          <w:b/>
          <w:bCs/>
          <w:noProof/>
        </w:rPr>
        <w:t>Tel Aviv-Jaffa</w:t>
      </w:r>
      <w:r w:rsidRPr="009C7184">
        <w:rPr>
          <w:noProof/>
        </w:rPr>
        <w:t xml:space="preserve">, which had 5.86 installations per 10,000 residents, with </w:t>
      </w:r>
      <w:r w:rsidRPr="002F6545">
        <w:rPr>
          <w:b/>
          <w:bCs/>
          <w:noProof/>
        </w:rPr>
        <w:t>Bat Yam</w:t>
      </w:r>
      <w:r w:rsidRPr="009C7184">
        <w:rPr>
          <w:noProof/>
        </w:rPr>
        <w:t xml:space="preserve">, at 1.52 installations per 10,000 residents). In peripheral local authorities with populations under 10,000, the gap widened to 692% (comparing </w:t>
      </w:r>
      <w:r w:rsidRPr="002F6545">
        <w:rPr>
          <w:b/>
          <w:bCs/>
          <w:noProof/>
        </w:rPr>
        <w:t>Eilat</w:t>
      </w:r>
      <w:r w:rsidRPr="009C7184">
        <w:rPr>
          <w:noProof/>
        </w:rPr>
        <w:t xml:space="preserve">, at 6.89 installations per 10,000 residents, with </w:t>
      </w:r>
      <w:r w:rsidRPr="002F6545">
        <w:rPr>
          <w:b/>
          <w:bCs/>
          <w:noProof/>
        </w:rPr>
        <w:t>Netivot</w:t>
      </w:r>
      <w:r w:rsidRPr="009C7184">
        <w:rPr>
          <w:noProof/>
        </w:rPr>
        <w:t>, at 0.87 installations per 10,000 residents). The most alarming findings were raised regarding infrastructure in Arab settlements: as of July 2023, 44 out of 58 (76%) peripheral Arab local authorities had no active 5th-generation broadcasting installations. Additionally, disparities were evident in peripheral local authorities (populations of 10,000 or greater) between Arab and non-Arab local authorities, as Arab ones have less than one-fifth of the average number of installations compared to Jewish ones.</w:t>
      </w:r>
    </w:p>
    <w:p w:rsidR="002F6545" w:rsidRPr="002F6545" w:rsidP="002F6545" w14:paraId="77F6F429" w14:textId="77777777">
      <w:pPr>
        <w:pStyle w:val="7191"/>
        <w:bidi w:val="0"/>
        <w:ind w:left="397"/>
        <w:rPr>
          <w:b/>
          <w:bCs/>
          <w:noProof/>
        </w:rPr>
      </w:pPr>
      <w:r w:rsidRPr="002F6545">
        <w:rPr>
          <w:rFonts w:hint="cs"/>
          <w:b/>
          <w:bCs/>
          <w:noProof/>
          <w:rtl/>
        </w:rPr>
        <w:drawing>
          <wp:anchor distT="0" distB="0" distL="0" distR="0" simplePos="0" relativeHeight="251689984" behindDoc="0" locked="0" layoutInCell="1" allowOverlap="1">
            <wp:simplePos x="0" y="0"/>
            <wp:positionH relativeFrom="column">
              <wp:posOffset>15875</wp:posOffset>
            </wp:positionH>
            <wp:positionV relativeFrom="paragraph">
              <wp:posOffset>24293</wp:posOffset>
            </wp:positionV>
            <wp:extent cx="162000" cy="162000"/>
            <wp:effectExtent l="0" t="0" r="3175" b="3175"/>
            <wp:wrapSquare wrapText="bothSides"/>
            <wp:docPr id="114911004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110044"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2F6545">
        <w:rPr>
          <w:b/>
          <w:bCs/>
          <w:noProof/>
        </w:rPr>
        <w:t>Supervision of the Ministry of Communications over Cellular Companies</w:t>
      </w:r>
    </w:p>
    <w:p w:rsidR="00D12832" w:rsidRPr="00D12832" w:rsidP="002F6545" w14:paraId="57AD7108" w14:textId="5801C44D">
      <w:pPr>
        <w:pStyle w:val="7191"/>
        <w:numPr>
          <w:ilvl w:val="0"/>
          <w:numId w:val="56"/>
        </w:numPr>
        <w:bidi w:val="0"/>
      </w:pPr>
      <w:r w:rsidRPr="00932B95">
        <w:rPr>
          <w:b/>
          <w:bCs/>
          <w:noProof/>
        </w:rPr>
        <w:t>Supervision Methodology –</w:t>
      </w:r>
      <w:r w:rsidRPr="009C7184">
        <w:rPr>
          <w:noProof/>
        </w:rPr>
        <w:t xml:space="preserve"> as of the audit date, the supervisory authorities at the Ministry of Communications lack a methodology and tools for assessing the compliance of cellular infrastructure companies with the cellular coverage obligations outlined in their licenses</w:t>
      </w:r>
      <w:r w:rsidRPr="00D12832">
        <w:t>.</w:t>
      </w:r>
    </w:p>
    <w:p w:rsidR="003E0EAA" w:rsidRPr="008874F2" w:rsidP="003E0EAA" w14:paraId="13335FCD" w14:textId="3C836A42">
      <w:pPr>
        <w:pStyle w:val="719"/>
        <w:bidi w:val="0"/>
        <w:rPr>
          <w:rtl/>
        </w:rPr>
      </w:pPr>
      <w:r>
        <w:rPr>
          <w:noProof/>
          <w:sz w:val="19"/>
          <w:szCs w:val="19"/>
        </w:rPr>
        <w:drawing>
          <wp:anchor distT="0" distB="0" distL="114300" distR="114300" simplePos="0" relativeHeight="251679744" behindDoc="0" locked="0" layoutInCell="1" allowOverlap="1">
            <wp:simplePos x="0" y="0"/>
            <wp:positionH relativeFrom="column">
              <wp:posOffset>-3175</wp:posOffset>
            </wp:positionH>
            <wp:positionV relativeFrom="paragraph">
              <wp:posOffset>54787</wp:posOffset>
            </wp:positionV>
            <wp:extent cx="2879725" cy="158115"/>
            <wp:effectExtent l="0" t="0" r="0" b="0"/>
            <wp:wrapNone/>
            <wp:docPr id="145106665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52" name="Picture 2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2879725" cy="158115"/>
                    </a:xfrm>
                    <a:prstGeom prst="rect">
                      <a:avLst/>
                    </a:prstGeom>
                  </pic:spPr>
                </pic:pic>
              </a:graphicData>
            </a:graphic>
            <wp14:sizeRelH relativeFrom="page">
              <wp14:pctWidth>0</wp14:pctWidth>
            </wp14:sizeRelH>
            <wp14:sizeRelV relativeFrom="page">
              <wp14:pctHeight>0</wp14:pctHeight>
            </wp14:sizeRelV>
          </wp:anchor>
        </w:drawing>
      </w:r>
    </w:p>
    <w:p w:rsidR="002F6545" w:rsidRPr="009C7184" w:rsidP="002F6545" w14:paraId="0104EB81" w14:textId="77777777">
      <w:pPr>
        <w:pStyle w:val="7191"/>
        <w:bidi w:val="0"/>
        <w:ind w:left="397"/>
        <w:rPr>
          <w:noProof/>
        </w:rPr>
      </w:pPr>
      <w:r w:rsidRPr="009C7184">
        <w:rPr>
          <w:noProof/>
        </w:rPr>
        <w:t>The State Comptroller's Office commends the inter-ministerial team, led by the Ministry of Communications, established in December 2020, for its efforts in promoting legislative amendments to enhance the planning and licensing processes for cellular infrastructure in Israel.</w:t>
      </w:r>
    </w:p>
    <w:p w:rsidR="002F6545" w:rsidRPr="009C7184" w:rsidP="002F6545" w14:paraId="34CB6B89" w14:textId="77777777">
      <w:pPr>
        <w:pStyle w:val="7191"/>
        <w:bidi w:val="0"/>
        <w:ind w:left="397"/>
        <w:rPr>
          <w:noProof/>
        </w:rPr>
      </w:pPr>
      <w:r w:rsidRPr="009C7184">
        <w:rPr>
          <w:noProof/>
        </w:rPr>
        <w:t>The State Comptroller's Office also commends the Ministry of Communications for its initiatives to foster competition among cellular operators by reducing barriers to subscriber transition and facilitating the entry of virtual operators into the market since 2010, resulting in lower subscription prices for consumers charged by cellular infrastructure companies.</w:t>
      </w:r>
    </w:p>
    <w:p w:rsidR="002F6545" w:rsidRPr="009C7184" w:rsidP="002F6545" w14:paraId="7AE93F08" w14:textId="77777777">
      <w:pPr>
        <w:pStyle w:val="7191"/>
        <w:bidi w:val="0"/>
        <w:ind w:left="397"/>
        <w:rPr>
          <w:noProof/>
        </w:rPr>
      </w:pPr>
      <w:r w:rsidRPr="009C7184">
        <w:rPr>
          <w:noProof/>
        </w:rPr>
        <w:t>Furthermore, the State Comptroller's Office commends the initiatives of the Ministry of Environmental Protection in operating the "continuous monitoring system" – a computerized framework that remains connected to the radio switches of cellular companies, designed to retrieve data on the broadcasting capacities of each facility.</w:t>
      </w:r>
    </w:p>
    <w:p w:rsidR="004516D9" w:rsidP="004516D9" w14:paraId="3B611378" w14:textId="77777777">
      <w:pPr>
        <w:pStyle w:val="7191"/>
        <w:bidi w:val="0"/>
        <w:spacing w:after="0"/>
      </w:pPr>
    </w:p>
    <w:p w:rsidR="007E0204" w:rsidP="007E0204" w14:paraId="45D89D2D" w14:textId="50C37D57">
      <w:pPr>
        <w:bidi w:val="0"/>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3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0"/>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7E0204" w:rsidRPr="00902625" w:rsidP="007E0204" w14:paraId="221294C0" w14:textId="2073DB49">
      <w:pPr>
        <w:bidi w:val="0"/>
        <w:spacing w:before="120" w:after="240" w:line="240" w:lineRule="atLeast"/>
        <w:rPr>
          <w:rFonts w:ascii="Tahoma" w:hAnsi="Tahoma" w:cs="Tahoma"/>
          <w:b/>
          <w:bCs/>
          <w:color w:val="00305F"/>
          <w:sz w:val="32"/>
          <w:szCs w:val="32"/>
          <w:rtl/>
        </w:rPr>
      </w:pPr>
      <w:r w:rsidRPr="00AE5F94">
        <w:rPr>
          <w:rFonts w:ascii="Tahoma" w:hAnsi="Tahoma" w:cs="Tahoma"/>
          <w:b/>
          <w:bCs/>
          <w:color w:val="00305F"/>
          <w:sz w:val="32"/>
          <w:szCs w:val="32"/>
        </w:rPr>
        <w:t xml:space="preserve">Key </w:t>
      </w:r>
      <w:r w:rsidR="004806D7">
        <w:rPr>
          <w:rFonts w:ascii="Tahoma" w:hAnsi="Tahoma" w:cs="Tahoma"/>
          <w:b/>
          <w:bCs/>
          <w:color w:val="00305F"/>
          <w:sz w:val="32"/>
          <w:szCs w:val="32"/>
        </w:rPr>
        <w:t>R</w:t>
      </w:r>
      <w:r w:rsidRPr="00AE5F94">
        <w:rPr>
          <w:rFonts w:ascii="Tahoma" w:hAnsi="Tahoma" w:cs="Tahoma"/>
          <w:b/>
          <w:bCs/>
          <w:color w:val="00305F"/>
          <w:sz w:val="32"/>
          <w:szCs w:val="32"/>
        </w:rPr>
        <w:t>ecommendations</w:t>
      </w:r>
    </w:p>
    <w:p w:rsidR="007E0204" w:rsidRPr="00C50F58" w:rsidP="00682C3F" w14:paraId="33D561A5" w14:textId="44362982">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81792"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9" name="תמונה 33"/>
            <wp:cNvGraphicFramePr/>
            <a:graphic xmlns:a="http://schemas.openxmlformats.org/drawingml/2006/main">
              <a:graphicData uri="http://schemas.openxmlformats.org/drawingml/2006/picture">
                <pic:pic xmlns:pic="http://schemas.openxmlformats.org/drawingml/2006/picture">
                  <pic:nvPicPr>
                    <pic:cNvPr id="49"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7184" w:rsidR="002F6545">
        <w:rPr>
          <w:noProof/>
          <w:spacing w:val="-2"/>
          <w:sz w:val="18"/>
          <w:szCs w:val="18"/>
        </w:rPr>
        <w:t>Given the anticipated increase in cellular data consumption in the coming years, the Ministry of Communications should prioritize enhancing cellular service quality in Israel</w:t>
      </w:r>
      <w:r w:rsidRPr="00C50F58">
        <w:rPr>
          <w:rFonts w:hint="cs"/>
          <w:spacing w:val="-2"/>
          <w:sz w:val="18"/>
          <w:szCs w:val="18"/>
        </w:rPr>
        <w:t xml:space="preserve">. </w:t>
      </w:r>
    </w:p>
    <w:p w:rsidR="007E0204" w:rsidP="00682C3F" w14:paraId="1C0FBD87" w14:textId="735CD868">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82816"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7" name="תמונה 33"/>
            <wp:cNvGraphicFramePr/>
            <a:graphic xmlns:a="http://schemas.openxmlformats.org/drawingml/2006/main">
              <a:graphicData uri="http://schemas.openxmlformats.org/drawingml/2006/picture">
                <pic:pic xmlns:pic="http://schemas.openxmlformats.org/drawingml/2006/picture">
                  <pic:nvPicPr>
                    <pic:cNvPr id="47"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7184" w:rsidR="002F6545">
        <w:rPr>
          <w:noProof/>
          <w:spacing w:val="-2"/>
          <w:sz w:val="18"/>
          <w:szCs w:val="18"/>
        </w:rPr>
        <w:t>The Ministry of Communications should obtain regular and comprehensive data from cellular infrastructure companies regarding the actual cellular coverage of their networks, as well as data about the quality of these networks. This data should be analyzed continuously, and an independent audit should be conducted to ensure that the companies comply with their license obligations. Such measures will enable adequate supervision and enforcement of the obligations imposed on cellular infrastructure companies under their licenses</w:t>
      </w:r>
      <w:r w:rsidRPr="00C50F58">
        <w:rPr>
          <w:rFonts w:hint="cs"/>
          <w:spacing w:val="-2"/>
          <w:sz w:val="18"/>
          <w:szCs w:val="18"/>
        </w:rPr>
        <w:t>.</w:t>
      </w:r>
    </w:p>
    <w:p w:rsidR="00D12832" w:rsidRPr="00C50F58" w:rsidP="00D12832" w14:paraId="275C7970" w14:textId="06CC2467">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91008"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917672958" name="תמונה 33"/>
            <wp:cNvGraphicFramePr/>
            <a:graphic xmlns:a="http://schemas.openxmlformats.org/drawingml/2006/main">
              <a:graphicData uri="http://schemas.openxmlformats.org/drawingml/2006/picture">
                <pic:pic xmlns:pic="http://schemas.openxmlformats.org/drawingml/2006/picture">
                  <pic:nvPicPr>
                    <pic:cNvPr id="1917672958"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7184" w:rsidR="002F6545">
        <w:rPr>
          <w:noProof/>
          <w:spacing w:val="-2"/>
          <w:sz w:val="18"/>
          <w:szCs w:val="18"/>
        </w:rPr>
        <w:t>Additionally, it is recommended that the Ministry utilize surveys and questionnaires to identify discrepancies between its data and actual reception reports from the public and local authorities, and address these disparities</w:t>
      </w:r>
      <w:r w:rsidRPr="00C50F58">
        <w:rPr>
          <w:rFonts w:hint="cs"/>
          <w:spacing w:val="-2"/>
          <w:sz w:val="18"/>
          <w:szCs w:val="18"/>
        </w:rPr>
        <w:t xml:space="preserve">. </w:t>
      </w:r>
    </w:p>
    <w:p w:rsidR="00D12832" w:rsidRPr="00C50F58" w:rsidP="00D12832" w14:paraId="60A330EC" w14:textId="1109E792">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92032"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719082896" name="תמונה 33"/>
            <wp:cNvGraphicFramePr/>
            <a:graphic xmlns:a="http://schemas.openxmlformats.org/drawingml/2006/main">
              <a:graphicData uri="http://schemas.openxmlformats.org/drawingml/2006/picture">
                <pic:pic xmlns:pic="http://schemas.openxmlformats.org/drawingml/2006/picture">
                  <pic:nvPicPr>
                    <pic:cNvPr id="719082896"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7184" w:rsidR="002F6545">
        <w:rPr>
          <w:noProof/>
          <w:spacing w:val="-2"/>
          <w:sz w:val="18"/>
          <w:szCs w:val="18"/>
        </w:rPr>
        <w:t>The Ministry of Communications, in collaboration with the Civil Administration in Judea and Samaria, should complete cellular coverage on the roads of Judea and Samaria, as stipulated in the licenses awarded to the cellular infrastructure companies operating in this region. Completing cellular coverage is essential in a high-risk area where security incidents and terror attacks occur frequently</w:t>
      </w:r>
      <w:r w:rsidRPr="00C50F58">
        <w:rPr>
          <w:rFonts w:hint="cs"/>
          <w:spacing w:val="-2"/>
          <w:sz w:val="18"/>
          <w:szCs w:val="18"/>
        </w:rPr>
        <w:t xml:space="preserve">. </w:t>
      </w:r>
    </w:p>
    <w:p w:rsidR="00D12832" w:rsidRPr="00C50F58" w:rsidP="00D12832" w14:paraId="195EE1A5" w14:textId="5A854D31">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93056"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474628561" name="תמונה 33"/>
            <wp:cNvGraphicFramePr/>
            <a:graphic xmlns:a="http://schemas.openxmlformats.org/drawingml/2006/main">
              <a:graphicData uri="http://schemas.openxmlformats.org/drawingml/2006/picture">
                <pic:pic xmlns:pic="http://schemas.openxmlformats.org/drawingml/2006/picture">
                  <pic:nvPicPr>
                    <pic:cNvPr id="1474628561"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7184" w:rsidR="002F6545">
        <w:rPr>
          <w:noProof/>
          <w:spacing w:val="-2"/>
          <w:sz w:val="18"/>
          <w:szCs w:val="18"/>
        </w:rPr>
        <w:t>It is recommended that the Ministry of Communications publish information on cellular coverage levels in Israel, including quality data at the local level derived from independent testing. Regular updates should reflect any new findings based on the data maintained by the Ministry</w:t>
      </w:r>
      <w:r w:rsidRPr="00C50F58">
        <w:rPr>
          <w:rFonts w:hint="cs"/>
          <w:spacing w:val="-2"/>
          <w:sz w:val="18"/>
          <w:szCs w:val="18"/>
        </w:rPr>
        <w:t xml:space="preserve">. </w:t>
      </w:r>
    </w:p>
    <w:p w:rsidR="00D12832" w:rsidRPr="00C50F58" w:rsidP="00D12832" w14:paraId="7D34CD01" w14:textId="2CE6A823">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94080"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55820183" name="תמונה 33"/>
            <wp:cNvGraphicFramePr/>
            <a:graphic xmlns:a="http://schemas.openxmlformats.org/drawingml/2006/main">
              <a:graphicData uri="http://schemas.openxmlformats.org/drawingml/2006/picture">
                <pic:pic xmlns:pic="http://schemas.openxmlformats.org/drawingml/2006/picture">
                  <pic:nvPicPr>
                    <pic:cNvPr id="455820183"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7184" w:rsidR="002F6545">
        <w:rPr>
          <w:noProof/>
          <w:spacing w:val="-2"/>
          <w:sz w:val="18"/>
          <w:szCs w:val="18"/>
        </w:rPr>
        <w:t>The Ministry of Communications should compile data on the scope of necessary broadcasting installations to ensure high-quality cell reception, categorized by geographic areas and local authorities, and subsequently establish broadcasting installations in areas where they are insufficient</w:t>
      </w:r>
      <w:r w:rsidRPr="00C50F58">
        <w:rPr>
          <w:rFonts w:hint="cs"/>
          <w:spacing w:val="-2"/>
          <w:sz w:val="18"/>
          <w:szCs w:val="18"/>
        </w:rPr>
        <w:t xml:space="preserve">. </w:t>
      </w:r>
    </w:p>
    <w:p w:rsidR="00D12832" w:rsidRPr="00C50F58" w:rsidP="00D12832" w14:paraId="329B0D2A" w14:textId="17B01BDF">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95104"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61824964" name="תמונה 33"/>
            <wp:cNvGraphicFramePr/>
            <a:graphic xmlns:a="http://schemas.openxmlformats.org/drawingml/2006/main">
              <a:graphicData uri="http://schemas.openxmlformats.org/drawingml/2006/picture">
                <pic:pic xmlns:pic="http://schemas.openxmlformats.org/drawingml/2006/picture">
                  <pic:nvPicPr>
                    <pic:cNvPr id="61824964"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7184" w:rsidR="002F6545">
        <w:rPr>
          <w:noProof/>
          <w:spacing w:val="-2"/>
          <w:sz w:val="18"/>
          <w:szCs w:val="18"/>
        </w:rPr>
        <w:t xml:space="preserve">The Ministry of Communications and the Planning Administration should expedite the update of NOP 36/A (the national outline plan for small and miniature broadcasting installations) under Government Resolution 209 of August 1, 2021, to align the plan with public needs in mobile communications. Hence, the Ministry should allocate a budget to support the implementation of the government's resolution. At the same time, the Planning </w:t>
      </w:r>
      <w:r w:rsidRPr="009C7184" w:rsidR="002F6545">
        <w:rPr>
          <w:noProof/>
          <w:spacing w:val="-2"/>
          <w:sz w:val="18"/>
          <w:szCs w:val="18"/>
        </w:rPr>
        <w:t>Administration should convene the Draft Committee to form and approve the plan by the governmental</w:t>
      </w:r>
      <w:r w:rsidRPr="00C50F58">
        <w:rPr>
          <w:rFonts w:hint="cs"/>
          <w:spacing w:val="-2"/>
          <w:sz w:val="18"/>
          <w:szCs w:val="18"/>
        </w:rPr>
        <w:t xml:space="preserve">. </w:t>
      </w:r>
    </w:p>
    <w:p w:rsidR="00D12832" w:rsidRPr="00C50F58" w:rsidP="00D12832" w14:paraId="1DB53ACD" w14:textId="2A4B09FA">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96128"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508346261" name="תמונה 33"/>
            <wp:cNvGraphicFramePr/>
            <a:graphic xmlns:a="http://schemas.openxmlformats.org/drawingml/2006/main">
              <a:graphicData uri="http://schemas.openxmlformats.org/drawingml/2006/picture">
                <pic:pic xmlns:pic="http://schemas.openxmlformats.org/drawingml/2006/picture">
                  <pic:nvPicPr>
                    <pic:cNvPr id="1508346261"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7184" w:rsidR="002F6545">
        <w:rPr>
          <w:noProof/>
          <w:spacing w:val="-2"/>
          <w:sz w:val="18"/>
          <w:szCs w:val="18"/>
        </w:rPr>
        <w:t>Local authorities and the Ministry of Construction and Housing should ensure that both outline and detailed plans for the new neighborhood adequately address the requirements for cellular infrastructure. Furthermore, it is recommended that the Planning Administration, in collaboration with the Ministry of Communications and the Ministry of Justice, regulate by incorporating a mandate within local outline plans and detailed plans to guarantee the necessary cellular infrastructure response</w:t>
      </w:r>
      <w:r w:rsidRPr="00C50F58">
        <w:rPr>
          <w:rFonts w:hint="cs"/>
          <w:spacing w:val="-2"/>
          <w:sz w:val="18"/>
          <w:szCs w:val="18"/>
        </w:rPr>
        <w:t xml:space="preserve">. </w:t>
      </w:r>
    </w:p>
    <w:p w:rsidR="00D12832" w:rsidRPr="00C50F58" w:rsidP="00D12832" w14:paraId="4F4A3548" w14:textId="6955BAC6">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97152"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910581853" name="תמונה 33"/>
            <wp:cNvGraphicFramePr/>
            <a:graphic xmlns:a="http://schemas.openxmlformats.org/drawingml/2006/main">
              <a:graphicData uri="http://schemas.openxmlformats.org/drawingml/2006/picture">
                <pic:pic xmlns:pic="http://schemas.openxmlformats.org/drawingml/2006/picture">
                  <pic:nvPicPr>
                    <pic:cNvPr id="1910581853"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7184" w:rsidR="002F6545">
        <w:rPr>
          <w:noProof/>
          <w:spacing w:val="-2"/>
          <w:sz w:val="18"/>
          <w:szCs w:val="18"/>
        </w:rPr>
        <w:t>The Minister of Environmental Protection should enact regulations concerning permissible radiation exposure levels from cellular broadcasting installations, following consultations with the Minister of Health and the Minister of Communications, as mandated by the Non-Ionizing Radiation Law, 2006</w:t>
      </w:r>
      <w:r w:rsidRPr="00C50F58">
        <w:rPr>
          <w:rFonts w:hint="cs"/>
          <w:spacing w:val="-2"/>
          <w:sz w:val="18"/>
          <w:szCs w:val="18"/>
        </w:rPr>
        <w:t xml:space="preserve">. </w:t>
      </w:r>
    </w:p>
    <w:p w:rsidR="00D12832" w:rsidRPr="00C50F58" w:rsidP="00D12832" w14:paraId="2E53335F" w14:textId="7D32D741">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98176"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2146350325" name="תמונה 33"/>
            <wp:cNvGraphicFramePr/>
            <a:graphic xmlns:a="http://schemas.openxmlformats.org/drawingml/2006/main">
              <a:graphicData uri="http://schemas.openxmlformats.org/drawingml/2006/picture">
                <pic:pic xmlns:pic="http://schemas.openxmlformats.org/drawingml/2006/picture">
                  <pic:nvPicPr>
                    <pic:cNvPr id="2146350325"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7184" w:rsidR="002F6545">
        <w:rPr>
          <w:noProof/>
          <w:spacing w:val="-2"/>
          <w:sz w:val="18"/>
          <w:szCs w:val="18"/>
        </w:rPr>
        <w:t>The Ministry of Health, responsible for safeguarding public health in Israel, should systematically compile and continuously update professional information regarding the effects of non-ionizing radiation on public health, ensuring this information is accessible to both the public and relevant government ministries involved in mobile communication infrastructure deployment, as well as in monitoring and controlling the activities of mobile communication installations</w:t>
      </w:r>
      <w:r w:rsidRPr="00C50F58">
        <w:rPr>
          <w:rFonts w:hint="cs"/>
          <w:spacing w:val="-2"/>
          <w:sz w:val="18"/>
          <w:szCs w:val="18"/>
        </w:rPr>
        <w:t xml:space="preserve">. </w:t>
      </w:r>
    </w:p>
    <w:p w:rsidR="00D12832" w:rsidRPr="00C50F58" w:rsidP="00D12832" w14:paraId="1B5361E3" w14:textId="7C99B209">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99200"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2318923" name="תמונה 33"/>
            <wp:cNvGraphicFramePr/>
            <a:graphic xmlns:a="http://schemas.openxmlformats.org/drawingml/2006/main">
              <a:graphicData uri="http://schemas.openxmlformats.org/drawingml/2006/picture">
                <pic:pic xmlns:pic="http://schemas.openxmlformats.org/drawingml/2006/picture">
                  <pic:nvPicPr>
                    <pic:cNvPr id="2318923"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7184" w:rsidR="002F6545">
        <w:rPr>
          <w:noProof/>
          <w:spacing w:val="-2"/>
          <w:sz w:val="18"/>
          <w:szCs w:val="18"/>
        </w:rPr>
        <w:t>It is recommended that the Ministry of Environmental Protection and the Ministry of Finance collaborate to secure an adequate budget for monitoring operations related to broadcasting installations, considering the collection of fees from cellular companies in exchange for permits for the construction and operation of broadcasting installations. Additionally, the Ministry should enhance supervisory operations to ensure compliance with the maximum power limits established by the Ministry</w:t>
      </w:r>
      <w:r w:rsidRPr="00C50F58">
        <w:rPr>
          <w:rFonts w:hint="cs"/>
          <w:spacing w:val="-2"/>
          <w:sz w:val="18"/>
          <w:szCs w:val="18"/>
        </w:rPr>
        <w:t xml:space="preserve">. </w:t>
      </w:r>
    </w:p>
    <w:p w:rsidR="00D12832" w:rsidRPr="00C50F58" w:rsidP="00D12832" w14:paraId="41C002DC" w14:textId="44BD58DF">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0224"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985795147" name="תמונה 33"/>
            <wp:cNvGraphicFramePr/>
            <a:graphic xmlns:a="http://schemas.openxmlformats.org/drawingml/2006/main">
              <a:graphicData uri="http://schemas.openxmlformats.org/drawingml/2006/picture">
                <pic:pic xmlns:pic="http://schemas.openxmlformats.org/drawingml/2006/picture">
                  <pic:nvPicPr>
                    <pic:cNvPr id="1985795147"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7184" w:rsidR="002F6545">
        <w:rPr>
          <w:noProof/>
          <w:spacing w:val="-2"/>
          <w:sz w:val="18"/>
          <w:szCs w:val="18"/>
        </w:rPr>
        <w:t>The Ministry of Environmental Protection should publicly disclose the data regarding radiation measurement results and inspections of radiation sources under the Non-Ionizing Radiation Law, 2006</w:t>
      </w:r>
      <w:r w:rsidRPr="00C50F58">
        <w:rPr>
          <w:rFonts w:hint="cs"/>
          <w:spacing w:val="-2"/>
          <w:sz w:val="18"/>
          <w:szCs w:val="18"/>
        </w:rPr>
        <w:t xml:space="preserve">. </w:t>
      </w:r>
    </w:p>
    <w:p w:rsidR="00D12832" w:rsidRPr="00C50F58" w:rsidP="00D12832" w14:paraId="6F73E1C3" w14:textId="624FBCFC">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1248"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938426336" name="תמונה 33"/>
            <wp:cNvGraphicFramePr/>
            <a:graphic xmlns:a="http://schemas.openxmlformats.org/drawingml/2006/main">
              <a:graphicData uri="http://schemas.openxmlformats.org/drawingml/2006/picture">
                <pic:pic xmlns:pic="http://schemas.openxmlformats.org/drawingml/2006/picture">
                  <pic:nvPicPr>
                    <pic:cNvPr id="1938426336"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7184" w:rsidR="002F6545">
        <w:rPr>
          <w:noProof/>
          <w:spacing w:val="-2"/>
          <w:sz w:val="18"/>
          <w:szCs w:val="18"/>
        </w:rPr>
        <w:t>The Ministry of Communications, the Ministry of Environmental Protection, and the Ministry of Health should develop a standardized format for informing the public about the health impacts of radiation from cellular broadcasting installations. This includes identifying the responsible party for disseminating this information, outlining specific tasks, and ensuring accountability for task completion. Should there be a lack of consensus among the ministries on these issues, the matter should be addressed through a governmental resolution</w:t>
      </w:r>
      <w:r w:rsidRPr="00C50F58">
        <w:rPr>
          <w:rFonts w:hint="cs"/>
          <w:spacing w:val="-2"/>
          <w:sz w:val="18"/>
          <w:szCs w:val="18"/>
        </w:rPr>
        <w:t xml:space="preserve">. </w:t>
      </w:r>
    </w:p>
    <w:p w:rsidR="00D12832" w:rsidRPr="00C50F58" w:rsidP="00D12832" w14:paraId="60938D89" w14:textId="194DA1CA">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702272"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100993912" name="תמונה 33"/>
            <wp:cNvGraphicFramePr/>
            <a:graphic xmlns:a="http://schemas.openxmlformats.org/drawingml/2006/main">
              <a:graphicData uri="http://schemas.openxmlformats.org/drawingml/2006/picture">
                <pic:pic xmlns:pic="http://schemas.openxmlformats.org/drawingml/2006/picture">
                  <pic:nvPicPr>
                    <pic:cNvPr id="1100993912"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7184" w:rsidR="002F6545">
        <w:rPr>
          <w:noProof/>
          <w:spacing w:val="-2"/>
          <w:sz w:val="18"/>
          <w:szCs w:val="18"/>
        </w:rPr>
        <w:t xml:space="preserve">The Ministry of Communications should collect data on the number of 5G broadcasting installations required to ensure adequate service quality for the public and assess the cellular coverage of these installations. The Ministry should enforce cellular companies' compliance with their licensing obligations concerning 5G network coverage and </w:t>
      </w:r>
      <w:r w:rsidRPr="009C7184" w:rsidR="002F6545">
        <w:rPr>
          <w:noProof/>
          <w:spacing w:val="-2"/>
          <w:sz w:val="18"/>
          <w:szCs w:val="18"/>
        </w:rPr>
        <w:t>deployment, utilizing available enforcement tools, including sanctions for violations, as permitted under the Wireless Telegraph Ordinance [New Version], 1972, and the Communications (Telecommunications and Broadcasting) Law, 1982</w:t>
      </w:r>
      <w:r w:rsidRPr="00C50F58">
        <w:rPr>
          <w:rFonts w:hint="cs"/>
          <w:spacing w:val="-2"/>
          <w:sz w:val="18"/>
          <w:szCs w:val="18"/>
        </w:rPr>
        <w:t xml:space="preserve">. </w:t>
      </w:r>
    </w:p>
    <w:p w:rsidR="00D12832" w:rsidP="003126AC" w14:paraId="20FC60D5" w14:textId="4E0DE7AE">
      <w:pPr>
        <w:pStyle w:val="ListParagraph"/>
        <w:numPr>
          <w:ilvl w:val="0"/>
          <w:numId w:val="0"/>
        </w:numPr>
        <w:bidi w:val="0"/>
        <w:spacing w:after="720" w:line="260" w:lineRule="exact"/>
        <w:ind w:left="397"/>
        <w:rPr>
          <w:spacing w:val="-2"/>
          <w:sz w:val="18"/>
          <w:szCs w:val="18"/>
        </w:rPr>
      </w:pPr>
      <w:r w:rsidRPr="00C50F58">
        <w:rPr>
          <w:noProof/>
          <w:spacing w:val="-2"/>
          <w:sz w:val="18"/>
          <w:szCs w:val="18"/>
        </w:rPr>
        <w:drawing>
          <wp:anchor distT="0" distB="3600450" distL="114300" distR="114300" simplePos="0" relativeHeight="251703296"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559380865" name="תמונה 33"/>
            <wp:cNvGraphicFramePr/>
            <a:graphic xmlns:a="http://schemas.openxmlformats.org/drawingml/2006/main">
              <a:graphicData uri="http://schemas.openxmlformats.org/drawingml/2006/picture">
                <pic:pic xmlns:pic="http://schemas.openxmlformats.org/drawingml/2006/picture">
                  <pic:nvPicPr>
                    <pic:cNvPr id="559380865" name="תמונה 3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7184" w:rsidR="002F6545">
        <w:rPr>
          <w:noProof/>
          <w:spacing w:val="-2"/>
          <w:sz w:val="18"/>
          <w:szCs w:val="18"/>
        </w:rPr>
        <w:t>The Ministry of Communications should establish detailed minimum infrastructure deployment targets across all local authorities, ensuring that peripheral and Arab communities can access advanced infrastructure</w:t>
      </w:r>
      <w:r w:rsidRPr="00C50F58">
        <w:rPr>
          <w:rFonts w:hint="cs"/>
          <w:spacing w:val="-2"/>
          <w:sz w:val="18"/>
          <w:szCs w:val="18"/>
        </w:rPr>
        <w:t xml:space="preserve">. </w:t>
      </w:r>
    </w:p>
    <w:p w:rsidR="002F6545" w:rsidRPr="004B58CE" w:rsidP="003126AC" w14:paraId="2093FD11" w14:textId="1C1FA0C0">
      <w:pPr>
        <w:pStyle w:val="ListParagraph"/>
        <w:numPr>
          <w:ilvl w:val="0"/>
          <w:numId w:val="0"/>
        </w:numPr>
        <w:bidi w:val="0"/>
        <w:spacing w:after="240" w:line="240" w:lineRule="auto"/>
        <w:ind w:left="227" w:right="340"/>
        <w:jc w:val="left"/>
        <w:rPr>
          <w:rtl/>
        </w:rPr>
      </w:pPr>
      <w:r w:rsidRPr="00474ED3">
        <w:rPr>
          <w:rFonts w:hint="eastAsia"/>
          <w:b/>
          <w:bCs/>
          <w:noProof/>
          <w:color w:val="FFFFFF" w:themeColor="background1"/>
          <w:sz w:val="22"/>
          <w:szCs w:val="22"/>
          <w:rtl/>
        </w:rPr>
        <w:drawing>
          <wp:anchor distT="0" distB="0" distL="114300" distR="114300" simplePos="0" relativeHeight="251704320" behindDoc="1" locked="0" layoutInCell="1" allowOverlap="1">
            <wp:simplePos x="0" y="0"/>
            <wp:positionH relativeFrom="column">
              <wp:posOffset>-15875</wp:posOffset>
            </wp:positionH>
            <wp:positionV relativeFrom="paragraph">
              <wp:posOffset>-82909</wp:posOffset>
            </wp:positionV>
            <wp:extent cx="4696226" cy="1116217"/>
            <wp:effectExtent l="0" t="0" r="3175" b="1905"/>
            <wp:wrapNone/>
            <wp:docPr id="353598129" name="Picture 3" descr="תמונה שמכילה צילום מסך, אדום, מלבן&#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598129" name="Picture 3" descr="תמונה שמכילה צילום מסך, אדום, מלבן&#10;&#10;התיאור נוצר באופן אוטומטי"/>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96226" cy="1116217"/>
                    </a:xfrm>
                    <a:prstGeom prst="rect">
                      <a:avLst/>
                    </a:prstGeom>
                  </pic:spPr>
                </pic:pic>
              </a:graphicData>
            </a:graphic>
            <wp14:sizeRelH relativeFrom="margin">
              <wp14:pctWidth>0</wp14:pctWidth>
            </wp14:sizeRelH>
            <wp14:sizeRelV relativeFrom="margin">
              <wp14:pctHeight>0</wp14:pctHeight>
            </wp14:sizeRelV>
          </wp:anchor>
        </w:drawing>
      </w:r>
      <w:r w:rsidRPr="002F6545">
        <w:rPr>
          <w:b/>
          <w:bCs/>
          <w:noProof/>
          <w:color w:val="FFFFFF" w:themeColor="background1"/>
          <w:sz w:val="22"/>
          <w:szCs w:val="22"/>
        </w:rPr>
        <w:t xml:space="preserve">Comparison of the Interviewee's Rate Reporting Moderate </w:t>
      </w:r>
      <w:r w:rsidR="00932B95">
        <w:rPr>
          <w:b/>
          <w:bCs/>
          <w:noProof/>
          <w:color w:val="FFFFFF" w:themeColor="background1"/>
          <w:sz w:val="22"/>
          <w:szCs w:val="22"/>
        </w:rPr>
        <w:br/>
      </w:r>
      <w:r w:rsidRPr="002F6545">
        <w:rPr>
          <w:b/>
          <w:bCs/>
          <w:noProof/>
          <w:color w:val="FFFFFF" w:themeColor="background1"/>
          <w:sz w:val="22"/>
          <w:szCs w:val="22"/>
        </w:rPr>
        <w:t xml:space="preserve">or Poor Cell Reception with Data from the Ministry of Communications Regarding the Rate of Cell Coverage in the Local Authority  </w:t>
      </w:r>
    </w:p>
    <w:p w:rsidR="002F6545" w:rsidP="002F6545" w14:paraId="73A20ED6" w14:textId="77777777">
      <w:pPr>
        <w:pStyle w:val="711"/>
        <w:bidi w:val="0"/>
        <w:spacing w:after="120"/>
        <w:ind w:left="0" w:firstLine="0"/>
        <w:jc w:val="left"/>
      </w:pPr>
    </w:p>
    <w:tbl>
      <w:tblPr>
        <w:tblStyle w:val="TableGrid"/>
        <w:tblW w:w="7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24"/>
        <w:gridCol w:w="2608"/>
        <w:gridCol w:w="2454"/>
      </w:tblGrid>
      <w:tr w14:paraId="4164A8DA" w14:textId="77777777" w:rsidTr="003126AC">
        <w:tblPrEx>
          <w:tblW w:w="7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
          <w:tblHeader/>
        </w:trPr>
        <w:tc>
          <w:tcPr>
            <w:tcW w:w="2324" w:type="dxa"/>
            <w:shd w:val="clear" w:color="auto" w:fill="C6DCE4"/>
            <w:vAlign w:val="bottom"/>
          </w:tcPr>
          <w:p w:rsidR="002F6545" w:rsidRPr="002F6545" w:rsidP="002F6545" w14:paraId="45638636" w14:textId="77777777">
            <w:pPr>
              <w:pStyle w:val="73R"/>
              <w:bidi w:val="0"/>
              <w:rPr>
                <w:b/>
                <w:bCs/>
              </w:rPr>
            </w:pPr>
            <w:r w:rsidRPr="002F6545">
              <w:rPr>
                <w:b/>
                <w:bCs/>
              </w:rPr>
              <w:t xml:space="preserve">The Local Authority </w:t>
            </w:r>
          </w:p>
        </w:tc>
        <w:tc>
          <w:tcPr>
            <w:tcW w:w="2608" w:type="dxa"/>
            <w:shd w:val="clear" w:color="auto" w:fill="C6DCE4"/>
            <w:vAlign w:val="bottom"/>
          </w:tcPr>
          <w:p w:rsidR="002F6545" w:rsidRPr="002F6545" w:rsidP="002F6545" w14:paraId="1620A8FA" w14:textId="77777777">
            <w:pPr>
              <w:pStyle w:val="73R"/>
              <w:bidi w:val="0"/>
              <w:rPr>
                <w:b/>
                <w:bCs/>
                <w:rtl/>
              </w:rPr>
            </w:pPr>
            <w:r w:rsidRPr="002F6545">
              <w:rPr>
                <w:b/>
                <w:bCs/>
              </w:rPr>
              <w:t>Respondents rate who reported average or poor cell reception outside their home</w:t>
            </w:r>
          </w:p>
        </w:tc>
        <w:tc>
          <w:tcPr>
            <w:tcW w:w="2454" w:type="dxa"/>
            <w:shd w:val="clear" w:color="auto" w:fill="C6DCE4"/>
            <w:vAlign w:val="bottom"/>
          </w:tcPr>
          <w:p w:rsidR="002F6545" w:rsidRPr="002F6545" w:rsidP="002F6545" w14:paraId="7DFF2CBF" w14:textId="77777777">
            <w:pPr>
              <w:pStyle w:val="73R"/>
              <w:bidi w:val="0"/>
              <w:rPr>
                <w:b/>
                <w:bCs/>
                <w:rtl/>
              </w:rPr>
            </w:pPr>
            <w:r w:rsidRPr="002F6545">
              <w:rPr>
                <w:b/>
                <w:bCs/>
              </w:rPr>
              <w:t xml:space="preserve">Cell coverage rate according to the Ministry of Communications data </w:t>
            </w:r>
          </w:p>
        </w:tc>
      </w:tr>
      <w:tr w14:paraId="79A5FE49" w14:textId="77777777" w:rsidTr="003126AC">
        <w:tblPrEx>
          <w:tblW w:w="7386" w:type="dxa"/>
          <w:tblLook w:val="04A0"/>
        </w:tblPrEx>
        <w:trPr>
          <w:trHeight w:val="57"/>
        </w:trPr>
        <w:tc>
          <w:tcPr>
            <w:tcW w:w="2324" w:type="dxa"/>
            <w:shd w:val="clear" w:color="auto" w:fill="DBE8EE"/>
          </w:tcPr>
          <w:p w:rsidR="002F6545" w:rsidRPr="002F6545" w:rsidP="003126AC" w14:paraId="4DAE8AA3" w14:textId="77777777">
            <w:pPr>
              <w:pStyle w:val="73R"/>
              <w:bidi w:val="0"/>
              <w:spacing w:before="100" w:after="100"/>
              <w:rPr>
                <w:color w:val="000000" w:themeColor="text1"/>
              </w:rPr>
            </w:pPr>
            <w:r w:rsidRPr="002F6545">
              <w:rPr>
                <w:color w:val="000000" w:themeColor="text1"/>
              </w:rPr>
              <w:t>Rahat</w:t>
            </w:r>
          </w:p>
        </w:tc>
        <w:tc>
          <w:tcPr>
            <w:tcW w:w="2608" w:type="dxa"/>
            <w:shd w:val="clear" w:color="auto" w:fill="DBE8EE"/>
            <w:vAlign w:val="center"/>
          </w:tcPr>
          <w:p w:rsidR="002F6545" w:rsidRPr="002F6545" w:rsidP="003126AC" w14:paraId="3C096815" w14:textId="77777777">
            <w:pPr>
              <w:pStyle w:val="73R"/>
              <w:bidi w:val="0"/>
              <w:spacing w:before="100" w:after="100"/>
              <w:rPr>
                <w:rFonts w:eastAsia="Arial"/>
                <w:b/>
                <w:bCs/>
                <w:color w:val="000000" w:themeColor="text1"/>
                <w:kern w:val="24"/>
                <w:sz w:val="20"/>
                <w:rtl/>
              </w:rPr>
            </w:pPr>
            <w:r w:rsidRPr="002F6545">
              <w:rPr>
                <w:rFonts w:eastAsia="Arial"/>
                <w:color w:val="000000" w:themeColor="text1"/>
                <w:kern w:val="24"/>
                <w:sz w:val="20"/>
                <w:rtl/>
              </w:rPr>
              <w:t>78%</w:t>
            </w:r>
          </w:p>
        </w:tc>
        <w:tc>
          <w:tcPr>
            <w:tcW w:w="2454" w:type="dxa"/>
            <w:shd w:val="clear" w:color="auto" w:fill="DBE8EE"/>
            <w:vAlign w:val="center"/>
          </w:tcPr>
          <w:p w:rsidR="002F6545" w:rsidRPr="002F6545" w:rsidP="003126AC" w14:paraId="4FEAB170" w14:textId="77777777">
            <w:pPr>
              <w:pStyle w:val="73R"/>
              <w:bidi w:val="0"/>
              <w:spacing w:before="100" w:after="100"/>
              <w:rPr>
                <w:rFonts w:eastAsia="Arial"/>
                <w:b/>
                <w:bCs/>
                <w:color w:val="000000" w:themeColor="text1"/>
                <w:kern w:val="24"/>
                <w:sz w:val="20"/>
                <w:rtl/>
              </w:rPr>
            </w:pPr>
            <w:r w:rsidRPr="002F6545">
              <w:rPr>
                <w:rFonts w:eastAsia="Arial"/>
                <w:color w:val="000000" w:themeColor="text1"/>
                <w:kern w:val="24"/>
                <w:sz w:val="20"/>
                <w:rtl/>
              </w:rPr>
              <w:t>99.67%</w:t>
            </w:r>
          </w:p>
        </w:tc>
      </w:tr>
      <w:tr w14:paraId="189B325E" w14:textId="77777777" w:rsidTr="003126AC">
        <w:tblPrEx>
          <w:tblW w:w="7386" w:type="dxa"/>
          <w:tblLook w:val="04A0"/>
        </w:tblPrEx>
        <w:trPr>
          <w:trHeight w:val="57"/>
        </w:trPr>
        <w:tc>
          <w:tcPr>
            <w:tcW w:w="2324" w:type="dxa"/>
            <w:shd w:val="clear" w:color="auto" w:fill="ECF4F5"/>
          </w:tcPr>
          <w:p w:rsidR="002F6545" w:rsidRPr="002F6545" w:rsidP="003126AC" w14:paraId="7019263C" w14:textId="77777777">
            <w:pPr>
              <w:pStyle w:val="73R"/>
              <w:bidi w:val="0"/>
              <w:spacing w:before="100" w:after="100"/>
              <w:rPr>
                <w:color w:val="000000" w:themeColor="text1"/>
              </w:rPr>
            </w:pPr>
            <w:r w:rsidRPr="002F6545">
              <w:rPr>
                <w:color w:val="000000" w:themeColor="text1"/>
              </w:rPr>
              <w:t>Baqa al-</w:t>
            </w:r>
            <w:r w:rsidRPr="002F6545">
              <w:rPr>
                <w:color w:val="000000" w:themeColor="text1"/>
              </w:rPr>
              <w:t>Gharbiyye</w:t>
            </w:r>
          </w:p>
        </w:tc>
        <w:tc>
          <w:tcPr>
            <w:tcW w:w="2608" w:type="dxa"/>
            <w:shd w:val="clear" w:color="auto" w:fill="ECF4F5"/>
            <w:vAlign w:val="center"/>
          </w:tcPr>
          <w:p w:rsidR="002F6545" w:rsidRPr="002F6545" w:rsidP="003126AC" w14:paraId="0FDCC569" w14:textId="77777777">
            <w:pPr>
              <w:pStyle w:val="73R"/>
              <w:bidi w:val="0"/>
              <w:spacing w:before="100" w:after="100"/>
              <w:rPr>
                <w:rFonts w:eastAsia="Arial"/>
                <w:color w:val="000000" w:themeColor="text1"/>
                <w:kern w:val="24"/>
                <w:sz w:val="20"/>
                <w:rtl/>
              </w:rPr>
            </w:pPr>
            <w:r w:rsidRPr="002F6545">
              <w:rPr>
                <w:rFonts w:eastAsia="Arial"/>
                <w:color w:val="000000" w:themeColor="text1"/>
                <w:kern w:val="24"/>
                <w:sz w:val="20"/>
                <w:rtl/>
              </w:rPr>
              <w:t>74%</w:t>
            </w:r>
          </w:p>
        </w:tc>
        <w:tc>
          <w:tcPr>
            <w:tcW w:w="2454" w:type="dxa"/>
            <w:shd w:val="clear" w:color="auto" w:fill="ECF4F5"/>
            <w:vAlign w:val="center"/>
          </w:tcPr>
          <w:p w:rsidR="002F6545" w:rsidRPr="002F6545" w:rsidP="003126AC" w14:paraId="238DF921" w14:textId="77777777">
            <w:pPr>
              <w:pStyle w:val="73R"/>
              <w:bidi w:val="0"/>
              <w:spacing w:before="100" w:after="100"/>
              <w:rPr>
                <w:rFonts w:eastAsia="Arial"/>
                <w:color w:val="000000" w:themeColor="text1"/>
                <w:kern w:val="24"/>
                <w:sz w:val="20"/>
                <w:rtl/>
              </w:rPr>
            </w:pPr>
            <w:r w:rsidRPr="002F6545">
              <w:rPr>
                <w:rFonts w:eastAsia="Arial"/>
                <w:color w:val="000000" w:themeColor="text1"/>
                <w:kern w:val="24"/>
                <w:sz w:val="20"/>
                <w:rtl/>
              </w:rPr>
              <w:t>100%</w:t>
            </w:r>
          </w:p>
        </w:tc>
      </w:tr>
      <w:tr w14:paraId="13672990" w14:textId="77777777" w:rsidTr="003126AC">
        <w:tblPrEx>
          <w:tblW w:w="7386" w:type="dxa"/>
          <w:tblLook w:val="04A0"/>
        </w:tblPrEx>
        <w:trPr>
          <w:trHeight w:val="57"/>
        </w:trPr>
        <w:tc>
          <w:tcPr>
            <w:tcW w:w="2324" w:type="dxa"/>
            <w:shd w:val="clear" w:color="auto" w:fill="DBE8EE"/>
          </w:tcPr>
          <w:p w:rsidR="002F6545" w:rsidRPr="002F6545" w:rsidP="003126AC" w14:paraId="14E80FA6" w14:textId="77777777">
            <w:pPr>
              <w:pStyle w:val="73R"/>
              <w:bidi w:val="0"/>
              <w:spacing w:before="100" w:after="100"/>
              <w:rPr>
                <w:color w:val="000000" w:themeColor="text1"/>
              </w:rPr>
            </w:pPr>
            <w:r w:rsidRPr="002F6545">
              <w:rPr>
                <w:color w:val="000000" w:themeColor="text1"/>
              </w:rPr>
              <w:t>Harish</w:t>
            </w:r>
          </w:p>
        </w:tc>
        <w:tc>
          <w:tcPr>
            <w:tcW w:w="2608" w:type="dxa"/>
            <w:shd w:val="clear" w:color="auto" w:fill="DBE8EE"/>
            <w:vAlign w:val="center"/>
          </w:tcPr>
          <w:p w:rsidR="002F6545" w:rsidRPr="002F6545" w:rsidP="003126AC" w14:paraId="25AD226E" w14:textId="77777777">
            <w:pPr>
              <w:pStyle w:val="73R"/>
              <w:bidi w:val="0"/>
              <w:spacing w:before="100" w:after="100"/>
              <w:rPr>
                <w:rFonts w:eastAsia="Arial"/>
                <w:color w:val="000000" w:themeColor="text1"/>
                <w:kern w:val="24"/>
                <w:sz w:val="20"/>
                <w:rtl/>
              </w:rPr>
            </w:pPr>
            <w:r w:rsidRPr="002F6545">
              <w:rPr>
                <w:rFonts w:eastAsia="Arial"/>
                <w:color w:val="000000" w:themeColor="text1"/>
                <w:kern w:val="24"/>
                <w:sz w:val="20"/>
                <w:rtl/>
              </w:rPr>
              <w:t>61%</w:t>
            </w:r>
          </w:p>
        </w:tc>
        <w:tc>
          <w:tcPr>
            <w:tcW w:w="2454" w:type="dxa"/>
            <w:shd w:val="clear" w:color="auto" w:fill="DBE8EE"/>
            <w:vAlign w:val="center"/>
          </w:tcPr>
          <w:p w:rsidR="002F6545" w:rsidRPr="002F6545" w:rsidP="003126AC" w14:paraId="7E0EA89A" w14:textId="77777777">
            <w:pPr>
              <w:pStyle w:val="73R"/>
              <w:bidi w:val="0"/>
              <w:spacing w:before="100" w:after="100"/>
              <w:rPr>
                <w:rFonts w:eastAsia="Arial"/>
                <w:color w:val="000000" w:themeColor="text1"/>
                <w:kern w:val="24"/>
                <w:sz w:val="20"/>
                <w:rtl/>
              </w:rPr>
            </w:pPr>
            <w:r w:rsidRPr="002F6545">
              <w:rPr>
                <w:rFonts w:eastAsia="Arial"/>
                <w:color w:val="000000" w:themeColor="text1"/>
                <w:kern w:val="24"/>
                <w:sz w:val="20"/>
                <w:rtl/>
              </w:rPr>
              <w:t>100%</w:t>
            </w:r>
          </w:p>
        </w:tc>
      </w:tr>
      <w:tr w14:paraId="44AA8AEB" w14:textId="77777777" w:rsidTr="003126AC">
        <w:tblPrEx>
          <w:tblW w:w="7386" w:type="dxa"/>
          <w:tblLook w:val="04A0"/>
        </w:tblPrEx>
        <w:trPr>
          <w:trHeight w:val="57"/>
        </w:trPr>
        <w:tc>
          <w:tcPr>
            <w:tcW w:w="2324" w:type="dxa"/>
            <w:shd w:val="clear" w:color="auto" w:fill="ECF4F5"/>
          </w:tcPr>
          <w:p w:rsidR="002F6545" w:rsidRPr="002F6545" w:rsidP="003126AC" w14:paraId="77B23879" w14:textId="77777777">
            <w:pPr>
              <w:pStyle w:val="73R"/>
              <w:bidi w:val="0"/>
              <w:spacing w:before="100" w:after="100"/>
              <w:rPr>
                <w:color w:val="000000" w:themeColor="text1"/>
              </w:rPr>
            </w:pPr>
            <w:r w:rsidRPr="002F6545">
              <w:rPr>
                <w:color w:val="000000" w:themeColor="text1"/>
              </w:rPr>
              <w:t>Majd al-Krum</w:t>
            </w:r>
          </w:p>
        </w:tc>
        <w:tc>
          <w:tcPr>
            <w:tcW w:w="2608" w:type="dxa"/>
            <w:shd w:val="clear" w:color="auto" w:fill="ECF4F5"/>
            <w:vAlign w:val="center"/>
          </w:tcPr>
          <w:p w:rsidR="002F6545" w:rsidRPr="002F6545" w:rsidP="003126AC" w14:paraId="0B2D7EE2" w14:textId="77777777">
            <w:pPr>
              <w:pStyle w:val="73R"/>
              <w:bidi w:val="0"/>
              <w:spacing w:before="100" w:after="100"/>
              <w:rPr>
                <w:rFonts w:eastAsia="Arial"/>
                <w:color w:val="000000" w:themeColor="text1"/>
                <w:kern w:val="24"/>
                <w:sz w:val="20"/>
                <w:rtl/>
              </w:rPr>
            </w:pPr>
            <w:r w:rsidRPr="002F6545">
              <w:rPr>
                <w:rFonts w:eastAsia="Arial"/>
                <w:color w:val="000000" w:themeColor="text1"/>
                <w:kern w:val="24"/>
                <w:sz w:val="20"/>
                <w:rtl/>
              </w:rPr>
              <w:t>59%</w:t>
            </w:r>
          </w:p>
        </w:tc>
        <w:tc>
          <w:tcPr>
            <w:tcW w:w="2454" w:type="dxa"/>
            <w:shd w:val="clear" w:color="auto" w:fill="ECF4F5"/>
            <w:vAlign w:val="center"/>
          </w:tcPr>
          <w:p w:rsidR="002F6545" w:rsidRPr="002F6545" w:rsidP="003126AC" w14:paraId="6B696091" w14:textId="77777777">
            <w:pPr>
              <w:pStyle w:val="73R"/>
              <w:bidi w:val="0"/>
              <w:spacing w:before="100" w:after="100"/>
              <w:rPr>
                <w:rFonts w:eastAsia="Arial"/>
                <w:color w:val="000000" w:themeColor="text1"/>
                <w:kern w:val="24"/>
                <w:sz w:val="20"/>
                <w:rtl/>
              </w:rPr>
            </w:pPr>
            <w:r w:rsidRPr="002F6545">
              <w:rPr>
                <w:rFonts w:eastAsia="Arial"/>
                <w:color w:val="000000" w:themeColor="text1"/>
                <w:kern w:val="24"/>
                <w:sz w:val="20"/>
                <w:rtl/>
              </w:rPr>
              <w:t>100%</w:t>
            </w:r>
          </w:p>
        </w:tc>
      </w:tr>
      <w:tr w14:paraId="3B52B633" w14:textId="77777777" w:rsidTr="003126AC">
        <w:tblPrEx>
          <w:tblW w:w="7386" w:type="dxa"/>
          <w:tblLook w:val="04A0"/>
        </w:tblPrEx>
        <w:trPr>
          <w:trHeight w:val="57"/>
        </w:trPr>
        <w:tc>
          <w:tcPr>
            <w:tcW w:w="2324" w:type="dxa"/>
            <w:shd w:val="clear" w:color="auto" w:fill="DBE8EE"/>
          </w:tcPr>
          <w:p w:rsidR="002F6545" w:rsidRPr="002F6545" w:rsidP="003126AC" w14:paraId="5DA0371B" w14:textId="77777777">
            <w:pPr>
              <w:pStyle w:val="73R"/>
              <w:bidi w:val="0"/>
              <w:spacing w:before="100" w:after="100"/>
              <w:rPr>
                <w:color w:val="000000" w:themeColor="text1"/>
              </w:rPr>
            </w:pPr>
            <w:r w:rsidRPr="002F6545">
              <w:rPr>
                <w:color w:val="000000" w:themeColor="text1"/>
              </w:rPr>
              <w:t>Beit Shemesh</w:t>
            </w:r>
          </w:p>
        </w:tc>
        <w:tc>
          <w:tcPr>
            <w:tcW w:w="2608" w:type="dxa"/>
            <w:shd w:val="clear" w:color="auto" w:fill="DBE8EE"/>
            <w:vAlign w:val="center"/>
          </w:tcPr>
          <w:p w:rsidR="002F6545" w:rsidRPr="002F6545" w:rsidP="003126AC" w14:paraId="666EE990" w14:textId="77777777">
            <w:pPr>
              <w:pStyle w:val="73R"/>
              <w:bidi w:val="0"/>
              <w:spacing w:before="100" w:after="100"/>
              <w:rPr>
                <w:rFonts w:eastAsia="Arial"/>
                <w:color w:val="000000" w:themeColor="text1"/>
                <w:kern w:val="24"/>
                <w:sz w:val="20"/>
                <w:rtl/>
              </w:rPr>
            </w:pPr>
            <w:r w:rsidRPr="002F6545">
              <w:rPr>
                <w:rFonts w:eastAsia="Arial"/>
                <w:color w:val="000000" w:themeColor="text1"/>
                <w:kern w:val="24"/>
                <w:sz w:val="20"/>
                <w:rtl/>
              </w:rPr>
              <w:t>37%</w:t>
            </w:r>
          </w:p>
        </w:tc>
        <w:tc>
          <w:tcPr>
            <w:tcW w:w="2454" w:type="dxa"/>
            <w:shd w:val="clear" w:color="auto" w:fill="DBE8EE"/>
            <w:vAlign w:val="center"/>
          </w:tcPr>
          <w:p w:rsidR="002F6545" w:rsidRPr="002F6545" w:rsidP="003126AC" w14:paraId="48032296" w14:textId="77777777">
            <w:pPr>
              <w:pStyle w:val="73R"/>
              <w:bidi w:val="0"/>
              <w:spacing w:before="100" w:after="100"/>
              <w:rPr>
                <w:rFonts w:eastAsia="Arial"/>
                <w:color w:val="000000" w:themeColor="text1"/>
                <w:kern w:val="24"/>
                <w:sz w:val="20"/>
                <w:rtl/>
              </w:rPr>
            </w:pPr>
            <w:r w:rsidRPr="002F6545">
              <w:rPr>
                <w:rFonts w:eastAsia="Arial"/>
                <w:color w:val="000000" w:themeColor="text1"/>
                <w:kern w:val="24"/>
                <w:sz w:val="20"/>
                <w:rtl/>
              </w:rPr>
              <w:t>100%</w:t>
            </w:r>
          </w:p>
        </w:tc>
      </w:tr>
      <w:tr w14:paraId="7816EA93" w14:textId="77777777" w:rsidTr="003126AC">
        <w:tblPrEx>
          <w:tblW w:w="7386" w:type="dxa"/>
          <w:tblLook w:val="04A0"/>
        </w:tblPrEx>
        <w:trPr>
          <w:trHeight w:val="57"/>
        </w:trPr>
        <w:tc>
          <w:tcPr>
            <w:tcW w:w="2324" w:type="dxa"/>
            <w:shd w:val="clear" w:color="auto" w:fill="ECF4F5"/>
          </w:tcPr>
          <w:p w:rsidR="002F6545" w:rsidRPr="002F6545" w:rsidP="003126AC" w14:paraId="6F2496F8" w14:textId="77777777">
            <w:pPr>
              <w:pStyle w:val="73R"/>
              <w:bidi w:val="0"/>
              <w:spacing w:before="100" w:after="100"/>
              <w:rPr>
                <w:color w:val="000000" w:themeColor="text1"/>
              </w:rPr>
            </w:pPr>
            <w:r w:rsidRPr="002F6545">
              <w:rPr>
                <w:color w:val="000000" w:themeColor="text1"/>
              </w:rPr>
              <w:t>Elad</w:t>
            </w:r>
          </w:p>
        </w:tc>
        <w:tc>
          <w:tcPr>
            <w:tcW w:w="2608" w:type="dxa"/>
            <w:shd w:val="clear" w:color="auto" w:fill="ECF4F5"/>
            <w:vAlign w:val="center"/>
          </w:tcPr>
          <w:p w:rsidR="002F6545" w:rsidRPr="002F6545" w:rsidP="003126AC" w14:paraId="69C09D21" w14:textId="77777777">
            <w:pPr>
              <w:pStyle w:val="73R"/>
              <w:bidi w:val="0"/>
              <w:spacing w:before="100" w:after="100"/>
              <w:rPr>
                <w:rFonts w:eastAsia="Arial"/>
                <w:color w:val="000000" w:themeColor="text1"/>
                <w:kern w:val="24"/>
                <w:sz w:val="20"/>
                <w:rtl/>
              </w:rPr>
            </w:pPr>
            <w:r w:rsidRPr="002F6545">
              <w:rPr>
                <w:rFonts w:eastAsia="Arial"/>
                <w:color w:val="000000" w:themeColor="text1"/>
                <w:kern w:val="24"/>
                <w:sz w:val="20"/>
                <w:rtl/>
              </w:rPr>
              <w:t>35%</w:t>
            </w:r>
          </w:p>
        </w:tc>
        <w:tc>
          <w:tcPr>
            <w:tcW w:w="2454" w:type="dxa"/>
            <w:shd w:val="clear" w:color="auto" w:fill="ECF4F5"/>
            <w:vAlign w:val="center"/>
          </w:tcPr>
          <w:p w:rsidR="002F6545" w:rsidRPr="002F6545" w:rsidP="003126AC" w14:paraId="1D58F0B4" w14:textId="77777777">
            <w:pPr>
              <w:pStyle w:val="73R"/>
              <w:bidi w:val="0"/>
              <w:spacing w:before="100" w:after="100"/>
              <w:rPr>
                <w:rFonts w:eastAsia="Arial"/>
                <w:color w:val="000000" w:themeColor="text1"/>
                <w:kern w:val="24"/>
                <w:sz w:val="20"/>
                <w:rtl/>
              </w:rPr>
            </w:pPr>
            <w:r w:rsidRPr="002F6545">
              <w:rPr>
                <w:rFonts w:eastAsia="Arial"/>
                <w:color w:val="000000" w:themeColor="text1"/>
                <w:kern w:val="24"/>
                <w:sz w:val="20"/>
                <w:rtl/>
              </w:rPr>
              <w:t>100%</w:t>
            </w:r>
          </w:p>
        </w:tc>
      </w:tr>
      <w:tr w14:paraId="63DC505B" w14:textId="77777777" w:rsidTr="003126AC">
        <w:tblPrEx>
          <w:tblW w:w="7386" w:type="dxa"/>
          <w:tblLook w:val="04A0"/>
        </w:tblPrEx>
        <w:trPr>
          <w:trHeight w:val="57"/>
        </w:trPr>
        <w:tc>
          <w:tcPr>
            <w:tcW w:w="2324" w:type="dxa"/>
            <w:shd w:val="clear" w:color="auto" w:fill="DBE8EE"/>
          </w:tcPr>
          <w:p w:rsidR="002F6545" w:rsidRPr="002F6545" w:rsidP="003126AC" w14:paraId="22320AA8" w14:textId="77777777">
            <w:pPr>
              <w:pStyle w:val="73R"/>
              <w:bidi w:val="0"/>
              <w:spacing w:before="100" w:after="100"/>
              <w:rPr>
                <w:color w:val="000000" w:themeColor="text1"/>
              </w:rPr>
            </w:pPr>
            <w:r w:rsidRPr="002F6545">
              <w:rPr>
                <w:color w:val="000000" w:themeColor="text1"/>
              </w:rPr>
              <w:t>Tiberias</w:t>
            </w:r>
          </w:p>
        </w:tc>
        <w:tc>
          <w:tcPr>
            <w:tcW w:w="2608" w:type="dxa"/>
            <w:shd w:val="clear" w:color="auto" w:fill="DBE8EE"/>
            <w:vAlign w:val="center"/>
          </w:tcPr>
          <w:p w:rsidR="002F6545" w:rsidRPr="002F6545" w:rsidP="003126AC" w14:paraId="74CF8F3E" w14:textId="77777777">
            <w:pPr>
              <w:pStyle w:val="73R"/>
              <w:bidi w:val="0"/>
              <w:spacing w:before="100" w:after="100"/>
              <w:rPr>
                <w:rFonts w:eastAsia="Arial"/>
                <w:color w:val="000000" w:themeColor="text1"/>
                <w:kern w:val="24"/>
                <w:sz w:val="20"/>
                <w:rtl/>
              </w:rPr>
            </w:pPr>
            <w:r w:rsidRPr="002F6545">
              <w:rPr>
                <w:rFonts w:eastAsia="Arial"/>
                <w:color w:val="000000" w:themeColor="text1"/>
                <w:kern w:val="24"/>
                <w:sz w:val="20"/>
                <w:rtl/>
              </w:rPr>
              <w:t>32%</w:t>
            </w:r>
          </w:p>
        </w:tc>
        <w:tc>
          <w:tcPr>
            <w:tcW w:w="2454" w:type="dxa"/>
            <w:shd w:val="clear" w:color="auto" w:fill="DBE8EE"/>
            <w:vAlign w:val="center"/>
          </w:tcPr>
          <w:p w:rsidR="002F6545" w:rsidRPr="002F6545" w:rsidP="003126AC" w14:paraId="59B730E9" w14:textId="77777777">
            <w:pPr>
              <w:pStyle w:val="73R"/>
              <w:bidi w:val="0"/>
              <w:spacing w:before="100" w:after="100"/>
              <w:rPr>
                <w:rFonts w:eastAsia="Arial"/>
                <w:color w:val="000000" w:themeColor="text1"/>
                <w:kern w:val="24"/>
                <w:sz w:val="20"/>
                <w:rtl/>
              </w:rPr>
            </w:pPr>
            <w:r w:rsidRPr="002F6545">
              <w:rPr>
                <w:rFonts w:eastAsia="Arial"/>
                <w:color w:val="000000" w:themeColor="text1"/>
                <w:kern w:val="24"/>
                <w:sz w:val="20"/>
                <w:rtl/>
              </w:rPr>
              <w:t>100%</w:t>
            </w:r>
          </w:p>
        </w:tc>
      </w:tr>
      <w:tr w14:paraId="4F720133" w14:textId="77777777" w:rsidTr="003126AC">
        <w:tblPrEx>
          <w:tblW w:w="7386" w:type="dxa"/>
          <w:tblLook w:val="04A0"/>
        </w:tblPrEx>
        <w:trPr>
          <w:trHeight w:val="57"/>
        </w:trPr>
        <w:tc>
          <w:tcPr>
            <w:tcW w:w="2324" w:type="dxa"/>
            <w:shd w:val="clear" w:color="auto" w:fill="ECF4F5"/>
          </w:tcPr>
          <w:p w:rsidR="002F6545" w:rsidRPr="002F6545" w:rsidP="003126AC" w14:paraId="16039A9D" w14:textId="77777777">
            <w:pPr>
              <w:pStyle w:val="73R"/>
              <w:bidi w:val="0"/>
              <w:spacing w:before="100" w:after="100"/>
              <w:rPr>
                <w:color w:val="000000" w:themeColor="text1"/>
              </w:rPr>
            </w:pPr>
            <w:r w:rsidRPr="002F6545">
              <w:rPr>
                <w:color w:val="000000" w:themeColor="text1"/>
              </w:rPr>
              <w:t xml:space="preserve">Rosh </w:t>
            </w:r>
            <w:r w:rsidRPr="002F6545">
              <w:rPr>
                <w:color w:val="000000" w:themeColor="text1"/>
              </w:rPr>
              <w:t>Ha'ayin</w:t>
            </w:r>
          </w:p>
        </w:tc>
        <w:tc>
          <w:tcPr>
            <w:tcW w:w="2608" w:type="dxa"/>
            <w:shd w:val="clear" w:color="auto" w:fill="ECF4F5"/>
            <w:vAlign w:val="center"/>
          </w:tcPr>
          <w:p w:rsidR="002F6545" w:rsidRPr="002F6545" w:rsidP="003126AC" w14:paraId="234F2D90" w14:textId="77777777">
            <w:pPr>
              <w:pStyle w:val="73R"/>
              <w:bidi w:val="0"/>
              <w:spacing w:before="100" w:after="100"/>
              <w:rPr>
                <w:rFonts w:eastAsia="Arial"/>
                <w:color w:val="000000" w:themeColor="text1"/>
                <w:kern w:val="24"/>
                <w:sz w:val="20"/>
                <w:rtl/>
              </w:rPr>
            </w:pPr>
            <w:r w:rsidRPr="002F6545">
              <w:rPr>
                <w:rFonts w:eastAsia="Arial"/>
                <w:color w:val="000000" w:themeColor="text1"/>
                <w:kern w:val="24"/>
                <w:sz w:val="20"/>
                <w:rtl/>
              </w:rPr>
              <w:t>28%</w:t>
            </w:r>
          </w:p>
        </w:tc>
        <w:tc>
          <w:tcPr>
            <w:tcW w:w="2454" w:type="dxa"/>
            <w:shd w:val="clear" w:color="auto" w:fill="ECF4F5"/>
            <w:vAlign w:val="center"/>
          </w:tcPr>
          <w:p w:rsidR="002F6545" w:rsidRPr="002F6545" w:rsidP="003126AC" w14:paraId="2F93AD74" w14:textId="77777777">
            <w:pPr>
              <w:pStyle w:val="73R"/>
              <w:bidi w:val="0"/>
              <w:spacing w:before="100" w:after="100"/>
              <w:rPr>
                <w:rFonts w:eastAsia="Arial"/>
                <w:color w:val="000000" w:themeColor="text1"/>
                <w:kern w:val="24"/>
                <w:sz w:val="20"/>
                <w:rtl/>
              </w:rPr>
            </w:pPr>
            <w:r w:rsidRPr="002F6545">
              <w:rPr>
                <w:rFonts w:eastAsia="Arial"/>
                <w:color w:val="000000" w:themeColor="text1"/>
                <w:kern w:val="24"/>
                <w:sz w:val="20"/>
                <w:rtl/>
              </w:rPr>
              <w:t>100%</w:t>
            </w:r>
          </w:p>
        </w:tc>
      </w:tr>
      <w:tr w14:paraId="31EA5334" w14:textId="77777777" w:rsidTr="003126AC">
        <w:tblPrEx>
          <w:tblW w:w="7386" w:type="dxa"/>
          <w:tblLook w:val="04A0"/>
        </w:tblPrEx>
        <w:trPr>
          <w:trHeight w:val="57"/>
        </w:trPr>
        <w:tc>
          <w:tcPr>
            <w:tcW w:w="2324" w:type="dxa"/>
            <w:shd w:val="clear" w:color="auto" w:fill="DBE8EE"/>
          </w:tcPr>
          <w:p w:rsidR="002F6545" w:rsidRPr="002F6545" w:rsidP="003126AC" w14:paraId="63A4D4FF" w14:textId="77777777">
            <w:pPr>
              <w:pStyle w:val="73R"/>
              <w:bidi w:val="0"/>
              <w:spacing w:before="100" w:after="100"/>
              <w:rPr>
                <w:color w:val="000000" w:themeColor="text1"/>
              </w:rPr>
            </w:pPr>
            <w:r w:rsidRPr="002F6545">
              <w:rPr>
                <w:color w:val="000000" w:themeColor="text1"/>
              </w:rPr>
              <w:t>Netivot</w:t>
            </w:r>
          </w:p>
        </w:tc>
        <w:tc>
          <w:tcPr>
            <w:tcW w:w="2608" w:type="dxa"/>
            <w:shd w:val="clear" w:color="auto" w:fill="DBE8EE"/>
            <w:vAlign w:val="center"/>
          </w:tcPr>
          <w:p w:rsidR="002F6545" w:rsidRPr="002F6545" w:rsidP="003126AC" w14:paraId="458C21D0" w14:textId="77777777">
            <w:pPr>
              <w:pStyle w:val="73R"/>
              <w:bidi w:val="0"/>
              <w:spacing w:before="100" w:after="100"/>
              <w:rPr>
                <w:rFonts w:eastAsia="Arial"/>
                <w:color w:val="000000" w:themeColor="text1"/>
                <w:kern w:val="24"/>
                <w:sz w:val="20"/>
                <w:rtl/>
              </w:rPr>
            </w:pPr>
            <w:r w:rsidRPr="002F6545">
              <w:rPr>
                <w:rFonts w:eastAsia="Arial"/>
                <w:color w:val="000000" w:themeColor="text1"/>
                <w:kern w:val="24"/>
                <w:sz w:val="20"/>
                <w:rtl/>
              </w:rPr>
              <w:t>27%</w:t>
            </w:r>
          </w:p>
        </w:tc>
        <w:tc>
          <w:tcPr>
            <w:tcW w:w="2454" w:type="dxa"/>
            <w:shd w:val="clear" w:color="auto" w:fill="DBE8EE"/>
            <w:vAlign w:val="center"/>
          </w:tcPr>
          <w:p w:rsidR="002F6545" w:rsidRPr="002F6545" w:rsidP="003126AC" w14:paraId="2BFA06F9" w14:textId="77777777">
            <w:pPr>
              <w:pStyle w:val="73R"/>
              <w:bidi w:val="0"/>
              <w:spacing w:before="100" w:after="100"/>
              <w:rPr>
                <w:rFonts w:eastAsia="Arial"/>
                <w:color w:val="000000" w:themeColor="text1"/>
                <w:kern w:val="24"/>
                <w:sz w:val="20"/>
                <w:rtl/>
              </w:rPr>
            </w:pPr>
            <w:r w:rsidRPr="002F6545">
              <w:rPr>
                <w:rFonts w:eastAsia="Arial"/>
                <w:color w:val="000000" w:themeColor="text1"/>
                <w:kern w:val="24"/>
                <w:sz w:val="20"/>
                <w:rtl/>
              </w:rPr>
              <w:t>100%</w:t>
            </w:r>
          </w:p>
        </w:tc>
      </w:tr>
      <w:tr w14:paraId="36F3C3A7" w14:textId="77777777" w:rsidTr="003126AC">
        <w:tblPrEx>
          <w:tblW w:w="7386" w:type="dxa"/>
          <w:tblLook w:val="04A0"/>
        </w:tblPrEx>
        <w:trPr>
          <w:trHeight w:val="57"/>
        </w:trPr>
        <w:tc>
          <w:tcPr>
            <w:tcW w:w="2324" w:type="dxa"/>
            <w:shd w:val="clear" w:color="auto" w:fill="ECF4F5"/>
          </w:tcPr>
          <w:p w:rsidR="002F6545" w:rsidRPr="002F6545" w:rsidP="003126AC" w14:paraId="0586B614" w14:textId="77777777">
            <w:pPr>
              <w:pStyle w:val="73R"/>
              <w:bidi w:val="0"/>
              <w:spacing w:before="100" w:after="100"/>
              <w:rPr>
                <w:color w:val="000000" w:themeColor="text1"/>
              </w:rPr>
            </w:pPr>
            <w:r w:rsidRPr="002F6545">
              <w:rPr>
                <w:color w:val="000000" w:themeColor="text1"/>
              </w:rPr>
              <w:t>Ashkelon</w:t>
            </w:r>
          </w:p>
        </w:tc>
        <w:tc>
          <w:tcPr>
            <w:tcW w:w="2608" w:type="dxa"/>
            <w:shd w:val="clear" w:color="auto" w:fill="ECF4F5"/>
            <w:vAlign w:val="center"/>
          </w:tcPr>
          <w:p w:rsidR="002F6545" w:rsidRPr="002F6545" w:rsidP="003126AC" w14:paraId="1C03DBFC" w14:textId="77777777">
            <w:pPr>
              <w:pStyle w:val="73R"/>
              <w:bidi w:val="0"/>
              <w:spacing w:before="100" w:after="100"/>
              <w:rPr>
                <w:rFonts w:eastAsia="Arial"/>
                <w:color w:val="000000" w:themeColor="text1"/>
                <w:kern w:val="24"/>
                <w:sz w:val="20"/>
                <w:rtl/>
              </w:rPr>
            </w:pPr>
            <w:r w:rsidRPr="002F6545">
              <w:rPr>
                <w:rFonts w:eastAsia="Arial"/>
                <w:color w:val="000000" w:themeColor="text1"/>
                <w:kern w:val="24"/>
                <w:sz w:val="20"/>
                <w:rtl/>
              </w:rPr>
              <w:t>20%</w:t>
            </w:r>
          </w:p>
        </w:tc>
        <w:tc>
          <w:tcPr>
            <w:tcW w:w="2454" w:type="dxa"/>
            <w:shd w:val="clear" w:color="auto" w:fill="ECF4F5"/>
            <w:vAlign w:val="center"/>
          </w:tcPr>
          <w:p w:rsidR="002F6545" w:rsidRPr="002F6545" w:rsidP="003126AC" w14:paraId="5B1B074C" w14:textId="77777777">
            <w:pPr>
              <w:pStyle w:val="73R"/>
              <w:bidi w:val="0"/>
              <w:spacing w:before="100" w:after="100"/>
              <w:rPr>
                <w:rFonts w:eastAsia="Arial"/>
                <w:color w:val="000000" w:themeColor="text1"/>
                <w:kern w:val="24"/>
                <w:sz w:val="20"/>
                <w:rtl/>
              </w:rPr>
            </w:pPr>
            <w:r w:rsidRPr="002F6545">
              <w:rPr>
                <w:rFonts w:eastAsia="Arial"/>
                <w:color w:val="000000" w:themeColor="text1"/>
                <w:kern w:val="24"/>
                <w:sz w:val="20"/>
                <w:rtl/>
              </w:rPr>
              <w:t>99.97%</w:t>
            </w:r>
          </w:p>
        </w:tc>
      </w:tr>
      <w:tr w14:paraId="7AAB61F7" w14:textId="77777777" w:rsidTr="003126AC">
        <w:tblPrEx>
          <w:tblW w:w="7386" w:type="dxa"/>
          <w:tblLook w:val="04A0"/>
        </w:tblPrEx>
        <w:trPr>
          <w:trHeight w:val="57"/>
        </w:trPr>
        <w:tc>
          <w:tcPr>
            <w:tcW w:w="2324" w:type="dxa"/>
            <w:shd w:val="clear" w:color="auto" w:fill="DBE8EE"/>
          </w:tcPr>
          <w:p w:rsidR="002F6545" w:rsidRPr="002F6545" w:rsidP="003126AC" w14:paraId="40A5BDBA" w14:textId="77777777">
            <w:pPr>
              <w:pStyle w:val="73R"/>
              <w:bidi w:val="0"/>
              <w:spacing w:before="100" w:after="100"/>
              <w:rPr>
                <w:color w:val="000000" w:themeColor="text1"/>
              </w:rPr>
            </w:pPr>
            <w:r w:rsidRPr="002F6545">
              <w:rPr>
                <w:color w:val="000000" w:themeColor="text1"/>
              </w:rPr>
              <w:t>Nahariya</w:t>
            </w:r>
          </w:p>
        </w:tc>
        <w:tc>
          <w:tcPr>
            <w:tcW w:w="2608" w:type="dxa"/>
            <w:shd w:val="clear" w:color="auto" w:fill="DBE8EE"/>
            <w:vAlign w:val="center"/>
          </w:tcPr>
          <w:p w:rsidR="002F6545" w:rsidRPr="002F6545" w:rsidP="003126AC" w14:paraId="316C5D2A" w14:textId="77777777">
            <w:pPr>
              <w:pStyle w:val="73R"/>
              <w:bidi w:val="0"/>
              <w:spacing w:before="100" w:after="100"/>
              <w:rPr>
                <w:rFonts w:eastAsia="Arial"/>
                <w:color w:val="000000" w:themeColor="text1"/>
                <w:kern w:val="24"/>
                <w:sz w:val="20"/>
                <w:rtl/>
              </w:rPr>
            </w:pPr>
            <w:r w:rsidRPr="002F6545">
              <w:rPr>
                <w:rFonts w:eastAsia="Arial"/>
                <w:color w:val="000000" w:themeColor="text1"/>
                <w:kern w:val="24"/>
                <w:sz w:val="20"/>
                <w:rtl/>
              </w:rPr>
              <w:t>19%</w:t>
            </w:r>
          </w:p>
        </w:tc>
        <w:tc>
          <w:tcPr>
            <w:tcW w:w="2454" w:type="dxa"/>
            <w:shd w:val="clear" w:color="auto" w:fill="DBE8EE"/>
            <w:vAlign w:val="center"/>
          </w:tcPr>
          <w:p w:rsidR="002F6545" w:rsidRPr="002F6545" w:rsidP="003126AC" w14:paraId="253EF0DF" w14:textId="77777777">
            <w:pPr>
              <w:pStyle w:val="73R"/>
              <w:bidi w:val="0"/>
              <w:spacing w:before="100" w:after="100"/>
              <w:rPr>
                <w:rFonts w:eastAsia="Arial"/>
                <w:color w:val="000000" w:themeColor="text1"/>
                <w:kern w:val="24"/>
                <w:sz w:val="20"/>
                <w:rtl/>
              </w:rPr>
            </w:pPr>
            <w:r w:rsidRPr="002F6545">
              <w:rPr>
                <w:rFonts w:eastAsia="Arial"/>
                <w:color w:val="000000" w:themeColor="text1"/>
                <w:kern w:val="24"/>
                <w:sz w:val="20"/>
                <w:rtl/>
              </w:rPr>
              <w:t>100%</w:t>
            </w:r>
          </w:p>
        </w:tc>
      </w:tr>
      <w:tr w14:paraId="10CB3D79" w14:textId="77777777" w:rsidTr="003126AC">
        <w:tblPrEx>
          <w:tblW w:w="7386" w:type="dxa"/>
          <w:tblLook w:val="04A0"/>
        </w:tblPrEx>
        <w:trPr>
          <w:trHeight w:val="57"/>
        </w:trPr>
        <w:tc>
          <w:tcPr>
            <w:tcW w:w="2324" w:type="dxa"/>
            <w:shd w:val="clear" w:color="auto" w:fill="ECF4F5"/>
          </w:tcPr>
          <w:p w:rsidR="002F6545" w:rsidRPr="002F6545" w:rsidP="003126AC" w14:paraId="1BDA4176" w14:textId="77777777">
            <w:pPr>
              <w:pStyle w:val="73R"/>
              <w:bidi w:val="0"/>
              <w:spacing w:before="100" w:after="100"/>
              <w:rPr>
                <w:color w:val="000000" w:themeColor="text1"/>
              </w:rPr>
            </w:pPr>
            <w:r w:rsidRPr="002F6545">
              <w:rPr>
                <w:color w:val="000000" w:themeColor="text1"/>
              </w:rPr>
              <w:t>Ashdod</w:t>
            </w:r>
          </w:p>
        </w:tc>
        <w:tc>
          <w:tcPr>
            <w:tcW w:w="2608" w:type="dxa"/>
            <w:shd w:val="clear" w:color="auto" w:fill="ECF4F5"/>
            <w:vAlign w:val="center"/>
          </w:tcPr>
          <w:p w:rsidR="002F6545" w:rsidRPr="002F6545" w:rsidP="003126AC" w14:paraId="1F0E01BE" w14:textId="77777777">
            <w:pPr>
              <w:pStyle w:val="73R"/>
              <w:bidi w:val="0"/>
              <w:spacing w:before="100" w:after="100"/>
              <w:rPr>
                <w:rFonts w:eastAsia="Arial"/>
                <w:color w:val="000000" w:themeColor="text1"/>
                <w:kern w:val="24"/>
                <w:sz w:val="20"/>
                <w:rtl/>
              </w:rPr>
            </w:pPr>
            <w:r w:rsidRPr="002F6545">
              <w:rPr>
                <w:rFonts w:eastAsia="Arial"/>
                <w:color w:val="000000" w:themeColor="text1"/>
                <w:kern w:val="24"/>
                <w:sz w:val="20"/>
                <w:rtl/>
              </w:rPr>
              <w:t>19%</w:t>
            </w:r>
          </w:p>
        </w:tc>
        <w:tc>
          <w:tcPr>
            <w:tcW w:w="2454" w:type="dxa"/>
            <w:shd w:val="clear" w:color="auto" w:fill="ECF4F5"/>
            <w:vAlign w:val="center"/>
          </w:tcPr>
          <w:p w:rsidR="002F6545" w:rsidRPr="002F6545" w:rsidP="003126AC" w14:paraId="7765A080" w14:textId="77777777">
            <w:pPr>
              <w:pStyle w:val="73R"/>
              <w:bidi w:val="0"/>
              <w:spacing w:before="100" w:after="100"/>
              <w:rPr>
                <w:rFonts w:eastAsia="Arial"/>
                <w:color w:val="000000" w:themeColor="text1"/>
                <w:kern w:val="24"/>
                <w:sz w:val="20"/>
                <w:rtl/>
              </w:rPr>
            </w:pPr>
            <w:r w:rsidRPr="002F6545">
              <w:rPr>
                <w:rFonts w:eastAsia="Arial"/>
                <w:color w:val="000000" w:themeColor="text1"/>
                <w:kern w:val="24"/>
                <w:sz w:val="20"/>
                <w:rtl/>
              </w:rPr>
              <w:t>99.96%</w:t>
            </w:r>
          </w:p>
        </w:tc>
      </w:tr>
      <w:tr w14:paraId="4244CCFC" w14:textId="77777777" w:rsidTr="003126AC">
        <w:tblPrEx>
          <w:tblW w:w="7386" w:type="dxa"/>
          <w:tblLook w:val="04A0"/>
        </w:tblPrEx>
        <w:trPr>
          <w:trHeight w:val="57"/>
        </w:trPr>
        <w:tc>
          <w:tcPr>
            <w:tcW w:w="2324" w:type="dxa"/>
            <w:shd w:val="clear" w:color="auto" w:fill="DBE8EE"/>
          </w:tcPr>
          <w:p w:rsidR="002F6545" w:rsidRPr="002F6545" w:rsidP="003126AC" w14:paraId="6001FEE1" w14:textId="77777777">
            <w:pPr>
              <w:pStyle w:val="73R"/>
              <w:bidi w:val="0"/>
              <w:spacing w:before="100" w:after="100"/>
              <w:rPr>
                <w:color w:val="000000" w:themeColor="text1"/>
              </w:rPr>
            </w:pPr>
            <w:r w:rsidRPr="002F6545">
              <w:rPr>
                <w:color w:val="000000" w:themeColor="text1"/>
              </w:rPr>
              <w:t>Modi'in-</w:t>
            </w:r>
            <w:r w:rsidRPr="002F6545">
              <w:rPr>
                <w:color w:val="000000" w:themeColor="text1"/>
              </w:rPr>
              <w:t>Maccabim</w:t>
            </w:r>
            <w:r w:rsidRPr="002F6545">
              <w:rPr>
                <w:color w:val="000000" w:themeColor="text1"/>
              </w:rPr>
              <w:t>-</w:t>
            </w:r>
            <w:r w:rsidRPr="002F6545">
              <w:rPr>
                <w:color w:val="000000" w:themeColor="text1"/>
              </w:rPr>
              <w:t>Re'ut</w:t>
            </w:r>
          </w:p>
        </w:tc>
        <w:tc>
          <w:tcPr>
            <w:tcW w:w="2608" w:type="dxa"/>
            <w:shd w:val="clear" w:color="auto" w:fill="DBE8EE"/>
            <w:vAlign w:val="center"/>
          </w:tcPr>
          <w:p w:rsidR="002F6545" w:rsidRPr="002F6545" w:rsidP="003126AC" w14:paraId="479BF938" w14:textId="77777777">
            <w:pPr>
              <w:pStyle w:val="73R"/>
              <w:bidi w:val="0"/>
              <w:spacing w:before="100" w:after="100"/>
              <w:rPr>
                <w:rFonts w:eastAsia="Arial"/>
                <w:color w:val="000000" w:themeColor="text1"/>
                <w:kern w:val="24"/>
                <w:sz w:val="20"/>
                <w:rtl/>
              </w:rPr>
            </w:pPr>
            <w:r w:rsidRPr="002F6545">
              <w:rPr>
                <w:rFonts w:eastAsia="Arial"/>
                <w:color w:val="000000" w:themeColor="text1"/>
                <w:kern w:val="24"/>
                <w:sz w:val="20"/>
                <w:rtl/>
              </w:rPr>
              <w:t>18%</w:t>
            </w:r>
          </w:p>
        </w:tc>
        <w:tc>
          <w:tcPr>
            <w:tcW w:w="2454" w:type="dxa"/>
            <w:shd w:val="clear" w:color="auto" w:fill="DBE8EE"/>
            <w:vAlign w:val="center"/>
          </w:tcPr>
          <w:p w:rsidR="002F6545" w:rsidRPr="002F6545" w:rsidP="003126AC" w14:paraId="45B4C05F" w14:textId="77777777">
            <w:pPr>
              <w:pStyle w:val="73R"/>
              <w:bidi w:val="0"/>
              <w:spacing w:before="100" w:after="100"/>
              <w:rPr>
                <w:rFonts w:eastAsia="Arial"/>
                <w:color w:val="000000" w:themeColor="text1"/>
                <w:kern w:val="24"/>
                <w:sz w:val="20"/>
                <w:rtl/>
              </w:rPr>
            </w:pPr>
            <w:r w:rsidRPr="002F6545">
              <w:rPr>
                <w:rFonts w:eastAsia="Arial"/>
                <w:color w:val="000000" w:themeColor="text1"/>
                <w:kern w:val="24"/>
                <w:sz w:val="20"/>
                <w:rtl/>
              </w:rPr>
              <w:t>100%</w:t>
            </w:r>
          </w:p>
        </w:tc>
      </w:tr>
      <w:tr w14:paraId="187C5B0D" w14:textId="77777777" w:rsidTr="003126AC">
        <w:tblPrEx>
          <w:tblW w:w="7386" w:type="dxa"/>
          <w:tblLook w:val="04A0"/>
        </w:tblPrEx>
        <w:trPr>
          <w:trHeight w:val="57"/>
        </w:trPr>
        <w:tc>
          <w:tcPr>
            <w:tcW w:w="2324" w:type="dxa"/>
            <w:shd w:val="clear" w:color="auto" w:fill="ECF4F5"/>
          </w:tcPr>
          <w:p w:rsidR="002F6545" w:rsidRPr="002F6545" w:rsidP="003126AC" w14:paraId="6478BC88" w14:textId="77777777">
            <w:pPr>
              <w:pStyle w:val="73R"/>
              <w:bidi w:val="0"/>
              <w:spacing w:before="100" w:after="100"/>
              <w:rPr>
                <w:color w:val="000000" w:themeColor="text1"/>
              </w:rPr>
            </w:pPr>
            <w:r w:rsidRPr="002F6545">
              <w:rPr>
                <w:color w:val="000000" w:themeColor="text1"/>
              </w:rPr>
              <w:t>Tel Aviv-Jaffa</w:t>
            </w:r>
          </w:p>
        </w:tc>
        <w:tc>
          <w:tcPr>
            <w:tcW w:w="2608" w:type="dxa"/>
            <w:shd w:val="clear" w:color="auto" w:fill="ECF4F5"/>
            <w:vAlign w:val="center"/>
          </w:tcPr>
          <w:p w:rsidR="002F6545" w:rsidRPr="002F6545" w:rsidP="003126AC" w14:paraId="06E59735" w14:textId="77777777">
            <w:pPr>
              <w:pStyle w:val="73R"/>
              <w:bidi w:val="0"/>
              <w:spacing w:before="100" w:after="100"/>
              <w:rPr>
                <w:rFonts w:eastAsia="Arial"/>
                <w:color w:val="000000" w:themeColor="text1"/>
                <w:kern w:val="24"/>
                <w:sz w:val="20"/>
                <w:rtl/>
              </w:rPr>
            </w:pPr>
            <w:r w:rsidRPr="002F6545">
              <w:rPr>
                <w:rFonts w:eastAsia="Arial"/>
                <w:color w:val="000000" w:themeColor="text1"/>
                <w:kern w:val="24"/>
                <w:sz w:val="20"/>
                <w:rtl/>
              </w:rPr>
              <w:t>17%</w:t>
            </w:r>
          </w:p>
        </w:tc>
        <w:tc>
          <w:tcPr>
            <w:tcW w:w="2454" w:type="dxa"/>
            <w:shd w:val="clear" w:color="auto" w:fill="ECF4F5"/>
            <w:vAlign w:val="center"/>
          </w:tcPr>
          <w:p w:rsidR="002F6545" w:rsidRPr="002F6545" w:rsidP="003126AC" w14:paraId="30E69203" w14:textId="77777777">
            <w:pPr>
              <w:pStyle w:val="73R"/>
              <w:bidi w:val="0"/>
              <w:spacing w:before="100" w:after="100"/>
              <w:rPr>
                <w:rFonts w:eastAsia="Arial"/>
                <w:color w:val="000000" w:themeColor="text1"/>
                <w:kern w:val="24"/>
                <w:sz w:val="20"/>
                <w:rtl/>
              </w:rPr>
            </w:pPr>
            <w:r w:rsidRPr="002F6545">
              <w:rPr>
                <w:rFonts w:eastAsia="Arial"/>
                <w:color w:val="000000" w:themeColor="text1"/>
                <w:kern w:val="24"/>
                <w:sz w:val="20"/>
                <w:rtl/>
              </w:rPr>
              <w:t>99.98%</w:t>
            </w:r>
          </w:p>
        </w:tc>
      </w:tr>
      <w:tr w14:paraId="361F4E4C" w14:textId="77777777" w:rsidTr="003126AC">
        <w:tblPrEx>
          <w:tblW w:w="7386" w:type="dxa"/>
          <w:tblLook w:val="04A0"/>
        </w:tblPrEx>
        <w:trPr>
          <w:trHeight w:val="57"/>
        </w:trPr>
        <w:tc>
          <w:tcPr>
            <w:tcW w:w="2324" w:type="dxa"/>
            <w:shd w:val="clear" w:color="auto" w:fill="DBE8EE"/>
          </w:tcPr>
          <w:p w:rsidR="002F6545" w:rsidRPr="002F6545" w:rsidP="003126AC" w14:paraId="75BDD304" w14:textId="77777777">
            <w:pPr>
              <w:pStyle w:val="73R"/>
              <w:bidi w:val="0"/>
              <w:spacing w:before="100" w:after="100"/>
              <w:rPr>
                <w:color w:val="000000" w:themeColor="text1"/>
              </w:rPr>
            </w:pPr>
            <w:r w:rsidRPr="002F6545">
              <w:rPr>
                <w:color w:val="000000" w:themeColor="text1"/>
              </w:rPr>
              <w:t>Beer Sheva</w:t>
            </w:r>
          </w:p>
        </w:tc>
        <w:tc>
          <w:tcPr>
            <w:tcW w:w="2608" w:type="dxa"/>
            <w:shd w:val="clear" w:color="auto" w:fill="DBE8EE"/>
            <w:vAlign w:val="center"/>
          </w:tcPr>
          <w:p w:rsidR="002F6545" w:rsidRPr="002F6545" w:rsidP="003126AC" w14:paraId="0E5543BB" w14:textId="77777777">
            <w:pPr>
              <w:pStyle w:val="73R"/>
              <w:bidi w:val="0"/>
              <w:spacing w:before="100" w:after="100"/>
              <w:rPr>
                <w:rFonts w:eastAsia="Arial"/>
                <w:color w:val="000000" w:themeColor="text1"/>
                <w:kern w:val="24"/>
                <w:sz w:val="20"/>
                <w:rtl/>
              </w:rPr>
            </w:pPr>
            <w:r w:rsidRPr="002F6545">
              <w:rPr>
                <w:rFonts w:eastAsia="Arial"/>
                <w:color w:val="000000" w:themeColor="text1"/>
                <w:kern w:val="24"/>
                <w:sz w:val="20"/>
                <w:rtl/>
              </w:rPr>
              <w:t>16%</w:t>
            </w:r>
          </w:p>
        </w:tc>
        <w:tc>
          <w:tcPr>
            <w:tcW w:w="2454" w:type="dxa"/>
            <w:shd w:val="clear" w:color="auto" w:fill="DBE8EE"/>
            <w:vAlign w:val="center"/>
          </w:tcPr>
          <w:p w:rsidR="002F6545" w:rsidRPr="00932B95" w:rsidP="003126AC" w14:paraId="78141966" w14:textId="77777777">
            <w:pPr>
              <w:pStyle w:val="73R"/>
              <w:bidi w:val="0"/>
              <w:spacing w:before="100" w:after="100"/>
              <w:rPr>
                <w:rFonts w:eastAsia="Arial"/>
                <w:color w:val="000000" w:themeColor="text1"/>
                <w:kern w:val="24"/>
                <w:rtl/>
              </w:rPr>
            </w:pPr>
            <w:r w:rsidRPr="00932B95">
              <w:rPr>
                <w:rFonts w:eastAsia="Arial"/>
                <w:color w:val="000000" w:themeColor="text1"/>
                <w:kern w:val="24"/>
              </w:rPr>
              <w:t>100%</w:t>
            </w:r>
          </w:p>
        </w:tc>
      </w:tr>
      <w:tr w14:paraId="0AE23F65" w14:textId="77777777" w:rsidTr="003126AC">
        <w:tblPrEx>
          <w:tblW w:w="7386" w:type="dxa"/>
          <w:tblLook w:val="04A0"/>
        </w:tblPrEx>
        <w:trPr>
          <w:trHeight w:val="57"/>
        </w:trPr>
        <w:tc>
          <w:tcPr>
            <w:tcW w:w="2324" w:type="dxa"/>
            <w:shd w:val="clear" w:color="auto" w:fill="ECF4F5"/>
          </w:tcPr>
          <w:p w:rsidR="002F6545" w:rsidRPr="002F6545" w:rsidP="003126AC" w14:paraId="6A0B9758" w14:textId="77777777">
            <w:pPr>
              <w:pStyle w:val="73R"/>
              <w:bidi w:val="0"/>
              <w:spacing w:before="100" w:after="100"/>
              <w:rPr>
                <w:color w:val="000000" w:themeColor="text1"/>
              </w:rPr>
            </w:pPr>
            <w:r w:rsidRPr="002F6545">
              <w:rPr>
                <w:color w:val="000000" w:themeColor="text1"/>
              </w:rPr>
              <w:t xml:space="preserve">Rishon </w:t>
            </w:r>
            <w:r w:rsidRPr="002F6545">
              <w:rPr>
                <w:color w:val="000000" w:themeColor="text1"/>
              </w:rPr>
              <w:t>Lezion</w:t>
            </w:r>
          </w:p>
        </w:tc>
        <w:tc>
          <w:tcPr>
            <w:tcW w:w="2608" w:type="dxa"/>
            <w:shd w:val="clear" w:color="auto" w:fill="ECF4F5"/>
            <w:vAlign w:val="center"/>
          </w:tcPr>
          <w:p w:rsidR="002F6545" w:rsidRPr="002F6545" w:rsidP="003126AC" w14:paraId="59B9EDB9" w14:textId="77777777">
            <w:pPr>
              <w:pStyle w:val="73R"/>
              <w:bidi w:val="0"/>
              <w:spacing w:before="100" w:after="100"/>
              <w:rPr>
                <w:rFonts w:eastAsia="Arial"/>
                <w:color w:val="000000" w:themeColor="text1"/>
                <w:kern w:val="24"/>
                <w:sz w:val="20"/>
                <w:rtl/>
              </w:rPr>
            </w:pPr>
            <w:r w:rsidRPr="002F6545">
              <w:rPr>
                <w:rFonts w:eastAsia="Arial"/>
                <w:color w:val="000000" w:themeColor="text1"/>
                <w:kern w:val="24"/>
                <w:sz w:val="20"/>
                <w:rtl/>
              </w:rPr>
              <w:t>16%</w:t>
            </w:r>
          </w:p>
        </w:tc>
        <w:tc>
          <w:tcPr>
            <w:tcW w:w="2454" w:type="dxa"/>
            <w:shd w:val="clear" w:color="auto" w:fill="ECF4F5"/>
            <w:vAlign w:val="center"/>
          </w:tcPr>
          <w:p w:rsidR="002F6545" w:rsidRPr="002F6545" w:rsidP="003126AC" w14:paraId="4CE1BB7B" w14:textId="77777777">
            <w:pPr>
              <w:pStyle w:val="73R"/>
              <w:bidi w:val="0"/>
              <w:spacing w:before="100" w:after="100"/>
              <w:rPr>
                <w:rFonts w:eastAsia="Arial"/>
                <w:color w:val="000000" w:themeColor="text1"/>
                <w:kern w:val="24"/>
                <w:sz w:val="20"/>
              </w:rPr>
            </w:pPr>
            <w:r w:rsidRPr="002F6545">
              <w:rPr>
                <w:rFonts w:eastAsia="Arial"/>
                <w:color w:val="000000" w:themeColor="text1"/>
                <w:kern w:val="24"/>
                <w:sz w:val="20"/>
                <w:rtl/>
              </w:rPr>
              <w:t>100%</w:t>
            </w:r>
          </w:p>
        </w:tc>
      </w:tr>
      <w:tr w14:paraId="0312E2D8" w14:textId="77777777" w:rsidTr="003126AC">
        <w:tblPrEx>
          <w:tblW w:w="7386" w:type="dxa"/>
          <w:tblLook w:val="04A0"/>
        </w:tblPrEx>
        <w:trPr>
          <w:trHeight w:val="57"/>
        </w:trPr>
        <w:tc>
          <w:tcPr>
            <w:tcW w:w="2324" w:type="dxa"/>
            <w:shd w:val="clear" w:color="auto" w:fill="DBE8EE"/>
          </w:tcPr>
          <w:p w:rsidR="002F6545" w:rsidRPr="002F6545" w:rsidP="003126AC" w14:paraId="24A6B3C6" w14:textId="77777777">
            <w:pPr>
              <w:pStyle w:val="73R"/>
              <w:bidi w:val="0"/>
              <w:spacing w:before="100" w:after="100"/>
              <w:rPr>
                <w:color w:val="000000" w:themeColor="text1"/>
              </w:rPr>
            </w:pPr>
            <w:r w:rsidRPr="002F6545">
              <w:rPr>
                <w:color w:val="000000" w:themeColor="text1"/>
              </w:rPr>
              <w:t>Haifa</w:t>
            </w:r>
          </w:p>
        </w:tc>
        <w:tc>
          <w:tcPr>
            <w:tcW w:w="2608" w:type="dxa"/>
            <w:shd w:val="clear" w:color="auto" w:fill="DBE8EE"/>
            <w:vAlign w:val="center"/>
          </w:tcPr>
          <w:p w:rsidR="002F6545" w:rsidRPr="002F6545" w:rsidP="003126AC" w14:paraId="2A4B819B" w14:textId="77777777">
            <w:pPr>
              <w:pStyle w:val="73R"/>
              <w:bidi w:val="0"/>
              <w:spacing w:before="100" w:after="100"/>
              <w:rPr>
                <w:rFonts w:eastAsia="Arial"/>
                <w:color w:val="000000" w:themeColor="text1"/>
                <w:kern w:val="24"/>
                <w:sz w:val="20"/>
                <w:rtl/>
              </w:rPr>
            </w:pPr>
            <w:r w:rsidRPr="002F6545">
              <w:rPr>
                <w:rFonts w:eastAsia="Arial"/>
                <w:color w:val="000000" w:themeColor="text1"/>
                <w:kern w:val="24"/>
                <w:sz w:val="20"/>
                <w:rtl/>
              </w:rPr>
              <w:t>14%</w:t>
            </w:r>
          </w:p>
        </w:tc>
        <w:tc>
          <w:tcPr>
            <w:tcW w:w="2454" w:type="dxa"/>
            <w:shd w:val="clear" w:color="auto" w:fill="DBE8EE"/>
            <w:vAlign w:val="center"/>
          </w:tcPr>
          <w:p w:rsidR="002F6545" w:rsidRPr="002F6545" w:rsidP="003126AC" w14:paraId="2DB7E682" w14:textId="77777777">
            <w:pPr>
              <w:pStyle w:val="73R"/>
              <w:bidi w:val="0"/>
              <w:spacing w:before="100" w:after="100"/>
              <w:rPr>
                <w:rFonts w:eastAsia="Arial"/>
                <w:color w:val="000000" w:themeColor="text1"/>
                <w:kern w:val="24"/>
                <w:sz w:val="20"/>
                <w:rtl/>
              </w:rPr>
            </w:pPr>
            <w:r w:rsidRPr="002F6545">
              <w:rPr>
                <w:rFonts w:eastAsia="Arial"/>
                <w:color w:val="000000" w:themeColor="text1"/>
                <w:kern w:val="24"/>
                <w:sz w:val="20"/>
                <w:rtl/>
              </w:rPr>
              <w:t>99.92%</w:t>
            </w:r>
          </w:p>
        </w:tc>
      </w:tr>
      <w:tr w14:paraId="2E4B1CCB" w14:textId="77777777" w:rsidTr="003126AC">
        <w:tblPrEx>
          <w:tblW w:w="7386" w:type="dxa"/>
          <w:tblLook w:val="04A0"/>
        </w:tblPrEx>
        <w:trPr>
          <w:trHeight w:val="57"/>
        </w:trPr>
        <w:tc>
          <w:tcPr>
            <w:tcW w:w="2324" w:type="dxa"/>
            <w:shd w:val="clear" w:color="auto" w:fill="ECF4F5"/>
          </w:tcPr>
          <w:p w:rsidR="002F6545" w:rsidRPr="002F6545" w:rsidP="003126AC" w14:paraId="0695353D" w14:textId="77777777">
            <w:pPr>
              <w:pStyle w:val="73R"/>
              <w:bidi w:val="0"/>
              <w:spacing w:before="100" w:after="100"/>
              <w:rPr>
                <w:color w:val="000000" w:themeColor="text1"/>
              </w:rPr>
            </w:pPr>
            <w:r w:rsidRPr="002F6545">
              <w:rPr>
                <w:color w:val="000000" w:themeColor="text1"/>
              </w:rPr>
              <w:t>Herzliya</w:t>
            </w:r>
          </w:p>
        </w:tc>
        <w:tc>
          <w:tcPr>
            <w:tcW w:w="2608" w:type="dxa"/>
            <w:shd w:val="clear" w:color="auto" w:fill="ECF4F5"/>
            <w:vAlign w:val="center"/>
          </w:tcPr>
          <w:p w:rsidR="002F6545" w:rsidRPr="002F6545" w:rsidP="003126AC" w14:paraId="2528248E" w14:textId="77777777">
            <w:pPr>
              <w:pStyle w:val="73R"/>
              <w:bidi w:val="0"/>
              <w:spacing w:before="100" w:after="100"/>
              <w:rPr>
                <w:rFonts w:eastAsia="Arial"/>
                <w:color w:val="000000" w:themeColor="text1"/>
                <w:kern w:val="24"/>
                <w:sz w:val="20"/>
                <w:rtl/>
              </w:rPr>
            </w:pPr>
            <w:r w:rsidRPr="002F6545">
              <w:rPr>
                <w:rFonts w:eastAsia="Arial"/>
                <w:color w:val="000000" w:themeColor="text1"/>
                <w:kern w:val="24"/>
                <w:sz w:val="20"/>
                <w:rtl/>
              </w:rPr>
              <w:t>11%</w:t>
            </w:r>
          </w:p>
        </w:tc>
        <w:tc>
          <w:tcPr>
            <w:tcW w:w="2454" w:type="dxa"/>
            <w:shd w:val="clear" w:color="auto" w:fill="ECF4F5"/>
            <w:vAlign w:val="center"/>
          </w:tcPr>
          <w:p w:rsidR="002F6545" w:rsidRPr="002F6545" w:rsidP="003126AC" w14:paraId="100F1952" w14:textId="77777777">
            <w:pPr>
              <w:pStyle w:val="73R"/>
              <w:bidi w:val="0"/>
              <w:spacing w:before="100" w:after="100"/>
              <w:rPr>
                <w:rFonts w:eastAsia="Arial"/>
                <w:color w:val="000000" w:themeColor="text1"/>
                <w:kern w:val="24"/>
                <w:sz w:val="20"/>
                <w:rtl/>
              </w:rPr>
            </w:pPr>
            <w:r w:rsidRPr="002F6545">
              <w:rPr>
                <w:rFonts w:eastAsia="Arial"/>
                <w:color w:val="000000" w:themeColor="text1"/>
                <w:kern w:val="24"/>
                <w:sz w:val="20"/>
                <w:rtl/>
              </w:rPr>
              <w:t>99.95%</w:t>
            </w:r>
          </w:p>
        </w:tc>
      </w:tr>
    </w:tbl>
    <w:p w:rsidR="002F6545" w:rsidRPr="002F6545" w:rsidP="003126AC" w14:paraId="68604619" w14:textId="2DA1DDB8">
      <w:pPr>
        <w:pStyle w:val="711"/>
        <w:bidi w:val="0"/>
        <w:spacing w:after="0"/>
        <w:ind w:left="0" w:firstLine="0"/>
        <w:rPr>
          <w:rtl/>
        </w:rPr>
      </w:pPr>
      <w:r w:rsidRPr="002F6545">
        <w:t>According to the findings of a survey conducted by the Office of the State Comptroller and according to data from the Ministry of Communications based on reports from cellular infrastructure companies processed by the Office of the State Comptroller.</w:t>
      </w:r>
    </w:p>
    <w:p w:rsidR="002F6545" w:rsidRPr="002F6545" w:rsidP="002F6545" w14:paraId="35D218F6" w14:textId="77777777">
      <w:pPr>
        <w:pStyle w:val="711"/>
        <w:bidi w:val="0"/>
        <w:ind w:left="0" w:firstLine="0"/>
      </w:pPr>
    </w:p>
    <w:p w:rsidR="004B3772" w:rsidRPr="004C3206" w:rsidP="002F6545" w14:paraId="65300AB3" w14:textId="392D1BA7">
      <w:pPr>
        <w:bidi w:val="0"/>
        <w:spacing w:line="276" w:lineRule="auto"/>
        <w:ind w:left="170" w:right="340"/>
        <w:rPr>
          <w:rFonts w:ascii="Tahoma" w:hAnsi="Tahoma" w:cs="Tahoma"/>
          <w:b/>
          <w:bCs/>
          <w:color w:val="FFFFFF" w:themeColor="background1"/>
          <w:sz w:val="22"/>
          <w:szCs w:val="22"/>
        </w:rPr>
      </w:pPr>
      <w:r w:rsidRPr="00474ED3">
        <w:rPr>
          <w:rFonts w:ascii="Tahoma" w:hAnsi="Tahoma" w:cs="Tahoma" w:hint="eastAsia"/>
          <w:b/>
          <w:bCs/>
          <w:noProof/>
          <w:color w:val="FFFFFF" w:themeColor="background1"/>
          <w:sz w:val="22"/>
          <w:szCs w:val="22"/>
          <w:rtl/>
        </w:rPr>
        <w:drawing>
          <wp:anchor distT="0" distB="0" distL="114300" distR="114300" simplePos="0" relativeHeight="251680768" behindDoc="1" locked="0" layoutInCell="1" allowOverlap="1">
            <wp:simplePos x="0" y="0"/>
            <wp:positionH relativeFrom="column">
              <wp:posOffset>-15982</wp:posOffset>
            </wp:positionH>
            <wp:positionV relativeFrom="paragraph">
              <wp:posOffset>-64265</wp:posOffset>
            </wp:positionV>
            <wp:extent cx="4698112" cy="833479"/>
            <wp:effectExtent l="0" t="0" r="1270" b="5080"/>
            <wp:wrapNone/>
            <wp:docPr id="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24109" cy="838091"/>
                    </a:xfrm>
                    <a:prstGeom prst="rect">
                      <a:avLst/>
                    </a:prstGeom>
                  </pic:spPr>
                </pic:pic>
              </a:graphicData>
            </a:graphic>
            <wp14:sizeRelH relativeFrom="margin">
              <wp14:pctWidth>0</wp14:pctWidth>
            </wp14:sizeRelH>
            <wp14:sizeRelV relativeFrom="margin">
              <wp14:pctHeight>0</wp14:pctHeight>
            </wp14:sizeRelV>
          </wp:anchor>
        </w:drawing>
      </w:r>
      <w:r w:rsidRPr="002F6545" w:rsidR="002F6545">
        <w:rPr>
          <w:rFonts w:ascii="Tahoma" w:hAnsi="Tahoma" w:cs="Tahoma"/>
          <w:b/>
          <w:bCs/>
          <w:noProof/>
          <w:color w:val="FFFFFF" w:themeColor="background1"/>
          <w:sz w:val="22"/>
          <w:szCs w:val="22"/>
        </w:rPr>
        <w:t>The Average Mobile Download Speed (in megabytes per second) and Israel's Rank Among 145 Countries, April 2019 to October 2022</w:t>
      </w:r>
    </w:p>
    <w:p w:rsidR="004B58CE" w:rsidRPr="004B58CE" w:rsidP="001879D5" w14:paraId="3ADE1FD2" w14:textId="3C9707C0">
      <w:pPr>
        <w:spacing w:before="600"/>
        <w:rPr>
          <w:rtl/>
        </w:rPr>
      </w:pPr>
      <w:r>
        <w:rPr>
          <w:noProof/>
          <w:rtl/>
          <w:lang w:val="he-IL"/>
        </w:rPr>
        <w:drawing>
          <wp:inline distT="0" distB="0" distL="0" distR="0">
            <wp:extent cx="4691595" cy="3445588"/>
            <wp:effectExtent l="0" t="0" r="0" b="0"/>
            <wp:docPr id="1802614487"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614487" name="תמונה 1"/>
                    <pic:cNvPicPr/>
                  </pic:nvPicPr>
                  <pic:blipFill>
                    <a:blip xmlns:r="http://schemas.openxmlformats.org/officeDocument/2006/relationships" r:embed="rId27"/>
                    <a:stretch>
                      <a:fillRect/>
                    </a:stretch>
                  </pic:blipFill>
                  <pic:spPr>
                    <a:xfrm>
                      <a:off x="0" y="0"/>
                      <a:ext cx="4715762" cy="3463337"/>
                    </a:xfrm>
                    <a:prstGeom prst="rect">
                      <a:avLst/>
                    </a:prstGeom>
                  </pic:spPr>
                </pic:pic>
              </a:graphicData>
            </a:graphic>
          </wp:inline>
        </w:drawing>
      </w:r>
    </w:p>
    <w:p w:rsidR="00804534" w:rsidRPr="002F6545" w:rsidP="002F6545" w14:paraId="6D6C7CB6" w14:textId="4BA3156A">
      <w:pPr>
        <w:pStyle w:val="711"/>
        <w:bidi w:val="0"/>
        <w:rPr>
          <w:rtl/>
        </w:rPr>
      </w:pPr>
      <w:r w:rsidRPr="002F6545">
        <w:t>According to data from the Ministry of Communications, processed by the Office of the State Comptroller</w:t>
      </w:r>
      <w:r w:rsidRPr="002F6545" w:rsidR="00FF2854">
        <w:t>.</w:t>
      </w:r>
    </w:p>
    <w:p w:rsidR="003126AC" w14:paraId="480A8339" w14:textId="77777777">
      <w:pPr>
        <w:bidi w:val="0"/>
        <w:rPr>
          <w:rFonts w:ascii="Tahoma" w:hAnsi="Tahoma" w:cs="Tahoma"/>
          <w:b/>
          <w:bCs/>
          <w:color w:val="003364"/>
          <w:w w:val="90"/>
          <w:sz w:val="32"/>
          <w:szCs w:val="32"/>
        </w:rPr>
      </w:pPr>
      <w:r>
        <w:rPr>
          <w:rFonts w:ascii="Tahoma" w:hAnsi="Tahoma" w:cs="Tahoma"/>
          <w:b/>
          <w:bCs/>
          <w:color w:val="003364"/>
          <w:w w:val="90"/>
          <w:sz w:val="32"/>
          <w:szCs w:val="32"/>
        </w:rPr>
        <w:br w:type="page"/>
      </w:r>
    </w:p>
    <w:p w:rsidR="00496CBE" w:rsidP="004B3772" w14:paraId="5C46C175" w14:textId="4F4C955A">
      <w:pPr>
        <w:bidi w:val="0"/>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572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rsidR="00496CBE" w:rsidRPr="00902625" w:rsidP="009661D6" w14:paraId="21789D2B" w14:textId="045CFE37">
      <w:pPr>
        <w:bidi w:val="0"/>
        <w:spacing w:before="120" w:after="180" w:line="240" w:lineRule="atLeast"/>
        <w:rPr>
          <w:rFonts w:ascii="Tahoma" w:hAnsi="Tahoma" w:cs="Tahoma"/>
          <w:b/>
          <w:bCs/>
          <w:color w:val="00305F"/>
          <w:sz w:val="32"/>
          <w:szCs w:val="32"/>
        </w:rPr>
      </w:pPr>
      <w:r w:rsidRPr="00AE5F94">
        <w:rPr>
          <w:rFonts w:ascii="Tahoma" w:hAnsi="Tahoma" w:cs="Tahoma"/>
          <w:b/>
          <w:bCs/>
          <w:color w:val="00305F"/>
          <w:sz w:val="32"/>
          <w:szCs w:val="32"/>
        </w:rPr>
        <w:t>Summary</w:t>
      </w:r>
    </w:p>
    <w:p w:rsidR="002F6545" w:rsidRPr="009C7184" w:rsidP="002F6545" w14:paraId="5B045B8C" w14:textId="77777777">
      <w:pPr>
        <w:pStyle w:val="running-text"/>
        <w:spacing w:after="180" w:line="260" w:lineRule="exact"/>
        <w:ind w:right="0"/>
        <w:rPr>
          <w:color w:val="0D0D0D" w:themeColor="text1" w:themeTint="F2"/>
          <w:sz w:val="18"/>
        </w:rPr>
      </w:pPr>
      <w:r w:rsidRPr="009C7184">
        <w:rPr>
          <w:color w:val="0D0D0D" w:themeColor="text1" w:themeTint="F2"/>
          <w:sz w:val="18"/>
        </w:rPr>
        <w:t>Cellular communication infrastructures are essential for maintaining a normal lifestyle and developing the Israeli economy. Implementing advanced cellular infrastructures promotes initiatives in various sectors, including health, transportation, and agriculture, resulting in substantial economic benefits. The Ministry of Communications has authorized cellular infrastructure companies to utilize radio frequencies, a finite state resource, to ensure adequate cellular services for the public, particularly in response to the growing demand for these services.</w:t>
      </w:r>
    </w:p>
    <w:p w:rsidR="002F6545" w:rsidRPr="009C7184" w:rsidP="002F6545" w14:paraId="5138F648" w14:textId="77777777">
      <w:pPr>
        <w:pStyle w:val="running-text"/>
        <w:spacing w:after="180" w:line="260" w:lineRule="exact"/>
        <w:ind w:right="0"/>
        <w:rPr>
          <w:color w:val="0D0D0D" w:themeColor="text1" w:themeTint="F2"/>
          <w:sz w:val="18"/>
        </w:rPr>
      </w:pPr>
      <w:r w:rsidRPr="009C7184">
        <w:rPr>
          <w:color w:val="0D0D0D" w:themeColor="text1" w:themeTint="F2"/>
          <w:sz w:val="18"/>
        </w:rPr>
        <w:t>According to the Ministry of Communications' data, data consumption in Israel through cellular networks increased 28-fold from 2013 to 2022, at an exponential rate of 40% annually. An expected 43-fold increase in data consumption is anticipated by 2030, driven by the development of new cellular infrastructure applications. As of August 2023, Israel ranks 64th among 145 countries in the median surfing speed index. This audit report highlights significant challenges in cell reception quality in numerous local authorities throughout Israel. It identifies deficiencies within the governmental bodies responsible for ensuring efficient and secure cellular service for the public. Much of the audit’s findings pertains to the Ministry of Communications' regulatory role in the industry. It was determined that the Ministry did not fully exercise its authority to gather information from cellular companies regarding public service delivery; instead, it relied on the companies' projections, which do not accurately reflect actual service levels. Moreover, the Ministry has not established supervision methodologies to assess the extent of compliance by cellular infrastructure companies with their obligations, nor does it possess sufficient information to ascertain whether and how well the companies are meeting their service coverage and quality requirements as stipulated in their licenses.</w:t>
      </w:r>
    </w:p>
    <w:p w:rsidR="002F6545" w:rsidRPr="009C7184" w:rsidP="002F6545" w14:paraId="114CFBA1" w14:textId="77777777">
      <w:pPr>
        <w:pStyle w:val="running-text"/>
        <w:spacing w:after="180" w:line="260" w:lineRule="exact"/>
        <w:ind w:right="0"/>
        <w:rPr>
          <w:color w:val="0D0D0D" w:themeColor="text1" w:themeTint="F2"/>
          <w:sz w:val="18"/>
        </w:rPr>
      </w:pPr>
      <w:r w:rsidRPr="009C7184">
        <w:rPr>
          <w:color w:val="0D0D0D" w:themeColor="text1" w:themeTint="F2"/>
          <w:sz w:val="18"/>
        </w:rPr>
        <w:t>Furthermore, the State Comptroller's Office survey raised notable discrepancies between the Ministry of Communications data and the reports from local authorities and survey participants regarding the quality of cell reception. In the 18 local authorities surveyed, 11% to 78% of respondents experienced moderate or poor cell reception. Conversely, the Ministry of Communications reported coverage rates in these local authorities ranging from 99.92% to 100%, indicating full or nearly complete coverage. These findings raise concerns that the cellular infrastructure companies may not meet their licenses' coverage and reception standards.</w:t>
      </w:r>
    </w:p>
    <w:p w:rsidR="002F6545" w:rsidRPr="009C7184" w:rsidP="002F6545" w14:paraId="515E104D" w14:textId="77777777">
      <w:pPr>
        <w:pStyle w:val="running-text"/>
        <w:spacing w:after="180" w:line="260" w:lineRule="exact"/>
        <w:ind w:right="0"/>
        <w:rPr>
          <w:color w:val="0D0D0D" w:themeColor="text1" w:themeTint="F2"/>
          <w:sz w:val="18"/>
        </w:rPr>
      </w:pPr>
      <w:r w:rsidRPr="009C7184">
        <w:rPr>
          <w:color w:val="0D0D0D" w:themeColor="text1" w:themeTint="F2"/>
          <w:sz w:val="18"/>
        </w:rPr>
        <w:t xml:space="preserve">The audit underscores the significant difficulties in cell reception within the examined local authorities stemming from a lack of broadcasting installations. The Ministry of Communications has not evaluated the needed number of installations and thus lacks data on the extent of absent broadcasting capabilities. An analysis of the deployment and operational status of 5G installations indicates that, as of July 2023, the deployment of 5G technology broadcasting installations did not align with the requirements outlined in the Ministry of Communications licenses. Moreover, Israel's coverage rate for this technology appears to be </w:t>
      </w:r>
      <w:r w:rsidRPr="009C7184">
        <w:rPr>
          <w:color w:val="0D0D0D" w:themeColor="text1" w:themeTint="F2"/>
          <w:sz w:val="18"/>
        </w:rPr>
        <w:t>inferior to the coverage rates that existed a year earlier among most European Union countries, despite 1,943 active 5G technology broadcasting installations in Israel as of July 2023. The audit also raised considerable disparities in deploying 5G technology communication infrastructures between central and peripheral local authorities, with the most severe coverage gaps observed in peripheral Arab ones. Although the Ministry of Communications has pursued legislative amendments to enhance the planning and licensing processes for cellular infrastructure in Israel, these processes have not improved.</w:t>
      </w:r>
    </w:p>
    <w:p w:rsidR="002F6545" w:rsidRPr="009C7184" w:rsidP="002F6545" w14:paraId="20A43862" w14:textId="4CA69144">
      <w:pPr>
        <w:pStyle w:val="running-text"/>
        <w:spacing w:after="180" w:line="260" w:lineRule="exact"/>
        <w:ind w:right="0"/>
        <w:rPr>
          <w:color w:val="0D0D0D" w:themeColor="text1" w:themeTint="F2"/>
          <w:sz w:val="18"/>
        </w:rPr>
      </w:pPr>
      <w:r w:rsidRPr="009C7184">
        <w:rPr>
          <w:color w:val="0D0D0D" w:themeColor="text1" w:themeTint="F2"/>
          <w:sz w:val="18"/>
        </w:rPr>
        <w:t>Additionally, the report raised deficiencies in public protection against radiation from cellular broadcasting installations. The monitoring measures implemented by the Ministry of Environmental Protection, designed to assess actual radiation levels from these installations, primarily rely on data provided by the cellular infrastructure companies. Furthermore, no regulations have been enacted to define maximum exposure levels mandated by law. Instead, the Ministry of Environmental Protection has set permitted exposure levels without consulting the Ministry of Health, as the Ministry of Health does not address the health effects of non-ionizing radiation.</w:t>
      </w:r>
    </w:p>
    <w:p w:rsidR="002F6545" w:rsidRPr="009C7184" w:rsidP="002F6545" w14:paraId="5713DC58" w14:textId="77777777">
      <w:pPr>
        <w:pStyle w:val="running-text"/>
        <w:spacing w:after="180" w:line="260" w:lineRule="exact"/>
        <w:ind w:right="0"/>
        <w:rPr>
          <w:color w:val="0D0D0D" w:themeColor="text1" w:themeTint="F2"/>
          <w:sz w:val="18"/>
        </w:rPr>
      </w:pPr>
      <w:r w:rsidRPr="009C7184">
        <w:rPr>
          <w:color w:val="0D0D0D" w:themeColor="text1" w:themeTint="F2"/>
          <w:sz w:val="18"/>
        </w:rPr>
        <w:t>The Ministry of Health, responsible for public health, has not compiled professional information on the effects of non-ionizing radiation on public health, resulting in a lack of resources following the closure of a government-established knowledge center. Although the Ministry of Health acknowledges the insufficiency of the information available on the implications of radiation from 5G technology broadcasting installations on public health, which complicates the assessment of health risks associated with such exposure, it did not participate in the decision-making processes related to health risks associated with the deployment of cellular communication infrastructures.</w:t>
      </w:r>
    </w:p>
    <w:p w:rsidR="002F6545" w:rsidRPr="009C7184" w:rsidP="002F6545" w14:paraId="2FF90685" w14:textId="77777777">
      <w:pPr>
        <w:pStyle w:val="running-text"/>
        <w:spacing w:after="180" w:line="260" w:lineRule="exact"/>
        <w:ind w:right="0"/>
        <w:rPr>
          <w:color w:val="0D0D0D" w:themeColor="text1" w:themeTint="F2"/>
          <w:sz w:val="18"/>
        </w:rPr>
      </w:pPr>
      <w:r w:rsidRPr="009C7184">
        <w:rPr>
          <w:color w:val="0D0D0D" w:themeColor="text1" w:themeTint="F2"/>
          <w:sz w:val="18"/>
        </w:rPr>
        <w:t>Government transparency in presenting data from various ministries to the public could empower residents to make informed choices regarding cellular phone usage. While some states disclose information about cellular coverage through projections and measurement results via maps, notable deficiencies exist in the publication of data regarding the extent of cellular coverage and service quality and findings from radiation assessments of cellular broadcasting installations. Additionally, a lack of a standardized public information format regarding the effects of radiation from these installations on public health has been identified. This information is crucial for providing the public with reliable insights and addressing concerns, thereby facilitating the expansion of cellular infrastructure necessary to ensure high-quality service.</w:t>
      </w:r>
    </w:p>
    <w:p w:rsidR="002F6545" w:rsidRPr="009C7184" w:rsidP="002F6545" w14:paraId="7F7BDB07" w14:textId="77777777">
      <w:pPr>
        <w:pStyle w:val="running-text"/>
        <w:spacing w:after="180" w:line="260" w:lineRule="exact"/>
        <w:ind w:right="0"/>
        <w:rPr>
          <w:color w:val="0D0D0D" w:themeColor="text1" w:themeTint="F2"/>
          <w:sz w:val="18"/>
        </w:rPr>
      </w:pPr>
      <w:r w:rsidRPr="009C7184">
        <w:rPr>
          <w:color w:val="0D0D0D" w:themeColor="text1" w:themeTint="F2"/>
          <w:sz w:val="18"/>
        </w:rPr>
        <w:t>It is recommended that the government ministries, led by the Ministry of Communications, the Ministry of Health, and the Ministry of Environmental Protection, along with their respective ministers, address all deficiencies raised in the report. Rectifying these deficiencies may improve the quality of cellular services offered to the public in Israel while ensuring the protection of public health.</w:t>
      </w:r>
    </w:p>
    <w:p w:rsidR="00C64FB4" w:rsidP="006E013E" w14:paraId="13263362" w14:textId="60DC8D82">
      <w:pPr>
        <w:pStyle w:val="running-text"/>
        <w:spacing w:after="180" w:line="260" w:lineRule="exact"/>
        <w:ind w:right="0"/>
        <w:rPr>
          <w:color w:val="0D0D0D" w:themeColor="text1" w:themeTint="F2"/>
          <w:sz w:val="18"/>
          <w:rtl/>
        </w:rPr>
      </w:pPr>
    </w:p>
    <w:sectPr w:rsidSect="00A74F60">
      <w:headerReference w:type="even" r:id="rId28"/>
      <w:headerReference w:type="default" r:id="rId29"/>
      <w:headerReference w:type="first" r:id="rId30"/>
      <w:pgSz w:w="11906" w:h="16838" w:code="9"/>
      <w:pgMar w:top="2892" w:right="2268" w:bottom="2438" w:left="2268" w:header="1871" w:footer="1928" w:gutter="0"/>
      <w:pgNumType w:start="6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72E0" w14:paraId="64BE1A03" w14:textId="77777777">
      <w:pPr>
        <w:spacing w:after="0" w:line="240" w:lineRule="auto"/>
      </w:pPr>
      <w:r>
        <w:separator/>
      </w:r>
    </w:p>
  </w:endnote>
  <w:endnote w:type="continuationSeparator" w:id="1">
    <w:p w:rsidR="00E472E0" w14:paraId="459B4A4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Segoe MDL2 Assets">
    <w:altName w:val="Segoe UI"/>
    <w:panose1 w:val="020B0604020202020204"/>
    <w:charset w:val="00"/>
    <w:family w:val="roman"/>
    <w:pitch w:val="variable"/>
    <w:sig w:usb0="00000003" w:usb1="10000000" w:usb2="00000000" w:usb3="00000000" w:csb0="00000001" w:csb1="00000000"/>
  </w:font>
  <w:font w:name="FrankRuehl">
    <w:panose1 w:val="020E0503060101010101"/>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pitch w:val="default"/>
  </w:font>
  <w:font w:name="Gisha">
    <w:panose1 w:val="020B0502040204020203"/>
    <w:charset w:val="B1"/>
    <w:family w:val="swiss"/>
    <w:pitch w:val="variable"/>
    <w:sig w:usb0="80000807" w:usb1="40000042"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750A" w:rsidRPr="009507DB" w:rsidP="00440360" w14:paraId="0F4EB562" w14:textId="77777777">
    <w:pPr>
      <w:pStyle w:val="Footer"/>
      <w:tabs>
        <w:tab w:val="center" w:pos="-284"/>
        <w:tab w:val="right" w:pos="0"/>
        <w:tab w:val="clear" w:pos="4320"/>
        <w:tab w:val="clear" w:pos="8640"/>
      </w:tabs>
      <w:bidi w:val="0"/>
      <w:ind w:left="-1191" w:right="7314"/>
      <w:jc w:val="right"/>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B7022A">
      <w:rPr>
        <w:rFonts w:ascii="Tahoma" w:hAnsi="Tahoma" w:cs="Tahoma"/>
        <w:noProof/>
        <w:color w:val="231F20"/>
        <w:sz w:val="18"/>
        <w:szCs w:val="18"/>
      </w:rPr>
      <w:t>16</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08F2" w:rsidRPr="009507DB" w:rsidP="00440360" w14:paraId="2E4A7A26" w14:textId="77777777">
    <w:pPr>
      <w:pStyle w:val="Footer"/>
      <w:tabs>
        <w:tab w:val="clear" w:pos="4320"/>
        <w:tab w:val="center" w:pos="7654"/>
        <w:tab w:val="right" w:pos="7937"/>
        <w:tab w:val="clear" w:pos="8640"/>
      </w:tabs>
      <w:bidi w:val="0"/>
      <w:ind w:left="7343" w:right="-1247"/>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B7022A">
      <w:rPr>
        <w:rFonts w:ascii="Tahoma" w:hAnsi="Tahoma" w:cs="Tahoma"/>
        <w:noProof/>
        <w:color w:val="231F20"/>
        <w:sz w:val="18"/>
        <w:szCs w:val="18"/>
      </w:rPr>
      <w:t>15</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524C" w14:paraId="0650F36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72E0" w:rsidP="00BD3044" w14:paraId="453CB9A7" w14:textId="77777777">
      <w:pPr>
        <w:spacing w:after="0" w:line="240" w:lineRule="auto"/>
        <w:jc w:val="right"/>
      </w:pPr>
      <w:r>
        <w:separator/>
      </w:r>
    </w:p>
  </w:footnote>
  <w:footnote w:type="continuationSeparator" w:id="1">
    <w:p w:rsidR="00E472E0" w14:paraId="515357A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524C" w14:paraId="67CC9BC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524C" w14:paraId="624B884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bookmarkStart w:id="5" w:name="_Hlk63775048"/>
  <w:bookmarkEnd w:id="5"/>
  <w:p w:rsidR="00B650F8" w:rsidRPr="00B650F8" w:rsidP="00B650F8" w14:paraId="2F61E770" w14:textId="502FA0FF">
    <w:r>
      <w:rPr>
        <w:noProof/>
      </w:rPr>
      <mc:AlternateContent>
        <mc:Choice Requires="wps">
          <w:drawing>
            <wp:anchor distT="0" distB="0" distL="114300" distR="114300" simplePos="0" relativeHeight="251665408" behindDoc="1" locked="0" layoutInCell="1" allowOverlap="1">
              <wp:simplePos x="0" y="0"/>
              <wp:positionH relativeFrom="column">
                <wp:posOffset>-1464894</wp:posOffset>
              </wp:positionH>
              <wp:positionV relativeFrom="paragraph">
                <wp:posOffset>-247221</wp:posOffset>
              </wp:positionV>
              <wp:extent cx="7594686" cy="0"/>
              <wp:effectExtent l="0" t="0" r="12700"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7594686"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2049" style="flip:x;mso-height-percent:0;mso-height-relative:margin;mso-width-percent:0;mso-width-relative:margin;mso-wrap-distance-bottom:0;mso-wrap-distance-left:9pt;mso-wrap-distance-right:9pt;mso-wrap-distance-top:0;mso-wrap-style:square;position:absolute;visibility:visible;z-index:-251650048" from="-115.35pt,-19.45pt" to="482.65pt,-19.45pt">
              <v:stroke endcap="round"/>
            </v:line>
          </w:pict>
        </mc:Fallback>
      </mc:AlternateContent>
    </w:r>
    <w:r>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642E60" w:rsidP="00642E60" w14:paraId="09CB2EBE"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7F1A39" w:rsidP="007F1A39" w14:paraId="174E2EDE" w14:textId="77777777">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cs"/>
        <w:noProof/>
        <w:color w:val="0B5294" w:themeColor="accent1" w:themeShade="BF"/>
        <w:sz w:val="16"/>
        <w:szCs w:val="16"/>
        <w:rtl/>
      </w:rPr>
      <w:t>שם הגוף המבוקר</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hint="cs"/>
        <w:noProof/>
        <w:color w:val="0B5294" w:themeColor="accent1" w:themeShade="BF"/>
        <w:sz w:val="16"/>
        <w:szCs w:val="16"/>
        <w:rtl/>
      </w:rPr>
      <w:t>|</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3323CD">
      <w:rPr>
        <w:rFonts w:ascii="Tahoma" w:hAnsi="Tahoma" w:eastAsiaTheme="majorEastAsia" w:cs="Tahoma"/>
        <w:b/>
        <w:bCs/>
        <w:noProof/>
        <w:color w:val="0B5294" w:themeColor="accent1" w:themeShade="BF"/>
        <w:sz w:val="16"/>
        <w:szCs w:val="16"/>
        <w:rtl/>
      </w:rPr>
      <w:t>3</w:t>
    </w:r>
    <w:r w:rsidRPr="007F1A39">
      <w:rPr>
        <w:rFonts w:ascii="Tahoma" w:hAnsi="Tahoma" w:eastAsiaTheme="majorEastAsia" w:cs="Tahoma"/>
        <w:b/>
        <w:bCs/>
        <w:noProof/>
        <w:color w:val="0B5294" w:themeColor="accent1" w:themeShade="BF"/>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890ED9" w:rsidP="00890ED9" w14:paraId="24EF87A9"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10CA" w:rsidRPr="007C10CA" w:rsidP="00086BC2" w14:paraId="3F4CF5A8" w14:textId="18C32CDC">
    <w:pPr>
      <w:bidi w:val="0"/>
      <w:spacing w:after="0" w:line="240" w:lineRule="auto"/>
      <w:rPr>
        <w:rFonts w:ascii="Tahoma" w:hAnsi="Tahoma" w:cs="Tahoma"/>
        <w:color w:val="0D0D0D" w:themeColor="text1" w:themeTint="F2"/>
        <w:sz w:val="16"/>
        <w:szCs w:val="16"/>
      </w:rPr>
    </w:pPr>
    <w:r w:rsidRPr="006637B9">
      <w:rPr>
        <w:rFonts w:ascii="Tahoma" w:hAnsi="Tahoma" w:cs="Tahoma"/>
        <w:noProof/>
        <w:color w:val="002060"/>
        <w:sz w:val="18"/>
        <w:szCs w:val="18"/>
      </w:rPr>
      <mc:AlternateContent>
        <mc:Choice Requires="wps">
          <w:drawing>
            <wp:anchor distT="0" distB="0" distL="114300" distR="114300" simplePos="0" relativeHeight="251667456" behindDoc="0" locked="0" layoutInCell="1" allowOverlap="1">
              <wp:simplePos x="0" y="0"/>
              <wp:positionH relativeFrom="column">
                <wp:posOffset>219075</wp:posOffset>
              </wp:positionH>
              <wp:positionV relativeFrom="paragraph">
                <wp:posOffset>179070</wp:posOffset>
              </wp:positionV>
              <wp:extent cx="4625340" cy="224790"/>
              <wp:effectExtent l="0" t="0" r="0" b="3810"/>
              <wp:wrapSquare wrapText="bothSides"/>
              <wp:docPr id="145106665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25340" cy="224790"/>
                      </a:xfrm>
                      <a:prstGeom prst="rect">
                        <a:avLst/>
                      </a:prstGeom>
                      <a:solidFill>
                        <a:srgbClr val="FFFFFF"/>
                      </a:solidFill>
                      <a:ln w="9525">
                        <a:noFill/>
                        <a:miter lim="800000"/>
                        <a:headEnd/>
                        <a:tailEnd/>
                      </a:ln>
                    </wps:spPr>
                    <wps:txbx>
                      <w:txbxContent>
                        <w:p w:rsidR="00086BC2" w:rsidRPr="00FC4CA4" w:rsidP="00086BC2" w14:textId="0B9EDC68">
                          <w:pPr>
                            <w:bidi w:val="0"/>
                            <w:spacing w:after="0" w:line="240" w:lineRule="auto"/>
                            <w:rPr>
                              <w:rFonts w:ascii="Tahoma" w:hAnsi="Tahoma" w:cs="Tahoma"/>
                              <w:color w:val="0D0D0D" w:themeColor="text1" w:themeTint="F2"/>
                              <w:sz w:val="16"/>
                              <w:szCs w:val="16"/>
                              <w:lang w:val="en"/>
                            </w:rPr>
                          </w:pPr>
                          <w:r w:rsidRPr="002F6545">
                            <w:rPr>
                              <w:rFonts w:ascii="Tahoma" w:hAnsi="Tahoma" w:cs="Tahoma"/>
                              <w:color w:val="0D0D0D" w:themeColor="text1" w:themeTint="F2"/>
                              <w:sz w:val="16"/>
                              <w:szCs w:val="16"/>
                              <w:lang w:val="en"/>
                            </w:rPr>
                            <w:t>Cellular Communication Infrastructure</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364.2pt;height:17.7pt;margin-top:14.1pt;margin-left:17.25pt;mso-height-percent:0;mso-height-relative:margin;mso-width-percent:0;mso-width-relative:margin;mso-wrap-distance-bottom:0;mso-wrap-distance-left:9pt;mso-wrap-distance-right:9pt;mso-wrap-distance-top:0;mso-wrap-style:square;position:absolute;visibility:visible;v-text-anchor:top;z-index:251668480" stroked="f">
              <v:textbox>
                <w:txbxContent>
                  <w:p w:rsidR="00086BC2" w:rsidRPr="00FC4CA4" w:rsidP="00086BC2" w14:paraId="760267C9" w14:textId="0B9EDC68">
                    <w:pPr>
                      <w:bidi w:val="0"/>
                      <w:spacing w:after="0" w:line="240" w:lineRule="auto"/>
                      <w:rPr>
                        <w:rFonts w:ascii="Tahoma" w:hAnsi="Tahoma" w:cs="Tahoma"/>
                        <w:color w:val="0D0D0D" w:themeColor="text1" w:themeTint="F2"/>
                        <w:sz w:val="16"/>
                        <w:szCs w:val="16"/>
                        <w:lang w:val="en"/>
                      </w:rPr>
                    </w:pPr>
                    <w:r w:rsidRPr="002F6545">
                      <w:rPr>
                        <w:rFonts w:ascii="Tahoma" w:hAnsi="Tahoma" w:cs="Tahoma"/>
                        <w:color w:val="0D0D0D" w:themeColor="text1" w:themeTint="F2"/>
                        <w:sz w:val="16"/>
                        <w:szCs w:val="16"/>
                        <w:lang w:val="en"/>
                      </w:rPr>
                      <w:t>Cellular Communication Infrastructure</w:t>
                    </w:r>
                  </w:p>
                </w:txbxContent>
              </v:textbox>
              <w10:wrap type="square"/>
            </v:shape>
          </w:pict>
        </mc:Fallback>
      </mc:AlternateContent>
    </w:r>
    <w:r w:rsidR="003340AD">
      <w:rPr>
        <w:noProof/>
        <w:rtl/>
        <w:lang w:val="he-IL"/>
      </w:rPr>
      <mc:AlternateContent>
        <mc:Choice Requires="wps">
          <w:drawing>
            <wp:anchor distT="0" distB="0" distL="114300" distR="114300" simplePos="0" relativeHeight="251669504" behindDoc="1" locked="0" layoutInCell="1" allowOverlap="1">
              <wp:simplePos x="0" y="0"/>
              <wp:positionH relativeFrom="margin">
                <wp:posOffset>-952500</wp:posOffset>
              </wp:positionH>
              <wp:positionV relativeFrom="margin">
                <wp:posOffset>-1054735</wp:posOffset>
              </wp:positionV>
              <wp:extent cx="6479540" cy="8999855"/>
              <wp:effectExtent l="0" t="0" r="10160" b="17145"/>
              <wp:wrapNone/>
              <wp:docPr id="1141261157"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3340AD" w:rsidRPr="00DE3ECA" w:rsidP="003340A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3" o:spid="_x0000_s2051" type="#_x0000_t202" style="width:510.2pt;height:708.65pt;margin-top:-83.05pt;margin-left:-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5952" filled="f" strokecolor="#a5a5a5" strokeweight="0.25pt">
              <v:stroke dashstyle="longDash"/>
              <v:textbox>
                <w:txbxContent>
                  <w:p w:rsidR="003340AD" w:rsidRPr="00DE3ECA" w:rsidP="003340AD" w14:paraId="01679594"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sidRPr="007C10CA" w:rsidR="00086BC2">
      <w:rPr>
        <w:rFonts w:ascii="Tahoma" w:hAnsi="Tahoma" w:eastAsiaTheme="minorHAnsi" w:cs="Tahoma" w:hint="eastAsia"/>
        <w:color w:val="0D0D0D" w:themeColor="text1" w:themeTint="F2"/>
        <w:sz w:val="16"/>
        <w:szCs w:val="16"/>
        <w:rtl/>
        <w:lang w:val="en"/>
      </w:rPr>
      <w:t xml:space="preserve"> </w:t>
    </w:r>
    <w:r w:rsidRPr="007C10CA" w:rsidR="008615A2">
      <w:rPr>
        <w:rFonts w:ascii="Tahoma" w:hAnsi="Tahoma" w:eastAsiaTheme="minorHAnsi" w:cs="Tahoma" w:hint="eastAsia"/>
        <w:noProof/>
        <w:color w:val="0D0D0D" w:themeColor="text1" w:themeTint="F2"/>
        <w:sz w:val="16"/>
        <w:szCs w:val="16"/>
        <w:rtl/>
        <w:lang w:val="en"/>
      </w:rPr>
      <w:drawing>
        <wp:anchor distT="0" distB="0" distL="114300" distR="114300" simplePos="0" relativeHeight="251659264" behindDoc="1" locked="0" layoutInCell="1" allowOverlap="1">
          <wp:simplePos x="0" y="0"/>
          <wp:positionH relativeFrom="page">
            <wp:posOffset>5745</wp:posOffset>
          </wp:positionH>
          <wp:positionV relativeFrom="page">
            <wp:posOffset>65674</wp:posOffset>
          </wp:positionV>
          <wp:extent cx="7549200" cy="10670400"/>
          <wp:effectExtent l="0" t="0" r="0" b="0"/>
          <wp:wrapNone/>
          <wp:docPr id="1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0"/>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p>
  <w:p w:rsidR="00C82866" w:rsidRPr="00950E0A" w:rsidP="008A4007" w14:paraId="74C5211B" w14:textId="01775043">
    <w:pPr>
      <w:pStyle w:val="Header"/>
      <w:bidi w:val="0"/>
      <w:spacing w:before="240" w:after="180"/>
      <w:rPr>
        <w:rFonts w:ascii="Tahoma" w:hAnsi="Tahoma" w:eastAsiaTheme="majorEastAsia" w:cs="Tahoma"/>
        <w:noProof/>
        <w:color w:val="0D0D0D" w:themeColor="text1" w:themeTint="F2"/>
        <w:sz w:val="16"/>
        <w:szCs w:val="16"/>
        <w:rtl/>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866" w:rsidRPr="00D05191" w:rsidP="005411EA" w14:paraId="50443D29" w14:textId="6642EF5A">
    <w:pPr>
      <w:pStyle w:val="Header"/>
      <w:bidi w:val="0"/>
      <w:spacing w:before="240" w:after="180"/>
      <w:ind w:right="567"/>
      <w:jc w:val="right"/>
      <w:rPr>
        <w:rFonts w:ascii="Tahoma" w:hAnsi="Tahoma" w:eastAsiaTheme="majorEastAsia" w:cs="Tahoma"/>
        <w:noProof/>
        <w:color w:val="231F20"/>
        <w:sz w:val="16"/>
        <w:szCs w:val="16"/>
      </w:rPr>
    </w:pPr>
    <w:r w:rsidRPr="00C86180">
      <w:rPr>
        <w:noProof/>
        <w:sz w:val="22"/>
        <w:szCs w:val="22"/>
        <w:rtl/>
        <w:lang w:val="he-IL"/>
      </w:rPr>
      <mc:AlternateContent>
        <mc:Choice Requires="wps">
          <w:drawing>
            <wp:anchor distT="0" distB="0" distL="114300" distR="114300" simplePos="0" relativeHeight="251660288" behindDoc="0" locked="0" layoutInCell="1" allowOverlap="1">
              <wp:simplePos x="0" y="0"/>
              <wp:positionH relativeFrom="column">
                <wp:posOffset>5037460</wp:posOffset>
              </wp:positionH>
              <wp:positionV relativeFrom="paragraph">
                <wp:posOffset>-1180402</wp:posOffset>
              </wp:positionV>
              <wp:extent cx="299085" cy="8437069"/>
              <wp:effectExtent l="0" t="0" r="5715" b="0"/>
              <wp:wrapNone/>
              <wp:docPr id="6"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299085" cy="8437069"/>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2052" style="width:23.55pt;height:664.35pt;margin-top:-92.95pt;margin-left:396.65pt;flip:y;mso-height-percent:0;mso-height-relative:margin;mso-width-percent:0;mso-width-relative:margin;mso-wrap-distance-bottom:0;mso-wrap-distance-left:9pt;mso-wrap-distance-right:9pt;mso-wrap-distance-top:0;mso-wrap-style:square;position:absolute;visibility:visible;v-text-anchor:middle;z-index:251661312" fillcolor="#00305f" stroked="f" strokeweight="1.5pt">
              <v:stroke endcap="round"/>
            </v:rect>
          </w:pict>
        </mc:Fallback>
      </mc:AlternateContent>
    </w:r>
    <w:r w:rsidR="003340AD">
      <w:rPr>
        <w:noProof/>
        <w:rtl/>
        <w:lang w:val="he-IL"/>
      </w:rPr>
      <mc:AlternateContent>
        <mc:Choice Requires="wps">
          <w:drawing>
            <wp:anchor distT="0" distB="0" distL="114300" distR="114300" simplePos="0" relativeHeight="251671552" behindDoc="1" locked="0" layoutInCell="1" allowOverlap="1">
              <wp:simplePos x="0" y="0"/>
              <wp:positionH relativeFrom="margin">
                <wp:posOffset>-957930</wp:posOffset>
              </wp:positionH>
              <wp:positionV relativeFrom="margin">
                <wp:posOffset>-903605</wp:posOffset>
              </wp:positionV>
              <wp:extent cx="6479540" cy="8999855"/>
              <wp:effectExtent l="0" t="0" r="10160" b="17145"/>
              <wp:wrapNone/>
              <wp:docPr id="545322748"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3340AD" w:rsidRPr="00DE3ECA" w:rsidP="003340A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3" type="#_x0000_t202" style="width:510.2pt;height:708.65pt;margin-top:-71.15pt;margin-left:-75.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3904" filled="f" strokecolor="#a5a5a5" strokeweight="0.25pt">
              <v:stroke dashstyle="longDash"/>
              <v:textbox>
                <w:txbxContent>
                  <w:p w:rsidR="003340AD" w:rsidRPr="00DE3ECA" w:rsidP="003340AD" w14:paraId="5E74C7C1"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sidRPr="006061A9" w:rsidR="00555EDA">
      <w:rPr>
        <w:rFonts w:ascii="Tahoma" w:hAnsi="Tahoma" w:eastAsiaTheme="majorEastAsia" w:cs="Tahoma"/>
        <w:noProof/>
        <w:color w:val="0D0D0D" w:themeColor="text1" w:themeTint="F2"/>
        <w:sz w:val="16"/>
        <w:szCs w:val="16"/>
      </w:rPr>
      <mc:AlternateContent>
        <mc:Choice Requires="wps">
          <w:drawing>
            <wp:anchor distT="0" distB="0" distL="114300" distR="114300" simplePos="0" relativeHeight="251662336" behindDoc="0" locked="0" layoutInCell="1" allowOverlap="1">
              <wp:simplePos x="0" y="0"/>
              <wp:positionH relativeFrom="column">
                <wp:posOffset>4960620</wp:posOffset>
              </wp:positionH>
              <wp:positionV relativeFrom="paragraph">
                <wp:posOffset>-41077</wp:posOffset>
              </wp:positionV>
              <wp:extent cx="489585" cy="7483377"/>
              <wp:effectExtent l="0" t="0" r="0" b="0"/>
              <wp:wrapNone/>
              <wp:docPr id="2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9585" cy="7483377"/>
                      </a:xfrm>
                      <a:prstGeom prst="rect">
                        <a:avLst/>
                      </a:prstGeom>
                      <a:noFill/>
                      <a:ln w="9525">
                        <a:noFill/>
                        <a:miter lim="800000"/>
                        <a:headEnd/>
                        <a:tailEnd/>
                      </a:ln>
                    </wps:spPr>
                    <wps:txbx>
                      <w:txbxContent>
                        <w:p w:rsidR="00741C9B" w:rsidRPr="00941C35" w:rsidP="002F6545" w14:textId="74753724">
                          <w:pPr>
                            <w:pStyle w:val="7120"/>
                            <w:bidi w:val="0"/>
                            <w:spacing w:before="0" w:after="0"/>
                            <w:ind w:left="284" w:right="-142"/>
                            <w:rPr>
                              <w:color w:val="FFFFFF" w:themeColor="background1"/>
                              <w:spacing w:val="-2"/>
                              <w:sz w:val="19"/>
                              <w:szCs w:val="19"/>
                            </w:rPr>
                          </w:pPr>
                          <w:r w:rsidRPr="00555EDA">
                            <w:rPr>
                              <w:b w:val="0"/>
                              <w:bCs w:val="0"/>
                              <w:color w:val="FFFFFF" w:themeColor="background1"/>
                              <w:sz w:val="20"/>
                              <w:szCs w:val="20"/>
                            </w:rPr>
                            <w:t xml:space="preserve">Abstract </w:t>
                          </w:r>
                          <w:r w:rsidRPr="00555EDA" w:rsidR="001B75AD">
                            <w:rPr>
                              <w:b w:val="0"/>
                              <w:bCs w:val="0"/>
                              <w:color w:val="FFFFFF" w:themeColor="background1"/>
                              <w:sz w:val="20"/>
                              <w:szCs w:val="20"/>
                            </w:rPr>
                            <w:t xml:space="preserve"> </w:t>
                          </w:r>
                          <w:r w:rsidRPr="00555EDA">
                            <w:rPr>
                              <w:rFonts w:hint="cs"/>
                              <w:b w:val="0"/>
                              <w:bCs w:val="0"/>
                              <w:color w:val="FFFFFF" w:themeColor="background1"/>
                              <w:sz w:val="20"/>
                              <w:szCs w:val="20"/>
                              <w:rtl/>
                            </w:rPr>
                            <w:t>|</w:t>
                          </w:r>
                          <w:r w:rsidRPr="00555EDA" w:rsidR="00690F71">
                            <w:rPr>
                              <w:b w:val="0"/>
                              <w:bCs w:val="0"/>
                              <w:color w:val="FFFFFF" w:themeColor="background1"/>
                              <w:sz w:val="18"/>
                              <w:szCs w:val="18"/>
                            </w:rPr>
                            <w:t xml:space="preserve"> </w:t>
                          </w:r>
                          <w:r w:rsidRPr="00555EDA" w:rsidR="001B75AD">
                            <w:rPr>
                              <w:b w:val="0"/>
                              <w:bCs w:val="0"/>
                              <w:color w:val="FFFFFF" w:themeColor="background1"/>
                              <w:sz w:val="19"/>
                              <w:szCs w:val="19"/>
                            </w:rPr>
                            <w:t xml:space="preserve"> </w:t>
                          </w:r>
                          <w:r w:rsidRPr="002F6545" w:rsidR="002F6545">
                            <w:rPr>
                              <w:rFonts w:eastAsiaTheme="minorEastAsia"/>
                              <w:color w:val="FFFFFF" w:themeColor="background1"/>
                              <w:spacing w:val="-2"/>
                              <w:sz w:val="20"/>
                              <w:szCs w:val="20"/>
                            </w:rPr>
                            <w:t>Cellular Communication Infrastructure</w:t>
                          </w:r>
                        </w:p>
                      </w:txbxContent>
                    </wps:txbx>
                    <wps:bodyPr rot="0" vert="vert" wrap="square" anchor="t" anchorCtr="0"/>
                  </wps:wsp>
                </a:graphicData>
              </a:graphic>
              <wp14:sizeRelH relativeFrom="margin">
                <wp14:pctWidth>0</wp14:pctWidth>
              </wp14:sizeRelH>
              <wp14:sizeRelV relativeFrom="margin">
                <wp14:pctHeight>0</wp14:pctHeight>
              </wp14:sizeRelV>
            </wp:anchor>
          </w:drawing>
        </mc:Choice>
        <mc:Fallback>
          <w:pict>
            <v:shape id="_x0000_s2054" type="#_x0000_t202" style="width:38.55pt;height:589.25pt;margin-top:-3.25pt;margin-left:390.6pt;mso-height-percent:0;mso-height-relative:margin;mso-width-percent:0;mso-width-relative:margin;mso-wrap-distance-bottom:0;mso-wrap-distance-left:9pt;mso-wrap-distance-right:9pt;mso-wrap-distance-top:0;mso-wrap-style:square;position:absolute;visibility:visible;v-text-anchor:top;z-index:251663360" filled="f" stroked="f">
              <v:textbox style="layout-flow:vertical">
                <w:txbxContent>
                  <w:p w:rsidR="00741C9B" w:rsidRPr="00941C35" w:rsidP="002F6545" w14:paraId="542790B6" w14:textId="74753724">
                    <w:pPr>
                      <w:pStyle w:val="7120"/>
                      <w:bidi w:val="0"/>
                      <w:spacing w:before="0" w:after="0"/>
                      <w:ind w:left="284" w:right="-142"/>
                      <w:rPr>
                        <w:color w:val="FFFFFF" w:themeColor="background1"/>
                        <w:spacing w:val="-2"/>
                        <w:sz w:val="19"/>
                        <w:szCs w:val="19"/>
                      </w:rPr>
                    </w:pPr>
                    <w:r w:rsidRPr="00555EDA">
                      <w:rPr>
                        <w:b w:val="0"/>
                        <w:bCs w:val="0"/>
                        <w:color w:val="FFFFFF" w:themeColor="background1"/>
                        <w:sz w:val="20"/>
                        <w:szCs w:val="20"/>
                      </w:rPr>
                      <w:t xml:space="preserve">Abstract </w:t>
                    </w:r>
                    <w:r w:rsidRPr="00555EDA" w:rsidR="001B75AD">
                      <w:rPr>
                        <w:b w:val="0"/>
                        <w:bCs w:val="0"/>
                        <w:color w:val="FFFFFF" w:themeColor="background1"/>
                        <w:sz w:val="20"/>
                        <w:szCs w:val="20"/>
                      </w:rPr>
                      <w:t xml:space="preserve"> </w:t>
                    </w:r>
                    <w:r w:rsidRPr="00555EDA">
                      <w:rPr>
                        <w:rFonts w:hint="cs"/>
                        <w:b w:val="0"/>
                        <w:bCs w:val="0"/>
                        <w:color w:val="FFFFFF" w:themeColor="background1"/>
                        <w:sz w:val="20"/>
                        <w:szCs w:val="20"/>
                        <w:rtl/>
                      </w:rPr>
                      <w:t>|</w:t>
                    </w:r>
                    <w:r w:rsidRPr="00555EDA" w:rsidR="00690F71">
                      <w:rPr>
                        <w:b w:val="0"/>
                        <w:bCs w:val="0"/>
                        <w:color w:val="FFFFFF" w:themeColor="background1"/>
                        <w:sz w:val="18"/>
                        <w:szCs w:val="18"/>
                      </w:rPr>
                      <w:t xml:space="preserve"> </w:t>
                    </w:r>
                    <w:r w:rsidRPr="00555EDA" w:rsidR="001B75AD">
                      <w:rPr>
                        <w:b w:val="0"/>
                        <w:bCs w:val="0"/>
                        <w:color w:val="FFFFFF" w:themeColor="background1"/>
                        <w:sz w:val="19"/>
                        <w:szCs w:val="19"/>
                      </w:rPr>
                      <w:t xml:space="preserve"> </w:t>
                    </w:r>
                    <w:r w:rsidRPr="002F6545" w:rsidR="002F6545">
                      <w:rPr>
                        <w:rFonts w:eastAsiaTheme="minorEastAsia"/>
                        <w:color w:val="FFFFFF" w:themeColor="background1"/>
                        <w:spacing w:val="-2"/>
                        <w:sz w:val="20"/>
                        <w:szCs w:val="20"/>
                      </w:rPr>
                      <w:t>Cellular Communication Infrastructure</w:t>
                    </w:r>
                  </w:p>
                </w:txbxContent>
              </v:textbox>
            </v:shape>
          </w:pict>
        </mc:Fallback>
      </mc:AlternateContent>
    </w:r>
    <w:r w:rsidR="008615A2">
      <w:rPr>
        <w:rFonts w:ascii="Tahoma" w:hAnsi="Tahoma" w:eastAsiaTheme="majorEastAsia" w:cs="Tahoma"/>
        <w:noProof/>
        <w:color w:val="0D0D0D" w:themeColor="text1" w:themeTint="F2"/>
        <w:sz w:val="16"/>
        <w:szCs w:val="16"/>
      </w:rPr>
      <w:drawing>
        <wp:anchor distT="0" distB="0" distL="114300" distR="114300" simplePos="0" relativeHeight="251658240" behindDoc="1" locked="0" layoutInCell="1" allowOverlap="1">
          <wp:simplePos x="0" y="0"/>
          <wp:positionH relativeFrom="column">
            <wp:align>center</wp:align>
          </wp:positionH>
          <wp:positionV relativeFrom="page">
            <wp:align>center</wp:align>
          </wp:positionV>
          <wp:extent cx="7549200" cy="10670400"/>
          <wp:effectExtent l="0" t="0" r="0" b="0"/>
          <wp:wrapNone/>
          <wp:docPr id="2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Pr="00D05191" w:rsidR="0038050A">
      <w:rPr>
        <w:rFonts w:ascii="Tahoma" w:hAnsi="Tahoma" w:eastAsiaTheme="majorEastAsia" w:cs="Tahoma"/>
        <w:noProof/>
        <w:color w:val="0D0D0D" w:themeColor="text1" w:themeTint="F2"/>
        <w:sz w:val="15"/>
        <w:szCs w:val="15"/>
      </w:rPr>
      <w:t xml:space="preserve"> </w:t>
    </w:r>
    <w:r w:rsidRPr="00DB54AF" w:rsidR="00DB54AF">
      <w:rPr>
        <w:rFonts w:ascii="Tahoma" w:hAnsi="Tahoma" w:eastAsiaTheme="majorEastAsia" w:cs="Tahoma"/>
        <w:noProof/>
        <w:color w:val="0D0D0D" w:themeColor="text1" w:themeTint="F2"/>
        <w:sz w:val="16"/>
        <w:szCs w:val="16"/>
      </w:rPr>
      <w:t>Report of the State Comptroller of Israel</w:t>
    </w:r>
    <w:r w:rsidR="0028524C">
      <w:rPr>
        <w:rFonts w:ascii="Tahoma" w:hAnsi="Tahoma" w:eastAsiaTheme="majorEastAsia" w:cs="Tahoma" w:hint="cs"/>
        <w:noProof/>
        <w:color w:val="0D0D0D" w:themeColor="text1" w:themeTint="F2"/>
        <w:sz w:val="16"/>
        <w:szCs w:val="16"/>
        <w:rtl/>
      </w:rPr>
      <w:t xml:space="preserve"> </w:t>
    </w:r>
    <w:r w:rsidRPr="00DB54AF" w:rsidR="00DB54AF">
      <w:rPr>
        <w:rFonts w:ascii="Tahoma" w:hAnsi="Tahoma" w:eastAsiaTheme="majorEastAsia" w:cs="Tahoma"/>
        <w:noProof/>
        <w:color w:val="0D0D0D" w:themeColor="text1" w:themeTint="F2"/>
        <w:sz w:val="16"/>
        <w:szCs w:val="16"/>
      </w:rPr>
      <w:t xml:space="preserve">| </w:t>
    </w:r>
    <w:r w:rsidRPr="004C676E" w:rsidR="004C676E">
      <w:rPr>
        <w:rFonts w:ascii="Tahoma" w:hAnsi="Tahoma" w:eastAsiaTheme="majorEastAsia" w:cs="Tahoma"/>
        <w:noProof/>
        <w:color w:val="0D0D0D" w:themeColor="text1" w:themeTint="F2"/>
        <w:sz w:val="16"/>
        <w:szCs w:val="16"/>
      </w:rPr>
      <w:t>July</w:t>
    </w:r>
    <w:r w:rsidR="004C676E">
      <w:rPr>
        <w:rFonts w:ascii="Tahoma" w:hAnsi="Tahoma" w:eastAsiaTheme="majorEastAsia" w:cs="Tahoma"/>
        <w:noProof/>
        <w:color w:val="0D0D0D" w:themeColor="text1" w:themeTint="F2"/>
        <w:sz w:val="16"/>
        <w:szCs w:val="16"/>
      </w:rPr>
      <w:t xml:space="preserve"> </w:t>
    </w:r>
    <w:r w:rsidRPr="00DB54AF" w:rsidR="00DB54AF">
      <w:rPr>
        <w:rFonts w:ascii="Tahoma" w:hAnsi="Tahoma" w:eastAsiaTheme="majorEastAsia" w:cs="Tahoma"/>
        <w:noProof/>
        <w:color w:val="0D0D0D" w:themeColor="text1" w:themeTint="F2"/>
        <w:sz w:val="16"/>
        <w:szCs w:val="16"/>
      </w:rPr>
      <w:t>2024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866" w:rsidRPr="00890ED9" w:rsidP="00890ED9" w14:paraId="3011DE6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mc:AlternateContent>
      <mc:Choice Requires="v">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667425823" o:spid="_x0000_i1025" type="#_x0000_t75" style="width:52.9pt;height:58.05pt" o:bullet="t">
            <v:imagedata r:id="rId1" o:title=""/>
          </v:shape>
        </w:pict>
      </mc:Choice>
      <mc:Fallback>
        <w:drawing>
          <wp:inline distT="0" distB="0" distL="0" distR="0">
            <wp:extent cx="671830" cy="737235"/>
            <wp:effectExtent l="0" t="0" r="0" b="0"/>
            <wp:docPr id="1667425823" name="תמונה 1667425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71830" cy="737235"/>
                    </a:xfrm>
                    <a:prstGeom prst="rect">
                      <a:avLst/>
                    </a:prstGeom>
                    <a:noFill/>
                    <a:ln>
                      <a:noFill/>
                    </a:ln>
                  </pic:spPr>
                </pic:pic>
              </a:graphicData>
            </a:graphic>
          </wp:inline>
        </w:drawing>
      </mc:Fallback>
    </mc:AlternateContent>
  </w:numPicBullet>
  <w:abstractNum w:abstractNumId="0">
    <w:nsid w:val="FFFFFF89"/>
    <w:multiLevelType w:val="singleLevel"/>
    <w:tmpl w:val="386851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EB68CF"/>
    <w:multiLevelType w:val="hybridMultilevel"/>
    <w:tmpl w:val="4DBA338A"/>
    <w:lvl w:ilvl="0">
      <w:start w:val="1"/>
      <w:numFmt w:val="bullet"/>
      <w:lvlText w:val=""/>
      <w:lvlJc w:val="left"/>
      <w:pPr>
        <w:ind w:left="1514"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2">
    <w:nsid w:val="07C54509"/>
    <w:multiLevelType w:val="multilevel"/>
    <w:tmpl w:val="3030E6FC"/>
    <w:lvl w:ilvl="0">
      <w:start w:val="1"/>
      <w:numFmt w:val="decimal"/>
      <w:pStyle w:val="71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
    <w:nsid w:val="0BDF284C"/>
    <w:multiLevelType w:val="hybridMultilevel"/>
    <w:tmpl w:val="4CF25F2E"/>
    <w:lvl w:ilvl="0">
      <w:start w:val="1"/>
      <w:numFmt w:val="bullet"/>
      <w:lvlText w:val=""/>
      <w:lvlJc w:val="left"/>
      <w:pPr>
        <w:ind w:left="1117" w:hanging="360"/>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4">
    <w:nsid w:val="0CF36679"/>
    <w:multiLevelType w:val="hybridMultilevel"/>
    <w:tmpl w:val="ED1CE3FC"/>
    <w:lvl w:ilvl="0">
      <w:start w:val="1"/>
      <w:numFmt w:val="bullet"/>
      <w:lvlText w:val="o"/>
      <w:lvlJc w:val="left"/>
      <w:pPr>
        <w:ind w:left="1117" w:hanging="360"/>
      </w:pPr>
      <w:rPr>
        <w:rFonts w:ascii="Courier New" w:hAnsi="Courier New" w:hint="default"/>
        <w:b/>
        <w:bCs/>
        <w:i w:val="0"/>
        <w:caps w:val="0"/>
        <w:strike w:val="0"/>
        <w:dstrike w:val="0"/>
        <w:vanish w:val="0"/>
        <w:color w:val="FF0000"/>
        <w:sz w:val="18"/>
        <w:szCs w:val="18"/>
        <w:vertAlign w:val="baseline"/>
        <w:lang w:bidi="he-IL"/>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5">
    <w:nsid w:val="0D1C1A57"/>
    <w:multiLevelType w:val="hybridMultilevel"/>
    <w:tmpl w:val="79BA3268"/>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EE176D6"/>
    <w:multiLevelType w:val="hybridMultilevel"/>
    <w:tmpl w:val="16842C8E"/>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F571CC3"/>
    <w:multiLevelType w:val="hybridMultilevel"/>
    <w:tmpl w:val="536EFDE6"/>
    <w:lvl w:ilvl="0">
      <w:start w:val="1"/>
      <w:numFmt w:val="bullet"/>
      <w:lvlText w:val=""/>
      <w:lvlJc w:val="left"/>
      <w:pPr>
        <w:ind w:left="1117" w:hanging="360"/>
      </w:pPr>
      <w:rPr>
        <w:rFonts w:ascii="Symbol" w:hAnsi="Symbol" w:cs="Symbol" w:hint="default"/>
        <w:b/>
        <w:bCs/>
        <w:color w:val="FF0000"/>
        <w:sz w:val="24"/>
        <w:szCs w:val="24"/>
        <w:lang w:bidi="he-IL"/>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8">
    <w:nsid w:val="166C55F3"/>
    <w:multiLevelType w:val="multilevel"/>
    <w:tmpl w:val="767C0EC2"/>
    <w:lvl w:ilvl="0">
      <w:start w:val="1"/>
      <w:numFmt w:val="decimal"/>
      <w:lvlText w:val="%1."/>
      <w:lvlJc w:val="left"/>
      <w:pPr>
        <w:ind w:left="340" w:hanging="340"/>
      </w:pPr>
      <w:rPr>
        <w:b/>
        <w:bC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1A013EB0"/>
    <w:multiLevelType w:val="hybridMultilevel"/>
    <w:tmpl w:val="1662FF5E"/>
    <w:lvl w:ilvl="0">
      <w:start w:val="2"/>
      <w:numFmt w:val="decimal"/>
      <w:lvlText w:val="%1."/>
      <w:lvlJc w:val="left"/>
      <w:pPr>
        <w:ind w:left="720" w:hanging="360"/>
      </w:pPr>
      <w:rPr>
        <w:rFonts w:hint="default"/>
        <w:b/>
        <w:bCs/>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0">
    <w:nsid w:val="1A3A4EAE"/>
    <w:multiLevelType w:val="hybridMultilevel"/>
    <w:tmpl w:val="79C2AC88"/>
    <w:lvl w:ilvl="0">
      <w:start w:val="1"/>
      <w:numFmt w:val="bullet"/>
      <w:lvlText w:val=""/>
      <w:lvlJc w:val="left"/>
      <w:pPr>
        <w:ind w:left="1117" w:hanging="360"/>
      </w:pPr>
      <w:rPr>
        <w:rFonts w:ascii="Symbol" w:hAnsi="Symbol" w:cs="Symbol" w:hint="default"/>
        <w:b/>
        <w:bCs/>
        <w:color w:val="FF0000"/>
        <w:sz w:val="24"/>
        <w:szCs w:val="24"/>
        <w:lang w:bidi="he-IL"/>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1">
    <w:nsid w:val="1D0C0DF6"/>
    <w:multiLevelType w:val="hybridMultilevel"/>
    <w:tmpl w:val="A1EC5E72"/>
    <w:lvl w:ilvl="0">
      <w:start w:val="1"/>
      <w:numFmt w:val="bullet"/>
      <w:lvlText w:val=""/>
      <w:lvlPicBulletId w:val="0"/>
      <w:lvlJc w:val="left"/>
      <w:pPr>
        <w:ind w:left="397" w:hanging="397"/>
      </w:pPr>
      <w:rPr>
        <w:rFonts w:ascii="Symbol" w:hAnsi="Symbol" w:hint="default"/>
        <w:color w:val="auto"/>
        <w:sz w:val="28"/>
        <w:szCs w:val="2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13">
    <w:nsid w:val="210D273D"/>
    <w:multiLevelType w:val="hybridMultilevel"/>
    <w:tmpl w:val="D4E4C6DA"/>
    <w:lvl w:ilvl="0">
      <w:start w:val="1"/>
      <w:numFmt w:val="bullet"/>
      <w:lvlText w:val=""/>
      <w:lvlJc w:val="left"/>
      <w:pPr>
        <w:ind w:left="794" w:hanging="397"/>
      </w:pPr>
      <w:rPr>
        <w:rFonts w:ascii="Symbol" w:hAnsi="Symbol" w:cs="Symbol" w:hint="default"/>
        <w:b/>
        <w:bCs/>
        <w:color w:val="FF0000"/>
        <w:sz w:val="24"/>
        <w:szCs w:val="24"/>
        <w:lang w:bidi="he-IL"/>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4">
    <w:nsid w:val="2355252C"/>
    <w:multiLevelType w:val="hybridMultilevel"/>
    <w:tmpl w:val="BA3E84EC"/>
    <w:lvl w:ilvl="0">
      <w:start w:val="1"/>
      <w:numFmt w:val="bullet"/>
      <w:lvlText w:val=""/>
      <w:lvlJc w:val="left"/>
      <w:pPr>
        <w:ind w:left="794" w:hanging="397"/>
      </w:pPr>
      <w:rPr>
        <w:rFonts w:ascii="Symbol" w:hAnsi="Symbol" w:cs="Symbol" w:hint="default"/>
        <w:b/>
        <w:bCs/>
        <w:color w:val="FF0000"/>
        <w:sz w:val="24"/>
        <w:szCs w:val="24"/>
        <w:lang w:bidi="he-IL"/>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5">
    <w:nsid w:val="235F1CDB"/>
    <w:multiLevelType w:val="hybridMultilevel"/>
    <w:tmpl w:val="8284614E"/>
    <w:lvl w:ilvl="0">
      <w:start w:val="1"/>
      <w:numFmt w:val="decimal"/>
      <w:pStyle w:val="ListParagraph"/>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26E554A5"/>
    <w:multiLevelType w:val="hybridMultilevel"/>
    <w:tmpl w:val="CFEE6A88"/>
    <w:lvl w:ilvl="0">
      <w:start w:val="1"/>
      <w:numFmt w:val="bullet"/>
      <w:lvlText w:val=""/>
      <w:lvlJc w:val="left"/>
      <w:pPr>
        <w:ind w:left="794" w:hanging="397"/>
      </w:pPr>
      <w:rPr>
        <w:rFonts w:ascii="Symbol" w:hAnsi="Symbol" w:cs="Symbol" w:hint="default"/>
        <w:b/>
        <w:bCs/>
        <w:color w:val="FF0000"/>
        <w:sz w:val="24"/>
        <w:szCs w:val="24"/>
        <w:lang w:bidi="he-IL"/>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7">
    <w:nsid w:val="273D0009"/>
    <w:multiLevelType w:val="hybridMultilevel"/>
    <w:tmpl w:val="3F6A506E"/>
    <w:lvl w:ilvl="0">
      <w:start w:val="1"/>
      <w:numFmt w:val="decimal"/>
      <w:lvlText w:val="%1."/>
      <w:lvlJc w:val="left"/>
      <w:pPr>
        <w:ind w:left="170" w:hanging="170"/>
      </w:pPr>
      <w:rPr>
        <w:rFonts w:hint="default"/>
        <w:b w:val="0"/>
        <w:b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D4436EE"/>
    <w:multiLevelType w:val="hybridMultilevel"/>
    <w:tmpl w:val="DA2C43AE"/>
    <w:lvl w:ilvl="0">
      <w:start w:val="1"/>
      <w:numFmt w:val="bullet"/>
      <w:lvlText w:val=""/>
      <w:lvlJc w:val="left"/>
      <w:pPr>
        <w:ind w:left="1117" w:hanging="360"/>
      </w:pPr>
      <w:rPr>
        <w:rFonts w:ascii="Symbol" w:hAnsi="Symbol" w:cs="Symbol" w:hint="default"/>
        <w:b/>
        <w:bCs/>
        <w:color w:val="FF0000"/>
        <w:sz w:val="24"/>
        <w:szCs w:val="24"/>
        <w:lang w:bidi="he-IL"/>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9">
    <w:nsid w:val="30C40368"/>
    <w:multiLevelType w:val="hybridMultilevel"/>
    <w:tmpl w:val="A95E18E0"/>
    <w:lvl w:ilvl="0">
      <w:start w:val="1"/>
      <w:numFmt w:val="bullet"/>
      <w:lvlText w:val=""/>
      <w:lvlJc w:val="left"/>
      <w:pPr>
        <w:ind w:left="284" w:firstLine="1023"/>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1DE49CA"/>
    <w:multiLevelType w:val="hybridMultilevel"/>
    <w:tmpl w:val="A488764C"/>
    <w:lvl w:ilvl="0">
      <w:start w:val="1"/>
      <w:numFmt w:val="decimal"/>
      <w:lvlText w:val="%1."/>
      <w:lvlJc w:val="left"/>
      <w:pPr>
        <w:ind w:left="1060" w:hanging="360"/>
      </w:pPr>
      <w:rPr>
        <w:rFonts w:hint="default"/>
        <w:b/>
        <w:bCs/>
        <w:color w:val="FFFFFF" w:themeColor="background1"/>
      </w:r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21">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nsid w:val="38D16824"/>
    <w:multiLevelType w:val="hybridMultilevel"/>
    <w:tmpl w:val="82CAE912"/>
    <w:lvl w:ilvl="0">
      <w:start w:val="1"/>
      <w:numFmt w:val="bullet"/>
      <w:lvlText w:val=""/>
      <w:lvlJc w:val="left"/>
      <w:pPr>
        <w:ind w:left="794" w:hanging="397"/>
      </w:pPr>
      <w:rPr>
        <w:rFonts w:ascii="Symbol" w:hAnsi="Symbol" w:cs="Symbol" w:hint="default"/>
        <w:b/>
        <w:bCs/>
        <w:color w:val="FF0000"/>
        <w:sz w:val="24"/>
        <w:szCs w:val="24"/>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3">
    <w:nsid w:val="40E2723B"/>
    <w:multiLevelType w:val="hybridMultilevel"/>
    <w:tmpl w:val="3C0889F6"/>
    <w:lvl w:ilvl="0">
      <w:start w:val="1"/>
      <w:numFmt w:val="bullet"/>
      <w:lvlText w:val=""/>
      <w:lvlJc w:val="left"/>
      <w:pPr>
        <w:ind w:left="794" w:hanging="397"/>
      </w:pPr>
      <w:rPr>
        <w:rFonts w:ascii="Symbol" w:hAnsi="Symbol" w:cs="Symbol" w:hint="default"/>
        <w:b/>
        <w:bCs/>
        <w:color w:val="FF0000"/>
        <w:sz w:val="24"/>
        <w:szCs w:val="24"/>
        <w:lang w:bidi="he-IL"/>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4">
    <w:nsid w:val="41A0692B"/>
    <w:multiLevelType w:val="hybridMultilevel"/>
    <w:tmpl w:val="C2FA9246"/>
    <w:lvl w:ilvl="0">
      <w:start w:val="1"/>
      <w:numFmt w:val="bullet"/>
      <w:lvlText w:val=""/>
      <w:lvlJc w:val="left"/>
      <w:pPr>
        <w:ind w:left="1117" w:hanging="360"/>
      </w:pPr>
      <w:rPr>
        <w:rFonts w:ascii="Symbol" w:hAnsi="Symbol" w:cs="Symbol" w:hint="default"/>
        <w:b/>
        <w:bCs/>
        <w:color w:val="FF0000"/>
        <w:sz w:val="24"/>
        <w:szCs w:val="24"/>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5">
    <w:nsid w:val="46765C41"/>
    <w:multiLevelType w:val="hybridMultilevel"/>
    <w:tmpl w:val="C504B200"/>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BE8362B"/>
    <w:multiLevelType w:val="hybridMultilevel"/>
    <w:tmpl w:val="E30610B0"/>
    <w:lvl w:ilvl="0">
      <w:start w:val="1"/>
      <w:numFmt w:val="bullet"/>
      <w:lvlText w:val=""/>
      <w:lvlJc w:val="left"/>
      <w:pPr>
        <w:ind w:left="794" w:hanging="397"/>
      </w:pPr>
      <w:rPr>
        <w:rFonts w:ascii="Symbol" w:hAnsi="Symbol" w:cs="Symbol" w:hint="default"/>
        <w:b/>
        <w:bCs/>
        <w:i w:val="0"/>
        <w:caps w:val="0"/>
        <w:strike w:val="0"/>
        <w:dstrike w:val="0"/>
        <w:vanish w:val="0"/>
        <w:color w:val="E41E2A"/>
        <w:sz w:val="28"/>
        <w:szCs w:val="28"/>
        <w:vertAlign w:val="baseline"/>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7">
    <w:nsid w:val="4FAE0F0F"/>
    <w:multiLevelType w:val="hybridMultilevel"/>
    <w:tmpl w:val="7C7897AA"/>
    <w:lvl w:ilvl="0">
      <w:start w:val="2"/>
      <w:numFmt w:val="decimal"/>
      <w:lvlText w:val="%1."/>
      <w:lvlJc w:val="left"/>
      <w:pPr>
        <w:ind w:left="1060" w:hanging="360"/>
      </w:pPr>
      <w:rPr>
        <w:rFonts w:hint="default"/>
        <w:b/>
        <w:bCs/>
        <w:color w:val="FFFFFF" w:themeColor="background1"/>
      </w:r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28">
    <w:nsid w:val="51E16A15"/>
    <w:multiLevelType w:val="hybridMultilevel"/>
    <w:tmpl w:val="5E184802"/>
    <w:lvl w:ilvl="0">
      <w:start w:val="1"/>
      <w:numFmt w:val="bullet"/>
      <w:lvlText w:val=""/>
      <w:lvlJc w:val="left"/>
      <w:pPr>
        <w:ind w:left="794" w:hanging="397"/>
      </w:pPr>
      <w:rPr>
        <w:rFonts w:ascii="Symbol" w:hAnsi="Symbol" w:cs="Symbol" w:hint="default"/>
        <w:b/>
        <w:bCs/>
        <w:color w:val="FF0000"/>
        <w:sz w:val="24"/>
        <w:szCs w:val="24"/>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29">
    <w:nsid w:val="55E326D5"/>
    <w:multiLevelType w:val="hybridMultilevel"/>
    <w:tmpl w:val="F03CDE30"/>
    <w:lvl w:ilvl="0">
      <w:start w:val="1"/>
      <w:numFmt w:val="bullet"/>
      <w:lvlText w:val=""/>
      <w:lvlJc w:val="left"/>
      <w:pPr>
        <w:ind w:left="1514"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30">
    <w:nsid w:val="5897651F"/>
    <w:multiLevelType w:val="hybridMultilevel"/>
    <w:tmpl w:val="48181DCA"/>
    <w:lvl w:ilvl="0">
      <w:start w:val="1"/>
      <w:numFmt w:val="bullet"/>
      <w:lvlText w:val=""/>
      <w:lvlJc w:val="left"/>
      <w:pPr>
        <w:ind w:left="757" w:hanging="360"/>
      </w:pPr>
      <w:rPr>
        <w:rFonts w:ascii="Symbol" w:hAnsi="Symbol" w:cs="Symbol" w:hint="default"/>
        <w:b/>
        <w:bCs/>
        <w:color w:val="FF0000"/>
        <w:sz w:val="24"/>
        <w:szCs w:val="24"/>
        <w:lang w:bidi="he-IL"/>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31">
    <w:nsid w:val="591A0C7B"/>
    <w:multiLevelType w:val="hybridMultilevel"/>
    <w:tmpl w:val="06041564"/>
    <w:lvl w:ilvl="0">
      <w:start w:val="1"/>
      <w:numFmt w:val="bullet"/>
      <w:lvlText w:val=""/>
      <w:lvlJc w:val="left"/>
      <w:pPr>
        <w:ind w:left="1117" w:hanging="360"/>
      </w:pPr>
      <w:rPr>
        <w:rFonts w:ascii="Symbol" w:hAnsi="Symbol" w:cs="Symbol" w:hint="default"/>
        <w:b/>
        <w:bCs/>
        <w:color w:val="FF0000"/>
        <w:sz w:val="24"/>
        <w:szCs w:val="24"/>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32">
    <w:nsid w:val="5EDA18C9"/>
    <w:multiLevelType w:val="hybridMultilevel"/>
    <w:tmpl w:val="18F24D2E"/>
    <w:lvl w:ilvl="0">
      <w:start w:val="1"/>
      <w:numFmt w:val="decimal"/>
      <w:lvlText w:val="%1."/>
      <w:lvlJc w:val="left"/>
      <w:pPr>
        <w:ind w:left="700" w:hanging="360"/>
      </w:pPr>
      <w:rPr>
        <w:rFonts w:ascii="Tahoma" w:hAnsi="Tahoma" w:cs="Tahoma" w:hint="default"/>
        <w:b/>
        <w:color w:val="FFFFFF" w:themeColor="background1"/>
        <w:sz w:val="22"/>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33">
    <w:nsid w:val="6079445E"/>
    <w:multiLevelType w:val="hybridMultilevel"/>
    <w:tmpl w:val="01E0535A"/>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4">
    <w:nsid w:val="62011081"/>
    <w:multiLevelType w:val="hybridMultilevel"/>
    <w:tmpl w:val="EDDE0268"/>
    <w:lvl w:ilvl="0">
      <w:start w:val="1"/>
      <w:numFmt w:val="bullet"/>
      <w:lvlText w:val="o"/>
      <w:lvlJc w:val="left"/>
      <w:pPr>
        <w:ind w:left="1191" w:hanging="397"/>
      </w:pPr>
      <w:rPr>
        <w:rFonts w:ascii="Courier New" w:hAnsi="Courier New" w:hint="default"/>
        <w:b/>
        <w:bCs/>
        <w:i w:val="0"/>
        <w:caps w:val="0"/>
        <w:strike w:val="0"/>
        <w:dstrike w:val="0"/>
        <w:vanish w:val="0"/>
        <w:color w:val="FF0000"/>
        <w:sz w:val="18"/>
        <w:szCs w:val="18"/>
        <w:vertAlign w:val="baseline"/>
        <w:lang w:bidi="he-IL"/>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35">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67BF5139"/>
    <w:multiLevelType w:val="multilevel"/>
    <w:tmpl w:val="DC6C961C"/>
    <w:lvl w:ilvl="0">
      <w:start w:val="1"/>
      <w:numFmt w:val="decimal"/>
      <w:pStyle w:val="a1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37">
    <w:nsid w:val="68B7092F"/>
    <w:multiLevelType w:val="hybridMultilevel"/>
    <w:tmpl w:val="CD303DDE"/>
    <w:lvl w:ilvl="0">
      <w:start w:val="1"/>
      <w:numFmt w:val="bullet"/>
      <w:lvlText w:val=""/>
      <w:lvlPicBulletId w:val="0"/>
      <w:lvlJc w:val="left"/>
      <w:pPr>
        <w:ind w:left="397" w:hanging="397"/>
      </w:pPr>
      <w:rPr>
        <w:rFonts w:ascii="Symbol" w:hAnsi="Symbol" w:hint="default"/>
        <w:color w:val="auto"/>
        <w:sz w:val="28"/>
        <w:szCs w:val="28"/>
      </w:rPr>
    </w:lvl>
    <w:lvl w:ilvl="1">
      <w:start w:val="1"/>
      <w:numFmt w:val="bullet"/>
      <w:lvlText w:val="o"/>
      <w:lvlJc w:val="left"/>
      <w:pPr>
        <w:ind w:left="927"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9F51C67"/>
    <w:multiLevelType w:val="hybridMultilevel"/>
    <w:tmpl w:val="1C706308"/>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FB07509"/>
    <w:multiLevelType w:val="hybridMultilevel"/>
    <w:tmpl w:val="841214DA"/>
    <w:lvl w:ilvl="0">
      <w:start w:val="1"/>
      <w:numFmt w:val="bullet"/>
      <w:lvlText w:val=""/>
      <w:lvlJc w:val="left"/>
      <w:pPr>
        <w:ind w:left="1117" w:hanging="360"/>
      </w:pPr>
      <w:rPr>
        <w:rFonts w:ascii="Symbol" w:hAnsi="Symbol" w:cs="Symbol" w:hint="default"/>
        <w:b/>
        <w:bCs/>
        <w:color w:val="FF0000"/>
        <w:sz w:val="24"/>
        <w:szCs w:val="24"/>
        <w:lang w:bidi="he-IL"/>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40">
    <w:nsid w:val="717B4C9C"/>
    <w:multiLevelType w:val="hybridMultilevel"/>
    <w:tmpl w:val="D1E844FC"/>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41">
    <w:nsid w:val="75341FF3"/>
    <w:multiLevelType w:val="hybridMultilevel"/>
    <w:tmpl w:val="E126F84E"/>
    <w:lvl w:ilvl="0">
      <w:start w:val="1"/>
      <w:numFmt w:val="bullet"/>
      <w:lvlText w:val=""/>
      <w:lvlJc w:val="left"/>
      <w:pPr>
        <w:ind w:left="794" w:hanging="397"/>
      </w:pPr>
      <w:rPr>
        <w:rFonts w:ascii="Symbol" w:hAnsi="Symbol" w:cs="Symbol" w:hint="default"/>
        <w:b/>
        <w:bCs/>
        <w:color w:val="FF0000"/>
        <w:sz w:val="24"/>
        <w:szCs w:val="24"/>
        <w:lang w:bidi="he-IL"/>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42">
    <w:nsid w:val="75BB59BB"/>
    <w:multiLevelType w:val="hybridMultilevel"/>
    <w:tmpl w:val="8DE4081E"/>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B716324"/>
    <w:multiLevelType w:val="hybridMultilevel"/>
    <w:tmpl w:val="5BC88410"/>
    <w:lvl w:ilvl="0">
      <w:start w:val="1"/>
      <w:numFmt w:val="bullet"/>
      <w:lvlText w:val=""/>
      <w:lvlJc w:val="left"/>
      <w:pPr>
        <w:ind w:left="794" w:hanging="397"/>
      </w:pPr>
      <w:rPr>
        <w:rFonts w:ascii="Symbol" w:hAnsi="Symbol" w:cs="Symbol" w:hint="default"/>
        <w:b/>
        <w:bCs/>
        <w:color w:val="FF0000"/>
        <w:sz w:val="24"/>
        <w:szCs w:val="24"/>
        <w:lang w:bidi="he-IL"/>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44">
    <w:nsid w:val="7D365B29"/>
    <w:multiLevelType w:val="multilevel"/>
    <w:tmpl w:val="E3AA6D54"/>
    <w:lvl w:ilvl="0">
      <w:start w:val="1"/>
      <w:numFmt w:val="hebrew1"/>
      <w:pStyle w:val="715"/>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abstractNum w:abstractNumId="45">
    <w:nsid w:val="7EEE3329"/>
    <w:multiLevelType w:val="hybridMultilevel"/>
    <w:tmpl w:val="CAEC56AE"/>
    <w:lvl w:ilvl="0">
      <w:start w:val="1"/>
      <w:numFmt w:val="bullet"/>
      <w:lvlText w:val=""/>
      <w:lvlJc w:val="left"/>
      <w:pPr>
        <w:ind w:left="1117" w:hanging="360"/>
      </w:pPr>
      <w:rPr>
        <w:rFonts w:ascii="Symbol" w:hAnsi="Symbol" w:cs="Symbol" w:hint="default"/>
        <w:b/>
        <w:bCs/>
        <w:color w:val="FF0000"/>
        <w:sz w:val="24"/>
        <w:szCs w:val="24"/>
        <w:lang w:bidi="he-IL"/>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46">
    <w:nsid w:val="7F204EDB"/>
    <w:multiLevelType w:val="hybridMultilevel"/>
    <w:tmpl w:val="C12EA23A"/>
    <w:lvl w:ilvl="0">
      <w:start w:val="1"/>
      <w:numFmt w:val="bullet"/>
      <w:lvlText w:val=""/>
      <w:lvlJc w:val="left"/>
      <w:pPr>
        <w:ind w:left="1191" w:hanging="397"/>
      </w:pPr>
      <w:rPr>
        <w:rFonts w:ascii="Symbol" w:hAnsi="Symbol" w:cs="Symbol" w:hint="default"/>
        <w:b/>
        <w:bCs/>
        <w:color w:val="FF0000"/>
        <w:sz w:val="24"/>
        <w:szCs w:val="24"/>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num w:numId="1" w16cid:durableId="1441336782">
    <w:abstractNumId w:val="21"/>
  </w:num>
  <w:num w:numId="2" w16cid:durableId="767771938">
    <w:abstractNumId w:val="36"/>
  </w:num>
  <w:num w:numId="3" w16cid:durableId="1533149807">
    <w:abstractNumId w:val="15"/>
  </w:num>
  <w:num w:numId="4" w16cid:durableId="1169364424">
    <w:abstractNumId w:val="12"/>
  </w:num>
  <w:num w:numId="5" w16cid:durableId="1531528138">
    <w:abstractNumId w:val="11"/>
  </w:num>
  <w:num w:numId="6" w16cid:durableId="378214401">
    <w:abstractNumId w:val="2"/>
  </w:num>
  <w:num w:numId="7" w16cid:durableId="1558588035">
    <w:abstractNumId w:val="5"/>
  </w:num>
  <w:num w:numId="8" w16cid:durableId="966810605">
    <w:abstractNumId w:val="44"/>
  </w:num>
  <w:num w:numId="9" w16cid:durableId="1709639913">
    <w:abstractNumId w:val="19"/>
  </w:num>
  <w:num w:numId="10" w16cid:durableId="2061510871">
    <w:abstractNumId w:val="15"/>
  </w:num>
  <w:num w:numId="11" w16cid:durableId="150566361">
    <w:abstractNumId w:val="25"/>
  </w:num>
  <w:num w:numId="12" w16cid:durableId="1884517408">
    <w:abstractNumId w:val="9"/>
  </w:num>
  <w:num w:numId="13" w16cid:durableId="1138574288">
    <w:abstractNumId w:val="27"/>
  </w:num>
  <w:num w:numId="14" w16cid:durableId="2021731970">
    <w:abstractNumId w:val="15"/>
  </w:num>
  <w:num w:numId="15" w16cid:durableId="294525774">
    <w:abstractNumId w:val="20"/>
  </w:num>
  <w:num w:numId="16" w16cid:durableId="1938829469">
    <w:abstractNumId w:val="32"/>
  </w:num>
  <w:num w:numId="17" w16cid:durableId="1870992102">
    <w:abstractNumId w:val="15"/>
  </w:num>
  <w:num w:numId="18" w16cid:durableId="875392425">
    <w:abstractNumId w:val="35"/>
  </w:num>
  <w:num w:numId="19" w16cid:durableId="1757364398">
    <w:abstractNumId w:val="15"/>
  </w:num>
  <w:num w:numId="20" w16cid:durableId="2080326639">
    <w:abstractNumId w:val="8"/>
  </w:num>
  <w:num w:numId="21" w16cid:durableId="1517109532">
    <w:abstractNumId w:val="33"/>
  </w:num>
  <w:num w:numId="22" w16cid:durableId="199829528">
    <w:abstractNumId w:val="37"/>
  </w:num>
  <w:num w:numId="23" w16cid:durableId="630592101">
    <w:abstractNumId w:val="15"/>
  </w:num>
  <w:num w:numId="24" w16cid:durableId="781344904">
    <w:abstractNumId w:val="15"/>
  </w:num>
  <w:num w:numId="25" w16cid:durableId="1029065817">
    <w:abstractNumId w:val="0"/>
  </w:num>
  <w:num w:numId="26" w16cid:durableId="1835028128">
    <w:abstractNumId w:val="17"/>
  </w:num>
  <w:num w:numId="27" w16cid:durableId="515264686">
    <w:abstractNumId w:val="15"/>
  </w:num>
  <w:num w:numId="28" w16cid:durableId="1118644431">
    <w:abstractNumId w:val="15"/>
  </w:num>
  <w:num w:numId="29" w16cid:durableId="495343087">
    <w:abstractNumId w:val="15"/>
  </w:num>
  <w:num w:numId="30" w16cid:durableId="93281274">
    <w:abstractNumId w:val="29"/>
  </w:num>
  <w:num w:numId="31" w16cid:durableId="575818460">
    <w:abstractNumId w:val="1"/>
  </w:num>
  <w:num w:numId="32" w16cid:durableId="871304304">
    <w:abstractNumId w:val="40"/>
  </w:num>
  <w:num w:numId="33" w16cid:durableId="1853570904">
    <w:abstractNumId w:val="6"/>
  </w:num>
  <w:num w:numId="34" w16cid:durableId="822430797">
    <w:abstractNumId w:val="42"/>
  </w:num>
  <w:num w:numId="35" w16cid:durableId="1334841248">
    <w:abstractNumId w:val="38"/>
  </w:num>
  <w:num w:numId="36" w16cid:durableId="238559508">
    <w:abstractNumId w:val="10"/>
  </w:num>
  <w:num w:numId="37" w16cid:durableId="1673989480">
    <w:abstractNumId w:val="3"/>
  </w:num>
  <w:num w:numId="38" w16cid:durableId="1021316195">
    <w:abstractNumId w:val="26"/>
  </w:num>
  <w:num w:numId="39" w16cid:durableId="1240334612">
    <w:abstractNumId w:val="18"/>
  </w:num>
  <w:num w:numId="40" w16cid:durableId="2091542644">
    <w:abstractNumId w:val="4"/>
  </w:num>
  <w:num w:numId="41" w16cid:durableId="1502773082">
    <w:abstractNumId w:val="34"/>
  </w:num>
  <w:num w:numId="42" w16cid:durableId="409696500">
    <w:abstractNumId w:val="16"/>
  </w:num>
  <w:num w:numId="43" w16cid:durableId="437334498">
    <w:abstractNumId w:val="7"/>
  </w:num>
  <w:num w:numId="44" w16cid:durableId="395930845">
    <w:abstractNumId w:val="43"/>
  </w:num>
  <w:num w:numId="45" w16cid:durableId="1637487689">
    <w:abstractNumId w:val="41"/>
  </w:num>
  <w:num w:numId="46" w16cid:durableId="1762988798">
    <w:abstractNumId w:val="39"/>
  </w:num>
  <w:num w:numId="47" w16cid:durableId="279578746">
    <w:abstractNumId w:val="13"/>
  </w:num>
  <w:num w:numId="48" w16cid:durableId="1049182197">
    <w:abstractNumId w:val="14"/>
  </w:num>
  <w:num w:numId="49" w16cid:durableId="821850724">
    <w:abstractNumId w:val="30"/>
  </w:num>
  <w:num w:numId="50" w16cid:durableId="208609666">
    <w:abstractNumId w:val="23"/>
  </w:num>
  <w:num w:numId="51" w16cid:durableId="239872152">
    <w:abstractNumId w:val="45"/>
  </w:num>
  <w:num w:numId="52" w16cid:durableId="1673485944">
    <w:abstractNumId w:val="31"/>
  </w:num>
  <w:num w:numId="53" w16cid:durableId="1867911700">
    <w:abstractNumId w:val="22"/>
  </w:num>
  <w:num w:numId="54" w16cid:durableId="1689407235">
    <w:abstractNumId w:val="46"/>
  </w:num>
  <w:num w:numId="55" w16cid:durableId="374501034">
    <w:abstractNumId w:val="24"/>
  </w:num>
  <w:num w:numId="56" w16cid:durableId="1929732997">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isplayBackgroundShape/>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397"/>
  <w:evenAndOddHeaders/>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AF"/>
    <w:rsid w:val="0000095B"/>
    <w:rsid w:val="00002000"/>
    <w:rsid w:val="000021BD"/>
    <w:rsid w:val="00002A6A"/>
    <w:rsid w:val="00002B48"/>
    <w:rsid w:val="000035C3"/>
    <w:rsid w:val="0000362C"/>
    <w:rsid w:val="0000373B"/>
    <w:rsid w:val="0000400F"/>
    <w:rsid w:val="000047FD"/>
    <w:rsid w:val="00005D49"/>
    <w:rsid w:val="00006C22"/>
    <w:rsid w:val="000073CC"/>
    <w:rsid w:val="000105AD"/>
    <w:rsid w:val="0001149A"/>
    <w:rsid w:val="000114F5"/>
    <w:rsid w:val="00011508"/>
    <w:rsid w:val="000123B5"/>
    <w:rsid w:val="00012511"/>
    <w:rsid w:val="00012E42"/>
    <w:rsid w:val="00012FC5"/>
    <w:rsid w:val="00013127"/>
    <w:rsid w:val="00015A73"/>
    <w:rsid w:val="00015D42"/>
    <w:rsid w:val="00017099"/>
    <w:rsid w:val="000174BC"/>
    <w:rsid w:val="00021662"/>
    <w:rsid w:val="000217C4"/>
    <w:rsid w:val="00021A89"/>
    <w:rsid w:val="000225D3"/>
    <w:rsid w:val="000249E2"/>
    <w:rsid w:val="00025440"/>
    <w:rsid w:val="00025650"/>
    <w:rsid w:val="0002681A"/>
    <w:rsid w:val="0002689B"/>
    <w:rsid w:val="00027245"/>
    <w:rsid w:val="000315F5"/>
    <w:rsid w:val="00031938"/>
    <w:rsid w:val="00032126"/>
    <w:rsid w:val="000331D3"/>
    <w:rsid w:val="0003392D"/>
    <w:rsid w:val="00033E04"/>
    <w:rsid w:val="0003470F"/>
    <w:rsid w:val="00034F3F"/>
    <w:rsid w:val="000350BF"/>
    <w:rsid w:val="000356A7"/>
    <w:rsid w:val="00035AA3"/>
    <w:rsid w:val="00035BD0"/>
    <w:rsid w:val="00036469"/>
    <w:rsid w:val="00036B1B"/>
    <w:rsid w:val="00036F3C"/>
    <w:rsid w:val="00037596"/>
    <w:rsid w:val="00040CFC"/>
    <w:rsid w:val="00041AEB"/>
    <w:rsid w:val="00044478"/>
    <w:rsid w:val="00044647"/>
    <w:rsid w:val="00044A44"/>
    <w:rsid w:val="00045345"/>
    <w:rsid w:val="000461F4"/>
    <w:rsid w:val="0004650A"/>
    <w:rsid w:val="00046B8C"/>
    <w:rsid w:val="00046DDB"/>
    <w:rsid w:val="00046F96"/>
    <w:rsid w:val="000473A2"/>
    <w:rsid w:val="0004763A"/>
    <w:rsid w:val="000504A0"/>
    <w:rsid w:val="00051008"/>
    <w:rsid w:val="000523CB"/>
    <w:rsid w:val="0005567A"/>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14D"/>
    <w:rsid w:val="00072DC7"/>
    <w:rsid w:val="000760A4"/>
    <w:rsid w:val="00076160"/>
    <w:rsid w:val="000761E8"/>
    <w:rsid w:val="00076AD4"/>
    <w:rsid w:val="00076C3B"/>
    <w:rsid w:val="00076C6A"/>
    <w:rsid w:val="00076C94"/>
    <w:rsid w:val="000771FA"/>
    <w:rsid w:val="000772F2"/>
    <w:rsid w:val="000812BC"/>
    <w:rsid w:val="00082C54"/>
    <w:rsid w:val="0008321A"/>
    <w:rsid w:val="00083F4F"/>
    <w:rsid w:val="00084171"/>
    <w:rsid w:val="000841FE"/>
    <w:rsid w:val="000847F9"/>
    <w:rsid w:val="00084F1F"/>
    <w:rsid w:val="0008572D"/>
    <w:rsid w:val="000868BD"/>
    <w:rsid w:val="00086BC2"/>
    <w:rsid w:val="00090AB0"/>
    <w:rsid w:val="00092220"/>
    <w:rsid w:val="0009240F"/>
    <w:rsid w:val="00092F71"/>
    <w:rsid w:val="00093068"/>
    <w:rsid w:val="00093178"/>
    <w:rsid w:val="00095581"/>
    <w:rsid w:val="0009699F"/>
    <w:rsid w:val="000A0FC0"/>
    <w:rsid w:val="000A16EF"/>
    <w:rsid w:val="000A18FC"/>
    <w:rsid w:val="000A1D75"/>
    <w:rsid w:val="000A251B"/>
    <w:rsid w:val="000A2903"/>
    <w:rsid w:val="000A2BC9"/>
    <w:rsid w:val="000A34B5"/>
    <w:rsid w:val="000A3864"/>
    <w:rsid w:val="000A3CD0"/>
    <w:rsid w:val="000A3DC6"/>
    <w:rsid w:val="000A4798"/>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939"/>
    <w:rsid w:val="000B2D78"/>
    <w:rsid w:val="000B3659"/>
    <w:rsid w:val="000B3933"/>
    <w:rsid w:val="000B4E54"/>
    <w:rsid w:val="000B544F"/>
    <w:rsid w:val="000B565F"/>
    <w:rsid w:val="000B6085"/>
    <w:rsid w:val="000B62E6"/>
    <w:rsid w:val="000B6799"/>
    <w:rsid w:val="000B7227"/>
    <w:rsid w:val="000B73A9"/>
    <w:rsid w:val="000C0334"/>
    <w:rsid w:val="000C0F9D"/>
    <w:rsid w:val="000C19F9"/>
    <w:rsid w:val="000C1BB0"/>
    <w:rsid w:val="000C1DB1"/>
    <w:rsid w:val="000C1F02"/>
    <w:rsid w:val="000C2518"/>
    <w:rsid w:val="000C2E22"/>
    <w:rsid w:val="000C4DEF"/>
    <w:rsid w:val="000C5425"/>
    <w:rsid w:val="000C57FF"/>
    <w:rsid w:val="000C6595"/>
    <w:rsid w:val="000C6708"/>
    <w:rsid w:val="000C7018"/>
    <w:rsid w:val="000D1157"/>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4F0D"/>
    <w:rsid w:val="000E5AF7"/>
    <w:rsid w:val="000E5B6C"/>
    <w:rsid w:val="000E5C35"/>
    <w:rsid w:val="000E642B"/>
    <w:rsid w:val="000E6B72"/>
    <w:rsid w:val="000E6D1A"/>
    <w:rsid w:val="000E761F"/>
    <w:rsid w:val="000E7743"/>
    <w:rsid w:val="000E7FC4"/>
    <w:rsid w:val="000F0117"/>
    <w:rsid w:val="000F0D79"/>
    <w:rsid w:val="000F311F"/>
    <w:rsid w:val="000F3B27"/>
    <w:rsid w:val="000F41D0"/>
    <w:rsid w:val="000F4951"/>
    <w:rsid w:val="000F4997"/>
    <w:rsid w:val="000F49B9"/>
    <w:rsid w:val="000F4C6C"/>
    <w:rsid w:val="000F4E31"/>
    <w:rsid w:val="000F4F2E"/>
    <w:rsid w:val="000F51B7"/>
    <w:rsid w:val="000F5901"/>
    <w:rsid w:val="000F68CD"/>
    <w:rsid w:val="000F69B0"/>
    <w:rsid w:val="000F6B40"/>
    <w:rsid w:val="000F722D"/>
    <w:rsid w:val="000F7E18"/>
    <w:rsid w:val="00100786"/>
    <w:rsid w:val="0010121F"/>
    <w:rsid w:val="001012CC"/>
    <w:rsid w:val="001017ED"/>
    <w:rsid w:val="00101DD5"/>
    <w:rsid w:val="0010229A"/>
    <w:rsid w:val="001024AF"/>
    <w:rsid w:val="001033B3"/>
    <w:rsid w:val="00103971"/>
    <w:rsid w:val="00103CED"/>
    <w:rsid w:val="00103D42"/>
    <w:rsid w:val="00103FBC"/>
    <w:rsid w:val="00104839"/>
    <w:rsid w:val="00104E94"/>
    <w:rsid w:val="0010564D"/>
    <w:rsid w:val="0010599F"/>
    <w:rsid w:val="00105A73"/>
    <w:rsid w:val="00105B88"/>
    <w:rsid w:val="00105ED4"/>
    <w:rsid w:val="00106FBF"/>
    <w:rsid w:val="00106FC5"/>
    <w:rsid w:val="00107938"/>
    <w:rsid w:val="00110E7D"/>
    <w:rsid w:val="00110E8E"/>
    <w:rsid w:val="00111817"/>
    <w:rsid w:val="00111D0B"/>
    <w:rsid w:val="00112B7B"/>
    <w:rsid w:val="00112D83"/>
    <w:rsid w:val="00113A65"/>
    <w:rsid w:val="00113BEC"/>
    <w:rsid w:val="0011400B"/>
    <w:rsid w:val="00114587"/>
    <w:rsid w:val="00114818"/>
    <w:rsid w:val="001156F5"/>
    <w:rsid w:val="00115F32"/>
    <w:rsid w:val="00116EC6"/>
    <w:rsid w:val="00117163"/>
    <w:rsid w:val="00117668"/>
    <w:rsid w:val="00120C15"/>
    <w:rsid w:val="00121460"/>
    <w:rsid w:val="001215F4"/>
    <w:rsid w:val="001221B2"/>
    <w:rsid w:val="00123BF9"/>
    <w:rsid w:val="00124D10"/>
    <w:rsid w:val="00125732"/>
    <w:rsid w:val="00126FB8"/>
    <w:rsid w:val="00127083"/>
    <w:rsid w:val="00127147"/>
    <w:rsid w:val="00127204"/>
    <w:rsid w:val="001275EC"/>
    <w:rsid w:val="00130912"/>
    <w:rsid w:val="00130ABF"/>
    <w:rsid w:val="00130E45"/>
    <w:rsid w:val="0013170A"/>
    <w:rsid w:val="00131A11"/>
    <w:rsid w:val="00131AAF"/>
    <w:rsid w:val="0013238E"/>
    <w:rsid w:val="00132921"/>
    <w:rsid w:val="00132FFC"/>
    <w:rsid w:val="00133E28"/>
    <w:rsid w:val="00134716"/>
    <w:rsid w:val="00135EB9"/>
    <w:rsid w:val="00136B9E"/>
    <w:rsid w:val="00141E28"/>
    <w:rsid w:val="00142877"/>
    <w:rsid w:val="001435CD"/>
    <w:rsid w:val="00143613"/>
    <w:rsid w:val="00144786"/>
    <w:rsid w:val="00144967"/>
    <w:rsid w:val="00145DAD"/>
    <w:rsid w:val="00146345"/>
    <w:rsid w:val="00150E90"/>
    <w:rsid w:val="001510CF"/>
    <w:rsid w:val="0015132E"/>
    <w:rsid w:val="0015187B"/>
    <w:rsid w:val="001519D2"/>
    <w:rsid w:val="00152684"/>
    <w:rsid w:val="00152C39"/>
    <w:rsid w:val="00153D39"/>
    <w:rsid w:val="00154886"/>
    <w:rsid w:val="00154C30"/>
    <w:rsid w:val="00154C71"/>
    <w:rsid w:val="001551EA"/>
    <w:rsid w:val="001553E4"/>
    <w:rsid w:val="00156292"/>
    <w:rsid w:val="001563D0"/>
    <w:rsid w:val="0015640A"/>
    <w:rsid w:val="0015686E"/>
    <w:rsid w:val="00156A81"/>
    <w:rsid w:val="001571C9"/>
    <w:rsid w:val="00160149"/>
    <w:rsid w:val="00160DE1"/>
    <w:rsid w:val="00161297"/>
    <w:rsid w:val="00161324"/>
    <w:rsid w:val="0016160F"/>
    <w:rsid w:val="00161CBD"/>
    <w:rsid w:val="0016215A"/>
    <w:rsid w:val="00162B28"/>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8EF"/>
    <w:rsid w:val="00176E39"/>
    <w:rsid w:val="00177295"/>
    <w:rsid w:val="001772DD"/>
    <w:rsid w:val="00177493"/>
    <w:rsid w:val="0018090E"/>
    <w:rsid w:val="00180C76"/>
    <w:rsid w:val="001816A1"/>
    <w:rsid w:val="00181B5A"/>
    <w:rsid w:val="001856B7"/>
    <w:rsid w:val="0018650A"/>
    <w:rsid w:val="001866EE"/>
    <w:rsid w:val="00186FA6"/>
    <w:rsid w:val="0018762D"/>
    <w:rsid w:val="001876BD"/>
    <w:rsid w:val="0018773C"/>
    <w:rsid w:val="001877CA"/>
    <w:rsid w:val="001879D5"/>
    <w:rsid w:val="0019127D"/>
    <w:rsid w:val="00191BA6"/>
    <w:rsid w:val="001927CC"/>
    <w:rsid w:val="00192DC4"/>
    <w:rsid w:val="001933DD"/>
    <w:rsid w:val="0019373E"/>
    <w:rsid w:val="00193C51"/>
    <w:rsid w:val="00194AD1"/>
    <w:rsid w:val="00194E25"/>
    <w:rsid w:val="00194FE0"/>
    <w:rsid w:val="00195AB1"/>
    <w:rsid w:val="00196762"/>
    <w:rsid w:val="00196B27"/>
    <w:rsid w:val="00196D01"/>
    <w:rsid w:val="001A06FA"/>
    <w:rsid w:val="001A14B8"/>
    <w:rsid w:val="001A1832"/>
    <w:rsid w:val="001A1A35"/>
    <w:rsid w:val="001A1D8E"/>
    <w:rsid w:val="001A214C"/>
    <w:rsid w:val="001A2CAF"/>
    <w:rsid w:val="001A2E4B"/>
    <w:rsid w:val="001A2F80"/>
    <w:rsid w:val="001A39E5"/>
    <w:rsid w:val="001A3DA4"/>
    <w:rsid w:val="001A417A"/>
    <w:rsid w:val="001A4362"/>
    <w:rsid w:val="001A4C86"/>
    <w:rsid w:val="001A559D"/>
    <w:rsid w:val="001A56B7"/>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501A"/>
    <w:rsid w:val="001B5590"/>
    <w:rsid w:val="001B5E86"/>
    <w:rsid w:val="001B75AD"/>
    <w:rsid w:val="001B7FC5"/>
    <w:rsid w:val="001C06B5"/>
    <w:rsid w:val="001C0ABC"/>
    <w:rsid w:val="001C125C"/>
    <w:rsid w:val="001C265D"/>
    <w:rsid w:val="001C27C2"/>
    <w:rsid w:val="001C29CD"/>
    <w:rsid w:val="001C3D63"/>
    <w:rsid w:val="001C3F29"/>
    <w:rsid w:val="001C4789"/>
    <w:rsid w:val="001C4FC8"/>
    <w:rsid w:val="001C54F4"/>
    <w:rsid w:val="001C5E08"/>
    <w:rsid w:val="001C6058"/>
    <w:rsid w:val="001C617B"/>
    <w:rsid w:val="001C65F5"/>
    <w:rsid w:val="001C7011"/>
    <w:rsid w:val="001C7644"/>
    <w:rsid w:val="001D0B8C"/>
    <w:rsid w:val="001D200A"/>
    <w:rsid w:val="001D220E"/>
    <w:rsid w:val="001D3B88"/>
    <w:rsid w:val="001D409D"/>
    <w:rsid w:val="001D4460"/>
    <w:rsid w:val="001D458D"/>
    <w:rsid w:val="001D5906"/>
    <w:rsid w:val="001D65CE"/>
    <w:rsid w:val="001D7F39"/>
    <w:rsid w:val="001E070A"/>
    <w:rsid w:val="001E179C"/>
    <w:rsid w:val="001E21EA"/>
    <w:rsid w:val="001E25A0"/>
    <w:rsid w:val="001E3273"/>
    <w:rsid w:val="001E3AD0"/>
    <w:rsid w:val="001E3D2B"/>
    <w:rsid w:val="001E44CF"/>
    <w:rsid w:val="001E5A0D"/>
    <w:rsid w:val="001E5BF1"/>
    <w:rsid w:val="001E5C22"/>
    <w:rsid w:val="001E7054"/>
    <w:rsid w:val="001E7248"/>
    <w:rsid w:val="001E732D"/>
    <w:rsid w:val="001E7790"/>
    <w:rsid w:val="001F03F5"/>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83F"/>
    <w:rsid w:val="001F68F6"/>
    <w:rsid w:val="001F6D2B"/>
    <w:rsid w:val="001F7132"/>
    <w:rsid w:val="00201773"/>
    <w:rsid w:val="00201C60"/>
    <w:rsid w:val="002020AF"/>
    <w:rsid w:val="00202CDF"/>
    <w:rsid w:val="00203A69"/>
    <w:rsid w:val="0020423A"/>
    <w:rsid w:val="00204FD5"/>
    <w:rsid w:val="00206427"/>
    <w:rsid w:val="00206B50"/>
    <w:rsid w:val="00206E89"/>
    <w:rsid w:val="0020737B"/>
    <w:rsid w:val="002108C3"/>
    <w:rsid w:val="00211189"/>
    <w:rsid w:val="00211542"/>
    <w:rsid w:val="002115E2"/>
    <w:rsid w:val="00211890"/>
    <w:rsid w:val="00211AB3"/>
    <w:rsid w:val="00211BD2"/>
    <w:rsid w:val="00211CD5"/>
    <w:rsid w:val="00212C70"/>
    <w:rsid w:val="00212CC9"/>
    <w:rsid w:val="0021383C"/>
    <w:rsid w:val="002138DE"/>
    <w:rsid w:val="00213D63"/>
    <w:rsid w:val="00214667"/>
    <w:rsid w:val="002164D6"/>
    <w:rsid w:val="00216564"/>
    <w:rsid w:val="00216CE4"/>
    <w:rsid w:val="00216E18"/>
    <w:rsid w:val="00217002"/>
    <w:rsid w:val="00217D25"/>
    <w:rsid w:val="00220150"/>
    <w:rsid w:val="00220A56"/>
    <w:rsid w:val="00220B1E"/>
    <w:rsid w:val="00220D93"/>
    <w:rsid w:val="0022183F"/>
    <w:rsid w:val="0022195F"/>
    <w:rsid w:val="00221B6D"/>
    <w:rsid w:val="002229D0"/>
    <w:rsid w:val="00222EFD"/>
    <w:rsid w:val="00223498"/>
    <w:rsid w:val="00223E18"/>
    <w:rsid w:val="00224285"/>
    <w:rsid w:val="00225614"/>
    <w:rsid w:val="00225E4F"/>
    <w:rsid w:val="002262C7"/>
    <w:rsid w:val="00226BE5"/>
    <w:rsid w:val="00226D6C"/>
    <w:rsid w:val="0023014C"/>
    <w:rsid w:val="002303B8"/>
    <w:rsid w:val="00230D48"/>
    <w:rsid w:val="0023147E"/>
    <w:rsid w:val="002314C8"/>
    <w:rsid w:val="002330D7"/>
    <w:rsid w:val="00233EF1"/>
    <w:rsid w:val="002348BC"/>
    <w:rsid w:val="0023632E"/>
    <w:rsid w:val="00236CF1"/>
    <w:rsid w:val="0023718D"/>
    <w:rsid w:val="0023728A"/>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46DC7"/>
    <w:rsid w:val="002511A2"/>
    <w:rsid w:val="002518DB"/>
    <w:rsid w:val="002525CC"/>
    <w:rsid w:val="002529D6"/>
    <w:rsid w:val="002530C2"/>
    <w:rsid w:val="00253904"/>
    <w:rsid w:val="002557C3"/>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0B91"/>
    <w:rsid w:val="002712C2"/>
    <w:rsid w:val="002717B8"/>
    <w:rsid w:val="00271BBF"/>
    <w:rsid w:val="002722F1"/>
    <w:rsid w:val="00272DCB"/>
    <w:rsid w:val="00273409"/>
    <w:rsid w:val="002735DC"/>
    <w:rsid w:val="00273C82"/>
    <w:rsid w:val="00273E3E"/>
    <w:rsid w:val="00274CC2"/>
    <w:rsid w:val="00274D7E"/>
    <w:rsid w:val="0027512D"/>
    <w:rsid w:val="0027747C"/>
    <w:rsid w:val="00277717"/>
    <w:rsid w:val="00277BC2"/>
    <w:rsid w:val="00277E0B"/>
    <w:rsid w:val="002805E4"/>
    <w:rsid w:val="00280807"/>
    <w:rsid w:val="00280A33"/>
    <w:rsid w:val="00280F37"/>
    <w:rsid w:val="00281CA7"/>
    <w:rsid w:val="00281D26"/>
    <w:rsid w:val="00281E80"/>
    <w:rsid w:val="002821A4"/>
    <w:rsid w:val="0028253B"/>
    <w:rsid w:val="00282FD6"/>
    <w:rsid w:val="00283C5E"/>
    <w:rsid w:val="00284052"/>
    <w:rsid w:val="0028477B"/>
    <w:rsid w:val="00285214"/>
    <w:rsid w:val="0028524C"/>
    <w:rsid w:val="002861DE"/>
    <w:rsid w:val="00286F9F"/>
    <w:rsid w:val="002870C0"/>
    <w:rsid w:val="00287413"/>
    <w:rsid w:val="0028785B"/>
    <w:rsid w:val="002908EC"/>
    <w:rsid w:val="002917D1"/>
    <w:rsid w:val="00293651"/>
    <w:rsid w:val="00293C1D"/>
    <w:rsid w:val="002943E4"/>
    <w:rsid w:val="00294765"/>
    <w:rsid w:val="0029606C"/>
    <w:rsid w:val="002963FC"/>
    <w:rsid w:val="0029657A"/>
    <w:rsid w:val="00296649"/>
    <w:rsid w:val="00296C96"/>
    <w:rsid w:val="0029750A"/>
    <w:rsid w:val="002975FB"/>
    <w:rsid w:val="00297F9D"/>
    <w:rsid w:val="002A049D"/>
    <w:rsid w:val="002A0F5E"/>
    <w:rsid w:val="002A11BD"/>
    <w:rsid w:val="002A122A"/>
    <w:rsid w:val="002A18A0"/>
    <w:rsid w:val="002A38DF"/>
    <w:rsid w:val="002A4062"/>
    <w:rsid w:val="002A4C50"/>
    <w:rsid w:val="002A51A3"/>
    <w:rsid w:val="002A6B27"/>
    <w:rsid w:val="002A7A49"/>
    <w:rsid w:val="002A7A4A"/>
    <w:rsid w:val="002A7C14"/>
    <w:rsid w:val="002B0204"/>
    <w:rsid w:val="002B064A"/>
    <w:rsid w:val="002B0758"/>
    <w:rsid w:val="002B07BA"/>
    <w:rsid w:val="002B0A10"/>
    <w:rsid w:val="002B146E"/>
    <w:rsid w:val="002B1D68"/>
    <w:rsid w:val="002B285B"/>
    <w:rsid w:val="002B3C5B"/>
    <w:rsid w:val="002B4623"/>
    <w:rsid w:val="002B5441"/>
    <w:rsid w:val="002B5517"/>
    <w:rsid w:val="002B5743"/>
    <w:rsid w:val="002B6920"/>
    <w:rsid w:val="002B6B84"/>
    <w:rsid w:val="002B701A"/>
    <w:rsid w:val="002C0374"/>
    <w:rsid w:val="002C0D01"/>
    <w:rsid w:val="002C167F"/>
    <w:rsid w:val="002C1805"/>
    <w:rsid w:val="002C3001"/>
    <w:rsid w:val="002C3A61"/>
    <w:rsid w:val="002C517F"/>
    <w:rsid w:val="002C53F1"/>
    <w:rsid w:val="002C5B2A"/>
    <w:rsid w:val="002C5D25"/>
    <w:rsid w:val="002C6165"/>
    <w:rsid w:val="002C6364"/>
    <w:rsid w:val="002C68CB"/>
    <w:rsid w:val="002C6F0A"/>
    <w:rsid w:val="002C796B"/>
    <w:rsid w:val="002D1462"/>
    <w:rsid w:val="002D173D"/>
    <w:rsid w:val="002D1F63"/>
    <w:rsid w:val="002D2002"/>
    <w:rsid w:val="002D238D"/>
    <w:rsid w:val="002D239D"/>
    <w:rsid w:val="002D2A02"/>
    <w:rsid w:val="002D2A09"/>
    <w:rsid w:val="002D2B39"/>
    <w:rsid w:val="002D30FC"/>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22A"/>
    <w:rsid w:val="002E7650"/>
    <w:rsid w:val="002E7F4E"/>
    <w:rsid w:val="002F0438"/>
    <w:rsid w:val="002F0B22"/>
    <w:rsid w:val="002F0C58"/>
    <w:rsid w:val="002F1280"/>
    <w:rsid w:val="002F165F"/>
    <w:rsid w:val="002F195C"/>
    <w:rsid w:val="002F1A0D"/>
    <w:rsid w:val="002F2133"/>
    <w:rsid w:val="002F2319"/>
    <w:rsid w:val="002F2754"/>
    <w:rsid w:val="002F3251"/>
    <w:rsid w:val="002F6545"/>
    <w:rsid w:val="002F6D3A"/>
    <w:rsid w:val="003006EA"/>
    <w:rsid w:val="00300E9F"/>
    <w:rsid w:val="00301280"/>
    <w:rsid w:val="00302559"/>
    <w:rsid w:val="003027AA"/>
    <w:rsid w:val="00302CDA"/>
    <w:rsid w:val="00303F69"/>
    <w:rsid w:val="003044D4"/>
    <w:rsid w:val="00304A28"/>
    <w:rsid w:val="00305501"/>
    <w:rsid w:val="003057BE"/>
    <w:rsid w:val="00306333"/>
    <w:rsid w:val="00310CE8"/>
    <w:rsid w:val="00311D24"/>
    <w:rsid w:val="00312650"/>
    <w:rsid w:val="003126AC"/>
    <w:rsid w:val="003133FC"/>
    <w:rsid w:val="00313EC4"/>
    <w:rsid w:val="00314CE5"/>
    <w:rsid w:val="003150B1"/>
    <w:rsid w:val="00316C90"/>
    <w:rsid w:val="00316D38"/>
    <w:rsid w:val="003173E0"/>
    <w:rsid w:val="00320159"/>
    <w:rsid w:val="00321D1B"/>
    <w:rsid w:val="0032364A"/>
    <w:rsid w:val="00323E46"/>
    <w:rsid w:val="003243AF"/>
    <w:rsid w:val="00325332"/>
    <w:rsid w:val="00325469"/>
    <w:rsid w:val="00327C2A"/>
    <w:rsid w:val="00327FBF"/>
    <w:rsid w:val="0033032D"/>
    <w:rsid w:val="00330465"/>
    <w:rsid w:val="00330697"/>
    <w:rsid w:val="00330FEC"/>
    <w:rsid w:val="0033100C"/>
    <w:rsid w:val="00331522"/>
    <w:rsid w:val="00331A56"/>
    <w:rsid w:val="00331DAB"/>
    <w:rsid w:val="003323CD"/>
    <w:rsid w:val="00333810"/>
    <w:rsid w:val="00333FB0"/>
    <w:rsid w:val="003340AD"/>
    <w:rsid w:val="00334BBC"/>
    <w:rsid w:val="00334E99"/>
    <w:rsid w:val="00335960"/>
    <w:rsid w:val="00335F65"/>
    <w:rsid w:val="00336334"/>
    <w:rsid w:val="00336A22"/>
    <w:rsid w:val="00336A9C"/>
    <w:rsid w:val="003408F2"/>
    <w:rsid w:val="00341EDA"/>
    <w:rsid w:val="00342E41"/>
    <w:rsid w:val="00342F9F"/>
    <w:rsid w:val="003437E8"/>
    <w:rsid w:val="00344900"/>
    <w:rsid w:val="00345A36"/>
    <w:rsid w:val="003464F7"/>
    <w:rsid w:val="003466C7"/>
    <w:rsid w:val="00346DF9"/>
    <w:rsid w:val="003478E2"/>
    <w:rsid w:val="003504AD"/>
    <w:rsid w:val="00350894"/>
    <w:rsid w:val="00350FCA"/>
    <w:rsid w:val="00351463"/>
    <w:rsid w:val="00352F48"/>
    <w:rsid w:val="00353326"/>
    <w:rsid w:val="0035361A"/>
    <w:rsid w:val="00353BAA"/>
    <w:rsid w:val="003541A3"/>
    <w:rsid w:val="0035442A"/>
    <w:rsid w:val="00354900"/>
    <w:rsid w:val="00355057"/>
    <w:rsid w:val="003572C8"/>
    <w:rsid w:val="00357D06"/>
    <w:rsid w:val="003609E2"/>
    <w:rsid w:val="00361B78"/>
    <w:rsid w:val="00361CD3"/>
    <w:rsid w:val="00362B2C"/>
    <w:rsid w:val="0036393B"/>
    <w:rsid w:val="00363C0F"/>
    <w:rsid w:val="00363C25"/>
    <w:rsid w:val="00363DBE"/>
    <w:rsid w:val="00364230"/>
    <w:rsid w:val="00364FDF"/>
    <w:rsid w:val="003651AA"/>
    <w:rsid w:val="00366DF1"/>
    <w:rsid w:val="00367BD8"/>
    <w:rsid w:val="00370725"/>
    <w:rsid w:val="003707D3"/>
    <w:rsid w:val="00370A28"/>
    <w:rsid w:val="00373C76"/>
    <w:rsid w:val="0037422E"/>
    <w:rsid w:val="0037507E"/>
    <w:rsid w:val="00375407"/>
    <w:rsid w:val="003757ED"/>
    <w:rsid w:val="00375D53"/>
    <w:rsid w:val="00377C93"/>
    <w:rsid w:val="0038050A"/>
    <w:rsid w:val="003807F4"/>
    <w:rsid w:val="00380913"/>
    <w:rsid w:val="00381451"/>
    <w:rsid w:val="00381B6E"/>
    <w:rsid w:val="00381C43"/>
    <w:rsid w:val="00381C86"/>
    <w:rsid w:val="00381F88"/>
    <w:rsid w:val="0038206D"/>
    <w:rsid w:val="00382431"/>
    <w:rsid w:val="00382614"/>
    <w:rsid w:val="00383BAA"/>
    <w:rsid w:val="00384065"/>
    <w:rsid w:val="00384B2A"/>
    <w:rsid w:val="003850F7"/>
    <w:rsid w:val="00385249"/>
    <w:rsid w:val="003859A8"/>
    <w:rsid w:val="00386540"/>
    <w:rsid w:val="00386671"/>
    <w:rsid w:val="003866F8"/>
    <w:rsid w:val="003875EE"/>
    <w:rsid w:val="00387A0C"/>
    <w:rsid w:val="00390616"/>
    <w:rsid w:val="00390F86"/>
    <w:rsid w:val="003923EB"/>
    <w:rsid w:val="00392980"/>
    <w:rsid w:val="00392AA4"/>
    <w:rsid w:val="00392AA6"/>
    <w:rsid w:val="0039302F"/>
    <w:rsid w:val="0039384A"/>
    <w:rsid w:val="00393B5E"/>
    <w:rsid w:val="00393B7D"/>
    <w:rsid w:val="00393D36"/>
    <w:rsid w:val="00394124"/>
    <w:rsid w:val="00394BB0"/>
    <w:rsid w:val="003954BF"/>
    <w:rsid w:val="00396C01"/>
    <w:rsid w:val="00397204"/>
    <w:rsid w:val="003976F4"/>
    <w:rsid w:val="003A082D"/>
    <w:rsid w:val="003A0B69"/>
    <w:rsid w:val="003A0F7A"/>
    <w:rsid w:val="003A10E7"/>
    <w:rsid w:val="003A16B7"/>
    <w:rsid w:val="003A1745"/>
    <w:rsid w:val="003A2E56"/>
    <w:rsid w:val="003A3862"/>
    <w:rsid w:val="003A4357"/>
    <w:rsid w:val="003A436D"/>
    <w:rsid w:val="003B0565"/>
    <w:rsid w:val="003B159D"/>
    <w:rsid w:val="003B19BE"/>
    <w:rsid w:val="003B1E8D"/>
    <w:rsid w:val="003B1FEC"/>
    <w:rsid w:val="003B348F"/>
    <w:rsid w:val="003B4927"/>
    <w:rsid w:val="003B4D44"/>
    <w:rsid w:val="003B5B95"/>
    <w:rsid w:val="003B69D2"/>
    <w:rsid w:val="003B6EA3"/>
    <w:rsid w:val="003B7DC9"/>
    <w:rsid w:val="003C0020"/>
    <w:rsid w:val="003C02EE"/>
    <w:rsid w:val="003C0AAE"/>
    <w:rsid w:val="003C1185"/>
    <w:rsid w:val="003C11B6"/>
    <w:rsid w:val="003C2223"/>
    <w:rsid w:val="003C317B"/>
    <w:rsid w:val="003C3AD5"/>
    <w:rsid w:val="003C4C2F"/>
    <w:rsid w:val="003C4D6C"/>
    <w:rsid w:val="003C57DC"/>
    <w:rsid w:val="003C5926"/>
    <w:rsid w:val="003C5929"/>
    <w:rsid w:val="003C67A4"/>
    <w:rsid w:val="003D04FC"/>
    <w:rsid w:val="003D0701"/>
    <w:rsid w:val="003D09D3"/>
    <w:rsid w:val="003D0B43"/>
    <w:rsid w:val="003D14AF"/>
    <w:rsid w:val="003D15EC"/>
    <w:rsid w:val="003D254B"/>
    <w:rsid w:val="003D3AD8"/>
    <w:rsid w:val="003D4208"/>
    <w:rsid w:val="003D4441"/>
    <w:rsid w:val="003D4A2A"/>
    <w:rsid w:val="003D4DAC"/>
    <w:rsid w:val="003D4DE9"/>
    <w:rsid w:val="003D4FDE"/>
    <w:rsid w:val="003D5F15"/>
    <w:rsid w:val="003D751C"/>
    <w:rsid w:val="003D7986"/>
    <w:rsid w:val="003E04AC"/>
    <w:rsid w:val="003E06C7"/>
    <w:rsid w:val="003E0C5E"/>
    <w:rsid w:val="003E0EAA"/>
    <w:rsid w:val="003E1352"/>
    <w:rsid w:val="003E1383"/>
    <w:rsid w:val="003E323C"/>
    <w:rsid w:val="003E5430"/>
    <w:rsid w:val="003E709A"/>
    <w:rsid w:val="003E79AE"/>
    <w:rsid w:val="003F0A5C"/>
    <w:rsid w:val="003F0C3A"/>
    <w:rsid w:val="003F112F"/>
    <w:rsid w:val="003F1906"/>
    <w:rsid w:val="003F2367"/>
    <w:rsid w:val="003F2902"/>
    <w:rsid w:val="003F2CA1"/>
    <w:rsid w:val="003F2E86"/>
    <w:rsid w:val="003F2FA6"/>
    <w:rsid w:val="003F35EC"/>
    <w:rsid w:val="003F3B10"/>
    <w:rsid w:val="003F4201"/>
    <w:rsid w:val="003F566D"/>
    <w:rsid w:val="003F5CC7"/>
    <w:rsid w:val="003F5E93"/>
    <w:rsid w:val="003F6C4B"/>
    <w:rsid w:val="003F6E1A"/>
    <w:rsid w:val="003F6FB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3FB8"/>
    <w:rsid w:val="004248CA"/>
    <w:rsid w:val="00424B82"/>
    <w:rsid w:val="00424CEB"/>
    <w:rsid w:val="0042536D"/>
    <w:rsid w:val="00425447"/>
    <w:rsid w:val="004255E3"/>
    <w:rsid w:val="00425D49"/>
    <w:rsid w:val="00426A12"/>
    <w:rsid w:val="00427615"/>
    <w:rsid w:val="004278E5"/>
    <w:rsid w:val="00427CBA"/>
    <w:rsid w:val="00427DE9"/>
    <w:rsid w:val="00430526"/>
    <w:rsid w:val="004309B3"/>
    <w:rsid w:val="004309C5"/>
    <w:rsid w:val="00430F36"/>
    <w:rsid w:val="00431864"/>
    <w:rsid w:val="00431E6E"/>
    <w:rsid w:val="00432DBC"/>
    <w:rsid w:val="004334FD"/>
    <w:rsid w:val="004335F4"/>
    <w:rsid w:val="00434573"/>
    <w:rsid w:val="00434710"/>
    <w:rsid w:val="00434979"/>
    <w:rsid w:val="00434B71"/>
    <w:rsid w:val="004359AD"/>
    <w:rsid w:val="00436570"/>
    <w:rsid w:val="00436B3D"/>
    <w:rsid w:val="00436DAE"/>
    <w:rsid w:val="00437A8F"/>
    <w:rsid w:val="00437CA8"/>
    <w:rsid w:val="00440360"/>
    <w:rsid w:val="00440A9C"/>
    <w:rsid w:val="00441319"/>
    <w:rsid w:val="00441A9F"/>
    <w:rsid w:val="00442153"/>
    <w:rsid w:val="00442D2E"/>
    <w:rsid w:val="00442E1F"/>
    <w:rsid w:val="00443C31"/>
    <w:rsid w:val="00444737"/>
    <w:rsid w:val="00445112"/>
    <w:rsid w:val="00445C07"/>
    <w:rsid w:val="00445CE5"/>
    <w:rsid w:val="00446104"/>
    <w:rsid w:val="0044687F"/>
    <w:rsid w:val="00446C74"/>
    <w:rsid w:val="00447EBD"/>
    <w:rsid w:val="0045028B"/>
    <w:rsid w:val="004505D6"/>
    <w:rsid w:val="00450E59"/>
    <w:rsid w:val="004516D9"/>
    <w:rsid w:val="00451F72"/>
    <w:rsid w:val="00451F8B"/>
    <w:rsid w:val="004535E7"/>
    <w:rsid w:val="00455350"/>
    <w:rsid w:val="004557A8"/>
    <w:rsid w:val="00456349"/>
    <w:rsid w:val="00456430"/>
    <w:rsid w:val="0045656B"/>
    <w:rsid w:val="0045684E"/>
    <w:rsid w:val="00456CEF"/>
    <w:rsid w:val="00457C4A"/>
    <w:rsid w:val="00460732"/>
    <w:rsid w:val="00460993"/>
    <w:rsid w:val="00460F53"/>
    <w:rsid w:val="004618B5"/>
    <w:rsid w:val="00461FDC"/>
    <w:rsid w:val="00462875"/>
    <w:rsid w:val="004638C4"/>
    <w:rsid w:val="00463924"/>
    <w:rsid w:val="00464628"/>
    <w:rsid w:val="004649FA"/>
    <w:rsid w:val="004660F8"/>
    <w:rsid w:val="00466196"/>
    <w:rsid w:val="0046631D"/>
    <w:rsid w:val="0046700E"/>
    <w:rsid w:val="00467F06"/>
    <w:rsid w:val="00470F05"/>
    <w:rsid w:val="004718D9"/>
    <w:rsid w:val="00472462"/>
    <w:rsid w:val="00472670"/>
    <w:rsid w:val="00472C02"/>
    <w:rsid w:val="00472DBD"/>
    <w:rsid w:val="00473314"/>
    <w:rsid w:val="0047349A"/>
    <w:rsid w:val="004736B8"/>
    <w:rsid w:val="004739CF"/>
    <w:rsid w:val="00473C08"/>
    <w:rsid w:val="0047493C"/>
    <w:rsid w:val="00474ED3"/>
    <w:rsid w:val="00475484"/>
    <w:rsid w:val="00475740"/>
    <w:rsid w:val="004768DA"/>
    <w:rsid w:val="004800D1"/>
    <w:rsid w:val="004806D7"/>
    <w:rsid w:val="0048083D"/>
    <w:rsid w:val="00480E15"/>
    <w:rsid w:val="00480F04"/>
    <w:rsid w:val="004813E6"/>
    <w:rsid w:val="0048191F"/>
    <w:rsid w:val="00484C76"/>
    <w:rsid w:val="00484D2D"/>
    <w:rsid w:val="004859FE"/>
    <w:rsid w:val="00485F83"/>
    <w:rsid w:val="004862E9"/>
    <w:rsid w:val="0048660B"/>
    <w:rsid w:val="00487C38"/>
    <w:rsid w:val="00487D38"/>
    <w:rsid w:val="00487D6F"/>
    <w:rsid w:val="0049073A"/>
    <w:rsid w:val="004912FC"/>
    <w:rsid w:val="00491500"/>
    <w:rsid w:val="00491894"/>
    <w:rsid w:val="00491D9E"/>
    <w:rsid w:val="00492046"/>
    <w:rsid w:val="0049260B"/>
    <w:rsid w:val="00492BEB"/>
    <w:rsid w:val="00492C38"/>
    <w:rsid w:val="004936A3"/>
    <w:rsid w:val="0049381F"/>
    <w:rsid w:val="00493A82"/>
    <w:rsid w:val="00493F55"/>
    <w:rsid w:val="00494463"/>
    <w:rsid w:val="00494D79"/>
    <w:rsid w:val="00494DFB"/>
    <w:rsid w:val="00494F20"/>
    <w:rsid w:val="00494FCB"/>
    <w:rsid w:val="0049571D"/>
    <w:rsid w:val="004957E6"/>
    <w:rsid w:val="004958EF"/>
    <w:rsid w:val="00496CBE"/>
    <w:rsid w:val="00497B53"/>
    <w:rsid w:val="004A0293"/>
    <w:rsid w:val="004A083D"/>
    <w:rsid w:val="004A1648"/>
    <w:rsid w:val="004A36ED"/>
    <w:rsid w:val="004A4AA6"/>
    <w:rsid w:val="004A4B65"/>
    <w:rsid w:val="004A5646"/>
    <w:rsid w:val="004A6733"/>
    <w:rsid w:val="004A7324"/>
    <w:rsid w:val="004A7AFD"/>
    <w:rsid w:val="004B02B5"/>
    <w:rsid w:val="004B1AC6"/>
    <w:rsid w:val="004B2AE7"/>
    <w:rsid w:val="004B2F00"/>
    <w:rsid w:val="004B3772"/>
    <w:rsid w:val="004B4F74"/>
    <w:rsid w:val="004B58CE"/>
    <w:rsid w:val="004B5BE6"/>
    <w:rsid w:val="004B6CE7"/>
    <w:rsid w:val="004B781B"/>
    <w:rsid w:val="004B7EE2"/>
    <w:rsid w:val="004C0DF9"/>
    <w:rsid w:val="004C1982"/>
    <w:rsid w:val="004C24BD"/>
    <w:rsid w:val="004C2BED"/>
    <w:rsid w:val="004C3206"/>
    <w:rsid w:val="004C41A4"/>
    <w:rsid w:val="004C5249"/>
    <w:rsid w:val="004C646D"/>
    <w:rsid w:val="004C676E"/>
    <w:rsid w:val="004C777F"/>
    <w:rsid w:val="004D04A5"/>
    <w:rsid w:val="004D0789"/>
    <w:rsid w:val="004D2DF8"/>
    <w:rsid w:val="004D37E1"/>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172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0381"/>
    <w:rsid w:val="00501EBE"/>
    <w:rsid w:val="00503016"/>
    <w:rsid w:val="00503346"/>
    <w:rsid w:val="00503914"/>
    <w:rsid w:val="00505054"/>
    <w:rsid w:val="00505951"/>
    <w:rsid w:val="00505E67"/>
    <w:rsid w:val="00505EE4"/>
    <w:rsid w:val="00505EE7"/>
    <w:rsid w:val="00506823"/>
    <w:rsid w:val="00506896"/>
    <w:rsid w:val="00506FE2"/>
    <w:rsid w:val="005072C0"/>
    <w:rsid w:val="005073A4"/>
    <w:rsid w:val="00510C73"/>
    <w:rsid w:val="0051115F"/>
    <w:rsid w:val="00511771"/>
    <w:rsid w:val="00511D75"/>
    <w:rsid w:val="00512355"/>
    <w:rsid w:val="005124C7"/>
    <w:rsid w:val="00512C90"/>
    <w:rsid w:val="00512CF1"/>
    <w:rsid w:val="00513FBC"/>
    <w:rsid w:val="00514E43"/>
    <w:rsid w:val="00515123"/>
    <w:rsid w:val="0051556D"/>
    <w:rsid w:val="0052041C"/>
    <w:rsid w:val="005217F7"/>
    <w:rsid w:val="00521E20"/>
    <w:rsid w:val="00522AB2"/>
    <w:rsid w:val="0052337C"/>
    <w:rsid w:val="00523A2E"/>
    <w:rsid w:val="0052427E"/>
    <w:rsid w:val="00524A5D"/>
    <w:rsid w:val="005256F3"/>
    <w:rsid w:val="00525E93"/>
    <w:rsid w:val="0052621D"/>
    <w:rsid w:val="00527462"/>
    <w:rsid w:val="005276C3"/>
    <w:rsid w:val="00527873"/>
    <w:rsid w:val="00530040"/>
    <w:rsid w:val="005302AB"/>
    <w:rsid w:val="00530806"/>
    <w:rsid w:val="00530A7F"/>
    <w:rsid w:val="00530F88"/>
    <w:rsid w:val="00531652"/>
    <w:rsid w:val="00531E87"/>
    <w:rsid w:val="00532AAB"/>
    <w:rsid w:val="00532B27"/>
    <w:rsid w:val="0053421A"/>
    <w:rsid w:val="00535208"/>
    <w:rsid w:val="00536356"/>
    <w:rsid w:val="00536463"/>
    <w:rsid w:val="0053710C"/>
    <w:rsid w:val="005377A6"/>
    <w:rsid w:val="00540FE0"/>
    <w:rsid w:val="005411EA"/>
    <w:rsid w:val="0054263B"/>
    <w:rsid w:val="0054264F"/>
    <w:rsid w:val="00542ACA"/>
    <w:rsid w:val="005437E8"/>
    <w:rsid w:val="005438E7"/>
    <w:rsid w:val="00543BD2"/>
    <w:rsid w:val="00543F87"/>
    <w:rsid w:val="00544C20"/>
    <w:rsid w:val="00544E40"/>
    <w:rsid w:val="00545D3C"/>
    <w:rsid w:val="00545FBB"/>
    <w:rsid w:val="005476ED"/>
    <w:rsid w:val="00551A41"/>
    <w:rsid w:val="00552038"/>
    <w:rsid w:val="00552145"/>
    <w:rsid w:val="005529D8"/>
    <w:rsid w:val="00553692"/>
    <w:rsid w:val="00554557"/>
    <w:rsid w:val="00554A39"/>
    <w:rsid w:val="00555B3E"/>
    <w:rsid w:val="00555EDA"/>
    <w:rsid w:val="005560EB"/>
    <w:rsid w:val="005562B3"/>
    <w:rsid w:val="0055660D"/>
    <w:rsid w:val="00556AFE"/>
    <w:rsid w:val="00557333"/>
    <w:rsid w:val="00557DD2"/>
    <w:rsid w:val="0056030C"/>
    <w:rsid w:val="00561B31"/>
    <w:rsid w:val="00562A5B"/>
    <w:rsid w:val="00562D71"/>
    <w:rsid w:val="00563438"/>
    <w:rsid w:val="005634A6"/>
    <w:rsid w:val="005638B0"/>
    <w:rsid w:val="00563A26"/>
    <w:rsid w:val="00563B11"/>
    <w:rsid w:val="005643A3"/>
    <w:rsid w:val="0056507A"/>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0C4"/>
    <w:rsid w:val="00580C39"/>
    <w:rsid w:val="005814FF"/>
    <w:rsid w:val="005818ED"/>
    <w:rsid w:val="00582EEE"/>
    <w:rsid w:val="00584ECC"/>
    <w:rsid w:val="00584FCC"/>
    <w:rsid w:val="0058546D"/>
    <w:rsid w:val="0058562D"/>
    <w:rsid w:val="005864CB"/>
    <w:rsid w:val="00586C76"/>
    <w:rsid w:val="0058797C"/>
    <w:rsid w:val="00590929"/>
    <w:rsid w:val="0059097C"/>
    <w:rsid w:val="00590AF8"/>
    <w:rsid w:val="00591657"/>
    <w:rsid w:val="00591F7E"/>
    <w:rsid w:val="00592124"/>
    <w:rsid w:val="00592176"/>
    <w:rsid w:val="0059367A"/>
    <w:rsid w:val="00593D11"/>
    <w:rsid w:val="005943AE"/>
    <w:rsid w:val="00595206"/>
    <w:rsid w:val="00595D31"/>
    <w:rsid w:val="00595EE3"/>
    <w:rsid w:val="005968D1"/>
    <w:rsid w:val="00597D43"/>
    <w:rsid w:val="00597F91"/>
    <w:rsid w:val="005A00A1"/>
    <w:rsid w:val="005A01C8"/>
    <w:rsid w:val="005A0264"/>
    <w:rsid w:val="005A02D4"/>
    <w:rsid w:val="005A15A4"/>
    <w:rsid w:val="005A169C"/>
    <w:rsid w:val="005A1CF1"/>
    <w:rsid w:val="005A1F68"/>
    <w:rsid w:val="005A2372"/>
    <w:rsid w:val="005A4DBF"/>
    <w:rsid w:val="005A720C"/>
    <w:rsid w:val="005B0219"/>
    <w:rsid w:val="005B07DE"/>
    <w:rsid w:val="005B0DFE"/>
    <w:rsid w:val="005B12E9"/>
    <w:rsid w:val="005B1713"/>
    <w:rsid w:val="005B2281"/>
    <w:rsid w:val="005B2537"/>
    <w:rsid w:val="005B3350"/>
    <w:rsid w:val="005B3874"/>
    <w:rsid w:val="005B426A"/>
    <w:rsid w:val="005B463B"/>
    <w:rsid w:val="005B515A"/>
    <w:rsid w:val="005B55EC"/>
    <w:rsid w:val="005B59FC"/>
    <w:rsid w:val="005B5C8A"/>
    <w:rsid w:val="005B622B"/>
    <w:rsid w:val="005B7B43"/>
    <w:rsid w:val="005B7EBA"/>
    <w:rsid w:val="005C0F41"/>
    <w:rsid w:val="005C33A1"/>
    <w:rsid w:val="005C3866"/>
    <w:rsid w:val="005C4646"/>
    <w:rsid w:val="005C593E"/>
    <w:rsid w:val="005C7407"/>
    <w:rsid w:val="005D0510"/>
    <w:rsid w:val="005D142B"/>
    <w:rsid w:val="005D198B"/>
    <w:rsid w:val="005D2DCD"/>
    <w:rsid w:val="005D2F13"/>
    <w:rsid w:val="005D4091"/>
    <w:rsid w:val="005D4105"/>
    <w:rsid w:val="005D42F8"/>
    <w:rsid w:val="005D4696"/>
    <w:rsid w:val="005D4C93"/>
    <w:rsid w:val="005D4FBA"/>
    <w:rsid w:val="005D5D01"/>
    <w:rsid w:val="005D5EA2"/>
    <w:rsid w:val="005D6AA1"/>
    <w:rsid w:val="005D6EC7"/>
    <w:rsid w:val="005D713A"/>
    <w:rsid w:val="005D7B4E"/>
    <w:rsid w:val="005D7FE0"/>
    <w:rsid w:val="005E234F"/>
    <w:rsid w:val="005E2557"/>
    <w:rsid w:val="005E441D"/>
    <w:rsid w:val="005E4B81"/>
    <w:rsid w:val="005E50FE"/>
    <w:rsid w:val="005E539D"/>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5026"/>
    <w:rsid w:val="005F620B"/>
    <w:rsid w:val="005F665B"/>
    <w:rsid w:val="005F6FCA"/>
    <w:rsid w:val="0060059B"/>
    <w:rsid w:val="00601C39"/>
    <w:rsid w:val="00601FC8"/>
    <w:rsid w:val="00602B4F"/>
    <w:rsid w:val="0060384E"/>
    <w:rsid w:val="0060570A"/>
    <w:rsid w:val="00605DF2"/>
    <w:rsid w:val="00605EF8"/>
    <w:rsid w:val="006061A9"/>
    <w:rsid w:val="00606EC8"/>
    <w:rsid w:val="00607172"/>
    <w:rsid w:val="00607298"/>
    <w:rsid w:val="00610160"/>
    <w:rsid w:val="00611F89"/>
    <w:rsid w:val="0061200A"/>
    <w:rsid w:val="0061213D"/>
    <w:rsid w:val="00613A83"/>
    <w:rsid w:val="00613B94"/>
    <w:rsid w:val="00613C40"/>
    <w:rsid w:val="0061400C"/>
    <w:rsid w:val="00614331"/>
    <w:rsid w:val="006152BC"/>
    <w:rsid w:val="00615BC7"/>
    <w:rsid w:val="006162C2"/>
    <w:rsid w:val="00616A04"/>
    <w:rsid w:val="00622048"/>
    <w:rsid w:val="00622944"/>
    <w:rsid w:val="00624217"/>
    <w:rsid w:val="006243BF"/>
    <w:rsid w:val="00624795"/>
    <w:rsid w:val="00624B39"/>
    <w:rsid w:val="00624B91"/>
    <w:rsid w:val="006250CA"/>
    <w:rsid w:val="0062578F"/>
    <w:rsid w:val="00625EFD"/>
    <w:rsid w:val="00626741"/>
    <w:rsid w:val="006274AF"/>
    <w:rsid w:val="00627BBF"/>
    <w:rsid w:val="00630845"/>
    <w:rsid w:val="006317CC"/>
    <w:rsid w:val="006339F3"/>
    <w:rsid w:val="00633BB2"/>
    <w:rsid w:val="00634119"/>
    <w:rsid w:val="0063470B"/>
    <w:rsid w:val="0063519E"/>
    <w:rsid w:val="0063628B"/>
    <w:rsid w:val="0063632E"/>
    <w:rsid w:val="00640298"/>
    <w:rsid w:val="00641FC6"/>
    <w:rsid w:val="006423C5"/>
    <w:rsid w:val="00642E60"/>
    <w:rsid w:val="0064502B"/>
    <w:rsid w:val="00645307"/>
    <w:rsid w:val="006453AA"/>
    <w:rsid w:val="006454C5"/>
    <w:rsid w:val="00646076"/>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65F7"/>
    <w:rsid w:val="00676683"/>
    <w:rsid w:val="00677315"/>
    <w:rsid w:val="006779F2"/>
    <w:rsid w:val="00677C89"/>
    <w:rsid w:val="00680880"/>
    <w:rsid w:val="00682C3F"/>
    <w:rsid w:val="0068493A"/>
    <w:rsid w:val="00685F36"/>
    <w:rsid w:val="006864D0"/>
    <w:rsid w:val="006869CE"/>
    <w:rsid w:val="006869E9"/>
    <w:rsid w:val="00686AC9"/>
    <w:rsid w:val="006879DE"/>
    <w:rsid w:val="00690F71"/>
    <w:rsid w:val="006915EC"/>
    <w:rsid w:val="006917A2"/>
    <w:rsid w:val="00692071"/>
    <w:rsid w:val="0069266B"/>
    <w:rsid w:val="00692787"/>
    <w:rsid w:val="006928C5"/>
    <w:rsid w:val="00692AB8"/>
    <w:rsid w:val="006949D7"/>
    <w:rsid w:val="006953FC"/>
    <w:rsid w:val="00696B9F"/>
    <w:rsid w:val="00696D29"/>
    <w:rsid w:val="006977B2"/>
    <w:rsid w:val="00697BF1"/>
    <w:rsid w:val="00697F56"/>
    <w:rsid w:val="006A019B"/>
    <w:rsid w:val="006A257A"/>
    <w:rsid w:val="006A2939"/>
    <w:rsid w:val="006A534E"/>
    <w:rsid w:val="006A639B"/>
    <w:rsid w:val="006A7554"/>
    <w:rsid w:val="006A77B5"/>
    <w:rsid w:val="006B0E6C"/>
    <w:rsid w:val="006B1191"/>
    <w:rsid w:val="006B1C39"/>
    <w:rsid w:val="006B3631"/>
    <w:rsid w:val="006B3684"/>
    <w:rsid w:val="006B3FDE"/>
    <w:rsid w:val="006B5117"/>
    <w:rsid w:val="006B5429"/>
    <w:rsid w:val="006B59CA"/>
    <w:rsid w:val="006B5D69"/>
    <w:rsid w:val="006B6A43"/>
    <w:rsid w:val="006B6B3C"/>
    <w:rsid w:val="006B6E97"/>
    <w:rsid w:val="006B77AC"/>
    <w:rsid w:val="006B78C5"/>
    <w:rsid w:val="006C085A"/>
    <w:rsid w:val="006C2067"/>
    <w:rsid w:val="006C314D"/>
    <w:rsid w:val="006C3610"/>
    <w:rsid w:val="006C3674"/>
    <w:rsid w:val="006C3E19"/>
    <w:rsid w:val="006C47F6"/>
    <w:rsid w:val="006C4AC5"/>
    <w:rsid w:val="006C5F46"/>
    <w:rsid w:val="006C6EFC"/>
    <w:rsid w:val="006C7D34"/>
    <w:rsid w:val="006D0320"/>
    <w:rsid w:val="006D07E5"/>
    <w:rsid w:val="006D0882"/>
    <w:rsid w:val="006D093A"/>
    <w:rsid w:val="006D278D"/>
    <w:rsid w:val="006D497F"/>
    <w:rsid w:val="006D50D8"/>
    <w:rsid w:val="006D5526"/>
    <w:rsid w:val="006D5D93"/>
    <w:rsid w:val="006D6574"/>
    <w:rsid w:val="006D6D82"/>
    <w:rsid w:val="006D738E"/>
    <w:rsid w:val="006D7F0F"/>
    <w:rsid w:val="006E013E"/>
    <w:rsid w:val="006E139E"/>
    <w:rsid w:val="006E1EA3"/>
    <w:rsid w:val="006E2471"/>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2F1B"/>
    <w:rsid w:val="007034C9"/>
    <w:rsid w:val="00703639"/>
    <w:rsid w:val="00703667"/>
    <w:rsid w:val="00703D4D"/>
    <w:rsid w:val="007046B8"/>
    <w:rsid w:val="007050EE"/>
    <w:rsid w:val="007052DE"/>
    <w:rsid w:val="0070658D"/>
    <w:rsid w:val="00706A5D"/>
    <w:rsid w:val="00706D86"/>
    <w:rsid w:val="00707B71"/>
    <w:rsid w:val="0071065C"/>
    <w:rsid w:val="00710A24"/>
    <w:rsid w:val="00710B0D"/>
    <w:rsid w:val="00710F9E"/>
    <w:rsid w:val="0071172E"/>
    <w:rsid w:val="00711A26"/>
    <w:rsid w:val="007121A5"/>
    <w:rsid w:val="007124F9"/>
    <w:rsid w:val="007126F8"/>
    <w:rsid w:val="00712AAD"/>
    <w:rsid w:val="0071362B"/>
    <w:rsid w:val="00714130"/>
    <w:rsid w:val="0071436C"/>
    <w:rsid w:val="007151B8"/>
    <w:rsid w:val="0071538E"/>
    <w:rsid w:val="00715C5C"/>
    <w:rsid w:val="00716502"/>
    <w:rsid w:val="00716E79"/>
    <w:rsid w:val="00717591"/>
    <w:rsid w:val="007177E4"/>
    <w:rsid w:val="00720F2C"/>
    <w:rsid w:val="007215EA"/>
    <w:rsid w:val="0072431C"/>
    <w:rsid w:val="007256CC"/>
    <w:rsid w:val="00725709"/>
    <w:rsid w:val="00726A8E"/>
    <w:rsid w:val="00726E7C"/>
    <w:rsid w:val="007310D1"/>
    <w:rsid w:val="007318CB"/>
    <w:rsid w:val="00731C66"/>
    <w:rsid w:val="00731F92"/>
    <w:rsid w:val="007323EF"/>
    <w:rsid w:val="0073258E"/>
    <w:rsid w:val="007334C1"/>
    <w:rsid w:val="0073386A"/>
    <w:rsid w:val="00733F84"/>
    <w:rsid w:val="00734514"/>
    <w:rsid w:val="007345A2"/>
    <w:rsid w:val="007349B8"/>
    <w:rsid w:val="007359A3"/>
    <w:rsid w:val="00736A81"/>
    <w:rsid w:val="007373F6"/>
    <w:rsid w:val="00737811"/>
    <w:rsid w:val="0073787B"/>
    <w:rsid w:val="00737F3F"/>
    <w:rsid w:val="00737F8A"/>
    <w:rsid w:val="00740459"/>
    <w:rsid w:val="00741B41"/>
    <w:rsid w:val="00741B9F"/>
    <w:rsid w:val="00741C9B"/>
    <w:rsid w:val="00741CCD"/>
    <w:rsid w:val="00742351"/>
    <w:rsid w:val="00742EB6"/>
    <w:rsid w:val="00742F52"/>
    <w:rsid w:val="007443E2"/>
    <w:rsid w:val="0074486F"/>
    <w:rsid w:val="00744AB2"/>
    <w:rsid w:val="00745414"/>
    <w:rsid w:val="007457FE"/>
    <w:rsid w:val="00745E61"/>
    <w:rsid w:val="00745EA3"/>
    <w:rsid w:val="00747605"/>
    <w:rsid w:val="007478C9"/>
    <w:rsid w:val="00747A16"/>
    <w:rsid w:val="00747C60"/>
    <w:rsid w:val="00747EEB"/>
    <w:rsid w:val="00747FE0"/>
    <w:rsid w:val="007508DF"/>
    <w:rsid w:val="007509FE"/>
    <w:rsid w:val="00750CA6"/>
    <w:rsid w:val="00751401"/>
    <w:rsid w:val="0075152D"/>
    <w:rsid w:val="00751A50"/>
    <w:rsid w:val="00751CE2"/>
    <w:rsid w:val="00752D9A"/>
    <w:rsid w:val="0075390C"/>
    <w:rsid w:val="00754C8A"/>
    <w:rsid w:val="00755065"/>
    <w:rsid w:val="00755174"/>
    <w:rsid w:val="00755361"/>
    <w:rsid w:val="0075563D"/>
    <w:rsid w:val="007568D6"/>
    <w:rsid w:val="00757121"/>
    <w:rsid w:val="007579EE"/>
    <w:rsid w:val="00757CAF"/>
    <w:rsid w:val="00760971"/>
    <w:rsid w:val="0076145B"/>
    <w:rsid w:val="0076183F"/>
    <w:rsid w:val="007621B6"/>
    <w:rsid w:val="00762B63"/>
    <w:rsid w:val="00763840"/>
    <w:rsid w:val="00763FE4"/>
    <w:rsid w:val="0076417E"/>
    <w:rsid w:val="00764C43"/>
    <w:rsid w:val="00764CDA"/>
    <w:rsid w:val="00766489"/>
    <w:rsid w:val="00766F23"/>
    <w:rsid w:val="00767790"/>
    <w:rsid w:val="00767C08"/>
    <w:rsid w:val="0077052B"/>
    <w:rsid w:val="00770607"/>
    <w:rsid w:val="00770C49"/>
    <w:rsid w:val="00770D17"/>
    <w:rsid w:val="00770FE5"/>
    <w:rsid w:val="00772204"/>
    <w:rsid w:val="0077271C"/>
    <w:rsid w:val="00772DF5"/>
    <w:rsid w:val="007763DB"/>
    <w:rsid w:val="00776637"/>
    <w:rsid w:val="007778F3"/>
    <w:rsid w:val="00777AED"/>
    <w:rsid w:val="00781580"/>
    <w:rsid w:val="00781B8F"/>
    <w:rsid w:val="007825F8"/>
    <w:rsid w:val="007829F0"/>
    <w:rsid w:val="00783703"/>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14"/>
    <w:rsid w:val="00792257"/>
    <w:rsid w:val="00792932"/>
    <w:rsid w:val="00793681"/>
    <w:rsid w:val="0079422A"/>
    <w:rsid w:val="00795996"/>
    <w:rsid w:val="00796B9C"/>
    <w:rsid w:val="00796C2E"/>
    <w:rsid w:val="007A071F"/>
    <w:rsid w:val="007A1C50"/>
    <w:rsid w:val="007A2601"/>
    <w:rsid w:val="007A2DB8"/>
    <w:rsid w:val="007A3327"/>
    <w:rsid w:val="007A3601"/>
    <w:rsid w:val="007A55DD"/>
    <w:rsid w:val="007A6A91"/>
    <w:rsid w:val="007A6F7E"/>
    <w:rsid w:val="007A73F1"/>
    <w:rsid w:val="007A76BA"/>
    <w:rsid w:val="007A7AAB"/>
    <w:rsid w:val="007B1194"/>
    <w:rsid w:val="007B1532"/>
    <w:rsid w:val="007B17AF"/>
    <w:rsid w:val="007B24B1"/>
    <w:rsid w:val="007B2A3E"/>
    <w:rsid w:val="007B3E10"/>
    <w:rsid w:val="007B42B1"/>
    <w:rsid w:val="007B485B"/>
    <w:rsid w:val="007B4ADC"/>
    <w:rsid w:val="007B55B2"/>
    <w:rsid w:val="007B654B"/>
    <w:rsid w:val="007B6EC7"/>
    <w:rsid w:val="007B7880"/>
    <w:rsid w:val="007C08FF"/>
    <w:rsid w:val="007C10CA"/>
    <w:rsid w:val="007C1B63"/>
    <w:rsid w:val="007C206C"/>
    <w:rsid w:val="007C237A"/>
    <w:rsid w:val="007C270F"/>
    <w:rsid w:val="007C2833"/>
    <w:rsid w:val="007C2B52"/>
    <w:rsid w:val="007C375F"/>
    <w:rsid w:val="007C4083"/>
    <w:rsid w:val="007C438D"/>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AD6"/>
    <w:rsid w:val="007D5EA7"/>
    <w:rsid w:val="007D65FD"/>
    <w:rsid w:val="007D7362"/>
    <w:rsid w:val="007E0204"/>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3F5B"/>
    <w:rsid w:val="007F4D25"/>
    <w:rsid w:val="007F58F7"/>
    <w:rsid w:val="007F5F57"/>
    <w:rsid w:val="007F6279"/>
    <w:rsid w:val="007F6E0D"/>
    <w:rsid w:val="007F7121"/>
    <w:rsid w:val="007F7833"/>
    <w:rsid w:val="007F78FF"/>
    <w:rsid w:val="00800A36"/>
    <w:rsid w:val="008011FB"/>
    <w:rsid w:val="00801750"/>
    <w:rsid w:val="00801B26"/>
    <w:rsid w:val="00801D83"/>
    <w:rsid w:val="00804534"/>
    <w:rsid w:val="00805601"/>
    <w:rsid w:val="0081005B"/>
    <w:rsid w:val="00810C64"/>
    <w:rsid w:val="00810F32"/>
    <w:rsid w:val="008116BD"/>
    <w:rsid w:val="008120B2"/>
    <w:rsid w:val="00812495"/>
    <w:rsid w:val="00812889"/>
    <w:rsid w:val="008129CB"/>
    <w:rsid w:val="0081405F"/>
    <w:rsid w:val="0081431F"/>
    <w:rsid w:val="008145FF"/>
    <w:rsid w:val="008149D8"/>
    <w:rsid w:val="00814F32"/>
    <w:rsid w:val="00815050"/>
    <w:rsid w:val="00815294"/>
    <w:rsid w:val="0081575E"/>
    <w:rsid w:val="0081584B"/>
    <w:rsid w:val="00816193"/>
    <w:rsid w:val="00816EF0"/>
    <w:rsid w:val="008170D9"/>
    <w:rsid w:val="008173FC"/>
    <w:rsid w:val="00817431"/>
    <w:rsid w:val="00817709"/>
    <w:rsid w:val="00817DC4"/>
    <w:rsid w:val="00820812"/>
    <w:rsid w:val="00821549"/>
    <w:rsid w:val="00821CC7"/>
    <w:rsid w:val="00822AC6"/>
    <w:rsid w:val="008231DC"/>
    <w:rsid w:val="0082398B"/>
    <w:rsid w:val="00824815"/>
    <w:rsid w:val="00824E8B"/>
    <w:rsid w:val="00824F71"/>
    <w:rsid w:val="00825707"/>
    <w:rsid w:val="008266BB"/>
    <w:rsid w:val="008269D5"/>
    <w:rsid w:val="00827C3F"/>
    <w:rsid w:val="0083167E"/>
    <w:rsid w:val="00831834"/>
    <w:rsid w:val="00831F16"/>
    <w:rsid w:val="00832EA1"/>
    <w:rsid w:val="00833570"/>
    <w:rsid w:val="008341F0"/>
    <w:rsid w:val="008345DE"/>
    <w:rsid w:val="00835A31"/>
    <w:rsid w:val="00837A4C"/>
    <w:rsid w:val="00837D6E"/>
    <w:rsid w:val="008405E1"/>
    <w:rsid w:val="00840A50"/>
    <w:rsid w:val="00840ECB"/>
    <w:rsid w:val="00841411"/>
    <w:rsid w:val="00842D0F"/>
    <w:rsid w:val="008435D2"/>
    <w:rsid w:val="00843AF4"/>
    <w:rsid w:val="00843FC0"/>
    <w:rsid w:val="0084415B"/>
    <w:rsid w:val="008446DF"/>
    <w:rsid w:val="008460DC"/>
    <w:rsid w:val="00846205"/>
    <w:rsid w:val="00846236"/>
    <w:rsid w:val="00850CF8"/>
    <w:rsid w:val="00850D48"/>
    <w:rsid w:val="00850FF6"/>
    <w:rsid w:val="008510EB"/>
    <w:rsid w:val="00851C2F"/>
    <w:rsid w:val="00852B4D"/>
    <w:rsid w:val="008536FF"/>
    <w:rsid w:val="0085406D"/>
    <w:rsid w:val="008541DD"/>
    <w:rsid w:val="0085492B"/>
    <w:rsid w:val="00854FDC"/>
    <w:rsid w:val="00855126"/>
    <w:rsid w:val="00855AA6"/>
    <w:rsid w:val="008562A8"/>
    <w:rsid w:val="0085690A"/>
    <w:rsid w:val="00856FB0"/>
    <w:rsid w:val="008572A2"/>
    <w:rsid w:val="00857574"/>
    <w:rsid w:val="00857767"/>
    <w:rsid w:val="008577DA"/>
    <w:rsid w:val="00860D6C"/>
    <w:rsid w:val="008615A2"/>
    <w:rsid w:val="008617C9"/>
    <w:rsid w:val="00862168"/>
    <w:rsid w:val="0086284D"/>
    <w:rsid w:val="008635A7"/>
    <w:rsid w:val="008644E0"/>
    <w:rsid w:val="00865CCF"/>
    <w:rsid w:val="00865D67"/>
    <w:rsid w:val="00865F8B"/>
    <w:rsid w:val="00866E36"/>
    <w:rsid w:val="008672D0"/>
    <w:rsid w:val="00870102"/>
    <w:rsid w:val="0087179D"/>
    <w:rsid w:val="008723A0"/>
    <w:rsid w:val="00874CE4"/>
    <w:rsid w:val="00875335"/>
    <w:rsid w:val="0087623D"/>
    <w:rsid w:val="008769A8"/>
    <w:rsid w:val="008771C5"/>
    <w:rsid w:val="008809B1"/>
    <w:rsid w:val="00881ACD"/>
    <w:rsid w:val="00882BBF"/>
    <w:rsid w:val="00882DEC"/>
    <w:rsid w:val="00884819"/>
    <w:rsid w:val="00884846"/>
    <w:rsid w:val="008854C1"/>
    <w:rsid w:val="00885759"/>
    <w:rsid w:val="008860A4"/>
    <w:rsid w:val="008862D2"/>
    <w:rsid w:val="0088680D"/>
    <w:rsid w:val="00886893"/>
    <w:rsid w:val="008874F2"/>
    <w:rsid w:val="00890ED9"/>
    <w:rsid w:val="008917FE"/>
    <w:rsid w:val="00891992"/>
    <w:rsid w:val="00891FD5"/>
    <w:rsid w:val="0089389E"/>
    <w:rsid w:val="00893B2F"/>
    <w:rsid w:val="008947B7"/>
    <w:rsid w:val="0089480A"/>
    <w:rsid w:val="00894B47"/>
    <w:rsid w:val="008952A5"/>
    <w:rsid w:val="008960FE"/>
    <w:rsid w:val="008968F5"/>
    <w:rsid w:val="00896F60"/>
    <w:rsid w:val="00897663"/>
    <w:rsid w:val="00897B6A"/>
    <w:rsid w:val="008A007A"/>
    <w:rsid w:val="008A0E23"/>
    <w:rsid w:val="008A0E45"/>
    <w:rsid w:val="008A19E8"/>
    <w:rsid w:val="008A1C40"/>
    <w:rsid w:val="008A1DA2"/>
    <w:rsid w:val="008A281D"/>
    <w:rsid w:val="008A3686"/>
    <w:rsid w:val="008A3BB9"/>
    <w:rsid w:val="008A3FF2"/>
    <w:rsid w:val="008A4007"/>
    <w:rsid w:val="008A4077"/>
    <w:rsid w:val="008A4453"/>
    <w:rsid w:val="008A5932"/>
    <w:rsid w:val="008A5E62"/>
    <w:rsid w:val="008A6F4C"/>
    <w:rsid w:val="008A74DD"/>
    <w:rsid w:val="008A76FB"/>
    <w:rsid w:val="008B059F"/>
    <w:rsid w:val="008B1A71"/>
    <w:rsid w:val="008B3389"/>
    <w:rsid w:val="008B4CCE"/>
    <w:rsid w:val="008B5585"/>
    <w:rsid w:val="008B5613"/>
    <w:rsid w:val="008B5617"/>
    <w:rsid w:val="008B57E5"/>
    <w:rsid w:val="008B6FFC"/>
    <w:rsid w:val="008C03D1"/>
    <w:rsid w:val="008C15A5"/>
    <w:rsid w:val="008C1E66"/>
    <w:rsid w:val="008C25DE"/>
    <w:rsid w:val="008C26B7"/>
    <w:rsid w:val="008C3428"/>
    <w:rsid w:val="008C37DE"/>
    <w:rsid w:val="008C38F7"/>
    <w:rsid w:val="008C3BD6"/>
    <w:rsid w:val="008C438F"/>
    <w:rsid w:val="008C43F1"/>
    <w:rsid w:val="008C51A0"/>
    <w:rsid w:val="008C590F"/>
    <w:rsid w:val="008C6028"/>
    <w:rsid w:val="008C64A5"/>
    <w:rsid w:val="008C6B96"/>
    <w:rsid w:val="008C6DE4"/>
    <w:rsid w:val="008D0753"/>
    <w:rsid w:val="008D14B1"/>
    <w:rsid w:val="008D1C34"/>
    <w:rsid w:val="008D3AE9"/>
    <w:rsid w:val="008D405B"/>
    <w:rsid w:val="008D4FAC"/>
    <w:rsid w:val="008D629E"/>
    <w:rsid w:val="008D6F63"/>
    <w:rsid w:val="008D7A33"/>
    <w:rsid w:val="008E0524"/>
    <w:rsid w:val="008E0A00"/>
    <w:rsid w:val="008E1DB9"/>
    <w:rsid w:val="008E1EBA"/>
    <w:rsid w:val="008E20FC"/>
    <w:rsid w:val="008E3519"/>
    <w:rsid w:val="008E3AF7"/>
    <w:rsid w:val="008E405A"/>
    <w:rsid w:val="008E4957"/>
    <w:rsid w:val="008E6454"/>
    <w:rsid w:val="008E71D2"/>
    <w:rsid w:val="008E76BF"/>
    <w:rsid w:val="008F0135"/>
    <w:rsid w:val="008F1460"/>
    <w:rsid w:val="008F2459"/>
    <w:rsid w:val="008F2583"/>
    <w:rsid w:val="008F2C31"/>
    <w:rsid w:val="008F3566"/>
    <w:rsid w:val="008F459A"/>
    <w:rsid w:val="008F4DD2"/>
    <w:rsid w:val="008F4F78"/>
    <w:rsid w:val="008F5897"/>
    <w:rsid w:val="008F6EB4"/>
    <w:rsid w:val="008F6EFC"/>
    <w:rsid w:val="008F7A3A"/>
    <w:rsid w:val="00901329"/>
    <w:rsid w:val="009016E3"/>
    <w:rsid w:val="00902085"/>
    <w:rsid w:val="00902426"/>
    <w:rsid w:val="00902625"/>
    <w:rsid w:val="00903071"/>
    <w:rsid w:val="00903450"/>
    <w:rsid w:val="00903F84"/>
    <w:rsid w:val="009044F4"/>
    <w:rsid w:val="009053DA"/>
    <w:rsid w:val="009059FF"/>
    <w:rsid w:val="009060FE"/>
    <w:rsid w:val="009101A6"/>
    <w:rsid w:val="00910747"/>
    <w:rsid w:val="00910A00"/>
    <w:rsid w:val="00910E3B"/>
    <w:rsid w:val="00911329"/>
    <w:rsid w:val="009122D0"/>
    <w:rsid w:val="009125B7"/>
    <w:rsid w:val="00912880"/>
    <w:rsid w:val="00912B57"/>
    <w:rsid w:val="00912CFB"/>
    <w:rsid w:val="009139E6"/>
    <w:rsid w:val="00913C98"/>
    <w:rsid w:val="009175E4"/>
    <w:rsid w:val="00917AF0"/>
    <w:rsid w:val="00917C5F"/>
    <w:rsid w:val="00920A37"/>
    <w:rsid w:val="00920ACC"/>
    <w:rsid w:val="00920F8A"/>
    <w:rsid w:val="00921FB5"/>
    <w:rsid w:val="00922D49"/>
    <w:rsid w:val="009243D2"/>
    <w:rsid w:val="0092481E"/>
    <w:rsid w:val="009250F2"/>
    <w:rsid w:val="00926506"/>
    <w:rsid w:val="0092688E"/>
    <w:rsid w:val="00927CFC"/>
    <w:rsid w:val="00927DF8"/>
    <w:rsid w:val="00930567"/>
    <w:rsid w:val="00930E5C"/>
    <w:rsid w:val="009313D4"/>
    <w:rsid w:val="0093159F"/>
    <w:rsid w:val="00931974"/>
    <w:rsid w:val="009319B4"/>
    <w:rsid w:val="00931A16"/>
    <w:rsid w:val="0093264A"/>
    <w:rsid w:val="00932776"/>
    <w:rsid w:val="00932A90"/>
    <w:rsid w:val="00932B95"/>
    <w:rsid w:val="00933096"/>
    <w:rsid w:val="00934385"/>
    <w:rsid w:val="009350D0"/>
    <w:rsid w:val="00935FD5"/>
    <w:rsid w:val="00936019"/>
    <w:rsid w:val="0093607D"/>
    <w:rsid w:val="0093614F"/>
    <w:rsid w:val="009366F7"/>
    <w:rsid w:val="00936799"/>
    <w:rsid w:val="009370FC"/>
    <w:rsid w:val="009374D4"/>
    <w:rsid w:val="00940034"/>
    <w:rsid w:val="009403CE"/>
    <w:rsid w:val="0094087B"/>
    <w:rsid w:val="00941C35"/>
    <w:rsid w:val="00942A3D"/>
    <w:rsid w:val="0094352E"/>
    <w:rsid w:val="00944100"/>
    <w:rsid w:val="00944AE0"/>
    <w:rsid w:val="00945C1B"/>
    <w:rsid w:val="00946475"/>
    <w:rsid w:val="00946587"/>
    <w:rsid w:val="0094720D"/>
    <w:rsid w:val="0094772D"/>
    <w:rsid w:val="009507DB"/>
    <w:rsid w:val="00950E0A"/>
    <w:rsid w:val="009511E5"/>
    <w:rsid w:val="0095149D"/>
    <w:rsid w:val="009517F6"/>
    <w:rsid w:val="009521C1"/>
    <w:rsid w:val="00952A15"/>
    <w:rsid w:val="009534C9"/>
    <w:rsid w:val="00953EF6"/>
    <w:rsid w:val="0095402B"/>
    <w:rsid w:val="00954A6B"/>
    <w:rsid w:val="00955290"/>
    <w:rsid w:val="00955331"/>
    <w:rsid w:val="00955773"/>
    <w:rsid w:val="00955EBD"/>
    <w:rsid w:val="009568B5"/>
    <w:rsid w:val="00960237"/>
    <w:rsid w:val="00961752"/>
    <w:rsid w:val="00962F77"/>
    <w:rsid w:val="00963193"/>
    <w:rsid w:val="00964AA4"/>
    <w:rsid w:val="00964DE9"/>
    <w:rsid w:val="00965598"/>
    <w:rsid w:val="009661D6"/>
    <w:rsid w:val="00966367"/>
    <w:rsid w:val="009665B5"/>
    <w:rsid w:val="0096660F"/>
    <w:rsid w:val="009677C7"/>
    <w:rsid w:val="009712EA"/>
    <w:rsid w:val="009729A9"/>
    <w:rsid w:val="00972C6C"/>
    <w:rsid w:val="00973643"/>
    <w:rsid w:val="009752BE"/>
    <w:rsid w:val="009752D4"/>
    <w:rsid w:val="0097535C"/>
    <w:rsid w:val="00975710"/>
    <w:rsid w:val="00975A23"/>
    <w:rsid w:val="009761D3"/>
    <w:rsid w:val="009762F4"/>
    <w:rsid w:val="00976F28"/>
    <w:rsid w:val="009809B5"/>
    <w:rsid w:val="0098132E"/>
    <w:rsid w:val="009822AB"/>
    <w:rsid w:val="00982A00"/>
    <w:rsid w:val="00983048"/>
    <w:rsid w:val="0098318A"/>
    <w:rsid w:val="0098335A"/>
    <w:rsid w:val="00983B82"/>
    <w:rsid w:val="00986127"/>
    <w:rsid w:val="009864F0"/>
    <w:rsid w:val="00986603"/>
    <w:rsid w:val="00986D7B"/>
    <w:rsid w:val="00987481"/>
    <w:rsid w:val="009877D6"/>
    <w:rsid w:val="00987864"/>
    <w:rsid w:val="00987BF2"/>
    <w:rsid w:val="00990141"/>
    <w:rsid w:val="00993242"/>
    <w:rsid w:val="0099325E"/>
    <w:rsid w:val="00993CF6"/>
    <w:rsid w:val="009943FA"/>
    <w:rsid w:val="009960EE"/>
    <w:rsid w:val="00996ACF"/>
    <w:rsid w:val="00997F29"/>
    <w:rsid w:val="009A01B1"/>
    <w:rsid w:val="009A2106"/>
    <w:rsid w:val="009A29D8"/>
    <w:rsid w:val="009A29E9"/>
    <w:rsid w:val="009A2D45"/>
    <w:rsid w:val="009A341D"/>
    <w:rsid w:val="009A4540"/>
    <w:rsid w:val="009A56C0"/>
    <w:rsid w:val="009A6C25"/>
    <w:rsid w:val="009A6D2A"/>
    <w:rsid w:val="009A797B"/>
    <w:rsid w:val="009A7FF9"/>
    <w:rsid w:val="009B015F"/>
    <w:rsid w:val="009B04E6"/>
    <w:rsid w:val="009B0883"/>
    <w:rsid w:val="009B0AD1"/>
    <w:rsid w:val="009B0AF0"/>
    <w:rsid w:val="009B0CDF"/>
    <w:rsid w:val="009B2515"/>
    <w:rsid w:val="009B2CE1"/>
    <w:rsid w:val="009B3AFA"/>
    <w:rsid w:val="009B3B5C"/>
    <w:rsid w:val="009B7053"/>
    <w:rsid w:val="009B7CBB"/>
    <w:rsid w:val="009C0063"/>
    <w:rsid w:val="009C030B"/>
    <w:rsid w:val="009C0321"/>
    <w:rsid w:val="009C13C8"/>
    <w:rsid w:val="009C20A2"/>
    <w:rsid w:val="009C29DF"/>
    <w:rsid w:val="009C3181"/>
    <w:rsid w:val="009C555E"/>
    <w:rsid w:val="009C68C7"/>
    <w:rsid w:val="009C7184"/>
    <w:rsid w:val="009C7936"/>
    <w:rsid w:val="009D0074"/>
    <w:rsid w:val="009D1A50"/>
    <w:rsid w:val="009D2E7D"/>
    <w:rsid w:val="009D3321"/>
    <w:rsid w:val="009D40F2"/>
    <w:rsid w:val="009D491B"/>
    <w:rsid w:val="009D557A"/>
    <w:rsid w:val="009D65BC"/>
    <w:rsid w:val="009D7C5D"/>
    <w:rsid w:val="009D7F07"/>
    <w:rsid w:val="009D7F36"/>
    <w:rsid w:val="009E124C"/>
    <w:rsid w:val="009E2122"/>
    <w:rsid w:val="009E2170"/>
    <w:rsid w:val="009E2628"/>
    <w:rsid w:val="009E2729"/>
    <w:rsid w:val="009E29EC"/>
    <w:rsid w:val="009E2E72"/>
    <w:rsid w:val="009E2FC5"/>
    <w:rsid w:val="009E343C"/>
    <w:rsid w:val="009E4190"/>
    <w:rsid w:val="009E4504"/>
    <w:rsid w:val="009E4F58"/>
    <w:rsid w:val="009E5242"/>
    <w:rsid w:val="009E71B8"/>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8AF"/>
    <w:rsid w:val="009F3D37"/>
    <w:rsid w:val="009F4DAB"/>
    <w:rsid w:val="009F580E"/>
    <w:rsid w:val="009F5C95"/>
    <w:rsid w:val="009F5F29"/>
    <w:rsid w:val="009F6428"/>
    <w:rsid w:val="009F64DC"/>
    <w:rsid w:val="00A0092D"/>
    <w:rsid w:val="00A00AB9"/>
    <w:rsid w:val="00A00FC6"/>
    <w:rsid w:val="00A014DF"/>
    <w:rsid w:val="00A018DB"/>
    <w:rsid w:val="00A018F9"/>
    <w:rsid w:val="00A01C8C"/>
    <w:rsid w:val="00A02A8E"/>
    <w:rsid w:val="00A02BE8"/>
    <w:rsid w:val="00A0304E"/>
    <w:rsid w:val="00A0323A"/>
    <w:rsid w:val="00A05E5D"/>
    <w:rsid w:val="00A068D1"/>
    <w:rsid w:val="00A0699D"/>
    <w:rsid w:val="00A069A8"/>
    <w:rsid w:val="00A079A4"/>
    <w:rsid w:val="00A1046C"/>
    <w:rsid w:val="00A11E5A"/>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AA"/>
    <w:rsid w:val="00A21ED8"/>
    <w:rsid w:val="00A22EA6"/>
    <w:rsid w:val="00A239BC"/>
    <w:rsid w:val="00A24167"/>
    <w:rsid w:val="00A25379"/>
    <w:rsid w:val="00A25895"/>
    <w:rsid w:val="00A26B14"/>
    <w:rsid w:val="00A27187"/>
    <w:rsid w:val="00A27B7B"/>
    <w:rsid w:val="00A3003D"/>
    <w:rsid w:val="00A30122"/>
    <w:rsid w:val="00A30FE4"/>
    <w:rsid w:val="00A31BFA"/>
    <w:rsid w:val="00A31F85"/>
    <w:rsid w:val="00A35A9D"/>
    <w:rsid w:val="00A36F15"/>
    <w:rsid w:val="00A371B5"/>
    <w:rsid w:val="00A40BC1"/>
    <w:rsid w:val="00A41377"/>
    <w:rsid w:val="00A413BE"/>
    <w:rsid w:val="00A428DD"/>
    <w:rsid w:val="00A43126"/>
    <w:rsid w:val="00A439BC"/>
    <w:rsid w:val="00A4464E"/>
    <w:rsid w:val="00A44AA1"/>
    <w:rsid w:val="00A44DE9"/>
    <w:rsid w:val="00A460E1"/>
    <w:rsid w:val="00A463D3"/>
    <w:rsid w:val="00A47580"/>
    <w:rsid w:val="00A479C4"/>
    <w:rsid w:val="00A50246"/>
    <w:rsid w:val="00A51691"/>
    <w:rsid w:val="00A51EC8"/>
    <w:rsid w:val="00A52274"/>
    <w:rsid w:val="00A523F8"/>
    <w:rsid w:val="00A52DF0"/>
    <w:rsid w:val="00A52F64"/>
    <w:rsid w:val="00A53A47"/>
    <w:rsid w:val="00A548C5"/>
    <w:rsid w:val="00A54FBC"/>
    <w:rsid w:val="00A5509C"/>
    <w:rsid w:val="00A55649"/>
    <w:rsid w:val="00A557A7"/>
    <w:rsid w:val="00A56559"/>
    <w:rsid w:val="00A56B64"/>
    <w:rsid w:val="00A6114C"/>
    <w:rsid w:val="00A6230A"/>
    <w:rsid w:val="00A6310F"/>
    <w:rsid w:val="00A63741"/>
    <w:rsid w:val="00A63E2A"/>
    <w:rsid w:val="00A644A5"/>
    <w:rsid w:val="00A6494D"/>
    <w:rsid w:val="00A64AFA"/>
    <w:rsid w:val="00A64BC4"/>
    <w:rsid w:val="00A64E0C"/>
    <w:rsid w:val="00A6523B"/>
    <w:rsid w:val="00A654A2"/>
    <w:rsid w:val="00A65B5B"/>
    <w:rsid w:val="00A65E42"/>
    <w:rsid w:val="00A67EE2"/>
    <w:rsid w:val="00A67F8F"/>
    <w:rsid w:val="00A71215"/>
    <w:rsid w:val="00A71736"/>
    <w:rsid w:val="00A71870"/>
    <w:rsid w:val="00A7298C"/>
    <w:rsid w:val="00A72A97"/>
    <w:rsid w:val="00A73A45"/>
    <w:rsid w:val="00A73EAD"/>
    <w:rsid w:val="00A740B1"/>
    <w:rsid w:val="00A74325"/>
    <w:rsid w:val="00A74F60"/>
    <w:rsid w:val="00A75949"/>
    <w:rsid w:val="00A76915"/>
    <w:rsid w:val="00A80991"/>
    <w:rsid w:val="00A8099A"/>
    <w:rsid w:val="00A8199B"/>
    <w:rsid w:val="00A82511"/>
    <w:rsid w:val="00A827F3"/>
    <w:rsid w:val="00A82A69"/>
    <w:rsid w:val="00A8379B"/>
    <w:rsid w:val="00A84A7A"/>
    <w:rsid w:val="00A8593C"/>
    <w:rsid w:val="00A863C1"/>
    <w:rsid w:val="00A8660E"/>
    <w:rsid w:val="00A879CC"/>
    <w:rsid w:val="00A9017C"/>
    <w:rsid w:val="00A90478"/>
    <w:rsid w:val="00A90540"/>
    <w:rsid w:val="00A90667"/>
    <w:rsid w:val="00A91319"/>
    <w:rsid w:val="00A913C6"/>
    <w:rsid w:val="00A914F9"/>
    <w:rsid w:val="00A9188B"/>
    <w:rsid w:val="00A92764"/>
    <w:rsid w:val="00A92AB8"/>
    <w:rsid w:val="00A92DE6"/>
    <w:rsid w:val="00A92E65"/>
    <w:rsid w:val="00A93164"/>
    <w:rsid w:val="00A93AA6"/>
    <w:rsid w:val="00A93E9A"/>
    <w:rsid w:val="00A95011"/>
    <w:rsid w:val="00A9575F"/>
    <w:rsid w:val="00A95783"/>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6AC"/>
    <w:rsid w:val="00AA3E65"/>
    <w:rsid w:val="00AA4691"/>
    <w:rsid w:val="00AA4DC0"/>
    <w:rsid w:val="00AA5779"/>
    <w:rsid w:val="00AA5C59"/>
    <w:rsid w:val="00AA5D8A"/>
    <w:rsid w:val="00AA673E"/>
    <w:rsid w:val="00AA69B7"/>
    <w:rsid w:val="00AA6EDE"/>
    <w:rsid w:val="00AA77AB"/>
    <w:rsid w:val="00AB180E"/>
    <w:rsid w:val="00AB1B9B"/>
    <w:rsid w:val="00AB1DEE"/>
    <w:rsid w:val="00AB211A"/>
    <w:rsid w:val="00AB37FE"/>
    <w:rsid w:val="00AB3B26"/>
    <w:rsid w:val="00AB4D98"/>
    <w:rsid w:val="00AB51DF"/>
    <w:rsid w:val="00AB54B2"/>
    <w:rsid w:val="00AB598D"/>
    <w:rsid w:val="00AB598E"/>
    <w:rsid w:val="00AB59EB"/>
    <w:rsid w:val="00AB62DA"/>
    <w:rsid w:val="00AB6EB2"/>
    <w:rsid w:val="00AB753D"/>
    <w:rsid w:val="00AB7EB3"/>
    <w:rsid w:val="00AC0359"/>
    <w:rsid w:val="00AC0DBD"/>
    <w:rsid w:val="00AC296D"/>
    <w:rsid w:val="00AC3E3F"/>
    <w:rsid w:val="00AC428D"/>
    <w:rsid w:val="00AC4547"/>
    <w:rsid w:val="00AC4609"/>
    <w:rsid w:val="00AC4636"/>
    <w:rsid w:val="00AC49A9"/>
    <w:rsid w:val="00AC4E14"/>
    <w:rsid w:val="00AC58AC"/>
    <w:rsid w:val="00AC58FF"/>
    <w:rsid w:val="00AC6194"/>
    <w:rsid w:val="00AC6547"/>
    <w:rsid w:val="00AC67E4"/>
    <w:rsid w:val="00AC68A0"/>
    <w:rsid w:val="00AC76EA"/>
    <w:rsid w:val="00AC7BC7"/>
    <w:rsid w:val="00AC7CAA"/>
    <w:rsid w:val="00AD028A"/>
    <w:rsid w:val="00AD1019"/>
    <w:rsid w:val="00AD13F3"/>
    <w:rsid w:val="00AD1AEF"/>
    <w:rsid w:val="00AD1C51"/>
    <w:rsid w:val="00AD1CB2"/>
    <w:rsid w:val="00AD262A"/>
    <w:rsid w:val="00AD2BA6"/>
    <w:rsid w:val="00AD380D"/>
    <w:rsid w:val="00AD38D9"/>
    <w:rsid w:val="00AD39BA"/>
    <w:rsid w:val="00AD3D04"/>
    <w:rsid w:val="00AD4FCA"/>
    <w:rsid w:val="00AD57B5"/>
    <w:rsid w:val="00AD6429"/>
    <w:rsid w:val="00AD6A86"/>
    <w:rsid w:val="00AD7241"/>
    <w:rsid w:val="00AE0583"/>
    <w:rsid w:val="00AE1C4C"/>
    <w:rsid w:val="00AE1E4E"/>
    <w:rsid w:val="00AE2012"/>
    <w:rsid w:val="00AE387A"/>
    <w:rsid w:val="00AE3E83"/>
    <w:rsid w:val="00AE473B"/>
    <w:rsid w:val="00AE547B"/>
    <w:rsid w:val="00AE5987"/>
    <w:rsid w:val="00AE5ABB"/>
    <w:rsid w:val="00AE5B9F"/>
    <w:rsid w:val="00AE5F94"/>
    <w:rsid w:val="00AE627E"/>
    <w:rsid w:val="00AE67E3"/>
    <w:rsid w:val="00AE6B27"/>
    <w:rsid w:val="00AE6B76"/>
    <w:rsid w:val="00AE712D"/>
    <w:rsid w:val="00AE7B89"/>
    <w:rsid w:val="00AF0C95"/>
    <w:rsid w:val="00AF1D04"/>
    <w:rsid w:val="00AF21F0"/>
    <w:rsid w:val="00AF2CFE"/>
    <w:rsid w:val="00AF2F84"/>
    <w:rsid w:val="00AF31C6"/>
    <w:rsid w:val="00AF3B28"/>
    <w:rsid w:val="00AF4BB2"/>
    <w:rsid w:val="00AF4D00"/>
    <w:rsid w:val="00AF7C38"/>
    <w:rsid w:val="00B00474"/>
    <w:rsid w:val="00B00878"/>
    <w:rsid w:val="00B0276C"/>
    <w:rsid w:val="00B0286F"/>
    <w:rsid w:val="00B030C8"/>
    <w:rsid w:val="00B043D6"/>
    <w:rsid w:val="00B050C4"/>
    <w:rsid w:val="00B05327"/>
    <w:rsid w:val="00B05B8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1DD"/>
    <w:rsid w:val="00B12DE1"/>
    <w:rsid w:val="00B12E08"/>
    <w:rsid w:val="00B130FD"/>
    <w:rsid w:val="00B13320"/>
    <w:rsid w:val="00B13D0A"/>
    <w:rsid w:val="00B13D36"/>
    <w:rsid w:val="00B1464A"/>
    <w:rsid w:val="00B1480F"/>
    <w:rsid w:val="00B14D75"/>
    <w:rsid w:val="00B15605"/>
    <w:rsid w:val="00B160CB"/>
    <w:rsid w:val="00B165D6"/>
    <w:rsid w:val="00B172F9"/>
    <w:rsid w:val="00B174F2"/>
    <w:rsid w:val="00B20507"/>
    <w:rsid w:val="00B21049"/>
    <w:rsid w:val="00B2219E"/>
    <w:rsid w:val="00B2285D"/>
    <w:rsid w:val="00B22929"/>
    <w:rsid w:val="00B237F8"/>
    <w:rsid w:val="00B243C7"/>
    <w:rsid w:val="00B245CD"/>
    <w:rsid w:val="00B25E04"/>
    <w:rsid w:val="00B26A10"/>
    <w:rsid w:val="00B278EC"/>
    <w:rsid w:val="00B30AF1"/>
    <w:rsid w:val="00B30C3B"/>
    <w:rsid w:val="00B3356E"/>
    <w:rsid w:val="00B3392D"/>
    <w:rsid w:val="00B33F95"/>
    <w:rsid w:val="00B353A7"/>
    <w:rsid w:val="00B35C04"/>
    <w:rsid w:val="00B35CE3"/>
    <w:rsid w:val="00B367CB"/>
    <w:rsid w:val="00B3765C"/>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903"/>
    <w:rsid w:val="00B47EDD"/>
    <w:rsid w:val="00B5059C"/>
    <w:rsid w:val="00B50AB6"/>
    <w:rsid w:val="00B50C14"/>
    <w:rsid w:val="00B51222"/>
    <w:rsid w:val="00B514C6"/>
    <w:rsid w:val="00B51761"/>
    <w:rsid w:val="00B51829"/>
    <w:rsid w:val="00B51968"/>
    <w:rsid w:val="00B52936"/>
    <w:rsid w:val="00B529B9"/>
    <w:rsid w:val="00B52D6D"/>
    <w:rsid w:val="00B52F79"/>
    <w:rsid w:val="00B54E91"/>
    <w:rsid w:val="00B55203"/>
    <w:rsid w:val="00B55C79"/>
    <w:rsid w:val="00B56002"/>
    <w:rsid w:val="00B56681"/>
    <w:rsid w:val="00B570C1"/>
    <w:rsid w:val="00B572E8"/>
    <w:rsid w:val="00B57514"/>
    <w:rsid w:val="00B57CE4"/>
    <w:rsid w:val="00B6077E"/>
    <w:rsid w:val="00B616D3"/>
    <w:rsid w:val="00B6296B"/>
    <w:rsid w:val="00B634DD"/>
    <w:rsid w:val="00B638B6"/>
    <w:rsid w:val="00B6458A"/>
    <w:rsid w:val="00B650F8"/>
    <w:rsid w:val="00B658C4"/>
    <w:rsid w:val="00B662F5"/>
    <w:rsid w:val="00B66841"/>
    <w:rsid w:val="00B670B3"/>
    <w:rsid w:val="00B671C2"/>
    <w:rsid w:val="00B67321"/>
    <w:rsid w:val="00B7022A"/>
    <w:rsid w:val="00B70706"/>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85F0B"/>
    <w:rsid w:val="00B8653F"/>
    <w:rsid w:val="00B90C3E"/>
    <w:rsid w:val="00B90E79"/>
    <w:rsid w:val="00B914C7"/>
    <w:rsid w:val="00B9160E"/>
    <w:rsid w:val="00B9248D"/>
    <w:rsid w:val="00B92AC7"/>
    <w:rsid w:val="00B947EE"/>
    <w:rsid w:val="00B95615"/>
    <w:rsid w:val="00B96064"/>
    <w:rsid w:val="00B96F64"/>
    <w:rsid w:val="00B972EE"/>
    <w:rsid w:val="00B97379"/>
    <w:rsid w:val="00B97A74"/>
    <w:rsid w:val="00BA051B"/>
    <w:rsid w:val="00BA08DC"/>
    <w:rsid w:val="00BA0B98"/>
    <w:rsid w:val="00BA18EC"/>
    <w:rsid w:val="00BA26BF"/>
    <w:rsid w:val="00BA2C23"/>
    <w:rsid w:val="00BA3299"/>
    <w:rsid w:val="00BA358D"/>
    <w:rsid w:val="00BA4104"/>
    <w:rsid w:val="00BA482A"/>
    <w:rsid w:val="00BA4CF3"/>
    <w:rsid w:val="00BA5F0A"/>
    <w:rsid w:val="00BA6595"/>
    <w:rsid w:val="00BA6B90"/>
    <w:rsid w:val="00BA6DE9"/>
    <w:rsid w:val="00BA74E6"/>
    <w:rsid w:val="00BA76BF"/>
    <w:rsid w:val="00BA797C"/>
    <w:rsid w:val="00BA7C7A"/>
    <w:rsid w:val="00BB04B9"/>
    <w:rsid w:val="00BB0D0A"/>
    <w:rsid w:val="00BB0DD3"/>
    <w:rsid w:val="00BB143A"/>
    <w:rsid w:val="00BB1479"/>
    <w:rsid w:val="00BB162C"/>
    <w:rsid w:val="00BB3047"/>
    <w:rsid w:val="00BB4C24"/>
    <w:rsid w:val="00BB4C95"/>
    <w:rsid w:val="00BB58FC"/>
    <w:rsid w:val="00BB6D1C"/>
    <w:rsid w:val="00BB6D74"/>
    <w:rsid w:val="00BC0FC9"/>
    <w:rsid w:val="00BC4504"/>
    <w:rsid w:val="00BC54FE"/>
    <w:rsid w:val="00BC6C3B"/>
    <w:rsid w:val="00BC6F81"/>
    <w:rsid w:val="00BC7E86"/>
    <w:rsid w:val="00BD0182"/>
    <w:rsid w:val="00BD01FC"/>
    <w:rsid w:val="00BD0E50"/>
    <w:rsid w:val="00BD1505"/>
    <w:rsid w:val="00BD178B"/>
    <w:rsid w:val="00BD296C"/>
    <w:rsid w:val="00BD2B58"/>
    <w:rsid w:val="00BD3044"/>
    <w:rsid w:val="00BD38C5"/>
    <w:rsid w:val="00BD436E"/>
    <w:rsid w:val="00BD43BF"/>
    <w:rsid w:val="00BD675C"/>
    <w:rsid w:val="00BD6C42"/>
    <w:rsid w:val="00BD704C"/>
    <w:rsid w:val="00BD71E6"/>
    <w:rsid w:val="00BE03E9"/>
    <w:rsid w:val="00BE0988"/>
    <w:rsid w:val="00BE110D"/>
    <w:rsid w:val="00BE237A"/>
    <w:rsid w:val="00BE37E0"/>
    <w:rsid w:val="00BE3F2F"/>
    <w:rsid w:val="00BE475F"/>
    <w:rsid w:val="00BE531E"/>
    <w:rsid w:val="00BE5EA7"/>
    <w:rsid w:val="00BE630D"/>
    <w:rsid w:val="00BE6D46"/>
    <w:rsid w:val="00BE6D7B"/>
    <w:rsid w:val="00BF044F"/>
    <w:rsid w:val="00BF071E"/>
    <w:rsid w:val="00BF1F74"/>
    <w:rsid w:val="00BF3588"/>
    <w:rsid w:val="00BF3CC5"/>
    <w:rsid w:val="00BF42A4"/>
    <w:rsid w:val="00BF5C04"/>
    <w:rsid w:val="00BF6CCE"/>
    <w:rsid w:val="00BF7116"/>
    <w:rsid w:val="00BF7CA8"/>
    <w:rsid w:val="00BF7EF8"/>
    <w:rsid w:val="00C00A84"/>
    <w:rsid w:val="00C010F3"/>
    <w:rsid w:val="00C01558"/>
    <w:rsid w:val="00C02754"/>
    <w:rsid w:val="00C03083"/>
    <w:rsid w:val="00C03C73"/>
    <w:rsid w:val="00C040D9"/>
    <w:rsid w:val="00C04A0A"/>
    <w:rsid w:val="00C0539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3F4"/>
    <w:rsid w:val="00C41706"/>
    <w:rsid w:val="00C43668"/>
    <w:rsid w:val="00C43CDD"/>
    <w:rsid w:val="00C443B1"/>
    <w:rsid w:val="00C45109"/>
    <w:rsid w:val="00C45621"/>
    <w:rsid w:val="00C4624B"/>
    <w:rsid w:val="00C46382"/>
    <w:rsid w:val="00C46854"/>
    <w:rsid w:val="00C47F61"/>
    <w:rsid w:val="00C47FB9"/>
    <w:rsid w:val="00C5074B"/>
    <w:rsid w:val="00C508EA"/>
    <w:rsid w:val="00C50F58"/>
    <w:rsid w:val="00C51E75"/>
    <w:rsid w:val="00C524A1"/>
    <w:rsid w:val="00C52CB1"/>
    <w:rsid w:val="00C54AF8"/>
    <w:rsid w:val="00C564D6"/>
    <w:rsid w:val="00C57862"/>
    <w:rsid w:val="00C5799C"/>
    <w:rsid w:val="00C60040"/>
    <w:rsid w:val="00C6028A"/>
    <w:rsid w:val="00C61068"/>
    <w:rsid w:val="00C61174"/>
    <w:rsid w:val="00C61467"/>
    <w:rsid w:val="00C62529"/>
    <w:rsid w:val="00C63553"/>
    <w:rsid w:val="00C64599"/>
    <w:rsid w:val="00C64FB4"/>
    <w:rsid w:val="00C654B2"/>
    <w:rsid w:val="00C658F0"/>
    <w:rsid w:val="00C65C4E"/>
    <w:rsid w:val="00C663C1"/>
    <w:rsid w:val="00C66A56"/>
    <w:rsid w:val="00C66B15"/>
    <w:rsid w:val="00C709C7"/>
    <w:rsid w:val="00C7227D"/>
    <w:rsid w:val="00C72405"/>
    <w:rsid w:val="00C73D25"/>
    <w:rsid w:val="00C755DA"/>
    <w:rsid w:val="00C7701F"/>
    <w:rsid w:val="00C80CDA"/>
    <w:rsid w:val="00C8105B"/>
    <w:rsid w:val="00C81E8F"/>
    <w:rsid w:val="00C8274E"/>
    <w:rsid w:val="00C82866"/>
    <w:rsid w:val="00C830F4"/>
    <w:rsid w:val="00C83C29"/>
    <w:rsid w:val="00C83EC4"/>
    <w:rsid w:val="00C84EB4"/>
    <w:rsid w:val="00C85E9F"/>
    <w:rsid w:val="00C86438"/>
    <w:rsid w:val="00C86D14"/>
    <w:rsid w:val="00C86E09"/>
    <w:rsid w:val="00C86FBB"/>
    <w:rsid w:val="00C873AE"/>
    <w:rsid w:val="00C90B47"/>
    <w:rsid w:val="00C9124C"/>
    <w:rsid w:val="00C92423"/>
    <w:rsid w:val="00C92E91"/>
    <w:rsid w:val="00C95789"/>
    <w:rsid w:val="00C95D08"/>
    <w:rsid w:val="00C96091"/>
    <w:rsid w:val="00C969A5"/>
    <w:rsid w:val="00C96B43"/>
    <w:rsid w:val="00C97642"/>
    <w:rsid w:val="00C97EE5"/>
    <w:rsid w:val="00CA02EF"/>
    <w:rsid w:val="00CA07ED"/>
    <w:rsid w:val="00CA1595"/>
    <w:rsid w:val="00CA1A7A"/>
    <w:rsid w:val="00CA2809"/>
    <w:rsid w:val="00CA2E35"/>
    <w:rsid w:val="00CA39BF"/>
    <w:rsid w:val="00CA3AD1"/>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3A3B"/>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567"/>
    <w:rsid w:val="00CD183A"/>
    <w:rsid w:val="00CD1B85"/>
    <w:rsid w:val="00CD2727"/>
    <w:rsid w:val="00CD293F"/>
    <w:rsid w:val="00CD3559"/>
    <w:rsid w:val="00CD3FC9"/>
    <w:rsid w:val="00CD632A"/>
    <w:rsid w:val="00CD63F0"/>
    <w:rsid w:val="00CD7551"/>
    <w:rsid w:val="00CE0511"/>
    <w:rsid w:val="00CE0A90"/>
    <w:rsid w:val="00CE1025"/>
    <w:rsid w:val="00CE172B"/>
    <w:rsid w:val="00CE1CCD"/>
    <w:rsid w:val="00CE28D6"/>
    <w:rsid w:val="00CE2FA5"/>
    <w:rsid w:val="00CE3019"/>
    <w:rsid w:val="00CE30E3"/>
    <w:rsid w:val="00CE312E"/>
    <w:rsid w:val="00CE3D12"/>
    <w:rsid w:val="00CE3D6F"/>
    <w:rsid w:val="00CE3E1D"/>
    <w:rsid w:val="00CE3E46"/>
    <w:rsid w:val="00CE4847"/>
    <w:rsid w:val="00CE5877"/>
    <w:rsid w:val="00CE7203"/>
    <w:rsid w:val="00CE7948"/>
    <w:rsid w:val="00CF0094"/>
    <w:rsid w:val="00CF2005"/>
    <w:rsid w:val="00CF20CC"/>
    <w:rsid w:val="00CF31C2"/>
    <w:rsid w:val="00CF3645"/>
    <w:rsid w:val="00CF3951"/>
    <w:rsid w:val="00CF3EF0"/>
    <w:rsid w:val="00CF3FF4"/>
    <w:rsid w:val="00CF455A"/>
    <w:rsid w:val="00CF68E5"/>
    <w:rsid w:val="00CF6A48"/>
    <w:rsid w:val="00CF7D0D"/>
    <w:rsid w:val="00CF7D0F"/>
    <w:rsid w:val="00D00580"/>
    <w:rsid w:val="00D005FD"/>
    <w:rsid w:val="00D015BA"/>
    <w:rsid w:val="00D01782"/>
    <w:rsid w:val="00D02C6D"/>
    <w:rsid w:val="00D02D97"/>
    <w:rsid w:val="00D03561"/>
    <w:rsid w:val="00D03764"/>
    <w:rsid w:val="00D03998"/>
    <w:rsid w:val="00D0513D"/>
    <w:rsid w:val="00D05191"/>
    <w:rsid w:val="00D064B0"/>
    <w:rsid w:val="00D074AE"/>
    <w:rsid w:val="00D0792B"/>
    <w:rsid w:val="00D10410"/>
    <w:rsid w:val="00D10817"/>
    <w:rsid w:val="00D108DB"/>
    <w:rsid w:val="00D114FE"/>
    <w:rsid w:val="00D119AC"/>
    <w:rsid w:val="00D11AF0"/>
    <w:rsid w:val="00D12832"/>
    <w:rsid w:val="00D13727"/>
    <w:rsid w:val="00D147D7"/>
    <w:rsid w:val="00D15224"/>
    <w:rsid w:val="00D17D22"/>
    <w:rsid w:val="00D20DDF"/>
    <w:rsid w:val="00D21745"/>
    <w:rsid w:val="00D228C5"/>
    <w:rsid w:val="00D228EE"/>
    <w:rsid w:val="00D2438E"/>
    <w:rsid w:val="00D255A3"/>
    <w:rsid w:val="00D25F82"/>
    <w:rsid w:val="00D27368"/>
    <w:rsid w:val="00D3198F"/>
    <w:rsid w:val="00D31CB3"/>
    <w:rsid w:val="00D3342D"/>
    <w:rsid w:val="00D3355B"/>
    <w:rsid w:val="00D33781"/>
    <w:rsid w:val="00D33C49"/>
    <w:rsid w:val="00D33D8A"/>
    <w:rsid w:val="00D343EC"/>
    <w:rsid w:val="00D35654"/>
    <w:rsid w:val="00D3573F"/>
    <w:rsid w:val="00D36781"/>
    <w:rsid w:val="00D36866"/>
    <w:rsid w:val="00D373E5"/>
    <w:rsid w:val="00D37527"/>
    <w:rsid w:val="00D3772C"/>
    <w:rsid w:val="00D40268"/>
    <w:rsid w:val="00D40382"/>
    <w:rsid w:val="00D40B22"/>
    <w:rsid w:val="00D40DD4"/>
    <w:rsid w:val="00D4121F"/>
    <w:rsid w:val="00D41CF8"/>
    <w:rsid w:val="00D42A82"/>
    <w:rsid w:val="00D4381E"/>
    <w:rsid w:val="00D43BAD"/>
    <w:rsid w:val="00D452E5"/>
    <w:rsid w:val="00D45FC0"/>
    <w:rsid w:val="00D46617"/>
    <w:rsid w:val="00D4689F"/>
    <w:rsid w:val="00D46996"/>
    <w:rsid w:val="00D46ECB"/>
    <w:rsid w:val="00D47438"/>
    <w:rsid w:val="00D47996"/>
    <w:rsid w:val="00D47B16"/>
    <w:rsid w:val="00D47D8C"/>
    <w:rsid w:val="00D50466"/>
    <w:rsid w:val="00D527BD"/>
    <w:rsid w:val="00D5367E"/>
    <w:rsid w:val="00D5428E"/>
    <w:rsid w:val="00D54395"/>
    <w:rsid w:val="00D546FF"/>
    <w:rsid w:val="00D54DF6"/>
    <w:rsid w:val="00D5644A"/>
    <w:rsid w:val="00D56955"/>
    <w:rsid w:val="00D56993"/>
    <w:rsid w:val="00D5717C"/>
    <w:rsid w:val="00D5730E"/>
    <w:rsid w:val="00D57418"/>
    <w:rsid w:val="00D575ED"/>
    <w:rsid w:val="00D57DA6"/>
    <w:rsid w:val="00D6123D"/>
    <w:rsid w:val="00D6153D"/>
    <w:rsid w:val="00D615BB"/>
    <w:rsid w:val="00D61C87"/>
    <w:rsid w:val="00D61CAC"/>
    <w:rsid w:val="00D62DB8"/>
    <w:rsid w:val="00D631C3"/>
    <w:rsid w:val="00D63803"/>
    <w:rsid w:val="00D63A85"/>
    <w:rsid w:val="00D63A93"/>
    <w:rsid w:val="00D6487C"/>
    <w:rsid w:val="00D64BAB"/>
    <w:rsid w:val="00D6685C"/>
    <w:rsid w:val="00D70430"/>
    <w:rsid w:val="00D707E1"/>
    <w:rsid w:val="00D714D0"/>
    <w:rsid w:val="00D7180F"/>
    <w:rsid w:val="00D719EC"/>
    <w:rsid w:val="00D71DD0"/>
    <w:rsid w:val="00D7309D"/>
    <w:rsid w:val="00D7311C"/>
    <w:rsid w:val="00D7331D"/>
    <w:rsid w:val="00D73FED"/>
    <w:rsid w:val="00D74906"/>
    <w:rsid w:val="00D74C73"/>
    <w:rsid w:val="00D74F71"/>
    <w:rsid w:val="00D75313"/>
    <w:rsid w:val="00D762C2"/>
    <w:rsid w:val="00D770B2"/>
    <w:rsid w:val="00D77E06"/>
    <w:rsid w:val="00D80113"/>
    <w:rsid w:val="00D80DC8"/>
    <w:rsid w:val="00D814E6"/>
    <w:rsid w:val="00D81C35"/>
    <w:rsid w:val="00D81DDF"/>
    <w:rsid w:val="00D824AE"/>
    <w:rsid w:val="00D82742"/>
    <w:rsid w:val="00D82986"/>
    <w:rsid w:val="00D82A10"/>
    <w:rsid w:val="00D82BD3"/>
    <w:rsid w:val="00D8333F"/>
    <w:rsid w:val="00D83408"/>
    <w:rsid w:val="00D83AE7"/>
    <w:rsid w:val="00D84096"/>
    <w:rsid w:val="00D84D68"/>
    <w:rsid w:val="00D864F9"/>
    <w:rsid w:val="00D86A15"/>
    <w:rsid w:val="00D86B3D"/>
    <w:rsid w:val="00D86FC5"/>
    <w:rsid w:val="00D87793"/>
    <w:rsid w:val="00D9086E"/>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CB6"/>
    <w:rsid w:val="00DA1E5D"/>
    <w:rsid w:val="00DA35D6"/>
    <w:rsid w:val="00DA3862"/>
    <w:rsid w:val="00DA4F09"/>
    <w:rsid w:val="00DA52E3"/>
    <w:rsid w:val="00DA5A48"/>
    <w:rsid w:val="00DA5AB2"/>
    <w:rsid w:val="00DA607F"/>
    <w:rsid w:val="00DA6850"/>
    <w:rsid w:val="00DA6C5B"/>
    <w:rsid w:val="00DB1106"/>
    <w:rsid w:val="00DB12CA"/>
    <w:rsid w:val="00DB19C5"/>
    <w:rsid w:val="00DB1D55"/>
    <w:rsid w:val="00DB212F"/>
    <w:rsid w:val="00DB348A"/>
    <w:rsid w:val="00DB48E2"/>
    <w:rsid w:val="00DB4D24"/>
    <w:rsid w:val="00DB514B"/>
    <w:rsid w:val="00DB54AF"/>
    <w:rsid w:val="00DB553B"/>
    <w:rsid w:val="00DB5AEF"/>
    <w:rsid w:val="00DB6C5A"/>
    <w:rsid w:val="00DB7611"/>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1C36"/>
    <w:rsid w:val="00DD29E9"/>
    <w:rsid w:val="00DD31F3"/>
    <w:rsid w:val="00DD3938"/>
    <w:rsid w:val="00DD3AE5"/>
    <w:rsid w:val="00DD5506"/>
    <w:rsid w:val="00DD5587"/>
    <w:rsid w:val="00DD5D7C"/>
    <w:rsid w:val="00DD733B"/>
    <w:rsid w:val="00DD7E98"/>
    <w:rsid w:val="00DD7F36"/>
    <w:rsid w:val="00DD7F4E"/>
    <w:rsid w:val="00DE0589"/>
    <w:rsid w:val="00DE1685"/>
    <w:rsid w:val="00DE1AE0"/>
    <w:rsid w:val="00DE1C0C"/>
    <w:rsid w:val="00DE1F98"/>
    <w:rsid w:val="00DE3984"/>
    <w:rsid w:val="00DE3B4A"/>
    <w:rsid w:val="00DE3C4A"/>
    <w:rsid w:val="00DE3ECA"/>
    <w:rsid w:val="00DE4168"/>
    <w:rsid w:val="00DE447F"/>
    <w:rsid w:val="00DE575A"/>
    <w:rsid w:val="00DE5E8E"/>
    <w:rsid w:val="00DE63CA"/>
    <w:rsid w:val="00DE7757"/>
    <w:rsid w:val="00DE7947"/>
    <w:rsid w:val="00DF009A"/>
    <w:rsid w:val="00DF0608"/>
    <w:rsid w:val="00DF090C"/>
    <w:rsid w:val="00DF0A38"/>
    <w:rsid w:val="00DF0FE3"/>
    <w:rsid w:val="00DF13A8"/>
    <w:rsid w:val="00DF1DBA"/>
    <w:rsid w:val="00DF21D0"/>
    <w:rsid w:val="00DF34C1"/>
    <w:rsid w:val="00DF4141"/>
    <w:rsid w:val="00DF41D1"/>
    <w:rsid w:val="00DF6172"/>
    <w:rsid w:val="00DF77EF"/>
    <w:rsid w:val="00DF7D2F"/>
    <w:rsid w:val="00E00145"/>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6EA7"/>
    <w:rsid w:val="00E077B7"/>
    <w:rsid w:val="00E10234"/>
    <w:rsid w:val="00E10A13"/>
    <w:rsid w:val="00E11DD7"/>
    <w:rsid w:val="00E11F05"/>
    <w:rsid w:val="00E12809"/>
    <w:rsid w:val="00E12EE0"/>
    <w:rsid w:val="00E12F4E"/>
    <w:rsid w:val="00E12FFB"/>
    <w:rsid w:val="00E13798"/>
    <w:rsid w:val="00E138C6"/>
    <w:rsid w:val="00E13CEF"/>
    <w:rsid w:val="00E14358"/>
    <w:rsid w:val="00E14804"/>
    <w:rsid w:val="00E15AE5"/>
    <w:rsid w:val="00E16003"/>
    <w:rsid w:val="00E167E6"/>
    <w:rsid w:val="00E170B7"/>
    <w:rsid w:val="00E1723C"/>
    <w:rsid w:val="00E1774A"/>
    <w:rsid w:val="00E2018D"/>
    <w:rsid w:val="00E205EB"/>
    <w:rsid w:val="00E2089B"/>
    <w:rsid w:val="00E21918"/>
    <w:rsid w:val="00E21F2E"/>
    <w:rsid w:val="00E220A2"/>
    <w:rsid w:val="00E23066"/>
    <w:rsid w:val="00E250CE"/>
    <w:rsid w:val="00E25CAE"/>
    <w:rsid w:val="00E26BCB"/>
    <w:rsid w:val="00E270D3"/>
    <w:rsid w:val="00E27274"/>
    <w:rsid w:val="00E2744B"/>
    <w:rsid w:val="00E27572"/>
    <w:rsid w:val="00E27A76"/>
    <w:rsid w:val="00E27F7E"/>
    <w:rsid w:val="00E3002F"/>
    <w:rsid w:val="00E306E0"/>
    <w:rsid w:val="00E309D7"/>
    <w:rsid w:val="00E30DEE"/>
    <w:rsid w:val="00E317B9"/>
    <w:rsid w:val="00E321AA"/>
    <w:rsid w:val="00E32B95"/>
    <w:rsid w:val="00E3316F"/>
    <w:rsid w:val="00E335E0"/>
    <w:rsid w:val="00E33AFB"/>
    <w:rsid w:val="00E343D4"/>
    <w:rsid w:val="00E358D2"/>
    <w:rsid w:val="00E36E76"/>
    <w:rsid w:val="00E3779D"/>
    <w:rsid w:val="00E40305"/>
    <w:rsid w:val="00E40973"/>
    <w:rsid w:val="00E40ADE"/>
    <w:rsid w:val="00E40F44"/>
    <w:rsid w:val="00E41D67"/>
    <w:rsid w:val="00E43F01"/>
    <w:rsid w:val="00E46189"/>
    <w:rsid w:val="00E46878"/>
    <w:rsid w:val="00E46C28"/>
    <w:rsid w:val="00E472E0"/>
    <w:rsid w:val="00E50BA5"/>
    <w:rsid w:val="00E5284F"/>
    <w:rsid w:val="00E53108"/>
    <w:rsid w:val="00E53841"/>
    <w:rsid w:val="00E539EA"/>
    <w:rsid w:val="00E53BBE"/>
    <w:rsid w:val="00E54965"/>
    <w:rsid w:val="00E549F2"/>
    <w:rsid w:val="00E54EB6"/>
    <w:rsid w:val="00E5529E"/>
    <w:rsid w:val="00E56791"/>
    <w:rsid w:val="00E56EA4"/>
    <w:rsid w:val="00E57291"/>
    <w:rsid w:val="00E61369"/>
    <w:rsid w:val="00E6240F"/>
    <w:rsid w:val="00E62CC8"/>
    <w:rsid w:val="00E64F58"/>
    <w:rsid w:val="00E657A9"/>
    <w:rsid w:val="00E665E9"/>
    <w:rsid w:val="00E66603"/>
    <w:rsid w:val="00E66DCA"/>
    <w:rsid w:val="00E67056"/>
    <w:rsid w:val="00E677DE"/>
    <w:rsid w:val="00E67E7C"/>
    <w:rsid w:val="00E710A4"/>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3DAD"/>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9F5"/>
    <w:rsid w:val="00EB5C46"/>
    <w:rsid w:val="00EB5E88"/>
    <w:rsid w:val="00EB6CAF"/>
    <w:rsid w:val="00EB7BDE"/>
    <w:rsid w:val="00EB7D56"/>
    <w:rsid w:val="00EB7D7A"/>
    <w:rsid w:val="00EC0238"/>
    <w:rsid w:val="00EC106E"/>
    <w:rsid w:val="00EC38E4"/>
    <w:rsid w:val="00EC411D"/>
    <w:rsid w:val="00EC42A5"/>
    <w:rsid w:val="00EC4B5F"/>
    <w:rsid w:val="00EC6320"/>
    <w:rsid w:val="00EC6340"/>
    <w:rsid w:val="00EC6FC1"/>
    <w:rsid w:val="00ED00B0"/>
    <w:rsid w:val="00ED01F1"/>
    <w:rsid w:val="00ED07DF"/>
    <w:rsid w:val="00ED091A"/>
    <w:rsid w:val="00ED0E81"/>
    <w:rsid w:val="00ED1385"/>
    <w:rsid w:val="00ED15C2"/>
    <w:rsid w:val="00ED2CB6"/>
    <w:rsid w:val="00ED347F"/>
    <w:rsid w:val="00ED37A2"/>
    <w:rsid w:val="00ED4067"/>
    <w:rsid w:val="00ED4BB5"/>
    <w:rsid w:val="00ED5E40"/>
    <w:rsid w:val="00ED6E15"/>
    <w:rsid w:val="00ED7639"/>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7CC"/>
    <w:rsid w:val="00EE7D3F"/>
    <w:rsid w:val="00EF020B"/>
    <w:rsid w:val="00EF2B60"/>
    <w:rsid w:val="00EF2C79"/>
    <w:rsid w:val="00EF3241"/>
    <w:rsid w:val="00EF41CD"/>
    <w:rsid w:val="00EF524B"/>
    <w:rsid w:val="00EF58D8"/>
    <w:rsid w:val="00EF6212"/>
    <w:rsid w:val="00F00459"/>
    <w:rsid w:val="00F00FDE"/>
    <w:rsid w:val="00F01D75"/>
    <w:rsid w:val="00F0213D"/>
    <w:rsid w:val="00F03432"/>
    <w:rsid w:val="00F03DA1"/>
    <w:rsid w:val="00F03DBB"/>
    <w:rsid w:val="00F03FDB"/>
    <w:rsid w:val="00F047CB"/>
    <w:rsid w:val="00F04852"/>
    <w:rsid w:val="00F052AC"/>
    <w:rsid w:val="00F06211"/>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5CD2"/>
    <w:rsid w:val="00F16057"/>
    <w:rsid w:val="00F17776"/>
    <w:rsid w:val="00F17B6C"/>
    <w:rsid w:val="00F209E9"/>
    <w:rsid w:val="00F20BD8"/>
    <w:rsid w:val="00F20EBB"/>
    <w:rsid w:val="00F2229D"/>
    <w:rsid w:val="00F22B38"/>
    <w:rsid w:val="00F22C95"/>
    <w:rsid w:val="00F23538"/>
    <w:rsid w:val="00F2356D"/>
    <w:rsid w:val="00F24631"/>
    <w:rsid w:val="00F2504F"/>
    <w:rsid w:val="00F2553B"/>
    <w:rsid w:val="00F25B9A"/>
    <w:rsid w:val="00F268B5"/>
    <w:rsid w:val="00F27446"/>
    <w:rsid w:val="00F30688"/>
    <w:rsid w:val="00F30756"/>
    <w:rsid w:val="00F308C8"/>
    <w:rsid w:val="00F30C99"/>
    <w:rsid w:val="00F30D7F"/>
    <w:rsid w:val="00F313AE"/>
    <w:rsid w:val="00F314F5"/>
    <w:rsid w:val="00F32AFF"/>
    <w:rsid w:val="00F32B41"/>
    <w:rsid w:val="00F340BA"/>
    <w:rsid w:val="00F34506"/>
    <w:rsid w:val="00F34FA4"/>
    <w:rsid w:val="00F3514E"/>
    <w:rsid w:val="00F3577A"/>
    <w:rsid w:val="00F3666B"/>
    <w:rsid w:val="00F36A56"/>
    <w:rsid w:val="00F3702E"/>
    <w:rsid w:val="00F379A8"/>
    <w:rsid w:val="00F404B0"/>
    <w:rsid w:val="00F40685"/>
    <w:rsid w:val="00F40C61"/>
    <w:rsid w:val="00F413CE"/>
    <w:rsid w:val="00F42536"/>
    <w:rsid w:val="00F42F16"/>
    <w:rsid w:val="00F43906"/>
    <w:rsid w:val="00F44A9E"/>
    <w:rsid w:val="00F44AFB"/>
    <w:rsid w:val="00F46152"/>
    <w:rsid w:val="00F46AFB"/>
    <w:rsid w:val="00F46BF5"/>
    <w:rsid w:val="00F47170"/>
    <w:rsid w:val="00F47BD3"/>
    <w:rsid w:val="00F47FF3"/>
    <w:rsid w:val="00F50B37"/>
    <w:rsid w:val="00F514E1"/>
    <w:rsid w:val="00F521FE"/>
    <w:rsid w:val="00F52D85"/>
    <w:rsid w:val="00F52E56"/>
    <w:rsid w:val="00F535ED"/>
    <w:rsid w:val="00F5471B"/>
    <w:rsid w:val="00F55B59"/>
    <w:rsid w:val="00F566D4"/>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2123"/>
    <w:rsid w:val="00F72A6B"/>
    <w:rsid w:val="00F73DC1"/>
    <w:rsid w:val="00F744C3"/>
    <w:rsid w:val="00F75043"/>
    <w:rsid w:val="00F7554E"/>
    <w:rsid w:val="00F76CF7"/>
    <w:rsid w:val="00F77502"/>
    <w:rsid w:val="00F77CE9"/>
    <w:rsid w:val="00F80159"/>
    <w:rsid w:val="00F8029A"/>
    <w:rsid w:val="00F80A42"/>
    <w:rsid w:val="00F829DA"/>
    <w:rsid w:val="00F8432A"/>
    <w:rsid w:val="00F8705E"/>
    <w:rsid w:val="00F870DE"/>
    <w:rsid w:val="00F87698"/>
    <w:rsid w:val="00F87ED6"/>
    <w:rsid w:val="00F9001F"/>
    <w:rsid w:val="00F901E3"/>
    <w:rsid w:val="00F90409"/>
    <w:rsid w:val="00F90411"/>
    <w:rsid w:val="00F90FEF"/>
    <w:rsid w:val="00F9180A"/>
    <w:rsid w:val="00F91AD7"/>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0B20"/>
    <w:rsid w:val="00FA0C07"/>
    <w:rsid w:val="00FA2663"/>
    <w:rsid w:val="00FA296C"/>
    <w:rsid w:val="00FA2A0F"/>
    <w:rsid w:val="00FA3478"/>
    <w:rsid w:val="00FA409F"/>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154"/>
    <w:rsid w:val="00FB5D10"/>
    <w:rsid w:val="00FC0A33"/>
    <w:rsid w:val="00FC10A2"/>
    <w:rsid w:val="00FC11B6"/>
    <w:rsid w:val="00FC149D"/>
    <w:rsid w:val="00FC1512"/>
    <w:rsid w:val="00FC1B41"/>
    <w:rsid w:val="00FC2CE7"/>
    <w:rsid w:val="00FC2E4B"/>
    <w:rsid w:val="00FC35E0"/>
    <w:rsid w:val="00FC4CA4"/>
    <w:rsid w:val="00FC4D11"/>
    <w:rsid w:val="00FC5175"/>
    <w:rsid w:val="00FC6B5B"/>
    <w:rsid w:val="00FC6C0B"/>
    <w:rsid w:val="00FC778C"/>
    <w:rsid w:val="00FC7EC0"/>
    <w:rsid w:val="00FD0A22"/>
    <w:rsid w:val="00FD0CA5"/>
    <w:rsid w:val="00FD10C3"/>
    <w:rsid w:val="00FD15E8"/>
    <w:rsid w:val="00FD32D1"/>
    <w:rsid w:val="00FD3317"/>
    <w:rsid w:val="00FD3AAE"/>
    <w:rsid w:val="00FD3D4B"/>
    <w:rsid w:val="00FD3E67"/>
    <w:rsid w:val="00FD3F95"/>
    <w:rsid w:val="00FD4271"/>
    <w:rsid w:val="00FE0AD4"/>
    <w:rsid w:val="00FE1FB9"/>
    <w:rsid w:val="00FE22AD"/>
    <w:rsid w:val="00FE2588"/>
    <w:rsid w:val="00FE28E3"/>
    <w:rsid w:val="00FE31DC"/>
    <w:rsid w:val="00FE50EC"/>
    <w:rsid w:val="00FE5CC4"/>
    <w:rsid w:val="00FE6451"/>
    <w:rsid w:val="00FE745F"/>
    <w:rsid w:val="00FE761A"/>
    <w:rsid w:val="00FE7AF1"/>
    <w:rsid w:val="00FE7B7D"/>
    <w:rsid w:val="00FF08E1"/>
    <w:rsid w:val="00FF092B"/>
    <w:rsid w:val="00FF191A"/>
    <w:rsid w:val="00FF2854"/>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14:docId w14:val="537A6EB2"/>
  <w15:docId w15:val="{479C3BBB-F8F5-4A83-8CC9-F12CB0F6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8C7"/>
    <w:pPr>
      <w:bidi/>
    </w:pPr>
  </w:style>
  <w:style w:type="paragraph" w:styleId="Heading1">
    <w:name w:val="heading 1"/>
    <w:basedOn w:val="Normal"/>
    <w:next w:val="Normal"/>
    <w:link w:val="11"/>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21"/>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31"/>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41"/>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53"/>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62"/>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73"/>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81"/>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91"/>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21">
    <w:name w:val="כותרת 2 תו1"/>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31">
    <w:name w:val="כותרת 3 תו1"/>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41">
    <w:name w:val="כותרת 4 תו1"/>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53">
    <w:name w:val="כותרת 5 תו3"/>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62">
    <w:name w:val="כותרת 6 תו2"/>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73">
    <w:name w:val="כותרת 7 תו3"/>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81">
    <w:name w:val="כותרת 8 תו1"/>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91">
    <w:name w:val="כותרת 9 תו1"/>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aliases w:val="Bullet List,FooterText,LP1,List Paragraph1,List Paragraph_0,List Paragraph_1,List Paragraph_2,Paragraphe de liste1,lp1,numbered,style 2,פיסקת bullets"/>
    <w:basedOn w:val="Normal"/>
    <w:link w:val="a"/>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a">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1"/>
    <w:uiPriority w:val="99"/>
    <w:unhideWhenUsed/>
    <w:rsid w:val="00CB3322"/>
    <w:pPr>
      <w:tabs>
        <w:tab w:val="center" w:pos="4320"/>
        <w:tab w:val="right" w:pos="8640"/>
      </w:tabs>
      <w:spacing w:after="0" w:line="240" w:lineRule="auto"/>
    </w:pPr>
  </w:style>
  <w:style w:type="character" w:customStyle="1" w:styleId="1">
    <w:name w:val="כותרת עליונה תו1"/>
    <w:basedOn w:val="DefaultParagraphFont"/>
    <w:link w:val="Header"/>
    <w:uiPriority w:val="99"/>
    <w:rsid w:val="00CB3322"/>
    <w:rPr>
      <w:rFonts w:cs="David"/>
      <w:sz w:val="24"/>
      <w:szCs w:val="24"/>
    </w:rPr>
  </w:style>
  <w:style w:type="paragraph" w:styleId="Footer">
    <w:name w:val="footer"/>
    <w:basedOn w:val="Normal"/>
    <w:link w:val="10"/>
    <w:uiPriority w:val="99"/>
    <w:unhideWhenUsed/>
    <w:qFormat/>
    <w:rsid w:val="00CB3322"/>
    <w:pPr>
      <w:tabs>
        <w:tab w:val="center" w:pos="4320"/>
        <w:tab w:val="right" w:pos="8640"/>
      </w:tabs>
      <w:spacing w:after="0" w:line="240" w:lineRule="auto"/>
    </w:pPr>
  </w:style>
  <w:style w:type="character" w:customStyle="1" w:styleId="10">
    <w:name w:val="כותרת תחתונה תו1"/>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a0"/>
    <w:uiPriority w:val="99"/>
    <w:unhideWhenUsed/>
    <w:rsid w:val="00702D9F"/>
    <w:pPr>
      <w:spacing w:line="240" w:lineRule="auto"/>
    </w:pPr>
    <w:rPr>
      <w:sz w:val="20"/>
      <w:szCs w:val="20"/>
    </w:rPr>
  </w:style>
  <w:style w:type="character" w:customStyle="1" w:styleId="a0">
    <w:name w:val="טקסט הערה תו"/>
    <w:basedOn w:val="DefaultParagraphFont"/>
    <w:link w:val="CommentText"/>
    <w:uiPriority w:val="99"/>
    <w:rsid w:val="00702D9F"/>
    <w:rPr>
      <w:rFonts w:cs="David"/>
    </w:rPr>
  </w:style>
  <w:style w:type="paragraph" w:styleId="CommentSubject">
    <w:name w:val="annotation subject"/>
    <w:basedOn w:val="CommentText"/>
    <w:next w:val="CommentText"/>
    <w:link w:val="a1"/>
    <w:uiPriority w:val="99"/>
    <w:semiHidden/>
    <w:unhideWhenUsed/>
    <w:rsid w:val="00702D9F"/>
    <w:rPr>
      <w:b/>
      <w:bCs/>
    </w:rPr>
  </w:style>
  <w:style w:type="character" w:customStyle="1" w:styleId="a1">
    <w:name w:val="נושא הערה תו"/>
    <w:basedOn w:val="a0"/>
    <w:link w:val="CommentSubject"/>
    <w:uiPriority w:val="99"/>
    <w:semiHidden/>
    <w:rsid w:val="00702D9F"/>
    <w:rPr>
      <w:rFonts w:cs="David"/>
      <w:b/>
      <w:bCs/>
    </w:rPr>
  </w:style>
  <w:style w:type="paragraph" w:styleId="BalloonText">
    <w:name w:val="Balloon Text"/>
    <w:basedOn w:val="Normal"/>
    <w:link w:val="a2"/>
    <w:uiPriority w:val="99"/>
    <w:semiHidden/>
    <w:unhideWhenUsed/>
    <w:rsid w:val="00702D9F"/>
    <w:pPr>
      <w:spacing w:after="0" w:line="240" w:lineRule="auto"/>
    </w:pPr>
    <w:rPr>
      <w:rFonts w:ascii="Segoe UI" w:hAnsi="Segoe UI" w:cs="Segoe UI"/>
      <w:sz w:val="18"/>
      <w:szCs w:val="18"/>
    </w:rPr>
  </w:style>
  <w:style w:type="character" w:customStyle="1" w:styleId="a2">
    <w:name w:val="טקסט בלונים תו"/>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aliases w:val="ללא"/>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F,FOOTNOTES,Footnote Text - Sharp,Footnote Text - Sharp Char,Footnote Text - Sharp Char Char,Footnote Text Char Char Char Char Char,Footnote reference,Sharp - Footnote Text,Sharp - Footnote Text1 Char,fn,footnote text,single space"/>
    <w:basedOn w:val="Normal"/>
    <w:link w:val="12"/>
    <w:uiPriority w:val="99"/>
    <w:unhideWhenUsed/>
    <w:qFormat/>
    <w:rsid w:val="00D36781"/>
    <w:pPr>
      <w:keepLines/>
      <w:spacing w:after="40" w:line="200" w:lineRule="exact"/>
      <w:ind w:left="397" w:right="2268" w:hanging="397"/>
      <w:jc w:val="both"/>
    </w:pPr>
    <w:rPr>
      <w:rFonts w:ascii="Tahoma" w:hAnsi="Tahoma" w:cs="Tahoma"/>
      <w:sz w:val="14"/>
      <w:szCs w:val="14"/>
    </w:rPr>
  </w:style>
  <w:style w:type="character" w:customStyle="1" w:styleId="12">
    <w:name w:val="טקסט הערת שוליים תו1"/>
    <w:aliases w:val="Char תו,FOOTNOTES תו,Footnote Text - Sharp Char Char תו,Footnote Text - Sharp Char תו,Footnote Text - Sharp תו,Footnote Text Char Char Char Char Char תו,Footnote reference תו,Sharp - Footnote Text תו,Sharp - Footnote Text1 Char תו"/>
    <w:basedOn w:val="DefaultParagraphFont"/>
    <w:link w:val="FootnoteText"/>
    <w:uiPriority w:val="99"/>
    <w:rsid w:val="00D36781"/>
    <w:rPr>
      <w:rFonts w:ascii="Tahoma" w:hAnsi="Tahoma" w:cs="Tahoma"/>
      <w:sz w:val="14"/>
      <w:szCs w:val="14"/>
    </w:rPr>
  </w:style>
  <w:style w:type="character" w:styleId="FootnoteReference1">
    <w:name w:val="footnote reference"/>
    <w:aliases w:val="Footnote Reference_0,Footnote Reference_0_0,Footnote Reference_0_0_0,Footnote Reference_0_0_0_0,Footnote Reference_1,Footnote Reference_1_0,Footnote Reference_2,Footnote Reference_3,Footnote Reference_4,Footnote Reference_4_0,Style,מ"/>
    <w:basedOn w:val="DefaultParagraphFont"/>
    <w:uiPriority w:val="99"/>
    <w:unhideWhenUsed/>
    <w:qFormat/>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13"/>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13">
    <w:name w:val="כותרת טקסט תו1"/>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a3"/>
    <w:uiPriority w:val="11"/>
    <w:qFormat/>
    <w:rsid w:val="005C0F41"/>
    <w:pPr>
      <w:numPr>
        <w:ilvl w:val="1"/>
      </w:numPr>
      <w:bidi w:val="0"/>
      <w:spacing w:after="240"/>
    </w:pPr>
    <w:rPr>
      <w:caps/>
      <w:color w:val="404040" w:themeColor="text1" w:themeTint="BF"/>
      <w:spacing w:val="20"/>
      <w:sz w:val="28"/>
      <w:szCs w:val="28"/>
    </w:rPr>
  </w:style>
  <w:style w:type="character" w:customStyle="1" w:styleId="a3">
    <w:name w:val="כותרת משנה תו"/>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a4"/>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4">
    <w:name w:val="ציטוט תו"/>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a5"/>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5">
    <w:name w:val="ציטוט חזק תו"/>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a6"/>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a6">
    <w:name w:val="גוף טקסט תו"/>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2"/>
    <w:unhideWhenUsed/>
    <w:rsid w:val="00DB1D55"/>
    <w:pPr>
      <w:tabs>
        <w:tab w:val="left" w:pos="340"/>
      </w:tabs>
      <w:spacing w:line="360" w:lineRule="exact"/>
      <w:jc w:val="both"/>
    </w:pPr>
    <w:rPr>
      <w:rFonts w:ascii="Tahoma" w:hAnsi="Tahoma" w:cs="Tahoma"/>
      <w:sz w:val="22"/>
      <w:szCs w:val="22"/>
    </w:rPr>
  </w:style>
  <w:style w:type="character" w:customStyle="1" w:styleId="2">
    <w:name w:val="גוף טקסט 2 תו"/>
    <w:basedOn w:val="DefaultParagraphFont"/>
    <w:link w:val="BodyText2"/>
    <w:uiPriority w:val="99"/>
    <w:rsid w:val="00DB1D55"/>
    <w:rPr>
      <w:rFonts w:ascii="Tahoma" w:hAnsi="Tahoma" w:cs="Tahoma"/>
      <w:sz w:val="22"/>
      <w:szCs w:val="22"/>
    </w:rPr>
  </w:style>
  <w:style w:type="character" w:customStyle="1" w:styleId="14">
    <w:name w:val="כותרת 1 תו"/>
    <w:locked/>
    <w:rsid w:val="00F1368B"/>
    <w:rPr>
      <w:rFonts w:ascii="Cambria" w:hAnsi="Cambria" w:cs="Times New Roman"/>
      <w:b/>
      <w:bCs/>
      <w:kern w:val="32"/>
      <w:sz w:val="32"/>
      <w:szCs w:val="32"/>
    </w:rPr>
  </w:style>
  <w:style w:type="character" w:customStyle="1" w:styleId="20">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7">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8">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9">
    <w:name w:val="כותרת עליונה תו"/>
    <w:uiPriority w:val="99"/>
    <w:locked/>
    <w:rsid w:val="00F1368B"/>
    <w:rPr>
      <w:rFonts w:cs="David"/>
      <w:sz w:val="24"/>
      <w:szCs w:val="24"/>
      <w:lang w:bidi="he-IL"/>
    </w:rPr>
  </w:style>
  <w:style w:type="character" w:customStyle="1" w:styleId="a10">
    <w:name w:val="כותרת תחתונה תו"/>
    <w:locked/>
    <w:rsid w:val="00F1368B"/>
    <w:rPr>
      <w:rFonts w:cs="David"/>
      <w:sz w:val="24"/>
      <w:szCs w:val="24"/>
      <w:lang w:bidi="he-IL"/>
    </w:rPr>
  </w:style>
  <w:style w:type="character" w:customStyle="1" w:styleId="a11">
    <w:name w:val="טקסט הערת סיום תו"/>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a11"/>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32">
    <w:name w:val="גוף טקסט 3 תו"/>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32"/>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a12"/>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a12">
    <w:name w:val="טקסט רגיל תו"/>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1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1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5">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22">
    <w:name w:val="כניסה בגוף טקסט 2 תו"/>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22"/>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15">
    <w:name w:val="טקסט הערות שוליים תו"/>
    <w:rsid w:val="00F1368B"/>
    <w:rPr>
      <w:lang w:val="en-US" w:eastAsia="en-US"/>
    </w:rPr>
  </w:style>
  <w:style w:type="character" w:customStyle="1" w:styleId="a16">
    <w:name w:val="טקסט הערת שוליים תו"/>
    <w:aliases w:val="FT Char Char תו,FT Char Char1 Char Char תו,FT תו,Footnote Text Char Char תו,Footnote Text Char Char1 Char Char תו,Footnote Text Char1 Char Char תו,Footnote Text1 תו,f תו,fn Char Char Char Char תו,fn Char Char תו,fn Char תו,fn תו"/>
    <w:uiPriority w:val="99"/>
    <w:locked/>
    <w:rsid w:val="00F1368B"/>
    <w:rPr>
      <w:lang w:val="en-US" w:eastAsia="en-US"/>
    </w:rPr>
  </w:style>
  <w:style w:type="character" w:customStyle="1" w:styleId="33">
    <w:name w:val="כניסה בגוף טקסט 3 תו"/>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33"/>
    <w:semiHidden/>
    <w:rsid w:val="00F1368B"/>
    <w:pPr>
      <w:spacing w:line="240" w:lineRule="exact"/>
      <w:ind w:left="283"/>
    </w:pPr>
    <w:rPr>
      <w:rFonts w:ascii="Times New Roman" w:eastAsia="Times New Roman" w:hAnsi="Times New Roman" w:cs="David"/>
      <w:sz w:val="16"/>
      <w:szCs w:val="16"/>
    </w:rPr>
  </w:style>
  <w:style w:type="paragraph" w:customStyle="1" w:styleId="16">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a17">
    <w:name w:val="כניסה בגוף טקסט תו"/>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a17"/>
    <w:semiHidden/>
    <w:rsid w:val="00F1368B"/>
    <w:pPr>
      <w:spacing w:line="240" w:lineRule="exact"/>
      <w:ind w:left="283"/>
    </w:pPr>
    <w:rPr>
      <w:rFonts w:ascii="Times New Roman" w:eastAsia="Times New Roman" w:hAnsi="Times New Roman" w:cs="David"/>
      <w:sz w:val="24"/>
      <w:szCs w:val="24"/>
    </w:rPr>
  </w:style>
  <w:style w:type="paragraph" w:customStyle="1" w:styleId="310">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0">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3">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0">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1">
    <w:name w:val="כותרת 41 תו"/>
    <w:rsid w:val="00F1368B"/>
    <w:rPr>
      <w:rFonts w:cs="David"/>
      <w:b/>
      <w:bCs/>
      <w:sz w:val="22"/>
      <w:szCs w:val="26"/>
    </w:rPr>
  </w:style>
  <w:style w:type="character" w:customStyle="1" w:styleId="a18">
    <w:name w:val="מפת מסמך תו"/>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a18"/>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19">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20">
    <w:name w:val="נבנצאל תו"/>
    <w:uiPriority w:val="99"/>
    <w:locked/>
    <w:rsid w:val="00F1368B"/>
    <w:rPr>
      <w:rFonts w:ascii="Rockwell" w:eastAsia="Rockwell" w:hAnsi="Rockwell" w:cs="David"/>
      <w:sz w:val="22"/>
    </w:rPr>
  </w:style>
  <w:style w:type="paragraph" w:styleId="Date">
    <w:name w:val="Date"/>
    <w:basedOn w:val="Normal"/>
    <w:next w:val="Normal"/>
    <w:link w:val="17"/>
    <w:uiPriority w:val="99"/>
    <w:rsid w:val="00F1368B"/>
    <w:pPr>
      <w:spacing w:before="120" w:after="200" w:line="240" w:lineRule="auto"/>
    </w:pPr>
    <w:rPr>
      <w:rFonts w:ascii="Rockwell" w:eastAsia="Rockwell" w:hAnsi="Rockwell" w:cs="David"/>
      <w:sz w:val="22"/>
      <w:szCs w:val="22"/>
    </w:rPr>
  </w:style>
  <w:style w:type="character" w:customStyle="1" w:styleId="17">
    <w:name w:val="תאריך תו1"/>
    <w:basedOn w:val="DefaultParagraphFont"/>
    <w:link w:val="Date"/>
    <w:uiPriority w:val="99"/>
    <w:rsid w:val="00F1368B"/>
    <w:rPr>
      <w:rFonts w:ascii="Rockwell" w:eastAsia="Rockwell" w:hAnsi="Rockwell" w:cs="David"/>
      <w:sz w:val="22"/>
      <w:szCs w:val="22"/>
    </w:rPr>
  </w:style>
  <w:style w:type="character" w:customStyle="1" w:styleId="a21">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table" w:customStyle="1" w:styleId="18">
    <w:name w:val="רשת טבלה1"/>
    <w:basedOn w:val="TableNormal"/>
    <w:next w:val="TableGrid"/>
    <w:uiPriority w:val="59"/>
    <w:rsid w:val="005C33A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T1N">
    <w:name w:val="KOT1N"/>
    <w:qFormat/>
    <w:rsid w:val="008723A0"/>
    <w:pPr>
      <w:spacing w:line="440" w:lineRule="exact"/>
      <w:jc w:val="center"/>
    </w:pPr>
    <w:rPr>
      <w:rFonts w:ascii="Arial Bold" w:hAnsi="Arial Bold" w:eastAsiaTheme="majorEastAsia" w:cs="Tahoma"/>
      <w:b/>
      <w:bCs/>
      <w:color w:val="00305F"/>
      <w:sz w:val="34"/>
      <w:szCs w:val="34"/>
    </w:rPr>
  </w:style>
  <w:style w:type="paragraph" w:customStyle="1" w:styleId="KOT2N">
    <w:name w:val="KOT2N"/>
    <w:basedOn w:val="KOT2"/>
    <w:qFormat/>
    <w:rsid w:val="008723A0"/>
    <w:pPr>
      <w:pageBreakBefore w:val="0"/>
      <w:spacing w:line="440" w:lineRule="exact"/>
      <w:ind w:right="0"/>
      <w:outlineLvl w:val="1"/>
    </w:pPr>
    <w:rPr>
      <w:b/>
      <w:bCs/>
      <w:color w:val="00305F"/>
      <w:sz w:val="34"/>
      <w:szCs w:val="34"/>
    </w:rPr>
  </w:style>
  <w:style w:type="paragraph" w:customStyle="1" w:styleId="KOT3N">
    <w:name w:val="KOT3N"/>
    <w:basedOn w:val="Normal"/>
    <w:qFormat/>
    <w:rsid w:val="008723A0"/>
    <w:pPr>
      <w:spacing w:before="360" w:after="180" w:line="240" w:lineRule="atLeast"/>
      <w:outlineLvl w:val="2"/>
    </w:pPr>
    <w:rPr>
      <w:rFonts w:ascii="Tahoma" w:hAnsi="Tahoma" w:cs="Tahoma"/>
      <w:b/>
      <w:bCs/>
      <w:color w:val="00305F"/>
      <w:sz w:val="32"/>
      <w:szCs w:val="32"/>
    </w:rPr>
  </w:style>
  <w:style w:type="paragraph" w:customStyle="1" w:styleId="KOT4N">
    <w:name w:val="KOT4N"/>
    <w:basedOn w:val="Normal"/>
    <w:qFormat/>
    <w:rsid w:val="008723A0"/>
    <w:pPr>
      <w:spacing w:before="240" w:after="180" w:line="240" w:lineRule="atLeast"/>
      <w:outlineLvl w:val="2"/>
    </w:pPr>
    <w:rPr>
      <w:rFonts w:ascii="Tahoma" w:hAnsi="Tahoma" w:cs="Tahoma"/>
      <w:b/>
      <w:bCs/>
      <w:color w:val="00305F"/>
      <w:sz w:val="28"/>
      <w:szCs w:val="28"/>
    </w:rPr>
  </w:style>
  <w:style w:type="paragraph" w:customStyle="1" w:styleId="KOT5N">
    <w:name w:val="KOT5N"/>
    <w:basedOn w:val="Normal"/>
    <w:qFormat/>
    <w:rsid w:val="008723A0"/>
    <w:pPr>
      <w:spacing w:before="240" w:after="180" w:line="240" w:lineRule="atLeast"/>
      <w:outlineLvl w:val="4"/>
    </w:pPr>
    <w:rPr>
      <w:rFonts w:ascii="Tahoma" w:hAnsi="Tahoma" w:cs="Tahoma"/>
      <w:b/>
      <w:bCs/>
      <w:color w:val="00305F"/>
      <w:sz w:val="24"/>
      <w:szCs w:val="24"/>
    </w:rPr>
  </w:style>
  <w:style w:type="paragraph" w:customStyle="1" w:styleId="KOT6N">
    <w:name w:val="KOT6N"/>
    <w:basedOn w:val="Normal"/>
    <w:qFormat/>
    <w:rsid w:val="008723A0"/>
    <w:pPr>
      <w:spacing w:before="240" w:after="180" w:line="240" w:lineRule="atLeast"/>
      <w:outlineLvl w:val="4"/>
    </w:pPr>
    <w:rPr>
      <w:rFonts w:ascii="Tahoma" w:hAnsi="Tahoma" w:cs="Tahoma"/>
      <w:color w:val="00305F"/>
      <w:sz w:val="20"/>
      <w:szCs w:val="20"/>
    </w:rPr>
  </w:style>
  <w:style w:type="character" w:customStyle="1" w:styleId="KOT8N">
    <w:name w:val="KOT8N"/>
    <w:basedOn w:val="DefaultParagraphFont"/>
    <w:uiPriority w:val="1"/>
    <w:qFormat/>
    <w:rsid w:val="00AC58AC"/>
    <w:rPr>
      <w:rFonts w:ascii="Tahoma" w:hAnsi="Tahoma" w:cs="Tahoma"/>
      <w:color w:val="00305F"/>
      <w:spacing w:val="20"/>
      <w:sz w:val="19"/>
      <w:szCs w:val="19"/>
    </w:rPr>
  </w:style>
  <w:style w:type="character" w:customStyle="1" w:styleId="KOT7N">
    <w:name w:val="KOT7N"/>
    <w:basedOn w:val="KOT8N"/>
    <w:uiPriority w:val="1"/>
    <w:qFormat/>
    <w:rsid w:val="00AC58AC"/>
    <w:rPr>
      <w:rFonts w:ascii="Tahoma" w:hAnsi="Tahoma" w:cs="Tahoma"/>
      <w:b/>
      <w:bCs/>
      <w:color w:val="00305F"/>
      <w:spacing w:val="20"/>
      <w:sz w:val="18"/>
      <w:szCs w:val="18"/>
    </w:rPr>
  </w:style>
  <w:style w:type="paragraph" w:customStyle="1" w:styleId="KOT-TAB">
    <w:name w:val="KOT-TAB"/>
    <w:basedOn w:val="Normal"/>
    <w:qFormat/>
    <w:rsid w:val="00AC58AC"/>
    <w:pPr>
      <w:keepNext/>
      <w:tabs>
        <w:tab w:val="left" w:pos="424"/>
      </w:tabs>
      <w:spacing w:before="240" w:after="240" w:line="260" w:lineRule="exact"/>
      <w:jc w:val="center"/>
    </w:pPr>
    <w:rPr>
      <w:rFonts w:ascii="Tahoma" w:hAnsi="Tahoma" w:cs="Tahoma"/>
      <w:color w:val="0D0D0D" w:themeColor="text1" w:themeTint="F2"/>
      <w:sz w:val="20"/>
      <w:szCs w:val="20"/>
    </w:rPr>
  </w:style>
  <w:style w:type="paragraph" w:customStyle="1" w:styleId="KOT-source">
    <w:name w:val="KOT-source"/>
    <w:basedOn w:val="Normal"/>
    <w:qFormat/>
    <w:rsid w:val="00AC58AC"/>
    <w:pPr>
      <w:tabs>
        <w:tab w:val="left" w:pos="424"/>
      </w:tabs>
      <w:spacing w:after="240" w:line="260" w:lineRule="exact"/>
      <w:jc w:val="both"/>
    </w:pPr>
    <w:rPr>
      <w:rFonts w:ascii="Tahoma" w:hAnsi="Tahoma" w:cs="Tahoma"/>
      <w:color w:val="0D0D0D" w:themeColor="text1" w:themeTint="F2"/>
      <w:sz w:val="16"/>
      <w:szCs w:val="16"/>
    </w:rPr>
  </w:style>
  <w:style w:type="paragraph" w:customStyle="1" w:styleId="7195">
    <w:name w:val="71ג בולד 9.5 בתוך שורה"/>
    <w:basedOn w:val="Normal"/>
    <w:link w:val="7195Char"/>
    <w:qFormat/>
    <w:rsid w:val="00770D17"/>
    <w:pPr>
      <w:spacing w:after="180" w:line="260" w:lineRule="exact"/>
      <w:ind w:left="397"/>
      <w:jc w:val="both"/>
      <w:outlineLvl w:val="3"/>
    </w:pPr>
    <w:rPr>
      <w:rFonts w:ascii="Tahoma" w:hAnsi="Tahoma" w:eastAsiaTheme="minorHAnsi" w:cs="Tahoma"/>
      <w:bCs/>
      <w:noProof/>
      <w:color w:val="0D0D0D" w:themeColor="text1" w:themeTint="F2"/>
      <w:sz w:val="18"/>
      <w:szCs w:val="19"/>
      <w:lang w:val="he-IL"/>
    </w:rPr>
  </w:style>
  <w:style w:type="character" w:customStyle="1" w:styleId="7195Char">
    <w:name w:val="71ג בולד 9.5 בתוך שורה Char"/>
    <w:basedOn w:val="DefaultParagraphFont"/>
    <w:link w:val="7195"/>
    <w:rsid w:val="00770D17"/>
    <w:rPr>
      <w:rFonts w:ascii="Tahoma" w:hAnsi="Tahoma" w:eastAsiaTheme="minorHAnsi" w:cs="Tahoma"/>
      <w:bCs/>
      <w:noProof/>
      <w:color w:val="0D0D0D" w:themeColor="text1" w:themeTint="F2"/>
      <w:sz w:val="18"/>
      <w:szCs w:val="19"/>
      <w:lang w:val="he-IL"/>
    </w:rPr>
  </w:style>
  <w:style w:type="table" w:customStyle="1" w:styleId="BlueTable">
    <w:name w:val="Blue Table"/>
    <w:basedOn w:val="GridTable4Accent1"/>
    <w:uiPriority w:val="99"/>
    <w:rsid w:val="00770D17"/>
    <w:pPr>
      <w:spacing w:before="120"/>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0F6FC6"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C7E2FA"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GridTable4Accent1">
    <w:name w:val="Grid Table 4 Accent 1"/>
    <w:basedOn w:val="TableNormal"/>
    <w:uiPriority w:val="49"/>
    <w:rsid w:val="00770D17"/>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paragraph" w:customStyle="1" w:styleId="a22">
    <w:name w:val="הערות שוליים דוח קורונה"/>
    <w:basedOn w:val="FootnoteText"/>
    <w:qFormat/>
    <w:rsid w:val="00B70706"/>
    <w:pPr>
      <w:bidi w:val="0"/>
      <w:spacing w:after="120"/>
      <w:ind w:left="0" w:right="0" w:firstLine="0"/>
    </w:pPr>
  </w:style>
  <w:style w:type="paragraph" w:customStyle="1" w:styleId="719">
    <w:name w:val="71ג׳ טקסט רץ 9"/>
    <w:basedOn w:val="Normal"/>
    <w:link w:val="7190"/>
    <w:qFormat/>
    <w:rsid w:val="00BD3044"/>
    <w:pPr>
      <w:spacing w:after="180" w:line="260" w:lineRule="exact"/>
      <w:jc w:val="both"/>
    </w:pPr>
    <w:rPr>
      <w:rFonts w:ascii="Tahoma" w:hAnsi="Tahoma" w:eastAsiaTheme="minorHAnsi" w:cs="Tahoma"/>
      <w:color w:val="0D0D0D" w:themeColor="text1" w:themeTint="F2"/>
      <w:sz w:val="18"/>
      <w:szCs w:val="18"/>
    </w:rPr>
  </w:style>
  <w:style w:type="character" w:customStyle="1" w:styleId="7190">
    <w:name w:val="71ג׳ טקסט רץ 9 תו"/>
    <w:basedOn w:val="DefaultParagraphFont"/>
    <w:link w:val="719"/>
    <w:rsid w:val="00BD3044"/>
    <w:rPr>
      <w:rFonts w:ascii="Tahoma" w:hAnsi="Tahoma" w:eastAsiaTheme="minorHAnsi" w:cs="Tahoma"/>
      <w:color w:val="0D0D0D" w:themeColor="text1" w:themeTint="F2"/>
      <w:sz w:val="18"/>
      <w:szCs w:val="18"/>
    </w:rPr>
  </w:style>
  <w:style w:type="paragraph" w:customStyle="1" w:styleId="710">
    <w:name w:val="71ג הערות שוליים"/>
    <w:basedOn w:val="FootnoteText"/>
    <w:link w:val="71Char"/>
    <w:qFormat/>
    <w:rsid w:val="00493F55"/>
    <w:pPr>
      <w:keepLines w:val="0"/>
      <w:spacing w:after="60"/>
      <w:ind w:right="0"/>
    </w:pPr>
    <w:rPr>
      <w:rFonts w:eastAsiaTheme="minorHAnsi"/>
      <w:color w:val="0D0D0D" w:themeColor="text1" w:themeTint="F2"/>
    </w:rPr>
  </w:style>
  <w:style w:type="paragraph" w:customStyle="1" w:styleId="711">
    <w:name w:val="71ג מקרא+הערות לתרשים/לוח/תמונה"/>
    <w:basedOn w:val="710"/>
    <w:link w:val="71Char0"/>
    <w:qFormat/>
    <w:rsid w:val="00A52F64"/>
    <w:pPr>
      <w:spacing w:before="120" w:after="240" w:line="260" w:lineRule="exact"/>
    </w:pPr>
    <w:rPr>
      <w:sz w:val="16"/>
      <w:szCs w:val="16"/>
    </w:rPr>
  </w:style>
  <w:style w:type="character" w:customStyle="1" w:styleId="71Char">
    <w:name w:val="71ג הערות שוליים Char"/>
    <w:basedOn w:val="DefaultParagraphFont"/>
    <w:link w:val="710"/>
    <w:rsid w:val="00493F55"/>
    <w:rPr>
      <w:rFonts w:ascii="Tahoma" w:hAnsi="Tahoma" w:eastAsiaTheme="minorHAnsi" w:cs="Tahoma"/>
      <w:color w:val="0D0D0D" w:themeColor="text1" w:themeTint="F2"/>
      <w:sz w:val="14"/>
      <w:szCs w:val="14"/>
    </w:rPr>
  </w:style>
  <w:style w:type="character" w:customStyle="1" w:styleId="71Char0">
    <w:name w:val="71ג מקרא+הערות לתרשים/לוח/תמונה Char"/>
    <w:basedOn w:val="71Char"/>
    <w:link w:val="711"/>
    <w:rsid w:val="00A52F64"/>
    <w:rPr>
      <w:rFonts w:ascii="Tahoma" w:hAnsi="Tahoma" w:eastAsiaTheme="minorHAnsi" w:cs="Tahoma"/>
      <w:color w:val="0D0D0D" w:themeColor="text1" w:themeTint="F2"/>
      <w:sz w:val="16"/>
      <w:szCs w:val="16"/>
    </w:rPr>
  </w:style>
  <w:style w:type="paragraph" w:customStyle="1" w:styleId="712">
    <w:name w:val="71ג היפרלינק"/>
    <w:basedOn w:val="710"/>
    <w:link w:val="71Char1"/>
    <w:qFormat/>
    <w:rsid w:val="00A52F64"/>
    <w:pPr>
      <w:bidi w:val="0"/>
    </w:pPr>
    <w:rPr>
      <w:color w:val="0000FF"/>
      <w:u w:val="single"/>
    </w:rPr>
  </w:style>
  <w:style w:type="character" w:customStyle="1" w:styleId="71Char1">
    <w:name w:val="71ג היפרלינק Char"/>
    <w:basedOn w:val="71Char"/>
    <w:link w:val="712"/>
    <w:rsid w:val="00A52F64"/>
    <w:rPr>
      <w:rFonts w:ascii="Tahoma" w:hAnsi="Tahoma" w:eastAsiaTheme="minorHAnsi" w:cs="Tahoma"/>
      <w:color w:val="0000FF"/>
      <w:sz w:val="14"/>
      <w:szCs w:val="14"/>
      <w:u w:val="single"/>
    </w:rPr>
  </w:style>
  <w:style w:type="paragraph" w:customStyle="1" w:styleId="7120">
    <w:name w:val="71ג כותרת 2"/>
    <w:basedOn w:val="Normal"/>
    <w:link w:val="712Char"/>
    <w:qFormat/>
    <w:rsid w:val="001D65CE"/>
    <w:pPr>
      <w:keepNext/>
      <w:spacing w:before="360" w:after="240" w:line="440" w:lineRule="exact"/>
      <w:outlineLvl w:val="1"/>
    </w:pPr>
    <w:rPr>
      <w:rFonts w:ascii="Tahoma" w:hAnsi="Tahoma" w:eastAsiaTheme="minorHAnsi" w:cs="Tahoma"/>
      <w:b/>
      <w:bCs/>
      <w:color w:val="00305F"/>
      <w:sz w:val="40"/>
      <w:szCs w:val="34"/>
    </w:rPr>
  </w:style>
  <w:style w:type="character" w:customStyle="1" w:styleId="712Char">
    <w:name w:val="71ג כותרת 2 Char"/>
    <w:basedOn w:val="DefaultParagraphFont"/>
    <w:link w:val="7120"/>
    <w:rsid w:val="001D65CE"/>
    <w:rPr>
      <w:rFonts w:ascii="Tahoma" w:hAnsi="Tahoma" w:eastAsiaTheme="minorHAnsi" w:cs="Tahoma"/>
      <w:b/>
      <w:bCs/>
      <w:color w:val="00305F"/>
      <w:sz w:val="40"/>
      <w:szCs w:val="34"/>
    </w:rPr>
  </w:style>
  <w:style w:type="paragraph" w:customStyle="1" w:styleId="713">
    <w:name w:val="71ג מספור הערות שוליים"/>
    <w:basedOn w:val="710"/>
    <w:qFormat/>
    <w:rsid w:val="001E44CF"/>
  </w:style>
  <w:style w:type="paragraph" w:customStyle="1" w:styleId="7191">
    <w:name w:val="71ג טקסט רץ 9"/>
    <w:basedOn w:val="Normal"/>
    <w:link w:val="719Char"/>
    <w:qFormat/>
    <w:rsid w:val="0010564D"/>
    <w:pPr>
      <w:spacing w:after="180" w:line="260" w:lineRule="exact"/>
      <w:jc w:val="both"/>
      <w:outlineLvl w:val="3"/>
    </w:pPr>
    <w:rPr>
      <w:rFonts w:ascii="Tahoma" w:hAnsi="Tahoma" w:eastAsiaTheme="minorHAnsi" w:cs="Tahoma"/>
      <w:color w:val="0D0D0D" w:themeColor="text1" w:themeTint="F2"/>
      <w:sz w:val="18"/>
      <w:szCs w:val="18"/>
    </w:rPr>
  </w:style>
  <w:style w:type="character" w:customStyle="1" w:styleId="719Char">
    <w:name w:val="71ג טקסט רץ 9 Char"/>
    <w:basedOn w:val="DefaultParagraphFont"/>
    <w:link w:val="7191"/>
    <w:rsid w:val="0010564D"/>
    <w:rPr>
      <w:rFonts w:ascii="Tahoma" w:hAnsi="Tahoma" w:eastAsiaTheme="minorHAnsi" w:cs="Tahoma"/>
      <w:color w:val="0D0D0D" w:themeColor="text1" w:themeTint="F2"/>
      <w:sz w:val="18"/>
      <w:szCs w:val="18"/>
    </w:rPr>
  </w:style>
  <w:style w:type="paragraph" w:customStyle="1" w:styleId="71612">
    <w:name w:val="71ג כותרת 6_12"/>
    <w:basedOn w:val="Normal"/>
    <w:link w:val="716120"/>
    <w:qFormat/>
    <w:rsid w:val="0010564D"/>
    <w:pPr>
      <w:spacing w:before="240" w:after="180" w:line="240" w:lineRule="atLeast"/>
    </w:pPr>
    <w:rPr>
      <w:rFonts w:ascii="Tahoma" w:hAnsi="Tahoma" w:eastAsiaTheme="minorHAnsi" w:cs="Tahoma"/>
      <w:color w:val="00305F"/>
      <w:sz w:val="24"/>
      <w:szCs w:val="24"/>
    </w:rPr>
  </w:style>
  <w:style w:type="character" w:customStyle="1" w:styleId="716120">
    <w:name w:val="71ג כותרת 6_12 תו"/>
    <w:basedOn w:val="DefaultParagraphFont"/>
    <w:link w:val="71612"/>
    <w:rsid w:val="0010564D"/>
    <w:rPr>
      <w:rFonts w:ascii="Tahoma" w:hAnsi="Tahoma" w:eastAsiaTheme="minorHAnsi" w:cs="Tahoma"/>
      <w:color w:val="00305F"/>
      <w:sz w:val="24"/>
      <w:szCs w:val="24"/>
    </w:rPr>
  </w:style>
  <w:style w:type="paragraph" w:customStyle="1" w:styleId="714">
    <w:name w:val="71ג מספור בתוך קוביה"/>
    <w:basedOn w:val="ListParagraph"/>
    <w:qFormat/>
    <w:rsid w:val="00463924"/>
    <w:pPr>
      <w:numPr>
        <w:numId w:val="6"/>
      </w:numPr>
      <w:pBdr>
        <w:top w:val="single" w:sz="18" w:space="4" w:color="EDF1FA"/>
        <w:left w:val="single" w:sz="18" w:space="11" w:color="EDF1FA"/>
        <w:bottom w:val="single" w:sz="18" w:space="6" w:color="EDF1FA"/>
        <w:right w:val="single" w:sz="18" w:space="11" w:color="EDF1FA"/>
      </w:pBdr>
      <w:shd w:val="solid" w:color="EDF1FA" w:fill="CEEAF5"/>
      <w:autoSpaceDE/>
      <w:autoSpaceDN/>
      <w:adjustRightInd/>
      <w:spacing w:after="180" w:line="260" w:lineRule="exact"/>
      <w:ind w:left="397" w:right="227" w:hanging="397"/>
    </w:pPr>
    <w:rPr>
      <w:rFonts w:eastAsiaTheme="minorHAnsi"/>
      <w:color w:val="0D0D0D" w:themeColor="text1" w:themeTint="F2"/>
      <w:sz w:val="18"/>
      <w:szCs w:val="18"/>
    </w:rPr>
  </w:style>
  <w:style w:type="paragraph" w:customStyle="1" w:styleId="2021">
    <w:name w:val="כיתוב בתוך טבלת תקציר 2021"/>
    <w:basedOn w:val="Normal"/>
    <w:link w:val="2021Char"/>
    <w:qFormat/>
    <w:rsid w:val="00041AEB"/>
    <w:pPr>
      <w:spacing w:after="180" w:line="240" w:lineRule="auto"/>
      <w:outlineLvl w:val="0"/>
    </w:pPr>
    <w:rPr>
      <w:rFonts w:ascii="Tahoma" w:hAnsi="Tahoma" w:cs="Tahoma"/>
      <w:color w:val="0D0D0D" w:themeColor="text1" w:themeTint="F2"/>
      <w:w w:val="90"/>
      <w:sz w:val="18"/>
      <w:szCs w:val="18"/>
    </w:rPr>
  </w:style>
  <w:style w:type="character" w:customStyle="1" w:styleId="2021Char">
    <w:name w:val="כיתוב בתוך טבלת תקציר 2021 Char"/>
    <w:basedOn w:val="DefaultParagraphFont"/>
    <w:link w:val="2021"/>
    <w:rsid w:val="00041AEB"/>
    <w:rPr>
      <w:rFonts w:ascii="Tahoma" w:hAnsi="Tahoma" w:cs="Tahoma"/>
      <w:color w:val="0D0D0D" w:themeColor="text1" w:themeTint="F2"/>
      <w:w w:val="90"/>
      <w:sz w:val="18"/>
      <w:szCs w:val="18"/>
    </w:rPr>
  </w:style>
  <w:style w:type="character" w:customStyle="1" w:styleId="24">
    <w:name w:val="כותרת תחתונה תו2"/>
    <w:basedOn w:val="DefaultParagraphFont"/>
    <w:uiPriority w:val="99"/>
    <w:rsid w:val="00B56681"/>
  </w:style>
  <w:style w:type="paragraph" w:customStyle="1" w:styleId="715">
    <w:name w:val="71ג הזחה אותיות"/>
    <w:basedOn w:val="ListParagraph"/>
    <w:qFormat/>
    <w:rsid w:val="007E0204"/>
    <w:pPr>
      <w:numPr>
        <w:numId w:val="8"/>
      </w:numPr>
      <w:autoSpaceDE/>
      <w:autoSpaceDN/>
      <w:adjustRightInd/>
      <w:spacing w:after="180" w:line="260" w:lineRule="exact"/>
      <w:ind w:left="794" w:hanging="397"/>
      <w:contextualSpacing/>
    </w:pPr>
    <w:rPr>
      <w:rFonts w:eastAsiaTheme="minorHAnsi"/>
      <w:color w:val="0D0D0D" w:themeColor="text1" w:themeTint="F2"/>
      <w:sz w:val="18"/>
      <w:szCs w:val="18"/>
    </w:rPr>
  </w:style>
  <w:style w:type="paragraph" w:customStyle="1" w:styleId="font2">
    <w:name w:val="font_2"/>
    <w:basedOn w:val="Normal"/>
    <w:rsid w:val="007E02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17Char">
    <w:name w:val="71 ג כותרת 7 הדגשת קטע בטקסט רץ Char"/>
    <w:basedOn w:val="7190"/>
    <w:link w:val="717"/>
    <w:rsid w:val="00A8593C"/>
    <w:rPr>
      <w:rFonts w:ascii="Tahoma" w:hAnsi="Tahoma" w:eastAsiaTheme="minorHAnsi" w:cs="Tahoma"/>
      <w:bCs/>
      <w:color w:val="0D0D0D" w:themeColor="text1" w:themeTint="F2"/>
      <w:sz w:val="18"/>
      <w:szCs w:val="18"/>
    </w:rPr>
  </w:style>
  <w:style w:type="paragraph" w:customStyle="1" w:styleId="717">
    <w:name w:val="71 ג כותרת 7 הדגשת קטע בטקסט רץ"/>
    <w:basedOn w:val="719"/>
    <w:link w:val="717Char"/>
    <w:qFormat/>
    <w:rsid w:val="00A8593C"/>
    <w:rPr>
      <w:rFonts w:eastAsiaTheme="minorEastAsia"/>
      <w:bCs/>
    </w:rPr>
  </w:style>
  <w:style w:type="paragraph" w:customStyle="1" w:styleId="716">
    <w:name w:val="71ג הזחה ראשונה ללא מספר"/>
    <w:basedOn w:val="Normal"/>
    <w:qFormat/>
    <w:rsid w:val="008874F2"/>
    <w:pPr>
      <w:spacing w:after="180" w:line="260" w:lineRule="exact"/>
      <w:ind w:left="397"/>
      <w:jc w:val="both"/>
    </w:pPr>
    <w:rPr>
      <w:rFonts w:ascii="Tahoma" w:hAnsi="Tahoma" w:eastAsiaTheme="minorHAnsi" w:cs="Tahoma"/>
      <w:color w:val="0D0D0D" w:themeColor="text1" w:themeTint="F2"/>
      <w:sz w:val="18"/>
      <w:szCs w:val="18"/>
    </w:rPr>
  </w:style>
  <w:style w:type="paragraph" w:styleId="ListBullet">
    <w:name w:val="List Bullet"/>
    <w:basedOn w:val="Normal"/>
    <w:uiPriority w:val="99"/>
    <w:unhideWhenUsed/>
    <w:rsid w:val="00424CEB"/>
    <w:pPr>
      <w:numPr>
        <w:numId w:val="25"/>
      </w:numPr>
      <w:bidi w:val="0"/>
      <w:spacing w:after="0" w:line="259" w:lineRule="auto"/>
      <w:contextualSpacing/>
      <w:jc w:val="both"/>
    </w:pPr>
    <w:rPr>
      <w:rFonts w:ascii="Times New Roman" w:hAnsi="Times New Roman" w:eastAsiaTheme="minorHAnsi" w:cs="David"/>
      <w:sz w:val="24"/>
      <w:szCs w:val="28"/>
    </w:rPr>
  </w:style>
  <w:style w:type="paragraph" w:customStyle="1" w:styleId="73R">
    <w:name w:val="73א טבלה טקסט R"/>
    <w:basedOn w:val="Normal"/>
    <w:qFormat/>
    <w:rsid w:val="00493F55"/>
    <w:pPr>
      <w:keepLines/>
      <w:spacing w:before="120" w:line="200" w:lineRule="exact"/>
    </w:pPr>
    <w:rPr>
      <w:rFonts w:ascii="Tahoma" w:hAnsi="Tahoma" w:cs="Tahoma"/>
      <w:sz w:val="16"/>
      <w:szCs w:val="16"/>
    </w:rPr>
  </w:style>
  <w:style w:type="paragraph" w:customStyle="1" w:styleId="a23">
    <w:name w:val="טקסט טבלה"/>
    <w:basedOn w:val="Normal"/>
    <w:qFormat/>
    <w:rsid w:val="00921FB5"/>
    <w:pPr>
      <w:keepLines/>
      <w:bidi w:val="0"/>
      <w:spacing w:before="120" w:line="240" w:lineRule="auto"/>
    </w:pPr>
    <w:rPr>
      <w:rFonts w:ascii="Tahoma" w:hAnsi="Tahoma" w:cs="Tahoma"/>
      <w:sz w:val="16"/>
      <w:szCs w:val="16"/>
    </w:rPr>
  </w:style>
  <w:style w:type="paragraph" w:customStyle="1" w:styleId="730">
    <w:name w:val="73א הערות שוליים"/>
    <w:basedOn w:val="FootnoteText"/>
    <w:link w:val="731"/>
    <w:qFormat/>
    <w:rsid w:val="00434B71"/>
    <w:pPr>
      <w:keepLines w:val="0"/>
      <w:spacing w:after="60" w:line="220" w:lineRule="exact"/>
      <w:ind w:right="0"/>
    </w:pPr>
    <w:rPr>
      <w:rFonts w:eastAsiaTheme="minorHAnsi"/>
      <w:color w:val="0D0D0D" w:themeColor="text1" w:themeTint="F2"/>
    </w:rPr>
  </w:style>
  <w:style w:type="character" w:customStyle="1" w:styleId="731">
    <w:name w:val="73א הערות שוליים תו"/>
    <w:basedOn w:val="DefaultParagraphFont"/>
    <w:link w:val="730"/>
    <w:rsid w:val="00434B71"/>
    <w:rPr>
      <w:rFonts w:ascii="Tahoma" w:hAnsi="Tahoma" w:eastAsiaTheme="minorHAnsi" w:cs="Tahoma"/>
      <w:color w:val="0D0D0D" w:themeColor="text1" w:themeTint="F2"/>
      <w:sz w:val="14"/>
      <w:szCs w:val="14"/>
    </w:rPr>
  </w:style>
  <w:style w:type="character" w:customStyle="1" w:styleId="34">
    <w:name w:val="טקסט הערת שוליים תו3"/>
    <w:aliases w:val=" Char תו1,F תו,FOOTNOTES תו1,Footnote Text - Sharp Char Char תו1,Footnote Text - Sharp Char תו1,Footnote Text - Sharp תו1,Footnote Text Char Char Char Char Char תו1,Footnote reference תו1,Sharp - Footnote Text תו1,fn תו1"/>
    <w:basedOn w:val="DefaultParagraphFont"/>
    <w:uiPriority w:val="99"/>
    <w:rsid w:val="002A18A0"/>
    <w:rPr>
      <w:szCs w:val="20"/>
    </w:rPr>
  </w:style>
  <w:style w:type="table" w:customStyle="1" w:styleId="4-11">
    <w:name w:val="טבלת רשת 4 - הדגשה 11"/>
    <w:basedOn w:val="TableNormal"/>
    <w:uiPriority w:val="49"/>
    <w:rsid w:val="006E013E"/>
    <w:pPr>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paragraph" w:customStyle="1" w:styleId="732">
    <w:name w:val="73א הזחה ראשונה ללא מספר"/>
    <w:basedOn w:val="Normal"/>
    <w:qFormat/>
    <w:rsid w:val="002F6545"/>
    <w:pPr>
      <w:spacing w:after="180" w:line="260" w:lineRule="exact"/>
      <w:ind w:left="397"/>
      <w:jc w:val="both"/>
    </w:pPr>
    <w:rPr>
      <w:rFonts w:ascii="Tahoma" w:hAnsi="Tahoma" w:eastAsiaTheme="minorHAnsi" w:cs="Tahoma"/>
      <w:color w:val="0D0D0D" w:themeColor="text1" w:themeTint="F2"/>
      <w:sz w:val="18"/>
      <w:szCs w:val="18"/>
    </w:rPr>
  </w:style>
  <w:style w:type="paragraph" w:customStyle="1" w:styleId="a24">
    <w:name w:val="קריאות"/>
    <w:basedOn w:val="Normal"/>
    <w:next w:val="Normal"/>
    <w:rsid w:val="002F6545"/>
    <w:pPr>
      <w:spacing w:after="0" w:line="240" w:lineRule="exact"/>
      <w:jc w:val="both"/>
    </w:pPr>
    <w:rPr>
      <w:rFonts w:ascii="David" w:eastAsia="Times New Roman" w:hAnsi="David" w:cs="David"/>
      <w:sz w:val="24"/>
      <w:szCs w:val="24"/>
      <w:u w:val="single"/>
      <w:lang w:eastAsia="he-IL"/>
    </w:rPr>
  </w:style>
  <w:style w:type="paragraph" w:customStyle="1" w:styleId="71R">
    <w:name w:val="71ג טבלה טקסט R"/>
    <w:basedOn w:val="Normal"/>
    <w:qFormat/>
    <w:rsid w:val="002F6545"/>
    <w:pPr>
      <w:spacing w:before="120" w:line="240" w:lineRule="exact"/>
    </w:pPr>
    <w:rPr>
      <w:rFonts w:ascii="Tahoma" w:hAnsi="Tahoma" w:cs="Tahoma"/>
      <w:color w:val="000000" w:themeColor="text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4.jpeg"/><Relationship Id="rId26" Type="http://schemas.openxmlformats.org/officeDocument/2006/relationships/image" Target="media/image12.jpeg"/><Relationship Id="rId21" Type="http://schemas.openxmlformats.org/officeDocument/2006/relationships/image" Target="media/image7.jpeg"/><Relationship Id="rId3" Type="http://schemas.openxmlformats.org/officeDocument/2006/relationships/settings" Target="settings.xml"/><Relationship Id="rId34" Type="http://schemas.openxmlformats.org/officeDocument/2006/relationships/customXml" Target="../customXml/item2.xml"/><Relationship Id="rId12" Type="http://schemas.openxmlformats.org/officeDocument/2006/relationships/footer" Target="footer3.xml"/><Relationship Id="rId17" Type="http://schemas.openxmlformats.org/officeDocument/2006/relationships/image" Target="media/image3.jpeg"/><Relationship Id="rId25" Type="http://schemas.openxmlformats.org/officeDocument/2006/relationships/image" Target="media/image11.jpeg"/><Relationship Id="rId33" Type="http://schemas.openxmlformats.org/officeDocument/2006/relationships/styles" Target="styles.xml"/><Relationship Id="rId7" Type="http://schemas.openxmlformats.org/officeDocument/2006/relationships/header" Target="header1.xml"/><Relationship Id="rId16" Type="http://schemas.openxmlformats.org/officeDocument/2006/relationships/header" Target="header6.xml"/><Relationship Id="rId2" Type="http://schemas.openxmlformats.org/officeDocument/2006/relationships/endnotes" Target="endnotes.xml"/><Relationship Id="rId20" Type="http://schemas.openxmlformats.org/officeDocument/2006/relationships/image" Target="media/image6.jpeg"/><Relationship Id="rId29" Type="http://schemas.openxmlformats.org/officeDocument/2006/relationships/header" Target="header8.xml"/><Relationship Id="rId1"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0.jpeg"/><Relationship Id="rId32" Type="http://schemas.openxmlformats.org/officeDocument/2006/relationships/numbering" Target="numbering.xml"/><Relationship Id="rId6" Type="http://schemas.openxmlformats.org/officeDocument/2006/relationships/customXml" Target="../customXml/item1.xml"/><Relationship Id="rId15" Type="http://schemas.openxmlformats.org/officeDocument/2006/relationships/header" Target="header5.xml"/><Relationship Id="rId23" Type="http://schemas.openxmlformats.org/officeDocument/2006/relationships/image" Target="media/image9.jpeg"/><Relationship Id="rId28" Type="http://schemas.openxmlformats.org/officeDocument/2006/relationships/header" Target="header7.xml"/><Relationship Id="rId5" Type="http://schemas.openxmlformats.org/officeDocument/2006/relationships/fontTable" Target="fontTable.xml"/><Relationship Id="rId36"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image" Target="media/image5.jpeg"/><Relationship Id="rId31" Type="http://schemas.openxmlformats.org/officeDocument/2006/relationships/theme" Target="theme/theme1.xml"/><Relationship Id="rId14" Type="http://schemas.openxmlformats.org/officeDocument/2006/relationships/header" Target="header4.xml"/><Relationship Id="rId22" Type="http://schemas.openxmlformats.org/officeDocument/2006/relationships/image" Target="media/image8.jpeg"/><Relationship Id="rId27" Type="http://schemas.openxmlformats.org/officeDocument/2006/relationships/image" Target="media/image13.emf"/><Relationship Id="rId30"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1.xml"/><Relationship Id="rId35" Type="http://schemas.openxmlformats.org/officeDocument/2006/relationships/customXml" Target="../customXml/item3.xml"/><Relationship Id="rId8" Type="http://schemas.openxmlformats.org/officeDocument/2006/relationships/header" Target="header2.xml"/></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s>
</file>

<file path=word/_rels/header7.xml.rels><?xml version="1.0" encoding="utf-8" standalone="yes"?><Relationships xmlns="http://schemas.openxmlformats.org/package/2006/relationships"><Relationship Id="rId1" Type="http://schemas.openxmlformats.org/officeDocument/2006/relationships/image" Target="media/image14.jpeg" /></Relationships>
</file>

<file path=word/_rels/header8.xml.rels><?xml version="1.0" encoding="utf-8" standalone="yes"?><Relationships xmlns="http://schemas.openxmlformats.org/package/2006/relationships"><Relationship Id="rId1" Type="http://schemas.openxmlformats.org/officeDocument/2006/relationships/image" Target="media/image15.jpeg" /></Relationships>
</file>

<file path=word/_rels/numbering.xml.rels><?xml version="1.0" encoding="utf-8" standalone="yes"?><Relationships xmlns="http://schemas.openxmlformats.org/package/2006/relationships"><Relationship Id="rId1" Type="http://schemas.openxmlformats.org/officeDocument/2006/relationships/image" Target="media/image16.png" /></Relationships>
</file>

<file path=word/theme/_rels/theme1.xml.rels><?xml version="1.0" encoding="utf-8" standalone="yes"?><Relationships xmlns="http://schemas.openxmlformats.org/package/2006/relationships"><Relationship Id="rId1" Type="http://schemas.openxmlformats.org/officeDocument/2006/relationships/image" Target="../media/image18.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1DF395-4A6D-4BC0-978A-D3BFA99824FB}">
  <ds:schemaRefs>
    <ds:schemaRef ds:uri="http://schemas.openxmlformats.org/officeDocument/2006/bibliography"/>
  </ds:schemaRefs>
</ds:datastoreItem>
</file>

<file path=customXml/itemProps2.xml><?xml version="1.0" encoding="utf-8"?>
<ds:datastoreItem xmlns:ds="http://schemas.openxmlformats.org/officeDocument/2006/customXml" ds:itemID="{775CC5C6-4E4C-445E-893E-C0A0BD113F7B}"/>
</file>

<file path=customXml/itemProps3.xml><?xml version="1.0" encoding="utf-8"?>
<ds:datastoreItem xmlns:ds="http://schemas.openxmlformats.org/officeDocument/2006/customXml" ds:itemID="{AF5D3FC5-F200-49EF-8BFC-4948CF4E858C}"/>
</file>

<file path=customXml/itemProps4.xml><?xml version="1.0" encoding="utf-8"?>
<ds:datastoreItem xmlns:ds="http://schemas.openxmlformats.org/officeDocument/2006/customXml" ds:itemID="{4B292F45-A6E7-4381-A059-48B5B18C2508}"/>
</file>

<file path=docProps/app.xml><?xml version="1.0" encoding="utf-8"?>
<Properties xmlns="http://schemas.openxmlformats.org/officeDocument/2006/extended-properties" xmlns:vt="http://schemas.openxmlformats.org/officeDocument/2006/docPropsVTypes">
  <Template>Normal.dotm</Template>
  <TotalTime>6</TotalTime>
  <Pages>18</Pages>
  <Words>6392</Words>
  <Characters>31964</Characters>
  <Application>Microsoft Office Word</Application>
  <DocSecurity>0</DocSecurity>
  <Lines>266</Lines>
  <Paragraphs>76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Cellular Communication Infrastructure</dc:title>
  <cp:lastModifiedBy>studio er</cp:lastModifiedBy>
  <cp:revision>10</cp:revision>
  <cp:lastPrinted>2022-08-30T09:23:00Z</cp:lastPrinted>
  <dcterms:created xsi:type="dcterms:W3CDTF">2025-02-24T12:57:00Z</dcterms:created>
  <dcterms:modified xsi:type="dcterms:W3CDTF">2025-03-20T11:37:00Z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