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696877F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3062122</wp:posOffset>
                </wp:positionH>
                <wp:positionV relativeFrom="paragraph">
                  <wp:posOffset>262509</wp:posOffset>
                </wp:positionV>
                <wp:extent cx="0" cy="4184294"/>
                <wp:effectExtent l="25400" t="0" r="25400" b="3238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18429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1pt,20.65pt" to="241.1pt,350.1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221BD414">
                            <w:pPr>
                              <w:pStyle w:val="a33"/>
                              <w:bidi/>
                              <w:rPr>
                                <w:rtl/>
                              </w:rPr>
                            </w:pPr>
                            <w:r w:rsidRPr="00D96002">
                              <w:rPr>
                                <w:rtl/>
                              </w:rPr>
                              <w:t xml:space="preserve">דוח מבקר המדינה | חשוון </w:t>
                            </w:r>
                            <w:r w:rsidRPr="00D96002">
                              <w:rPr>
                                <w:rtl/>
                              </w:rPr>
                              <w:t>התשפ"</w:t>
                            </w:r>
                            <w:r w:rsidR="0086016C">
                              <w:rPr>
                                <w:rFonts w:hint="cs"/>
                                <w:rtl/>
                              </w:rPr>
                              <w:t>ה</w:t>
                            </w:r>
                            <w:r w:rsidRPr="00D96002">
                              <w:rPr>
                                <w:rtl/>
                              </w:rPr>
                              <w:t xml:space="preserve"> | נובמבר 2024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422467E0">
                            <w:pPr>
                              <w:pStyle w:val="-1"/>
                              <w:rPr>
                                <w:rtl/>
                              </w:rPr>
                            </w:pPr>
                            <w:r w:rsidRPr="00AF3B73">
                              <w:rPr>
                                <w:rtl/>
                              </w:rPr>
                              <w:t xml:space="preserve">המשרד </w:t>
                            </w:r>
                            <w:r w:rsidR="003D4970">
                              <w:rPr>
                                <w:rFonts w:hint="cs"/>
                                <w:rtl/>
                              </w:rPr>
                              <w:t>לשיתוף</w:t>
                            </w:r>
                            <w:r w:rsidR="00AB2F78">
                              <w:rPr>
                                <w:rFonts w:hint="cs"/>
                                <w:rtl/>
                              </w:rPr>
                              <w:t xml:space="preserve"> </w:t>
                            </w:r>
                            <w:r w:rsidR="003D4970">
                              <w:rPr>
                                <w:rFonts w:hint="cs"/>
                                <w:rtl/>
                              </w:rPr>
                              <w:t>פעולה</w:t>
                            </w:r>
                            <w:r w:rsidR="00AB2F78">
                              <w:rPr>
                                <w:rFonts w:hint="cs"/>
                                <w:rtl/>
                              </w:rPr>
                              <w:t xml:space="preserve"> </w:t>
                            </w:r>
                            <w:r w:rsidR="003D4970">
                              <w:rPr>
                                <w:rFonts w:hint="cs"/>
                                <w:rtl/>
                              </w:rPr>
                              <w:t>אזורי</w:t>
                            </w:r>
                          </w:p>
                          <w:p w:rsidR="00C30482" w:rsidP="00A03D9F" w14:textId="022AEFAB">
                            <w:pPr>
                              <w:pStyle w:val="a32"/>
                              <w:bidi/>
                              <w:spacing w:before="240"/>
                              <w:rPr>
                                <w:rtl/>
                              </w:rPr>
                            </w:pPr>
                            <w:r w:rsidRPr="008A4377">
                              <w:rPr>
                                <w:rtl/>
                              </w:rPr>
                              <w:t>היבטים בפעילות המשרד לשיתוף פעולה אזורי</w:t>
                            </w:r>
                            <w:r w:rsidR="00D73746">
                              <w:rPr>
                                <w:rFonts w:hint="cs"/>
                                <w:rtl/>
                              </w:rPr>
                              <w:t xml:space="preserve"> </w:t>
                            </w:r>
                          </w:p>
                          <w:p w:rsidR="008A4377" w:rsidP="008A4377" w14:textId="77777777">
                            <w:pPr>
                              <w:pStyle w:val="a32"/>
                              <w:bidi/>
                              <w:rPr>
                                <w:rtl/>
                              </w:rPr>
                            </w:pPr>
                          </w:p>
                          <w:p w:rsidR="008A4377" w:rsidRPr="000F5023" w:rsidP="008A4377"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221BD414">
                      <w:pPr>
                        <w:pStyle w:val="a33"/>
                        <w:bidi/>
                        <w:rPr>
                          <w:rtl/>
                        </w:rPr>
                      </w:pPr>
                      <w:r w:rsidRPr="00D96002">
                        <w:rPr>
                          <w:rtl/>
                        </w:rPr>
                        <w:t xml:space="preserve">דוח מבקר המדינה | חשוון </w:t>
                      </w:r>
                      <w:r w:rsidRPr="00D96002">
                        <w:rPr>
                          <w:rtl/>
                        </w:rPr>
                        <w:t>התשפ"</w:t>
                      </w:r>
                      <w:r w:rsidR="0086016C">
                        <w:rPr>
                          <w:rFonts w:hint="cs"/>
                          <w:rtl/>
                        </w:rPr>
                        <w:t>ה</w:t>
                      </w:r>
                      <w:r w:rsidRPr="00D96002">
                        <w:rPr>
                          <w:rtl/>
                        </w:rPr>
                        <w:t xml:space="preserve"> | נובמבר 2024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422467E0">
                      <w:pPr>
                        <w:pStyle w:val="-1"/>
                        <w:rPr>
                          <w:rtl/>
                        </w:rPr>
                      </w:pPr>
                      <w:r w:rsidRPr="00AF3B73">
                        <w:rPr>
                          <w:rtl/>
                        </w:rPr>
                        <w:t xml:space="preserve">המשרד </w:t>
                      </w:r>
                      <w:r w:rsidR="003D4970">
                        <w:rPr>
                          <w:rFonts w:hint="cs"/>
                          <w:rtl/>
                        </w:rPr>
                        <w:t>לשיתוף</w:t>
                      </w:r>
                      <w:r w:rsidR="00AB2F78">
                        <w:rPr>
                          <w:rFonts w:hint="cs"/>
                          <w:rtl/>
                        </w:rPr>
                        <w:t xml:space="preserve"> </w:t>
                      </w:r>
                      <w:r w:rsidR="003D4970">
                        <w:rPr>
                          <w:rFonts w:hint="cs"/>
                          <w:rtl/>
                        </w:rPr>
                        <w:t>פעולה</w:t>
                      </w:r>
                      <w:r w:rsidR="00AB2F78">
                        <w:rPr>
                          <w:rFonts w:hint="cs"/>
                          <w:rtl/>
                        </w:rPr>
                        <w:t xml:space="preserve"> </w:t>
                      </w:r>
                      <w:r w:rsidR="003D4970">
                        <w:rPr>
                          <w:rFonts w:hint="cs"/>
                          <w:rtl/>
                        </w:rPr>
                        <w:t>אזורי</w:t>
                      </w:r>
                    </w:p>
                    <w:p w:rsidR="00C30482" w:rsidP="00A03D9F" w14:paraId="5BE5E625" w14:textId="022AEFAB">
                      <w:pPr>
                        <w:pStyle w:val="a32"/>
                        <w:bidi/>
                        <w:spacing w:before="240"/>
                        <w:rPr>
                          <w:rtl/>
                        </w:rPr>
                      </w:pPr>
                      <w:r w:rsidRPr="008A4377">
                        <w:rPr>
                          <w:rtl/>
                        </w:rPr>
                        <w:t>היבטים בפעילות המשרד לשיתוף פעולה אזורי</w:t>
                      </w:r>
                      <w:r w:rsidR="00D73746">
                        <w:rPr>
                          <w:rFonts w:hint="cs"/>
                          <w:rtl/>
                        </w:rPr>
                        <w:t xml:space="preserve"> </w:t>
                      </w:r>
                    </w:p>
                    <w:p w:rsidR="008A4377" w:rsidP="008A4377" w14:paraId="5C9F45E0" w14:textId="77777777">
                      <w:pPr>
                        <w:pStyle w:val="a32"/>
                        <w:bidi/>
                        <w:rPr>
                          <w:rtl/>
                        </w:rPr>
                      </w:pPr>
                    </w:p>
                    <w:p w:rsidR="008A4377" w:rsidRPr="000F5023" w:rsidP="008A4377" w14:paraId="2B981BB6"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2F263FC0">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4FD2C2E9">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99200" behindDoc="0" locked="0" layoutInCell="1" allowOverlap="1">
                <wp:simplePos x="0" y="0"/>
                <wp:positionH relativeFrom="column">
                  <wp:posOffset>3880787</wp:posOffset>
                </wp:positionH>
                <wp:positionV relativeFrom="paragraph">
                  <wp:posOffset>6658933</wp:posOffset>
                </wp:positionV>
                <wp:extent cx="1484963" cy="1543050"/>
                <wp:effectExtent l="0" t="0" r="1270" b="6350"/>
                <wp:wrapNone/>
                <wp:docPr id="2023003577"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484963"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116.95pt;height:121.5pt;margin-top:524.35pt;margin-left:305.55pt;flip:y;mso-height-percent:0;mso-height-relative:margin;mso-width-percent:0;mso-width-relative:margin;mso-wrap-distance-bottom:0;mso-wrap-distance-left:9pt;mso-wrap-distance-right:9pt;mso-wrap-distance-top:0;mso-wrap-style:square;position:absolute;visibility:visible;v-text-anchor:middle;z-index:251700224" fillcolor="white" stroked="f" strokeweight="1.25pt"/>
            </w:pict>
          </mc:Fallback>
        </mc:AlternateContent>
      </w:r>
      <w:r w:rsidR="00A4391C">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FE3A0B" w14:paraId="4ED3AA37" w14:textId="4799C403">
      <w:pPr>
        <w:pStyle w:val="7329"/>
        <w:spacing w:after="720"/>
        <w:rPr>
          <w:rtl/>
        </w:rPr>
      </w:pPr>
      <w:r w:rsidRPr="00802F2E">
        <w:rPr>
          <w:noProof/>
          <w:rtl/>
        </w:rPr>
        <w:drawing>
          <wp:anchor distT="0" distB="0" distL="114300" distR="114300" simplePos="0" relativeHeight="251683840" behindDoc="0" locked="0" layoutInCell="1" allowOverlap="1">
            <wp:simplePos x="0" y="0"/>
            <wp:positionH relativeFrom="column">
              <wp:posOffset>3324134</wp:posOffset>
            </wp:positionH>
            <wp:positionV relativeFrom="paragraph">
              <wp:posOffset>1106805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84558">
        <w:rPr>
          <w:noProof/>
          <w:rtl/>
        </w:rPr>
        <mc:AlternateContent>
          <mc:Choice Requires="wps">
            <w:drawing>
              <wp:anchor distT="0" distB="0" distL="114300" distR="114300" simplePos="0" relativeHeight="251674624" behindDoc="0" locked="0" layoutInCell="1" allowOverlap="1">
                <wp:simplePos x="0" y="0"/>
                <wp:positionH relativeFrom="column">
                  <wp:posOffset>-656409</wp:posOffset>
                </wp:positionH>
                <wp:positionV relativeFrom="paragraph">
                  <wp:posOffset>284480</wp:posOffset>
                </wp:positionV>
                <wp:extent cx="195943" cy="5613944"/>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5943" cy="5613944"/>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alt="&quot;&quot;" style="width:15.45pt;height:442.05pt;margin-top:22.4pt;margin-left:-51.7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8A4377" w:rsidR="008A4377">
        <w:rPr>
          <w:noProof/>
          <w:rtl/>
        </w:rPr>
        <w:t xml:space="preserve">היבטים בפעילות המשרד לשיתוף </w:t>
      </w:r>
      <w:r w:rsidR="008A4377">
        <w:rPr>
          <w:noProof/>
          <w:rtl/>
        </w:rPr>
        <w:br/>
      </w:r>
      <w:r w:rsidRPr="008A4377" w:rsidR="008A4377">
        <w:rPr>
          <w:noProof/>
          <w:rtl/>
        </w:rPr>
        <w:t>פעולה אזורי</w:t>
      </w:r>
      <w:r w:rsidRPr="008A7100" w:rsidR="008A7100">
        <w:rPr>
          <w:noProof/>
          <w:rtl/>
        </w:rPr>
        <w:t xml:space="preserve"> </w:t>
      </w:r>
    </w:p>
    <w:p w:rsidR="008A4377" w:rsidRPr="00512299" w:rsidP="008A4377" w14:paraId="67688F69" w14:textId="77777777">
      <w:pPr>
        <w:pStyle w:val="7392"/>
        <w:spacing w:before="840"/>
        <w:rPr>
          <w:rtl/>
        </w:rPr>
      </w:pPr>
      <w:r w:rsidRPr="00512299">
        <w:rPr>
          <w:rtl/>
        </w:rPr>
        <w:t xml:space="preserve">המשרד לשיתוף פעולה אזורי (המשרד </w:t>
      </w:r>
      <w:r w:rsidRPr="00512299">
        <w:rPr>
          <w:rtl/>
        </w:rPr>
        <w:t>לשתפ"א</w:t>
      </w:r>
      <w:r w:rsidRPr="00512299">
        <w:rPr>
          <w:rtl/>
        </w:rPr>
        <w:t>) הוקם בשנת 1999 על פי החלטת ממשלה, ובשנת 2003 הופסקה פעילותו. בשנת 2009 הוקם המשרד מחדש על פי החלטת ממשלה (החלטת ההקמה), ובה נקבע כי המשרד יעסוק בתחומים האלה: קידום שיתוף הפעולה הכלכלי עם מדינות האזור ועם הרשות הפלסטינית ומימוש פרויקטים כלכליים משותפים באזור במטרה ליצור תנאים לקידום הרווחה הכלכלית והיציבות. עוד נקבע כי המשרד יפעל מול הגורמים העוסקים בפיתוח האזור גם לצורכי גיוס משאבים ועידוד השקעות במטרה לקדם שיתוף פעולה ויופקד על התיאום בין משרדי הממשלה הרלוונטיים בנושאים אלו.</w:t>
      </w:r>
    </w:p>
    <w:p w:rsidR="008A4377" w:rsidRPr="00512299" w:rsidP="008A4377" w14:paraId="31529C3E" w14:textId="77777777">
      <w:pPr>
        <w:pStyle w:val="7392"/>
        <w:rPr>
          <w:rtl/>
        </w:rPr>
      </w:pPr>
      <w:r w:rsidRPr="00512299">
        <w:rPr>
          <w:rtl/>
        </w:rPr>
        <w:t>בסמוך למועד החלטת ההקמה ב-2009 החליטה הממשלה להעביר חלק מתחומי פעילות הוועדה הכלכלית המשותפת הישראלית-פלסטינית (</w:t>
      </w:r>
      <w:r w:rsidRPr="00512299">
        <w:t>Joint Economic Committee; JEC</w:t>
      </w:r>
      <w:r w:rsidRPr="00512299">
        <w:rPr>
          <w:rtl/>
        </w:rPr>
        <w:t xml:space="preserve">) ממשרד האוצר למשרד </w:t>
      </w:r>
      <w:r w:rsidRPr="00512299">
        <w:rPr>
          <w:rtl/>
        </w:rPr>
        <w:t>לשתפ"א</w:t>
      </w:r>
      <w:r w:rsidRPr="00512299">
        <w:rPr>
          <w:rtl/>
        </w:rPr>
        <w:t xml:space="preserve"> וקבעה כי בראש ה-</w:t>
      </w:r>
      <w:r w:rsidRPr="00512299">
        <w:t>JEC</w:t>
      </w:r>
      <w:r w:rsidRPr="00512299">
        <w:rPr>
          <w:rtl/>
        </w:rPr>
        <w:t xml:space="preserve"> יעמוד השר הממונה על המשרד </w:t>
      </w:r>
      <w:r w:rsidRPr="00512299">
        <w:rPr>
          <w:rtl/>
        </w:rPr>
        <w:t>לשתפ"א</w:t>
      </w:r>
      <w:r w:rsidRPr="00512299">
        <w:rPr>
          <w:rtl/>
        </w:rPr>
        <w:t>.</w:t>
      </w:r>
    </w:p>
    <w:p w:rsidR="008A4377" w:rsidRPr="00512299" w:rsidP="008A4377" w14:paraId="4940BBFB" w14:textId="77777777">
      <w:pPr>
        <w:pStyle w:val="7392"/>
        <w:rPr>
          <w:rtl/>
        </w:rPr>
      </w:pPr>
      <w:r w:rsidRPr="00512299">
        <w:rPr>
          <w:rtl/>
        </w:rPr>
        <w:t xml:space="preserve">המשרד </w:t>
      </w:r>
      <w:r w:rsidRPr="00512299">
        <w:rPr>
          <w:rtl/>
        </w:rPr>
        <w:t>לשתפ"א</w:t>
      </w:r>
      <w:r w:rsidRPr="00512299">
        <w:rPr>
          <w:rtl/>
        </w:rPr>
        <w:t xml:space="preserve"> פועל למימוש מטרותיו בכמה דרכים: פרסום קולות קוראים לרשויות המזמינים רשויות מקומיות ומוסדות להשכלה גבוהה לבצע פעילויות הקשורות בשת"פ אזורי, מתן תמיכות למוסדות ציבוריים (כגון מוסדות ללא כוונת רווח) על פי סעיף 3א לחוק יסודות התקציב, התקשרויות במכרזים ושיתופי פעולה בין-משרדיים.</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3329849</wp:posOffset>
            </wp:positionH>
            <wp:positionV relativeFrom="paragraph">
              <wp:posOffset>0</wp:posOffset>
            </wp:positionV>
            <wp:extent cx="1405255" cy="4318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508"/>
        <w:gridCol w:w="277"/>
        <w:gridCol w:w="1674"/>
        <w:gridCol w:w="277"/>
        <w:gridCol w:w="1663"/>
      </w:tblGrid>
      <w:tr w14:paraId="58B4726B" w14:textId="77777777" w:rsidTr="008A4377">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8A4377" w:rsidRPr="008A4377" w:rsidP="008A4377" w14:paraId="23EB689E" w14:textId="6C50CA08">
            <w:pPr>
              <w:spacing w:after="60" w:line="240" w:lineRule="auto"/>
              <w:jc w:val="left"/>
              <w:rPr>
                <w:b/>
                <w:bCs/>
                <w:spacing w:val="-28"/>
                <w:rtl/>
              </w:rPr>
            </w:pPr>
            <w:r w:rsidRPr="008A4377">
              <w:rPr>
                <w:rFonts w:ascii="Tahoma" w:hAnsi="Tahoma" w:eastAsiaTheme="minorEastAsia" w:cs="Tahoma" w:hint="cs"/>
                <w:b/>
                <w:bCs/>
                <w:color w:val="0D0D0D" w:themeColor="text1" w:themeTint="F2"/>
                <w:spacing w:val="-10"/>
                <w:sz w:val="36"/>
                <w:szCs w:val="36"/>
                <w:rtl/>
              </w:rPr>
              <w:t xml:space="preserve">39 - 74 </w:t>
            </w:r>
            <w:r w:rsidRPr="008A4377">
              <w:rPr>
                <w:rFonts w:ascii="Tahoma" w:hAnsi="Tahoma" w:eastAsiaTheme="minorEastAsia" w:cs="Tahoma"/>
                <w:b/>
                <w:bCs/>
                <w:color w:val="0D0D0D" w:themeColor="text1" w:themeTint="F2"/>
                <w:spacing w:val="-10"/>
                <w:sz w:val="36"/>
                <w:szCs w:val="36"/>
                <w:rtl/>
              </w:rPr>
              <w:br/>
            </w:r>
            <w:r w:rsidRPr="008A4377">
              <w:rPr>
                <w:rFonts w:ascii="Tahoma" w:hAnsi="Tahoma" w:eastAsiaTheme="minorEastAsia" w:cs="Tahoma"/>
                <w:b/>
                <w:bCs/>
                <w:color w:val="0D0D0D" w:themeColor="text1" w:themeTint="F2"/>
                <w:spacing w:val="-10"/>
                <w:sz w:val="26"/>
                <w:szCs w:val="26"/>
                <w:rtl/>
              </w:rPr>
              <w:t xml:space="preserve">מיליון </w:t>
            </w:r>
            <w:r w:rsidRPr="008A4377">
              <w:rPr>
                <w:rFonts w:ascii="Tahoma" w:hAnsi="Tahoma" w:eastAsiaTheme="minorEastAsia" w:cs="Tahoma" w:hint="cs"/>
                <w:b/>
                <w:bCs/>
                <w:color w:val="0D0D0D" w:themeColor="text1" w:themeTint="F2"/>
                <w:spacing w:val="-10"/>
                <w:sz w:val="26"/>
                <w:szCs w:val="26"/>
                <w:rtl/>
              </w:rPr>
              <w:t>ש"ח</w:t>
            </w:r>
          </w:p>
        </w:tc>
        <w:tc>
          <w:tcPr>
            <w:tcW w:w="188" w:type="pct"/>
            <w:vAlign w:val="bottom"/>
          </w:tcPr>
          <w:p w:rsidR="008A4377" w:rsidRPr="008A4377" w:rsidP="008A4377" w14:paraId="19192EA5" w14:textId="77777777">
            <w:pPr>
              <w:spacing w:before="120" w:after="60" w:line="240" w:lineRule="auto"/>
              <w:jc w:val="left"/>
              <w:rPr>
                <w:b/>
                <w:bCs/>
                <w:rtl/>
              </w:rPr>
            </w:pPr>
          </w:p>
        </w:tc>
        <w:tc>
          <w:tcPr>
            <w:tcW w:w="1023" w:type="pct"/>
            <w:tcBorders>
              <w:bottom w:val="single" w:sz="12" w:space="0" w:color="000000" w:themeColor="text1"/>
            </w:tcBorders>
            <w:vAlign w:val="bottom"/>
          </w:tcPr>
          <w:p w:rsidR="008A4377" w:rsidRPr="008A4377" w:rsidP="008A4377" w14:paraId="761F4116" w14:textId="6ED56217">
            <w:pPr>
              <w:pStyle w:val="2021"/>
              <w:spacing w:before="0" w:after="60"/>
              <w:rPr>
                <w:spacing w:val="-10"/>
                <w:rtl/>
              </w:rPr>
            </w:pPr>
            <w:r w:rsidRPr="008A4377">
              <w:rPr>
                <w:rFonts w:hint="cs"/>
                <w:spacing w:val="-10"/>
                <w:rtl/>
              </w:rPr>
              <w:t>38% - 49%</w:t>
            </w:r>
            <w:r w:rsidRPr="008A4377">
              <w:rPr>
                <w:spacing w:val="-10"/>
                <w:rtl/>
              </w:rPr>
              <w:t xml:space="preserve"> </w:t>
            </w:r>
            <w:r w:rsidRPr="008A4377">
              <w:rPr>
                <w:rFonts w:hint="cs"/>
                <w:spacing w:val="-10"/>
                <w:sz w:val="26"/>
                <w:szCs w:val="26"/>
                <w:rtl/>
              </w:rPr>
              <w:t>שיעור ביצוע</w:t>
            </w:r>
            <w:r w:rsidRPr="008A4377">
              <w:rPr>
                <w:rFonts w:hint="cs"/>
                <w:spacing w:val="-10"/>
                <w:rtl/>
              </w:rPr>
              <w:t xml:space="preserve"> </w:t>
            </w:r>
          </w:p>
        </w:tc>
        <w:tc>
          <w:tcPr>
            <w:tcW w:w="188" w:type="pct"/>
            <w:vAlign w:val="bottom"/>
          </w:tcPr>
          <w:p w:rsidR="008A4377" w:rsidRPr="008A4377" w:rsidP="008A4377" w14:paraId="2810DE55" w14:textId="77777777">
            <w:pPr>
              <w:spacing w:before="120" w:after="60" w:line="240" w:lineRule="auto"/>
              <w:jc w:val="left"/>
              <w:rPr>
                <w:b/>
                <w:bCs/>
                <w:rtl/>
              </w:rPr>
            </w:pPr>
          </w:p>
        </w:tc>
        <w:tc>
          <w:tcPr>
            <w:tcW w:w="1136" w:type="pct"/>
            <w:tcBorders>
              <w:bottom w:val="single" w:sz="12" w:space="0" w:color="000000" w:themeColor="text1"/>
            </w:tcBorders>
            <w:vAlign w:val="bottom"/>
          </w:tcPr>
          <w:p w:rsidR="008A4377" w:rsidRPr="008A4377" w:rsidP="008A4377" w14:paraId="2A2E27BD" w14:textId="0B2E3B41">
            <w:pPr>
              <w:pStyle w:val="2021"/>
              <w:spacing w:before="0" w:after="60"/>
              <w:rPr>
                <w:spacing w:val="-20"/>
                <w:sz w:val="24"/>
                <w:rtl/>
              </w:rPr>
            </w:pPr>
            <w:r w:rsidRPr="008A4377">
              <w:rPr>
                <w:rFonts w:hint="cs"/>
                <w:spacing w:val="-10"/>
                <w:rtl/>
              </w:rPr>
              <w:t>58%</w:t>
            </w:r>
            <w:r w:rsidRPr="008A4377">
              <w:rPr>
                <w:spacing w:val="-10"/>
                <w:rtl/>
              </w:rPr>
              <w:t xml:space="preserve"> </w:t>
            </w:r>
            <w:r w:rsidRPr="008A4377">
              <w:rPr>
                <w:spacing w:val="-10"/>
                <w:rtl/>
              </w:rPr>
              <w:br/>
            </w:r>
            <w:r w:rsidRPr="008A4377">
              <w:rPr>
                <w:rFonts w:hint="cs"/>
                <w:spacing w:val="-10"/>
                <w:sz w:val="26"/>
                <w:szCs w:val="26"/>
                <w:rtl/>
              </w:rPr>
              <w:t>ממשאבי המשרד</w:t>
            </w:r>
          </w:p>
        </w:tc>
        <w:tc>
          <w:tcPr>
            <w:tcW w:w="188" w:type="pct"/>
            <w:vAlign w:val="bottom"/>
          </w:tcPr>
          <w:p w:rsidR="008A4377" w:rsidRPr="008A4377" w:rsidP="008A4377" w14:paraId="47B754BA" w14:textId="77777777">
            <w:pPr>
              <w:pStyle w:val="2021"/>
              <w:spacing w:before="0" w:after="60"/>
              <w:rPr>
                <w:spacing w:val="-10"/>
                <w:rtl/>
              </w:rPr>
            </w:pPr>
          </w:p>
        </w:tc>
        <w:tc>
          <w:tcPr>
            <w:tcW w:w="1128" w:type="pct"/>
            <w:tcBorders>
              <w:bottom w:val="single" w:sz="12" w:space="0" w:color="000000" w:themeColor="text1"/>
            </w:tcBorders>
            <w:vAlign w:val="bottom"/>
          </w:tcPr>
          <w:p w:rsidR="008A4377" w:rsidRPr="008A4377" w:rsidP="008A4377" w14:paraId="5F3A3FF5" w14:textId="37092ACF">
            <w:pPr>
              <w:pStyle w:val="2021"/>
              <w:spacing w:before="0" w:after="60"/>
              <w:rPr>
                <w:spacing w:val="-10"/>
                <w:sz w:val="26"/>
                <w:szCs w:val="26"/>
                <w:rtl/>
              </w:rPr>
            </w:pPr>
            <w:r w:rsidRPr="008A4377">
              <w:rPr>
                <w:rFonts w:hint="cs"/>
                <w:spacing w:val="-10"/>
                <w:rtl/>
              </w:rPr>
              <w:t>40%</w:t>
            </w:r>
            <w:r w:rsidRPr="008A4377">
              <w:rPr>
                <w:spacing w:val="-10"/>
                <w:rtl/>
              </w:rPr>
              <w:t xml:space="preserve"> </w:t>
            </w:r>
            <w:r w:rsidRPr="008A4377">
              <w:rPr>
                <w:spacing w:val="-10"/>
                <w:sz w:val="26"/>
                <w:szCs w:val="26"/>
                <w:rtl/>
              </w:rPr>
              <w:br/>
            </w:r>
            <w:r w:rsidRPr="008A4377">
              <w:rPr>
                <w:rFonts w:hint="cs"/>
                <w:spacing w:val="-10"/>
                <w:sz w:val="26"/>
                <w:szCs w:val="26"/>
                <w:rtl/>
              </w:rPr>
              <w:t>ממדדי ההצלחה</w:t>
            </w:r>
          </w:p>
        </w:tc>
      </w:tr>
      <w:tr w14:paraId="6DFAF81C" w14:textId="77777777" w:rsidTr="008A4377">
        <w:tblPrEx>
          <w:tblW w:w="5000" w:type="pct"/>
          <w:tblLook w:val="04A0"/>
        </w:tblPrEx>
        <w:tc>
          <w:tcPr>
            <w:tcW w:w="1149" w:type="pct"/>
            <w:tcBorders>
              <w:top w:val="single" w:sz="12" w:space="0" w:color="000000" w:themeColor="text1"/>
            </w:tcBorders>
          </w:tcPr>
          <w:p w:rsidR="008A4377" w:rsidRPr="00E52143" w:rsidP="008A4377" w14:paraId="1D96599A" w14:textId="1538F2BE">
            <w:pPr>
              <w:pStyle w:val="732021"/>
              <w:spacing w:before="0" w:after="480" w:line="240" w:lineRule="auto"/>
              <w:rPr>
                <w:rtl/>
              </w:rPr>
            </w:pPr>
            <w:r w:rsidRPr="00512299">
              <w:rPr>
                <w:rtl/>
              </w:rPr>
              <w:t>התקציב השנתי של המשרד</w:t>
            </w:r>
            <w:r>
              <w:rPr>
                <w:rFonts w:hint="cs"/>
                <w:rtl/>
              </w:rPr>
              <w:t xml:space="preserve"> </w:t>
            </w:r>
            <w:r w:rsidRPr="00512299">
              <w:rPr>
                <w:rtl/>
              </w:rPr>
              <w:t>בשנים</w:t>
            </w:r>
            <w:r>
              <w:rPr>
                <w:rtl/>
              </w:rPr>
              <w:br/>
            </w:r>
            <w:r w:rsidRPr="00512299">
              <w:rPr>
                <w:rtl/>
              </w:rPr>
              <w:t>2018 - 2023</w:t>
            </w:r>
          </w:p>
        </w:tc>
        <w:tc>
          <w:tcPr>
            <w:tcW w:w="188" w:type="pct"/>
          </w:tcPr>
          <w:p w:rsidR="008A4377" w:rsidRPr="00E52143" w:rsidP="008A4377" w14:paraId="2BF81D8C" w14:textId="77777777">
            <w:pPr>
              <w:pStyle w:val="732021"/>
              <w:spacing w:before="0" w:after="480" w:line="240" w:lineRule="auto"/>
              <w:rPr>
                <w:rtl/>
              </w:rPr>
            </w:pPr>
          </w:p>
        </w:tc>
        <w:tc>
          <w:tcPr>
            <w:tcW w:w="1023" w:type="pct"/>
            <w:tcBorders>
              <w:top w:val="single" w:sz="12" w:space="0" w:color="000000" w:themeColor="text1"/>
            </w:tcBorders>
          </w:tcPr>
          <w:p w:rsidR="008A4377" w:rsidRPr="00E52143" w:rsidP="008A4377" w14:paraId="68924AF7" w14:textId="011F313A">
            <w:pPr>
              <w:pStyle w:val="732021"/>
              <w:spacing w:before="0" w:after="480" w:line="240" w:lineRule="auto"/>
              <w:rPr>
                <w:rtl/>
              </w:rPr>
            </w:pPr>
            <w:r w:rsidRPr="00512299">
              <w:rPr>
                <w:rFonts w:hint="cs"/>
                <w:rtl/>
              </w:rPr>
              <w:t xml:space="preserve">תקציב </w:t>
            </w:r>
            <w:r w:rsidRPr="00512299">
              <w:rPr>
                <w:rtl/>
              </w:rPr>
              <w:t xml:space="preserve">המשרד בשנים </w:t>
            </w:r>
            <w:r>
              <w:rPr>
                <w:rtl/>
              </w:rPr>
              <w:br/>
            </w:r>
            <w:r w:rsidRPr="00512299">
              <w:rPr>
                <w:rtl/>
              </w:rPr>
              <w:t>2018 - 2023</w:t>
            </w:r>
          </w:p>
        </w:tc>
        <w:tc>
          <w:tcPr>
            <w:tcW w:w="188" w:type="pct"/>
          </w:tcPr>
          <w:p w:rsidR="008A4377" w:rsidRPr="00E52143" w:rsidP="008A4377" w14:paraId="4F52CE08" w14:textId="77777777">
            <w:pPr>
              <w:pStyle w:val="732021"/>
              <w:spacing w:before="0" w:after="480" w:line="240" w:lineRule="auto"/>
              <w:rPr>
                <w:rtl/>
              </w:rPr>
            </w:pPr>
          </w:p>
        </w:tc>
        <w:tc>
          <w:tcPr>
            <w:tcW w:w="1136" w:type="pct"/>
            <w:tcBorders>
              <w:top w:val="single" w:sz="12" w:space="0" w:color="000000" w:themeColor="text1"/>
            </w:tcBorders>
          </w:tcPr>
          <w:p w:rsidR="008A4377" w:rsidRPr="00E52143" w:rsidP="008A4377" w14:paraId="203F9568" w14:textId="3200C448">
            <w:pPr>
              <w:pStyle w:val="732021"/>
              <w:spacing w:before="0" w:after="480" w:line="240" w:lineRule="auto"/>
              <w:rPr>
                <w:rtl/>
              </w:rPr>
            </w:pPr>
            <w:r w:rsidRPr="00512299">
              <w:rPr>
                <w:rtl/>
              </w:rPr>
              <w:t>הוצאו בשנים 2018 - 2023 לצורך תשלום שכר והוצאות תפעול (כ-91 מיליון ש"ח מתוך כ-156 מיליון ש"ח)</w:t>
            </w:r>
          </w:p>
        </w:tc>
        <w:tc>
          <w:tcPr>
            <w:tcW w:w="188" w:type="pct"/>
          </w:tcPr>
          <w:p w:rsidR="008A4377" w:rsidRPr="00E52143" w:rsidP="008A4377" w14:paraId="42538096" w14:textId="77777777">
            <w:pPr>
              <w:pStyle w:val="732021"/>
              <w:spacing w:before="0" w:after="480" w:line="240" w:lineRule="auto"/>
              <w:rPr>
                <w:rtl/>
              </w:rPr>
            </w:pPr>
          </w:p>
        </w:tc>
        <w:tc>
          <w:tcPr>
            <w:tcW w:w="1128" w:type="pct"/>
            <w:tcBorders>
              <w:top w:val="single" w:sz="12" w:space="0" w:color="000000" w:themeColor="text1"/>
            </w:tcBorders>
          </w:tcPr>
          <w:p w:rsidR="008A4377" w:rsidRPr="00E52143" w:rsidP="008A4377" w14:paraId="1878D11D" w14:textId="019D0D98">
            <w:pPr>
              <w:pStyle w:val="732021"/>
              <w:spacing w:before="0" w:after="480" w:line="240" w:lineRule="auto"/>
              <w:rPr>
                <w:rtl/>
              </w:rPr>
            </w:pPr>
            <w:r w:rsidRPr="00512299">
              <w:rPr>
                <w:rtl/>
              </w:rPr>
              <w:t>של תוכניות העבודה בשנים 2019 ו-2022 לא הושגו באופן מלא</w:t>
            </w:r>
          </w:p>
        </w:tc>
      </w:tr>
      <w:tr w14:paraId="1BD5A20C" w14:textId="77777777" w:rsidTr="008A4377">
        <w:tblPrEx>
          <w:tblW w:w="5000" w:type="pct"/>
          <w:tblLook w:val="04A0"/>
        </w:tblPrEx>
        <w:tc>
          <w:tcPr>
            <w:tcW w:w="1149" w:type="pct"/>
            <w:tcBorders>
              <w:bottom w:val="single" w:sz="12" w:space="0" w:color="000000" w:themeColor="text1"/>
            </w:tcBorders>
            <w:vAlign w:val="bottom"/>
          </w:tcPr>
          <w:p w:rsidR="008A4377" w:rsidRPr="008A4377" w:rsidP="008A4377" w14:paraId="500D3B50" w14:textId="160CA777">
            <w:pPr>
              <w:spacing w:line="240" w:lineRule="auto"/>
              <w:jc w:val="left"/>
              <w:rPr>
                <w:rFonts w:ascii="Tahoma" w:hAnsi="Tahoma" w:eastAsiaTheme="minorEastAsia" w:cs="Tahoma"/>
                <w:b/>
                <w:bCs/>
                <w:color w:val="0D0D0D" w:themeColor="text1" w:themeTint="F2"/>
                <w:spacing w:val="-10"/>
                <w:sz w:val="36"/>
                <w:szCs w:val="36"/>
                <w:rtl/>
              </w:rPr>
            </w:pPr>
            <w:r w:rsidRPr="008A4377">
              <w:rPr>
                <w:rFonts w:ascii="Tahoma" w:hAnsi="Tahoma" w:eastAsiaTheme="minorEastAsia" w:cs="Tahoma" w:hint="cs"/>
                <w:b/>
                <w:bCs/>
                <w:color w:val="0D0D0D" w:themeColor="text1" w:themeTint="F2"/>
                <w:spacing w:val="-10"/>
                <w:sz w:val="36"/>
                <w:szCs w:val="36"/>
                <w:rtl/>
              </w:rPr>
              <w:t xml:space="preserve">8.3 </w:t>
            </w:r>
            <w:r w:rsidRPr="008A4377">
              <w:rPr>
                <w:rFonts w:ascii="Tahoma" w:hAnsi="Tahoma" w:eastAsiaTheme="minorEastAsia" w:cs="Tahoma" w:hint="cs"/>
                <w:b/>
                <w:bCs/>
                <w:color w:val="0D0D0D" w:themeColor="text1" w:themeTint="F2"/>
                <w:spacing w:val="-10"/>
                <w:sz w:val="26"/>
                <w:szCs w:val="26"/>
                <w:rtl/>
              </w:rPr>
              <w:t>מיליון ש"ח</w:t>
            </w:r>
            <w:r w:rsidRPr="008A4377">
              <w:rPr>
                <w:rFonts w:ascii="Tahoma" w:hAnsi="Tahoma" w:eastAsiaTheme="minorEastAsia" w:cs="Tahoma" w:hint="cs"/>
                <w:b/>
                <w:bCs/>
                <w:color w:val="0D0D0D" w:themeColor="text1" w:themeTint="F2"/>
                <w:spacing w:val="-10"/>
                <w:sz w:val="36"/>
                <w:szCs w:val="36"/>
                <w:rtl/>
              </w:rPr>
              <w:t xml:space="preserve"> </w:t>
            </w:r>
          </w:p>
        </w:tc>
        <w:tc>
          <w:tcPr>
            <w:tcW w:w="188" w:type="pct"/>
            <w:vAlign w:val="bottom"/>
          </w:tcPr>
          <w:p w:rsidR="008A4377" w:rsidRPr="008A4377" w:rsidP="008A4377"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023" w:type="pct"/>
            <w:tcBorders>
              <w:bottom w:val="single" w:sz="12" w:space="0" w:color="000000" w:themeColor="text1"/>
            </w:tcBorders>
            <w:vAlign w:val="bottom"/>
          </w:tcPr>
          <w:p w:rsidR="008A4377" w:rsidRPr="008A4377" w:rsidP="008A4377" w14:paraId="48896DF7" w14:textId="40D6F3D4">
            <w:pPr>
              <w:pStyle w:val="2021"/>
              <w:spacing w:before="0" w:after="60"/>
              <w:rPr>
                <w:spacing w:val="-10"/>
                <w:rtl/>
              </w:rPr>
            </w:pPr>
            <w:r w:rsidRPr="008A4377">
              <w:rPr>
                <w:rFonts w:hint="cs"/>
                <w:spacing w:val="-10"/>
                <w:rtl/>
              </w:rPr>
              <w:t>60</w:t>
            </w:r>
            <w:r w:rsidRPr="008A4377">
              <w:rPr>
                <w:spacing w:val="-10"/>
                <w:rtl/>
              </w:rPr>
              <w:t xml:space="preserve"> </w:t>
            </w:r>
            <w:r w:rsidRPr="008A4377">
              <w:rPr>
                <w:rFonts w:hint="cs"/>
                <w:spacing w:val="-10"/>
                <w:sz w:val="26"/>
                <w:szCs w:val="26"/>
                <w:rtl/>
              </w:rPr>
              <w:t>מיליון ש"ח</w:t>
            </w:r>
          </w:p>
        </w:tc>
        <w:tc>
          <w:tcPr>
            <w:tcW w:w="188" w:type="pct"/>
            <w:vAlign w:val="bottom"/>
          </w:tcPr>
          <w:p w:rsidR="008A4377" w:rsidRPr="008A4377" w:rsidP="008A4377" w14:paraId="5B4C8A80" w14:textId="77777777">
            <w:pPr>
              <w:spacing w:after="120" w:line="240" w:lineRule="auto"/>
              <w:jc w:val="left"/>
              <w:rPr>
                <w:b/>
                <w:bCs/>
                <w:rtl/>
              </w:rPr>
            </w:pPr>
          </w:p>
        </w:tc>
        <w:tc>
          <w:tcPr>
            <w:tcW w:w="1136" w:type="pct"/>
            <w:tcBorders>
              <w:bottom w:val="single" w:sz="12" w:space="0" w:color="000000" w:themeColor="text1"/>
            </w:tcBorders>
            <w:vAlign w:val="bottom"/>
          </w:tcPr>
          <w:p w:rsidR="008A4377" w:rsidRPr="008A4377" w:rsidP="008A4377" w14:paraId="226A2E50" w14:textId="7EA72F63">
            <w:pPr>
              <w:spacing w:after="60" w:line="192" w:lineRule="auto"/>
              <w:jc w:val="left"/>
              <w:rPr>
                <w:rFonts w:ascii="Tahoma" w:hAnsi="Tahoma" w:eastAsiaTheme="minorEastAsia" w:cs="Tahoma"/>
                <w:b/>
                <w:bCs/>
                <w:color w:val="0D0D0D" w:themeColor="text1" w:themeTint="F2"/>
                <w:spacing w:val="-10"/>
                <w:sz w:val="36"/>
                <w:szCs w:val="36"/>
                <w:rtl/>
              </w:rPr>
            </w:pPr>
            <w:r w:rsidRPr="008A4377">
              <w:rPr>
                <w:rFonts w:ascii="Tahoma" w:hAnsi="Tahoma" w:eastAsiaTheme="minorEastAsia" w:cs="Tahoma" w:hint="cs"/>
                <w:b/>
                <w:bCs/>
                <w:color w:val="0D0D0D" w:themeColor="text1" w:themeTint="F2"/>
                <w:spacing w:val="-10"/>
                <w:sz w:val="36"/>
                <w:szCs w:val="36"/>
                <w:rtl/>
              </w:rPr>
              <w:t xml:space="preserve">26 </w:t>
            </w:r>
            <w:r w:rsidRPr="008A4377">
              <w:rPr>
                <w:rFonts w:ascii="Tahoma" w:hAnsi="Tahoma" w:eastAsiaTheme="minorEastAsia" w:cs="Tahoma" w:hint="cs"/>
                <w:b/>
                <w:bCs/>
                <w:color w:val="0D0D0D" w:themeColor="text1" w:themeTint="F2"/>
                <w:spacing w:val="-10"/>
                <w:sz w:val="26"/>
                <w:szCs w:val="26"/>
                <w:rtl/>
              </w:rPr>
              <w:t>שנים</w:t>
            </w:r>
          </w:p>
        </w:tc>
        <w:tc>
          <w:tcPr>
            <w:tcW w:w="188" w:type="pct"/>
            <w:vAlign w:val="bottom"/>
          </w:tcPr>
          <w:p w:rsidR="008A4377" w:rsidRPr="008A4377" w:rsidP="008A4377"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28" w:type="pct"/>
            <w:tcBorders>
              <w:bottom w:val="single" w:sz="12" w:space="0" w:color="000000" w:themeColor="text1"/>
            </w:tcBorders>
            <w:vAlign w:val="bottom"/>
          </w:tcPr>
          <w:p w:rsidR="008A4377" w:rsidRPr="008A4377" w:rsidP="008A4377" w14:paraId="5AEEF263" w14:textId="03500660">
            <w:pPr>
              <w:spacing w:after="60" w:line="240" w:lineRule="auto"/>
              <w:jc w:val="left"/>
              <w:rPr>
                <w:rFonts w:ascii="Tahoma" w:hAnsi="Tahoma" w:eastAsiaTheme="minorEastAsia" w:cs="Tahoma"/>
                <w:b/>
                <w:bCs/>
                <w:color w:val="0D0D0D" w:themeColor="text1" w:themeTint="F2"/>
                <w:spacing w:val="-10"/>
                <w:sz w:val="36"/>
                <w:szCs w:val="36"/>
                <w:rtl/>
              </w:rPr>
            </w:pPr>
            <w:r w:rsidRPr="008A4377">
              <w:rPr>
                <w:rFonts w:ascii="Tahoma" w:hAnsi="Tahoma" w:eastAsiaTheme="minorEastAsia" w:cs="Tahoma" w:hint="cs"/>
                <w:b/>
                <w:bCs/>
                <w:color w:val="0D0D0D" w:themeColor="text1" w:themeTint="F2"/>
                <w:spacing w:val="-10"/>
                <w:sz w:val="36"/>
                <w:szCs w:val="36"/>
                <w:rtl/>
              </w:rPr>
              <w:t xml:space="preserve">15 </w:t>
            </w:r>
            <w:r w:rsidRPr="008A4377">
              <w:rPr>
                <w:rFonts w:ascii="Tahoma" w:hAnsi="Tahoma" w:eastAsiaTheme="minorEastAsia" w:cs="Tahoma" w:hint="cs"/>
                <w:b/>
                <w:bCs/>
                <w:color w:val="0D0D0D" w:themeColor="text1" w:themeTint="F2"/>
                <w:spacing w:val="-10"/>
                <w:sz w:val="26"/>
                <w:szCs w:val="26"/>
                <w:rtl/>
              </w:rPr>
              <w:t>שנים</w:t>
            </w:r>
          </w:p>
        </w:tc>
      </w:tr>
      <w:tr w14:paraId="54154FA5" w14:textId="77777777" w:rsidTr="008A4377">
        <w:tblPrEx>
          <w:tblW w:w="5000" w:type="pct"/>
          <w:tblLook w:val="04A0"/>
        </w:tblPrEx>
        <w:tc>
          <w:tcPr>
            <w:tcW w:w="1149" w:type="pct"/>
            <w:tcBorders>
              <w:top w:val="single" w:sz="12" w:space="0" w:color="000000" w:themeColor="text1"/>
            </w:tcBorders>
          </w:tcPr>
          <w:p w:rsidR="008A4377" w:rsidRPr="004562F8" w:rsidP="008A4377" w14:paraId="6DB67748" w14:textId="7BBE9B80">
            <w:pPr>
              <w:pStyle w:val="732021"/>
              <w:spacing w:before="0" w:after="0" w:line="240" w:lineRule="auto"/>
              <w:rPr>
                <w:rtl/>
              </w:rPr>
            </w:pPr>
            <w:r w:rsidRPr="00512299">
              <w:rPr>
                <w:rtl/>
              </w:rPr>
              <w:t>הושקעו בטרקליני העסקים בשער אפרים ובגלבוע: בפועל הפעילות בטרקלין בשער אפרים מועטה, וטרם הושלמה הקמת הטרקלין בגלבוע</w:t>
            </w:r>
          </w:p>
        </w:tc>
        <w:tc>
          <w:tcPr>
            <w:tcW w:w="188" w:type="pct"/>
          </w:tcPr>
          <w:p w:rsidR="008A4377" w:rsidRPr="008D750B" w:rsidP="008A4377" w14:paraId="0C0AE598" w14:textId="77777777">
            <w:pPr>
              <w:pStyle w:val="732021"/>
              <w:spacing w:before="0" w:after="0" w:line="240" w:lineRule="auto"/>
              <w:rPr>
                <w:rtl/>
              </w:rPr>
            </w:pPr>
          </w:p>
        </w:tc>
        <w:tc>
          <w:tcPr>
            <w:tcW w:w="1023" w:type="pct"/>
            <w:tcBorders>
              <w:top w:val="single" w:sz="12" w:space="0" w:color="000000" w:themeColor="text1"/>
            </w:tcBorders>
          </w:tcPr>
          <w:p w:rsidR="008A4377" w:rsidRPr="00512299" w:rsidP="008A4377" w14:paraId="3FD21605" w14:textId="77777777">
            <w:pPr>
              <w:pStyle w:val="732021"/>
              <w:spacing w:before="0" w:line="240" w:lineRule="auto"/>
              <w:rPr>
                <w:rtl/>
              </w:rPr>
            </w:pPr>
            <w:r w:rsidRPr="00512299">
              <w:rPr>
                <w:rtl/>
              </w:rPr>
              <w:t xml:space="preserve">הושקעו בבניית הגשר בפרויקט שער הירדן; </w:t>
            </w:r>
          </w:p>
          <w:p w:rsidR="008A4377" w:rsidRPr="004562F8" w:rsidP="008A4377" w14:paraId="1916A301" w14:textId="5A606A12">
            <w:pPr>
              <w:pStyle w:val="732021"/>
              <w:spacing w:before="0" w:after="0" w:line="240" w:lineRule="auto"/>
              <w:rPr>
                <w:rtl/>
              </w:rPr>
            </w:pPr>
          </w:p>
        </w:tc>
        <w:tc>
          <w:tcPr>
            <w:tcW w:w="188" w:type="pct"/>
          </w:tcPr>
          <w:p w:rsidR="008A4377" w:rsidP="008A4377" w14:paraId="14782C57" w14:textId="77777777">
            <w:pPr>
              <w:pStyle w:val="732021"/>
              <w:spacing w:before="0" w:after="0" w:line="240" w:lineRule="auto"/>
              <w:rPr>
                <w:rtl/>
              </w:rPr>
            </w:pPr>
          </w:p>
        </w:tc>
        <w:tc>
          <w:tcPr>
            <w:tcW w:w="1136" w:type="pct"/>
            <w:tcBorders>
              <w:top w:val="single" w:sz="12" w:space="0" w:color="000000" w:themeColor="text1"/>
            </w:tcBorders>
          </w:tcPr>
          <w:p w:rsidR="008A4377" w:rsidRPr="0062456C" w:rsidP="008A4377" w14:paraId="6149CA50" w14:textId="15CCA4E2">
            <w:pPr>
              <w:pStyle w:val="732021"/>
              <w:spacing w:before="0" w:after="0" w:line="240" w:lineRule="auto"/>
              <w:rPr>
                <w:rtl/>
              </w:rPr>
            </w:pPr>
            <w:r w:rsidRPr="00512299">
              <w:rPr>
                <w:rtl/>
              </w:rPr>
              <w:t>חלפו מהמועד שבו נחתם מול ממלכת ירדן ההסכם להקמת פרויקט שער הירדן.</w:t>
            </w:r>
            <w:r w:rsidRPr="00512299">
              <w:rPr>
                <w:rFonts w:hint="cs"/>
                <w:rtl/>
              </w:rPr>
              <w:t xml:space="preserve"> </w:t>
            </w:r>
            <w:r w:rsidRPr="00512299">
              <w:rPr>
                <w:rtl/>
              </w:rPr>
              <w:t>בפועל הקמתו נעצרה</w:t>
            </w:r>
          </w:p>
        </w:tc>
        <w:tc>
          <w:tcPr>
            <w:tcW w:w="188" w:type="pct"/>
          </w:tcPr>
          <w:p w:rsidR="008A4377" w:rsidRPr="00C92141" w:rsidP="008A4377" w14:paraId="66E34E8E" w14:textId="77777777">
            <w:pPr>
              <w:pStyle w:val="732021"/>
              <w:spacing w:before="0" w:after="0" w:line="240" w:lineRule="auto"/>
              <w:rPr>
                <w:rtl/>
              </w:rPr>
            </w:pPr>
          </w:p>
        </w:tc>
        <w:tc>
          <w:tcPr>
            <w:tcW w:w="1128" w:type="pct"/>
            <w:tcBorders>
              <w:top w:val="single" w:sz="12" w:space="0" w:color="000000" w:themeColor="text1"/>
            </w:tcBorders>
          </w:tcPr>
          <w:p w:rsidR="008A4377" w:rsidRPr="00C92141" w:rsidP="008A4377" w14:paraId="39498237" w14:textId="7753C265">
            <w:pPr>
              <w:pStyle w:val="732021"/>
              <w:spacing w:before="0" w:after="0" w:line="240" w:lineRule="auto"/>
              <w:rPr>
                <w:rtl/>
              </w:rPr>
            </w:pPr>
            <w:r w:rsidRPr="00512299">
              <w:rPr>
                <w:rtl/>
              </w:rPr>
              <w:t>חלפו ממועד החלטת הממשלה על הקמתה של ועדת שרים לשיתוף פעולה אזורי, אך ה</w:t>
            </w:r>
            <w:r w:rsidRPr="00512299">
              <w:rPr>
                <w:rFonts w:hint="cs"/>
                <w:rtl/>
              </w:rPr>
              <w:t>ו</w:t>
            </w:r>
            <w:r w:rsidRPr="00512299">
              <w:rPr>
                <w:rtl/>
              </w:rPr>
              <w:t>ועדה לא הוקמה</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1A452EF1">
      <w:pPr>
        <w:pStyle w:val="7317"/>
        <w:rPr>
          <w:rtl/>
        </w:rPr>
      </w:pPr>
      <w:r w:rsidRPr="001F3363">
        <w:rPr>
          <w:noProof/>
        </w:rPr>
        <w:drawing>
          <wp:anchor distT="0" distB="0" distL="71755" distR="71755" simplePos="0" relativeHeight="251682816" behindDoc="0" locked="0" layoutInCell="1" allowOverlap="1">
            <wp:simplePos x="0" y="0"/>
            <wp:positionH relativeFrom="column">
              <wp:posOffset>4505960</wp:posOffset>
            </wp:positionH>
            <wp:positionV relativeFrom="paragraph">
              <wp:posOffset>49860</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2299" w:rsidR="008A4377">
        <w:rPr>
          <w:noProof/>
          <w:rtl/>
        </w:rPr>
        <w:t>בחודשים אוגוסט 2023 עד ינואר 2024 בדק משרד מבקר המדינה היבטים בפעילות המשרד לשתפ"א. הביקורת נעשתה בעיקר במשרד לשיתוף פעולה אזורי. בדיקות השלמה נערכו באגף התקציבים שבמשרד האוצר ובמשרד להגנת הסביבה. כמו כן, נעשו בירורים בעמותות אשר עוסקות בקידום פרויקטים בנושא שיתוף פעולה אזורי (עמותות אלה אינן גופים מבוקרים על פי חוק מבקר המדינה, התשי"ח-1958 [נוסח משולב])</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2ECAB372">
      <w:pPr>
        <w:pStyle w:val="7317"/>
        <w:rPr>
          <w:rtl/>
        </w:rPr>
      </w:pPr>
      <w:r w:rsidRPr="008A4377">
        <w:rPr>
          <w:rStyle w:val="7391"/>
          <w:rFonts w:hint="cs"/>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sidR="008A4377">
        <w:rPr>
          <w:rStyle w:val="7391"/>
          <w:rtl/>
        </w:rPr>
        <w:t>החלטת הממשלה על הקמת המשרד לשיתוף פעולה אזורי -</w:t>
      </w:r>
      <w:r w:rsidRPr="00512299" w:rsidR="008A4377">
        <w:rPr>
          <w:rFonts w:hint="cs"/>
          <w:rtl/>
        </w:rPr>
        <w:t xml:space="preserve"> </w:t>
      </w:r>
      <w:r w:rsidRPr="00512299" w:rsidR="008A4377">
        <w:rPr>
          <w:rtl/>
        </w:rPr>
        <w:t xml:space="preserve">בהחלטת הממשלה מיוני 2009 על הקמת המשרד </w:t>
      </w:r>
      <w:r w:rsidRPr="00512299" w:rsidR="008A4377">
        <w:rPr>
          <w:rtl/>
        </w:rPr>
        <w:t>לשתפ"א</w:t>
      </w:r>
      <w:r w:rsidRPr="00512299" w:rsidR="008A4377">
        <w:rPr>
          <w:rtl/>
        </w:rPr>
        <w:t xml:space="preserve"> הוגדר תפקידו של המשרד אך לא הוגדרו סמכויותיו, שלא כמו במשרד לפיתוח הנגב והגליל שלגביו הוגדרו סמכויות בהחלטת הממשלה שעסקה בהקמתו, ושלא כמו בהחלטת הממשלה שעסקה ברשות לפיתוח חברתי כלכלי של המגזר הדרוזי והצ'רקסי. עלה כי אין בהחלטת הממשלה או במקור מחייב אחר הגדרה ברורה של אחריות המשרד </w:t>
      </w:r>
      <w:r w:rsidRPr="00512299" w:rsidR="008A4377">
        <w:rPr>
          <w:rtl/>
        </w:rPr>
        <w:t>לשתפ"א</w:t>
      </w:r>
      <w:r w:rsidRPr="00512299" w:rsidR="008A4377">
        <w:rPr>
          <w:rtl/>
        </w:rPr>
        <w:t>, וכי כדי לקדם ולהוציא לפועל את הפרויקטים המרכזיים שעליהם הוא אמון, הוא תלוי ברצונם הטוב של המשרדים והגופים הממשלתיים האחרים. כתוצאה מכך מרבית הפרויקטים של המשרד התעכבו במשך שנים רבות וטרם הבשילו. כך לדוגמה התעכבה השלמתו של פרויקט "שער הירדן", אף שחלפו כ-26 שנים מיום חתימת ההסכם להקמתו וכ-12 שנים ממועד החלטת הממשלה הראשונה אשר עסקה בפרויקט זה</w:t>
      </w:r>
      <w:r w:rsidRPr="00AF3B73">
        <w:rPr>
          <w:rtl/>
        </w:rPr>
        <w:t>.</w:t>
      </w:r>
    </w:p>
    <w:p w:rsidR="00EB672B" w:rsidRPr="00AF3B73" w:rsidP="00EB672B" w14:paraId="61697365" w14:textId="08E8F253">
      <w:pPr>
        <w:pStyle w:val="7317"/>
      </w:pPr>
      <w:r w:rsidRPr="008A4377">
        <w:rPr>
          <w:rStyle w:val="7391"/>
          <w:rFonts w:hint="cs"/>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sidR="008A4377">
        <w:rPr>
          <w:rStyle w:val="7391"/>
          <w:rtl/>
        </w:rPr>
        <w:t>ועדת השרים לשיתוף פעולה אזורי -</w:t>
      </w:r>
      <w:r w:rsidRPr="00512299" w:rsidR="008A4377">
        <w:rPr>
          <w:rtl/>
        </w:rPr>
        <w:t xml:space="preserve"> בהחלטת הממשלה מיוני 2009 אשר עסקה בהקמת המשרד </w:t>
      </w:r>
      <w:r w:rsidRPr="00512299" w:rsidR="008A4377">
        <w:rPr>
          <w:rtl/>
        </w:rPr>
        <w:t>לשתפ"א</w:t>
      </w:r>
      <w:r w:rsidRPr="00512299" w:rsidR="008A4377">
        <w:rPr>
          <w:rtl/>
        </w:rPr>
        <w:t xml:space="preserve"> נקבע כי תוקם ועדת שרים לשיתוף פעולה אזורי בראשות השר לשיתוף פעולה אזורי, וכי הרכבה וסמכויותיה ייקבעו בהחלטת ממשלה נפרדת. למרות האמור בהחלטת הממשלה משנת 2009, ועדת השרים לשיתוף פעולה אזורי לא הוקמה ולא התכנסה</w:t>
      </w:r>
      <w:r w:rsidRPr="00AF3B73">
        <w:rPr>
          <w:rFonts w:hint="cs"/>
          <w:rtl/>
        </w:rPr>
        <w:t xml:space="preserve">. </w:t>
      </w:r>
    </w:p>
    <w:p w:rsidR="00EB672B" w:rsidRPr="00AF3B73" w:rsidP="00EB672B" w14:paraId="257CE09B" w14:textId="02366008">
      <w:pPr>
        <w:pStyle w:val="7317"/>
        <w:rPr>
          <w:rtl/>
        </w:rPr>
      </w:pPr>
      <w:r w:rsidRPr="008A4377">
        <w:rPr>
          <w:rStyle w:val="7391"/>
          <w:rFonts w:hint="cs"/>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sidR="008A4377">
        <w:rPr>
          <w:rStyle w:val="7391"/>
          <w:rtl/>
        </w:rPr>
        <w:t>המבנה הארגוני של המשרד לשיתוף פעולה אזורי -</w:t>
      </w:r>
      <w:r w:rsidRPr="00512299" w:rsidR="008A4377">
        <w:rPr>
          <w:rtl/>
        </w:rPr>
        <w:t xml:space="preserve"> בשנים שנבדקו מצבת כוח האדם של המשרד עמדה בממוצע על 84% מהתקן (29 משרות מאוישות מתוך תקן של 34.5 משרות בממוצע). יתרה מכך, בביקורת נמצא כי כ-20 תקנים (מתוך 34.5 תקנים בממוצע) יועדו לעובדים במשרות אמון בלשכות השר והמנכ"ל, ואילו איוש התפקידים המקצועיים במשרד היה חסר. עקב כך נוצרה תלות רבה של המשרד בבעל תפקיד אחד: מנהל אגף הכלכלה, אשר מכהן בתפקידו מיולי 2017, שכן הוא, בין העובדים בדרג המקצועי, היחידים שנשארו במשרד לאורך זמן</w:t>
      </w:r>
      <w:r w:rsidRPr="00AF3B73">
        <w:rPr>
          <w:rFonts w:hint="cs"/>
          <w:rtl/>
        </w:rPr>
        <w:t>.</w:t>
      </w:r>
    </w:p>
    <w:p w:rsidR="00EB672B" w:rsidRPr="00AF3B73" w:rsidP="00EB672B" w14:paraId="42C157E6" w14:textId="74601996">
      <w:pPr>
        <w:pStyle w:val="7317"/>
      </w:pPr>
      <w:r w:rsidRPr="008A4377">
        <w:rPr>
          <w:rStyle w:val="7391"/>
          <w:rFonts w:hint="cs"/>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sidR="008A4377">
        <w:rPr>
          <w:rStyle w:val="7391"/>
          <w:rtl/>
        </w:rPr>
        <w:t>ביקורת פנימית במשרד לשיתוף פעולה אזורי -</w:t>
      </w:r>
      <w:r w:rsidRPr="00512299" w:rsidR="008A4377">
        <w:rPr>
          <w:rtl/>
        </w:rPr>
        <w:t xml:space="preserve"> למרות החשיבות הרבה של הפרויקטים "שער הירדן" ו"תעלת הימים", של הפעילויות המבוצעות במסגרת הקולות הקוראים שמפרסם המשרד </w:t>
      </w:r>
      <w:r w:rsidRPr="00512299" w:rsidR="008A4377">
        <w:rPr>
          <w:rtl/>
        </w:rPr>
        <w:t>לשתפ"א</w:t>
      </w:r>
      <w:r w:rsidRPr="00512299" w:rsidR="008A4377">
        <w:rPr>
          <w:rtl/>
        </w:rPr>
        <w:t xml:space="preserve"> ושל התמיכות שהוא מעניק לפי סעיף 3א לחוק התקציב, לא נערכה ביקורת פנימית לבדיקת הפרויקטים והפעולות האמורים לעיל. היעדרה של ביקורת פנימית לבדיקת הפרויקטים שבאחריות המשרד </w:t>
      </w:r>
      <w:r w:rsidRPr="00512299" w:rsidR="008A4377">
        <w:rPr>
          <w:rtl/>
        </w:rPr>
        <w:t>לשתפ"א</w:t>
      </w:r>
      <w:r w:rsidRPr="00512299" w:rsidR="008A4377">
        <w:rPr>
          <w:rtl/>
        </w:rPr>
        <w:t>, הפעילות על פי הקולות הקוראים, התמיכות והפעילויות הכספיות השונות של המשרד אינו מאפשר להצביע לפני הנהלת המשרד והגורמים הרלוונטיים על העיכובים המשמעותיים במימושם של הפרויקטים השונים ואף אינו מאפשר הפקת לקחים לפרויקטים אחרים</w:t>
      </w:r>
      <w:r w:rsidRPr="00AF3B73">
        <w:rPr>
          <w:rFonts w:hint="cs"/>
          <w:rtl/>
        </w:rPr>
        <w:t xml:space="preserve">. </w:t>
      </w:r>
    </w:p>
    <w:p w:rsidR="00EB672B" w:rsidRPr="00AF3B73" w:rsidP="00EB672B" w14:paraId="0E55F83C" w14:textId="48391C69">
      <w:pPr>
        <w:pStyle w:val="7317"/>
      </w:pPr>
      <w:r w:rsidRPr="008A4377">
        <w:rPr>
          <w:rStyle w:val="7391"/>
          <w:rFonts w:hint="cs"/>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sidR="008A4377">
        <w:rPr>
          <w:rStyle w:val="7391"/>
          <w:rtl/>
        </w:rPr>
        <w:t>פרויקט שער הירדן -</w:t>
      </w:r>
      <w:r w:rsidRPr="00512299" w:rsidR="008A4377">
        <w:rPr>
          <w:rtl/>
        </w:rPr>
        <w:t xml:space="preserve"> פרויקט שער הירדן הוא פרויקט להקמת פארק תעשייתי משותף לישראל ולממלכת ירדן. בצידו הירדני של הפרויקט היו אמורים לקום מפעלים ישראליים וירדניים, וצידו הישראלי אמור לשמש עורף לוגיסטי ובסיס להעברת הסחורות לנמלי </w:t>
      </w:r>
      <w:r w:rsidRPr="00512299" w:rsidR="008A4377">
        <w:rPr>
          <w:rtl/>
        </w:rPr>
        <w:t>ישראל. אף על פי שהושקע בפרויקט עד כה סכום של למעלה מ-60 מיליון ש"ח, ואף שחלפו כ-26 שנים מיום חתימת ההסכם להקמתו וכ-12 שנים ממועד החלטת הממשלה הראשונה אשר עסקה בפרויקט זה באופן מעשי, נכון למועד סיום הביקורת נעצרה הקמתו של פרויקט שער הירדן, ולמעשה, מאז הקמתו של הגשר בשנת 2019 לא בוצעה שום פעולה לבנייה או להקמה של תשתיות נוספות לקידום הפרויקט בצידו הישראלי. המשך העיכוב של פרויקט שער הירדן עלול לגרום לאובדן התועלות הכלכליות אשר היו טמונות בו לכתחילה ולאובדן השקעה של למעלה מ-60 מיליוני ש"ח, ויש בו כדי לפגוע ביחסי האמון שבין ממלכת ירדן למדינת ישראל</w:t>
      </w:r>
      <w:r w:rsidRPr="00AF3B73">
        <w:rPr>
          <w:rFonts w:hint="cs"/>
          <w:rtl/>
        </w:rPr>
        <w:t xml:space="preserve">. </w:t>
      </w:r>
    </w:p>
    <w:p w:rsidR="00EB672B" w:rsidRPr="00AF3B73" w:rsidP="00EB672B" w14:paraId="1320DBEF" w14:textId="5C7FADB8">
      <w:pPr>
        <w:pStyle w:val="7317"/>
        <w:rPr>
          <w:rtl/>
        </w:rPr>
      </w:pPr>
      <w:r w:rsidRPr="008A4377">
        <w:rPr>
          <w:rStyle w:val="7391"/>
          <w:rFonts w:hint="cs"/>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sidR="008A4377">
        <w:rPr>
          <w:rStyle w:val="7391"/>
          <w:rtl/>
        </w:rPr>
        <w:t>מימוש הפרויקטים בתוכניות העבודה של המשרד -</w:t>
      </w:r>
      <w:r w:rsidRPr="00512299" w:rsidR="008A4377">
        <w:rPr>
          <w:rtl/>
        </w:rPr>
        <w:t xml:space="preserve"> 45% ממדדי ההצלחה וכ-40% מהמדדים המרכזיים של המשרד בשנים 2019 ו-2022 במצטבר לא הושגו באופן מלא. כך לדוגמה, נמצא כי המשרד </w:t>
      </w:r>
      <w:r w:rsidRPr="00512299" w:rsidR="008A4377">
        <w:rPr>
          <w:rtl/>
        </w:rPr>
        <w:t>לשתפ"א</w:t>
      </w:r>
      <w:r w:rsidRPr="00512299" w:rsidR="008A4377">
        <w:rPr>
          <w:rtl/>
        </w:rPr>
        <w:t xml:space="preserve"> לא השיג באופן מלא 80% מהמדדים המרכזיים שנקבעו בשנת 2022 למטרות "קידום שיתופי פעולה כלכליים ואזרחיים בין ישראלים ופלסטינים לתועלת ההדדית של שתי החברות והכלכלות" ו"ביסוס המשרד כמוקד ידע בתחום שיתוף הפעולה האזורי". אי-השגת מרבית מדדי ההצלחה והמדדים המרכזיים של המשרד עשויה להעיד על תכנון לקוי של תוכנית העבודה השנתית ושל קביעת מטרות המשרד ויעדיו, על שימוש לא יעיל ולא מועיל של המשרד במשאביו ועל קשייו להתמודד עם שינויים ועם אירועים לא צפויים המתרחשים בסביבתו</w:t>
      </w:r>
      <w:r w:rsidRPr="00AF3B73">
        <w:rPr>
          <w:rFonts w:hint="cs"/>
          <w:rtl/>
        </w:rPr>
        <w:t>.</w:t>
      </w:r>
    </w:p>
    <w:p w:rsidR="00EB672B" w:rsidP="00EB672B" w14:paraId="6EA213E6" w14:textId="4215DDE4">
      <w:pPr>
        <w:pStyle w:val="7317"/>
        <w:rPr>
          <w:rtl/>
        </w:rPr>
      </w:pPr>
      <w:r w:rsidRPr="008A4377">
        <w:rPr>
          <w:rStyle w:val="7391"/>
          <w:rFonts w:hint="cs"/>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sidR="008A4377">
        <w:rPr>
          <w:rStyle w:val="7391"/>
          <w:rtl/>
        </w:rPr>
        <w:t xml:space="preserve">שיעורי הביצוע התקציבי של המשרד </w:t>
      </w:r>
      <w:r w:rsidRPr="008A4377" w:rsidR="008A4377">
        <w:rPr>
          <w:rStyle w:val="7391"/>
          <w:rFonts w:hint="cs"/>
          <w:rtl/>
        </w:rPr>
        <w:t>-</w:t>
      </w:r>
      <w:r w:rsidRPr="00512299" w:rsidR="008A4377">
        <w:rPr>
          <w:rFonts w:hint="cs"/>
          <w:rtl/>
        </w:rPr>
        <w:t xml:space="preserve"> </w:t>
      </w:r>
      <w:r w:rsidRPr="00512299" w:rsidR="008A4377">
        <w:rPr>
          <w:rtl/>
        </w:rPr>
        <w:t>במהלך השנים 2018 - 2023 אושר למשרד תקציב בסך של כ-39.3 - 73.7 מיליון ש"ח; מתוכו ביצע המשרד עד כ-49% מתקציבו המאושר הכולל ו-12% - 41% בלבד מהתקציב המיועד לייזום פרויקטים ולמימוש תוכניותיו. נוסף על כך, באופן מצטבר בשנים 2018 - 2023 המשרד הוציא לצורך תפעולו סכומים הגבוהים בכ-40% מהסכומים שהוציא בגין פעולותיו לצורך מימוש ייעודו, ובשנים</w:t>
      </w:r>
      <w:r w:rsidR="00C02C4E">
        <w:rPr>
          <w:rtl/>
        </w:rPr>
        <w:br/>
      </w:r>
      <w:r w:rsidRPr="00512299" w:rsidR="008A4377">
        <w:rPr>
          <w:rtl/>
        </w:rPr>
        <w:t>2018 - 2019 הוציא המשרד כ-85% ממשאביו הכספיים לצורך תשלום שכר והוצאות תפעול</w:t>
      </w:r>
      <w:r w:rsidRPr="00AF3B73">
        <w:rPr>
          <w:rFonts w:hint="cs"/>
          <w:rtl/>
        </w:rPr>
        <w:t xml:space="preserve">. </w:t>
      </w:r>
    </w:p>
    <w:p w:rsidR="008A4377" w:rsidP="008A4377" w14:paraId="631CD117" w14:textId="636D87AE">
      <w:pPr>
        <w:pStyle w:val="7317"/>
        <w:rPr>
          <w:rtl/>
        </w:rPr>
      </w:pPr>
      <w:r w:rsidRPr="008A4377">
        <w:rPr>
          <w:rStyle w:val="7391"/>
          <w:rFonts w:hint="cs"/>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7927118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7118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Pr>
          <w:rStyle w:val="7391"/>
          <w:rtl/>
        </w:rPr>
        <w:t>פרויקטים של טרקליני עסקים במעברים היבשתיים מהרשות הפלסטינית -</w:t>
      </w:r>
      <w:r w:rsidRPr="00512299">
        <w:rPr>
          <w:rtl/>
        </w:rPr>
        <w:t xml:space="preserve"> לאורך השנים קיימת מגמה של ירידה בפעילות העסקית בטרקלין שער אפרים, אשר עלות הקמתו עמדה על כ-4 מיליון ש"ח, מתוך כלל הפעילויות. הירידה מתבטאת הן בכמות המשתתפים בפעילויות העסקיות - מ-609 משתתפים בשנת 2018 ל-405 משתתפים בשנת 2023, והן בשיעור הפעילויות העסקיות - מ-88% בשנת 2018 ל-60% בשנת 2023 - אשר להן יועד טרקלין העסקים במקור. אף על פי שהמקום יועד מלכתחילה לקיום מפגשים בין אנשי עסקים, אין בו עזרים מקובלים התומכים בהם, כגון חיבור אינטרנט אלחוטי, מדפסות ועמדות מחשב. נוסף על כך, בנייתו של טרקלין העסקים שבמעבר גלבוע, אשר עלות תכנונו והקמתו תוקצבה על ידי המשרד </w:t>
      </w:r>
      <w:r w:rsidRPr="00512299">
        <w:rPr>
          <w:rtl/>
        </w:rPr>
        <w:t>לשתפ"א</w:t>
      </w:r>
      <w:r w:rsidRPr="00512299">
        <w:rPr>
          <w:rtl/>
        </w:rPr>
        <w:t xml:space="preserve"> ב-3 מיליון ש"ח, טרם הושלמה, והוא איננו ממלא את ייעודו המקורי</w:t>
      </w:r>
      <w:r w:rsidRPr="00AF3B73">
        <w:rPr>
          <w:rFonts w:hint="cs"/>
          <w:rtl/>
        </w:rPr>
        <w:t xml:space="preserve">. </w:t>
      </w:r>
    </w:p>
    <w:p w:rsidR="008A4377" w:rsidP="008A4377" w14:paraId="163EA4BB" w14:textId="741540BF">
      <w:pPr>
        <w:pStyle w:val="7317"/>
        <w:rPr>
          <w:rtl/>
        </w:rPr>
      </w:pPr>
      <w:r w:rsidRPr="008A4377">
        <w:rPr>
          <w:rStyle w:val="7391"/>
          <w:rFonts w:hint="cs"/>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18757636"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5763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Pr>
          <w:rStyle w:val="7391"/>
          <w:rtl/>
        </w:rPr>
        <w:t>הוועדה הכלכלית המשותפת לישראל ולפלסטינים (</w:t>
      </w:r>
      <w:r w:rsidRPr="008A4377">
        <w:rPr>
          <w:rStyle w:val="7391"/>
          <w:b/>
          <w:bCs w:val="0"/>
        </w:rPr>
        <w:t>JEC</w:t>
      </w:r>
      <w:r w:rsidRPr="008A4377">
        <w:rPr>
          <w:rStyle w:val="7391"/>
          <w:rtl/>
        </w:rPr>
        <w:t>) -</w:t>
      </w:r>
      <w:r w:rsidRPr="00512299">
        <w:rPr>
          <w:rtl/>
        </w:rPr>
        <w:t xml:space="preserve"> למרות החשיבות המיוחסת לכינוסה של הוועדה הכלכלית המשותפת לישראל ולפלסטינים (</w:t>
      </w:r>
      <w:r w:rsidRPr="00512299">
        <w:t>JEC</w:t>
      </w:r>
      <w:r w:rsidRPr="00512299">
        <w:rPr>
          <w:rtl/>
        </w:rPr>
        <w:t xml:space="preserve">) ולמרות העובדה כי כינוסה נמנה עם אחת המשימות העיקריות ואף נכלל בתוכנית העבודה של המשרד, עד סיום מועד הביקורת בינואר 2024 (תחת המשרד </w:t>
      </w:r>
      <w:r w:rsidRPr="00512299">
        <w:rPr>
          <w:rtl/>
        </w:rPr>
        <w:t>לשתפ"א</w:t>
      </w:r>
      <w:r w:rsidRPr="00512299">
        <w:rPr>
          <w:rtl/>
        </w:rPr>
        <w:t>) התכנסה ועדת ה-</w:t>
      </w:r>
      <w:r w:rsidRPr="00512299">
        <w:t>JEC</w:t>
      </w:r>
      <w:r w:rsidRPr="00512299">
        <w:rPr>
          <w:rtl/>
        </w:rPr>
        <w:t xml:space="preserve"> רק פעם אחת ב-2.9.09. יצוין כי ביוני 2023 היה אמור להתקיים כינוס של ועדה זו, אולם כינוסה נדחה על ידי הפלסטינים. גם ב-13.9.23 תוכנן כינוס של ועדה זו, אולם הפלסטינים </w:t>
      </w:r>
      <w:r w:rsidRPr="00512299">
        <w:rPr>
          <w:rtl/>
        </w:rPr>
        <w:t>ביקשו שוב לדחות את הכינוס ל-26.10.23. עקב פרוץ מלחמת חרבות ברזל ב-7.10.23 הוועדה לא התכנסה במועד שנקבע, ובשלב זה אין צפי למועד כינוס הוועדה</w:t>
      </w:r>
      <w:r w:rsidRPr="00AF3B73">
        <w:rPr>
          <w:rFonts w:hint="cs"/>
          <w:rtl/>
        </w:rPr>
        <w:t xml:space="preserve">. </w:t>
      </w:r>
    </w:p>
    <w:p w:rsidR="008A4377" w:rsidP="008A4377" w14:paraId="23A25327" w14:textId="51CC58DF">
      <w:pPr>
        <w:pStyle w:val="7317"/>
        <w:rPr>
          <w:rtl/>
        </w:rPr>
      </w:pPr>
      <w:r w:rsidRPr="008A4377">
        <w:rPr>
          <w:rStyle w:val="7391"/>
          <w:rFonts w:hint="cs"/>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298175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175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A4377">
        <w:rPr>
          <w:rStyle w:val="7391"/>
          <w:rtl/>
        </w:rPr>
        <w:t>יישום המלצות העבודה האסטרטגית -</w:t>
      </w:r>
      <w:r w:rsidRPr="00512299">
        <w:rPr>
          <w:rtl/>
        </w:rPr>
        <w:t xml:space="preserve"> נמצא כי המשרד </w:t>
      </w:r>
      <w:r w:rsidRPr="00512299">
        <w:rPr>
          <w:rtl/>
        </w:rPr>
        <w:t>לשתפ"א</w:t>
      </w:r>
      <w:r w:rsidRPr="00512299">
        <w:rPr>
          <w:rtl/>
        </w:rPr>
        <w:t>, על אף הכרתו בצרכים האסטרטגיים ברמת הפיתוח האזורי, לא קידם את המלצות העבודה האסטרטגית משנת 2021 לבחינת חלופות בתחומים של שיפור הביטחון התזונתי, שימור הימים וחיבור בין גופים מתמחים שונים, אשר יוכלו להתוות את דרך פעולתו לאורך זמן לצורך הגשמת יעדיו</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31D4E5FF">
      <w:pPr>
        <w:pStyle w:val="7317"/>
        <w:rPr>
          <w:rtl/>
        </w:rPr>
      </w:pPr>
      <w:r w:rsidRPr="008A4377">
        <w:rPr>
          <w:rStyle w:val="7391"/>
          <w:rtl/>
        </w:rPr>
        <w:t>הגברת שיתופי פעולה עם מרוקו -</w:t>
      </w:r>
      <w:r w:rsidRPr="00512299">
        <w:rPr>
          <w:rtl/>
        </w:rPr>
        <w:t xml:space="preserve"> משרד מבקר המדינה מציין לחיוב את הפרויקטים ואת שיתופי הפעולה השונים אשר יזם המשרד עם הגופים במרוקו בתחומי הוצאת משלחות למרוקו, ארגון כנסים בתחומי התרבות, הספורט והאקדמיה, אירוח משלחת </w:t>
      </w:r>
      <w:r w:rsidRPr="00512299">
        <w:rPr>
          <w:rtl/>
        </w:rPr>
        <w:t>משפיענים</w:t>
      </w:r>
      <w:r w:rsidRPr="00512299">
        <w:rPr>
          <w:rtl/>
        </w:rPr>
        <w:t xml:space="preserve"> ממרוקו בנובמבר 2022, קידום החתימה על הסכם ההבנות לשיתוף פעולה בין לשכות עורכי הדין של המדינות במאי 2022 וכן אירוח של משלחת ראשי המגזר העסקי של מרוקו בישראל במרץ 2022 ביוזמה משותפת, בעלות של כ-4 מיליוני ש"ח, ואשר יש בהם כדי להגביר את שיתוף הפעולה וקירוב הלבבות בין העמים</w:t>
      </w:r>
      <w:r w:rsidRPr="00CA4EB1">
        <w:rPr>
          <w:rFonts w:hint="cs"/>
          <w:rtl/>
        </w:rPr>
        <w:t>.</w:t>
      </w:r>
    </w:p>
    <w:p w:rsidR="00EB672B" w:rsidRPr="00CA4EB1" w:rsidP="00EB672B" w14:paraId="3D4B0578" w14:textId="4809ADC9">
      <w:pPr>
        <w:pStyle w:val="7317"/>
        <w:rPr>
          <w:rtl/>
        </w:rPr>
      </w:pPr>
      <w:r w:rsidRPr="008A4377">
        <w:rPr>
          <w:rStyle w:val="7391"/>
          <w:rtl/>
        </w:rPr>
        <w:t>השקעה במרכזי חדשנות ופרויקט מהמ"ם -</w:t>
      </w:r>
      <w:r w:rsidRPr="00512299">
        <w:rPr>
          <w:rtl/>
        </w:rPr>
        <w:t xml:space="preserve"> משרד מבקר המדינה מציין לחיוב את התחייבותו של המשרד, בשלהי שנת 2023, להשקיע במרכזי חדשנות ולהחל בהתנעתו של פרויקט מהמ"ם</w:t>
      </w:r>
      <w:r>
        <w:rPr>
          <w:vertAlign w:val="superscript"/>
          <w:rtl/>
        </w:rPr>
        <w:footnoteReference w:id="2"/>
      </w:r>
      <w:r w:rsidRPr="00512299">
        <w:rPr>
          <w:rtl/>
        </w:rPr>
        <w:t xml:space="preserve"> (מרכז הדרכה, מידע ומחקר</w:t>
      </w:r>
      <w:r>
        <w:rPr>
          <w:rFonts w:hint="cs"/>
          <w:rtl/>
        </w:rPr>
        <w:t>)</w:t>
      </w:r>
      <w:r>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237C5803">
      <w:pPr>
        <w:pStyle w:val="7317"/>
      </w:pPr>
      <w:r w:rsidRPr="008A4377">
        <w:rPr>
          <w:rStyle w:val="7391"/>
          <w:rFonts w:hint="cs"/>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512299" w:rsidR="008A4377">
        <w:rPr>
          <w:rtl/>
        </w:rPr>
        <w:t xml:space="preserve">מומלץ כי ראש הממשלה והשר </w:t>
      </w:r>
      <w:r w:rsidRPr="00512299" w:rsidR="008A4377">
        <w:rPr>
          <w:rtl/>
        </w:rPr>
        <w:t>לשתפ"א</w:t>
      </w:r>
      <w:r w:rsidRPr="00512299" w:rsidR="008A4377">
        <w:rPr>
          <w:rtl/>
        </w:rPr>
        <w:t xml:space="preserve"> יבחנו את נחיצותו של המשרד </w:t>
      </w:r>
      <w:r w:rsidRPr="00512299" w:rsidR="008A4377">
        <w:rPr>
          <w:rtl/>
        </w:rPr>
        <w:t>לשתפ"א</w:t>
      </w:r>
      <w:r w:rsidRPr="00512299" w:rsidR="008A4377">
        <w:rPr>
          <w:rtl/>
        </w:rPr>
        <w:t xml:space="preserve"> כמשרד עצמאי, נוכח האמור בדוח ביקורת זה. אם יימצא כי פעילות המשרד </w:t>
      </w:r>
      <w:r w:rsidRPr="00512299" w:rsidR="008A4377">
        <w:rPr>
          <w:rtl/>
        </w:rPr>
        <w:t>לשתפ"א</w:t>
      </w:r>
      <w:r w:rsidRPr="00512299" w:rsidR="008A4377">
        <w:rPr>
          <w:rtl/>
        </w:rPr>
        <w:t xml:space="preserve"> נחוצה, נדרש לגבש בהקדם תוכנית אסטרטגית, הכוללת משימות ויעדים, לפעילותו של משרד זה ולפעול ליישומה, וכן לבחון את הסמכויות והמשאבים הנדרשים למשרד כדי לשפר את תפקודו בדרך שתאפשר הוצאה לפועל של פרויקטים תשתיתיים גדולים</w:t>
      </w:r>
      <w:r w:rsidRPr="007C7D40">
        <w:rPr>
          <w:rFonts w:hint="cs"/>
          <w:rtl/>
        </w:rPr>
        <w:t xml:space="preserve">. </w:t>
      </w:r>
    </w:p>
    <w:p w:rsidR="00EB672B" w:rsidRPr="007C7D40" w:rsidP="00EB672B" w14:paraId="723E2ABD" w14:textId="73B75B9D">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12299" w:rsidR="008A4377">
        <w:rPr>
          <w:rtl/>
        </w:rPr>
        <w:t xml:space="preserve">מומלץ כי המשרד יפעל בשיתוף מזכירות הממשלה להגדרת תחומי האחריות והסמכות של המשרד </w:t>
      </w:r>
      <w:r w:rsidRPr="00512299" w:rsidR="008A4377">
        <w:rPr>
          <w:rtl/>
        </w:rPr>
        <w:t>לשתפ"א</w:t>
      </w:r>
      <w:r w:rsidRPr="00512299" w:rsidR="008A4377">
        <w:rPr>
          <w:rtl/>
        </w:rPr>
        <w:t xml:space="preserve"> ולהתאמתם לתפקידים שהוטלו עליו על ידי הממשלה, וכן יפעל להקמתה של ועדת השרים לשיתוף פעולה אזורי בהתאם להחלטת הממשלה משנת 2009. כמו כן מומלץ כי השר </w:t>
      </w:r>
      <w:r w:rsidRPr="00512299" w:rsidR="008A4377">
        <w:rPr>
          <w:rtl/>
        </w:rPr>
        <w:t>לשתפ"א</w:t>
      </w:r>
      <w:r w:rsidRPr="00512299" w:rsidR="008A4377">
        <w:rPr>
          <w:rtl/>
        </w:rPr>
        <w:t xml:space="preserve"> יפעל כדי לכנסה בתדירות הנדרשת</w:t>
      </w:r>
      <w:r w:rsidRPr="007C7D40">
        <w:rPr>
          <w:rtl/>
        </w:rPr>
        <w:t xml:space="preserve">. </w:t>
      </w:r>
    </w:p>
    <w:p w:rsidR="00EB672B" w:rsidRPr="007C7D40" w:rsidP="00EB672B" w14:paraId="55FA89EC" w14:textId="710D1487">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12299" w:rsidR="008A4377">
        <w:rPr>
          <w:rtl/>
        </w:rPr>
        <w:t xml:space="preserve">על המשרד </w:t>
      </w:r>
      <w:r w:rsidRPr="00512299" w:rsidR="008A4377">
        <w:rPr>
          <w:rtl/>
        </w:rPr>
        <w:t>לשתפ"א</w:t>
      </w:r>
      <w:r w:rsidRPr="00512299" w:rsidR="008A4377">
        <w:rPr>
          <w:rtl/>
        </w:rPr>
        <w:t xml:space="preserve"> להתאים את עצמו להתפתחויות </w:t>
      </w:r>
      <w:r w:rsidRPr="00512299" w:rsidR="008A4377">
        <w:rPr>
          <w:rtl/>
        </w:rPr>
        <w:t>גיאו</w:t>
      </w:r>
      <w:r w:rsidRPr="00512299" w:rsidR="008A4377">
        <w:rPr>
          <w:rtl/>
        </w:rPr>
        <w:t xml:space="preserve">-פוליטיות וליזום פרויקטים לשיתוף פעולה בתחומים אשר הופכים עם הזמן להיות קריטיים למדינות האזור, כגון ביטחון תזונתי וחקלאות מתקדמת, התפלת מים, </w:t>
      </w:r>
      <w:r w:rsidRPr="00512299" w:rsidR="008A4377">
        <w:rPr>
          <w:rtl/>
        </w:rPr>
        <w:t>אנרגייה</w:t>
      </w:r>
      <w:r w:rsidRPr="00512299" w:rsidR="008A4377">
        <w:rPr>
          <w:rtl/>
        </w:rPr>
        <w:t xml:space="preserve"> ירוקה וכן יצירת נתיבי סחר </w:t>
      </w:r>
      <w:r w:rsidRPr="00512299" w:rsidR="008A4377">
        <w:rPr>
          <w:rtl/>
        </w:rPr>
        <w:t>חדשים ואטרקטיביים. כמו כן, מומלץ כי המשרד ישלים את תהליך הבחינה האסטרטגית שהחל בשנת 2021 לצורך קבלת החלטות הניתנות ליישום לקידום ביתר שאת של פרויקטים שונים בתחום הפיתוח האזורי ויפעל ליישומן</w:t>
      </w:r>
      <w:r w:rsidRPr="007C7D40">
        <w:rPr>
          <w:rFonts w:hint="cs"/>
          <w:rtl/>
        </w:rPr>
        <w:t>.</w:t>
      </w:r>
    </w:p>
    <w:p w:rsidR="00EB672B" w:rsidRPr="007C7D40" w:rsidP="008A4377" w14:paraId="078A06EB" w14:textId="323618D2">
      <w:pPr>
        <w:pStyle w:val="7317"/>
        <w:spacing w:after="840"/>
        <w:rPr>
          <w:rtl/>
        </w:rPr>
      </w:pPr>
      <w:r w:rsidRPr="00D527BD">
        <w:rPr>
          <w:noProof/>
          <w:szCs w:val="20"/>
          <w:rtl/>
        </w:rPr>
        <w:drawing>
          <wp:anchor distT="0" distB="0" distL="114300" distR="114300" simplePos="0" relativeHeight="251677696" behindDoc="0" locked="0" layoutInCell="1" allowOverlap="1">
            <wp:simplePos x="0" y="0"/>
            <wp:positionH relativeFrom="column">
              <wp:posOffset>-60559</wp:posOffset>
            </wp:positionH>
            <wp:positionV relativeFrom="paragraph">
              <wp:posOffset>991334</wp:posOffset>
            </wp:positionV>
            <wp:extent cx="4771226" cy="962527"/>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22126" cy="972795"/>
                    </a:xfrm>
                    <a:prstGeom prst="rect">
                      <a:avLst/>
                    </a:prstGeom>
                  </pic:spPr>
                </pic:pic>
              </a:graphicData>
            </a:graphic>
            <wp14:sizeRelH relativeFrom="margin">
              <wp14:pctWidth>0</wp14:pctWidth>
            </wp14:sizeRelH>
            <wp14:sizeRelV relativeFrom="margin">
              <wp14:pctHeight>0</wp14:pctHeight>
            </wp14:sizeRelV>
          </wp:anchor>
        </w:drawing>
      </w: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12299">
        <w:rPr>
          <w:rtl/>
        </w:rPr>
        <w:t>על המשרד ליישם הליך תכנון של עבודת המשרד והקצאת משאביו למשימות ולתוכניות השונות כדי להבטיח תכנון וביצוע יעילים יותר של תוכניות העבודה שלו. כמו כן, על המשרד לקבוע קווים מנחים לביצוע התאמות בתוכניות העבודה נוכח שינויים לא צפויים</w:t>
      </w:r>
      <w:r w:rsidRPr="007C7D40">
        <w:rPr>
          <w:rFonts w:hint="cs"/>
          <w:rtl/>
        </w:rPr>
        <w:t>.</w:t>
      </w:r>
    </w:p>
    <w:p w:rsidR="005D0F8C" w:rsidP="00EB672B" w14:paraId="6DC28C4F" w14:textId="27819B78">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83820</wp:posOffset>
                </wp:positionH>
                <wp:positionV relativeFrom="paragraph">
                  <wp:posOffset>57910</wp:posOffset>
                </wp:positionV>
                <wp:extent cx="4436745" cy="601579"/>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601579"/>
                        </a:xfrm>
                        <a:prstGeom prst="rect">
                          <a:avLst/>
                        </a:prstGeom>
                        <a:solidFill>
                          <a:srgbClr val="F05260"/>
                        </a:solidFill>
                        <a:ln w="9525">
                          <a:noFill/>
                          <a:miter lim="800000"/>
                          <a:headEnd/>
                          <a:tailEnd/>
                        </a:ln>
                      </wps:spPr>
                      <wps:txbx>
                        <w:txbxContent>
                          <w:p w:rsidR="005D0F8C" w:rsidRPr="005C7ABF" w:rsidP="00524400" w14:textId="5556DB1D">
                            <w:pPr>
                              <w:pStyle w:val="7332"/>
                              <w:rPr>
                                <w:rtl/>
                              </w:rPr>
                            </w:pPr>
                            <w:r w:rsidRPr="008A4377">
                              <w:rPr>
                                <w:rtl/>
                              </w:rPr>
                              <w:t>היחס בין ביצוע תקציב תפעול המשרד לבין ביצוע תקציב הפעולות (התקציב המיועד למימוש פרויקטים ותוכניות המשרד), 2018 - 2023 (באלפי ש"ח)</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9.35pt;height:47.35pt;margin-top:4.55pt;margin-left:6.6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5556DB1D">
                      <w:pPr>
                        <w:pStyle w:val="7332"/>
                        <w:rPr>
                          <w:rtl/>
                        </w:rPr>
                      </w:pPr>
                      <w:r w:rsidRPr="008A4377">
                        <w:rPr>
                          <w:rtl/>
                        </w:rPr>
                        <w:t>היחס בין ביצוע תקציב תפעול המשרד לבין ביצוע תקציב הפעולות (התקציב המיועד למימוש פרויקטים ותוכניות המשרד), 2018 - 2023 (באלפי ש"ח)</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8A4377" w14:paraId="29744092" w14:textId="06EF01F3">
      <w:pPr>
        <w:spacing w:before="240"/>
        <w:rPr>
          <w:rtl/>
        </w:rPr>
      </w:pPr>
      <w:r>
        <w:rPr>
          <w:noProof/>
          <w:rtl/>
          <w:lang w:val="he-IL"/>
        </w:rPr>
        <w:drawing>
          <wp:inline distT="0" distB="0" distL="0" distR="0">
            <wp:extent cx="4599026" cy="2802322"/>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599026" cy="2802322"/>
                    </a:xfrm>
                    <a:prstGeom prst="rect">
                      <a:avLst/>
                    </a:prstGeom>
                  </pic:spPr>
                </pic:pic>
              </a:graphicData>
            </a:graphic>
          </wp:inline>
        </w:drawing>
      </w:r>
    </w:p>
    <w:p w:rsidR="00362505" w:rsidP="00D57BE9" w14:paraId="0DA8F7B9" w14:textId="6928B79B">
      <w:pPr>
        <w:pStyle w:val="738"/>
        <w:rPr>
          <w:rtl/>
        </w:rPr>
      </w:pPr>
      <w:r w:rsidRPr="00506345">
        <w:rPr>
          <w:rtl/>
        </w:rPr>
        <w:t>על פי נתוני החשב הכללי, בעיבוד משרד מבקר המדינה</w:t>
      </w:r>
      <w:r w:rsidRPr="00D57BE9" w:rsidR="005D0F8C">
        <w:rPr>
          <w:rFonts w:hint="cs"/>
          <w:rtl/>
        </w:rPr>
        <w:t>.</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0B31AA" w:rsidP="00662020" w14:paraId="1001632A" w14:textId="2A08152E">
      <w:pPr>
        <w:pStyle w:val="738"/>
        <w:spacing w:before="0" w:after="0"/>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-32476</wp:posOffset>
                </wp:positionH>
                <wp:positionV relativeFrom="paragraph">
                  <wp:posOffset>0</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4DEA7EAF">
                              <w:pPr>
                                <w:pStyle w:val="7332"/>
                              </w:pPr>
                              <w:r w:rsidRPr="00C02C4E">
                                <w:rPr>
                                  <w:rtl/>
                                </w:rPr>
                                <w:t>פרויקט שער הירדן - הגשר המחבר בין הצד הישראלי לירדני*</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6" alt="&quot;&quot;" style="width:377pt;height:60.4pt;margin-top:0;margin-left:-2.55pt;mso-height-relative:margin;mso-position-horizontal-relative:margin;mso-width-relative:margin;position:absolute;z-index:251681792"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7" type="#_x0000_t75" style="width:47879;height:6148;mso-wrap-style:square;position:absolute;top:1815;visibility:visible">
                  <v:imagedata r:id="rId28" o:title=""/>
                </v:shape>
                <v:shape id="_x0000_s1038" type="#_x0000_t202" style="width:44284;height:3476;left:2028;mso-wrap-style:square;position:absolute;top:2665;visibility:visible;v-text-anchor:middle" fillcolor="#f05260" stroked="f">
                  <v:textbox>
                    <w:txbxContent>
                      <w:p w:rsidR="000B31AA" w:rsidRPr="00524400" w:rsidP="00524400" w14:paraId="64B50804" w14:textId="4DEA7EAF">
                        <w:pPr>
                          <w:pStyle w:val="7332"/>
                        </w:pPr>
                        <w:r w:rsidRPr="00C02C4E">
                          <w:rPr>
                            <w:rtl/>
                          </w:rPr>
                          <w:t>פרויקט שער הירדן - הגשר המחבר בין הצד הישראלי לירדני*</w:t>
                        </w:r>
                      </w:p>
                    </w:txbxContent>
                  </v:textbox>
                </v:shape>
                <w10:wrap type="square"/>
              </v:group>
            </w:pict>
          </mc:Fallback>
        </mc:AlternateContent>
      </w:r>
    </w:p>
    <w:p w:rsidR="000B31AA" w:rsidP="00C02C4E" w14:paraId="5C1AE375" w14:textId="230CD2EA">
      <w:pPr>
        <w:rPr>
          <w:rtl/>
        </w:rPr>
      </w:pPr>
      <w:r>
        <w:rPr>
          <w:noProof/>
          <w:rtl/>
          <w:lang w:val="he-IL"/>
        </w:rPr>
        <w:drawing>
          <wp:inline distT="0" distB="0" distL="0" distR="0">
            <wp:extent cx="4679950" cy="2481580"/>
            <wp:effectExtent l="0" t="0" r="6350" b="0"/>
            <wp:docPr id="630827370" name="תמונה 1" descr="תמונה שמכילה בחוץ, ענן, שמיים, דשא&#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27370" name="תמונה 1" descr="תמונה שמכילה בחוץ, ענן, שמיים, דשא&#10;&#10;התיאור נוצר באופן אוטומטי"/>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481580"/>
                    </a:xfrm>
                    <a:prstGeom prst="rect">
                      <a:avLst/>
                    </a:prstGeom>
                  </pic:spPr>
                </pic:pic>
              </a:graphicData>
            </a:graphic>
          </wp:inline>
        </w:drawing>
      </w:r>
    </w:p>
    <w:p w:rsidR="00C02C4E" w:rsidP="001D654B" w14:paraId="7D66C0F9" w14:textId="7AB8506C">
      <w:pPr>
        <w:pStyle w:val="738"/>
        <w:spacing w:after="0"/>
      </w:pPr>
      <w:r w:rsidRPr="007F4467">
        <w:rPr>
          <w:rtl/>
        </w:rPr>
        <w:t>צולם על ידי נציגי משרד מבקר המדינה בדצמבר 2023</w:t>
      </w:r>
      <w:r>
        <w:rPr>
          <w:rFonts w:hint="cs"/>
          <w:rtl/>
        </w:rPr>
        <w:t>.</w:t>
      </w:r>
    </w:p>
    <w:p w:rsidR="001D654B" w:rsidRPr="001D654B" w:rsidP="001D654B" w14:paraId="23AD5250" w14:textId="3CB6AFC9">
      <w:pPr>
        <w:pStyle w:val="738"/>
        <w:spacing w:before="0"/>
        <w:ind w:left="282" w:hanging="282"/>
        <w:rPr>
          <w:rtl/>
        </w:rPr>
      </w:pPr>
      <w:r>
        <w:t xml:space="preserve"> *</w:t>
      </w:r>
      <w:r>
        <w:tab/>
      </w:r>
      <w:r w:rsidRPr="001D654B">
        <w:rPr>
          <w:rtl/>
        </w:rPr>
        <w:t>בפרויקט הקמת הגשר הושקעו כ-60 מיליוני ש"ח מתקציב משרד התחבורה; הגשר לא נפתח מעולם ואינו פעיל</w:t>
      </w:r>
      <w:r w:rsidRPr="001D654B">
        <w:t>.</w:t>
      </w:r>
    </w:p>
    <w:p w:rsidR="00C02C4E" w14:paraId="0BF22AFC"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C02C4E" w:rsidRPr="00230A3C" w:rsidP="00C02C4E" w14:paraId="48A6C028" w14:textId="77777777">
      <w:pPr>
        <w:widowControl w:val="0"/>
        <w:tabs>
          <w:tab w:val="left" w:pos="9604"/>
        </w:tabs>
        <w:spacing w:before="240" w:line="276" w:lineRule="auto"/>
        <w:ind w:left="-1"/>
        <w:rPr>
          <w:rFonts w:ascii="Tahoma" w:hAnsi="Tahoma" w:cs="Tahoma"/>
          <w:sz w:val="18"/>
          <w:szCs w:val="18"/>
          <w:rtl/>
        </w:rPr>
      </w:pPr>
      <w:r w:rsidRPr="00230A3C">
        <w:rPr>
          <w:rFonts w:ascii="Tahoma" w:hAnsi="Tahoma" w:cs="Tahoma"/>
          <w:sz w:val="18"/>
          <w:szCs w:val="18"/>
          <w:rtl/>
        </w:rPr>
        <w:t xml:space="preserve">עם הקמתו של המשרד </w:t>
      </w:r>
      <w:r w:rsidRPr="00230A3C">
        <w:rPr>
          <w:rFonts w:ascii="Tahoma" w:hAnsi="Tahoma" w:cs="Tahoma"/>
          <w:sz w:val="18"/>
          <w:szCs w:val="18"/>
          <w:rtl/>
        </w:rPr>
        <w:t>לשתפ"א</w:t>
      </w:r>
      <w:r w:rsidRPr="00230A3C">
        <w:rPr>
          <w:rFonts w:ascii="Tahoma" w:hAnsi="Tahoma" w:cs="Tahoma"/>
          <w:sz w:val="18"/>
          <w:szCs w:val="18"/>
          <w:rtl/>
        </w:rPr>
        <w:t xml:space="preserve"> תוכנן ליצוק בו תוכן נוכח העובדה שפעילות בתחום שיתופי פעולה בין המדינות וייזום פרויקטים אזוריים המשותפים לישראל ולמדינות האזור יכולים לקדם באופן משמעותי אינטרסים המשותפים למדינות המשתתפות בפרויקטים אלו וכפועל יוצא מכך לקדם ולחזק את הקשרים המדיניים, הכלכליים והתרבותיים עם אזרחי מדינות האזור. </w:t>
      </w:r>
    </w:p>
    <w:p w:rsidR="00C02C4E" w:rsidRPr="00230A3C" w:rsidP="00C02C4E" w14:paraId="4026AD5A" w14:textId="77777777">
      <w:pPr>
        <w:widowControl w:val="0"/>
        <w:tabs>
          <w:tab w:val="left" w:pos="9604"/>
        </w:tabs>
        <w:spacing w:before="240" w:line="276" w:lineRule="auto"/>
        <w:ind w:left="-1"/>
        <w:rPr>
          <w:rFonts w:ascii="Tahoma" w:hAnsi="Tahoma" w:cs="Tahoma"/>
          <w:sz w:val="18"/>
          <w:szCs w:val="18"/>
          <w:rtl/>
        </w:rPr>
      </w:pPr>
      <w:r w:rsidRPr="00230A3C">
        <w:rPr>
          <w:rFonts w:ascii="Tahoma" w:hAnsi="Tahoma" w:cs="Tahoma"/>
          <w:sz w:val="18"/>
          <w:szCs w:val="18"/>
          <w:rtl/>
        </w:rPr>
        <w:t xml:space="preserve">הסכמי אברהם שנחתמו בשנת 2020 עם חלק ממדינות המפרץ וכן הצורך הגובר והולך באזור לפתרונות משמעותיים בתחום המים, </w:t>
      </w:r>
      <w:r w:rsidRPr="00230A3C">
        <w:rPr>
          <w:rFonts w:ascii="Tahoma" w:hAnsi="Tahoma" w:cs="Tahoma"/>
          <w:sz w:val="18"/>
          <w:szCs w:val="18"/>
          <w:rtl/>
        </w:rPr>
        <w:t>האנרגייה</w:t>
      </w:r>
      <w:r w:rsidRPr="00230A3C">
        <w:rPr>
          <w:rFonts w:ascii="Tahoma" w:hAnsi="Tahoma" w:cs="Tahoma"/>
          <w:sz w:val="18"/>
          <w:szCs w:val="18"/>
          <w:rtl/>
        </w:rPr>
        <w:t xml:space="preserve">, הביטחון התזונתי, החקלאות והרפואה המתקדמת מחזקים את הפוטנציאל הטמון ביצירת שיתופי פעולה לקידומם של תחומים חשובים אלו בין מדינות האזור למדינת ישראל, ופתרונות אלה יכולים להיות אחד ממנועי הצמיחה העיקריים של מדינת ישראל הן בתחום הכלכלי והן בתחום המדיני. </w:t>
      </w:r>
    </w:p>
    <w:p w:rsidR="00C02C4E" w:rsidRPr="00230A3C" w:rsidP="00C02C4E" w14:paraId="26D521F9" w14:textId="3677ED78">
      <w:pPr>
        <w:widowControl w:val="0"/>
        <w:tabs>
          <w:tab w:val="left" w:pos="9604"/>
        </w:tabs>
        <w:spacing w:before="240" w:line="276" w:lineRule="auto"/>
        <w:ind w:left="-1"/>
        <w:rPr>
          <w:rFonts w:ascii="Tahoma" w:hAnsi="Tahoma" w:cs="Tahoma"/>
          <w:sz w:val="18"/>
          <w:szCs w:val="18"/>
          <w:rtl/>
        </w:rPr>
      </w:pPr>
      <w:r w:rsidRPr="00230A3C">
        <w:rPr>
          <w:rFonts w:ascii="Tahoma" w:hAnsi="Tahoma" w:cs="Tahoma"/>
          <w:sz w:val="18"/>
          <w:szCs w:val="18"/>
          <w:rtl/>
        </w:rPr>
        <w:t xml:space="preserve">מדוח הביקורת עולה כי המשרד </w:t>
      </w:r>
      <w:r w:rsidRPr="00230A3C">
        <w:rPr>
          <w:rFonts w:ascii="Tahoma" w:hAnsi="Tahoma" w:cs="Tahoma"/>
          <w:sz w:val="18"/>
          <w:szCs w:val="18"/>
          <w:rtl/>
        </w:rPr>
        <w:t>לשתפ"א</w:t>
      </w:r>
      <w:r w:rsidRPr="00230A3C">
        <w:rPr>
          <w:rFonts w:ascii="Tahoma" w:hAnsi="Tahoma" w:cs="Tahoma"/>
          <w:sz w:val="18"/>
          <w:szCs w:val="18"/>
          <w:rtl/>
        </w:rPr>
        <w:t xml:space="preserve"> לא התאים את עצמו לצרכים ולשינויים החלים במרחב הגיאוגרפי ולא מיצה את הפוטנציאל הרב שנוצר בשנים האחרונות לשיתופי פעולה עם מדינות האזור בתחומים הרלוונטיים. בפועל בראייה רב-שנתית תוצרי העבודה של המשרד הם דלים ביותר, והוא מציג לאורך שנים שיעורי ביצוע הנמוכים מ-41% של תקציב הפעולות אשר יועד עבורו. נוסף על כך נפלו ליקויים באופני פעולתו של משרד זה ובניהול הפרויקטים השונים שעליהם הוא הופקד לאורך השנים. </w:t>
      </w:r>
      <w:r w:rsidR="001D654B">
        <w:rPr>
          <w:rFonts w:ascii="Tahoma" w:hAnsi="Tahoma" w:cs="Tahoma" w:hint="cs"/>
          <w:sz w:val="18"/>
          <w:szCs w:val="18"/>
          <w:rtl/>
        </w:rPr>
        <w:t>ה</w:t>
      </w:r>
      <w:r w:rsidRPr="00230A3C">
        <w:rPr>
          <w:rFonts w:ascii="Tahoma" w:hAnsi="Tahoma" w:cs="Tahoma"/>
          <w:sz w:val="18"/>
          <w:szCs w:val="18"/>
          <w:rtl/>
        </w:rPr>
        <w:t>פרויקט המרכזי שבאחריותו של משרד זה, פרויקט שער הירדן, לא יצא מהכוח אל הפועל למרות השנים הרבות שחלפו מאז החליטה ממשלת ישראל על התנעתו. חלק מחולשתו של המשרד ניתן לתלות גם בחוסר הסמכות שלו כלפי משרדי הממשלה וגופי הממשלה האחרים.</w:t>
      </w:r>
    </w:p>
    <w:p w:rsidR="00C02C4E" w:rsidRPr="00230A3C" w:rsidP="00C02C4E" w14:paraId="598523D9" w14:textId="77777777">
      <w:pPr>
        <w:widowControl w:val="0"/>
        <w:tabs>
          <w:tab w:val="left" w:pos="9604"/>
        </w:tabs>
        <w:spacing w:before="240" w:line="276" w:lineRule="auto"/>
        <w:ind w:left="-1"/>
        <w:rPr>
          <w:rFonts w:ascii="Tahoma" w:hAnsi="Tahoma" w:cs="Tahoma"/>
          <w:sz w:val="18"/>
          <w:szCs w:val="18"/>
          <w:rtl/>
        </w:rPr>
      </w:pPr>
      <w:r w:rsidRPr="00230A3C">
        <w:rPr>
          <w:rFonts w:ascii="Tahoma" w:hAnsi="Tahoma" w:cs="Tahoma"/>
          <w:sz w:val="18"/>
          <w:szCs w:val="18"/>
          <w:rtl/>
        </w:rPr>
        <w:t xml:space="preserve">מכלול הממצאים בדוח הביקורת מעלה ספק רב בדבר מימוש ייעודו של המשרד </w:t>
      </w:r>
      <w:r w:rsidRPr="00230A3C">
        <w:rPr>
          <w:rFonts w:ascii="Tahoma" w:hAnsi="Tahoma" w:cs="Tahoma"/>
          <w:sz w:val="18"/>
          <w:szCs w:val="18"/>
          <w:rtl/>
        </w:rPr>
        <w:t>לשתפ"א</w:t>
      </w:r>
      <w:r w:rsidRPr="00230A3C">
        <w:rPr>
          <w:rFonts w:ascii="Tahoma" w:hAnsi="Tahoma" w:cs="Tahoma"/>
          <w:sz w:val="18"/>
          <w:szCs w:val="18"/>
          <w:rtl/>
        </w:rPr>
        <w:t>, בדבר היותו גורם משפיע לקידום שיתופי פעולה אזוריים ובדבר הצדקת פעילותו.</w:t>
      </w:r>
    </w:p>
    <w:p w:rsidR="00AD1000" w:rsidP="00C02C4E" w14:paraId="7A555FDA" w14:textId="63BD263A">
      <w:pPr>
        <w:widowControl w:val="0"/>
        <w:tabs>
          <w:tab w:val="left" w:pos="9604"/>
        </w:tabs>
        <w:spacing w:before="240" w:line="276" w:lineRule="auto"/>
        <w:ind w:left="-1"/>
        <w:rPr>
          <w:rFonts w:ascii="Tahoma" w:hAnsi="Tahoma" w:cs="Tahoma"/>
          <w:sz w:val="18"/>
          <w:szCs w:val="18"/>
          <w:rtl/>
        </w:rPr>
      </w:pPr>
      <w:r w:rsidRPr="00230A3C">
        <w:rPr>
          <w:rFonts w:ascii="Tahoma" w:hAnsi="Tahoma" w:cs="Tahoma"/>
          <w:sz w:val="18"/>
          <w:szCs w:val="18"/>
          <w:rtl/>
        </w:rPr>
        <w:t xml:space="preserve">מומלץ כי ראש הממשלה והשר </w:t>
      </w:r>
      <w:r w:rsidRPr="00230A3C">
        <w:rPr>
          <w:rFonts w:ascii="Tahoma" w:hAnsi="Tahoma" w:cs="Tahoma"/>
          <w:sz w:val="18"/>
          <w:szCs w:val="18"/>
          <w:rtl/>
        </w:rPr>
        <w:t>לשתפ"א</w:t>
      </w:r>
      <w:r w:rsidRPr="00230A3C">
        <w:rPr>
          <w:rFonts w:ascii="Tahoma" w:hAnsi="Tahoma" w:cs="Tahoma"/>
          <w:sz w:val="18"/>
          <w:szCs w:val="18"/>
          <w:rtl/>
        </w:rPr>
        <w:t xml:space="preserve"> יבחנו את נחיצותו של המשרד </w:t>
      </w:r>
      <w:r w:rsidRPr="00230A3C">
        <w:rPr>
          <w:rFonts w:ascii="Tahoma" w:hAnsi="Tahoma" w:cs="Tahoma"/>
          <w:sz w:val="18"/>
          <w:szCs w:val="18"/>
          <w:rtl/>
        </w:rPr>
        <w:t>לשתפ"א</w:t>
      </w:r>
      <w:r w:rsidRPr="00230A3C">
        <w:rPr>
          <w:rFonts w:ascii="Tahoma" w:hAnsi="Tahoma" w:cs="Tahoma"/>
          <w:sz w:val="18"/>
          <w:szCs w:val="18"/>
          <w:rtl/>
        </w:rPr>
        <w:t xml:space="preserve"> כמשרד עצמאי, נוכח האמור בדוח ביקורת זה. אם יימצא כי פעילות המשרד </w:t>
      </w:r>
      <w:r w:rsidRPr="00230A3C">
        <w:rPr>
          <w:rFonts w:ascii="Tahoma" w:hAnsi="Tahoma" w:cs="Tahoma"/>
          <w:sz w:val="18"/>
          <w:szCs w:val="18"/>
          <w:rtl/>
        </w:rPr>
        <w:t>לשתפ"א</w:t>
      </w:r>
      <w:r w:rsidRPr="00230A3C">
        <w:rPr>
          <w:rFonts w:ascii="Tahoma" w:hAnsi="Tahoma" w:cs="Tahoma"/>
          <w:sz w:val="18"/>
          <w:szCs w:val="18"/>
          <w:rtl/>
        </w:rPr>
        <w:t xml:space="preserve"> כמשרד עצמאי אכן נחוצה, נדרש להסדיר את תחומי אחריותו וסמכויותיו ולגבש בהקדם תוכנית אסטרטגית הכוללת משימות ויעדים לפעילותו, ולפעול ליישומה של תוכנית זו</w:t>
      </w:r>
      <w:r>
        <w:rPr>
          <w:rFonts w:ascii="Tahoma" w:hAnsi="Tahoma" w:cs="Tahoma" w:hint="cs"/>
          <w:sz w:val="18"/>
          <w:szCs w:val="18"/>
          <w:rtl/>
        </w:rPr>
        <w:t>.</w:t>
      </w:r>
    </w:p>
    <w:p w:rsidR="00D57BE9" w:rsidP="004A6E79" w14:paraId="3D558F60" w14:textId="5FEFD126">
      <w:pPr>
        <w:pStyle w:val="7392"/>
        <w:rPr>
          <w:rtl/>
        </w:rPr>
      </w:pPr>
    </w:p>
    <w:sectPr w:rsidSect="00784558">
      <w:headerReference w:type="default" r:id="rId30"/>
      <w:pgSz w:w="11906" w:h="16838" w:code="9"/>
      <w:pgMar w:top="3062" w:right="2268" w:bottom="2552" w:left="2268" w:header="1134" w:footer="1361" w:gutter="0"/>
      <w:pgNumType w:start="6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8C780F" w14:paraId="06BC0424" w14:textId="77777777">
      <w:pPr>
        <w:spacing w:line="240" w:lineRule="auto"/>
      </w:pPr>
      <w:r>
        <w:separator/>
      </w:r>
    </w:p>
    <w:p w:rsidR="008C780F" w14:paraId="75F78F2C" w14:textId="77777777"/>
    <w:p w:rsidR="008C780F" w14:paraId="353C90BB" w14:textId="77777777"/>
    <w:p w:rsidR="008C780F" w14:paraId="6F89389D" w14:textId="77777777"/>
  </w:endnote>
  <w:endnote w:type="continuationSeparator" w:id="1">
    <w:p w:rsidR="008C780F" w14:paraId="07FF0C70" w14:textId="77777777">
      <w:pPr>
        <w:spacing w:line="240" w:lineRule="auto"/>
      </w:pPr>
      <w:r>
        <w:continuationSeparator/>
      </w:r>
    </w:p>
    <w:p w:rsidR="008C780F" w14:paraId="5E8CD278" w14:textId="77777777"/>
    <w:p w:rsidR="008C780F" w14:paraId="5B731EC2" w14:textId="77777777"/>
    <w:p w:rsidR="008C780F" w14:paraId="6A6FD82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A6E79" w:rsidP="004A6E79" w14:paraId="351AB7F3" w14:textId="77777777">
    <w:pPr>
      <w:pStyle w:val="Footer"/>
      <w:spacing w:after="120" w:line="312" w:lineRule="auto"/>
      <w:ind w:left="-510"/>
      <w:jc w:val="left"/>
      <w:rPr>
        <w:rFonts w:ascii="Tahoma" w:hAnsi="Tahoma" w:cs="Tahoma"/>
        <w:sz w:val="18"/>
        <w:szCs w:val="18"/>
        <w:rtl/>
      </w:rPr>
    </w:pPr>
  </w:p>
  <w:p w:rsidR="004A6E79" w:rsidP="004A6E79" w14:paraId="5D0FC628" w14:textId="2268232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4A6E79" w:rsidRPr="004A6E79" w:rsidP="004A6E79" w14:paraId="7B1FFFB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84558" w14:paraId="2710B14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C780F" w:rsidP="00E7235E" w14:paraId="22C7D5C6" w14:textId="77777777">
      <w:pPr>
        <w:spacing w:line="240" w:lineRule="auto"/>
      </w:pPr>
      <w:r>
        <w:separator/>
      </w:r>
    </w:p>
  </w:footnote>
  <w:footnote w:type="continuationSeparator" w:id="1">
    <w:p w:rsidR="008C780F" w:rsidP="00C23CC9" w14:paraId="095FBDD0" w14:textId="77777777">
      <w:pPr>
        <w:spacing w:line="240" w:lineRule="auto"/>
      </w:pPr>
      <w:r>
        <w:continuationSeparator/>
      </w:r>
    </w:p>
    <w:p w:rsidR="008C780F" w14:paraId="39019753" w14:textId="77777777"/>
    <w:p w:rsidR="008C780F" w14:paraId="0D171EED" w14:textId="77777777"/>
    <w:p w:rsidR="008C780F" w14:paraId="4B0A206C" w14:textId="77777777"/>
  </w:footnote>
  <w:footnote w:id="2">
    <w:p w:rsidR="008A4377" w:rsidRPr="008A4377" w:rsidP="008A4377" w14:paraId="711F8539" w14:textId="77777777">
      <w:pPr>
        <w:pStyle w:val="712"/>
      </w:pPr>
      <w:r w:rsidRPr="008A4377">
        <w:rPr>
          <w:rStyle w:val="FootnoteReference2"/>
          <w:vertAlign w:val="baseline"/>
        </w:rPr>
        <w:footnoteRef/>
      </w:r>
      <w:r w:rsidRPr="008A4377">
        <w:rPr>
          <w:rtl/>
        </w:rPr>
        <w:t xml:space="preserve"> </w:t>
      </w:r>
      <w:r w:rsidRPr="008A4377">
        <w:rPr>
          <w:rtl/>
        </w:rPr>
        <w:tab/>
        <w:t>מהמ"ם - מרכז הדרכה מידע ומחקר. מטרת הפרויקט היא לרכז את הידע הקיים בתחום תוך הקמת פורטל אינטרנטי,ייצור מדדים לשיתוף פעולה מוצלח וכן ביצוע הדרכות, לומדות כתובות וכדומה.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7C05A8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00147605">
                            <w:rPr>
                              <w:rFonts w:ascii="Tahoma" w:hAnsi="Tahoma" w:cs="Tahoma" w:hint="cs"/>
                              <w:b/>
                              <w:bCs/>
                              <w:rtl/>
                            </w:rPr>
                            <w:t>שם של הדוח</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7C05A8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00147605">
                      <w:rPr>
                        <w:rFonts w:ascii="Tahoma" w:hAnsi="Tahoma" w:cs="Tahoma" w:hint="cs"/>
                        <w:b/>
                        <w:bCs/>
                        <w:rtl/>
                      </w:rPr>
                      <w:t>שם של הדוח</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4CBC2C54">
                          <w:pPr>
                            <w:jc w:val="right"/>
                            <w:rPr>
                              <w:color w:val="0D0D0D" w:themeColor="text1" w:themeTint="F2"/>
                              <w:sz w:val="16"/>
                              <w:szCs w:val="16"/>
                            </w:rPr>
                          </w:pPr>
                          <w:r w:rsidRPr="00AE7EA4">
                            <w:rPr>
                              <w:rFonts w:ascii="Tahoma" w:hAnsi="Tahoma" w:cs="Tahoma"/>
                              <w:color w:val="0D0D0D"/>
                              <w:sz w:val="16"/>
                              <w:szCs w:val="16"/>
                              <w:rtl/>
                            </w:rPr>
                            <w:t xml:space="preserve">דוח מבקר המדינה | אייר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מאי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4CBC2C54">
                    <w:pPr>
                      <w:jc w:val="right"/>
                      <w:rPr>
                        <w:color w:val="0D0D0D" w:themeColor="text1" w:themeTint="F2"/>
                        <w:sz w:val="16"/>
                        <w:szCs w:val="16"/>
                      </w:rPr>
                    </w:pPr>
                    <w:r w:rsidRPr="00AE7EA4">
                      <w:rPr>
                        <w:rFonts w:ascii="Tahoma" w:hAnsi="Tahoma" w:cs="Tahoma"/>
                        <w:color w:val="0D0D0D"/>
                        <w:sz w:val="16"/>
                        <w:szCs w:val="16"/>
                        <w:rtl/>
                      </w:rPr>
                      <w:t xml:space="preserve">דוח מבקר המדינה | אייר </w:t>
                    </w:r>
                    <w:r w:rsidRPr="00AE7EA4">
                      <w:rPr>
                        <w:rFonts w:ascii="Tahoma" w:hAnsi="Tahoma" w:cs="Tahoma"/>
                        <w:color w:val="0D0D0D"/>
                        <w:sz w:val="16"/>
                        <w:szCs w:val="16"/>
                        <w:rtl/>
                      </w:rPr>
                      <w:t>התשפ״ד</w:t>
                    </w:r>
                    <w:r w:rsidRPr="00AE7EA4">
                      <w:rPr>
                        <w:rFonts w:ascii="Tahoma" w:hAnsi="Tahoma" w:cs="Tahoma"/>
                        <w:color w:val="0D0D0D"/>
                        <w:sz w:val="16"/>
                        <w:szCs w:val="16"/>
                        <w:rtl/>
                      </w:rPr>
                      <w:t xml:space="preserve"> | מאי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1AC1DC3F">
                          <w:pPr>
                            <w:pStyle w:val="Heading1"/>
                            <w:spacing w:line="269" w:lineRule="auto"/>
                            <w:jc w:val="left"/>
                            <w:rPr>
                              <w:rFonts w:ascii="Tahoma" w:hAnsi="Tahoma" w:eastAsiaTheme="minorHAnsi" w:cs="Tahoma"/>
                              <w:bCs w:val="0"/>
                              <w:color w:val="0D0D0D" w:themeColor="text1" w:themeTint="F2"/>
                              <w:sz w:val="16"/>
                              <w:szCs w:val="16"/>
                              <w:u w:val="none"/>
                            </w:rPr>
                          </w:pPr>
                          <w:r w:rsidRPr="008A4377">
                            <w:rPr>
                              <w:rFonts w:ascii="Tahoma" w:hAnsi="Tahoma" w:eastAsiaTheme="minorHAnsi" w:cs="Tahoma"/>
                              <w:bCs w:val="0"/>
                              <w:color w:val="0D0D0D" w:themeColor="text1" w:themeTint="F2"/>
                              <w:sz w:val="16"/>
                              <w:szCs w:val="16"/>
                              <w:u w:val="none"/>
                              <w:rtl/>
                            </w:rPr>
                            <w:t>היבטים בפעילות המשרד לשיתוף פעולה אזורי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1AC1DC3F">
                    <w:pPr>
                      <w:pStyle w:val="Heading1"/>
                      <w:spacing w:line="269" w:lineRule="auto"/>
                      <w:jc w:val="left"/>
                      <w:rPr>
                        <w:rFonts w:ascii="Tahoma" w:hAnsi="Tahoma" w:eastAsiaTheme="minorHAnsi" w:cs="Tahoma"/>
                        <w:bCs w:val="0"/>
                        <w:color w:val="0D0D0D" w:themeColor="text1" w:themeTint="F2"/>
                        <w:sz w:val="16"/>
                        <w:szCs w:val="16"/>
                        <w:u w:val="none"/>
                      </w:rPr>
                    </w:pPr>
                    <w:r w:rsidRPr="008A4377">
                      <w:rPr>
                        <w:rFonts w:ascii="Tahoma" w:hAnsi="Tahoma" w:eastAsiaTheme="minorHAnsi" w:cs="Tahoma"/>
                        <w:bCs w:val="0"/>
                        <w:color w:val="0D0D0D" w:themeColor="text1" w:themeTint="F2"/>
                        <w:sz w:val="16"/>
                        <w:szCs w:val="16"/>
                        <w:u w:val="none"/>
                        <w:rtl/>
                      </w:rPr>
                      <w:t>היבטים בפעילות המשרד לשיתוף פעולה אזורי</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486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059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8A4377" w14:textId="6762035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784558">
                            <w:rPr>
                              <w:rFonts w:hint="cs"/>
                              <w:rtl/>
                            </w:rPr>
                            <w:t xml:space="preserve">    </w:t>
                          </w:r>
                          <w:r>
                            <w:rPr>
                              <w:rFonts w:hint="cs"/>
                              <w:rtl/>
                            </w:rPr>
                            <w:t xml:space="preserve">          </w:t>
                          </w:r>
                          <w:r w:rsidR="00784558">
                            <w:rPr>
                              <w:rFonts w:ascii="Tahoma" w:hAnsi="Tahoma" w:cs="Tahoma" w:hint="cs"/>
                              <w:sz w:val="24"/>
                              <w:szCs w:val="24"/>
                              <w:rtl/>
                            </w:rPr>
                            <w:t xml:space="preserve">תקציר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A4377" w:rsidR="008A4377">
                            <w:rPr>
                              <w:rFonts w:ascii="Tahoma" w:hAnsi="Tahoma" w:cs="Tahoma"/>
                              <w:b/>
                              <w:bCs/>
                              <w:rtl/>
                            </w:rPr>
                            <w:t>היבטים בפעילות המשרד לשיתוף פעולה אזורי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59"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2816" fillcolor="#00305f" strokecolor="#00305f">
              <v:textbox style="layout-flow:vertical;mso-layout-flow-alt:bottom-to-top" inset="0,0,0,0">
                <w:txbxContent>
                  <w:p w:rsidR="00E56721" w:rsidRPr="009B7D1B" w:rsidP="008A4377" w14:paraId="3B4CCAD6" w14:textId="6762035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784558">
                      <w:rPr>
                        <w:rFonts w:hint="cs"/>
                        <w:rtl/>
                      </w:rPr>
                      <w:t xml:space="preserve">    </w:t>
                    </w:r>
                    <w:r>
                      <w:rPr>
                        <w:rFonts w:hint="cs"/>
                        <w:rtl/>
                      </w:rPr>
                      <w:t xml:space="preserve">          </w:t>
                    </w:r>
                    <w:r w:rsidR="00784558">
                      <w:rPr>
                        <w:rFonts w:ascii="Tahoma" w:hAnsi="Tahoma" w:cs="Tahoma" w:hint="cs"/>
                        <w:sz w:val="24"/>
                        <w:szCs w:val="24"/>
                        <w:rtl/>
                      </w:rPr>
                      <w:t xml:space="preserve">תקציר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A4377" w:rsidR="008A4377">
                      <w:rPr>
                        <w:rFonts w:ascii="Tahoma" w:hAnsi="Tahoma" w:cs="Tahoma"/>
                        <w:b/>
                        <w:bCs/>
                        <w:rtl/>
                      </w:rPr>
                      <w:t>היבטים בפעילות המשרד לשיתוף פעולה אזורי</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769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44642029">
                          <w:pPr>
                            <w:jc w:val="right"/>
                            <w:rPr>
                              <w:color w:val="0D0D0D" w:themeColor="text1" w:themeTint="F2"/>
                              <w:sz w:val="16"/>
                              <w:szCs w:val="16"/>
                            </w:rPr>
                          </w:pPr>
                          <w:r w:rsidRPr="00D96002">
                            <w:rPr>
                              <w:rFonts w:ascii="Tahoma" w:hAnsi="Tahoma" w:cs="Tahoma"/>
                              <w:color w:val="0D0D0D"/>
                              <w:sz w:val="16"/>
                              <w:szCs w:val="16"/>
                              <w:rtl/>
                            </w:rPr>
                            <w:t xml:space="preserve">דוח מבקר המדינה | חשוון </w:t>
                          </w:r>
                          <w:r w:rsidRPr="00D96002">
                            <w:rPr>
                              <w:rFonts w:ascii="Tahoma" w:hAnsi="Tahoma" w:cs="Tahoma"/>
                              <w:color w:val="0D0D0D"/>
                              <w:sz w:val="16"/>
                              <w:szCs w:val="16"/>
                              <w:rtl/>
                            </w:rPr>
                            <w:t>התשפ"</w:t>
                          </w:r>
                          <w:r w:rsidR="0086016C">
                            <w:rPr>
                              <w:rFonts w:ascii="Tahoma" w:hAnsi="Tahoma" w:cs="Tahoma" w:hint="cs"/>
                              <w:color w:val="0D0D0D"/>
                              <w:sz w:val="16"/>
                              <w:szCs w:val="16"/>
                              <w:rtl/>
                            </w:rPr>
                            <w:t>ה</w:t>
                          </w:r>
                          <w:r w:rsidRPr="00D96002">
                            <w:rPr>
                              <w:rFonts w:ascii="Tahoma" w:hAnsi="Tahoma" w:cs="Tahoma"/>
                              <w:color w:val="0D0D0D"/>
                              <w:sz w:val="16"/>
                              <w:szCs w:val="16"/>
                              <w:rtl/>
                            </w:rPr>
                            <w:t xml:space="preserve"> | נובמבר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0"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78720" strokecolor="white">
              <v:textbox>
                <w:txbxContent>
                  <w:p w:rsidR="00E56721" w:rsidRPr="00C55DC9" w:rsidP="00B244B0" w14:paraId="0C0E463E" w14:textId="44642029">
                    <w:pPr>
                      <w:jc w:val="right"/>
                      <w:rPr>
                        <w:color w:val="0D0D0D" w:themeColor="text1" w:themeTint="F2"/>
                        <w:sz w:val="16"/>
                        <w:szCs w:val="16"/>
                      </w:rPr>
                    </w:pPr>
                    <w:r w:rsidRPr="00D96002">
                      <w:rPr>
                        <w:rFonts w:ascii="Tahoma" w:hAnsi="Tahoma" w:cs="Tahoma"/>
                        <w:color w:val="0D0D0D"/>
                        <w:sz w:val="16"/>
                        <w:szCs w:val="16"/>
                        <w:rtl/>
                      </w:rPr>
                      <w:t xml:space="preserve">דוח מבקר המדינה | חשוון </w:t>
                    </w:r>
                    <w:r w:rsidRPr="00D96002">
                      <w:rPr>
                        <w:rFonts w:ascii="Tahoma" w:hAnsi="Tahoma" w:cs="Tahoma"/>
                        <w:color w:val="0D0D0D"/>
                        <w:sz w:val="16"/>
                        <w:szCs w:val="16"/>
                        <w:rtl/>
                      </w:rPr>
                      <w:t>התשפ"</w:t>
                    </w:r>
                    <w:r w:rsidR="0086016C">
                      <w:rPr>
                        <w:rFonts w:ascii="Tahoma" w:hAnsi="Tahoma" w:cs="Tahoma" w:hint="cs"/>
                        <w:color w:val="0D0D0D"/>
                        <w:sz w:val="16"/>
                        <w:szCs w:val="16"/>
                        <w:rtl/>
                      </w:rPr>
                      <w:t>ה</w:t>
                    </w:r>
                    <w:r w:rsidRPr="00D96002">
                      <w:rPr>
                        <w:rFonts w:ascii="Tahoma" w:hAnsi="Tahoma" w:cs="Tahoma"/>
                        <w:color w:val="0D0D0D"/>
                        <w:sz w:val="16"/>
                        <w:szCs w:val="16"/>
                        <w:rtl/>
                      </w:rPr>
                      <w:t xml:space="preserve"> | נובמבר 2024</w:t>
                    </w:r>
                  </w:p>
                </w:txbxContent>
              </v:textbox>
            </v:shape>
          </w:pict>
        </mc:Fallback>
      </mc:AlternateContent>
    </w:r>
    <w:r>
      <w:rPr>
        <w:rFonts w:ascii="Tahoma" w:hAnsi="Tahoma" w:cs="Tahoma"/>
        <w:noProof/>
        <w:sz w:val="22"/>
        <w:szCs w:val="22"/>
        <w:rtl/>
        <w:lang w:val="he-IL"/>
      </w:rPr>
      <w:drawing>
        <wp:anchor distT="0" distB="0" distL="114300" distR="114300" simplePos="0" relativeHeight="25168384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1" style="flip:x;mso-height-percent:0;mso-height-relative:margin;mso-width-percent:0;mso-width-relative:margin;mso-wrap-distance-bottom:0;mso-wrap-distance-left:9pt;mso-wrap-distance-right:9pt;mso-wrap-distance-top:0;mso-wrap-style:square;position:absolute;visibility:visible;z-index:25168076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1F58FB1E"/>
    <w:lvl w:ilvl="0">
      <w:start w:val="1"/>
      <w:numFmt w:val="decimal"/>
      <w:lvlText w:val="%1."/>
      <w:lvlJc w:val="left"/>
      <w:pPr>
        <w:tabs>
          <w:tab w:val="num" w:pos="1492"/>
        </w:tabs>
        <w:ind w:left="1492" w:hanging="360"/>
      </w:pPr>
    </w:lvl>
  </w:abstractNum>
  <w:abstractNum w:abstractNumId="1">
    <w:nsid w:val="FFFFFF7D"/>
    <w:multiLevelType w:val="singleLevel"/>
    <w:tmpl w:val="3EA83228"/>
    <w:lvl w:ilvl="0">
      <w:start w:val="1"/>
      <w:numFmt w:val="decimal"/>
      <w:lvlText w:val="%1."/>
      <w:lvlJc w:val="left"/>
      <w:pPr>
        <w:tabs>
          <w:tab w:val="num" w:pos="1209"/>
        </w:tabs>
        <w:ind w:left="1209" w:hanging="360"/>
      </w:pPr>
    </w:lvl>
  </w:abstractNum>
  <w:abstractNum w:abstractNumId="2">
    <w:nsid w:val="FFFFFF7F"/>
    <w:multiLevelType w:val="singleLevel"/>
    <w:tmpl w:val="F89639E4"/>
    <w:lvl w:ilvl="0">
      <w:start w:val="1"/>
      <w:numFmt w:val="decimal"/>
      <w:lvlText w:val="%1."/>
      <w:lvlJc w:val="left"/>
      <w:pPr>
        <w:tabs>
          <w:tab w:val="num" w:pos="643"/>
        </w:tabs>
        <w:ind w:left="643" w:hanging="360"/>
      </w:pPr>
    </w:lvl>
  </w:abstractNum>
  <w:abstractNum w:abstractNumId="3">
    <w:nsid w:val="FFFFFF80"/>
    <w:multiLevelType w:val="singleLevel"/>
    <w:tmpl w:val="1A76819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B52F7D0"/>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4D2A7E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EC900C9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4941F5C"/>
    <w:lvl w:ilvl="0">
      <w:start w:val="1"/>
      <w:numFmt w:val="bullet"/>
      <w:lvlText w:val=""/>
      <w:lvlJc w:val="left"/>
      <w:pPr>
        <w:tabs>
          <w:tab w:val="num" w:pos="360"/>
        </w:tabs>
        <w:ind w:left="360" w:hanging="360"/>
      </w:pPr>
      <w:rPr>
        <w:rFonts w:ascii="Symbol" w:hAnsi="Symbol" w:hint="default"/>
      </w:rPr>
    </w:lvl>
  </w:abstractNum>
  <w:abstractNum w:abstractNumId="8">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9">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722511313">
    <w:abstractNumId w:val="20"/>
  </w:num>
  <w:num w:numId="2" w16cid:durableId="159808484">
    <w:abstractNumId w:val="13"/>
  </w:num>
  <w:num w:numId="3" w16cid:durableId="2074310673">
    <w:abstractNumId w:val="16"/>
  </w:num>
  <w:num w:numId="4" w16cid:durableId="1596554476">
    <w:abstractNumId w:val="27"/>
  </w:num>
  <w:num w:numId="5" w16cid:durableId="781269690">
    <w:abstractNumId w:val="9"/>
  </w:num>
  <w:num w:numId="6" w16cid:durableId="1087919862">
    <w:abstractNumId w:val="17"/>
  </w:num>
  <w:num w:numId="7" w16cid:durableId="1266497691">
    <w:abstractNumId w:val="22"/>
  </w:num>
  <w:num w:numId="8" w16cid:durableId="1873692319">
    <w:abstractNumId w:val="11"/>
  </w:num>
  <w:num w:numId="9" w16cid:durableId="1479689730">
    <w:abstractNumId w:val="10"/>
  </w:num>
  <w:num w:numId="10" w16cid:durableId="1861623203">
    <w:abstractNumId w:val="8"/>
  </w:num>
  <w:num w:numId="11" w16cid:durableId="1544710153">
    <w:abstractNumId w:val="18"/>
  </w:num>
  <w:num w:numId="12" w16cid:durableId="1057507424">
    <w:abstractNumId w:val="21"/>
  </w:num>
  <w:num w:numId="13" w16cid:durableId="1609385757">
    <w:abstractNumId w:val="24"/>
  </w:num>
  <w:num w:numId="14" w16cid:durableId="1208831065">
    <w:abstractNumId w:val="19"/>
  </w:num>
  <w:num w:numId="15" w16cid:durableId="1425805868">
    <w:abstractNumId w:val="25"/>
  </w:num>
  <w:num w:numId="16" w16cid:durableId="1455250565">
    <w:abstractNumId w:val="12"/>
  </w:num>
  <w:num w:numId="17" w16cid:durableId="1398552641">
    <w:abstractNumId w:val="26"/>
  </w:num>
  <w:num w:numId="18" w16cid:durableId="1752001909">
    <w:abstractNumId w:val="23"/>
  </w:num>
  <w:num w:numId="19" w16cid:durableId="1971200875">
    <w:abstractNumId w:val="15"/>
  </w:num>
  <w:num w:numId="20" w16cid:durableId="499739379">
    <w:abstractNumId w:val="14"/>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28"/>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432"/>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54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965"/>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236"/>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A3C"/>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4970"/>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116"/>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EEB"/>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4E14"/>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E79"/>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9F9"/>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345"/>
    <w:rsid w:val="0050657A"/>
    <w:rsid w:val="00507986"/>
    <w:rsid w:val="00510184"/>
    <w:rsid w:val="00510973"/>
    <w:rsid w:val="00510A6C"/>
    <w:rsid w:val="00510D89"/>
    <w:rsid w:val="00511F6D"/>
    <w:rsid w:val="00512299"/>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A5B"/>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7C2"/>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1F"/>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558"/>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467"/>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016C"/>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377"/>
    <w:rsid w:val="008A45D1"/>
    <w:rsid w:val="008A4609"/>
    <w:rsid w:val="008A4780"/>
    <w:rsid w:val="008A4896"/>
    <w:rsid w:val="008A4C8C"/>
    <w:rsid w:val="008A5963"/>
    <w:rsid w:val="008A5ABF"/>
    <w:rsid w:val="008A5FD4"/>
    <w:rsid w:val="008A60E7"/>
    <w:rsid w:val="008A6D23"/>
    <w:rsid w:val="008A6E78"/>
    <w:rsid w:val="008A7100"/>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C780F"/>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3F96"/>
    <w:rsid w:val="009040D4"/>
    <w:rsid w:val="009044C4"/>
    <w:rsid w:val="00904723"/>
    <w:rsid w:val="00905ACD"/>
    <w:rsid w:val="00905E92"/>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CB6"/>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E10"/>
    <w:rsid w:val="009F7F2B"/>
    <w:rsid w:val="00A0001D"/>
    <w:rsid w:val="00A01037"/>
    <w:rsid w:val="00A0119C"/>
    <w:rsid w:val="00A017D4"/>
    <w:rsid w:val="00A01C9C"/>
    <w:rsid w:val="00A01E3D"/>
    <w:rsid w:val="00A01F05"/>
    <w:rsid w:val="00A0287D"/>
    <w:rsid w:val="00A03332"/>
    <w:rsid w:val="00A0369C"/>
    <w:rsid w:val="00A03771"/>
    <w:rsid w:val="00A03D9F"/>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4A16"/>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24B"/>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6E7B"/>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2C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7E6"/>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746"/>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002"/>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7D3"/>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0F4F"/>
    <w:rsid w:val="00F20F8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B05"/>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67F8F"/>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A0B"/>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basedOn w:val="DefaultParagraphFont"/>
    <w:uiPriority w:val="99"/>
    <w:semiHidden/>
    <w:unhideWhenUsed/>
    <w:rsid w:val="008A43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image" Target="media/image13.png" /><Relationship Id="rId29" Type="http://schemas.openxmlformats.org/officeDocument/2006/relationships/image" Target="media/image14.jpeg"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4.8f833aae-9e33-44e0-abc5-79853a41b07c.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D1BB7DC-F645-4E4C-B51E-E7606A75BBCA}"/>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5</TotalTime>
  <Pages>10</Pages>
  <Words>1940</Words>
  <Characters>9705</Characters>
  <Application>Microsoft Office Word</Application>
  <DocSecurity>0</DocSecurity>
  <Lines>80</Lines>
  <Paragraphs>23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studio er</cp:lastModifiedBy>
  <cp:revision>6</cp:revision>
  <cp:lastPrinted>2023-07-16T07:57:00Z</cp:lastPrinted>
  <dcterms:created xsi:type="dcterms:W3CDTF">2024-10-07T06:19:00Z</dcterms:created>
  <dcterms:modified xsi:type="dcterms:W3CDTF">2025-04-01T13:24:00Z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