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A97040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2205355</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5.05pt,173.65pt" to="231.5pt,173.65pt" strokecolor="white" strokeweight="1.5pt"/>
            </w:pict>
          </mc:Fallback>
        </mc:AlternateContent>
      </w:r>
      <w:r w:rsidR="008A7100">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3060967</wp:posOffset>
                </wp:positionH>
                <wp:positionV relativeFrom="paragraph">
                  <wp:posOffset>263792</wp:posOffset>
                </wp:positionV>
                <wp:extent cx="0" cy="3769895"/>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6989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pt,20.75pt" to="241pt,317.6pt" strokecolor="white" strokeweight="4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4F147340">
                            <w:pPr>
                              <w:pStyle w:val="a33"/>
                              <w:bidi/>
                              <w:rPr>
                                <w:rtl/>
                              </w:rPr>
                            </w:pPr>
                            <w:r w:rsidRPr="00AF6148">
                              <w:rPr>
                                <w:rtl/>
                              </w:rPr>
                              <w:t xml:space="preserve">דוח מבקר המדינה | חשוון </w:t>
                            </w:r>
                            <w:r w:rsidRPr="00AF6148">
                              <w:rPr>
                                <w:rtl/>
                              </w:rPr>
                              <w:t>התשפ"</w:t>
                            </w:r>
                            <w:r w:rsidR="002C45F5">
                              <w:rPr>
                                <w:rFonts w:hint="cs"/>
                                <w:rtl/>
                              </w:rPr>
                              <w:t>ה</w:t>
                            </w:r>
                            <w:r w:rsidRPr="00AF6148">
                              <w:rPr>
                                <w:rtl/>
                              </w:rPr>
                              <w:t xml:space="preserve"> | נובמבר 2024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C24C08" w:rsidRPr="000A3ED4" w:rsidP="00E45951" w14:textId="77777777">
                            <w:pPr>
                              <w:pStyle w:val="-1"/>
                              <w:spacing w:line="288" w:lineRule="auto"/>
                              <w:rPr>
                                <w:rtl/>
                              </w:rPr>
                            </w:pPr>
                            <w:r w:rsidRPr="00AF3B73">
                              <w:rPr>
                                <w:rtl/>
                              </w:rPr>
                              <w:t xml:space="preserve">משרד </w:t>
                            </w:r>
                            <w:r>
                              <w:rPr>
                                <w:rFonts w:hint="cs"/>
                                <w:rtl/>
                              </w:rPr>
                              <w:t>התחבורה והבטיחות בדרכים</w:t>
                            </w:r>
                          </w:p>
                          <w:p w:rsidR="005F7D7A" w:rsidP="00C24C08" w14:textId="77777777">
                            <w:pPr>
                              <w:pStyle w:val="a32"/>
                              <w:bidi/>
                              <w:spacing w:before="240"/>
                            </w:pPr>
                            <w:r w:rsidRPr="005F7D7A">
                              <w:rPr>
                                <w:rtl/>
                              </w:rPr>
                              <w:t>הפעלת כבישי אגרה</w:t>
                            </w:r>
                          </w:p>
                          <w:p w:rsidR="005F7D7A" w:rsidP="005F7D7A" w14:textId="77777777">
                            <w:pPr>
                              <w:pStyle w:val="a32"/>
                              <w:bidi/>
                            </w:pPr>
                          </w:p>
                          <w:p w:rsidR="00C30482" w:rsidRPr="000F5023" w:rsidP="005F7D7A" w14:textId="674C6151">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4F147340">
                      <w:pPr>
                        <w:pStyle w:val="a33"/>
                        <w:bidi/>
                        <w:rPr>
                          <w:rtl/>
                        </w:rPr>
                      </w:pPr>
                      <w:r w:rsidRPr="00AF6148">
                        <w:rPr>
                          <w:rtl/>
                        </w:rPr>
                        <w:t xml:space="preserve">דוח מבקר המדינה | חשוון </w:t>
                      </w:r>
                      <w:r w:rsidRPr="00AF6148">
                        <w:rPr>
                          <w:rtl/>
                        </w:rPr>
                        <w:t>התשפ"</w:t>
                      </w:r>
                      <w:r w:rsidR="002C45F5">
                        <w:rPr>
                          <w:rFonts w:hint="cs"/>
                          <w:rtl/>
                        </w:rPr>
                        <w:t>ה</w:t>
                      </w:r>
                      <w:r w:rsidRPr="00AF6148">
                        <w:rPr>
                          <w:rtl/>
                        </w:rPr>
                        <w:t xml:space="preserve"> | נובמבר 2024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C24C08" w:rsidRPr="000A3ED4" w:rsidP="00E45951" w14:paraId="1BC7D95A" w14:textId="77777777">
                      <w:pPr>
                        <w:pStyle w:val="-1"/>
                        <w:spacing w:line="288" w:lineRule="auto"/>
                        <w:rPr>
                          <w:rtl/>
                        </w:rPr>
                      </w:pPr>
                      <w:r w:rsidRPr="00AF3B73">
                        <w:rPr>
                          <w:rtl/>
                        </w:rPr>
                        <w:t xml:space="preserve">משרד </w:t>
                      </w:r>
                      <w:r>
                        <w:rPr>
                          <w:rFonts w:hint="cs"/>
                          <w:rtl/>
                        </w:rPr>
                        <w:t>התחבורה והבטיחות בדרכים</w:t>
                      </w:r>
                    </w:p>
                    <w:p w:rsidR="005F7D7A" w:rsidP="00C24C08" w14:paraId="3DBE43C6" w14:textId="77777777">
                      <w:pPr>
                        <w:pStyle w:val="a32"/>
                        <w:bidi/>
                        <w:spacing w:before="240"/>
                      </w:pPr>
                      <w:r w:rsidRPr="005F7D7A">
                        <w:rPr>
                          <w:rtl/>
                        </w:rPr>
                        <w:t>הפעלת כבישי אגרה</w:t>
                      </w:r>
                    </w:p>
                    <w:p w:rsidR="005F7D7A" w:rsidP="005F7D7A" w14:paraId="39901397" w14:textId="77777777">
                      <w:pPr>
                        <w:pStyle w:val="a32"/>
                        <w:bidi/>
                      </w:pPr>
                    </w:p>
                    <w:p w:rsidR="00C30482" w:rsidRPr="000F5023" w:rsidP="005F7D7A" w14:paraId="5BE5E625" w14:textId="674C6151">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F263FC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34BD36D">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-1605072</wp:posOffset>
                </wp:positionH>
                <wp:positionV relativeFrom="paragraph">
                  <wp:posOffset>-1179872</wp:posOffset>
                </wp:positionV>
                <wp:extent cx="7060367" cy="1543050"/>
                <wp:effectExtent l="0" t="0" r="1270" b="635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060367"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55.95pt;height:121.5pt;margin-top:-92.9pt;margin-left:-126.4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r>
        <w:rPr>
          <w:rFonts w:ascii="Tahoma" w:hAnsi="Tahoma" w:cs="Tahoma"/>
          <w:noProof/>
          <w:sz w:val="22"/>
          <w:szCs w:val="22"/>
          <w:rtl/>
          <w:lang w:val="he-IL"/>
        </w:rPr>
        <mc:AlternateContent>
          <mc:Choice Requires="wps">
            <w:drawing>
              <wp:anchor distT="0" distB="0" distL="114300" distR="114300" simplePos="0" relativeHeight="251706368" behindDoc="0" locked="0" layoutInCell="1" allowOverlap="1">
                <wp:simplePos x="0" y="0"/>
                <wp:positionH relativeFrom="column">
                  <wp:posOffset>3768756</wp:posOffset>
                </wp:positionH>
                <wp:positionV relativeFrom="paragraph">
                  <wp:posOffset>6756410</wp:posOffset>
                </wp:positionV>
                <wp:extent cx="1551482" cy="1543050"/>
                <wp:effectExtent l="0" t="0" r="0" b="6350"/>
                <wp:wrapNone/>
                <wp:docPr id="627553938"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551482"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22.15pt;height:121.5pt;margin-top:532pt;margin-left:296.75pt;flip:y;mso-height-percent:0;mso-height-relative:margin;mso-width-percent:0;mso-width-relative:margin;mso-wrap-distance-bottom:0;mso-wrap-distance-left:9pt;mso-wrap-distance-right:9pt;mso-wrap-distance-top:0;mso-wrap-style:square;position:absolute;visibility:visible;v-text-anchor:middle;z-index:25170739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FE3A0B" w14:paraId="4ED3AA37" w14:textId="74C2BBC7">
      <w:pPr>
        <w:pStyle w:val="7329"/>
        <w:spacing w:after="720"/>
        <w:rPr>
          <w:rtl/>
        </w:rPr>
      </w:pPr>
      <w:r w:rsidRPr="00802F2E">
        <w:rPr>
          <w:noProof/>
          <w:rtl/>
        </w:rPr>
        <w:drawing>
          <wp:anchor distT="0" distB="0" distL="114300" distR="114300" simplePos="0" relativeHeight="251681792" behindDoc="0" locked="0" layoutInCell="1" allowOverlap="1">
            <wp:simplePos x="0" y="0"/>
            <wp:positionH relativeFrom="column">
              <wp:posOffset>3324134</wp:posOffset>
            </wp:positionH>
            <wp:positionV relativeFrom="paragraph">
              <wp:posOffset>1106805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E64843">
        <w:rPr>
          <w:noProof/>
          <w:rtl/>
        </w:rPr>
        <mc:AlternateContent>
          <mc:Choice Requires="wps">
            <w:drawing>
              <wp:anchor distT="0" distB="0" distL="114300" distR="114300" simplePos="0" relativeHeight="251674624" behindDoc="0" locked="0" layoutInCell="1" allowOverlap="1">
                <wp:simplePos x="0" y="0"/>
                <wp:positionH relativeFrom="column">
                  <wp:posOffset>-656409</wp:posOffset>
                </wp:positionH>
                <wp:positionV relativeFrom="paragraph">
                  <wp:posOffset>308972</wp:posOffset>
                </wp:positionV>
                <wp:extent cx="194310" cy="5589451"/>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8945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alt="&quot;&quot;" style="width:15.3pt;height:440.1pt;margin-top:24.35pt;margin-left:-51.7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00A7073C">
        <w:rPr>
          <w:rFonts w:hint="cs"/>
          <w:noProof/>
          <w:rtl/>
        </w:rPr>
        <w:t>ה</w:t>
      </w:r>
      <w:r w:rsidRPr="005F7D7A" w:rsidR="005F7D7A">
        <w:rPr>
          <w:noProof/>
          <w:rtl/>
        </w:rPr>
        <w:t>פעלת כבישי אגרה</w:t>
      </w:r>
      <w:r w:rsidRPr="008A7100" w:rsidR="008A7100">
        <w:rPr>
          <w:noProof/>
          <w:rtl/>
        </w:rPr>
        <w:t xml:space="preserve"> </w:t>
      </w:r>
    </w:p>
    <w:p w:rsidR="00A7073C" w:rsidRPr="00273DF4" w:rsidP="00A7073C" w14:paraId="1F7030F7" w14:textId="77777777">
      <w:pPr>
        <w:pStyle w:val="7392"/>
        <w:spacing w:before="960" w:after="187"/>
        <w:rPr>
          <w:rtl/>
        </w:rPr>
      </w:pPr>
      <w:r w:rsidRPr="00273DF4">
        <w:rPr>
          <w:rtl/>
        </w:rPr>
        <w:t>ענף התחבורה הוא אחד הענפים הכלכליים המרכזיים במשק, והתפתחותו היא תנאי הכרחי לתפקוד יעיל של משק מודרני וצומח ועל כן פיתוח</w:t>
      </w:r>
      <w:r w:rsidRPr="00273DF4">
        <w:rPr>
          <w:rFonts w:hint="cs"/>
          <w:rtl/>
        </w:rPr>
        <w:t>ו</w:t>
      </w:r>
      <w:r w:rsidRPr="00273DF4">
        <w:rPr>
          <w:rtl/>
        </w:rPr>
        <w:t xml:space="preserve"> ושיפור</w:t>
      </w:r>
      <w:r w:rsidRPr="00273DF4">
        <w:rPr>
          <w:rFonts w:hint="cs"/>
          <w:rtl/>
        </w:rPr>
        <w:t>ו</w:t>
      </w:r>
      <w:r w:rsidRPr="00273DF4">
        <w:rPr>
          <w:rtl/>
        </w:rPr>
        <w:t xml:space="preserve"> הם מנוף מכריע בתהליך הצמיחה הכלכלית, בפיתוח העירוני והאזורי ובהעלאת רמת הבטיחות, לרווחת אזרחי המדינה, לשיפור איכות הסביבה ואף לצמצום פערים כלכליים וחברתיים. </w:t>
      </w:r>
    </w:p>
    <w:p w:rsidR="00A7073C" w:rsidRPr="00273DF4" w:rsidP="00A7073C" w14:paraId="2E133080" w14:textId="77777777">
      <w:pPr>
        <w:pStyle w:val="7392"/>
        <w:spacing w:after="187"/>
        <w:rPr>
          <w:rtl/>
        </w:rPr>
      </w:pPr>
      <w:r w:rsidRPr="00273DF4">
        <w:rPr>
          <w:rtl/>
        </w:rPr>
        <w:t>ההשקעה הנדרשת להקמת תשתיות תחבורה היא גבוהה מאוד ומתחרה מול צרכים רבים הממומנים בתקציב המדינה</w:t>
      </w:r>
      <w:r w:rsidRPr="00273DF4">
        <w:rPr>
          <w:rFonts w:hint="cs"/>
          <w:rtl/>
        </w:rPr>
        <w:t>.</w:t>
      </w:r>
      <w:r w:rsidRPr="00273DF4">
        <w:rPr>
          <w:rtl/>
        </w:rPr>
        <w:t xml:space="preserve"> אחת הדרכים להתמודד עם מגבלות תקציב המדינה בפיתוח תשתיות של תחבורה היא שיטת "שותפות ציבורית-פרטית" - </w:t>
      </w:r>
      <w:r w:rsidRPr="00273DF4">
        <w:t>Public-Private Partnership</w:t>
      </w:r>
      <w:r w:rsidRPr="00273DF4">
        <w:rPr>
          <w:rtl/>
        </w:rPr>
        <w:t xml:space="preserve"> (</w:t>
      </w:r>
      <w:r w:rsidRPr="00273DF4">
        <w:t>PPP</w:t>
      </w:r>
      <w:r w:rsidRPr="00273DF4">
        <w:rPr>
          <w:rtl/>
        </w:rPr>
        <w:t xml:space="preserve">), המאופיינת במודלים שונים של שיתוף פעולה בין המגזר הציבורי למגזר הפרטי בהקמת פרויקטים ציבוריים. </w:t>
      </w:r>
    </w:p>
    <w:p w:rsidR="00A7073C" w:rsidRPr="00273DF4" w:rsidP="00A7073C" w14:paraId="31385DE4" w14:textId="77777777">
      <w:pPr>
        <w:pStyle w:val="7392"/>
        <w:spacing w:after="187"/>
        <w:rPr>
          <w:rtl/>
        </w:rPr>
      </w:pPr>
      <w:r w:rsidRPr="00273DF4">
        <w:rPr>
          <w:rtl/>
        </w:rPr>
        <w:t xml:space="preserve">אחד המודלים של </w:t>
      </w:r>
      <w:r w:rsidRPr="00273DF4">
        <w:t>PPP</w:t>
      </w:r>
      <w:r w:rsidRPr="00273DF4">
        <w:rPr>
          <w:rtl/>
        </w:rPr>
        <w:t xml:space="preserve"> הוא</w:t>
      </w:r>
      <w:r w:rsidRPr="00273DF4">
        <w:rPr>
          <w:rFonts w:hint="cs"/>
          <w:rtl/>
        </w:rPr>
        <w:t xml:space="preserve"> מודל </w:t>
      </w:r>
      <w:r w:rsidRPr="00273DF4">
        <w:rPr>
          <w:rFonts w:hint="cs"/>
        </w:rPr>
        <w:t>BOT</w:t>
      </w:r>
      <w:r w:rsidRPr="00273DF4">
        <w:rPr>
          <w:rFonts w:hint="cs"/>
          <w:rtl/>
        </w:rPr>
        <w:t xml:space="preserve"> </w:t>
      </w:r>
      <w:r w:rsidRPr="00273DF4">
        <w:rPr>
          <w:rtl/>
        </w:rPr>
        <w:t>(</w:t>
      </w:r>
      <w:r w:rsidRPr="00273DF4">
        <w:t>BOT - Build-Operate-Transfer</w:t>
      </w:r>
      <w:r w:rsidRPr="00273DF4">
        <w:rPr>
          <w:rtl/>
        </w:rPr>
        <w:t xml:space="preserve"> - בנייה, הפעלה והעברה)</w:t>
      </w:r>
      <w:r w:rsidRPr="00273DF4">
        <w:rPr>
          <w:rFonts w:hint="cs"/>
          <w:rtl/>
        </w:rPr>
        <w:t xml:space="preserve">. </w:t>
      </w:r>
      <w:r w:rsidRPr="00273DF4">
        <w:rPr>
          <w:rtl/>
        </w:rPr>
        <w:t>על פי מודל זה, גוף ציבורי מִתקשר בהסכם זיכיון ארוך טווח עם זכיין מהמגזר הפרטי המקבל עליו את האחריות לספק את התשתית הציבורית, לרבות מימון, תכנון, הקמה, תפעול ותחזוקה</w:t>
      </w:r>
      <w:r w:rsidRPr="00273DF4">
        <w:rPr>
          <w:rFonts w:hint="cs"/>
          <w:rtl/>
        </w:rPr>
        <w:t>.</w:t>
      </w:r>
      <w:r w:rsidRPr="00273DF4">
        <w:rPr>
          <w:rtl/>
        </w:rPr>
        <w:t xml:space="preserve"> בתמורה מקבל המפעיל </w:t>
      </w:r>
      <w:r w:rsidRPr="00273DF4">
        <w:rPr>
          <w:rFonts w:hint="cs"/>
          <w:rtl/>
        </w:rPr>
        <w:t xml:space="preserve">הפרטי </w:t>
      </w:r>
      <w:r w:rsidRPr="00273DF4">
        <w:rPr>
          <w:rtl/>
        </w:rPr>
        <w:t>זכות לגבות תשלום ממשתמשי המתקן. בתום תקופת ההסכם נמסר המתקן לידי הגוף הציבורי ללא תמורה.</w:t>
      </w:r>
    </w:p>
    <w:p w:rsidR="00A7073C" w:rsidRPr="00273DF4" w:rsidP="00A7073C" w14:paraId="5A76C0EE" w14:textId="77777777">
      <w:pPr>
        <w:pStyle w:val="7392"/>
        <w:spacing w:after="187"/>
        <w:rPr>
          <w:rtl/>
        </w:rPr>
      </w:pPr>
      <w:r w:rsidRPr="00273DF4">
        <w:rPr>
          <w:rFonts w:hint="cs"/>
          <w:rtl/>
        </w:rPr>
        <w:t>בישראל קיימים</w:t>
      </w:r>
      <w:r w:rsidRPr="00273DF4">
        <w:rPr>
          <w:rtl/>
        </w:rPr>
        <w:t xml:space="preserve"> </w:t>
      </w:r>
      <w:r w:rsidRPr="00273DF4">
        <w:rPr>
          <w:rFonts w:hint="cs"/>
          <w:rtl/>
        </w:rPr>
        <w:t xml:space="preserve">שלושה כבישי אגרה - מנהרות הכרמל, כביש 6 והנתיב המהיר שכולם הוקמו במודל </w:t>
      </w:r>
      <w:r w:rsidRPr="00273DF4">
        <w:rPr>
          <w:rFonts w:hint="cs"/>
        </w:rPr>
        <w:t>BOT</w:t>
      </w:r>
      <w:r w:rsidRPr="00273DF4">
        <w:rPr>
          <w:rFonts w:hint="cs"/>
          <w:rtl/>
        </w:rPr>
        <w:t>.</w:t>
      </w:r>
    </w:p>
    <w:p w:rsidR="007F4A20" w:rsidRPr="00F16A67" w:rsidP="008A7100" w14:paraId="0B41EED6" w14:textId="72897C3D">
      <w:pPr>
        <w:pStyle w:val="7392"/>
        <w:spacing w:before="840"/>
        <w:rPr>
          <w:rtl/>
        </w:rPr>
      </w:pPr>
      <w:r w:rsidRPr="00F16A67">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3329849</wp:posOffset>
            </wp:positionH>
            <wp:positionV relativeFrom="paragraph">
              <wp:posOffset>0</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6"/>
        <w:gridCol w:w="278"/>
        <w:gridCol w:w="1871"/>
        <w:gridCol w:w="277"/>
        <w:gridCol w:w="1466"/>
        <w:gridCol w:w="277"/>
        <w:gridCol w:w="1631"/>
      </w:tblGrid>
      <w:tr w14:paraId="58B4726B" w14:textId="77777777" w:rsidTr="00B168D2">
        <w:tblPrEx>
          <w:tblW w:w="50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00" w:type="pct"/>
            <w:tcBorders>
              <w:bottom w:val="single" w:sz="12" w:space="0" w:color="000000" w:themeColor="text1"/>
            </w:tcBorders>
            <w:vAlign w:val="bottom"/>
          </w:tcPr>
          <w:p w:rsidR="00A7073C" w:rsidRPr="00A7073C" w:rsidP="00E45951" w14:paraId="23EB689E" w14:textId="05F4D77B">
            <w:pPr>
              <w:spacing w:after="60" w:line="240" w:lineRule="auto"/>
              <w:jc w:val="left"/>
              <w:rPr>
                <w:b/>
                <w:bCs/>
                <w:spacing w:val="-28"/>
                <w:rtl/>
              </w:rPr>
            </w:pPr>
            <w:r w:rsidRPr="00A7073C">
              <w:rPr>
                <w:rFonts w:ascii="Tahoma" w:hAnsi="Tahoma" w:eastAsiaTheme="minorEastAsia" w:cs="Tahoma" w:hint="cs"/>
                <w:b/>
                <w:bCs/>
                <w:color w:val="0D0D0D" w:themeColor="text1" w:themeTint="F2"/>
                <w:spacing w:val="-10"/>
                <w:sz w:val="36"/>
                <w:szCs w:val="36"/>
                <w:rtl/>
              </w:rPr>
              <w:t xml:space="preserve">4 </w:t>
            </w:r>
            <w:r w:rsidRPr="00A7073C">
              <w:rPr>
                <w:rFonts w:ascii="Tahoma" w:hAnsi="Tahoma" w:eastAsiaTheme="minorEastAsia" w:cs="Tahoma" w:hint="eastAsia"/>
                <w:b/>
                <w:bCs/>
                <w:color w:val="0D0D0D" w:themeColor="text1" w:themeTint="F2"/>
                <w:spacing w:val="-10"/>
                <w:sz w:val="26"/>
                <w:szCs w:val="26"/>
                <w:rtl/>
              </w:rPr>
              <w:t>זכיינים</w:t>
            </w:r>
            <w:r w:rsidRPr="00A7073C">
              <w:rPr>
                <w:rFonts w:ascii="Tahoma" w:hAnsi="Tahoma" w:eastAsiaTheme="minorEastAsia" w:cs="Tahoma"/>
                <w:b/>
                <w:bCs/>
                <w:color w:val="0D0D0D" w:themeColor="text1" w:themeTint="F2"/>
                <w:spacing w:val="-10"/>
                <w:sz w:val="26"/>
                <w:szCs w:val="26"/>
                <w:rtl/>
              </w:rPr>
              <w:t xml:space="preserve"> </w:t>
            </w:r>
            <w:r w:rsidRPr="00A7073C">
              <w:rPr>
                <w:rFonts w:ascii="Tahoma" w:hAnsi="Tahoma" w:eastAsiaTheme="minorEastAsia" w:cs="Tahoma" w:hint="eastAsia"/>
                <w:b/>
                <w:bCs/>
                <w:color w:val="0D0D0D" w:themeColor="text1" w:themeTint="F2"/>
                <w:spacing w:val="-10"/>
                <w:sz w:val="26"/>
                <w:szCs w:val="26"/>
                <w:rtl/>
              </w:rPr>
              <w:t>פרטיים</w:t>
            </w:r>
          </w:p>
        </w:tc>
        <w:tc>
          <w:tcPr>
            <w:tcW w:w="187" w:type="pct"/>
            <w:vAlign w:val="bottom"/>
          </w:tcPr>
          <w:p w:rsidR="00A7073C" w:rsidRPr="00A7073C" w:rsidP="00E45951" w14:paraId="19192EA5" w14:textId="77777777">
            <w:pPr>
              <w:spacing w:before="120" w:after="60" w:line="240" w:lineRule="auto"/>
              <w:jc w:val="left"/>
              <w:rPr>
                <w:b/>
                <w:bCs/>
                <w:rtl/>
              </w:rPr>
            </w:pPr>
          </w:p>
        </w:tc>
        <w:tc>
          <w:tcPr>
            <w:tcW w:w="1258" w:type="pct"/>
            <w:tcBorders>
              <w:bottom w:val="single" w:sz="12" w:space="0" w:color="000000" w:themeColor="text1"/>
            </w:tcBorders>
            <w:vAlign w:val="bottom"/>
          </w:tcPr>
          <w:p w:rsidR="00A7073C" w:rsidRPr="00A7073C" w:rsidP="00E45951" w14:paraId="761F4116" w14:textId="6C29EDCA">
            <w:pPr>
              <w:pStyle w:val="2021"/>
              <w:spacing w:before="0" w:after="60"/>
              <w:rPr>
                <w:spacing w:val="-10"/>
                <w:rtl/>
              </w:rPr>
            </w:pPr>
            <w:r w:rsidRPr="00A7073C">
              <w:rPr>
                <w:rFonts w:hint="cs"/>
                <w:spacing w:val="-10"/>
                <w:rtl/>
              </w:rPr>
              <w:t xml:space="preserve">9.75 </w:t>
            </w:r>
            <w:r w:rsidRPr="00A7073C">
              <w:rPr>
                <w:rFonts w:hint="eastAsia"/>
                <w:spacing w:val="-10"/>
                <w:sz w:val="26"/>
                <w:szCs w:val="26"/>
                <w:rtl/>
              </w:rPr>
              <w:t>מיליארד</w:t>
            </w:r>
            <w:r w:rsidRPr="00A7073C">
              <w:rPr>
                <w:spacing w:val="-10"/>
                <w:sz w:val="26"/>
                <w:szCs w:val="26"/>
                <w:rtl/>
              </w:rPr>
              <w:t xml:space="preserve"> </w:t>
            </w:r>
            <w:r w:rsidRPr="00A7073C">
              <w:rPr>
                <w:rFonts w:hint="eastAsia"/>
                <w:spacing w:val="-10"/>
                <w:sz w:val="26"/>
                <w:szCs w:val="26"/>
                <w:rtl/>
              </w:rPr>
              <w:t>ש</w:t>
            </w:r>
            <w:r w:rsidRPr="00A7073C">
              <w:rPr>
                <w:spacing w:val="-10"/>
                <w:sz w:val="26"/>
                <w:szCs w:val="26"/>
                <w:rtl/>
              </w:rPr>
              <w:t>"ח</w:t>
            </w:r>
          </w:p>
        </w:tc>
        <w:tc>
          <w:tcPr>
            <w:tcW w:w="186" w:type="pct"/>
            <w:vAlign w:val="bottom"/>
          </w:tcPr>
          <w:p w:rsidR="00A7073C" w:rsidRPr="00A7073C" w:rsidP="00E45951" w14:paraId="2810DE55" w14:textId="77777777">
            <w:pPr>
              <w:spacing w:before="120" w:after="60" w:line="240" w:lineRule="auto"/>
              <w:jc w:val="left"/>
              <w:rPr>
                <w:b/>
                <w:bCs/>
                <w:rtl/>
              </w:rPr>
            </w:pPr>
          </w:p>
        </w:tc>
        <w:tc>
          <w:tcPr>
            <w:tcW w:w="986" w:type="pct"/>
            <w:tcBorders>
              <w:bottom w:val="single" w:sz="12" w:space="0" w:color="000000" w:themeColor="text1"/>
            </w:tcBorders>
            <w:vAlign w:val="bottom"/>
          </w:tcPr>
          <w:p w:rsidR="00A7073C" w:rsidRPr="00A7073C" w:rsidP="00E45951" w14:paraId="2A2E27BD" w14:textId="5DDFA32C">
            <w:pPr>
              <w:spacing w:after="60" w:line="240" w:lineRule="auto"/>
              <w:jc w:val="left"/>
              <w:rPr>
                <w:spacing w:val="-20"/>
                <w:sz w:val="24"/>
                <w:rtl/>
              </w:rPr>
            </w:pPr>
            <w:r w:rsidRPr="00A7073C">
              <w:rPr>
                <w:rFonts w:ascii="Tahoma" w:hAnsi="Tahoma" w:eastAsiaTheme="minorEastAsia" w:cs="Tahoma" w:hint="cs"/>
                <w:b/>
                <w:bCs/>
                <w:color w:val="0D0D0D" w:themeColor="text1" w:themeTint="F2"/>
                <w:spacing w:val="-10"/>
                <w:sz w:val="26"/>
                <w:szCs w:val="26"/>
                <w:rtl/>
              </w:rPr>
              <w:t>כ-</w:t>
            </w:r>
            <w:r w:rsidRPr="00A7073C">
              <w:rPr>
                <w:rFonts w:ascii="Tahoma" w:hAnsi="Tahoma" w:eastAsiaTheme="minorEastAsia" w:cs="Tahoma" w:hint="cs"/>
                <w:b/>
                <w:bCs/>
                <w:color w:val="0D0D0D" w:themeColor="text1" w:themeTint="F2"/>
                <w:spacing w:val="-10"/>
                <w:sz w:val="36"/>
                <w:szCs w:val="36"/>
                <w:rtl/>
              </w:rPr>
              <w:t>207.5</w:t>
            </w:r>
            <w:r w:rsidR="00E45951">
              <w:rPr>
                <w:rFonts w:ascii="Tahoma" w:hAnsi="Tahoma" w:eastAsiaTheme="minorEastAsia" w:cs="Tahoma"/>
                <w:b/>
                <w:bCs/>
                <w:color w:val="0D0D0D" w:themeColor="text1" w:themeTint="F2"/>
                <w:spacing w:val="-10"/>
                <w:sz w:val="36"/>
                <w:szCs w:val="36"/>
                <w:rtl/>
              </w:rPr>
              <w:br/>
            </w:r>
            <w:r w:rsidRPr="00E45951">
              <w:rPr>
                <w:rFonts w:ascii="Tahoma" w:hAnsi="Tahoma" w:eastAsiaTheme="minorEastAsia" w:cs="Tahoma" w:hint="eastAsia"/>
                <w:b/>
                <w:bCs/>
                <w:color w:val="0D0D0D" w:themeColor="text1" w:themeTint="F2"/>
                <w:spacing w:val="-10"/>
                <w:sz w:val="26"/>
                <w:szCs w:val="26"/>
                <w:rtl/>
              </w:rPr>
              <w:t>ק</w:t>
            </w:r>
            <w:r w:rsidRPr="00E45951">
              <w:rPr>
                <w:rFonts w:ascii="Tahoma" w:hAnsi="Tahoma" w:eastAsiaTheme="minorEastAsia" w:cs="Tahoma"/>
                <w:b/>
                <w:bCs/>
                <w:color w:val="0D0D0D" w:themeColor="text1" w:themeTint="F2"/>
                <w:spacing w:val="-10"/>
                <w:sz w:val="26"/>
                <w:szCs w:val="26"/>
                <w:rtl/>
              </w:rPr>
              <w:t>"מ</w:t>
            </w:r>
          </w:p>
        </w:tc>
        <w:tc>
          <w:tcPr>
            <w:tcW w:w="186" w:type="pct"/>
            <w:vAlign w:val="bottom"/>
          </w:tcPr>
          <w:p w:rsidR="00A7073C" w:rsidRPr="00A7073C" w:rsidP="00E45951" w14:paraId="47B754BA" w14:textId="77777777">
            <w:pPr>
              <w:pStyle w:val="2021"/>
              <w:spacing w:before="0" w:after="60"/>
              <w:rPr>
                <w:spacing w:val="-10"/>
                <w:rtl/>
              </w:rPr>
            </w:pPr>
          </w:p>
        </w:tc>
        <w:tc>
          <w:tcPr>
            <w:tcW w:w="1097" w:type="pct"/>
            <w:tcBorders>
              <w:bottom w:val="single" w:sz="12" w:space="0" w:color="000000" w:themeColor="text1"/>
            </w:tcBorders>
            <w:vAlign w:val="bottom"/>
          </w:tcPr>
          <w:p w:rsidR="00A7073C" w:rsidRPr="00A7073C" w:rsidP="00E45951" w14:paraId="5F3A3FF5" w14:textId="34BC1077">
            <w:pPr>
              <w:pStyle w:val="2021"/>
              <w:spacing w:before="0" w:after="60"/>
              <w:rPr>
                <w:spacing w:val="-10"/>
                <w:rtl/>
              </w:rPr>
            </w:pPr>
            <w:r w:rsidRPr="00A7073C">
              <w:rPr>
                <w:rFonts w:hint="cs"/>
                <w:spacing w:val="-10"/>
                <w:rtl/>
              </w:rPr>
              <w:t xml:space="preserve">36 </w:t>
            </w:r>
            <w:r w:rsidRPr="00A7073C">
              <w:rPr>
                <w:spacing w:val="-10"/>
                <w:rtl/>
              </w:rPr>
              <w:t>-</w:t>
            </w:r>
            <w:r w:rsidRPr="00A7073C">
              <w:rPr>
                <w:rFonts w:hint="cs"/>
                <w:spacing w:val="-10"/>
                <w:rtl/>
              </w:rPr>
              <w:t xml:space="preserve"> 50</w:t>
            </w:r>
            <w:r w:rsidRPr="00A7073C">
              <w:rPr>
                <w:spacing w:val="-10"/>
                <w:rtl/>
              </w:rPr>
              <w:t xml:space="preserve"> </w:t>
            </w:r>
            <w:r w:rsidRPr="00B168D2">
              <w:rPr>
                <w:rFonts w:hint="eastAsia"/>
                <w:spacing w:val="-12"/>
                <w:sz w:val="26"/>
                <w:szCs w:val="26"/>
                <w:rtl/>
              </w:rPr>
              <w:t>קמ</w:t>
            </w:r>
            <w:r w:rsidRPr="00B168D2">
              <w:rPr>
                <w:spacing w:val="-12"/>
                <w:sz w:val="26"/>
                <w:szCs w:val="26"/>
                <w:rtl/>
              </w:rPr>
              <w:t xml:space="preserve">"ש </w:t>
            </w:r>
            <w:r w:rsidRPr="00B168D2">
              <w:rPr>
                <w:rFonts w:hint="eastAsia"/>
                <w:spacing w:val="-12"/>
                <w:sz w:val="26"/>
                <w:szCs w:val="26"/>
                <w:rtl/>
              </w:rPr>
              <w:t>בלבד</w:t>
            </w:r>
          </w:p>
        </w:tc>
      </w:tr>
      <w:tr w14:paraId="6DFAF81C" w14:textId="77777777" w:rsidTr="00B168D2">
        <w:tblPrEx>
          <w:tblW w:w="5045" w:type="pct"/>
          <w:tblLook w:val="04A0"/>
        </w:tblPrEx>
        <w:tc>
          <w:tcPr>
            <w:tcW w:w="1100" w:type="pct"/>
            <w:tcBorders>
              <w:top w:val="single" w:sz="12" w:space="0" w:color="000000" w:themeColor="text1"/>
            </w:tcBorders>
          </w:tcPr>
          <w:p w:rsidR="00A7073C" w:rsidRPr="00E52143" w:rsidP="00A7073C" w14:paraId="1D96599A" w14:textId="5AA11B30">
            <w:pPr>
              <w:pStyle w:val="732021"/>
              <w:spacing w:before="0" w:line="240" w:lineRule="auto"/>
              <w:rPr>
                <w:rtl/>
              </w:rPr>
            </w:pPr>
            <w:r w:rsidRPr="00273DF4">
              <w:rPr>
                <w:rFonts w:hint="cs"/>
                <w:rtl/>
              </w:rPr>
              <w:t>מפעילים את שלושת כבישי אגרה. שני זכיינים מפעילים את כביש 6 - אחד במקטע המרכזי והשני במקטע הצפוני; זכיין אחד מפעיל את מנהרות הכרמל וזכיין אחד מפעיל את הנתיב המהיר</w:t>
            </w:r>
          </w:p>
        </w:tc>
        <w:tc>
          <w:tcPr>
            <w:tcW w:w="187" w:type="pct"/>
          </w:tcPr>
          <w:p w:rsidR="00A7073C" w:rsidRPr="00E52143" w:rsidP="00A7073C" w14:paraId="2BF81D8C" w14:textId="77777777">
            <w:pPr>
              <w:pStyle w:val="732021"/>
              <w:spacing w:before="0" w:line="240" w:lineRule="auto"/>
              <w:rPr>
                <w:rtl/>
              </w:rPr>
            </w:pPr>
          </w:p>
        </w:tc>
        <w:tc>
          <w:tcPr>
            <w:tcW w:w="1258" w:type="pct"/>
            <w:tcBorders>
              <w:top w:val="single" w:sz="12" w:space="0" w:color="000000" w:themeColor="text1"/>
            </w:tcBorders>
          </w:tcPr>
          <w:p w:rsidR="00A7073C" w:rsidRPr="00E52143" w:rsidP="00A7073C" w14:paraId="68924AF7" w14:textId="2888B1D0">
            <w:pPr>
              <w:pStyle w:val="732021"/>
              <w:spacing w:before="0" w:line="240" w:lineRule="auto"/>
              <w:rPr>
                <w:rtl/>
              </w:rPr>
            </w:pPr>
            <w:r w:rsidRPr="00273DF4">
              <w:rPr>
                <w:rFonts w:hint="cs"/>
                <w:rtl/>
              </w:rPr>
              <w:t xml:space="preserve">עלויות ההקמה של כבישי האגרה על ידי הזכיינים הפרטיים. לפי נתוני </w:t>
            </w:r>
            <w:r w:rsidRPr="00273DF4">
              <w:rPr>
                <w:rFonts w:hint="cs"/>
                <w:rtl/>
              </w:rPr>
              <w:t>החשכ"ל</w:t>
            </w:r>
            <w:r w:rsidRPr="00273DF4">
              <w:rPr>
                <w:rFonts w:hint="cs"/>
                <w:rtl/>
              </w:rPr>
              <w:t>, עלויות ההקמה של כביש 6 במקטע המרכזי, כביש 6 במקטע הצפוני, מנהרות הכרמל והנתיב המהיר הם - 5.5, 2.5, 1.25 ו-0.5 מיליארד ש"ח בהתאמה</w:t>
            </w:r>
          </w:p>
        </w:tc>
        <w:tc>
          <w:tcPr>
            <w:tcW w:w="186" w:type="pct"/>
          </w:tcPr>
          <w:p w:rsidR="00A7073C" w:rsidRPr="00E52143" w:rsidP="00A7073C" w14:paraId="4F52CE08" w14:textId="77777777">
            <w:pPr>
              <w:pStyle w:val="732021"/>
              <w:spacing w:before="0" w:line="240" w:lineRule="auto"/>
              <w:rPr>
                <w:rtl/>
              </w:rPr>
            </w:pPr>
          </w:p>
        </w:tc>
        <w:tc>
          <w:tcPr>
            <w:tcW w:w="986" w:type="pct"/>
            <w:tcBorders>
              <w:top w:val="single" w:sz="12" w:space="0" w:color="000000" w:themeColor="text1"/>
            </w:tcBorders>
          </w:tcPr>
          <w:p w:rsidR="00A7073C" w:rsidRPr="00E52143" w:rsidP="00A7073C" w14:paraId="203F9568" w14:textId="4D76A682">
            <w:pPr>
              <w:pStyle w:val="732021"/>
              <w:spacing w:before="0" w:line="240" w:lineRule="auto"/>
              <w:rPr>
                <w:rtl/>
              </w:rPr>
            </w:pPr>
            <w:bookmarkStart w:id="1" w:name="_Hlk170277360"/>
            <w:r w:rsidRPr="00273DF4">
              <w:rPr>
                <w:rFonts w:hint="cs"/>
                <w:rtl/>
              </w:rPr>
              <w:t>אורכם הכולל של כבישי האגרה בישראל, מתוך מעל ל-8,500 ק"מ של כבישי ישראל -</w:t>
            </w:r>
            <w:bookmarkEnd w:id="1"/>
            <w:r w:rsidRPr="00273DF4">
              <w:rPr>
                <w:rFonts w:hint="cs"/>
                <w:rtl/>
              </w:rPr>
              <w:t xml:space="preserve"> כביש 6 במקטע הצפוני, המרכזי והדרומי (ללא אגרה) - 188 ק"מ; מנהרות הכרמל - 6.5 ק"מ; והנתיב המהיר 13 ק"מ</w:t>
            </w:r>
          </w:p>
        </w:tc>
        <w:tc>
          <w:tcPr>
            <w:tcW w:w="186" w:type="pct"/>
          </w:tcPr>
          <w:p w:rsidR="00A7073C" w:rsidRPr="00E52143" w:rsidP="00A7073C" w14:paraId="42538096" w14:textId="77777777">
            <w:pPr>
              <w:pStyle w:val="732021"/>
              <w:spacing w:before="0" w:line="240" w:lineRule="auto"/>
              <w:rPr>
                <w:rtl/>
              </w:rPr>
            </w:pPr>
          </w:p>
        </w:tc>
        <w:tc>
          <w:tcPr>
            <w:tcW w:w="1097" w:type="pct"/>
            <w:tcBorders>
              <w:top w:val="single" w:sz="12" w:space="0" w:color="000000" w:themeColor="text1"/>
            </w:tcBorders>
          </w:tcPr>
          <w:p w:rsidR="00A7073C" w:rsidRPr="00E52143" w:rsidP="00A7073C" w14:paraId="1878D11D" w14:textId="05C3E4A1">
            <w:pPr>
              <w:pStyle w:val="732021"/>
              <w:spacing w:before="0" w:line="240" w:lineRule="auto"/>
              <w:rPr>
                <w:rtl/>
              </w:rPr>
            </w:pPr>
            <w:r w:rsidRPr="00273DF4">
              <w:rPr>
                <w:rFonts w:hint="cs"/>
                <w:rtl/>
              </w:rPr>
              <w:t>המהירות הממוצעת שנמדדה בקטעים מסוימים של כביש 6 בשעות שיא בוקר, ו</w:t>
            </w:r>
            <w:r w:rsidRPr="00273DF4">
              <w:rPr>
                <w:rtl/>
              </w:rPr>
              <w:noBreakHyphen/>
            </w:r>
            <w:r w:rsidRPr="00273DF4">
              <w:rPr>
                <w:rFonts w:hint="cs"/>
                <w:rtl/>
              </w:rPr>
              <w:t xml:space="preserve">47 קמ"ש בשעות אחר הצהריים, </w:t>
            </w:r>
            <w:r w:rsidRPr="00273DF4">
              <w:rPr>
                <w:rFonts w:hint="eastAsia"/>
                <w:rtl/>
              </w:rPr>
              <w:t>בו</w:t>
            </w:r>
            <w:r w:rsidRPr="00273DF4">
              <w:rPr>
                <w:rtl/>
              </w:rPr>
              <w:t xml:space="preserve"> </w:t>
            </w:r>
            <w:r w:rsidRPr="00273DF4">
              <w:rPr>
                <w:rFonts w:hint="eastAsia"/>
                <w:rtl/>
              </w:rPr>
              <w:t>המהירות</w:t>
            </w:r>
            <w:r w:rsidRPr="00273DF4">
              <w:rPr>
                <w:rtl/>
              </w:rPr>
              <w:t xml:space="preserve"> </w:t>
            </w:r>
            <w:r w:rsidRPr="00273DF4">
              <w:rPr>
                <w:rFonts w:hint="eastAsia"/>
                <w:rtl/>
              </w:rPr>
              <w:t>המותרת</w:t>
            </w:r>
            <w:r w:rsidRPr="00273DF4">
              <w:rPr>
                <w:rtl/>
              </w:rPr>
              <w:t xml:space="preserve"> </w:t>
            </w:r>
            <w:r w:rsidRPr="00273DF4">
              <w:rPr>
                <w:rFonts w:hint="eastAsia"/>
                <w:rtl/>
              </w:rPr>
              <w:t>היא</w:t>
            </w:r>
            <w:r w:rsidRPr="00273DF4">
              <w:rPr>
                <w:rtl/>
              </w:rPr>
              <w:t xml:space="preserve"> 120 </w:t>
            </w:r>
            <w:r w:rsidRPr="00273DF4">
              <w:rPr>
                <w:rFonts w:hint="eastAsia"/>
                <w:rtl/>
              </w:rPr>
              <w:t>קמ</w:t>
            </w:r>
            <w:r w:rsidRPr="00273DF4">
              <w:rPr>
                <w:rtl/>
              </w:rPr>
              <w:t>"</w:t>
            </w:r>
            <w:r w:rsidRPr="00273DF4">
              <w:rPr>
                <w:rFonts w:hint="eastAsia"/>
                <w:rtl/>
              </w:rPr>
              <w:t>ש</w:t>
            </w:r>
          </w:p>
        </w:tc>
      </w:tr>
      <w:tr w14:paraId="1BD5A20C" w14:textId="77777777" w:rsidTr="00B168D2">
        <w:tblPrEx>
          <w:tblW w:w="5045" w:type="pct"/>
          <w:tblLook w:val="04A0"/>
        </w:tblPrEx>
        <w:tc>
          <w:tcPr>
            <w:tcW w:w="1100" w:type="pct"/>
            <w:tcBorders>
              <w:bottom w:val="single" w:sz="12" w:space="0" w:color="000000" w:themeColor="text1"/>
            </w:tcBorders>
            <w:vAlign w:val="bottom"/>
          </w:tcPr>
          <w:p w:rsidR="00A7073C" w:rsidRPr="00A7073C" w:rsidP="00E45951" w14:paraId="500D3B50" w14:textId="58E9FCF8">
            <w:pPr>
              <w:spacing w:after="60" w:line="240" w:lineRule="auto"/>
              <w:jc w:val="left"/>
              <w:rPr>
                <w:rFonts w:ascii="Tahoma" w:hAnsi="Tahoma" w:eastAsiaTheme="minorEastAsia" w:cs="Tahoma"/>
                <w:b/>
                <w:bCs/>
                <w:color w:val="0D0D0D" w:themeColor="text1" w:themeTint="F2"/>
                <w:spacing w:val="-10"/>
                <w:sz w:val="36"/>
                <w:szCs w:val="36"/>
                <w:rtl/>
              </w:rPr>
            </w:pPr>
            <w:r w:rsidRPr="00A7073C">
              <w:rPr>
                <w:rFonts w:ascii="Tahoma" w:hAnsi="Tahoma" w:eastAsiaTheme="minorEastAsia" w:cs="Tahoma" w:hint="cs"/>
                <w:b/>
                <w:bCs/>
                <w:color w:val="0D0D0D" w:themeColor="text1" w:themeTint="F2"/>
                <w:spacing w:val="-10"/>
                <w:sz w:val="26"/>
                <w:szCs w:val="26"/>
                <w:rtl/>
              </w:rPr>
              <w:t>כ-</w:t>
            </w:r>
            <w:r w:rsidRPr="00A7073C">
              <w:rPr>
                <w:rFonts w:ascii="Tahoma" w:hAnsi="Tahoma" w:eastAsiaTheme="minorEastAsia" w:cs="Tahoma" w:hint="cs"/>
                <w:b/>
                <w:bCs/>
                <w:color w:val="0D0D0D" w:themeColor="text1" w:themeTint="F2"/>
                <w:spacing w:val="-10"/>
                <w:sz w:val="36"/>
                <w:szCs w:val="36"/>
                <w:rtl/>
              </w:rPr>
              <w:t>273%</w:t>
            </w:r>
          </w:p>
        </w:tc>
        <w:tc>
          <w:tcPr>
            <w:tcW w:w="187" w:type="pct"/>
            <w:vAlign w:val="bottom"/>
          </w:tcPr>
          <w:p w:rsidR="00A7073C" w:rsidRPr="00A7073C" w:rsidP="00E45951"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258" w:type="pct"/>
            <w:tcBorders>
              <w:bottom w:val="single" w:sz="12" w:space="0" w:color="000000" w:themeColor="text1"/>
            </w:tcBorders>
            <w:vAlign w:val="bottom"/>
          </w:tcPr>
          <w:p w:rsidR="00A7073C" w:rsidRPr="00A7073C" w:rsidP="00E45951" w14:paraId="48896DF7" w14:textId="3FF87E8E">
            <w:pPr>
              <w:pStyle w:val="2021"/>
              <w:spacing w:before="0" w:after="60"/>
              <w:rPr>
                <w:spacing w:val="-10"/>
                <w:rtl/>
              </w:rPr>
            </w:pPr>
            <w:r w:rsidRPr="00A7073C">
              <w:rPr>
                <w:spacing w:val="-10"/>
                <w:rtl/>
              </w:rPr>
              <w:t>70%</w:t>
            </w:r>
            <w:r w:rsidRPr="00A7073C">
              <w:rPr>
                <w:rFonts w:hint="cs"/>
                <w:spacing w:val="-10"/>
                <w:rtl/>
              </w:rPr>
              <w:t xml:space="preserve"> </w:t>
            </w:r>
            <w:r w:rsidR="00B168D2">
              <w:rPr>
                <w:spacing w:val="-10"/>
                <w:sz w:val="26"/>
                <w:szCs w:val="26"/>
                <w:rtl/>
              </w:rPr>
              <w:br/>
            </w:r>
            <w:r w:rsidRPr="00A7073C">
              <w:rPr>
                <w:rFonts w:hint="eastAsia"/>
                <w:spacing w:val="-10"/>
                <w:sz w:val="26"/>
                <w:szCs w:val="26"/>
                <w:rtl/>
              </w:rPr>
              <w:t>ירידה</w:t>
            </w:r>
            <w:r w:rsidRPr="00A7073C">
              <w:rPr>
                <w:spacing w:val="-10"/>
                <w:sz w:val="26"/>
                <w:szCs w:val="26"/>
                <w:rtl/>
              </w:rPr>
              <w:t xml:space="preserve"> </w:t>
            </w:r>
            <w:r w:rsidRPr="00A7073C">
              <w:rPr>
                <w:rFonts w:hint="eastAsia"/>
                <w:spacing w:val="-10"/>
                <w:sz w:val="26"/>
                <w:szCs w:val="26"/>
                <w:rtl/>
              </w:rPr>
              <w:t>במהירות</w:t>
            </w:r>
            <w:r w:rsidRPr="00A7073C">
              <w:rPr>
                <w:rFonts w:hint="cs"/>
                <w:spacing w:val="-10"/>
                <w:sz w:val="26"/>
                <w:szCs w:val="26"/>
                <w:rtl/>
              </w:rPr>
              <w:t xml:space="preserve"> הנסיעה</w:t>
            </w:r>
            <w:r w:rsidRPr="00A7073C">
              <w:rPr>
                <w:spacing w:val="-10"/>
                <w:sz w:val="26"/>
                <w:szCs w:val="26"/>
                <w:rtl/>
              </w:rPr>
              <w:t xml:space="preserve"> הממוצעת</w:t>
            </w:r>
          </w:p>
        </w:tc>
        <w:tc>
          <w:tcPr>
            <w:tcW w:w="186" w:type="pct"/>
            <w:vAlign w:val="bottom"/>
          </w:tcPr>
          <w:p w:rsidR="00A7073C" w:rsidRPr="00A7073C" w:rsidP="00E45951" w14:paraId="5B4C8A80" w14:textId="77777777">
            <w:pPr>
              <w:spacing w:after="60" w:line="240" w:lineRule="auto"/>
              <w:jc w:val="left"/>
              <w:rPr>
                <w:b/>
                <w:bCs/>
                <w:rtl/>
              </w:rPr>
            </w:pPr>
          </w:p>
        </w:tc>
        <w:tc>
          <w:tcPr>
            <w:tcW w:w="986" w:type="pct"/>
            <w:tcBorders>
              <w:bottom w:val="single" w:sz="12" w:space="0" w:color="000000" w:themeColor="text1"/>
            </w:tcBorders>
            <w:vAlign w:val="bottom"/>
          </w:tcPr>
          <w:p w:rsidR="00A7073C" w:rsidRPr="00A7073C" w:rsidP="00E45951" w14:paraId="226A2E50" w14:textId="7BDE3200">
            <w:pPr>
              <w:spacing w:after="60" w:line="240" w:lineRule="auto"/>
              <w:jc w:val="left"/>
              <w:rPr>
                <w:rFonts w:ascii="Tahoma" w:hAnsi="Tahoma" w:eastAsiaTheme="minorEastAsia" w:cs="Tahoma"/>
                <w:b/>
                <w:bCs/>
                <w:color w:val="0D0D0D" w:themeColor="text1" w:themeTint="F2"/>
                <w:spacing w:val="-10"/>
                <w:sz w:val="36"/>
                <w:szCs w:val="36"/>
                <w:rtl/>
              </w:rPr>
            </w:pPr>
            <w:r w:rsidRPr="00A7073C">
              <w:rPr>
                <w:rFonts w:ascii="Tahoma" w:hAnsi="Tahoma" w:eastAsiaTheme="minorEastAsia" w:cs="Tahoma" w:hint="cs"/>
                <w:b/>
                <w:bCs/>
                <w:color w:val="0D0D0D" w:themeColor="text1" w:themeTint="F2"/>
                <w:spacing w:val="-10"/>
                <w:sz w:val="36"/>
                <w:szCs w:val="36"/>
                <w:rtl/>
              </w:rPr>
              <w:t xml:space="preserve">390 </w:t>
            </w:r>
            <w:r w:rsidR="00E45951">
              <w:rPr>
                <w:rFonts w:ascii="Tahoma" w:hAnsi="Tahoma" w:eastAsiaTheme="minorEastAsia" w:cs="Tahoma"/>
                <w:b/>
                <w:bCs/>
                <w:color w:val="0D0D0D" w:themeColor="text1" w:themeTint="F2"/>
                <w:spacing w:val="-10"/>
                <w:sz w:val="26"/>
                <w:szCs w:val="26"/>
                <w:rtl/>
              </w:rPr>
              <w:br/>
            </w:r>
            <w:r w:rsidRPr="00A7073C">
              <w:rPr>
                <w:rFonts w:ascii="Tahoma" w:hAnsi="Tahoma" w:eastAsiaTheme="minorEastAsia" w:cs="Tahoma" w:hint="eastAsia"/>
                <w:b/>
                <w:bCs/>
                <w:color w:val="0D0D0D" w:themeColor="text1" w:themeTint="F2"/>
                <w:spacing w:val="-10"/>
                <w:sz w:val="26"/>
                <w:szCs w:val="26"/>
                <w:rtl/>
              </w:rPr>
              <w:t>מיליון</w:t>
            </w:r>
            <w:r w:rsidRPr="00A7073C">
              <w:rPr>
                <w:rFonts w:ascii="Tahoma" w:hAnsi="Tahoma" w:eastAsiaTheme="minorEastAsia" w:cs="Tahoma"/>
                <w:b/>
                <w:bCs/>
                <w:color w:val="0D0D0D" w:themeColor="text1" w:themeTint="F2"/>
                <w:spacing w:val="-10"/>
                <w:sz w:val="26"/>
                <w:szCs w:val="26"/>
                <w:rtl/>
              </w:rPr>
              <w:t xml:space="preserve"> </w:t>
            </w:r>
            <w:r w:rsidRPr="00A7073C">
              <w:rPr>
                <w:rFonts w:ascii="Tahoma" w:hAnsi="Tahoma" w:eastAsiaTheme="minorEastAsia" w:cs="Tahoma" w:hint="eastAsia"/>
                <w:b/>
                <w:bCs/>
                <w:color w:val="0D0D0D" w:themeColor="text1" w:themeTint="F2"/>
                <w:spacing w:val="-10"/>
                <w:sz w:val="26"/>
                <w:szCs w:val="26"/>
                <w:rtl/>
              </w:rPr>
              <w:t>ש</w:t>
            </w:r>
            <w:r w:rsidRPr="00A7073C">
              <w:rPr>
                <w:rFonts w:ascii="Tahoma" w:hAnsi="Tahoma" w:eastAsiaTheme="minorEastAsia" w:cs="Tahoma"/>
                <w:b/>
                <w:bCs/>
                <w:color w:val="0D0D0D" w:themeColor="text1" w:themeTint="F2"/>
                <w:spacing w:val="-10"/>
                <w:sz w:val="26"/>
                <w:szCs w:val="26"/>
                <w:rtl/>
              </w:rPr>
              <w:t>"ח</w:t>
            </w:r>
          </w:p>
        </w:tc>
        <w:tc>
          <w:tcPr>
            <w:tcW w:w="186" w:type="pct"/>
            <w:vAlign w:val="bottom"/>
          </w:tcPr>
          <w:p w:rsidR="00A7073C" w:rsidRPr="00A7073C" w:rsidP="00E45951"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97" w:type="pct"/>
            <w:tcBorders>
              <w:bottom w:val="single" w:sz="12" w:space="0" w:color="000000" w:themeColor="text1"/>
            </w:tcBorders>
            <w:vAlign w:val="bottom"/>
          </w:tcPr>
          <w:p w:rsidR="00A7073C" w:rsidRPr="00A7073C" w:rsidP="00E45951" w14:paraId="5AEEF263" w14:textId="689A291F">
            <w:pPr>
              <w:spacing w:after="60" w:line="240" w:lineRule="auto"/>
              <w:jc w:val="left"/>
              <w:rPr>
                <w:rFonts w:ascii="Tahoma" w:hAnsi="Tahoma" w:eastAsiaTheme="minorEastAsia" w:cs="Tahoma"/>
                <w:b/>
                <w:bCs/>
                <w:color w:val="0D0D0D" w:themeColor="text1" w:themeTint="F2"/>
                <w:spacing w:val="-10"/>
                <w:sz w:val="36"/>
                <w:szCs w:val="36"/>
                <w:rtl/>
              </w:rPr>
            </w:pPr>
            <w:r w:rsidRPr="00A7073C">
              <w:rPr>
                <w:rFonts w:ascii="Tahoma" w:hAnsi="Tahoma" w:eastAsiaTheme="minorEastAsia" w:cs="Tahoma" w:hint="cs"/>
                <w:b/>
                <w:bCs/>
                <w:color w:val="0D0D0D" w:themeColor="text1" w:themeTint="F2"/>
                <w:spacing w:val="-10"/>
                <w:sz w:val="36"/>
                <w:szCs w:val="36"/>
                <w:rtl/>
              </w:rPr>
              <w:t xml:space="preserve">15.22 </w:t>
            </w:r>
            <w:r>
              <w:rPr>
                <w:rFonts w:ascii="Tahoma" w:hAnsi="Tahoma" w:eastAsiaTheme="minorEastAsia" w:cs="Tahoma"/>
                <w:b/>
                <w:bCs/>
                <w:color w:val="0D0D0D" w:themeColor="text1" w:themeTint="F2"/>
                <w:spacing w:val="-10"/>
                <w:sz w:val="26"/>
                <w:szCs w:val="26"/>
                <w:rtl/>
              </w:rPr>
              <w:br/>
            </w:r>
            <w:r w:rsidRPr="00A7073C">
              <w:rPr>
                <w:rFonts w:ascii="Tahoma" w:hAnsi="Tahoma" w:eastAsiaTheme="minorEastAsia" w:cs="Tahoma" w:hint="cs"/>
                <w:b/>
                <w:bCs/>
                <w:color w:val="0D0D0D" w:themeColor="text1" w:themeTint="F2"/>
                <w:spacing w:val="-10"/>
                <w:sz w:val="26"/>
                <w:szCs w:val="26"/>
                <w:rtl/>
              </w:rPr>
              <w:t>ו-</w:t>
            </w:r>
            <w:r w:rsidRPr="00A7073C">
              <w:rPr>
                <w:rFonts w:ascii="Tahoma" w:hAnsi="Tahoma" w:eastAsiaTheme="minorEastAsia" w:cs="Tahoma" w:hint="cs"/>
                <w:b/>
                <w:bCs/>
                <w:color w:val="0D0D0D" w:themeColor="text1" w:themeTint="F2"/>
                <w:spacing w:val="-10"/>
                <w:sz w:val="36"/>
                <w:szCs w:val="36"/>
                <w:rtl/>
              </w:rPr>
              <w:t xml:space="preserve">11.01 </w:t>
            </w:r>
            <w:r w:rsidRPr="00A7073C">
              <w:rPr>
                <w:rFonts w:ascii="Tahoma" w:hAnsi="Tahoma" w:eastAsiaTheme="minorEastAsia" w:cs="Tahoma" w:hint="cs"/>
                <w:b/>
                <w:bCs/>
                <w:color w:val="0D0D0D" w:themeColor="text1" w:themeTint="F2"/>
                <w:spacing w:val="-10"/>
                <w:sz w:val="26"/>
                <w:szCs w:val="26"/>
                <w:rtl/>
              </w:rPr>
              <w:t>ש"ח</w:t>
            </w:r>
          </w:p>
        </w:tc>
      </w:tr>
      <w:tr w14:paraId="54154FA5" w14:textId="77777777" w:rsidTr="00B168D2">
        <w:tblPrEx>
          <w:tblW w:w="5045" w:type="pct"/>
          <w:tblLook w:val="04A0"/>
        </w:tblPrEx>
        <w:tc>
          <w:tcPr>
            <w:tcW w:w="1100" w:type="pct"/>
            <w:tcBorders>
              <w:top w:val="single" w:sz="12" w:space="0" w:color="000000" w:themeColor="text1"/>
            </w:tcBorders>
          </w:tcPr>
          <w:p w:rsidR="00A7073C" w:rsidRPr="004562F8" w:rsidP="00A7073C" w14:paraId="6DB67748" w14:textId="5BF63263">
            <w:pPr>
              <w:pStyle w:val="732021"/>
              <w:spacing w:before="0" w:after="0" w:line="240" w:lineRule="auto"/>
              <w:rPr>
                <w:rtl/>
              </w:rPr>
            </w:pPr>
            <w:r w:rsidRPr="00273DF4">
              <w:rPr>
                <w:rtl/>
              </w:rPr>
              <w:t xml:space="preserve">קצב </w:t>
            </w:r>
            <w:r w:rsidRPr="00273DF4">
              <w:rPr>
                <w:rFonts w:hint="cs"/>
                <w:rtl/>
              </w:rPr>
              <w:t xml:space="preserve">הגידול המצטבר של </w:t>
            </w:r>
            <w:r w:rsidRPr="00273DF4">
              <w:rPr>
                <w:rtl/>
              </w:rPr>
              <w:t xml:space="preserve">התנועה </w:t>
            </w:r>
            <w:r w:rsidRPr="00273DF4">
              <w:rPr>
                <w:rFonts w:hint="cs"/>
                <w:rtl/>
              </w:rPr>
              <w:t>מ</w:t>
            </w:r>
            <w:r w:rsidRPr="00273DF4">
              <w:rPr>
                <w:rtl/>
              </w:rPr>
              <w:t xml:space="preserve">שנת 2003 ועד שנת </w:t>
            </w:r>
            <w:r w:rsidRPr="00273DF4">
              <w:rPr>
                <w:rFonts w:hint="cs"/>
                <w:rtl/>
              </w:rPr>
              <w:t>2019</w:t>
            </w:r>
            <w:r w:rsidRPr="00273DF4">
              <w:rPr>
                <w:rtl/>
              </w:rPr>
              <w:t xml:space="preserve"> בכביש</w:t>
            </w:r>
            <w:r w:rsidRPr="00273DF4">
              <w:rPr>
                <w:rFonts w:hint="cs"/>
                <w:rtl/>
              </w:rPr>
              <w:t xml:space="preserve"> 6 במקטע המרכזי. עד שנת 2017 היה קצב הגידול השנתי הממוצע כ-8.8% והוא פחת החל משנת 2017 </w:t>
            </w:r>
            <w:r w:rsidR="00E45951">
              <w:rPr>
                <w:rtl/>
              </w:rPr>
              <w:br/>
            </w:r>
            <w:r w:rsidRPr="00273DF4">
              <w:rPr>
                <w:rtl/>
              </w:rPr>
              <w:t xml:space="preserve">ל-4.6% </w:t>
            </w:r>
            <w:r w:rsidRPr="00273DF4">
              <w:rPr>
                <w:rFonts w:hint="cs"/>
                <w:rtl/>
              </w:rPr>
              <w:t xml:space="preserve">בעיקר עקב מעבר נהגים לשעות השפל </w:t>
            </w:r>
            <w:r w:rsidRPr="00273DF4">
              <w:rPr>
                <w:rtl/>
              </w:rPr>
              <w:t>עקב ריבוי השעות ביום שבהן יש עומסי תנועה וירידה במהירות הנסיעה הממוצעת</w:t>
            </w:r>
          </w:p>
        </w:tc>
        <w:tc>
          <w:tcPr>
            <w:tcW w:w="187" w:type="pct"/>
          </w:tcPr>
          <w:p w:rsidR="00A7073C" w:rsidRPr="008D750B" w:rsidP="00A7073C" w14:paraId="0C0AE598" w14:textId="77777777">
            <w:pPr>
              <w:pStyle w:val="732021"/>
              <w:spacing w:before="0" w:after="0" w:line="240" w:lineRule="auto"/>
              <w:rPr>
                <w:rtl/>
              </w:rPr>
            </w:pPr>
          </w:p>
        </w:tc>
        <w:tc>
          <w:tcPr>
            <w:tcW w:w="1258" w:type="pct"/>
            <w:tcBorders>
              <w:top w:val="single" w:sz="12" w:space="0" w:color="000000" w:themeColor="text1"/>
            </w:tcBorders>
          </w:tcPr>
          <w:p w:rsidR="00A7073C" w:rsidRPr="004562F8" w:rsidP="00A7073C" w14:paraId="1916A301" w14:textId="3A1C9673">
            <w:pPr>
              <w:pStyle w:val="732021"/>
              <w:spacing w:before="0" w:after="0" w:line="240" w:lineRule="auto"/>
              <w:rPr>
                <w:rtl/>
              </w:rPr>
            </w:pPr>
            <w:r w:rsidRPr="00273DF4">
              <w:rPr>
                <w:rFonts w:hint="cs"/>
                <w:rtl/>
              </w:rPr>
              <w:t xml:space="preserve">הצפויה להתרחש בשנת 2030 בכביש 6 בקטע שבין באקה לניצני עוז ביחס למצב הקיים ללא ביצוע הרחבה של כביש 6. ביתר הקטעים שנבחנו בכביש 6 הירידה במהירות הממוצעת שצפויה, ב-3 קטעים נעה בין 70% ל-51% ובשלושה קטעים אחרים בין 72% </w:t>
            </w:r>
            <w:r w:rsidR="00E45951">
              <w:rPr>
                <w:rtl/>
              </w:rPr>
              <w:br/>
            </w:r>
            <w:r w:rsidRPr="00273DF4">
              <w:rPr>
                <w:rFonts w:hint="cs"/>
                <w:rtl/>
              </w:rPr>
              <w:t>ל-45%</w:t>
            </w:r>
          </w:p>
        </w:tc>
        <w:tc>
          <w:tcPr>
            <w:tcW w:w="186" w:type="pct"/>
          </w:tcPr>
          <w:p w:rsidR="00A7073C" w:rsidP="00A7073C" w14:paraId="14782C57" w14:textId="77777777">
            <w:pPr>
              <w:pStyle w:val="732021"/>
              <w:spacing w:before="0" w:after="0" w:line="240" w:lineRule="auto"/>
              <w:rPr>
                <w:rtl/>
              </w:rPr>
            </w:pPr>
          </w:p>
        </w:tc>
        <w:tc>
          <w:tcPr>
            <w:tcW w:w="986" w:type="pct"/>
            <w:tcBorders>
              <w:top w:val="single" w:sz="12" w:space="0" w:color="000000" w:themeColor="text1"/>
            </w:tcBorders>
          </w:tcPr>
          <w:p w:rsidR="00A7073C" w:rsidRPr="0062456C" w:rsidP="00A7073C" w14:paraId="6149CA50" w14:textId="0EF7E592">
            <w:pPr>
              <w:pStyle w:val="732021"/>
              <w:spacing w:before="0" w:after="0" w:line="240" w:lineRule="auto"/>
              <w:rPr>
                <w:rtl/>
              </w:rPr>
            </w:pPr>
            <w:r w:rsidRPr="00273DF4">
              <w:rPr>
                <w:rFonts w:hint="cs"/>
                <w:rtl/>
              </w:rPr>
              <w:t xml:space="preserve">התועלת המשקית הצפויה בשנת 2030 מביצוע הרחבת כביש 6 והקמת מחלף בית נחמיה ככביש רגיל, </w:t>
            </w:r>
            <w:r w:rsidR="00E45951">
              <w:rPr>
                <w:rtl/>
              </w:rPr>
              <w:br/>
            </w:r>
            <w:r w:rsidRPr="00273DF4">
              <w:rPr>
                <w:rFonts w:hint="cs"/>
                <w:rtl/>
              </w:rPr>
              <w:t>ו-260 מיליון ש"ח בהפעלה כנתיב רב תפוסה (</w:t>
            </w:r>
            <w:r w:rsidRPr="00273DF4">
              <w:rPr>
                <w:rFonts w:hint="cs"/>
                <w:rtl/>
              </w:rPr>
              <w:t>נר"ת</w:t>
            </w:r>
            <w:r w:rsidRPr="00273DF4">
              <w:rPr>
                <w:rFonts w:hint="cs"/>
                <w:rtl/>
              </w:rPr>
              <w:t>)</w:t>
            </w:r>
          </w:p>
        </w:tc>
        <w:tc>
          <w:tcPr>
            <w:tcW w:w="186" w:type="pct"/>
          </w:tcPr>
          <w:p w:rsidR="00A7073C" w:rsidRPr="00C92141" w:rsidP="00A7073C" w14:paraId="66E34E8E" w14:textId="77777777">
            <w:pPr>
              <w:pStyle w:val="732021"/>
              <w:spacing w:before="0" w:after="0" w:line="240" w:lineRule="auto"/>
              <w:rPr>
                <w:rtl/>
              </w:rPr>
            </w:pPr>
          </w:p>
        </w:tc>
        <w:tc>
          <w:tcPr>
            <w:tcW w:w="1097" w:type="pct"/>
            <w:tcBorders>
              <w:top w:val="single" w:sz="12" w:space="0" w:color="000000" w:themeColor="text1"/>
            </w:tcBorders>
          </w:tcPr>
          <w:p w:rsidR="00A7073C" w:rsidRPr="00A7073C" w:rsidP="00A7073C" w14:paraId="39498237" w14:textId="572ED134">
            <w:pPr>
              <w:pStyle w:val="732021"/>
              <w:spacing w:before="0" w:after="0" w:line="240" w:lineRule="auto"/>
              <w:rPr>
                <w:spacing w:val="-2"/>
                <w:rtl/>
              </w:rPr>
            </w:pPr>
            <w:r w:rsidRPr="00A7073C">
              <w:rPr>
                <w:rFonts w:hint="cs"/>
                <w:spacing w:val="-2"/>
                <w:rtl/>
              </w:rPr>
              <w:t xml:space="preserve">התעריפים בקטע 18 של כביש 6 במקטע המרכזי, ללקוח מזדמן ולמנוי וידאו בהתאמה לעומת 9.27 ו- 7.94 ש"ח בלבד בכביש 6 צפון ללקוח מזדמן ולמנוי וידאו בהתאמה - פער של 64.2% </w:t>
            </w:r>
            <w:r w:rsidR="00E45951">
              <w:rPr>
                <w:spacing w:val="-2"/>
                <w:rtl/>
              </w:rPr>
              <w:br/>
            </w:r>
            <w:r w:rsidRPr="00A7073C">
              <w:rPr>
                <w:rFonts w:hint="cs"/>
                <w:spacing w:val="-2"/>
                <w:rtl/>
              </w:rPr>
              <w:t>ו</w:t>
            </w:r>
            <w:r w:rsidR="001B667C">
              <w:rPr>
                <w:rFonts w:hint="cs"/>
                <w:spacing w:val="-2"/>
                <w:rtl/>
              </w:rPr>
              <w:t>-</w:t>
            </w:r>
            <w:r w:rsidRPr="00A7073C">
              <w:rPr>
                <w:rFonts w:hint="cs"/>
                <w:spacing w:val="-2"/>
                <w:rtl/>
              </w:rPr>
              <w:t>38.6% ללקוח מזדמן ולמנוי וידאו בהתאמה, זאת על אף הסמיכות הגיאוגרפית והטופוגרפיה הדומה</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4E6BC4AC">
      <w:pPr>
        <w:pStyle w:val="7317"/>
        <w:rPr>
          <w:rtl/>
        </w:rPr>
      </w:pPr>
      <w:r w:rsidRPr="001F3363">
        <w:rPr>
          <w:noProof/>
        </w:rPr>
        <w:drawing>
          <wp:anchor distT="0" distB="0" distL="71755" distR="71755" simplePos="0" relativeHeight="251680768"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DF4" w:rsidR="00A7073C">
        <w:rPr>
          <w:noProof/>
          <w:rtl/>
        </w:rPr>
        <w:t>בחודשים אוגוסט 2023 עד אפריל 2024 בדק משרד מבקר המדינה את הפעלת כבישי האגרה בישראל; את רמת השירות הניתנת בכבישי האגרה; את הפיקוח של חברת חוצה ישראל כרשות ממונה על הזכיינים; ואת הפעולות של חברת חוצה ישראל ושל המדינה בנוגע לפרויקט ההרחבה של כביש 6. הביקורת נעשתה בחברת חוצה ישראל, במשרד התחבורה והבטיחות בדרכים ובמשרד האוצר</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7D0E364A">
      <w:pPr>
        <w:pStyle w:val="7317"/>
        <w:rPr>
          <w:rtl/>
        </w:rPr>
      </w:pPr>
      <w:r w:rsidRPr="00A7073C">
        <w:rPr>
          <w:rStyle w:val="7391"/>
          <w:rFonts w:hint="cs"/>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 xml:space="preserve">בחינת </w:t>
      </w:r>
      <w:r w:rsidRPr="00A7073C" w:rsidR="00A7073C">
        <w:rPr>
          <w:rStyle w:val="7391"/>
          <w:rFonts w:hint="eastAsia"/>
          <w:rtl/>
        </w:rPr>
        <w:t>כדאיות</w:t>
      </w:r>
      <w:r w:rsidRPr="00A7073C" w:rsidR="00A7073C">
        <w:rPr>
          <w:rStyle w:val="7391"/>
          <w:rtl/>
        </w:rPr>
        <w:t xml:space="preserve"> שיטת</w:t>
      </w:r>
      <w:r w:rsidRPr="00A7073C" w:rsidR="00A7073C">
        <w:rPr>
          <w:b/>
          <w:rtl/>
        </w:rPr>
        <w:t xml:space="preserve"> </w:t>
      </w:r>
      <w:r w:rsidRPr="00A7073C" w:rsidR="00A7073C">
        <w:rPr>
          <w:b/>
        </w:rPr>
        <w:t>PPP</w:t>
      </w:r>
      <w:r w:rsidRPr="00A7073C" w:rsidR="00A7073C">
        <w:rPr>
          <w:b/>
          <w:rtl/>
        </w:rPr>
        <w:t xml:space="preserve"> </w:t>
      </w:r>
      <w:r w:rsidRPr="00A7073C" w:rsidR="00A7073C">
        <w:rPr>
          <w:rStyle w:val="7391"/>
          <w:rtl/>
        </w:rPr>
        <w:t>אל מול מימון הקמת הכבישים מתקציב המדינה -</w:t>
      </w:r>
      <w:r w:rsidRPr="00273DF4" w:rsidR="00A7073C">
        <w:rPr>
          <w:rFonts w:hint="cs"/>
          <w:rtl/>
        </w:rPr>
        <w:t xml:space="preserve"> </w:t>
      </w:r>
      <w:r w:rsidRPr="00273DF4" w:rsidR="00A7073C">
        <w:rPr>
          <w:rtl/>
        </w:rPr>
        <w:t xml:space="preserve">נכון לשנת 2024 </w:t>
      </w:r>
      <w:r w:rsidRPr="00273DF4" w:rsidR="00A7073C">
        <w:rPr>
          <w:rFonts w:hint="cs"/>
          <w:rtl/>
        </w:rPr>
        <w:t>ישנם 3 כבישי אגרה, ו</w:t>
      </w:r>
      <w:r w:rsidRPr="00273DF4" w:rsidR="00A7073C">
        <w:rPr>
          <w:rtl/>
        </w:rPr>
        <w:t>אורכם הכולל הוא כ-20</w:t>
      </w:r>
      <w:r w:rsidRPr="00273DF4" w:rsidR="00A7073C">
        <w:rPr>
          <w:rFonts w:hint="cs"/>
          <w:rtl/>
        </w:rPr>
        <w:t>7</w:t>
      </w:r>
      <w:r w:rsidRPr="00273DF4" w:rsidR="00A7073C">
        <w:rPr>
          <w:rtl/>
        </w:rPr>
        <w:t>.5 ק"מ, מתוך כ-8,500 ק"מ של כבישי ישראל.</w:t>
      </w:r>
      <w:r w:rsidRPr="00273DF4" w:rsidR="00A7073C">
        <w:rPr>
          <w:rFonts w:hint="cs"/>
          <w:rtl/>
        </w:rPr>
        <w:t xml:space="preserve"> בשנים 2019 ועד 2023, בהתאם לרשת הביטחון, קיבלה המדינה 111 ו-85 מיליון ש"ח מהזכיינים של כביש 6 במקטע המרכזי ושל מנהרות הכרמל בהתאמה, ושילמה 390 ו-170 מיליון ש"ח </w:t>
      </w:r>
      <w:r w:rsidRPr="00273DF4" w:rsidR="00A7073C">
        <w:rPr>
          <w:rFonts w:hint="eastAsia"/>
          <w:rtl/>
        </w:rPr>
        <w:t>לזכיינים</w:t>
      </w:r>
      <w:r w:rsidRPr="00273DF4" w:rsidR="00A7073C">
        <w:rPr>
          <w:rFonts w:hint="cs"/>
          <w:rtl/>
        </w:rPr>
        <w:t xml:space="preserve"> של כביש 6 צפון והנתיב המהיר, ובסך הכול בקיזוז התקבולים, שילמה המדינה לזכיינים באותן שנים עבור רשת הביטחון כ-363 מיליון ש"ח. עם זאת, בביקורת עלה כי </w:t>
      </w:r>
      <w:r w:rsidRPr="00273DF4" w:rsidR="00A7073C">
        <w:rPr>
          <w:rtl/>
        </w:rPr>
        <w:t xml:space="preserve">משרד התחבורה </w:t>
      </w:r>
      <w:r w:rsidRPr="00273DF4" w:rsidR="00A7073C">
        <w:rPr>
          <w:rFonts w:hint="cs"/>
          <w:rtl/>
        </w:rPr>
        <w:t>ו</w:t>
      </w:r>
      <w:r w:rsidRPr="00273DF4" w:rsidR="00A7073C">
        <w:rPr>
          <w:rtl/>
        </w:rPr>
        <w:t xml:space="preserve">משרד האוצר לא ניתחו בדיעבד את הכדאיות המשקית מבחינת עלויות מול תועלות של מודל הקמת כבישים בשיטת </w:t>
      </w:r>
      <w:r w:rsidRPr="00273DF4" w:rsidR="00A7073C">
        <w:t>PPP</w:t>
      </w:r>
      <w:r w:rsidRPr="00273DF4" w:rsidR="00A7073C">
        <w:rPr>
          <w:rtl/>
        </w:rPr>
        <w:t xml:space="preserve"> לעומת הקמת כביש תקציבי, ולא בדקו </w:t>
      </w:r>
      <w:r w:rsidRPr="00273DF4" w:rsidR="00A7073C">
        <w:rPr>
          <w:rFonts w:hint="cs"/>
          <w:rtl/>
        </w:rPr>
        <w:t xml:space="preserve">את </w:t>
      </w:r>
      <w:r w:rsidRPr="00273DF4" w:rsidR="00A7073C">
        <w:rPr>
          <w:rtl/>
        </w:rPr>
        <w:t xml:space="preserve">התועלות של </w:t>
      </w:r>
      <w:r w:rsidRPr="00273DF4" w:rsidR="00A7073C">
        <w:rPr>
          <w:rtl/>
        </w:rPr>
        <w:t>פרויקטי</w:t>
      </w:r>
      <w:r w:rsidRPr="00273DF4" w:rsidR="00A7073C">
        <w:rPr>
          <w:rtl/>
        </w:rPr>
        <w:t xml:space="preserve"> כבישי האגרה ואם הושגו יעדיהם מבחינת הכדאיות הכללית ורמת השירות, ובכלל זה השוואת הכדאיות הכלכלית שהוערכה בעת קבלת ההחלטות לעומת המצב בפועל. זאת בהתחשב בין היתר בשינויים בהסכמי הזיכיון המקוריים, בפיצוי הכספי שנדרשה המדינה לשלם כדי לאפשר את המשך ביצוע הפרויקטים, בתשלומי המדינה לזכיינים עבור </w:t>
      </w:r>
      <w:r w:rsidRPr="00273DF4" w:rsidR="00A7073C">
        <w:rPr>
          <w:rFonts w:hint="cs"/>
          <w:rtl/>
        </w:rPr>
        <w:t>הבטחת</w:t>
      </w:r>
      <w:r w:rsidRPr="00273DF4" w:rsidR="00A7073C">
        <w:rPr>
          <w:rtl/>
        </w:rPr>
        <w:t xml:space="preserve"> הפדיון באמצעות רשת הביטחון, בגובה האגרה שנקבעה למשתמשים, ובתשלומים אחרים </w:t>
      </w:r>
      <w:r w:rsidRPr="00273DF4" w:rsidR="00A7073C">
        <w:rPr>
          <w:rFonts w:hint="cs"/>
          <w:rtl/>
        </w:rPr>
        <w:t xml:space="preserve">שנקבעו </w:t>
      </w:r>
      <w:r w:rsidRPr="00273DF4" w:rsidR="00A7073C">
        <w:rPr>
          <w:rtl/>
        </w:rPr>
        <w:t>במסגרת תוספות להסכמי הזיכיון</w:t>
      </w:r>
      <w:r w:rsidRPr="00AF3B73">
        <w:rPr>
          <w:rtl/>
        </w:rPr>
        <w:t>.</w:t>
      </w:r>
    </w:p>
    <w:p w:rsidR="00EB672B" w:rsidRPr="00AF3B73" w:rsidP="00EB672B" w14:paraId="61697365" w14:textId="615FA54B">
      <w:pPr>
        <w:pStyle w:val="7317"/>
      </w:pPr>
      <w:r w:rsidRPr="00A7073C">
        <w:rPr>
          <w:rStyle w:val="7391"/>
          <w:rFonts w:hint="cs"/>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עומסי התנועה בכביש 6 בקטע המרכזי -</w:t>
      </w:r>
      <w:r w:rsidRPr="00273DF4" w:rsidR="00A7073C">
        <w:rPr>
          <w:rFonts w:hint="cs"/>
          <w:rtl/>
        </w:rPr>
        <w:t xml:space="preserve"> </w:t>
      </w:r>
      <w:r w:rsidRPr="00273DF4" w:rsidR="00A7073C">
        <w:rPr>
          <w:rtl/>
        </w:rPr>
        <w:t>מנתוני יועץ התנועה</w:t>
      </w:r>
      <w:r w:rsidRPr="00273DF4" w:rsidR="00A7073C">
        <w:rPr>
          <w:rFonts w:hint="cs"/>
          <w:rtl/>
        </w:rPr>
        <w:t xml:space="preserve"> </w:t>
      </w:r>
      <w:r w:rsidRPr="00273DF4" w:rsidR="00A7073C">
        <w:rPr>
          <w:rtl/>
        </w:rPr>
        <w:t xml:space="preserve">של משרד התחבורה וחברת חוצה ישראל עלה שבנובמבר 2019 היה עומס תנועה בינוני-גבוה לכיוון דרום בשעות 05:00 - 09:00 בין מחלף עירון לנחשונים, ובשעות 14:00 - 19:00 בין מחלף חורשים לנחשונים; לכיוון צפון היה עומס התנועה לכיוון צפון בשעות 07:00 - 09:00 בין מחלף בן שמן למחלף קסם, ובשעות 14:00 - 19:00 בין מחלף בן שמן לניצני עוז. נתוני יועץ התנועה הראו כי ללא הרחבה של כביש 6 תרד מהירות הנסיעה הממוצעת בכביש 6 ביחס למצב הקיים ירידה תלולה ועד שנת 2030 תרד המהירות הממוצעת </w:t>
      </w:r>
      <w:r w:rsidRPr="00273DF4" w:rsidR="00A7073C">
        <w:rPr>
          <w:rFonts w:hint="cs"/>
          <w:rtl/>
        </w:rPr>
        <w:t>בשלושת</w:t>
      </w:r>
      <w:r w:rsidRPr="00273DF4" w:rsidR="00A7073C">
        <w:rPr>
          <w:rtl/>
        </w:rPr>
        <w:t xml:space="preserve"> הקטעים מעירון ועד ניצני עוז בין 45 קמ"ש ל-</w:t>
      </w:r>
      <w:r w:rsidRPr="00273DF4" w:rsidR="00A7073C">
        <w:rPr>
          <w:rFonts w:hint="cs"/>
          <w:rtl/>
        </w:rPr>
        <w:t>30</w:t>
      </w:r>
      <w:r w:rsidRPr="00273DF4" w:rsidR="00A7073C">
        <w:rPr>
          <w:rtl/>
        </w:rPr>
        <w:t xml:space="preserve"> קמ"ש - </w:t>
      </w:r>
      <w:r w:rsidRPr="00273DF4" w:rsidR="00A7073C">
        <w:rPr>
          <w:rFonts w:hint="cs"/>
          <w:rtl/>
        </w:rPr>
        <w:t>ירידה ב</w:t>
      </w:r>
      <w:r w:rsidRPr="00273DF4" w:rsidR="00A7073C">
        <w:rPr>
          <w:rtl/>
        </w:rPr>
        <w:t>שיעור של בין 51% ל-70%</w:t>
      </w:r>
      <w:r w:rsidRPr="00273DF4" w:rsidR="00A7073C">
        <w:rPr>
          <w:rFonts w:hint="cs"/>
          <w:rtl/>
        </w:rPr>
        <w:t>,</w:t>
      </w:r>
      <w:r w:rsidRPr="00273DF4" w:rsidR="00A7073C">
        <w:rPr>
          <w:rtl/>
        </w:rPr>
        <w:t xml:space="preserve"> וביתר </w:t>
      </w:r>
      <w:r w:rsidRPr="00273DF4" w:rsidR="00A7073C">
        <w:rPr>
          <w:rFonts w:hint="cs"/>
          <w:rtl/>
        </w:rPr>
        <w:t xml:space="preserve">שלושת </w:t>
      </w:r>
      <w:r w:rsidRPr="00273DF4" w:rsidR="00A7073C">
        <w:rPr>
          <w:rtl/>
        </w:rPr>
        <w:t xml:space="preserve">הקטעים </w:t>
      </w:r>
      <w:r w:rsidRPr="00273DF4" w:rsidR="00A7073C">
        <w:rPr>
          <w:rFonts w:hint="cs"/>
          <w:rtl/>
        </w:rPr>
        <w:t>מניצני עוז</w:t>
      </w:r>
      <w:r w:rsidRPr="00273DF4" w:rsidR="00A7073C">
        <w:rPr>
          <w:rtl/>
        </w:rPr>
        <w:t xml:space="preserve"> ועד חורשים תרד המהירות בין </w:t>
      </w:r>
      <w:r w:rsidRPr="00273DF4" w:rsidR="00A7073C">
        <w:rPr>
          <w:rFonts w:hint="cs"/>
          <w:rtl/>
        </w:rPr>
        <w:t>30</w:t>
      </w:r>
      <w:r w:rsidRPr="00273DF4" w:rsidR="00A7073C">
        <w:rPr>
          <w:rtl/>
        </w:rPr>
        <w:t xml:space="preserve"> קמ"ש ל-14 קמ"ש - </w:t>
      </w:r>
      <w:r w:rsidRPr="00273DF4" w:rsidR="00A7073C">
        <w:rPr>
          <w:rFonts w:hint="cs"/>
          <w:rtl/>
        </w:rPr>
        <w:t>ירידה ב</w:t>
      </w:r>
      <w:r w:rsidRPr="00273DF4" w:rsidR="00A7073C">
        <w:rPr>
          <w:rtl/>
        </w:rPr>
        <w:t>שיעור של בין 18% ל-</w:t>
      </w:r>
      <w:r w:rsidRPr="00273DF4" w:rsidR="00A7073C">
        <w:rPr>
          <w:rFonts w:hint="cs"/>
          <w:rtl/>
        </w:rPr>
        <w:t>57</w:t>
      </w:r>
      <w:r w:rsidRPr="00273DF4" w:rsidR="00A7073C">
        <w:rPr>
          <w:rtl/>
        </w:rPr>
        <w:t xml:space="preserve">%. עוד הראו נתוני יועץ התנועה כי עד שנת 2040 תרד המהירות הממוצעת </w:t>
      </w:r>
      <w:r w:rsidRPr="00273DF4" w:rsidR="00A7073C">
        <w:rPr>
          <w:rFonts w:hint="cs"/>
          <w:rtl/>
        </w:rPr>
        <w:t xml:space="preserve">בשלושת הקטעים </w:t>
      </w:r>
      <w:r w:rsidRPr="00273DF4" w:rsidR="00A7073C">
        <w:rPr>
          <w:rtl/>
        </w:rPr>
        <w:t>מעירון ועד ניצני עוז בין 63 קמ"ש ל-</w:t>
      </w:r>
      <w:r w:rsidRPr="00273DF4" w:rsidR="00A7073C">
        <w:rPr>
          <w:rFonts w:hint="cs"/>
          <w:rtl/>
        </w:rPr>
        <w:t>30</w:t>
      </w:r>
      <w:r w:rsidRPr="00273DF4" w:rsidR="00A7073C">
        <w:rPr>
          <w:rtl/>
        </w:rPr>
        <w:t xml:space="preserve"> קמ"ש</w:t>
      </w:r>
      <w:r w:rsidRPr="00273DF4" w:rsidR="00A7073C">
        <w:rPr>
          <w:rFonts w:hint="cs"/>
          <w:rtl/>
        </w:rPr>
        <w:t xml:space="preserve"> </w:t>
      </w:r>
      <w:r w:rsidRPr="00273DF4" w:rsidR="00A7073C">
        <w:rPr>
          <w:rtl/>
        </w:rPr>
        <w:t xml:space="preserve">- שיעור של בין </w:t>
      </w:r>
      <w:r w:rsidRPr="00273DF4" w:rsidR="00A7073C">
        <w:rPr>
          <w:rFonts w:hint="cs"/>
          <w:rtl/>
        </w:rPr>
        <w:t xml:space="preserve">72% </w:t>
      </w:r>
      <w:r w:rsidRPr="00273DF4" w:rsidR="00A7073C">
        <w:rPr>
          <w:rtl/>
        </w:rPr>
        <w:t>ל-</w:t>
      </w:r>
      <w:r w:rsidRPr="00273DF4" w:rsidR="00A7073C">
        <w:rPr>
          <w:rFonts w:hint="cs"/>
          <w:rtl/>
        </w:rPr>
        <w:t>70</w:t>
      </w:r>
      <w:r w:rsidRPr="00273DF4" w:rsidR="00A7073C">
        <w:rPr>
          <w:rtl/>
        </w:rPr>
        <w:t xml:space="preserve">% </w:t>
      </w:r>
      <w:r w:rsidRPr="00273DF4" w:rsidR="00A7073C">
        <w:rPr>
          <w:rFonts w:hint="cs"/>
          <w:rtl/>
        </w:rPr>
        <w:t>ובשלוש</w:t>
      </w:r>
      <w:r w:rsidRPr="00273DF4" w:rsidR="00A7073C">
        <w:rPr>
          <w:rtl/>
        </w:rPr>
        <w:t xml:space="preserve"> הקטעים הנותרים בין </w:t>
      </w:r>
      <w:r w:rsidRPr="00273DF4" w:rsidR="00A7073C">
        <w:rPr>
          <w:rFonts w:hint="cs"/>
          <w:rtl/>
        </w:rPr>
        <w:t>38</w:t>
      </w:r>
      <w:r w:rsidRPr="00273DF4" w:rsidR="00A7073C">
        <w:rPr>
          <w:rtl/>
        </w:rPr>
        <w:t xml:space="preserve"> קמ"ש ל-35 קמ"ש שיעור</w:t>
      </w:r>
      <w:r w:rsidRPr="00273DF4" w:rsidR="00A7073C">
        <w:rPr>
          <w:rFonts w:hint="cs"/>
          <w:rtl/>
        </w:rPr>
        <w:t>- ירידה בשיעור</w:t>
      </w:r>
      <w:r w:rsidRPr="00273DF4" w:rsidR="00A7073C">
        <w:rPr>
          <w:rtl/>
        </w:rPr>
        <w:t xml:space="preserve"> של בין </w:t>
      </w:r>
      <w:r w:rsidRPr="00273DF4" w:rsidR="00A7073C">
        <w:rPr>
          <w:rFonts w:hint="cs"/>
          <w:rtl/>
        </w:rPr>
        <w:t>72</w:t>
      </w:r>
      <w:r w:rsidRPr="00273DF4" w:rsidR="00A7073C">
        <w:rPr>
          <w:rtl/>
        </w:rPr>
        <w:t>% ל-</w:t>
      </w:r>
      <w:r w:rsidRPr="00273DF4" w:rsidR="00A7073C">
        <w:rPr>
          <w:rFonts w:hint="cs"/>
          <w:rtl/>
        </w:rPr>
        <w:t>45</w:t>
      </w:r>
      <w:r w:rsidRPr="00273DF4" w:rsidR="00A7073C">
        <w:rPr>
          <w:rtl/>
        </w:rPr>
        <w:t>%. נתונים אלה שהוצגו לוועדת המכרזים הבין משרדית</w:t>
      </w:r>
      <w:r>
        <w:rPr>
          <w:vertAlign w:val="superscript"/>
          <w:rtl/>
        </w:rPr>
        <w:footnoteReference w:id="2"/>
      </w:r>
      <w:r w:rsidRPr="00273DF4" w:rsidR="00A7073C">
        <w:rPr>
          <w:rtl/>
        </w:rPr>
        <w:t xml:space="preserve"> </w:t>
      </w:r>
      <w:r w:rsidRPr="00273DF4" w:rsidR="00A7073C">
        <w:rPr>
          <w:rtl/>
        </w:rPr>
        <w:t>לפרויקטי</w:t>
      </w:r>
      <w:r w:rsidRPr="00273DF4" w:rsidR="00A7073C">
        <w:rPr>
          <w:rtl/>
        </w:rPr>
        <w:t xml:space="preserve"> זיכיון בתחום התחבורה, הראו שעקב העומסים הגבוהים שבשעות שיא בוקר יורדת מהירות הנסיעה בחלק מהקטעים ל-50 ואף ל-36</w:t>
      </w:r>
      <w:r w:rsidRPr="00273DF4" w:rsidR="00A7073C">
        <w:rPr>
          <w:rFonts w:hint="cs"/>
          <w:rtl/>
        </w:rPr>
        <w:t xml:space="preserve"> </w:t>
      </w:r>
      <w:r w:rsidRPr="00273DF4" w:rsidR="00A7073C">
        <w:rPr>
          <w:rtl/>
        </w:rPr>
        <w:t xml:space="preserve">קמ"ש ובשעות </w:t>
      </w:r>
      <w:r w:rsidRPr="00273DF4" w:rsidR="00A7073C">
        <w:rPr>
          <w:rFonts w:hint="cs"/>
          <w:rtl/>
        </w:rPr>
        <w:t xml:space="preserve">אחר </w:t>
      </w:r>
      <w:r w:rsidRPr="00273DF4" w:rsidR="00A7073C">
        <w:rPr>
          <w:rtl/>
        </w:rPr>
        <w:t xml:space="preserve">הצהרים יורדת המהירות </w:t>
      </w:r>
      <w:r w:rsidR="001B667C">
        <w:rPr>
          <w:rtl/>
        </w:rPr>
        <w:br/>
      </w:r>
      <w:r w:rsidRPr="00273DF4" w:rsidR="00A7073C">
        <w:rPr>
          <w:rtl/>
        </w:rPr>
        <w:t>ל-47 קמ"ש,</w:t>
      </w:r>
      <w:r w:rsidRPr="00A81A35" w:rsidR="00A7073C">
        <w:rPr>
          <w:rtl/>
        </w:rPr>
        <w:t xml:space="preserve"> </w:t>
      </w:r>
      <w:r w:rsidRPr="00273DF4" w:rsidR="00A7073C">
        <w:rPr>
          <w:rtl/>
        </w:rPr>
        <w:t xml:space="preserve">בעוד שהמהירות </w:t>
      </w:r>
      <w:r w:rsidRPr="00B168D2" w:rsidR="00B168D2">
        <w:rPr>
          <w:rtl/>
        </w:rPr>
        <w:t>המותרת</w:t>
      </w:r>
      <w:r w:rsidR="00B168D2">
        <w:rPr>
          <w:rFonts w:hint="cs"/>
          <w:rtl/>
        </w:rPr>
        <w:t xml:space="preserve"> </w:t>
      </w:r>
      <w:r w:rsidRPr="00273DF4" w:rsidR="00A7073C">
        <w:rPr>
          <w:rtl/>
        </w:rPr>
        <w:t>בכביש היא</w:t>
      </w:r>
      <w:r w:rsidRPr="00273DF4" w:rsidR="00A7073C">
        <w:rPr>
          <w:rFonts w:hint="cs"/>
          <w:rtl/>
        </w:rPr>
        <w:t xml:space="preserve"> </w:t>
      </w:r>
      <w:r w:rsidRPr="00273DF4" w:rsidR="00A7073C">
        <w:rPr>
          <w:rtl/>
        </w:rPr>
        <w:t>120</w:t>
      </w:r>
      <w:r w:rsidRPr="00273DF4" w:rsidR="00A7073C">
        <w:rPr>
          <w:rFonts w:hint="cs"/>
          <w:rtl/>
        </w:rPr>
        <w:t xml:space="preserve"> </w:t>
      </w:r>
      <w:r w:rsidRPr="00273DF4" w:rsidR="00A7073C">
        <w:rPr>
          <w:rtl/>
        </w:rPr>
        <w:t>קמ"ש</w:t>
      </w:r>
      <w:r w:rsidRPr="00273DF4" w:rsidR="00A7073C">
        <w:rPr>
          <w:rFonts w:hint="cs"/>
          <w:rtl/>
        </w:rPr>
        <w:t>,</w:t>
      </w:r>
      <w:r w:rsidRPr="00273DF4" w:rsidR="00A7073C">
        <w:rPr>
          <w:rtl/>
        </w:rPr>
        <w:t xml:space="preserve"> והכביש אינו פועל כמצופה מרמת שירות של כביש מהיר. לפי חישובי חוצה ישראל שהוצגו בוועדת המכרזים הנזק השנתי מאי ביצוע ההרחבה מחושב לשנת 2030 הוא כ-</w:t>
      </w:r>
      <w:r w:rsidRPr="00273DF4" w:rsidR="00A7073C">
        <w:rPr>
          <w:rFonts w:hint="cs"/>
          <w:rtl/>
        </w:rPr>
        <w:t>390</w:t>
      </w:r>
      <w:r w:rsidRPr="00273DF4" w:rsidR="00A7073C">
        <w:rPr>
          <w:rtl/>
        </w:rPr>
        <w:t xml:space="preserve"> מיליון ש"ח ללא </w:t>
      </w:r>
      <w:r w:rsidRPr="00273DF4" w:rsidR="00A7073C">
        <w:rPr>
          <w:rFonts w:hint="eastAsia"/>
          <w:rtl/>
        </w:rPr>
        <w:t>נתיב</w:t>
      </w:r>
      <w:r w:rsidRPr="00273DF4" w:rsidR="00A7073C">
        <w:rPr>
          <w:rtl/>
        </w:rPr>
        <w:t xml:space="preserve"> </w:t>
      </w:r>
      <w:r w:rsidRPr="00273DF4" w:rsidR="00A7073C">
        <w:rPr>
          <w:rFonts w:hint="eastAsia"/>
          <w:rtl/>
        </w:rPr>
        <w:t>רב</w:t>
      </w:r>
      <w:r w:rsidRPr="00273DF4" w:rsidR="00A7073C">
        <w:rPr>
          <w:rtl/>
        </w:rPr>
        <w:t xml:space="preserve"> </w:t>
      </w:r>
      <w:r w:rsidRPr="00273DF4" w:rsidR="00A7073C">
        <w:rPr>
          <w:rFonts w:hint="eastAsia"/>
          <w:rtl/>
        </w:rPr>
        <w:t>תפוסה</w:t>
      </w:r>
      <w:r>
        <w:rPr>
          <w:vertAlign w:val="superscript"/>
          <w:rtl/>
        </w:rPr>
        <w:footnoteReference w:id="3"/>
      </w:r>
      <w:r w:rsidRPr="00273DF4" w:rsidR="00A7073C">
        <w:rPr>
          <w:rFonts w:hint="cs"/>
          <w:rtl/>
        </w:rPr>
        <w:t xml:space="preserve"> (</w:t>
      </w:r>
      <w:r w:rsidRPr="00273DF4" w:rsidR="00A7073C">
        <w:rPr>
          <w:rtl/>
        </w:rPr>
        <w:t>נר"ת</w:t>
      </w:r>
      <w:r w:rsidRPr="00273DF4" w:rsidR="00A7073C">
        <w:rPr>
          <w:rFonts w:hint="cs"/>
          <w:rtl/>
        </w:rPr>
        <w:t>)</w:t>
      </w:r>
      <w:r w:rsidRPr="00273DF4" w:rsidR="00A7073C">
        <w:rPr>
          <w:rtl/>
        </w:rPr>
        <w:t xml:space="preserve"> ו-</w:t>
      </w:r>
      <w:r w:rsidRPr="00273DF4" w:rsidR="00A7073C">
        <w:rPr>
          <w:rFonts w:hint="cs"/>
          <w:rtl/>
        </w:rPr>
        <w:t>260</w:t>
      </w:r>
      <w:r w:rsidRPr="00273DF4" w:rsidR="00A7073C">
        <w:rPr>
          <w:rtl/>
        </w:rPr>
        <w:t xml:space="preserve"> מיליון ש"ח עם </w:t>
      </w:r>
      <w:r w:rsidRPr="00273DF4" w:rsidR="00A7073C">
        <w:rPr>
          <w:rtl/>
        </w:rPr>
        <w:t>נר"ת</w:t>
      </w:r>
      <w:r w:rsidRPr="00273DF4" w:rsidR="00A7073C">
        <w:rPr>
          <w:rtl/>
        </w:rPr>
        <w:t>.</w:t>
      </w:r>
      <w:r w:rsidRPr="006B00FF" w:rsidR="00A7073C">
        <w:rPr>
          <w:rtl/>
        </w:rPr>
        <w:t xml:space="preserve"> </w:t>
      </w:r>
      <w:r w:rsidRPr="00273DF4" w:rsidR="00A7073C">
        <w:rPr>
          <w:rtl/>
        </w:rPr>
        <w:t>נמצא כי הבדיקות והדיונים שהתקיימו בוועדת המכרזים, בנוגע להרחבת כביש 6</w:t>
      </w:r>
      <w:r w:rsidRPr="00273DF4" w:rsidR="00A7073C">
        <w:rPr>
          <w:rFonts w:hint="cs"/>
          <w:rtl/>
        </w:rPr>
        <w:t>,</w:t>
      </w:r>
      <w:r w:rsidRPr="00273DF4" w:rsidR="00A7073C">
        <w:rPr>
          <w:rtl/>
        </w:rPr>
        <w:t xml:space="preserve"> שהתגבשו באוגוסט 2022 לתוספת שלישית להסכם הזיכיון </w:t>
      </w:r>
      <w:r w:rsidRPr="00273DF4" w:rsidR="00A7073C">
        <w:rPr>
          <w:rFonts w:hint="cs"/>
          <w:rtl/>
        </w:rPr>
        <w:t>ל</w:t>
      </w:r>
      <w:r w:rsidRPr="00273DF4" w:rsidR="00A7073C">
        <w:rPr>
          <w:rtl/>
        </w:rPr>
        <w:t>הרחבת כביש 6</w:t>
      </w:r>
      <w:r w:rsidRPr="00273DF4" w:rsidR="00A7073C">
        <w:rPr>
          <w:rFonts w:hint="cs"/>
          <w:rtl/>
        </w:rPr>
        <w:t xml:space="preserve"> עד שנת 2028, </w:t>
      </w:r>
      <w:r w:rsidRPr="00273DF4" w:rsidR="00A7073C">
        <w:rPr>
          <w:rtl/>
        </w:rPr>
        <w:t>החלו רק בשנת 2020 אף שהעומסים הכבדים בכביש החלו כמה שנים קודם,</w:t>
      </w:r>
      <w:r w:rsidRPr="00273DF4" w:rsidR="00A7073C">
        <w:rPr>
          <w:rFonts w:hint="cs"/>
          <w:rtl/>
        </w:rPr>
        <w:t xml:space="preserve"> ו</w:t>
      </w:r>
      <w:r w:rsidRPr="00273DF4" w:rsidR="00A7073C">
        <w:rPr>
          <w:rtl/>
        </w:rPr>
        <w:t xml:space="preserve">מבקר המדינה </w:t>
      </w:r>
      <w:r w:rsidRPr="00273DF4" w:rsidR="00A7073C">
        <w:rPr>
          <w:rFonts w:hint="cs"/>
          <w:rtl/>
        </w:rPr>
        <w:t xml:space="preserve">התריע עליהם </w:t>
      </w:r>
      <w:r w:rsidRPr="00273DF4" w:rsidR="00A7073C">
        <w:rPr>
          <w:rtl/>
        </w:rPr>
        <w:t>לפני משרד התחבורה, משרד האוצר וחוצה ישראל</w:t>
      </w:r>
      <w:r w:rsidRPr="00AF3B73">
        <w:rPr>
          <w:rFonts w:hint="cs"/>
          <w:rtl/>
        </w:rPr>
        <w:t xml:space="preserve">. </w:t>
      </w:r>
    </w:p>
    <w:p w:rsidR="00EB672B" w:rsidRPr="00AF3B73" w:rsidP="00EB672B" w14:paraId="257CE09B" w14:textId="16C72779">
      <w:pPr>
        <w:pStyle w:val="7317"/>
        <w:rPr>
          <w:rtl/>
        </w:rPr>
      </w:pPr>
      <w:r w:rsidRPr="00A7073C">
        <w:rPr>
          <w:rStyle w:val="7391"/>
          <w:rFonts w:hint="cs"/>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 xml:space="preserve">הפער בין תעריפי </w:t>
      </w:r>
      <w:r w:rsidRPr="00A7073C" w:rsidR="00A7073C">
        <w:rPr>
          <w:rStyle w:val="7391"/>
          <w:rtl/>
        </w:rPr>
        <w:t>כביש 6 בקטע המרכזי לעומת כביש 6 צפון</w:t>
      </w:r>
      <w:r w:rsidRPr="00A7073C" w:rsidR="00A7073C">
        <w:rPr>
          <w:rStyle w:val="7391"/>
          <w:rFonts w:hint="cs"/>
          <w:rtl/>
        </w:rPr>
        <w:t xml:space="preserve"> -</w:t>
      </w:r>
      <w:r w:rsidRPr="00273DF4" w:rsidR="00A7073C">
        <w:rPr>
          <w:rFonts w:hint="cs"/>
          <w:rtl/>
        </w:rPr>
        <w:t xml:space="preserve"> </w:t>
      </w:r>
      <w:r w:rsidRPr="00273DF4" w:rsidR="00A7073C">
        <w:rPr>
          <w:rtl/>
        </w:rPr>
        <w:t>תעריפי הנסיעה בכבישי אגרה נגזרים בין היתר מעלות ההקמה, התפעול והתחזוקה של הפרויקטים ומגובה המימון שהמדינה משקיעה בהם. בהתאם לחוק, לתקנות ולהסכם הזיכיון, ובאישור הרשות הממונה התעריף לרכב פרטי של מנוי פסקל בכביש 6 במקטע המרכזי לשלושה קטעים ומעלה, ללא קטע 18 (הקטע שבין מחלף עירון למחלף עין תות), נע בין 13.97 ל-23.8 ש"ח, לעומת התעריף של לקוח מזדמן שנע בין 22.39 ל-31.71 ש"ח (בין 62.4% ל-73.4% מהתעריף של לקוח מזדמן), ועם קטע 18 התעריף של מנוי פסקל נע בין</w:t>
      </w:r>
      <w:r w:rsidRPr="00273DF4" w:rsidR="00A7073C">
        <w:rPr>
          <w:rFonts w:hint="cs"/>
          <w:rtl/>
        </w:rPr>
        <w:t xml:space="preserve"> </w:t>
      </w:r>
      <w:r w:rsidRPr="00273DF4" w:rsidR="00A7073C">
        <w:rPr>
          <w:rtl/>
        </w:rPr>
        <w:t xml:space="preserve">20.77 ל-30.08 ש"ח, לעומת תעריף של לקוח מזדמן שנע בין 29.19 ל-38.50 (בין 71.2% ל-78.1% לתעריף של לקוח מזדמן). למנוי כביש 6 צפון אין הנחה בתעריף הבסיסי לעומת נוסע מזדמן. התעריף הממוצע לקטע בכביש 6 המרכזי גבוה מזה של כביש 6 צפון בעשרות אחוזים: לרכב פרטי הוא גבוה ב-2.82 ש"ח ו-2.30 ש"ח ללקוח מזדמן ומנוי וידאו בהתאמה (60.1% ו-57.9% בהתאמה). תעריפי קטע 18 של כביש 6 במקטע המרכזי גבוהים ב 5.95 ש"ח </w:t>
      </w:r>
      <w:r w:rsidR="001B667C">
        <w:rPr>
          <w:rtl/>
        </w:rPr>
        <w:br/>
      </w:r>
      <w:r w:rsidRPr="00273DF4" w:rsidR="00A7073C">
        <w:rPr>
          <w:rtl/>
        </w:rPr>
        <w:t xml:space="preserve">ו-3.07 ש"ח ללקוח מזדמן ומנוי וידאו בהתאמה, לעומת תעריפי כביש 6 צפון (64.2% </w:t>
      </w:r>
      <w:r w:rsidR="001B667C">
        <w:rPr>
          <w:rtl/>
        </w:rPr>
        <w:br/>
      </w:r>
      <w:r w:rsidRPr="00273DF4" w:rsidR="00A7073C">
        <w:rPr>
          <w:rtl/>
        </w:rPr>
        <w:t>ו-38.6% בהתאמה), זאת על אף הסמיכות הגיאוגרפית והטופוגרפיה הדומה של מקטעי כבישים אלה. שונות זו בתעריפים, בין כביש 6 צפון לקטע 18 ובין התעריף הממוצע לקטע בכביש 6 צפון לעומת כביש 6 במקטע המרכזי, ואי-בהירותם, עלולות ליצור אצל הנוסע, בעיקר הנוסע המזדמן, בלבול, המקשה עליו לקבל החלטות בכל הנוגע לכדאיות אם להשתמש בקטעי הכביש השונים ואם לאו. בביקורת נמצא שמשרד התחבורה ומשרד האוצר, לא שקלו את האפשרות ליצירת האחדה ופישוט של תעריפי כבישי האגרה, בין היתר באמצעות התאמת גובה המימון של המדינה לפרויקטים השונים</w:t>
      </w:r>
      <w:r w:rsidRPr="00AF3B73">
        <w:rPr>
          <w:rFonts w:hint="cs"/>
          <w:rtl/>
        </w:rPr>
        <w:t>.</w:t>
      </w:r>
    </w:p>
    <w:p w:rsidR="00EB672B" w:rsidRPr="00AF3B73" w:rsidP="00EB672B" w14:paraId="42C157E6" w14:textId="5F012100">
      <w:pPr>
        <w:pStyle w:val="7317"/>
      </w:pPr>
      <w:r w:rsidRPr="00A7073C">
        <w:rPr>
          <w:rStyle w:val="7391"/>
          <w:rFonts w:hint="cs"/>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eastAsia"/>
          <w:rtl/>
        </w:rPr>
        <w:t>מבנה</w:t>
      </w:r>
      <w:r w:rsidRPr="00A7073C" w:rsidR="00A7073C">
        <w:rPr>
          <w:rStyle w:val="7391"/>
          <w:rtl/>
        </w:rPr>
        <w:t xml:space="preserve"> </w:t>
      </w:r>
      <w:r w:rsidRPr="00A7073C" w:rsidR="00A7073C">
        <w:rPr>
          <w:rStyle w:val="7391"/>
          <w:rFonts w:hint="eastAsia"/>
          <w:rtl/>
        </w:rPr>
        <w:t>התעריפים</w:t>
      </w:r>
      <w:r w:rsidRPr="00A7073C" w:rsidR="00A7073C">
        <w:rPr>
          <w:rStyle w:val="7391"/>
          <w:rtl/>
        </w:rPr>
        <w:t xml:space="preserve"> </w:t>
      </w:r>
      <w:r w:rsidRPr="00A7073C" w:rsidR="00A7073C">
        <w:rPr>
          <w:rStyle w:val="7391"/>
          <w:rFonts w:hint="eastAsia"/>
          <w:rtl/>
        </w:rPr>
        <w:t>בכביש</w:t>
      </w:r>
      <w:r w:rsidRPr="00A7073C" w:rsidR="00A7073C">
        <w:rPr>
          <w:rStyle w:val="7391"/>
          <w:rtl/>
        </w:rPr>
        <w:t xml:space="preserve"> 6 </w:t>
      </w:r>
      <w:r w:rsidRPr="00A7073C" w:rsidR="00A7073C">
        <w:rPr>
          <w:rStyle w:val="7391"/>
          <w:rFonts w:hint="eastAsia"/>
          <w:rtl/>
        </w:rPr>
        <w:t>בקטע</w:t>
      </w:r>
      <w:r w:rsidRPr="00A7073C" w:rsidR="00A7073C">
        <w:rPr>
          <w:rStyle w:val="7391"/>
          <w:rtl/>
        </w:rPr>
        <w:t xml:space="preserve"> </w:t>
      </w:r>
      <w:r w:rsidRPr="00A7073C" w:rsidR="00A7073C">
        <w:rPr>
          <w:rStyle w:val="7391"/>
          <w:rFonts w:hint="eastAsia"/>
          <w:rtl/>
        </w:rPr>
        <w:t>המרכזי</w:t>
      </w:r>
      <w:r w:rsidRPr="00A7073C" w:rsidR="00A7073C">
        <w:rPr>
          <w:rStyle w:val="7391"/>
          <w:rtl/>
        </w:rPr>
        <w:t xml:space="preserve"> -</w:t>
      </w:r>
      <w:r w:rsidRPr="00273DF4" w:rsidR="00A7073C">
        <w:rPr>
          <w:rFonts w:hint="cs"/>
          <w:rtl/>
        </w:rPr>
        <w:t xml:space="preserve"> למרות העומסים ההולכים וגדלים בכביש, </w:t>
      </w:r>
      <w:r w:rsidRPr="00273DF4" w:rsidR="00A7073C">
        <w:rPr>
          <w:rtl/>
        </w:rPr>
        <w:t xml:space="preserve">משרד התחבורה, משרד האוצר וחוצה ישראל לא פעלו </w:t>
      </w:r>
      <w:r w:rsidRPr="00273DF4" w:rsidR="00A7073C">
        <w:rPr>
          <w:rFonts w:hint="cs"/>
          <w:rtl/>
        </w:rPr>
        <w:t xml:space="preserve">בשיתוף עם הזכיין </w:t>
      </w:r>
      <w:r w:rsidRPr="00273DF4" w:rsidR="00A7073C">
        <w:rPr>
          <w:rtl/>
        </w:rPr>
        <w:t xml:space="preserve">לשינוי מבנה התעריפים של </w:t>
      </w:r>
      <w:r w:rsidRPr="00273DF4" w:rsidR="00A7073C">
        <w:rPr>
          <w:rFonts w:hint="cs"/>
          <w:rtl/>
        </w:rPr>
        <w:t xml:space="preserve">המקטע המרכזי של </w:t>
      </w:r>
      <w:r w:rsidRPr="00273DF4" w:rsidR="00A7073C">
        <w:rPr>
          <w:rtl/>
        </w:rPr>
        <w:t xml:space="preserve">כביש 6 </w:t>
      </w:r>
      <w:r w:rsidRPr="00273DF4" w:rsidR="00A7073C">
        <w:rPr>
          <w:rFonts w:hint="cs"/>
          <w:rtl/>
        </w:rPr>
        <w:t>לגבי רכב פרטי</w:t>
      </w:r>
      <w:r w:rsidRPr="00273DF4" w:rsidR="00A7073C">
        <w:rPr>
          <w:rtl/>
        </w:rPr>
        <w:t xml:space="preserve">, </w:t>
      </w:r>
      <w:r w:rsidRPr="00273DF4" w:rsidR="00A7073C">
        <w:rPr>
          <w:rFonts w:hint="cs"/>
          <w:rtl/>
        </w:rPr>
        <w:t xml:space="preserve">כפי שנקבע בהסכם הזיכיון המקורי, </w:t>
      </w:r>
      <w:r w:rsidRPr="00273DF4" w:rsidR="00A7073C">
        <w:rPr>
          <w:rtl/>
        </w:rPr>
        <w:t xml:space="preserve">כך שיהיה קשר בין רמת התעריפים לרמת השירות, על ידי קביעת מבנה תעריפים דיפרנציאלי, באופן שייצור הסטת תנועה משעות העומס לשעות השפל, ותמריץ לעמידה </w:t>
      </w:r>
      <w:r w:rsidRPr="00273DF4" w:rsidR="00A7073C">
        <w:rPr>
          <w:rtl/>
        </w:rPr>
        <w:t>ברמת שירות התואמת לכביש מהיר, ובכך להקטין את הרמה וההיקף של העומסים ולשפר בכך את רמת השירות</w:t>
      </w:r>
      <w:r w:rsidR="00B168D2">
        <w:rPr>
          <w:rFonts w:hint="cs"/>
          <w:rtl/>
        </w:rPr>
        <w:t xml:space="preserve"> </w:t>
      </w:r>
      <w:r w:rsidRPr="00273DF4" w:rsidR="00A7073C">
        <w:rPr>
          <w:rFonts w:hint="cs"/>
          <w:rtl/>
        </w:rPr>
        <w:t>באופן דומה</w:t>
      </w:r>
      <w:r w:rsidRPr="00273DF4" w:rsidR="00A7073C">
        <w:rPr>
          <w:rtl/>
        </w:rPr>
        <w:t xml:space="preserve"> </w:t>
      </w:r>
      <w:r w:rsidRPr="00273DF4" w:rsidR="00A7073C">
        <w:rPr>
          <w:rFonts w:hint="cs"/>
          <w:rtl/>
        </w:rPr>
        <w:t>ל</w:t>
      </w:r>
      <w:r w:rsidRPr="00273DF4" w:rsidR="00A7073C">
        <w:rPr>
          <w:rtl/>
        </w:rPr>
        <w:t xml:space="preserve">קיים בנתיב המהיר, בו יש תעריף </w:t>
      </w:r>
      <w:r w:rsidRPr="00273DF4" w:rsidR="00A7073C">
        <w:rPr>
          <w:rFonts w:hint="cs"/>
          <w:rtl/>
        </w:rPr>
        <w:t>דינמי</w:t>
      </w:r>
      <w:r w:rsidRPr="00273DF4" w:rsidR="00A7073C">
        <w:rPr>
          <w:rtl/>
        </w:rPr>
        <w:t xml:space="preserve"> העולה ככל שהעומסים עולים, והמבטיח מהירות ממוצעת של 70 קמ"ש</w:t>
      </w:r>
      <w:r w:rsidRPr="00AF3B73">
        <w:rPr>
          <w:rFonts w:hint="cs"/>
          <w:rtl/>
        </w:rPr>
        <w:t xml:space="preserve">. </w:t>
      </w:r>
    </w:p>
    <w:p w:rsidR="00EB672B" w:rsidRPr="00AF3B73" w:rsidP="00EB672B" w14:paraId="0E55F83C" w14:textId="20864659">
      <w:pPr>
        <w:pStyle w:val="7317"/>
      </w:pPr>
      <w:r w:rsidRPr="00A7073C">
        <w:rPr>
          <w:rStyle w:val="7391"/>
          <w:rFonts w:hint="cs"/>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הרחבת כביש 6 בקטע המרכזי -</w:t>
      </w:r>
      <w:r w:rsidRPr="00273DF4" w:rsidR="00A7073C">
        <w:rPr>
          <w:rFonts w:hint="cs"/>
          <w:rtl/>
        </w:rPr>
        <w:t xml:space="preserve"> </w:t>
      </w:r>
      <w:r w:rsidRPr="00273DF4" w:rsidR="00A7073C">
        <w:rPr>
          <w:rtl/>
        </w:rPr>
        <w:t>נמצא כי לאחר ההרחבה האחרונה בשנת 2014, מילא בעל הזיכיון את מחויבותו בעניין הרחבת הכביש, ואין לו מחויבות להרחבות העתידיות</w:t>
      </w:r>
      <w:r w:rsidRPr="00273DF4" w:rsidR="00A7073C">
        <w:rPr>
          <w:rFonts w:hint="cs"/>
          <w:rtl/>
        </w:rPr>
        <w:t xml:space="preserve"> לפי הסכם הזיכיון אלא באמצעות הוראת שינוי</w:t>
      </w:r>
      <w:r w:rsidRPr="00273DF4" w:rsidR="00A7073C">
        <w:rPr>
          <w:rtl/>
        </w:rPr>
        <w:t>, ולכן כל הרחבה נוספת אינה חלק מחוזה הזיכיון המקורי שנחתם בשנת 1998 והיא מחייבת היערכות מיוחדת, ובכלל זה תכנון ההרחבה וקביעת היקפה; אומדן עלויות פרויקט ההרחבה; קביעת הגורם המבצע; ולוחות זמנים</w:t>
      </w:r>
      <w:r w:rsidRPr="00AF3B73">
        <w:rPr>
          <w:rFonts w:hint="cs"/>
          <w:rtl/>
        </w:rPr>
        <w:t xml:space="preserve">. </w:t>
      </w:r>
    </w:p>
    <w:p w:rsidR="00EB672B" w:rsidRPr="00AF3B73" w:rsidP="00EB672B" w14:paraId="1320DBEF" w14:textId="10A41DC1">
      <w:pPr>
        <w:pStyle w:val="7317"/>
        <w:rPr>
          <w:rtl/>
        </w:rPr>
      </w:pPr>
      <w:r w:rsidRPr="00A7073C">
        <w:rPr>
          <w:rStyle w:val="7391"/>
          <w:rFonts w:hint="cs"/>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תחזוקת כביש 6 דרום -</w:t>
      </w:r>
      <w:r w:rsidRPr="00273DF4" w:rsidR="00A7073C">
        <w:rPr>
          <w:rFonts w:hint="cs"/>
          <w:rtl/>
        </w:rPr>
        <w:t xml:space="preserve"> לעומת יתר קטעי כביש 6 המתוחזקים על ידי הזכיינים, </w:t>
      </w:r>
      <w:r w:rsidRPr="00273DF4" w:rsidR="00A7073C">
        <w:rPr>
          <w:rtl/>
        </w:rPr>
        <w:t>נמצא כי עבודות התחזוקה</w:t>
      </w:r>
      <w:r w:rsidRPr="00273DF4" w:rsidR="00A7073C">
        <w:rPr>
          <w:rFonts w:hint="cs"/>
          <w:rtl/>
        </w:rPr>
        <w:t xml:space="preserve"> של כביש 6 דרום מבוצעות</w:t>
      </w:r>
      <w:r w:rsidRPr="00273DF4" w:rsidR="00A7073C">
        <w:rPr>
          <w:rtl/>
        </w:rPr>
        <w:t xml:space="preserve"> על ידי </w:t>
      </w:r>
      <w:r w:rsidRPr="00273DF4" w:rsidR="00A7073C">
        <w:rPr>
          <w:rtl/>
        </w:rPr>
        <w:t>נת"י</w:t>
      </w:r>
      <w:r w:rsidRPr="00273DF4" w:rsidR="00A7073C">
        <w:rPr>
          <w:rFonts w:hint="cs"/>
          <w:rtl/>
        </w:rPr>
        <w:t>,</w:t>
      </w:r>
      <w:r w:rsidRPr="00273DF4" w:rsidR="00A7073C">
        <w:rPr>
          <w:rtl/>
        </w:rPr>
        <w:t xml:space="preserve"> על פי תוכנית תחזוקה </w:t>
      </w:r>
      <w:r w:rsidRPr="00273DF4" w:rsidR="00A7073C">
        <w:rPr>
          <w:rtl/>
        </w:rPr>
        <w:t>ותעדוף</w:t>
      </w:r>
      <w:r w:rsidRPr="00273DF4" w:rsidR="00A7073C">
        <w:rPr>
          <w:rtl/>
        </w:rPr>
        <w:t xml:space="preserve"> בהתאם לתקציב שמאשרת הממשלה, וכי קיים פער בין הסכום הנדרש לפי מודל התחזוקה שפותח </w:t>
      </w:r>
      <w:r w:rsidRPr="00273DF4" w:rsidR="00A7073C">
        <w:rPr>
          <w:rtl/>
        </w:rPr>
        <w:t>בנת"י</w:t>
      </w:r>
      <w:r w:rsidRPr="00273DF4" w:rsidR="00A7073C">
        <w:rPr>
          <w:rtl/>
        </w:rPr>
        <w:t xml:space="preserve"> - 2.4 מיליארד ש"ח לשנה</w:t>
      </w:r>
      <w:r w:rsidRPr="00273DF4" w:rsidR="00A7073C">
        <w:rPr>
          <w:rFonts w:hint="cs"/>
          <w:rtl/>
        </w:rPr>
        <w:t>,</w:t>
      </w:r>
      <w:r w:rsidRPr="00273DF4" w:rsidR="00A7073C">
        <w:rPr>
          <w:rtl/>
        </w:rPr>
        <w:t xml:space="preserve"> לסכום </w:t>
      </w:r>
      <w:r w:rsidRPr="00273DF4" w:rsidR="00A7073C">
        <w:rPr>
          <w:rFonts w:hint="cs"/>
          <w:rtl/>
        </w:rPr>
        <w:t>שתוקצב ו</w:t>
      </w:r>
      <w:r w:rsidRPr="00273DF4" w:rsidR="00A7073C">
        <w:rPr>
          <w:rtl/>
        </w:rPr>
        <w:t>שבוצע בפועל - נכון לשנת 2023 - 1.4 מיליארד ש"ח</w:t>
      </w:r>
      <w:r w:rsidRPr="00273DF4" w:rsidR="00A7073C">
        <w:rPr>
          <w:rFonts w:hint="cs"/>
          <w:rtl/>
        </w:rPr>
        <w:t>.</w:t>
      </w:r>
      <w:r w:rsidRPr="00273DF4" w:rsidR="00A7073C">
        <w:rPr>
          <w:rtl/>
        </w:rPr>
        <w:t xml:space="preserve"> משכך חלק מתחזוקת הכבישים אינה ברמה הנדרשת על פי מודל התחזוקה שלה וכתוצאה מכך, כביש 6 דרום אינו מתוחזק באותה רמה</w:t>
      </w:r>
      <w:r w:rsidRPr="00273DF4" w:rsidR="00A7073C">
        <w:rPr>
          <w:rFonts w:hint="cs"/>
          <w:rtl/>
        </w:rPr>
        <w:t xml:space="preserve"> הנדרשת</w:t>
      </w:r>
      <w:r w:rsidRPr="00273DF4" w:rsidR="00A7073C">
        <w:rPr>
          <w:rtl/>
        </w:rPr>
        <w:t xml:space="preserve"> של כביש 6 </w:t>
      </w:r>
      <w:r w:rsidRPr="00273DF4" w:rsidR="00A7073C">
        <w:rPr>
          <w:rFonts w:hint="cs"/>
          <w:rtl/>
        </w:rPr>
        <w:t xml:space="preserve">במקטע המרכזי </w:t>
      </w:r>
      <w:r w:rsidRPr="00273DF4" w:rsidR="00A7073C">
        <w:rPr>
          <w:rtl/>
        </w:rPr>
        <w:t>שבו משולמת אגרה</w:t>
      </w:r>
      <w:r w:rsidRPr="00AF3B73">
        <w:rPr>
          <w:rFonts w:hint="cs"/>
          <w:rtl/>
        </w:rPr>
        <w:t>.</w:t>
      </w:r>
    </w:p>
    <w:p w:rsidR="00EB672B" w:rsidP="00EB672B" w14:paraId="6EA213E6" w14:textId="11816BB5">
      <w:pPr>
        <w:pStyle w:val="7317"/>
        <w:rPr>
          <w:rtl/>
        </w:rPr>
      </w:pPr>
      <w:r w:rsidRPr="00A7073C">
        <w:rPr>
          <w:rStyle w:val="7391"/>
          <w:rFonts w:hint="cs"/>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sidR="00A7073C">
        <w:rPr>
          <w:rStyle w:val="7391"/>
          <w:rFonts w:hint="cs"/>
          <w:rtl/>
        </w:rPr>
        <w:t>כדאיות כלכלית להחלטה שהנתיב שייסלל בפרויקט ההרחבה יופעל כנתיב רב תפוסה (נר"ת) -</w:t>
      </w:r>
      <w:r w:rsidRPr="00273DF4" w:rsidR="00A7073C">
        <w:rPr>
          <w:rFonts w:hint="cs"/>
          <w:rtl/>
        </w:rPr>
        <w:t xml:space="preserve"> </w:t>
      </w:r>
      <w:r w:rsidRPr="00273DF4" w:rsidR="00A7073C">
        <w:rPr>
          <w:rtl/>
        </w:rPr>
        <w:t>פרויקט ההרחבה של כביש 6 כולל הוספה של נתיב רביעי בשני הכיוונים ממחלף קסם עד מחלף עירון; הוספה של נתיב שלישי בשני הכיוונים</w:t>
      </w:r>
      <w:r w:rsidRPr="00B008CC" w:rsidR="00A7073C">
        <w:rPr>
          <w:rtl/>
        </w:rPr>
        <w:t xml:space="preserve"> </w:t>
      </w:r>
      <w:r w:rsidRPr="00273DF4" w:rsidR="00A7073C">
        <w:rPr>
          <w:rtl/>
        </w:rPr>
        <w:t>ממחלף עירון עד מחלף עין תות; ושדרוג מחלף בית נחמיה.</w:t>
      </w:r>
      <w:r w:rsidRPr="00273DF4" w:rsidR="00A7073C">
        <w:rPr>
          <w:rFonts w:hint="cs"/>
          <w:rtl/>
        </w:rPr>
        <w:t xml:space="preserve"> ל</w:t>
      </w:r>
      <w:r w:rsidRPr="00273DF4" w:rsidR="00A7073C">
        <w:rPr>
          <w:rtl/>
        </w:rPr>
        <w:t>החלטת ועדת המכרזים</w:t>
      </w:r>
      <w:r w:rsidRPr="00273DF4" w:rsidR="00A7073C">
        <w:rPr>
          <w:rFonts w:hint="cs"/>
          <w:rtl/>
        </w:rPr>
        <w:t xml:space="preserve"> הבין משרדית ממרץ </w:t>
      </w:r>
      <w:r w:rsidRPr="00273DF4" w:rsidR="00A7073C">
        <w:rPr>
          <w:rFonts w:hint="eastAsia"/>
          <w:rtl/>
        </w:rPr>
        <w:t>שנת</w:t>
      </w:r>
      <w:r w:rsidRPr="00273DF4" w:rsidR="00A7073C">
        <w:rPr>
          <w:rFonts w:hint="cs"/>
          <w:rtl/>
        </w:rPr>
        <w:t xml:space="preserve"> 2021</w:t>
      </w:r>
      <w:r w:rsidRPr="00273DF4" w:rsidR="00A7073C">
        <w:rPr>
          <w:rtl/>
        </w:rPr>
        <w:t xml:space="preserve"> שהנתיב יהיה </w:t>
      </w:r>
      <w:r w:rsidRPr="00273DF4" w:rsidR="00A7073C">
        <w:rPr>
          <w:rtl/>
        </w:rPr>
        <w:t>נר"ת</w:t>
      </w:r>
      <w:r w:rsidRPr="00273DF4" w:rsidR="00A7073C">
        <w:rPr>
          <w:rtl/>
        </w:rPr>
        <w:t xml:space="preserve"> מיום פתיחתו אין כדאיות כלכלית, </w:t>
      </w:r>
      <w:r w:rsidRPr="00273DF4" w:rsidR="00A7073C">
        <w:rPr>
          <w:rFonts w:hint="eastAsia"/>
          <w:rtl/>
        </w:rPr>
        <w:t>בהתבסס</w:t>
      </w:r>
      <w:r w:rsidRPr="00273DF4" w:rsidR="00A7073C">
        <w:rPr>
          <w:rtl/>
        </w:rPr>
        <w:t xml:space="preserve"> </w:t>
      </w:r>
      <w:r w:rsidRPr="00273DF4" w:rsidR="00A7073C">
        <w:rPr>
          <w:rFonts w:hint="eastAsia"/>
          <w:rtl/>
        </w:rPr>
        <w:t>על</w:t>
      </w:r>
      <w:r w:rsidRPr="00273DF4" w:rsidR="00A7073C">
        <w:rPr>
          <w:rtl/>
        </w:rPr>
        <w:t xml:space="preserve"> נתוני יועץ התנועה</w:t>
      </w:r>
      <w:r w:rsidRPr="00273DF4" w:rsidR="00A7073C">
        <w:rPr>
          <w:rFonts w:hint="cs"/>
          <w:rtl/>
        </w:rPr>
        <w:t>,</w:t>
      </w:r>
      <w:r w:rsidRPr="00273DF4" w:rsidR="00A7073C">
        <w:rPr>
          <w:rtl/>
        </w:rPr>
        <w:t xml:space="preserve"> התועלת המשקית בשנת 2030 ללא </w:t>
      </w:r>
      <w:r w:rsidRPr="00273DF4" w:rsidR="00A7073C">
        <w:rPr>
          <w:rtl/>
        </w:rPr>
        <w:t>נר"ת</w:t>
      </w:r>
      <w:r w:rsidRPr="00273DF4" w:rsidR="00A7073C">
        <w:rPr>
          <w:rtl/>
        </w:rPr>
        <w:t xml:space="preserve"> היא </w:t>
      </w:r>
      <w:r w:rsidRPr="00273DF4" w:rsidR="00A7073C">
        <w:rPr>
          <w:rFonts w:hint="cs"/>
          <w:rtl/>
        </w:rPr>
        <w:t>390</w:t>
      </w:r>
      <w:r w:rsidRPr="00273DF4" w:rsidR="00A7073C">
        <w:rPr>
          <w:rtl/>
        </w:rPr>
        <w:t xml:space="preserve"> מיליון ש"ח לעומת </w:t>
      </w:r>
      <w:r w:rsidRPr="00273DF4" w:rsidR="00A7073C">
        <w:rPr>
          <w:rFonts w:hint="cs"/>
          <w:rtl/>
        </w:rPr>
        <w:t>260</w:t>
      </w:r>
      <w:r w:rsidRPr="00273DF4" w:rsidR="00A7073C">
        <w:rPr>
          <w:rtl/>
        </w:rPr>
        <w:t xml:space="preserve"> מיליון ש"ח עם </w:t>
      </w:r>
      <w:r w:rsidRPr="00273DF4" w:rsidR="00A7073C">
        <w:rPr>
          <w:rtl/>
        </w:rPr>
        <w:t>נר"ת</w:t>
      </w:r>
      <w:r w:rsidRPr="00273DF4" w:rsidR="00A7073C">
        <w:rPr>
          <w:rtl/>
        </w:rPr>
        <w:t xml:space="preserve"> (פער של </w:t>
      </w:r>
      <w:r w:rsidRPr="00273DF4" w:rsidR="00A7073C">
        <w:rPr>
          <w:rFonts w:hint="cs"/>
          <w:rtl/>
        </w:rPr>
        <w:t>130</w:t>
      </w:r>
      <w:r w:rsidRPr="00273DF4" w:rsidR="00A7073C">
        <w:rPr>
          <w:rtl/>
        </w:rPr>
        <w:t xml:space="preserve"> מיליון ש"ח) </w:t>
      </w:r>
      <w:r w:rsidRPr="00273DF4" w:rsidR="00A7073C">
        <w:rPr>
          <w:rFonts w:hint="cs"/>
          <w:rtl/>
        </w:rPr>
        <w:t>ו</w:t>
      </w:r>
      <w:r w:rsidRPr="00273DF4" w:rsidR="00A7073C">
        <w:rPr>
          <w:rtl/>
        </w:rPr>
        <w:t xml:space="preserve">שהכדאיות להפעלת הנתיב </w:t>
      </w:r>
      <w:r w:rsidRPr="00273DF4" w:rsidR="00A7073C">
        <w:rPr>
          <w:rtl/>
        </w:rPr>
        <w:t>כנר"ת</w:t>
      </w:r>
      <w:r w:rsidRPr="00273DF4" w:rsidR="00A7073C">
        <w:rPr>
          <w:rtl/>
        </w:rPr>
        <w:t xml:space="preserve"> היא </w:t>
      </w:r>
      <w:r w:rsidRPr="00273DF4" w:rsidR="00A7073C">
        <w:rPr>
          <w:rFonts w:hint="eastAsia"/>
          <w:rtl/>
        </w:rPr>
        <w:t>רק</w:t>
      </w:r>
      <w:r w:rsidRPr="00273DF4" w:rsidR="00A7073C">
        <w:rPr>
          <w:rFonts w:hint="cs"/>
          <w:rtl/>
        </w:rPr>
        <w:t xml:space="preserve"> </w:t>
      </w:r>
      <w:r w:rsidRPr="00273DF4" w:rsidR="00A7073C">
        <w:rPr>
          <w:rtl/>
        </w:rPr>
        <w:t xml:space="preserve">החל משנת 2040. נמצא כי יש סיכון טכנולוגי הנובע מהוספת </w:t>
      </w:r>
      <w:r w:rsidRPr="00273DF4" w:rsidR="00A7073C">
        <w:rPr>
          <w:rtl/>
        </w:rPr>
        <w:t>נר"ת</w:t>
      </w:r>
      <w:r w:rsidRPr="00273DF4" w:rsidR="00A7073C">
        <w:rPr>
          <w:rtl/>
        </w:rPr>
        <w:t xml:space="preserve">, מאחר ובמועד הדיון בוועדת המכרזים טרם פותחה מערכת טכנולוגית שתדע להבחין בין משתמשי </w:t>
      </w:r>
      <w:r w:rsidRPr="00273DF4" w:rsidR="00A7073C">
        <w:rPr>
          <w:rtl/>
        </w:rPr>
        <w:t>הנר"ת</w:t>
      </w:r>
      <w:r w:rsidRPr="00273DF4" w:rsidR="00A7073C">
        <w:rPr>
          <w:rtl/>
        </w:rPr>
        <w:t xml:space="preserve"> של כביש 6 הזכאים לפטור מאגרה למשתמשים המחויבים באגרה</w:t>
      </w:r>
      <w:r w:rsidRPr="00273DF4" w:rsidR="00A7073C">
        <w:rPr>
          <w:rFonts w:hint="cs"/>
          <w:rtl/>
        </w:rPr>
        <w:t>.</w:t>
      </w:r>
      <w:r w:rsidRPr="00273DF4" w:rsidR="00A7073C">
        <w:rPr>
          <w:rtl/>
        </w:rPr>
        <w:t xml:space="preserve"> </w:t>
      </w:r>
      <w:r w:rsidRPr="00273DF4" w:rsidR="00A7073C">
        <w:rPr>
          <w:rFonts w:hint="eastAsia"/>
          <w:rtl/>
        </w:rPr>
        <w:t>עוד</w:t>
      </w:r>
      <w:r w:rsidRPr="00273DF4" w:rsidR="00A7073C">
        <w:rPr>
          <w:rFonts w:hint="cs"/>
          <w:rtl/>
        </w:rPr>
        <w:t xml:space="preserve"> </w:t>
      </w:r>
      <w:r w:rsidRPr="00273DF4" w:rsidR="00A7073C">
        <w:rPr>
          <w:rtl/>
        </w:rPr>
        <w:t xml:space="preserve">עלה מהדיון האמור, שבמקרה ומערכת ספירת הנוסעים של </w:t>
      </w:r>
      <w:r w:rsidRPr="00273DF4" w:rsidR="00A7073C">
        <w:rPr>
          <w:rtl/>
        </w:rPr>
        <w:t>הנר"ת</w:t>
      </w:r>
      <w:r w:rsidRPr="00273DF4" w:rsidR="00A7073C">
        <w:rPr>
          <w:rtl/>
        </w:rPr>
        <w:t xml:space="preserve"> תיכשל ולא תעמוד ביעדיה, לא ברור כיצד יופעל הנתיב החדש ואם יהפוך מידית לנתיב רגיל, דבר שיגדיל את הכנסות הזכיין ואמור להשפיע על תקופת הארכת הזיכיון. השארת נושא מערכת ספירת הנוסעים של </w:t>
      </w:r>
      <w:r w:rsidRPr="00273DF4" w:rsidR="00A7073C">
        <w:rPr>
          <w:rtl/>
        </w:rPr>
        <w:t>הנר"ת</w:t>
      </w:r>
      <w:r w:rsidRPr="00273DF4" w:rsidR="00A7073C">
        <w:rPr>
          <w:rtl/>
        </w:rPr>
        <w:t xml:space="preserve"> ללא פתרון מול הזכיין פותחת פתח לחילוקי דעות עם הזכיין אשר עלול ליצור עיכובים בהתקדמות הפרויקט ולפגוע בשירות לציבור ובתועלות של המדינה מהפרויקט</w:t>
      </w:r>
      <w:r w:rsidRPr="00AF3B73">
        <w:rPr>
          <w:rFonts w:hint="cs"/>
          <w:rtl/>
        </w:rPr>
        <w:t xml:space="preserve">. </w:t>
      </w:r>
    </w:p>
    <w:p w:rsidR="00A7073C" w:rsidP="00A7073C" w14:paraId="00AB020D" w14:textId="187C5917">
      <w:pPr>
        <w:pStyle w:val="7317"/>
        <w:rPr>
          <w:rtl/>
        </w:rPr>
      </w:pPr>
      <w:r w:rsidRPr="00A7073C">
        <w:rPr>
          <w:rStyle w:val="7391"/>
          <w:rFonts w:hint="cs"/>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92945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45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Fonts w:hint="eastAsia"/>
          <w:rtl/>
        </w:rPr>
        <w:t>בחינת</w:t>
      </w:r>
      <w:r w:rsidRPr="00A7073C">
        <w:rPr>
          <w:rStyle w:val="7391"/>
          <w:rFonts w:hint="cs"/>
          <w:rtl/>
        </w:rPr>
        <w:t xml:space="preserve"> </w:t>
      </w:r>
      <w:r w:rsidRPr="00A7073C">
        <w:rPr>
          <w:rStyle w:val="7391"/>
          <w:rtl/>
        </w:rPr>
        <w:t xml:space="preserve">אופן הפעלת כביש 6 עם סיום תקופת הזיכיון </w:t>
      </w:r>
      <w:r w:rsidRPr="00A7073C">
        <w:rPr>
          <w:rStyle w:val="7391"/>
          <w:rFonts w:hint="cs"/>
          <w:rtl/>
        </w:rPr>
        <w:t>-</w:t>
      </w:r>
      <w:r w:rsidRPr="00273DF4">
        <w:rPr>
          <w:rFonts w:hint="cs"/>
          <w:rtl/>
        </w:rPr>
        <w:t xml:space="preserve"> </w:t>
      </w:r>
      <w:r w:rsidRPr="00273DF4">
        <w:rPr>
          <w:rtl/>
        </w:rPr>
        <w:t>תאריך סיום הזיכיון של חברת דרך ארץ צפוי להתארך ב-3 שנים נוספות עד שנת 2032 בשל פרויקט הרחבת הכביש. נמצא כי על אף דברי נציג אגף התקציבים דאז בוועדת המכרזים במרץ 2021, שבתום תקופת הזיכיון בשנת 2032 תופסק גביית האגרה</w:t>
      </w:r>
      <w:r w:rsidRPr="00273DF4">
        <w:rPr>
          <w:rFonts w:hint="cs"/>
          <w:rtl/>
        </w:rPr>
        <w:t>,</w:t>
      </w:r>
      <w:r w:rsidRPr="00273DF4">
        <w:rPr>
          <w:rtl/>
        </w:rPr>
        <w:t xml:space="preserve"> נכון למועד </w:t>
      </w:r>
      <w:r w:rsidRPr="00273DF4">
        <w:rPr>
          <w:rFonts w:hint="cs"/>
          <w:rtl/>
        </w:rPr>
        <w:t>תחילת</w:t>
      </w:r>
      <w:r w:rsidRPr="00273DF4">
        <w:rPr>
          <w:rtl/>
        </w:rPr>
        <w:t xml:space="preserve"> הביקורת, </w:t>
      </w:r>
      <w:r w:rsidRPr="00273DF4">
        <w:rPr>
          <w:rFonts w:hint="cs"/>
          <w:rtl/>
        </w:rPr>
        <w:t>אוגוסט 2023</w:t>
      </w:r>
      <w:r w:rsidRPr="00273DF4">
        <w:rPr>
          <w:rtl/>
        </w:rPr>
        <w:t xml:space="preserve">, </w:t>
      </w:r>
      <w:r w:rsidRPr="00273DF4">
        <w:rPr>
          <w:rFonts w:hint="cs"/>
          <w:rtl/>
        </w:rPr>
        <w:t>לא</w:t>
      </w:r>
      <w:r w:rsidRPr="00273DF4">
        <w:rPr>
          <w:rtl/>
        </w:rPr>
        <w:t xml:space="preserve"> התקיימו דיונים בחברת חוצה ישראל, במשרד התחבורה ובמשרד האוצר על אופן הפעלת כביש 6 עם סיום תקופת הזיכיון. </w:t>
      </w:r>
      <w:r w:rsidRPr="00273DF4">
        <w:rPr>
          <w:rFonts w:hint="cs"/>
          <w:rtl/>
        </w:rPr>
        <w:t>רק לאחר תחילת הביקורת</w:t>
      </w:r>
      <w:r w:rsidRPr="00273DF4">
        <w:rPr>
          <w:rtl/>
        </w:rPr>
        <w:t>,</w:t>
      </w:r>
      <w:r w:rsidRPr="00273DF4">
        <w:rPr>
          <w:rFonts w:hint="cs"/>
          <w:rtl/>
        </w:rPr>
        <w:t xml:space="preserve"> חוצה ישראל ומשרד התחבורה החלו לבחון </w:t>
      </w:r>
      <w:r w:rsidRPr="00273DF4">
        <w:rPr>
          <w:rtl/>
        </w:rPr>
        <w:t>4 חלופות להפעלת הכביש</w:t>
      </w:r>
      <w:r w:rsidRPr="00273DF4">
        <w:rPr>
          <w:rFonts w:hint="cs"/>
          <w:rtl/>
        </w:rPr>
        <w:t xml:space="preserve"> עם סיום תקופת הזיכיון</w:t>
      </w:r>
      <w:r w:rsidRPr="00273DF4">
        <w:rPr>
          <w:rtl/>
        </w:rPr>
        <w:t xml:space="preserve">: תפעול ותחזוקה על ידי המדינה - ללא אגרה; תחזוקת הכביש על ידי זכיין תמורת תשלום תקופתי - ללא אגרה; תפעול ותחזוקת הכביש על ידי זכיין וגביית אגרה דיפרנציאלית לצורך ויסות </w:t>
      </w:r>
      <w:r w:rsidRPr="00273DF4">
        <w:rPr>
          <w:rtl/>
        </w:rPr>
        <w:t>התנועה; תפעול ותחזוקת הכביש על ידי זכיין וגביית אגרה לצורך פיתוח פרויקטים לשיפור רווחת המשתמשים</w:t>
      </w:r>
      <w:r w:rsidRPr="00AF3B73">
        <w:rPr>
          <w:rFonts w:hint="cs"/>
          <w:rtl/>
        </w:rPr>
        <w:t xml:space="preserve">. </w:t>
      </w:r>
    </w:p>
    <w:p w:rsidR="00A7073C" w:rsidP="00A7073C" w14:paraId="21D0C73A" w14:textId="782D89A3">
      <w:pPr>
        <w:pStyle w:val="7317"/>
        <w:rPr>
          <w:rtl/>
        </w:rPr>
      </w:pPr>
      <w:r w:rsidRPr="00A7073C">
        <w:rPr>
          <w:rStyle w:val="7391"/>
          <w:rFonts w:hint="cs"/>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5807761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7761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Fonts w:hint="eastAsia"/>
          <w:rtl/>
        </w:rPr>
        <w:t>התעריף</w:t>
      </w:r>
      <w:r w:rsidRPr="00A7073C">
        <w:rPr>
          <w:rStyle w:val="7391"/>
          <w:rtl/>
        </w:rPr>
        <w:t xml:space="preserve"> </w:t>
      </w:r>
      <w:r w:rsidRPr="00A7073C">
        <w:rPr>
          <w:rStyle w:val="7391"/>
          <w:rFonts w:hint="eastAsia"/>
          <w:rtl/>
        </w:rPr>
        <w:t>הבסיסי</w:t>
      </w:r>
      <w:r w:rsidRPr="00A7073C">
        <w:rPr>
          <w:rStyle w:val="7391"/>
          <w:rtl/>
        </w:rPr>
        <w:t xml:space="preserve"> </w:t>
      </w:r>
      <w:r w:rsidRPr="00A7073C">
        <w:rPr>
          <w:rStyle w:val="7391"/>
          <w:rFonts w:hint="eastAsia"/>
          <w:rtl/>
        </w:rPr>
        <w:t>לנסיעה</w:t>
      </w:r>
      <w:r w:rsidRPr="00A7073C">
        <w:rPr>
          <w:rStyle w:val="7391"/>
          <w:rtl/>
        </w:rPr>
        <w:t xml:space="preserve"> </w:t>
      </w:r>
      <w:r w:rsidRPr="00A7073C">
        <w:rPr>
          <w:rStyle w:val="7391"/>
          <w:rFonts w:hint="eastAsia"/>
          <w:rtl/>
        </w:rPr>
        <w:t>במנהרות</w:t>
      </w:r>
      <w:r w:rsidRPr="00A7073C">
        <w:rPr>
          <w:rStyle w:val="7391"/>
          <w:rtl/>
        </w:rPr>
        <w:t xml:space="preserve"> </w:t>
      </w:r>
      <w:r w:rsidRPr="00A7073C">
        <w:rPr>
          <w:rStyle w:val="7391"/>
          <w:rFonts w:hint="eastAsia"/>
          <w:rtl/>
        </w:rPr>
        <w:t>הכרמל</w:t>
      </w:r>
      <w:r w:rsidRPr="00A7073C">
        <w:rPr>
          <w:rStyle w:val="7391"/>
          <w:rFonts w:hint="cs"/>
          <w:rtl/>
        </w:rPr>
        <w:t xml:space="preserve"> -</w:t>
      </w:r>
      <w:r w:rsidRPr="00273DF4">
        <w:rPr>
          <w:rFonts w:hint="cs"/>
          <w:rtl/>
        </w:rPr>
        <w:t xml:space="preserve"> התעריף </w:t>
      </w:r>
      <w:r w:rsidRPr="00273DF4">
        <w:rPr>
          <w:rtl/>
        </w:rPr>
        <w:t>הבסיסי של מנהרות הכרמל התייקר</w:t>
      </w:r>
      <w:r w:rsidRPr="00273DF4">
        <w:rPr>
          <w:rFonts w:hint="cs"/>
          <w:rtl/>
        </w:rPr>
        <w:t xml:space="preserve"> </w:t>
      </w:r>
      <w:r w:rsidRPr="00273DF4">
        <w:rPr>
          <w:rtl/>
        </w:rPr>
        <w:t xml:space="preserve">באופן ריאלי מאז פתיחת מנהרות הכרמל לתנועה, בדצמבר 2010: לרכב פרטי בסכום של </w:t>
      </w:r>
      <w:r w:rsidRPr="00273DF4">
        <w:rPr>
          <w:rFonts w:hint="cs"/>
          <w:rtl/>
        </w:rPr>
        <w:t>4.39</w:t>
      </w:r>
      <w:r w:rsidRPr="00273DF4">
        <w:rPr>
          <w:rtl/>
        </w:rPr>
        <w:t xml:space="preserve"> ש"ח; לרכב ציבורי בסכום של </w:t>
      </w:r>
      <w:r w:rsidRPr="00273DF4">
        <w:rPr>
          <w:rFonts w:hint="cs"/>
          <w:rtl/>
        </w:rPr>
        <w:t>13.29</w:t>
      </w:r>
      <w:r w:rsidRPr="00273DF4">
        <w:rPr>
          <w:rtl/>
        </w:rPr>
        <w:t xml:space="preserve"> ש"ח; ולמשאית בסכום של </w:t>
      </w:r>
      <w:r w:rsidRPr="00273DF4">
        <w:rPr>
          <w:rFonts w:hint="cs"/>
          <w:rtl/>
        </w:rPr>
        <w:t>21.95</w:t>
      </w:r>
      <w:r w:rsidRPr="00273DF4">
        <w:rPr>
          <w:rtl/>
        </w:rPr>
        <w:t xml:space="preserve"> ש"ח (גידול ריאלי של </w:t>
      </w:r>
      <w:r w:rsidRPr="00273DF4">
        <w:rPr>
          <w:rFonts w:hint="cs"/>
          <w:rtl/>
        </w:rPr>
        <w:t>65.3</w:t>
      </w:r>
      <w:r w:rsidRPr="00273DF4">
        <w:rPr>
          <w:rtl/>
        </w:rPr>
        <w:t xml:space="preserve">%, </w:t>
      </w:r>
      <w:r w:rsidRPr="00273DF4">
        <w:rPr>
          <w:rFonts w:hint="cs"/>
          <w:rtl/>
        </w:rPr>
        <w:t>66.3</w:t>
      </w:r>
      <w:r w:rsidRPr="00273DF4">
        <w:rPr>
          <w:rtl/>
        </w:rPr>
        <w:t>% ו-</w:t>
      </w:r>
      <w:r w:rsidRPr="00273DF4">
        <w:rPr>
          <w:rFonts w:hint="cs"/>
          <w:rtl/>
        </w:rPr>
        <w:t>65.3</w:t>
      </w:r>
      <w:r w:rsidRPr="00273DF4">
        <w:rPr>
          <w:rtl/>
        </w:rPr>
        <w:t xml:space="preserve">% בהתאמה). זאת על אף הפחתת התעריף ומימוש ההנחה שנקבעה בתוספת להסכם הזיכיון מדצמבר 2017 ושמומנה על ידי המדינה במאות מיליוני ש"ח. </w:t>
      </w:r>
      <w:r w:rsidRPr="00273DF4">
        <w:rPr>
          <w:rFonts w:hint="cs"/>
          <w:rtl/>
        </w:rPr>
        <w:t>התייקרות ריאלית זו נובעת מכך ש</w:t>
      </w:r>
      <w:r w:rsidRPr="00273DF4">
        <w:rPr>
          <w:rtl/>
        </w:rPr>
        <w:t>בנוסף להצמדה למדד</w:t>
      </w:r>
      <w:r w:rsidRPr="00273DF4">
        <w:rPr>
          <w:rFonts w:hint="cs"/>
          <w:rtl/>
        </w:rPr>
        <w:t>,</w:t>
      </w:r>
      <w:r w:rsidRPr="00273DF4">
        <w:rPr>
          <w:rtl/>
        </w:rPr>
        <w:t xml:space="preserve"> התעדכן התעריף 3 פעמים בשמונה השנים הראשונות להפעלת המנהרות ממחיר בסיס של 5 ש"ח למחיר של 8 ש"ח</w:t>
      </w:r>
      <w:r w:rsidRPr="00273DF4">
        <w:rPr>
          <w:rFonts w:hint="cs"/>
          <w:rtl/>
        </w:rPr>
        <w:t xml:space="preserve"> (גידול של 60%), וביחד עם ההצמדה למדד היה שיעור ההתייקרות גבוה בכ-65% משיעור הפחתת התעריף ומימוש ההנחה שניתנו בתוספת להסכם הזיכיון מדצמבר 2017. </w:t>
      </w:r>
      <w:r w:rsidRPr="00273DF4">
        <w:rPr>
          <w:rtl/>
        </w:rPr>
        <w:t xml:space="preserve">מנתוני חברת חוצה ישראל עולה </w:t>
      </w:r>
      <w:r w:rsidRPr="00273DF4">
        <w:rPr>
          <w:rFonts w:hint="cs"/>
          <w:rtl/>
        </w:rPr>
        <w:t xml:space="preserve">שיותר מ-95% </w:t>
      </w:r>
      <w:r w:rsidRPr="00273DF4">
        <w:rPr>
          <w:rtl/>
        </w:rPr>
        <w:t>ממשתמשי המנהרות נוסעים</w:t>
      </w:r>
      <w:r w:rsidRPr="00273DF4">
        <w:rPr>
          <w:rFonts w:hint="cs"/>
          <w:rtl/>
        </w:rPr>
        <w:t xml:space="preserve"> ברכב פרטי וכ-11% הם נוסעים מזדמנים.</w:t>
      </w:r>
      <w:r w:rsidRPr="00273DF4">
        <w:rPr>
          <w:rtl/>
        </w:rPr>
        <w:t xml:space="preserve"> נוסעים </w:t>
      </w:r>
      <w:r w:rsidRPr="00273DF4">
        <w:rPr>
          <w:rFonts w:hint="cs"/>
          <w:rtl/>
        </w:rPr>
        <w:t xml:space="preserve">המשתמשים במנהרות </w:t>
      </w:r>
      <w:r w:rsidRPr="00273DF4">
        <w:rPr>
          <w:rtl/>
        </w:rPr>
        <w:t xml:space="preserve">הלוך ושוב ומשלמים לשני קטעים </w:t>
      </w:r>
      <w:r w:rsidRPr="00273DF4">
        <w:rPr>
          <w:rFonts w:hint="cs"/>
          <w:rtl/>
        </w:rPr>
        <w:t>40.60</w:t>
      </w:r>
      <w:r w:rsidRPr="00273DF4">
        <w:rPr>
          <w:rtl/>
        </w:rPr>
        <w:t xml:space="preserve"> ש״ח ליום ו-</w:t>
      </w:r>
      <w:r w:rsidRPr="00273DF4">
        <w:rPr>
          <w:rFonts w:hint="cs"/>
          <w:rtl/>
        </w:rPr>
        <w:t>893.32</w:t>
      </w:r>
      <w:r w:rsidRPr="00273DF4">
        <w:rPr>
          <w:rtl/>
        </w:rPr>
        <w:t xml:space="preserve"> ש"ח בחודש (22 ימים</w:t>
      </w:r>
      <w:r w:rsidRPr="00273DF4">
        <w:rPr>
          <w:rFonts w:hint="cs"/>
          <w:rtl/>
        </w:rPr>
        <w:t xml:space="preserve"> לפי תעריף למנוי</w:t>
      </w:r>
      <w:r w:rsidRPr="00273DF4">
        <w:rPr>
          <w:rtl/>
        </w:rPr>
        <w:t>).</w:t>
      </w:r>
      <w:r w:rsidRPr="00273DF4">
        <w:rPr>
          <w:rFonts w:hint="cs"/>
          <w:rtl/>
        </w:rPr>
        <w:t xml:space="preserve"> זוהי הוצאה משמעותית</w:t>
      </w:r>
      <w:r w:rsidRPr="00273DF4">
        <w:rPr>
          <w:rtl/>
        </w:rPr>
        <w:t xml:space="preserve"> שעלול</w:t>
      </w:r>
      <w:r w:rsidRPr="00273DF4">
        <w:rPr>
          <w:rFonts w:hint="cs"/>
          <w:rtl/>
        </w:rPr>
        <w:t>ה</w:t>
      </w:r>
      <w:r w:rsidRPr="00273DF4">
        <w:rPr>
          <w:rtl/>
        </w:rPr>
        <w:t xml:space="preserve"> למנוע ממשתמשים פוטנציאלים לנסוע במנהרות. מנתוני חוצה ישראל עולה ששיעור ניצול הקיבולת בשעות השיא נע בין 70% ל-77%. נמצא כי על אף ההנחות יש במנהרות הכרמל עודף קיבולת לא מנוצל, שנע בשעות העומס בין 23% ל-30%, וייתכן שהדבר נובע מהגידול הריאלי של תעריפי הנסיעה. בעבודת יועץ תנועה מספטמבר 2015 עבור חוצה ישראל, הומלץ על שינוי מבנה האגרה באופן שיווסת את התנועה במנהרות בין שעות השיא לשפל, יאפשר ניצול טוב יותר של המנהרות, ייתן יתרון למשתמשים קבועים, ויגדיל ב-30% נסיעות של משתמשים בתדירות בינונית. מעבודה של יועץ תנועה עבור חוצה ישראל, מינואר 2023, עולה שהאגרה עדיין מהווה חסם עיקרי לשימוש גובר במנהרות, וכי אגרה של 3.2 ש"ח לק"מ למנויים נתפסת כיקרה גם בהשוואה לכבישי אגרה אחרים בארץ</w:t>
      </w:r>
      <w:r w:rsidRPr="00273DF4">
        <w:rPr>
          <w:rFonts w:hint="cs"/>
          <w:rtl/>
        </w:rPr>
        <w:t xml:space="preserve"> </w:t>
      </w:r>
      <w:r w:rsidRPr="00273DF4">
        <w:rPr>
          <w:rtl/>
        </w:rPr>
        <w:t xml:space="preserve">- </w:t>
      </w:r>
      <w:r>
        <w:rPr>
          <w:rFonts w:hint="cs"/>
          <w:rtl/>
        </w:rPr>
        <w:t xml:space="preserve"> </w:t>
      </w:r>
      <w:r w:rsidRPr="00273DF4">
        <w:rPr>
          <w:rFonts w:hint="cs"/>
          <w:rtl/>
        </w:rPr>
        <w:t>0.4 - 1.2</w:t>
      </w:r>
      <w:r w:rsidRPr="00273DF4">
        <w:rPr>
          <w:rtl/>
        </w:rPr>
        <w:t xml:space="preserve"> ש"ח לק"מ בחוצה צפון, 0.44 </w:t>
      </w:r>
      <w:r w:rsidRPr="00273DF4">
        <w:rPr>
          <w:rFonts w:hint="cs"/>
          <w:rtl/>
        </w:rPr>
        <w:t xml:space="preserve">ש"ח לק"מ </w:t>
      </w:r>
      <w:r w:rsidRPr="00273DF4">
        <w:rPr>
          <w:rtl/>
        </w:rPr>
        <w:t xml:space="preserve">בקטע 18 של כביש 6 ועד 0.7 ש"ח </w:t>
      </w:r>
      <w:r w:rsidRPr="00273DF4">
        <w:rPr>
          <w:rFonts w:hint="cs"/>
          <w:rtl/>
        </w:rPr>
        <w:t xml:space="preserve">לק"מ </w:t>
      </w:r>
      <w:r w:rsidRPr="00273DF4">
        <w:rPr>
          <w:rtl/>
        </w:rPr>
        <w:t>בכביש</w:t>
      </w:r>
      <w:r>
        <w:rPr>
          <w:rFonts w:hint="cs"/>
          <w:rtl/>
        </w:rPr>
        <w:t xml:space="preserve"> </w:t>
      </w:r>
      <w:r w:rsidRPr="00273DF4">
        <w:rPr>
          <w:rtl/>
        </w:rPr>
        <w:t>6</w:t>
      </w:r>
      <w:r w:rsidRPr="00AF3B73">
        <w:rPr>
          <w:rFonts w:hint="cs"/>
          <w:rtl/>
        </w:rPr>
        <w:t xml:space="preserve">. </w:t>
      </w:r>
    </w:p>
    <w:p w:rsidR="00A7073C" w:rsidRPr="00273DF4" w:rsidP="00A7073C" w14:paraId="1149B0C5" w14:textId="5F9889E2">
      <w:pPr>
        <w:pStyle w:val="7317"/>
      </w:pPr>
      <w:r w:rsidRPr="00A7073C">
        <w:rPr>
          <w:rStyle w:val="7391"/>
          <w:rFonts w:hint="cs"/>
          <w:bCs w:val="0"/>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1562738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2738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Fonts w:hint="eastAsia"/>
          <w:rtl/>
        </w:rPr>
        <w:t>בחינת</w:t>
      </w:r>
      <w:r w:rsidRPr="00A7073C">
        <w:rPr>
          <w:rStyle w:val="7391"/>
          <w:rFonts w:hint="cs"/>
          <w:rtl/>
        </w:rPr>
        <w:t xml:space="preserve"> נחיצותם של קווי שאטל נוספים במוקדי תעסוקה במטרופולין תל אביב -</w:t>
      </w:r>
      <w:r w:rsidRPr="00273DF4">
        <w:rPr>
          <w:rFonts w:hint="cs"/>
          <w:rtl/>
        </w:rPr>
        <w:t xml:space="preserve"> </w:t>
      </w:r>
      <w:r w:rsidRPr="00273DF4">
        <w:rPr>
          <w:rtl/>
        </w:rPr>
        <w:t xml:space="preserve">נמצא שיעד </w:t>
      </w:r>
      <w:r w:rsidRPr="00273DF4">
        <w:rPr>
          <w:rtl/>
        </w:rPr>
        <w:t>השאטל</w:t>
      </w:r>
      <w:r w:rsidRPr="00273DF4">
        <w:rPr>
          <w:rtl/>
        </w:rPr>
        <w:t xml:space="preserve"> הנוסף </w:t>
      </w:r>
      <w:r w:rsidRPr="00273DF4">
        <w:rPr>
          <w:rFonts w:hint="cs"/>
          <w:rtl/>
        </w:rPr>
        <w:t xml:space="preserve">מחניון הנתיב המהיר </w:t>
      </w:r>
      <w:r w:rsidRPr="00273DF4">
        <w:rPr>
          <w:rtl/>
        </w:rPr>
        <w:t>לאזור רוטשילד בתל אביב נקבע על ידי חברת חוצה ישראל על סמך סקר שביצעה בפברואר 2018 באמצעות יועץ סקרים ותנועה</w:t>
      </w:r>
      <w:r w:rsidRPr="00273DF4">
        <w:rPr>
          <w:rFonts w:hint="cs"/>
          <w:rtl/>
        </w:rPr>
        <w:t xml:space="preserve">, ועד אפריל 2024 </w:t>
      </w:r>
      <w:bookmarkStart w:id="2" w:name="_Hlk175481537"/>
      <w:r w:rsidRPr="00273DF4">
        <w:rPr>
          <w:rFonts w:hint="cs"/>
          <w:rtl/>
        </w:rPr>
        <w:t>לא בוצעו סקרים סדורים נוספים</w:t>
      </w:r>
      <w:bookmarkEnd w:id="2"/>
      <w:r w:rsidRPr="00273DF4">
        <w:rPr>
          <w:rtl/>
        </w:rPr>
        <w:t xml:space="preserve">. </w:t>
      </w:r>
      <w:r w:rsidRPr="00273DF4">
        <w:rPr>
          <w:rFonts w:hint="cs"/>
          <w:rtl/>
        </w:rPr>
        <w:t xml:space="preserve">כמו כן, </w:t>
      </w:r>
      <w:r w:rsidRPr="00273DF4">
        <w:rPr>
          <w:rtl/>
        </w:rPr>
        <w:t xml:space="preserve">חברת חוצה ישראל אינה מתמחה בעריכת סקרים ובקביעת מסלולים ויעדים של קווי אוטובוס </w:t>
      </w:r>
      <w:r w:rsidRPr="00273DF4">
        <w:rPr>
          <w:rtl/>
        </w:rPr>
        <w:t>ושאטלים</w:t>
      </w:r>
      <w:r w:rsidRPr="00273DF4">
        <w:rPr>
          <w:rtl/>
        </w:rPr>
        <w:t xml:space="preserve">, והבדיקה שנעשתה התמקדה רק </w:t>
      </w:r>
      <w:r w:rsidRPr="00273DF4">
        <w:rPr>
          <w:rtl/>
        </w:rPr>
        <w:t>בשאטל</w:t>
      </w:r>
      <w:r w:rsidRPr="00273DF4">
        <w:rPr>
          <w:rtl/>
        </w:rPr>
        <w:t xml:space="preserve"> רוטשילד ולא נבדקה נחיצות של קווי </w:t>
      </w:r>
      <w:r w:rsidRPr="00273DF4">
        <w:rPr>
          <w:rtl/>
        </w:rPr>
        <w:t>שאטלים</w:t>
      </w:r>
      <w:r w:rsidRPr="00273DF4">
        <w:rPr>
          <w:rtl/>
        </w:rPr>
        <w:t xml:space="preserve"> למוקדי תעסוקה נוספים במטרופולין תל אביב. עוד נמצא שבחוזה הזיכיון נקבע שעל הזכיין להוסיף קו </w:t>
      </w:r>
      <w:r w:rsidRPr="00273DF4">
        <w:rPr>
          <w:rtl/>
        </w:rPr>
        <w:t>שאטל</w:t>
      </w:r>
      <w:r w:rsidRPr="00273DF4">
        <w:rPr>
          <w:rtl/>
        </w:rPr>
        <w:t xml:space="preserve"> נוסף בלבד ולא הובאה בחשבון האפשרות שיהיה צורך להפעיל בעתיד קווים נוספים בהתחשב בהתפתחויות ובצרכים העתידיים, בגידול האוכלוסייה, בהפעלת הרכבת הקלה ועוד</w:t>
      </w:r>
      <w:r w:rsidRPr="00273DF4">
        <w:rPr>
          <w:rFonts w:hint="cs"/>
          <w:rtl/>
        </w:rPr>
        <w:t>, אלא בהוראת שינוי לחוזה הזיכיון הקיים המצריך ניהול משא ומתן עם הזכיין</w:t>
      </w:r>
      <w:r w:rsidRPr="00273DF4">
        <w:rPr>
          <w:rtl/>
        </w:rPr>
        <w:t>. נמצא עוד שנכון ליוני 2024 א</w:t>
      </w:r>
      <w:r w:rsidR="00B168D2">
        <w:rPr>
          <w:rFonts w:hint="cs"/>
          <w:rtl/>
        </w:rPr>
        <w:t>י</w:t>
      </w:r>
      <w:r w:rsidRPr="00273DF4">
        <w:rPr>
          <w:rtl/>
        </w:rPr>
        <w:t xml:space="preserve">ן בידי חברת חוצה ישראל מידע </w:t>
      </w:r>
      <w:r w:rsidRPr="00273DF4">
        <w:rPr>
          <w:rFonts w:hint="cs"/>
          <w:rtl/>
        </w:rPr>
        <w:t xml:space="preserve">שוטף </w:t>
      </w:r>
      <w:r w:rsidRPr="00273DF4">
        <w:rPr>
          <w:rtl/>
        </w:rPr>
        <w:t xml:space="preserve">על תפוסת </w:t>
      </w:r>
      <w:r w:rsidRPr="00273DF4">
        <w:rPr>
          <w:rtl/>
        </w:rPr>
        <w:t>השאטלים</w:t>
      </w:r>
      <w:r w:rsidRPr="00273DF4">
        <w:rPr>
          <w:rtl/>
        </w:rPr>
        <w:t>.</w:t>
      </w:r>
    </w:p>
    <w:p w:rsidR="00A7073C" w:rsidRPr="00273DF4" w:rsidP="00B168D2" w14:paraId="530F3F4C" w14:textId="79EE8986">
      <w:pPr>
        <w:pStyle w:val="7317"/>
      </w:pPr>
      <w:r w:rsidRPr="00A7073C">
        <w:rPr>
          <w:rStyle w:val="7391"/>
          <w:rFonts w:hint="cs"/>
          <w:bCs w:val="0"/>
          <w:rtl/>
        </w:rPr>
        <w:drawing>
          <wp:anchor distT="0" distB="0" distL="114300" distR="114300" simplePos="0" relativeHeight="251708416" behindDoc="1" locked="0" layoutInCell="1" allowOverlap="1">
            <wp:simplePos x="0" y="0"/>
            <wp:positionH relativeFrom="column">
              <wp:posOffset>4542155</wp:posOffset>
            </wp:positionH>
            <wp:positionV relativeFrom="paragraph">
              <wp:posOffset>38391</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9810406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406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Fonts w:hint="cs"/>
          <w:rtl/>
        </w:rPr>
        <w:t>רמת השירות לציבור מצד הזכיינים -</w:t>
      </w:r>
      <w:r w:rsidRPr="00273DF4">
        <w:rPr>
          <w:rFonts w:hint="cs"/>
          <w:rtl/>
        </w:rPr>
        <w:t xml:space="preserve"> חברת חוצה ישראל כרשות ממונה ביצעה סקרי לקוח סמוי במוקדי שירות הלקוחות של זכייני כביש 6 במקטע המרכזי, כביש 6 צפון ובמנהרות הכרמל. כמו כן ביצעה חוצה ישראל סקר נוסעים בקרב משתמשי </w:t>
      </w:r>
      <w:r w:rsidRPr="00273DF4">
        <w:rPr>
          <w:rFonts w:hint="cs"/>
          <w:rtl/>
        </w:rPr>
        <w:t>השאטלים</w:t>
      </w:r>
      <w:r w:rsidRPr="00273DF4">
        <w:rPr>
          <w:rFonts w:hint="cs"/>
          <w:rtl/>
        </w:rPr>
        <w:t xml:space="preserve"> בנתיב המהיר. להלן ממצאים שעלו בסקרים שנעשו על ידי חוצה ישראל:</w:t>
      </w:r>
    </w:p>
    <w:p w:rsidR="00A7073C" w:rsidRPr="00273DF4" w:rsidP="00A7073C" w14:paraId="0AFC1643" w14:textId="77777777">
      <w:pPr>
        <w:pStyle w:val="7317"/>
        <w:numPr>
          <w:ilvl w:val="0"/>
          <w:numId w:val="1432"/>
        </w:numPr>
      </w:pPr>
      <w:bookmarkStart w:id="3" w:name="_Hlk169784359"/>
      <w:r w:rsidRPr="00A7073C">
        <w:rPr>
          <w:rStyle w:val="7391"/>
          <w:rFonts w:hint="cs"/>
          <w:rtl/>
        </w:rPr>
        <w:t xml:space="preserve">השירות של מוקד הלקוחות של כביש 6 המקטע המרכזי </w:t>
      </w:r>
      <w:bookmarkEnd w:id="3"/>
      <w:r w:rsidRPr="00A7073C">
        <w:rPr>
          <w:rStyle w:val="7391"/>
          <w:rFonts w:hint="cs"/>
          <w:rtl/>
        </w:rPr>
        <w:t>-</w:t>
      </w:r>
      <w:r w:rsidRPr="00273DF4">
        <w:rPr>
          <w:rFonts w:hint="cs"/>
          <w:rtl/>
        </w:rPr>
        <w:t xml:space="preserve"> </w:t>
      </w:r>
      <w:r w:rsidRPr="00273DF4">
        <w:rPr>
          <w:rtl/>
        </w:rPr>
        <w:t>נמצא כי בהתאם לסקר לקוח סמוי, על מוקד שירות הלקוחות של דרך ארץ המפעילה את כביש 6 במקטע המרכזי, שביצעה חוצה ישראל בחודשים מאי-יולי 2022</w:t>
      </w:r>
      <w:r w:rsidRPr="00273DF4">
        <w:rPr>
          <w:rFonts w:hint="cs"/>
          <w:rtl/>
        </w:rPr>
        <w:t>,</w:t>
      </w:r>
      <w:r w:rsidRPr="00273DF4">
        <w:rPr>
          <w:rtl/>
        </w:rPr>
        <w:t xml:space="preserve"> זמן ההמתנה הממוצע והחציוני לנציג שירות היה 3:40 דקות ו-3:11 דקות בהתאמה, וב-15 מקרים זמן ההמתנה עלה על שבע דקות. במכתב מאוקטובר 2022 למנכ"ל הזכיין הוצגו זמני ההמתנה הממוצעים בכל אחד מימי השבוע (ימים א'-ו'), אך לא הוצגה התפלגות זמני ההמתנה של 200 השיחות שנערכו, שמהם אפשר ללמוד בכמה מקרים עלו זמני ההמתנה על שבע דקות ובכמה מקרים היו זמני ההמתנה בין שש לשבע דקות </w:t>
      </w:r>
      <w:r w:rsidRPr="00273DF4">
        <w:rPr>
          <w:rtl/>
        </w:rPr>
        <w:t>וכו</w:t>
      </w:r>
      <w:r w:rsidRPr="00273DF4">
        <w:rPr>
          <w:rtl/>
        </w:rPr>
        <w:t>', דבר שהיה מאפשר לחשב את שיעור המקרים שבהם היה זמן ההמתנה ממושך ביותר. כמו כן, במכתב האמור לא צוין מה זמן ההמתנה המרבי הנדרש מהזכיין עד לקבלת מענה מנציג אנושי. עלה כי אין בהסכם הזיכיון בין המדינה לזכיין הגדרה של זמן ההמתנה המרבי.</w:t>
      </w:r>
    </w:p>
    <w:p w:rsidR="00A7073C" w:rsidRPr="00273DF4" w:rsidP="00A7073C" w14:paraId="03EEBF0B" w14:textId="77777777">
      <w:pPr>
        <w:pStyle w:val="7317"/>
        <w:numPr>
          <w:ilvl w:val="0"/>
          <w:numId w:val="1432"/>
        </w:numPr>
      </w:pPr>
      <w:r w:rsidRPr="00A7073C">
        <w:rPr>
          <w:rStyle w:val="7391"/>
          <w:rFonts w:hint="cs"/>
          <w:rtl/>
        </w:rPr>
        <w:t>ה</w:t>
      </w:r>
      <w:r w:rsidRPr="00A7073C">
        <w:rPr>
          <w:rStyle w:val="7391"/>
          <w:rtl/>
        </w:rPr>
        <w:t>שירות של מוקד הלקוחות של מנהרות הכרמל -</w:t>
      </w:r>
      <w:r w:rsidRPr="00273DF4">
        <w:rPr>
          <w:rtl/>
        </w:rPr>
        <w:t xml:space="preserve"> נמצא בסקר כי בשנת 2023 עלה הזמן הממוצע למענה של נציג שירות לעומת 2018 ב-44 שניות - מ 1:26 דקות ל-2:10 דקות ולעומת שנת 2021 ב</w:t>
      </w:r>
      <w:r w:rsidRPr="00273DF4">
        <w:rPr>
          <w:rtl/>
        </w:rPr>
        <w:noBreakHyphen/>
        <w:t>48 שניות- מ-1:22 דקות ל-2:10 דקות. נוסף על כך, בשנת 2023 היה שיעור הממתינים למענה מעל שתי דקות כ-69%, לעומת 16% ו-4% בשנים 2018 ו 2021, בהתאמה.</w:t>
      </w:r>
      <w:r w:rsidRPr="0028415A">
        <w:rPr>
          <w:rtl/>
        </w:rPr>
        <w:t xml:space="preserve"> </w:t>
      </w:r>
      <w:r w:rsidRPr="00273DF4">
        <w:rPr>
          <w:rtl/>
        </w:rPr>
        <w:t>נמצא כי בשנת 2023 פחתה רמת השירות לעומת שנת 2018, דבר שבא לידי ביטוי בין היתר בעלייה של כ-51% בזמן הממוצע למענה של נציג שירות ובעלייה בשיעור הממתינים למענה מעל לשתי דקות, מ-16% בשנת 2018 ל-69% בשנת 2023.</w:t>
      </w:r>
      <w:r w:rsidRPr="00273DF4">
        <w:rPr>
          <w:rFonts w:hint="cs"/>
          <w:rtl/>
        </w:rPr>
        <w:t xml:space="preserve"> </w:t>
      </w:r>
    </w:p>
    <w:p w:rsidR="00A7073C" w:rsidRPr="00273DF4" w:rsidP="00A7073C" w14:paraId="7923AD09" w14:textId="4604408D">
      <w:pPr>
        <w:pStyle w:val="7317"/>
        <w:numPr>
          <w:ilvl w:val="0"/>
          <w:numId w:val="1432"/>
        </w:numPr>
      </w:pPr>
      <w:r w:rsidRPr="00A7073C">
        <w:rPr>
          <w:rStyle w:val="7391"/>
          <w:rFonts w:hint="cs"/>
          <w:rtl/>
        </w:rPr>
        <w:t>שירות השאטלים מחניון הנתיב המהיר -</w:t>
      </w:r>
      <w:r w:rsidRPr="00273DF4">
        <w:rPr>
          <w:rFonts w:hint="cs"/>
          <w:rtl/>
        </w:rPr>
        <w:t xml:space="preserve"> </w:t>
      </w:r>
      <w:r w:rsidRPr="00273DF4">
        <w:rPr>
          <w:rtl/>
        </w:rPr>
        <w:t xml:space="preserve">על פי סקר נוסעים שערכה חברת חוצה ישראל </w:t>
      </w:r>
      <w:r w:rsidRPr="00273DF4">
        <w:rPr>
          <w:rFonts w:hint="cs"/>
          <w:rtl/>
        </w:rPr>
        <w:t xml:space="preserve">בשנת 2023 </w:t>
      </w:r>
      <w:r w:rsidRPr="00273DF4">
        <w:rPr>
          <w:rtl/>
        </w:rPr>
        <w:t xml:space="preserve">בקרב משתמשי </w:t>
      </w:r>
      <w:r w:rsidRPr="00273DF4">
        <w:rPr>
          <w:rtl/>
        </w:rPr>
        <w:t>השאטלים</w:t>
      </w:r>
      <w:r w:rsidRPr="00273DF4">
        <w:rPr>
          <w:rtl/>
        </w:rPr>
        <w:t xml:space="preserve"> מחניון הנתיב המהיר עלה ששיעור הנוסעים מדי יום פחת במידה ניכרת בהשוואה לשנים קודמות והייתה ירידה של </w:t>
      </w:r>
      <w:r w:rsidR="001B667C">
        <w:rPr>
          <w:rtl/>
        </w:rPr>
        <w:br/>
      </w:r>
      <w:r w:rsidRPr="00273DF4">
        <w:rPr>
          <w:rtl/>
        </w:rPr>
        <w:t xml:space="preserve">כ-34% במספר הנוסעים הממוצע ליום בהשוואה לשנת 2016; ושיעור המשתמשים בשירות מדי יום ביומו ירד </w:t>
      </w:r>
      <w:r w:rsidRPr="00273DF4">
        <w:rPr>
          <w:rFonts w:hint="cs"/>
          <w:rtl/>
        </w:rPr>
        <w:t>ב</w:t>
      </w:r>
      <w:r w:rsidRPr="00273DF4">
        <w:rPr>
          <w:rtl/>
        </w:rPr>
        <w:t xml:space="preserve">יותר מ-50% ל-14%. נמצא שמאז 2015 ישנה ירידה בשימוש </w:t>
      </w:r>
      <w:r w:rsidRPr="00273DF4">
        <w:rPr>
          <w:rtl/>
        </w:rPr>
        <w:t>בשאטלים</w:t>
      </w:r>
      <w:r w:rsidRPr="00273DF4">
        <w:rPr>
          <w:rtl/>
        </w:rPr>
        <w:t xml:space="preserve">, בעיקר בקו </w:t>
      </w:r>
      <w:r w:rsidRPr="00273DF4">
        <w:rPr>
          <w:rtl/>
        </w:rPr>
        <w:t>השאטל</w:t>
      </w:r>
      <w:r w:rsidRPr="00273DF4">
        <w:rPr>
          <w:rtl/>
        </w:rPr>
        <w:t xml:space="preserve"> לקריה בתל אביב, שהשימוש בו ירד מ-1,239 ל-760 נוסעים ליום בשעות 06:30 - 09:30 (כ-39%). בקו </w:t>
      </w:r>
      <w:r w:rsidRPr="00273DF4">
        <w:rPr>
          <w:rtl/>
        </w:rPr>
        <w:t>השאטל</w:t>
      </w:r>
      <w:r w:rsidRPr="00273DF4">
        <w:rPr>
          <w:rtl/>
        </w:rPr>
        <w:t xml:space="preserve"> לבורסה ירד השימוש מאז שנת 2015 ועד שנת 2020 מ</w:t>
      </w:r>
      <w:r w:rsidRPr="00273DF4">
        <w:rPr>
          <w:rtl/>
        </w:rPr>
        <w:noBreakHyphen/>
        <w:t xml:space="preserve">823 ל-327 נוסעים ליום באותן שעות </w:t>
      </w:r>
      <w:r w:rsidR="00B168D2">
        <w:rPr>
          <w:rtl/>
        </w:rPr>
        <w:br/>
      </w:r>
      <w:r w:rsidRPr="00273DF4">
        <w:rPr>
          <w:rtl/>
        </w:rPr>
        <w:t xml:space="preserve">(כ-60%), ומאז ועד 2023 ישנה עלייה מ-327 ועד 525 נוסעים (כ-61%), אך היקף השימוש </w:t>
      </w:r>
      <w:r w:rsidRPr="00273DF4">
        <w:rPr>
          <w:rtl/>
        </w:rPr>
        <w:t>בשאטל</w:t>
      </w:r>
      <w:r w:rsidRPr="00273DF4">
        <w:rPr>
          <w:rtl/>
        </w:rPr>
        <w:t xml:space="preserve"> לבורסה עדיין נמוך ב-298 נוסעים בין השעות 06:30 - 09:30 </w:t>
      </w:r>
      <w:r w:rsidR="00B168D2">
        <w:rPr>
          <w:rtl/>
        </w:rPr>
        <w:br/>
      </w:r>
      <w:r w:rsidRPr="00273DF4">
        <w:rPr>
          <w:rtl/>
        </w:rPr>
        <w:t>(כ-36%) לעומת שנת 2015. בסקר האמור כמחצית מהנוסעים הוסיפו הערות כלליות הנוגעות בעיקר לצורך בהוספת תחנות (בעיקר בשל סגירת תחנת השלום באופן זמני עקב עבודות) ולהוספת חיווי</w:t>
      </w:r>
      <w:r w:rsidRPr="00273DF4">
        <w:rPr>
          <w:rFonts w:hint="cs"/>
          <w:rtl/>
        </w:rPr>
        <w:t xml:space="preserve"> על מיקום </w:t>
      </w:r>
      <w:r w:rsidRPr="00273DF4">
        <w:rPr>
          <w:rFonts w:hint="cs"/>
          <w:rtl/>
        </w:rPr>
        <w:t>השאטל</w:t>
      </w:r>
      <w:r w:rsidRPr="00273DF4">
        <w:rPr>
          <w:rFonts w:hint="cs"/>
          <w:rtl/>
        </w:rPr>
        <w:t xml:space="preserve"> וזמני הגעה </w:t>
      </w:r>
      <w:r w:rsidRPr="00273DF4">
        <w:rPr>
          <w:rFonts w:hint="cs"/>
          <w:rtl/>
        </w:rPr>
        <w:t>ביישומון</w:t>
      </w:r>
      <w:r w:rsidRPr="00273DF4">
        <w:rPr>
          <w:rFonts w:hint="cs"/>
          <w:rtl/>
        </w:rPr>
        <w:t>.</w:t>
      </w:r>
    </w:p>
    <w:p w:rsidR="00A7073C" w:rsidRPr="00273DF4" w:rsidP="00A7073C" w14:paraId="5C612559" w14:textId="69A7D103">
      <w:pPr>
        <w:pStyle w:val="7317"/>
        <w:rPr>
          <w:b/>
          <w:bCs/>
        </w:rPr>
      </w:pPr>
      <w:r w:rsidRPr="0063556C">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7988166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166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73DF4">
        <w:rPr>
          <w:rFonts w:hint="eastAsia"/>
          <w:b/>
          <w:bCs/>
          <w:rtl/>
        </w:rPr>
        <w:t>הטיפול</w:t>
      </w:r>
      <w:r w:rsidRPr="00273DF4">
        <w:rPr>
          <w:b/>
          <w:bCs/>
          <w:rtl/>
        </w:rPr>
        <w:t xml:space="preserve"> </w:t>
      </w:r>
      <w:r w:rsidRPr="00273DF4">
        <w:rPr>
          <w:rFonts w:hint="eastAsia"/>
          <w:b/>
          <w:bCs/>
          <w:rtl/>
        </w:rPr>
        <w:t>בנהגים</w:t>
      </w:r>
      <w:r w:rsidRPr="00273DF4">
        <w:rPr>
          <w:b/>
          <w:bCs/>
          <w:rtl/>
        </w:rPr>
        <w:t xml:space="preserve"> </w:t>
      </w:r>
      <w:r w:rsidRPr="00273DF4">
        <w:rPr>
          <w:rFonts w:hint="eastAsia"/>
          <w:b/>
          <w:bCs/>
          <w:rtl/>
        </w:rPr>
        <w:t>שהגישו</w:t>
      </w:r>
      <w:r w:rsidRPr="00273DF4">
        <w:rPr>
          <w:b/>
          <w:bCs/>
          <w:rtl/>
        </w:rPr>
        <w:t xml:space="preserve"> </w:t>
      </w:r>
      <w:r w:rsidRPr="00273DF4">
        <w:rPr>
          <w:rFonts w:hint="eastAsia"/>
          <w:b/>
          <w:bCs/>
          <w:rtl/>
        </w:rPr>
        <w:t>ערר</w:t>
      </w:r>
      <w:r w:rsidRPr="00273DF4">
        <w:rPr>
          <w:b/>
          <w:bCs/>
          <w:rtl/>
        </w:rPr>
        <w:t xml:space="preserve"> </w:t>
      </w:r>
      <w:r w:rsidRPr="00273DF4">
        <w:rPr>
          <w:rFonts w:hint="eastAsia"/>
          <w:b/>
          <w:bCs/>
          <w:rtl/>
        </w:rPr>
        <w:t>על</w:t>
      </w:r>
      <w:r w:rsidRPr="00273DF4">
        <w:rPr>
          <w:b/>
          <w:bCs/>
          <w:rtl/>
        </w:rPr>
        <w:t xml:space="preserve"> </w:t>
      </w:r>
      <w:r w:rsidRPr="00273DF4">
        <w:rPr>
          <w:rFonts w:hint="eastAsia"/>
          <w:b/>
          <w:bCs/>
          <w:rtl/>
        </w:rPr>
        <w:t>הודעת</w:t>
      </w:r>
      <w:r w:rsidRPr="00273DF4">
        <w:rPr>
          <w:b/>
          <w:bCs/>
          <w:rtl/>
        </w:rPr>
        <w:t xml:space="preserve"> </w:t>
      </w:r>
      <w:r w:rsidRPr="00273DF4">
        <w:rPr>
          <w:rFonts w:hint="eastAsia"/>
          <w:b/>
          <w:bCs/>
          <w:rtl/>
        </w:rPr>
        <w:t>חיוב</w:t>
      </w:r>
      <w:r w:rsidRPr="00273DF4">
        <w:rPr>
          <w:b/>
          <w:bCs/>
          <w:rtl/>
        </w:rPr>
        <w:t xml:space="preserve"> </w:t>
      </w:r>
    </w:p>
    <w:p w:rsidR="00A7073C" w:rsidRPr="00273DF4" w:rsidP="00A7073C" w14:paraId="15E29EED" w14:textId="77777777">
      <w:pPr>
        <w:pStyle w:val="7317"/>
        <w:numPr>
          <w:ilvl w:val="0"/>
          <w:numId w:val="1432"/>
        </w:numPr>
      </w:pPr>
      <w:r w:rsidRPr="00A7073C">
        <w:rPr>
          <w:rStyle w:val="7391"/>
          <w:rFonts w:hint="eastAsia"/>
          <w:rtl/>
        </w:rPr>
        <w:t>טענות</w:t>
      </w:r>
      <w:r w:rsidRPr="00A7073C">
        <w:rPr>
          <w:rStyle w:val="7391"/>
          <w:rtl/>
        </w:rPr>
        <w:t xml:space="preserve"> </w:t>
      </w:r>
      <w:r w:rsidRPr="00A7073C">
        <w:rPr>
          <w:rStyle w:val="7391"/>
          <w:rFonts w:hint="eastAsia"/>
          <w:rtl/>
        </w:rPr>
        <w:t>לאי</w:t>
      </w:r>
      <w:r w:rsidRPr="00A7073C">
        <w:rPr>
          <w:rStyle w:val="7391"/>
          <w:rtl/>
        </w:rPr>
        <w:t xml:space="preserve"> </w:t>
      </w:r>
      <w:r w:rsidRPr="00A7073C">
        <w:rPr>
          <w:rStyle w:val="7391"/>
          <w:rFonts w:hint="eastAsia"/>
          <w:rtl/>
        </w:rPr>
        <w:t>קבלת</w:t>
      </w:r>
      <w:r w:rsidRPr="00A7073C">
        <w:rPr>
          <w:rStyle w:val="7391"/>
          <w:rtl/>
        </w:rPr>
        <w:t xml:space="preserve"> </w:t>
      </w:r>
      <w:r w:rsidRPr="00A7073C">
        <w:rPr>
          <w:rStyle w:val="7391"/>
          <w:rFonts w:hint="eastAsia"/>
          <w:rtl/>
        </w:rPr>
        <w:t>החיוב</w:t>
      </w:r>
      <w:r w:rsidRPr="00A7073C">
        <w:rPr>
          <w:rStyle w:val="7391"/>
          <w:rtl/>
        </w:rPr>
        <w:t xml:space="preserve"> </w:t>
      </w:r>
      <w:r w:rsidRPr="00A7073C">
        <w:rPr>
          <w:rStyle w:val="7391"/>
          <w:rFonts w:hint="eastAsia"/>
          <w:rtl/>
        </w:rPr>
        <w:t>בדואר</w:t>
      </w:r>
      <w:r w:rsidRPr="00A7073C">
        <w:rPr>
          <w:rStyle w:val="7391"/>
          <w:rtl/>
        </w:rPr>
        <w:t xml:space="preserve"> </w:t>
      </w:r>
      <w:r w:rsidRPr="00A7073C">
        <w:rPr>
          <w:rStyle w:val="7391"/>
          <w:rFonts w:hint="cs"/>
          <w:rtl/>
        </w:rPr>
        <w:t>-</w:t>
      </w:r>
      <w:r w:rsidRPr="00273DF4">
        <w:rPr>
          <w:rFonts w:hint="cs"/>
          <w:rtl/>
        </w:rPr>
        <w:t xml:space="preserve"> </w:t>
      </w:r>
      <w:r w:rsidRPr="00273DF4">
        <w:rPr>
          <w:rtl/>
        </w:rPr>
        <w:t xml:space="preserve">מרבית העוררים טענו </w:t>
      </w:r>
      <w:r w:rsidRPr="00273DF4">
        <w:rPr>
          <w:rFonts w:hint="cs"/>
          <w:rtl/>
        </w:rPr>
        <w:t xml:space="preserve">בפני ועדות הערר </w:t>
      </w:r>
      <w:r w:rsidRPr="00273DF4">
        <w:rPr>
          <w:rtl/>
        </w:rPr>
        <w:t xml:space="preserve">שלא קיבלו את הודעת החיוב בדואר. במקטע המרכזי של כביש 6 גדל מספרם מ-399 בשנת 2000 ל-500 ב-2023 (עלייה של כ-25.3%), וחלקם היחסי בכלל </w:t>
      </w:r>
      <w:r w:rsidRPr="00273DF4">
        <w:rPr>
          <w:rtl/>
        </w:rPr>
        <w:t>העררים</w:t>
      </w:r>
      <w:r w:rsidRPr="00273DF4">
        <w:rPr>
          <w:rtl/>
        </w:rPr>
        <w:t xml:space="preserve"> עלה </w:t>
      </w:r>
      <w:r w:rsidRPr="00273DF4">
        <w:rPr>
          <w:rtl/>
        </w:rPr>
        <w:t>מכ</w:t>
      </w:r>
      <w:r w:rsidRPr="00273DF4">
        <w:rPr>
          <w:rtl/>
        </w:rPr>
        <w:t xml:space="preserve"> 60.2% בשנת 2020 לכ-77.9% בשנת 2023. בכביש 6 צפון עלה מספר </w:t>
      </w:r>
      <w:r w:rsidRPr="00273DF4">
        <w:rPr>
          <w:rtl/>
        </w:rPr>
        <w:t>העררים</w:t>
      </w:r>
      <w:r w:rsidRPr="00273DF4">
        <w:rPr>
          <w:rtl/>
        </w:rPr>
        <w:t xml:space="preserve"> בשנים 2020 - 2022 פי שלושה, מ-296 ל-896 עררים (עלייה של כ-203%), ובשנת </w:t>
      </w:r>
      <w:r w:rsidRPr="00273DF4">
        <w:rPr>
          <w:rtl/>
        </w:rPr>
        <w:t xml:space="preserve">2023 ירד מספר </w:t>
      </w:r>
      <w:r w:rsidRPr="00273DF4">
        <w:rPr>
          <w:rtl/>
        </w:rPr>
        <w:t>העררים</w:t>
      </w:r>
      <w:r w:rsidRPr="00273DF4">
        <w:rPr>
          <w:rtl/>
        </w:rPr>
        <w:t xml:space="preserve"> ל 595 (ירידה של כ-33.5%), אך ביחס לשנת 2020 זו עדיין עלייה של כ-101%. </w:t>
      </w:r>
    </w:p>
    <w:p w:rsidR="00A7073C" w:rsidRPr="00273DF4" w:rsidP="00A7073C" w14:paraId="31F7AA8A" w14:textId="0CCDFE6C">
      <w:pPr>
        <w:pStyle w:val="7317"/>
        <w:numPr>
          <w:ilvl w:val="0"/>
          <w:numId w:val="1432"/>
        </w:numPr>
      </w:pPr>
      <w:r w:rsidRPr="00A7073C">
        <w:rPr>
          <w:rStyle w:val="7391"/>
          <w:rFonts w:hint="eastAsia"/>
          <w:rtl/>
        </w:rPr>
        <w:t>עררים</w:t>
      </w:r>
      <w:r w:rsidRPr="00A7073C">
        <w:rPr>
          <w:rStyle w:val="7391"/>
          <w:rtl/>
        </w:rPr>
        <w:t xml:space="preserve"> </w:t>
      </w:r>
      <w:r w:rsidRPr="00A7073C">
        <w:rPr>
          <w:rStyle w:val="7391"/>
          <w:rFonts w:hint="eastAsia"/>
          <w:rtl/>
        </w:rPr>
        <w:t>פתוחים</w:t>
      </w:r>
      <w:r w:rsidRPr="00A7073C">
        <w:rPr>
          <w:rStyle w:val="7391"/>
          <w:rtl/>
        </w:rPr>
        <w:t xml:space="preserve"> </w:t>
      </w:r>
      <w:r w:rsidRPr="00A7073C">
        <w:rPr>
          <w:rStyle w:val="7391"/>
          <w:rFonts w:hint="eastAsia"/>
          <w:rtl/>
        </w:rPr>
        <w:t>שלא</w:t>
      </w:r>
      <w:r w:rsidRPr="00A7073C">
        <w:rPr>
          <w:rStyle w:val="7391"/>
          <w:rtl/>
        </w:rPr>
        <w:t xml:space="preserve"> </w:t>
      </w:r>
      <w:r w:rsidRPr="00A7073C">
        <w:rPr>
          <w:rStyle w:val="7391"/>
          <w:rFonts w:hint="eastAsia"/>
          <w:rtl/>
        </w:rPr>
        <w:t>טופלו</w:t>
      </w:r>
      <w:r w:rsidRPr="00A7073C">
        <w:rPr>
          <w:rStyle w:val="7391"/>
          <w:rFonts w:hint="cs"/>
          <w:rtl/>
        </w:rPr>
        <w:t xml:space="preserve"> -</w:t>
      </w:r>
      <w:r w:rsidRPr="00273DF4">
        <w:rPr>
          <w:rFonts w:hint="cs"/>
          <w:rtl/>
        </w:rPr>
        <w:t xml:space="preserve"> </w:t>
      </w:r>
      <w:r w:rsidRPr="00273DF4">
        <w:rPr>
          <w:rtl/>
        </w:rPr>
        <w:t xml:space="preserve">נמצא כי החל משנת 2021 מספר </w:t>
      </w:r>
      <w:r w:rsidRPr="00273DF4">
        <w:rPr>
          <w:rtl/>
        </w:rPr>
        <w:t>העררים</w:t>
      </w:r>
      <w:r w:rsidRPr="00273DF4">
        <w:rPr>
          <w:rFonts w:hint="cs"/>
          <w:rtl/>
        </w:rPr>
        <w:t xml:space="preserve"> </w:t>
      </w:r>
      <w:r w:rsidRPr="00273DF4">
        <w:rPr>
          <w:rtl/>
        </w:rPr>
        <w:t xml:space="preserve">הפתוחים שלא טופלו, של כל אחד מכבישי האגרה נמצא במגמת עלייה ועלה מ-88 תיקים </w:t>
      </w:r>
      <w:r w:rsidR="001B667C">
        <w:rPr>
          <w:rtl/>
        </w:rPr>
        <w:br/>
      </w:r>
      <w:r w:rsidRPr="00273DF4">
        <w:rPr>
          <w:rtl/>
        </w:rPr>
        <w:t>ל-475 תיקים - עלייה של כ-440% (יותר מפי 5)</w:t>
      </w:r>
      <w:r w:rsidRPr="00273DF4">
        <w:t>.</w:t>
      </w:r>
      <w:r w:rsidRPr="00273DF4">
        <w:rPr>
          <w:rtl/>
        </w:rPr>
        <w:t xml:space="preserve"> עוד נמצא כי על פי נתוני מזכירות ועדות הערר שמנהלת הרשות הממונה, ועדת הערר של הנתיב המהיר אינה פועלת מחודש מרץ 2021 עקב אי-מינוי יושב ראש ונציג ציבור. ועדת הערר של מנהרות הכרמל אינה פועלת מחודש יולי 2023 עקב אי-מינוי יושב ראש</w:t>
      </w:r>
      <w:r w:rsidRPr="00273DF4">
        <w:rPr>
          <w:rFonts w:hint="cs"/>
          <w:rtl/>
        </w:rPr>
        <w:t>;</w:t>
      </w:r>
      <w:r w:rsidRPr="00273DF4">
        <w:rPr>
          <w:rtl/>
        </w:rPr>
        <w:t xml:space="preserve"> ועדת הערר של כביש 6 צפון לא פעלה במשך כשמונה חודשים בשנת 2022 עקב אי-מינוי יושב ראש לוועד</w:t>
      </w:r>
      <w:r w:rsidRPr="00273DF4">
        <w:rPr>
          <w:rFonts w:hint="cs"/>
          <w:rtl/>
        </w:rPr>
        <w:t>ה.</w:t>
      </w:r>
    </w:p>
    <w:p w:rsidR="00A7073C" w:rsidP="00A7073C" w14:paraId="43172E70" w14:textId="2C2D4DCC">
      <w:pPr>
        <w:pStyle w:val="7317"/>
        <w:rPr>
          <w:rtl/>
        </w:rPr>
      </w:pPr>
      <w:r w:rsidRPr="00A7073C">
        <w:rPr>
          <w:rStyle w:val="7391"/>
          <w:rFonts w:hint="cs"/>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4340435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0435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Fonts w:hint="eastAsia"/>
          <w:rtl/>
        </w:rPr>
        <w:t>גביית</w:t>
      </w:r>
      <w:r w:rsidRPr="00A7073C">
        <w:rPr>
          <w:rStyle w:val="7391"/>
          <w:rtl/>
        </w:rPr>
        <w:t xml:space="preserve"> </w:t>
      </w:r>
      <w:r w:rsidRPr="00A7073C">
        <w:rPr>
          <w:rStyle w:val="7391"/>
          <w:rFonts w:hint="eastAsia"/>
          <w:rtl/>
        </w:rPr>
        <w:t>חובות</w:t>
      </w:r>
      <w:r w:rsidRPr="00A7073C">
        <w:rPr>
          <w:rStyle w:val="7391"/>
          <w:rtl/>
        </w:rPr>
        <w:t xml:space="preserve"> -</w:t>
      </w:r>
      <w:r w:rsidRPr="00273DF4">
        <w:rPr>
          <w:rtl/>
        </w:rPr>
        <w:t xml:space="preserve"> לגביית </w:t>
      </w:r>
      <w:r w:rsidRPr="00273DF4">
        <w:rPr>
          <w:rFonts w:hint="cs"/>
          <w:rtl/>
        </w:rPr>
        <w:t>חובות של נהגים</w:t>
      </w:r>
      <w:r w:rsidRPr="00273DF4">
        <w:rPr>
          <w:rtl/>
        </w:rPr>
        <w:t xml:space="preserve"> פעלו הזכיינים בין היתר בדרך של פתיחת תיק הוצאה לפועל גם על חובות של שקלים בודדים שתפחו למאות שקלים. באוגוסט 2022 נחתם בין המדינה לזכיין כביש 6 בקטע המרכזי הסכם הקלה ולפיו בחובות נמוכים יפתח הזכיין תיקים בהוצאה לפועל רק בחלוף שלושים ימים מיידוע החייבים ורק לאחר קבלת אינדיקציה שהחייב קיבל את הודעת החיוב. הסכם הקלה זה חל רק על החייבים של זכיין כביש 6 במקטע המרכזי, אך לא על החייבים של הזכיינים ביתר כבישי האגרה שלגביהם חוב קטן של 10 ש"ח יכול לצמוח ל-500 ואף 600 ש"ח</w:t>
      </w:r>
      <w:r w:rsidRPr="00AF3B73">
        <w:rPr>
          <w:rFonts w:hint="cs"/>
          <w:rtl/>
        </w:rPr>
        <w:t xml:space="preserve">. </w:t>
      </w:r>
    </w:p>
    <w:p w:rsidR="00A7073C" w:rsidP="00A7073C" w14:paraId="41F0847B" w14:textId="610E4627">
      <w:pPr>
        <w:pStyle w:val="7317"/>
        <w:rPr>
          <w:rtl/>
        </w:rPr>
      </w:pPr>
      <w:r w:rsidRPr="00A7073C">
        <w:rPr>
          <w:rStyle w:val="7391"/>
          <w:rFonts w:hint="cs"/>
          <w:rtl/>
        </w:rPr>
        <w:drawing>
          <wp:anchor distT="0" distB="0" distL="114300" distR="114300" simplePos="0" relativeHeight="251701248" behindDoc="1" locked="0" layoutInCell="1" allowOverlap="1">
            <wp:simplePos x="0" y="0"/>
            <wp:positionH relativeFrom="column">
              <wp:posOffset>4548104</wp:posOffset>
            </wp:positionH>
            <wp:positionV relativeFrom="paragraph">
              <wp:posOffset>31750</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13560225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0225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7073C">
        <w:rPr>
          <w:rStyle w:val="7391"/>
          <w:rtl/>
        </w:rPr>
        <w:t xml:space="preserve">דיוני הפקת לקחים - </w:t>
      </w:r>
      <w:r w:rsidRPr="00B168D2">
        <w:rPr>
          <w:rStyle w:val="7391"/>
          <w:b/>
          <w:bCs w:val="0"/>
          <w:rtl/>
        </w:rPr>
        <w:t>בחינת התאמתם של פרויקטים תשתיתיים</w:t>
      </w:r>
      <w:r w:rsidRPr="00B168D2">
        <w:rPr>
          <w:rStyle w:val="7391"/>
          <w:rFonts w:hint="cs"/>
          <w:b/>
          <w:bCs w:val="0"/>
          <w:rtl/>
        </w:rPr>
        <w:t xml:space="preserve"> לשיטת </w:t>
      </w:r>
      <w:r w:rsidRPr="00B168D2">
        <w:rPr>
          <w:rStyle w:val="7391"/>
          <w:rFonts w:hint="cs"/>
        </w:rPr>
        <w:t>PPP</w:t>
      </w:r>
      <w:r w:rsidRPr="00B168D2">
        <w:rPr>
          <w:rStyle w:val="7391"/>
          <w:b/>
          <w:bCs w:val="0"/>
          <w:rtl/>
        </w:rPr>
        <w:t>, ובכלל זה</w:t>
      </w:r>
      <w:r w:rsidRPr="00273DF4">
        <w:rPr>
          <w:rtl/>
        </w:rPr>
        <w:t xml:space="preserve"> כבישי אגרה, מצריכה ממקבלי ההחלטות מטעם המדינה ניסיון וידע רב בתחומים רבים. עקב מורכבות הפרויקטים, תפעולם וניהולם השוטף נדרשים מקבלי ההחלטות</w:t>
      </w:r>
      <w:r w:rsidRPr="00273DF4">
        <w:rPr>
          <w:rFonts w:hint="cs"/>
          <w:rtl/>
        </w:rPr>
        <w:t xml:space="preserve"> לעשות</w:t>
      </w:r>
      <w:r w:rsidRPr="00273DF4">
        <w:rPr>
          <w:rtl/>
        </w:rPr>
        <w:t xml:space="preserve"> בכל פרויקט לעשות תהליך</w:t>
      </w:r>
      <w:r w:rsidRPr="00273DF4">
        <w:rPr>
          <w:rFonts w:hint="cs"/>
          <w:rtl/>
        </w:rPr>
        <w:t xml:space="preserve"> סדור</w:t>
      </w:r>
      <w:r w:rsidRPr="00273DF4">
        <w:rPr>
          <w:rtl/>
        </w:rPr>
        <w:t xml:space="preserve"> </w:t>
      </w:r>
      <w:r w:rsidRPr="00273DF4">
        <w:rPr>
          <w:rFonts w:hint="cs"/>
          <w:rtl/>
        </w:rPr>
        <w:t>ו</w:t>
      </w:r>
      <w:r w:rsidRPr="00273DF4">
        <w:rPr>
          <w:rtl/>
        </w:rPr>
        <w:t>יסודי של הפקת לקחים והסקת מסקנות ו</w:t>
      </w:r>
      <w:r w:rsidRPr="00273DF4">
        <w:rPr>
          <w:rFonts w:hint="cs"/>
          <w:rtl/>
        </w:rPr>
        <w:t xml:space="preserve">גיבוש </w:t>
      </w:r>
      <w:r w:rsidRPr="00273DF4">
        <w:rPr>
          <w:rtl/>
        </w:rPr>
        <w:t xml:space="preserve">המלצות אופרטיביות לשם יישומן בפרויקטים העתידיים </w:t>
      </w:r>
      <w:r w:rsidRPr="00273DF4">
        <w:rPr>
          <w:rFonts w:hint="cs"/>
          <w:rtl/>
        </w:rPr>
        <w:t xml:space="preserve">ולשם </w:t>
      </w:r>
      <w:r w:rsidRPr="00273DF4">
        <w:rPr>
          <w:rtl/>
        </w:rPr>
        <w:t>טיוב התהליכים בהכנת המכרזים ובביצוע הפרויקט</w:t>
      </w:r>
      <w:r w:rsidRPr="00273DF4">
        <w:rPr>
          <w:rFonts w:hint="cs"/>
          <w:rtl/>
        </w:rPr>
        <w:t>ים</w:t>
      </w:r>
      <w:r w:rsidRPr="00273DF4">
        <w:rPr>
          <w:rtl/>
        </w:rPr>
        <w:t>. עלה בביקורת כי לא נמצאו במשרד האוצר ובמשרד התחבורה מסמכים המעידים כי התקיימו דיוני הפקת לקחים והסקת מסקנות מהפרויקטים הקיימים לצורך יישום הלקחים בפרויקטים עתידיים</w:t>
      </w:r>
      <w:r w:rsidR="00B168D2">
        <w:rPr>
          <w:rFonts w:hint="cs"/>
          <w:rtl/>
        </w:rPr>
        <w:t>.</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45951" w:rsidP="00EB672B" w14:paraId="3D4B0578" w14:textId="7B7EE906">
      <w:pPr>
        <w:pStyle w:val="7317"/>
        <w:rPr>
          <w:rtl/>
        </w:rPr>
      </w:pPr>
      <w:r w:rsidRPr="00A7073C">
        <w:rPr>
          <w:rStyle w:val="7391"/>
          <w:rFonts w:hint="cs"/>
          <w:rtl/>
        </w:rPr>
        <w:t>חלוקת סיכונים בהרחבת כביש 6 (במקטעים 18-14) -</w:t>
      </w:r>
      <w:r w:rsidRPr="00273DF4">
        <w:rPr>
          <w:rFonts w:hint="cs"/>
          <w:rtl/>
        </w:rPr>
        <w:t xml:space="preserve"> משרד מבקר המדינה מציין לחיוב את חלוקת הסיכונים בין הזכיין למדינה ואת גידור הסיכונים הטמונים בפרויקט הרחבת כביש 6 במקטעים 18-14 שנעשו בצורה ניאותה. זאת, בין היתר בשל הניסיון הרב של חברת חוצה ישראל כרשות ממונה בניהול פרויקטים מסוג זה, ובזכות שכבה ניהולית יציבה בעלת ניסיון רב, המוכיחה את החשיבות של רציפות ניהולית וזיכרון ארגוני</w:t>
      </w:r>
      <w:r w:rsidR="00EB672B">
        <w:rPr>
          <w:rFonts w:hint="cs"/>
          <w:rtl/>
        </w:rPr>
        <w:t>.</w:t>
      </w:r>
    </w:p>
    <w:p w:rsidR="00E45951" w14:paraId="4EBE859D" w14:textId="77777777">
      <w:pPr>
        <w:bidi w:val="0"/>
        <w:spacing w:after="200" w:line="276" w:lineRule="auto"/>
        <w:rPr>
          <w:rFonts w:ascii="Tahoma" w:hAnsi="Tahoma" w:cs="Tahoma"/>
          <w:color w:val="0D0D0D" w:themeColor="text1" w:themeTint="F2"/>
          <w:sz w:val="18"/>
          <w:szCs w:val="18"/>
          <w:rtl/>
        </w:rPr>
      </w:pPr>
      <w:r>
        <w:rPr>
          <w:rtl/>
        </w:rPr>
        <w:br w:type="page"/>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533021D5">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Fonts w:hint="cs"/>
          <w:rtl/>
        </w:rPr>
        <w:t xml:space="preserve">מומלץ </w:t>
      </w:r>
      <w:bookmarkStart w:id="4" w:name="_Hlk174429112"/>
      <w:r w:rsidRPr="00273DF4" w:rsidR="00A7073C">
        <w:rPr>
          <w:rtl/>
        </w:rPr>
        <w:t xml:space="preserve">למשרד התחבורה ולמשרד האוצר </w:t>
      </w:r>
      <w:r w:rsidRPr="00273DF4" w:rsidR="00A7073C">
        <w:rPr>
          <w:rFonts w:hint="cs"/>
          <w:rtl/>
        </w:rPr>
        <w:t xml:space="preserve">בשיתוף חוצה ישראל </w:t>
      </w:r>
      <w:r w:rsidRPr="00273DF4" w:rsidR="00A7073C">
        <w:rPr>
          <w:rtl/>
        </w:rPr>
        <w:t xml:space="preserve">לנתח את הכדאיות הכלכלית </w:t>
      </w:r>
      <w:r w:rsidRPr="00273DF4" w:rsidR="00A7073C">
        <w:rPr>
          <w:rFonts w:hint="cs"/>
          <w:rtl/>
        </w:rPr>
        <w:t xml:space="preserve">בפועל </w:t>
      </w:r>
      <w:r w:rsidRPr="00273DF4" w:rsidR="00A7073C">
        <w:rPr>
          <w:rtl/>
        </w:rPr>
        <w:t xml:space="preserve">של </w:t>
      </w:r>
      <w:r w:rsidRPr="00273DF4" w:rsidR="00A7073C">
        <w:rPr>
          <w:rFonts w:hint="cs"/>
          <w:rtl/>
        </w:rPr>
        <w:t xml:space="preserve">כבישים שהוקמו בעבר </w:t>
      </w:r>
      <w:r w:rsidRPr="00273DF4" w:rsidR="00A7073C">
        <w:rPr>
          <w:rtl/>
        </w:rPr>
        <w:t xml:space="preserve">בשיטת </w:t>
      </w:r>
      <w:r w:rsidRPr="00273DF4" w:rsidR="00A7073C">
        <w:t>PPP</w:t>
      </w:r>
      <w:r w:rsidRPr="00273DF4" w:rsidR="00A7073C">
        <w:rPr>
          <w:rtl/>
        </w:rPr>
        <w:t xml:space="preserve"> לעומת הקמת כבישים </w:t>
      </w:r>
      <w:r w:rsidRPr="00273DF4" w:rsidR="00A7073C">
        <w:rPr>
          <w:rFonts w:hint="cs"/>
          <w:rtl/>
        </w:rPr>
        <w:t>במימון</w:t>
      </w:r>
      <w:r w:rsidRPr="00273DF4" w:rsidR="00A7073C">
        <w:rPr>
          <w:rtl/>
        </w:rPr>
        <w:t xml:space="preserve"> </w:t>
      </w:r>
      <w:bookmarkEnd w:id="4"/>
      <w:r w:rsidRPr="00273DF4" w:rsidR="00A7073C">
        <w:rPr>
          <w:rtl/>
        </w:rPr>
        <w:t xml:space="preserve">תקציבי, גם לנוכח שמונה פרויקטים בתחום התחבורה הנמצאים כיום בשלבים שונים של קידום לביצוע בשיטת </w:t>
      </w:r>
      <w:r w:rsidRPr="00273DF4" w:rsidR="00A7073C">
        <w:t>PPP</w:t>
      </w:r>
      <w:r w:rsidRPr="00273DF4" w:rsidR="00A7073C">
        <w:rPr>
          <w:rtl/>
        </w:rPr>
        <w:t>, ולצורך ארגון ומיקוד של הידע בתחום זה במשרדי הממשלה ובחברת חוצה ישראל, לשם היערכות מתאימה לקראת פרויקטים דומים בעתיד</w:t>
      </w:r>
      <w:r w:rsidRPr="00273DF4" w:rsidR="00A7073C">
        <w:rPr>
          <w:rFonts w:hint="cs"/>
          <w:rtl/>
        </w:rPr>
        <w:t xml:space="preserve">. מומלץ </w:t>
      </w:r>
      <w:r w:rsidRPr="00273DF4" w:rsidR="00A7073C">
        <w:rPr>
          <w:rtl/>
        </w:rPr>
        <w:t xml:space="preserve">לחברת חוצה ישראל, למשרד התחבורה ולמשרד האוצר </w:t>
      </w:r>
      <w:r w:rsidRPr="00273DF4" w:rsidR="00A7073C">
        <w:rPr>
          <w:rFonts w:hint="cs"/>
          <w:rtl/>
        </w:rPr>
        <w:t>בשיתוף חוצה ישראל לתעד את</w:t>
      </w:r>
      <w:r w:rsidRPr="00273DF4" w:rsidR="00A7073C">
        <w:rPr>
          <w:rtl/>
        </w:rPr>
        <w:t xml:space="preserve"> דיוני הפקת לקחים לצורך שמירה על רציפות הידע והזיכרון הארגוני של גורמי המדינה המובילים פרויקטים אלה, ולצורך היערכות משופרת לקראת מכרזים דומים בעתיד</w:t>
      </w:r>
      <w:r w:rsidRPr="00273DF4" w:rsidR="00A7073C">
        <w:rPr>
          <w:rFonts w:hint="cs"/>
          <w:rtl/>
        </w:rPr>
        <w:t>, וכן לוודא</w:t>
      </w:r>
      <w:r w:rsidRPr="00273DF4" w:rsidR="00A7073C">
        <w:rPr>
          <w:rtl/>
        </w:rPr>
        <w:t xml:space="preserve"> שלקחים הניתנים לתיקון יתוקנו תוך כדי ביצוע הפרויקט</w:t>
      </w:r>
      <w:r w:rsidRPr="007C7D40">
        <w:rPr>
          <w:rFonts w:hint="cs"/>
          <w:rtl/>
        </w:rPr>
        <w:t xml:space="preserve">. </w:t>
      </w:r>
    </w:p>
    <w:p w:rsidR="00EB672B" w:rsidRPr="007C7D40" w:rsidP="00EB672B" w14:paraId="723E2ABD" w14:textId="37BD19C3">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Fonts w:hint="cs"/>
          <w:rtl/>
        </w:rPr>
        <w:t xml:space="preserve">מומלץ </w:t>
      </w:r>
      <w:r w:rsidRPr="00273DF4" w:rsidR="00A7073C">
        <w:rPr>
          <w:rtl/>
        </w:rPr>
        <w:t>לנוכח העלייה בעומסי התנועה ורמת השירות היורדת בכביש, שמשרד התחבורה</w:t>
      </w:r>
      <w:r w:rsidRPr="00273DF4" w:rsidR="00A7073C">
        <w:rPr>
          <w:rFonts w:hint="cs"/>
          <w:rtl/>
        </w:rPr>
        <w:t>,</w:t>
      </w:r>
      <w:r w:rsidRPr="00273DF4" w:rsidR="00A7073C">
        <w:rPr>
          <w:rtl/>
        </w:rPr>
        <w:t xml:space="preserve"> משרד האוצר </w:t>
      </w:r>
      <w:r w:rsidRPr="00273DF4" w:rsidR="00A7073C">
        <w:rPr>
          <w:rFonts w:hint="cs"/>
          <w:rtl/>
        </w:rPr>
        <w:t xml:space="preserve">וחוצה ישראל </w:t>
      </w:r>
      <w:r w:rsidRPr="00273DF4" w:rsidR="00A7073C">
        <w:rPr>
          <w:rtl/>
        </w:rPr>
        <w:t>יעקבו באופן שוטף אחר תנועת כלי הרכב, מהירות הנסיעה ופרמטרים נוספים כדי לזהות נקודות תורפה שעשויות להשפיע על רמת השירות בכביש, ולפעול ליישום פתרונות אופטימליים לבעיה זו בפרק זמן קצר ככל הניתן</w:t>
      </w:r>
      <w:r w:rsidRPr="007C7D40">
        <w:rPr>
          <w:rtl/>
        </w:rPr>
        <w:t xml:space="preserve">. </w:t>
      </w:r>
    </w:p>
    <w:p w:rsidR="00EB672B" w:rsidRPr="007C7D40" w:rsidP="00EB672B" w14:paraId="55FA89EC" w14:textId="20ECA315">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tl/>
        </w:rPr>
        <w:t xml:space="preserve">מומלץ שחברת חוצה ישראל, משרד התחבורה ומשרד האוצר יפעלו להשלים את הרחבת כביש </w:t>
      </w:r>
      <w:r w:rsidRPr="00273DF4" w:rsidR="00A7073C">
        <w:rPr>
          <w:rFonts w:hint="cs"/>
          <w:rtl/>
        </w:rPr>
        <w:t xml:space="preserve">6 </w:t>
      </w:r>
      <w:r w:rsidRPr="00273DF4" w:rsidR="00A7073C">
        <w:rPr>
          <w:rtl/>
        </w:rPr>
        <w:t xml:space="preserve">במועד שנקבע כדי למנוע את הפגיעה המתמשכת בציבור הנוסעים ובכלכלת המשק, </w:t>
      </w:r>
      <w:r w:rsidRPr="00273DF4" w:rsidR="00A7073C">
        <w:rPr>
          <w:rFonts w:hint="cs"/>
          <w:rtl/>
        </w:rPr>
        <w:t>ויעקבו</w:t>
      </w:r>
      <w:r w:rsidRPr="00273DF4" w:rsidR="00A7073C">
        <w:rPr>
          <w:rtl/>
        </w:rPr>
        <w:t xml:space="preserve"> בקפדנות אחר השלמת התהליך התחרותי לבחירת קבלני הביצוע </w:t>
      </w:r>
      <w:r w:rsidRPr="00273DF4" w:rsidR="00A7073C">
        <w:rPr>
          <w:rFonts w:hint="cs"/>
          <w:rtl/>
        </w:rPr>
        <w:t xml:space="preserve">ואחר רמת הביצוע של </w:t>
      </w:r>
      <w:r w:rsidRPr="00273DF4" w:rsidR="00A7073C">
        <w:rPr>
          <w:rtl/>
        </w:rPr>
        <w:t>העבודות הקבלניות בסטנדרטים של איכות שנקבעו</w:t>
      </w:r>
      <w:r w:rsidRPr="007C7D40">
        <w:rPr>
          <w:rFonts w:hint="cs"/>
          <w:rtl/>
        </w:rPr>
        <w:t>.</w:t>
      </w:r>
    </w:p>
    <w:p w:rsidR="00EB672B" w:rsidRPr="007C7D40" w:rsidP="00EB672B" w14:paraId="078A06EB" w14:textId="7FF7475C">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Fonts w:hint="cs"/>
          <w:rtl/>
        </w:rPr>
        <w:t>מומלץ שמשרד</w:t>
      </w:r>
      <w:r w:rsidRPr="00273DF4" w:rsidR="00A7073C">
        <w:rPr>
          <w:rtl/>
        </w:rPr>
        <w:t xml:space="preserve"> התחבורה, משרד האוצר וחברת חוצה ישראל </w:t>
      </w:r>
      <w:r w:rsidRPr="00273DF4" w:rsidR="00A7073C">
        <w:rPr>
          <w:rFonts w:hint="cs"/>
          <w:rtl/>
        </w:rPr>
        <w:t>יבחנו</w:t>
      </w:r>
      <w:r w:rsidRPr="00273DF4" w:rsidR="00A7073C">
        <w:rPr>
          <w:rtl/>
        </w:rPr>
        <w:t xml:space="preserve"> לעומק את סוגיית </w:t>
      </w:r>
      <w:r w:rsidRPr="00273DF4" w:rsidR="00A7073C">
        <w:rPr>
          <w:rtl/>
        </w:rPr>
        <w:t>הנר"ת</w:t>
      </w:r>
      <w:r w:rsidRPr="00273DF4" w:rsidR="00A7073C">
        <w:rPr>
          <w:rFonts w:hint="cs"/>
          <w:rtl/>
        </w:rPr>
        <w:t xml:space="preserve"> (נתיב רב תפוסה)</w:t>
      </w:r>
      <w:r w:rsidRPr="00273DF4" w:rsidR="00A7073C">
        <w:rPr>
          <w:rtl/>
        </w:rPr>
        <w:t xml:space="preserve"> בהתחשב במכלול הנושאים הקשורים לכך, ובכלל זה האפקטיביות של </w:t>
      </w:r>
      <w:r w:rsidRPr="00273DF4" w:rsidR="00A7073C">
        <w:rPr>
          <w:rtl/>
        </w:rPr>
        <w:t>הנר"ת</w:t>
      </w:r>
      <w:r w:rsidRPr="00273DF4" w:rsidR="00A7073C">
        <w:rPr>
          <w:rtl/>
        </w:rPr>
        <w:t xml:space="preserve"> והשפעתו על התנועה; ההיתכנות ולוחות הזמנים להפעלת רשת </w:t>
      </w:r>
      <w:r w:rsidRPr="00273DF4" w:rsidR="00A7073C">
        <w:rPr>
          <w:rtl/>
        </w:rPr>
        <w:t>נר"תים</w:t>
      </w:r>
      <w:r w:rsidRPr="00273DF4" w:rsidR="00A7073C">
        <w:rPr>
          <w:rtl/>
        </w:rPr>
        <w:t>; והארכת תקופת הזיכיון</w:t>
      </w:r>
      <w:r w:rsidRPr="007C7D40">
        <w:rPr>
          <w:rFonts w:hint="cs"/>
          <w:rtl/>
        </w:rPr>
        <w:t>.</w:t>
      </w:r>
    </w:p>
    <w:p w:rsidR="00EB672B" w:rsidRPr="007C7D40" w:rsidP="00EB672B" w14:paraId="5538133A" w14:textId="59AE38E6">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Fonts w:hint="eastAsia"/>
          <w:rtl/>
        </w:rPr>
        <w:t>מומלץ</w:t>
      </w:r>
      <w:r w:rsidRPr="00273DF4" w:rsidR="00A7073C">
        <w:rPr>
          <w:rtl/>
        </w:rPr>
        <w:t xml:space="preserve"> לחברת חוצה ישראל, למשרד התחבורה ולמשרד האוצר, לבחון את האפשרות להאחדה ולפישוט שיטת קביעת התעריפים, כדי למנוע פערים ניכרים בתעריפי הנסיעה </w:t>
      </w:r>
      <w:r w:rsidRPr="00273DF4" w:rsidR="00A7073C">
        <w:rPr>
          <w:rFonts w:hint="cs"/>
          <w:rtl/>
        </w:rPr>
        <w:t xml:space="preserve">בין קטעי הכביש השונים, </w:t>
      </w:r>
      <w:r w:rsidRPr="00273DF4" w:rsidR="00A7073C">
        <w:rPr>
          <w:rtl/>
        </w:rPr>
        <w:t>ו</w:t>
      </w:r>
      <w:r w:rsidRPr="00273DF4" w:rsidR="00A7073C">
        <w:rPr>
          <w:rFonts w:hint="cs"/>
          <w:rtl/>
        </w:rPr>
        <w:t xml:space="preserve">כך </w:t>
      </w:r>
      <w:r w:rsidRPr="00273DF4" w:rsidR="00A7073C">
        <w:rPr>
          <w:rtl/>
        </w:rPr>
        <w:t xml:space="preserve">לאפשר לנוסעים שקיפות שתאפשר להם לקבל החלטות מתאימות יותר, כל זאת </w:t>
      </w:r>
      <w:r w:rsidRPr="00273DF4" w:rsidR="00A7073C">
        <w:rPr>
          <w:rFonts w:hint="cs"/>
          <w:rtl/>
        </w:rPr>
        <w:t>ו</w:t>
      </w:r>
      <w:r w:rsidRPr="00273DF4" w:rsidR="00A7073C">
        <w:rPr>
          <w:rtl/>
        </w:rPr>
        <w:t>לנוכח הצפי של הצטרפות זכיינים נוספים, עם ביצוע הארכות לכביש 6</w:t>
      </w:r>
      <w:r w:rsidRPr="007C7D40">
        <w:rPr>
          <w:rFonts w:hint="cs"/>
          <w:rtl/>
        </w:rPr>
        <w:t>.</w:t>
      </w:r>
    </w:p>
    <w:p w:rsidR="00EB672B" w:rsidP="00EB672B" w14:paraId="63467834" w14:textId="2EC0BC06">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3DF4" w:rsidR="00A7073C">
        <w:rPr>
          <w:rtl/>
        </w:rPr>
        <w:t xml:space="preserve">מומלץ למשרד התחבורה, חוצה ישראל ולמשרד האוצר, לפעול לגיבוש מבנה תעריפים דיפרנציאלי </w:t>
      </w:r>
      <w:r w:rsidRPr="00273DF4" w:rsidR="00A7073C">
        <w:rPr>
          <w:rFonts w:hint="cs"/>
          <w:rtl/>
        </w:rPr>
        <w:t xml:space="preserve">לרכב פרטי </w:t>
      </w:r>
      <w:r w:rsidRPr="00273DF4" w:rsidR="00A7073C">
        <w:rPr>
          <w:rtl/>
        </w:rPr>
        <w:t>שיהיה תואם לרמת השירות הניתנת בכביש 6 ובאופן שיקטין את רמת העומסים בכביש, ולהגיע מבעוד מועד בטרם סיום ההרחבה להסכמה עם הזכיין</w:t>
      </w:r>
      <w:r w:rsidRPr="00273DF4" w:rsidR="00A7073C">
        <w:rPr>
          <w:rFonts w:hint="cs"/>
          <w:rtl/>
        </w:rPr>
        <w:t>,</w:t>
      </w:r>
      <w:r w:rsidRPr="00273DF4" w:rsidR="00A7073C">
        <w:rPr>
          <w:rtl/>
        </w:rPr>
        <w:t xml:space="preserve"> כך שעם סיום ההרחבה ייושם מבנה תעריפים דיפרנציאלי</w:t>
      </w:r>
      <w:r w:rsidRPr="00273DF4" w:rsidR="00A7073C">
        <w:rPr>
          <w:rFonts w:hint="cs"/>
          <w:rtl/>
        </w:rPr>
        <w:t xml:space="preserve"> התואם לרמת השירות.</w:t>
      </w:r>
      <w:r w:rsidRPr="00273DF4" w:rsidR="00A7073C">
        <w:rPr>
          <w:rtl/>
        </w:rPr>
        <w:t xml:space="preserve"> </w:t>
      </w:r>
      <w:r w:rsidRPr="00273DF4" w:rsidR="00A7073C">
        <w:rPr>
          <w:rFonts w:hint="cs"/>
          <w:rtl/>
        </w:rPr>
        <w:t xml:space="preserve">כמו כן, </w:t>
      </w:r>
      <w:r w:rsidRPr="00273DF4" w:rsidR="00A7073C">
        <w:rPr>
          <w:rFonts w:hint="eastAsia"/>
          <w:rtl/>
        </w:rPr>
        <w:t>מומלץ</w:t>
      </w:r>
      <w:r w:rsidRPr="00273DF4" w:rsidR="00A7073C">
        <w:rPr>
          <w:rFonts w:hint="cs"/>
          <w:rtl/>
        </w:rPr>
        <w:t xml:space="preserve"> </w:t>
      </w:r>
      <w:r w:rsidRPr="00273DF4" w:rsidR="00A7073C">
        <w:rPr>
          <w:rtl/>
        </w:rPr>
        <w:t>לפעול</w:t>
      </w:r>
      <w:r w:rsidRPr="00273DF4" w:rsidR="00A7073C">
        <w:rPr>
          <w:rFonts w:hint="cs"/>
          <w:rtl/>
        </w:rPr>
        <w:t xml:space="preserve"> </w:t>
      </w:r>
      <w:r w:rsidRPr="00273DF4" w:rsidR="00A7073C">
        <w:rPr>
          <w:rtl/>
        </w:rPr>
        <w:t xml:space="preserve">ליצירת מערכת גבייה אחידה שתקל על הנוסעים, בשים לב לשיקולים השונים, ובהם מנגנון בקרה שינטרל את האפשרות ליצירת מונופול בהפעלה </w:t>
      </w:r>
      <w:r w:rsidRPr="00273DF4" w:rsidR="00A7073C">
        <w:rPr>
          <w:rFonts w:hint="cs"/>
          <w:rtl/>
        </w:rPr>
        <w:t>וימנע</w:t>
      </w:r>
      <w:r w:rsidRPr="00273DF4" w:rsidR="00A7073C">
        <w:rPr>
          <w:rtl/>
        </w:rPr>
        <w:t xml:space="preserve"> בלבול של הנוסעים, בפרט לגבי כביש 6, לנוכח האפשרות העתידית של ריבוי זכיינים</w:t>
      </w:r>
      <w:r w:rsidRPr="008E57FE">
        <w:rPr>
          <w:rFonts w:hint="cs"/>
          <w:rtl/>
        </w:rPr>
        <w:t>.</w:t>
      </w:r>
    </w:p>
    <w:p w:rsidR="00A7073C" w14:paraId="1F43BF31" w14:textId="0FE25C22">
      <w:pPr>
        <w:bidi w:val="0"/>
        <w:spacing w:after="200" w:line="276" w:lineRule="auto"/>
        <w:rPr>
          <w:rStyle w:val="7372"/>
          <w:rtl/>
        </w:rPr>
      </w:pPr>
      <w:r>
        <w:rPr>
          <w:rStyle w:val="7372"/>
          <w:rtl/>
        </w:rPr>
        <w:br w:type="page"/>
      </w:r>
    </w:p>
    <w:p w:rsidR="00362505" w:rsidP="00362505" w14:paraId="79F52F5B" w14:textId="77777777">
      <w:pPr>
        <w:pStyle w:val="7317"/>
        <w:rPr>
          <w:rtl/>
        </w:rPr>
      </w:pPr>
    </w:p>
    <w:p w:rsidR="005D0F8C" w:rsidP="00EB672B" w14:paraId="6DC28C4F" w14:textId="7EAFE556">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67711</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23CC4250">
                            <w:pPr>
                              <w:pStyle w:val="7332"/>
                              <w:rPr>
                                <w:rtl/>
                              </w:rPr>
                            </w:pPr>
                            <w:r w:rsidRPr="00EF1D3D">
                              <w:rPr>
                                <w:rtl/>
                              </w:rPr>
                              <w:t>מהירות הנסיעה הממוצעת בכביש 6 בשעת שיא בבוקר לכיוון דרום בתרחיש ללא הרחבה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34.25pt;margin-top:5.3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23CC4250">
                      <w:pPr>
                        <w:pStyle w:val="7332"/>
                        <w:rPr>
                          <w:rtl/>
                        </w:rPr>
                      </w:pPr>
                      <w:r w:rsidRPr="00EF1D3D">
                        <w:rPr>
                          <w:rtl/>
                        </w:rPr>
                        <w:t>מהירות הנסיעה הממוצעת בכביש 6 בשעת שיא בבוקר לכיוון דרום בתרחיש ללא הרחבה</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713668" cy="2644252"/>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13668" cy="2644252"/>
                    </a:xfrm>
                    <a:prstGeom prst="rect">
                      <a:avLst/>
                    </a:prstGeom>
                  </pic:spPr>
                </pic:pic>
              </a:graphicData>
            </a:graphic>
          </wp:inline>
        </w:drawing>
      </w:r>
    </w:p>
    <w:p w:rsidR="00362505" w:rsidP="00D57BE9" w14:paraId="0DA8F7B9" w14:textId="2608A746">
      <w:pPr>
        <w:pStyle w:val="738"/>
        <w:rPr>
          <w:rtl/>
        </w:rPr>
      </w:pPr>
      <w:r w:rsidRPr="00E147E6">
        <w:rPr>
          <w:shd w:val="clear" w:color="auto" w:fill="FFFFFF"/>
          <w:rtl/>
        </w:rPr>
        <w:t>המקור: חברת חוצה ישראל</w:t>
      </w:r>
      <w:r w:rsidRPr="00D57BE9"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EF1D3D" w:rsidRPr="00B525D3" w:rsidP="00EF1D3D" w14:paraId="1EE26C89" w14:textId="77777777">
      <w:pPr>
        <w:widowControl w:val="0"/>
        <w:tabs>
          <w:tab w:val="left" w:pos="9604"/>
        </w:tabs>
        <w:spacing w:before="240" w:line="276" w:lineRule="auto"/>
        <w:ind w:left="-1"/>
        <w:rPr>
          <w:rFonts w:ascii="Tahoma" w:hAnsi="Tahoma" w:cs="Tahoma"/>
          <w:sz w:val="18"/>
          <w:szCs w:val="18"/>
          <w:rtl/>
        </w:rPr>
      </w:pPr>
      <w:r w:rsidRPr="00B525D3">
        <w:rPr>
          <w:rFonts w:ascii="Tahoma" w:hAnsi="Tahoma" w:cs="Tahoma"/>
          <w:sz w:val="18"/>
          <w:szCs w:val="18"/>
          <w:rtl/>
        </w:rPr>
        <w:t xml:space="preserve">ענף התחבורה הוא אחד הענפים הכלכליים המרכזיים במשק שיש לו זיקה וקשרי גומלין הדוקים לענפי המשק האחרים, ועל כן פיתוחה ושיפורה הם מנוף מכריע בתהליך הצמיחה הכלכלית, בפיתוח העירוני והאזורי ובהעלאת רמת הבטיחות, לרווחת אזרחי המדינה. אחת הדרכים להתמודד עם מגבלות תקציב המדינה בפיתוח תשתיות של תחבורה היא שיתוף פעולה בין המגזר הציבורי למגזר הפרטי בהקמת פרויקטים ציבוריים במודל </w:t>
      </w:r>
      <w:r w:rsidRPr="00B525D3">
        <w:rPr>
          <w:rFonts w:ascii="Tahoma" w:hAnsi="Tahoma" w:cs="Tahoma"/>
          <w:sz w:val="18"/>
          <w:szCs w:val="18"/>
        </w:rPr>
        <w:t>BOT</w:t>
      </w:r>
      <w:r w:rsidRPr="00B525D3">
        <w:rPr>
          <w:rFonts w:ascii="Tahoma" w:hAnsi="Tahoma" w:cs="Tahoma"/>
          <w:sz w:val="18"/>
          <w:szCs w:val="18"/>
          <w:rtl/>
        </w:rPr>
        <w:t xml:space="preserve"> (</w:t>
      </w:r>
      <w:r w:rsidRPr="00B525D3">
        <w:rPr>
          <w:rFonts w:ascii="Tahoma" w:hAnsi="Tahoma" w:cs="Tahoma"/>
          <w:sz w:val="18"/>
          <w:szCs w:val="18"/>
        </w:rPr>
        <w:t>Build-Operate-Transfer</w:t>
      </w:r>
      <w:r w:rsidRPr="00B525D3">
        <w:rPr>
          <w:rFonts w:ascii="Tahoma" w:hAnsi="Tahoma" w:cs="Tahoma"/>
          <w:sz w:val="18"/>
          <w:szCs w:val="18"/>
          <w:rtl/>
        </w:rPr>
        <w:t xml:space="preserve"> - בנייה, הפעלה והעברה). חברת חוצה ישראל היא חברה ממשלתית בבעלות מלאה שהוקמה במרץ 1993 כדי לקדם את סלילתו של כביש 6 בשיטת </w:t>
      </w:r>
      <w:r w:rsidRPr="00B525D3">
        <w:rPr>
          <w:rFonts w:ascii="Tahoma" w:hAnsi="Tahoma" w:cs="Tahoma"/>
          <w:sz w:val="18"/>
          <w:szCs w:val="18"/>
        </w:rPr>
        <w:t>BOT</w:t>
      </w:r>
      <w:r w:rsidRPr="00B525D3">
        <w:rPr>
          <w:rFonts w:ascii="Tahoma" w:hAnsi="Tahoma" w:cs="Tahoma"/>
          <w:sz w:val="18"/>
          <w:szCs w:val="18"/>
          <w:rtl/>
        </w:rPr>
        <w:t xml:space="preserve"> והיא משמשת כרשות ממונה על כביש 6, המופעל על ידי שני זכיינים פרטיים, וכן על מנהרות הכרמל והנתיב המהיר שהוקמו אף הם בשיטת </w:t>
      </w:r>
      <w:r w:rsidRPr="00B525D3">
        <w:rPr>
          <w:rFonts w:ascii="Tahoma" w:hAnsi="Tahoma" w:cs="Tahoma"/>
          <w:sz w:val="18"/>
          <w:szCs w:val="18"/>
        </w:rPr>
        <w:t>BOT</w:t>
      </w:r>
      <w:r w:rsidRPr="00B525D3">
        <w:rPr>
          <w:rFonts w:ascii="Tahoma" w:hAnsi="Tahoma" w:cs="Tahoma"/>
          <w:sz w:val="18"/>
          <w:szCs w:val="18"/>
          <w:rtl/>
        </w:rPr>
        <w:t xml:space="preserve">. </w:t>
      </w:r>
    </w:p>
    <w:p w:rsidR="00EF1D3D" w:rsidRPr="00B525D3" w:rsidP="00EF1D3D" w14:paraId="64112AAD" w14:textId="77777777">
      <w:pPr>
        <w:widowControl w:val="0"/>
        <w:tabs>
          <w:tab w:val="left" w:pos="9604"/>
        </w:tabs>
        <w:spacing w:before="240" w:line="276" w:lineRule="auto"/>
        <w:ind w:left="-1"/>
        <w:rPr>
          <w:rFonts w:ascii="Tahoma" w:hAnsi="Tahoma" w:cs="Tahoma"/>
          <w:sz w:val="18"/>
          <w:szCs w:val="18"/>
          <w:rtl/>
        </w:rPr>
      </w:pPr>
      <w:r w:rsidRPr="00B525D3">
        <w:rPr>
          <w:rFonts w:ascii="Tahoma" w:hAnsi="Tahoma" w:cs="Tahoma"/>
          <w:sz w:val="18"/>
          <w:szCs w:val="18"/>
          <w:rtl/>
        </w:rPr>
        <w:t xml:space="preserve">משרד מבקר המדינה ממליץ למשרד התחבורה למשרד האוצר ולחוצה ישראל לקיים דיוני הפקת לקחים, ולתעדם לצורך שימור הידע הארגוני; לנתח את הכדאיות הכלכלית </w:t>
      </w:r>
      <w:r w:rsidRPr="00B525D3">
        <w:rPr>
          <w:rFonts w:ascii="Tahoma" w:hAnsi="Tahoma" w:cs="Tahoma" w:hint="cs"/>
          <w:sz w:val="18"/>
          <w:szCs w:val="18"/>
          <w:rtl/>
        </w:rPr>
        <w:t xml:space="preserve">בפועל </w:t>
      </w:r>
      <w:r w:rsidRPr="00B525D3">
        <w:rPr>
          <w:rFonts w:ascii="Tahoma" w:hAnsi="Tahoma" w:cs="Tahoma"/>
          <w:sz w:val="18"/>
          <w:szCs w:val="18"/>
          <w:rtl/>
        </w:rPr>
        <w:t xml:space="preserve">של </w:t>
      </w:r>
      <w:r w:rsidRPr="00B525D3">
        <w:rPr>
          <w:rFonts w:ascii="Tahoma" w:hAnsi="Tahoma" w:cs="Tahoma" w:hint="cs"/>
          <w:sz w:val="18"/>
          <w:szCs w:val="18"/>
          <w:rtl/>
        </w:rPr>
        <w:t xml:space="preserve">כבישים שהוקמו בעבר </w:t>
      </w:r>
      <w:r w:rsidRPr="00B525D3">
        <w:rPr>
          <w:rFonts w:ascii="Tahoma" w:hAnsi="Tahoma" w:cs="Tahoma"/>
          <w:sz w:val="18"/>
          <w:szCs w:val="18"/>
          <w:rtl/>
        </w:rPr>
        <w:t xml:space="preserve">בשיטת </w:t>
      </w:r>
      <w:r w:rsidRPr="00B525D3">
        <w:rPr>
          <w:rFonts w:ascii="Tahoma" w:hAnsi="Tahoma" w:cs="Tahoma"/>
          <w:sz w:val="18"/>
          <w:szCs w:val="18"/>
        </w:rPr>
        <w:t>PPP</w:t>
      </w:r>
      <w:r w:rsidRPr="00B525D3">
        <w:rPr>
          <w:rFonts w:ascii="Tahoma" w:hAnsi="Tahoma" w:cs="Tahoma"/>
          <w:sz w:val="18"/>
          <w:szCs w:val="18"/>
          <w:rtl/>
        </w:rPr>
        <w:t xml:space="preserve"> לעומת הקמת כבישים </w:t>
      </w:r>
      <w:r w:rsidRPr="00B525D3">
        <w:rPr>
          <w:rFonts w:ascii="Tahoma" w:hAnsi="Tahoma" w:cs="Tahoma" w:hint="cs"/>
          <w:sz w:val="18"/>
          <w:szCs w:val="18"/>
          <w:rtl/>
        </w:rPr>
        <w:t>במימון</w:t>
      </w:r>
      <w:r w:rsidRPr="00B525D3">
        <w:rPr>
          <w:rFonts w:ascii="Tahoma" w:hAnsi="Tahoma" w:cs="Tahoma"/>
          <w:sz w:val="18"/>
          <w:szCs w:val="18"/>
          <w:rtl/>
        </w:rPr>
        <w:t xml:space="preserve"> תקציבי, לשם היערכות מתאימה לקראת פרויקטים דומים בעתיד; לעקוב באופן שוטף אחר עומסי התנועה, אחר תנועת כלי הרכב, מהירות הנסיעה ופרמטרים נוספים ולפעול ליישום פתרונות אופטימליים לבעיה זו בפרק זמן קצר ככל הניתן; להשלים את הרחבת כביש 6 במועד שנקבע כדי למנוע את הפגיעה המתמשכת בציבור הנוסעים ובכלכלת המשק; לבחון את סוגיית </w:t>
      </w:r>
      <w:r w:rsidRPr="00B525D3">
        <w:rPr>
          <w:rFonts w:ascii="Tahoma" w:hAnsi="Tahoma" w:cs="Tahoma"/>
          <w:sz w:val="18"/>
          <w:szCs w:val="18"/>
          <w:rtl/>
        </w:rPr>
        <w:t>הנר"ת</w:t>
      </w:r>
      <w:r w:rsidRPr="00B525D3">
        <w:rPr>
          <w:rFonts w:ascii="Tahoma" w:hAnsi="Tahoma" w:cs="Tahoma"/>
          <w:sz w:val="18"/>
          <w:szCs w:val="18"/>
          <w:rtl/>
        </w:rPr>
        <w:t xml:space="preserve"> ובכלל זה האפקטיביות של </w:t>
      </w:r>
      <w:r w:rsidRPr="00B525D3">
        <w:rPr>
          <w:rFonts w:ascii="Tahoma" w:hAnsi="Tahoma" w:cs="Tahoma"/>
          <w:sz w:val="18"/>
          <w:szCs w:val="18"/>
          <w:rtl/>
        </w:rPr>
        <w:t>הנר"ת</w:t>
      </w:r>
      <w:r w:rsidRPr="00B525D3">
        <w:rPr>
          <w:rFonts w:ascii="Tahoma" w:hAnsi="Tahoma" w:cs="Tahoma"/>
          <w:sz w:val="18"/>
          <w:szCs w:val="18"/>
          <w:rtl/>
        </w:rPr>
        <w:t xml:space="preserve"> והשפעתו על התנועה, ההיתכנות ולוחות הזמנים להפעלת רשת </w:t>
      </w:r>
      <w:r w:rsidRPr="00B525D3">
        <w:rPr>
          <w:rFonts w:ascii="Tahoma" w:hAnsi="Tahoma" w:cs="Tahoma"/>
          <w:sz w:val="18"/>
          <w:szCs w:val="18"/>
          <w:rtl/>
        </w:rPr>
        <w:t>נר"תים</w:t>
      </w:r>
      <w:r w:rsidRPr="00B525D3">
        <w:rPr>
          <w:rFonts w:ascii="Tahoma" w:hAnsi="Tahoma" w:cs="Tahoma"/>
          <w:sz w:val="18"/>
          <w:szCs w:val="18"/>
          <w:rtl/>
        </w:rPr>
        <w:t xml:space="preserve">, והארכת תקופת הזיכיון; לבחון את הטענה כי נוהל </w:t>
      </w:r>
      <w:r w:rsidRPr="00B525D3">
        <w:rPr>
          <w:rFonts w:ascii="Tahoma" w:hAnsi="Tahoma" w:cs="Tahoma"/>
          <w:sz w:val="18"/>
          <w:szCs w:val="18"/>
          <w:rtl/>
        </w:rPr>
        <w:t>פר״ת</w:t>
      </w:r>
      <w:r w:rsidRPr="00B525D3">
        <w:rPr>
          <w:rFonts w:ascii="Tahoma" w:hAnsi="Tahoma" w:cs="Tahoma"/>
          <w:sz w:val="18"/>
          <w:szCs w:val="18"/>
          <w:rtl/>
        </w:rPr>
        <w:t xml:space="preserve"> אינו </w:t>
      </w:r>
      <w:r w:rsidRPr="00B525D3">
        <w:rPr>
          <w:rFonts w:ascii="Tahoma" w:hAnsi="Tahoma" w:cs="Tahoma"/>
          <w:sz w:val="18"/>
          <w:szCs w:val="18"/>
          <w:rtl/>
        </w:rPr>
        <w:t>אומד</w:t>
      </w:r>
      <w:r w:rsidRPr="00B525D3">
        <w:rPr>
          <w:rFonts w:ascii="Tahoma" w:hAnsi="Tahoma" w:cs="Tahoma"/>
          <w:sz w:val="18"/>
          <w:szCs w:val="18"/>
          <w:rtl/>
        </w:rPr>
        <w:t xml:space="preserve"> את מלוא התועלות הכלכליות מנתיבי תחבורה ציבורית לעומת נתיבים לרכב פרטי ולעדכנו במקרה הצורך. משרד מבקר המדינה ממליץ עוד לחברת חוצה ישראל</w:t>
      </w:r>
      <w:r w:rsidRPr="00B525D3">
        <w:rPr>
          <w:rFonts w:ascii="Tahoma" w:hAnsi="Tahoma" w:cs="Tahoma" w:hint="cs"/>
          <w:sz w:val="18"/>
          <w:szCs w:val="18"/>
          <w:rtl/>
        </w:rPr>
        <w:t>,</w:t>
      </w:r>
      <w:r w:rsidRPr="00B525D3">
        <w:rPr>
          <w:rFonts w:ascii="Tahoma" w:hAnsi="Tahoma" w:cs="Tahoma"/>
          <w:sz w:val="18"/>
          <w:szCs w:val="18"/>
          <w:rtl/>
        </w:rPr>
        <w:t xml:space="preserve"> למשרד התחבורה</w:t>
      </w:r>
      <w:r w:rsidRPr="00B525D3">
        <w:rPr>
          <w:rFonts w:ascii="Tahoma" w:hAnsi="Tahoma" w:cs="Tahoma" w:hint="cs"/>
          <w:sz w:val="18"/>
          <w:szCs w:val="18"/>
          <w:rtl/>
        </w:rPr>
        <w:t xml:space="preserve"> ולמשרד האוצר </w:t>
      </w:r>
      <w:r w:rsidRPr="00B525D3">
        <w:rPr>
          <w:rFonts w:ascii="Tahoma" w:hAnsi="Tahoma" w:cs="Tahoma"/>
          <w:sz w:val="18"/>
          <w:szCs w:val="18"/>
          <w:rtl/>
        </w:rPr>
        <w:t>לבחון ולשקול את האפשרות ליצירת מבנה תעריפים אחיד</w:t>
      </w:r>
      <w:r w:rsidRPr="00B525D3">
        <w:rPr>
          <w:rFonts w:ascii="Tahoma" w:hAnsi="Tahoma" w:cs="Tahoma" w:hint="cs"/>
          <w:sz w:val="18"/>
          <w:szCs w:val="18"/>
          <w:rtl/>
        </w:rPr>
        <w:t>,</w:t>
      </w:r>
      <w:r w:rsidRPr="00B525D3">
        <w:rPr>
          <w:rFonts w:ascii="Tahoma" w:hAnsi="Tahoma" w:cs="Tahoma"/>
          <w:sz w:val="18"/>
          <w:szCs w:val="18"/>
          <w:rtl/>
        </w:rPr>
        <w:t xml:space="preserve"> עקבי ולא תנודתי שיהיה לו קשר לסוג הרכב, סוג המנוי ומרחק הנסיעה, זאת כדי למנוע פערים ניכרים בתעריפי הנסיעה ולאפשר לנוסעים שקיפות שתאפשר להם לקבל החלטות מתאימות יותר, כל זאת לנוכח הצפי של הצטרפות זכיינים נוספים, עם ביצוע הארכות לכביש 6; לפעול לגיבוש מבנה תעריפים דיפרנציאלי </w:t>
      </w:r>
      <w:r w:rsidRPr="00B525D3">
        <w:rPr>
          <w:rFonts w:ascii="Tahoma" w:hAnsi="Tahoma" w:cs="Tahoma" w:hint="cs"/>
          <w:sz w:val="18"/>
          <w:szCs w:val="18"/>
          <w:rtl/>
        </w:rPr>
        <w:t xml:space="preserve">לרכב פרטי </w:t>
      </w:r>
      <w:r w:rsidRPr="00B525D3">
        <w:rPr>
          <w:rFonts w:ascii="Tahoma" w:hAnsi="Tahoma" w:cs="Tahoma"/>
          <w:sz w:val="18"/>
          <w:szCs w:val="18"/>
          <w:rtl/>
        </w:rPr>
        <w:t>שיהיה תואם לרמת השירות הניתנת בכביש 6 ובאופן שיקטין את רמת העומסים בכביש, ולהגיע מבעוד מועד, בטרם סיום ההרחבה</w:t>
      </w:r>
      <w:r w:rsidRPr="00B525D3">
        <w:rPr>
          <w:rFonts w:ascii="Tahoma" w:hAnsi="Tahoma" w:cs="Tahoma" w:hint="cs"/>
          <w:sz w:val="18"/>
          <w:szCs w:val="18"/>
          <w:rtl/>
        </w:rPr>
        <w:t>,</w:t>
      </w:r>
      <w:r w:rsidRPr="00B525D3">
        <w:rPr>
          <w:rFonts w:ascii="Tahoma" w:hAnsi="Tahoma" w:cs="Tahoma"/>
          <w:sz w:val="18"/>
          <w:szCs w:val="18"/>
          <w:rtl/>
        </w:rPr>
        <w:t xml:space="preserve"> להסכמה עם הזכיין כך שעם סיום ההרחבה ייושם מבנה תעריפים דיפרנציאלי התואם לרמת השירות.</w:t>
      </w:r>
    </w:p>
    <w:p w:rsidR="00EF1D3D" w14:paraId="3D558F60" w14:textId="0485E04D">
      <w:pPr>
        <w:bidi w:val="0"/>
        <w:spacing w:after="200" w:line="276" w:lineRule="auto"/>
        <w:rPr>
          <w:rtl/>
        </w:rPr>
      </w:pPr>
      <w:r>
        <w:rPr>
          <w:rtl/>
        </w:rPr>
        <w:br w:type="page"/>
      </w:r>
    </w:p>
    <w:p w:rsidR="00D57BE9" w:rsidP="00EF1D3D" w14:paraId="1EFA8EEA" w14:textId="4934607C">
      <w:pPr>
        <w:widowControl w:val="0"/>
        <w:tabs>
          <w:tab w:val="left" w:pos="9604"/>
        </w:tabs>
        <w:spacing w:before="240" w:line="276" w:lineRule="auto"/>
        <w:ind w:left="-1"/>
        <w:rPr>
          <w:rtl/>
        </w:rPr>
      </w:pPr>
      <w:r>
        <w:rPr>
          <w:noProof/>
          <w:rtl/>
          <w:lang w:val="he-IL"/>
        </w:rPr>
        <mc:AlternateContent>
          <mc:Choice Requires="wps">
            <w:drawing>
              <wp:anchor distT="0" distB="0" distL="114300" distR="114300" simplePos="0" relativeHeight="251704320" behindDoc="0" locked="0" layoutInCell="1" allowOverlap="1">
                <wp:simplePos x="0" y="0"/>
                <wp:positionH relativeFrom="column">
                  <wp:posOffset>4427755</wp:posOffset>
                </wp:positionH>
                <wp:positionV relativeFrom="paragraph">
                  <wp:posOffset>6493777</wp:posOffset>
                </wp:positionV>
                <wp:extent cx="885390" cy="1395663"/>
                <wp:effectExtent l="0" t="0" r="16510" b="14605"/>
                <wp:wrapNone/>
                <wp:docPr id="17677738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885390" cy="139566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6" style="width:69.7pt;height:109.9pt;margin-top:511.3pt;margin-left:348.65pt;mso-width-percent:0;mso-width-relative:margin;mso-wrap-distance-bottom:0;mso-wrap-distance-left:9pt;mso-wrap-distance-right:9pt;mso-wrap-distance-top:0;mso-wrap-style:square;position:absolute;visibility:visible;v-text-anchor:middle;z-index:251705344" fillcolor="white" strokecolor="white" strokeweight="1.25pt"/>
            </w:pict>
          </mc:Fallback>
        </mc:AlternateContent>
      </w:r>
      <w:r>
        <w:rPr>
          <w:noProof/>
          <w:rtl/>
          <w:lang w:val="he-IL"/>
        </w:rPr>
        <mc:AlternateContent>
          <mc:Choice Requires="wps">
            <w:drawing>
              <wp:anchor distT="0" distB="0" distL="114300" distR="114300" simplePos="0" relativeHeight="251702272" behindDoc="0" locked="0" layoutInCell="1" allowOverlap="1">
                <wp:simplePos x="0" y="0"/>
                <wp:positionH relativeFrom="column">
                  <wp:posOffset>-1392054</wp:posOffset>
                </wp:positionH>
                <wp:positionV relativeFrom="paragraph">
                  <wp:posOffset>-797359</wp:posOffset>
                </wp:positionV>
                <wp:extent cx="6408821" cy="1395663"/>
                <wp:effectExtent l="0" t="0" r="17780" b="14605"/>
                <wp:wrapNone/>
                <wp:docPr id="1792483708"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408821" cy="139566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7" style="width:504.65pt;height:109.9pt;margin-top:-62.8pt;margin-left:-109.6pt;mso-wrap-distance-bottom:0;mso-wrap-distance-left:9pt;mso-wrap-distance-right:9pt;mso-wrap-distance-top:0;mso-wrap-style:square;position:absolute;visibility:visible;v-text-anchor:middle;z-index:251703296" fillcolor="white" strokecolor="white" strokeweight="1.25pt"/>
            </w:pict>
          </mc:Fallback>
        </mc:AlternateContent>
      </w:r>
    </w:p>
    <w:sectPr w:rsidSect="00E64843">
      <w:headerReference w:type="default" r:id="rId28"/>
      <w:pgSz w:w="11906" w:h="16838" w:code="9"/>
      <w:pgMar w:top="3062" w:right="2268" w:bottom="2552" w:left="2268" w:header="1134" w:footer="1361" w:gutter="0"/>
      <w:pgNumType w:start="11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6F2A9B" w14:paraId="79EDEA9B" w14:textId="77777777">
      <w:pPr>
        <w:spacing w:line="240" w:lineRule="auto"/>
      </w:pPr>
      <w:r>
        <w:separator/>
      </w:r>
    </w:p>
    <w:p w:rsidR="006F2A9B" w14:paraId="374E3A0A" w14:textId="77777777"/>
    <w:p w:rsidR="006F2A9B" w14:paraId="4F1563AE" w14:textId="77777777"/>
    <w:p w:rsidR="006F2A9B" w14:paraId="029DE015" w14:textId="77777777"/>
  </w:endnote>
  <w:endnote w:type="continuationSeparator" w:id="1">
    <w:p w:rsidR="006F2A9B" w14:paraId="074947E2" w14:textId="77777777">
      <w:pPr>
        <w:spacing w:line="240" w:lineRule="auto"/>
      </w:pPr>
      <w:r>
        <w:continuationSeparator/>
      </w:r>
    </w:p>
    <w:p w:rsidR="006F2A9B" w14:paraId="21575430" w14:textId="77777777"/>
    <w:p w:rsidR="006F2A9B" w14:paraId="2E4579EC" w14:textId="77777777"/>
    <w:p w:rsidR="006F2A9B" w14:paraId="3A632D5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6E79" w:rsidP="004A6E79" w14:paraId="351AB7F3" w14:textId="77777777">
    <w:pPr>
      <w:pStyle w:val="Footer"/>
      <w:spacing w:after="120" w:line="312" w:lineRule="auto"/>
      <w:ind w:left="-510"/>
      <w:jc w:val="left"/>
      <w:rPr>
        <w:rFonts w:ascii="Tahoma" w:hAnsi="Tahoma" w:cs="Tahoma"/>
        <w:sz w:val="18"/>
        <w:szCs w:val="18"/>
        <w:rtl/>
      </w:rPr>
    </w:pPr>
  </w:p>
  <w:p w:rsidR="004A6E79" w:rsidP="004A6E79" w14:paraId="5D0FC628" w14:textId="2268232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P="004A6E79" w14:paraId="7B1FF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64843" w14:paraId="07BEEB4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F2A9B" w:rsidP="00E7235E" w14:paraId="357C4080" w14:textId="77777777">
      <w:pPr>
        <w:spacing w:line="240" w:lineRule="auto"/>
      </w:pPr>
      <w:r>
        <w:separator/>
      </w:r>
    </w:p>
  </w:footnote>
  <w:footnote w:type="continuationSeparator" w:id="1">
    <w:p w:rsidR="006F2A9B" w:rsidP="00C23CC9" w14:paraId="317B9A9D" w14:textId="77777777">
      <w:pPr>
        <w:spacing w:line="240" w:lineRule="auto"/>
      </w:pPr>
      <w:r>
        <w:continuationSeparator/>
      </w:r>
    </w:p>
    <w:p w:rsidR="006F2A9B" w14:paraId="6DE74AEE" w14:textId="77777777"/>
    <w:p w:rsidR="006F2A9B" w14:paraId="5D327AC1" w14:textId="77777777"/>
    <w:p w:rsidR="006F2A9B" w14:paraId="749C2656" w14:textId="77777777"/>
  </w:footnote>
  <w:footnote w:id="2">
    <w:p w:rsidR="00A7073C" w:rsidRPr="001B667C" w:rsidP="001B667C" w14:paraId="69D466D6" w14:textId="77777777">
      <w:pPr>
        <w:pStyle w:val="712"/>
      </w:pPr>
      <w:r w:rsidRPr="001B667C">
        <w:rPr>
          <w:rStyle w:val="FootnoteReference2"/>
          <w:vertAlign w:val="baseline"/>
        </w:rPr>
        <w:footnoteRef/>
      </w:r>
      <w:r w:rsidRPr="001B667C">
        <w:rPr>
          <w:rtl/>
        </w:rPr>
        <w:t xml:space="preserve"> </w:t>
      </w:r>
      <w:r w:rsidRPr="001B667C">
        <w:rPr>
          <w:rtl/>
        </w:rPr>
        <w:tab/>
      </w:r>
      <w:r w:rsidRPr="001B667C">
        <w:rPr>
          <w:rFonts w:hint="cs"/>
          <w:rtl/>
        </w:rPr>
        <w:t>ועדה בין משרדית ברשות סגן בכיר לחשב הכללי שבה מכהנים נציגים מהחשכ"ל, מאגף התקציבים, ממשרד התחבורה, מחברת ענבל ומחברת חוצה ישראל.</w:t>
      </w:r>
    </w:p>
  </w:footnote>
  <w:footnote w:id="3">
    <w:p w:rsidR="00A7073C" w:rsidP="001B667C" w14:paraId="1479FE4E" w14:textId="77777777">
      <w:pPr>
        <w:pStyle w:val="712"/>
        <w:rPr>
          <w:rtl/>
        </w:rPr>
      </w:pPr>
      <w:r w:rsidRPr="001B667C">
        <w:rPr>
          <w:rStyle w:val="FootnoteReference2"/>
          <w:vertAlign w:val="baseline"/>
        </w:rPr>
        <w:footnoteRef/>
      </w:r>
      <w:r w:rsidRPr="001B667C">
        <w:rPr>
          <w:rtl/>
        </w:rPr>
        <w:t xml:space="preserve"> </w:t>
      </w:r>
      <w:r w:rsidRPr="001B667C">
        <w:rPr>
          <w:rtl/>
        </w:rPr>
        <w:tab/>
      </w:r>
      <w:r w:rsidRPr="001B667C">
        <w:rPr>
          <w:rFonts w:hint="cs"/>
          <w:rtl/>
        </w:rPr>
        <w:t>נתיב שבו, בהתאם למדיניות משרד התחבורה, מתאפשרת נסיעה של רכב פרטי רק אם יש בו מספר מזערי של נוסעים (כולל הנהג). המספר המזערי יכול להיות 2+ (נהג ועוד נוסע), 3+ (נהג ועוד שני נוסעים), ואף 4+ ויותר.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19C2361">
                          <w:pPr>
                            <w:pStyle w:val="Heading1"/>
                            <w:spacing w:line="269" w:lineRule="auto"/>
                            <w:jc w:val="left"/>
                            <w:rPr>
                              <w:rFonts w:ascii="Tahoma" w:hAnsi="Tahoma" w:eastAsiaTheme="minorHAnsi" w:cs="Tahoma"/>
                              <w:bCs w:val="0"/>
                              <w:color w:val="0D0D0D" w:themeColor="text1" w:themeTint="F2"/>
                              <w:sz w:val="16"/>
                              <w:szCs w:val="16"/>
                              <w:u w:val="none"/>
                            </w:rPr>
                          </w:pPr>
                          <w:r w:rsidRPr="005F7D7A">
                            <w:rPr>
                              <w:rFonts w:ascii="Tahoma" w:hAnsi="Tahoma" w:eastAsiaTheme="minorHAnsi" w:cs="Tahoma"/>
                              <w:bCs w:val="0"/>
                              <w:color w:val="0D0D0D" w:themeColor="text1" w:themeTint="F2"/>
                              <w:sz w:val="16"/>
                              <w:szCs w:val="16"/>
                              <w:u w:val="none"/>
                              <w:rtl/>
                            </w:rPr>
                            <w:t>הפעלת כבישי אגרה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719C2361">
                    <w:pPr>
                      <w:pStyle w:val="Heading1"/>
                      <w:spacing w:line="269" w:lineRule="auto"/>
                      <w:jc w:val="left"/>
                      <w:rPr>
                        <w:rFonts w:ascii="Tahoma" w:hAnsi="Tahoma" w:eastAsiaTheme="minorHAnsi" w:cs="Tahoma"/>
                        <w:bCs w:val="0"/>
                        <w:color w:val="0D0D0D" w:themeColor="text1" w:themeTint="F2"/>
                        <w:sz w:val="16"/>
                        <w:szCs w:val="16"/>
                        <w:u w:val="none"/>
                      </w:rPr>
                    </w:pPr>
                    <w:r w:rsidRPr="005F7D7A">
                      <w:rPr>
                        <w:rFonts w:ascii="Tahoma" w:hAnsi="Tahoma" w:eastAsiaTheme="minorHAnsi" w:cs="Tahoma"/>
                        <w:bCs w:val="0"/>
                        <w:color w:val="0D0D0D" w:themeColor="text1" w:themeTint="F2"/>
                        <w:sz w:val="16"/>
                        <w:szCs w:val="16"/>
                        <w:u w:val="none"/>
                        <w:rtl/>
                      </w:rPr>
                      <w:t>הפעלת כבישי אגרה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F7D7A" w14:textId="6D62712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64843">
                            <w:rPr>
                              <w:rFonts w:hint="cs"/>
                              <w:rtl/>
                            </w:rPr>
                            <w:t xml:space="preserve">    </w:t>
                          </w:r>
                          <w:r>
                            <w:rPr>
                              <w:rFonts w:hint="cs"/>
                              <w:rtl/>
                            </w:rPr>
                            <w:t xml:space="preserve">           </w:t>
                          </w:r>
                          <w:r w:rsidR="00E64843">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F7D7A" w:rsidR="005F7D7A">
                            <w:rPr>
                              <w:rFonts w:ascii="Tahoma" w:hAnsi="Tahoma" w:cs="Tahoma"/>
                              <w:b/>
                              <w:bCs/>
                              <w:rtl/>
                            </w:rPr>
                            <w:t>הפעלת כבישי אגרה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5F7D7A" w14:paraId="3B4CCAD6" w14:textId="6D62712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64843">
                      <w:rPr>
                        <w:rFonts w:hint="cs"/>
                        <w:rtl/>
                      </w:rPr>
                      <w:t xml:space="preserve">    </w:t>
                    </w:r>
                    <w:r>
                      <w:rPr>
                        <w:rFonts w:hint="cs"/>
                        <w:rtl/>
                      </w:rPr>
                      <w:t xml:space="preserve">           </w:t>
                    </w:r>
                    <w:r w:rsidR="00E64843">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F7D7A" w:rsidR="005F7D7A">
                      <w:rPr>
                        <w:rFonts w:ascii="Tahoma" w:hAnsi="Tahoma" w:cs="Tahoma"/>
                        <w:b/>
                        <w:bCs/>
                        <w:rtl/>
                      </w:rPr>
                      <w:t>הפעלת כבישי אגרה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45A7885F">
                          <w:pPr>
                            <w:jc w:val="right"/>
                            <w:rPr>
                              <w:color w:val="0D0D0D" w:themeColor="text1" w:themeTint="F2"/>
                              <w:sz w:val="16"/>
                              <w:szCs w:val="16"/>
                            </w:rPr>
                          </w:pPr>
                          <w:r w:rsidRPr="00AF6148">
                            <w:rPr>
                              <w:rFonts w:ascii="Tahoma" w:hAnsi="Tahoma" w:cs="Tahoma"/>
                              <w:color w:val="0D0D0D"/>
                              <w:sz w:val="16"/>
                              <w:szCs w:val="16"/>
                              <w:rtl/>
                            </w:rPr>
                            <w:t xml:space="preserve">דוח מבקר המדינה | חשוון </w:t>
                          </w:r>
                          <w:r w:rsidRPr="00AF6148">
                            <w:rPr>
                              <w:rFonts w:ascii="Tahoma" w:hAnsi="Tahoma" w:cs="Tahoma"/>
                              <w:color w:val="0D0D0D"/>
                              <w:sz w:val="16"/>
                              <w:szCs w:val="16"/>
                              <w:rtl/>
                            </w:rPr>
                            <w:t>התשפ"</w:t>
                          </w:r>
                          <w:r w:rsidR="002C45F5">
                            <w:rPr>
                              <w:rFonts w:ascii="Tahoma" w:hAnsi="Tahoma" w:cs="Tahoma" w:hint="cs"/>
                              <w:color w:val="0D0D0D"/>
                              <w:sz w:val="16"/>
                              <w:szCs w:val="16"/>
                              <w:rtl/>
                            </w:rPr>
                            <w:t>ה</w:t>
                          </w:r>
                          <w:r w:rsidRPr="00AF6148">
                            <w:rPr>
                              <w:rFonts w:ascii="Tahoma" w:hAnsi="Tahoma" w:cs="Tahoma"/>
                              <w:color w:val="0D0D0D"/>
                              <w:sz w:val="16"/>
                              <w:szCs w:val="16"/>
                              <w:rtl/>
                            </w:rPr>
                            <w:t xml:space="preserve"> | נובמבר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E56721" w:rsidRPr="00C55DC9" w:rsidP="00B244B0" w14:paraId="0C0E463E" w14:textId="45A7885F">
                    <w:pPr>
                      <w:jc w:val="right"/>
                      <w:rPr>
                        <w:color w:val="0D0D0D" w:themeColor="text1" w:themeTint="F2"/>
                        <w:sz w:val="16"/>
                        <w:szCs w:val="16"/>
                      </w:rPr>
                    </w:pPr>
                    <w:r w:rsidRPr="00AF6148">
                      <w:rPr>
                        <w:rFonts w:ascii="Tahoma" w:hAnsi="Tahoma" w:cs="Tahoma"/>
                        <w:color w:val="0D0D0D"/>
                        <w:sz w:val="16"/>
                        <w:szCs w:val="16"/>
                        <w:rtl/>
                      </w:rPr>
                      <w:t xml:space="preserve">דוח מבקר המדינה | חשוון </w:t>
                    </w:r>
                    <w:r w:rsidRPr="00AF6148">
                      <w:rPr>
                        <w:rFonts w:ascii="Tahoma" w:hAnsi="Tahoma" w:cs="Tahoma"/>
                        <w:color w:val="0D0D0D"/>
                        <w:sz w:val="16"/>
                        <w:szCs w:val="16"/>
                        <w:rtl/>
                      </w:rPr>
                      <w:t>התשפ"</w:t>
                    </w:r>
                    <w:r w:rsidR="002C45F5">
                      <w:rPr>
                        <w:rFonts w:ascii="Tahoma" w:hAnsi="Tahoma" w:cs="Tahoma" w:hint="cs"/>
                        <w:color w:val="0D0D0D"/>
                        <w:sz w:val="16"/>
                        <w:szCs w:val="16"/>
                        <w:rtl/>
                      </w:rPr>
                      <w:t>ה</w:t>
                    </w:r>
                    <w:r w:rsidRPr="00AF6148">
                      <w:rPr>
                        <w:rFonts w:ascii="Tahoma" w:hAnsi="Tahoma" w:cs="Tahoma"/>
                        <w:color w:val="0D0D0D"/>
                        <w:sz w:val="16"/>
                        <w:szCs w:val="16"/>
                        <w:rtl/>
                      </w:rPr>
                      <w:t xml:space="preserve"> | נובמבר 2024</w:t>
                    </w: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9">
    <w:nsid w:val="4BF07609"/>
    <w:multiLevelType w:val="hybridMultilevel"/>
    <w:tmpl w:val="F446A9A8"/>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4C5B10B4"/>
    <w:multiLevelType w:val="hybridMultilevel"/>
    <w:tmpl w:val="3BEE8FB4"/>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1">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699458C"/>
    <w:multiLevelType w:val="hybridMultilevel"/>
    <w:tmpl w:val="51EC5C12"/>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7D35D20"/>
    <w:multiLevelType w:val="hybridMultilevel"/>
    <w:tmpl w:val="C0AE448A"/>
    <w:lvl w:ilvl="0">
      <w:start w:val="1"/>
      <w:numFmt w:val="bullet"/>
      <w:lvlText w:val=""/>
      <w:lvlJc w:val="left"/>
      <w:pPr>
        <w:ind w:left="1080" w:hanging="360"/>
      </w:pPr>
      <w:rPr>
        <w:rFonts w:ascii="Symbol" w:hAnsi="Symbol" w:cs="Symbol" w:hint="default"/>
        <w:b/>
        <w:bCs/>
        <w:color w:val="FF0000"/>
        <w:sz w:val="28"/>
        <w:szCs w:val="28"/>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2"/>
  </w:num>
  <w:num w:numId="2" w16cid:durableId="159808484">
    <w:abstractNumId w:val="13"/>
  </w:num>
  <w:num w:numId="3" w16cid:durableId="2074310673">
    <w:abstractNumId w:val="16"/>
  </w:num>
  <w:num w:numId="4" w16cid:durableId="1596554476">
    <w:abstractNumId w:val="31"/>
  </w:num>
  <w:num w:numId="5" w16cid:durableId="781269690">
    <w:abstractNumId w:val="9"/>
  </w:num>
  <w:num w:numId="6" w16cid:durableId="1087919862">
    <w:abstractNumId w:val="17"/>
  </w:num>
  <w:num w:numId="7" w16cid:durableId="1266497691">
    <w:abstractNumId w:val="24"/>
  </w:num>
  <w:num w:numId="8" w16cid:durableId="1873692319">
    <w:abstractNumId w:val="11"/>
  </w:num>
  <w:num w:numId="9" w16cid:durableId="1479689730">
    <w:abstractNumId w:val="10"/>
  </w:num>
  <w:num w:numId="10" w16cid:durableId="1861623203">
    <w:abstractNumId w:val="8"/>
  </w:num>
  <w:num w:numId="11" w16cid:durableId="1544710153">
    <w:abstractNumId w:val="18"/>
  </w:num>
  <w:num w:numId="12" w16cid:durableId="1057507424">
    <w:abstractNumId w:val="23"/>
  </w:num>
  <w:num w:numId="13" w16cid:durableId="1609385757">
    <w:abstractNumId w:val="28"/>
  </w:num>
  <w:num w:numId="14" w16cid:durableId="1208831065">
    <w:abstractNumId w:val="21"/>
  </w:num>
  <w:num w:numId="15" w16cid:durableId="1425805868">
    <w:abstractNumId w:val="29"/>
  </w:num>
  <w:num w:numId="16" w16cid:durableId="1455250565">
    <w:abstractNumId w:val="12"/>
  </w:num>
  <w:num w:numId="17" w16cid:durableId="1398552641">
    <w:abstractNumId w:val="30"/>
  </w:num>
  <w:num w:numId="18" w16cid:durableId="1752001909">
    <w:abstractNumId w:val="25"/>
  </w:num>
  <w:num w:numId="19" w16cid:durableId="1971200875">
    <w:abstractNumId w:val="15"/>
  </w:num>
  <w:num w:numId="20" w16cid:durableId="499739379">
    <w:abstractNumId w:val="14"/>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595479399">
    <w:abstractNumId w:val="26"/>
  </w:num>
  <w:num w:numId="1430" w16cid:durableId="1434976396">
    <w:abstractNumId w:val="27"/>
  </w:num>
  <w:num w:numId="1431" w16cid:durableId="2114086573">
    <w:abstractNumId w:val="19"/>
  </w:num>
  <w:num w:numId="1432" w16cid:durableId="13880650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67C"/>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DF4"/>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5A"/>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5F5"/>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79"/>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4798"/>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5F7D7A"/>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280"/>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0FF"/>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A9B"/>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1F"/>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954"/>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887"/>
    <w:rsid w:val="008B09E2"/>
    <w:rsid w:val="008B1542"/>
    <w:rsid w:val="008B17A0"/>
    <w:rsid w:val="008B22B0"/>
    <w:rsid w:val="008B2C01"/>
    <w:rsid w:val="008B2D0C"/>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9EA"/>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3C"/>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A35"/>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48"/>
    <w:rsid w:val="00AF6195"/>
    <w:rsid w:val="00AF6305"/>
    <w:rsid w:val="00AF6A68"/>
    <w:rsid w:val="00AF72F9"/>
    <w:rsid w:val="00B001C6"/>
    <w:rsid w:val="00B008CC"/>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8D2"/>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5D3"/>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4C08"/>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EC4"/>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5AE2"/>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746"/>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7E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951"/>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843"/>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1D3D"/>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0F8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B0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349"/>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uiPriority w:val="99"/>
    <w:unhideWhenUsed/>
    <w:rsid w:val="00A707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theme" Target="theme/theme1.xml" /><Relationship Id="rId3" Type="http://schemas.openxmlformats.org/officeDocument/2006/relationships/settings" Target="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59F78B1-CF1A-43CF-BC86-8E30E011C0F1}"/>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24</TotalTime>
  <Pages>14</Pages>
  <Words>3740</Words>
  <Characters>18700</Characters>
  <Application>Microsoft Office Word</Application>
  <DocSecurity>0</DocSecurity>
  <Lines>155</Lines>
  <Paragraphs>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studio er</cp:lastModifiedBy>
  <cp:revision>11</cp:revision>
  <cp:lastPrinted>2023-07-16T07:57:00Z</cp:lastPrinted>
  <dcterms:created xsi:type="dcterms:W3CDTF">2024-08-27T13:14:00Z</dcterms:created>
  <dcterms:modified xsi:type="dcterms:W3CDTF">2025-04-01T13:26:00Z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