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0C3DE6"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0C3DE6"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0C3DE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1923052</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1.4pt" to="231.5pt,151.4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3060967</wp:posOffset>
                </wp:positionH>
                <wp:positionV relativeFrom="paragraph">
                  <wp:posOffset>263792</wp:posOffset>
                </wp:positionV>
                <wp:extent cx="0" cy="4636169"/>
                <wp:effectExtent l="25400" t="0" r="25400" b="24765"/>
                <wp:wrapNone/>
                <wp:docPr id="5" name="Straight Connector 5"/>
                <wp:cNvGraphicFramePr/>
                <a:graphic xmlns:a="http://schemas.openxmlformats.org/drawingml/2006/main">
                  <a:graphicData uri="http://schemas.microsoft.com/office/word/2010/wordprocessingShape">
                    <wps:wsp>
                      <wps:cNvCnPr/>
                      <wps:spPr>
                        <a:xfrm>
                          <a:off x="0" y="0"/>
                          <a:ext cx="0" cy="463616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pt,20.75pt" to="241pt,385.8pt" strokecolor="white" strokeweight="4pt"/>
            </w:pict>
          </mc:Fallback>
        </mc:AlternateContent>
      </w:r>
      <w:r w:rsidR="008A71D4"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0C3DE6" w:rsidP="008A71D4">
                            <w:pPr>
                              <w:pStyle w:val="afffd"/>
                              <w:bidi/>
                              <w:rPr>
                                <w:rtl/>
                              </w:rPr>
                            </w:pPr>
                            <w:r w:rsidRPr="00D27D83">
                              <w:rPr>
                                <w:rtl/>
                              </w:rPr>
                              <w:t>דוח מבקר המדינה | חשוון התשפ"ד | נובמבר 2024</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0C3DE6" w:rsidP="000F5023">
                            <w:pPr>
                              <w:pStyle w:val="-1"/>
                              <w:rPr>
                                <w:rtl/>
                              </w:rPr>
                            </w:pPr>
                            <w:r>
                              <w:rPr>
                                <w:rFonts w:hint="cs"/>
                                <w:rtl/>
                              </w:rPr>
                              <w:t>שלטון מקומי</w:t>
                            </w:r>
                          </w:p>
                          <w:p w:rsidR="00C30482" w:rsidRDefault="000C3DE6" w:rsidP="00386CCC">
                            <w:pPr>
                              <w:pStyle w:val="afffc"/>
                              <w:bidi/>
                              <w:spacing w:before="240"/>
                              <w:rPr>
                                <w:rtl/>
                              </w:rPr>
                            </w:pPr>
                            <w:r w:rsidRPr="00E86C14">
                              <w:rPr>
                                <w:rtl/>
                              </w:rPr>
                              <w:t>פרסום וניהול של מכרזי מסגרת ברשויות מקומיות ובתאגידים עירוניים</w:t>
                            </w:r>
                            <w:r w:rsidR="00D73746">
                              <w:rPr>
                                <w:rFonts w:hint="cs"/>
                                <w:rtl/>
                              </w:rPr>
                              <w:t xml:space="preserve"> </w:t>
                            </w:r>
                          </w:p>
                          <w:p w:rsidR="00E86C14" w:rsidRPr="000F5023" w:rsidRDefault="00E86C14" w:rsidP="00E86C14">
                            <w:pPr>
                              <w:pStyle w:val="afffc"/>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01EEF36">
                      <w:pPr>
                        <w:pStyle w:val="a33"/>
                        <w:bidi/>
                        <w:rPr>
                          <w:rtl/>
                        </w:rPr>
                      </w:pPr>
                      <w:r w:rsidRPr="00D27D83">
                        <w:rPr>
                          <w:rtl/>
                        </w:rPr>
                        <w:t xml:space="preserve">דוח מבקר המדינה | חשוון </w:t>
                      </w:r>
                      <w:r w:rsidRPr="00D27D83">
                        <w:rPr>
                          <w:rtl/>
                        </w:rPr>
                        <w:t>התשפ"ד</w:t>
                      </w:r>
                      <w:r w:rsidRPr="00D27D83">
                        <w:rPr>
                          <w:rtl/>
                        </w:rPr>
                        <w:t xml:space="preserve"> | נובמבר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DC12C1C">
                      <w:pPr>
                        <w:pStyle w:val="-1"/>
                        <w:rPr>
                          <w:rtl/>
                        </w:rPr>
                      </w:pPr>
                      <w:r>
                        <w:rPr>
                          <w:rFonts w:hint="cs"/>
                          <w:rtl/>
                        </w:rPr>
                        <w:t>שלטון</w:t>
                      </w:r>
                      <w:r>
                        <w:rPr>
                          <w:rFonts w:hint="cs"/>
                          <w:rtl/>
                        </w:rPr>
                        <w:t xml:space="preserve"> מקומי</w:t>
                      </w:r>
                    </w:p>
                    <w:p w:rsidR="00C30482" w:rsidP="00386CCC" w14:paraId="5BE5E625" w14:textId="11EBB08D">
                      <w:pPr>
                        <w:pStyle w:val="a32"/>
                        <w:bidi/>
                        <w:spacing w:before="240"/>
                        <w:rPr>
                          <w:rtl/>
                        </w:rPr>
                      </w:pPr>
                      <w:r w:rsidRPr="00E86C14">
                        <w:rPr>
                          <w:rtl/>
                        </w:rPr>
                        <w:t>פרסום וניהול של מכרזי מסגרת ברשויות מקומיות ובתאגידים עירוניים</w:t>
                      </w:r>
                      <w:r w:rsidR="00D73746">
                        <w:rPr>
                          <w:rFonts w:hint="cs"/>
                          <w:rtl/>
                        </w:rPr>
                        <w:t xml:space="preserve"> </w:t>
                      </w:r>
                    </w:p>
                    <w:p w:rsidR="00E86C14" w:rsidRPr="000F5023" w:rsidP="00E86C14" w14:paraId="5DC765A1"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0C3DE6"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01248" behindDoc="0" locked="0" layoutInCell="1" allowOverlap="1">
                <wp:simplePos x="0" y="0"/>
                <wp:positionH relativeFrom="column">
                  <wp:posOffset>3854887</wp:posOffset>
                </wp:positionH>
                <wp:positionV relativeFrom="paragraph">
                  <wp:posOffset>6670623</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5.25pt;margin-left:303.55pt;flip:y;mso-height-percent:0;mso-height-relative:margin;mso-width-percent:0;mso-width-relative:margin;mso-wrap-distance-bottom:0;mso-wrap-distance-left:9pt;mso-wrap-distance-right:9pt;mso-wrap-distance-top:0;mso-wrap-style:square;position:absolute;visibility:visible;v-text-anchor:middle;z-index:25170227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B93C72" w:rsidRDefault="000C3DE6" w:rsidP="00FE3A0B">
      <w:pPr>
        <w:pStyle w:val="7320"/>
        <w:spacing w:after="720"/>
        <w:rPr>
          <w:rtl/>
        </w:r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4A6E79"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-657454</wp:posOffset>
                </wp:positionH>
                <wp:positionV relativeFrom="paragraph">
                  <wp:posOffset>-225298</wp:posOffset>
                </wp:positionV>
                <wp:extent cx="194310" cy="6120282"/>
                <wp:effectExtent l="0" t="0" r="0" b="127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612028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81.9pt;margin-top:-17.75pt;margin-left:-51.7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00E86C14" w:rsidRPr="00E86C14">
        <w:rPr>
          <w:noProof/>
          <w:rtl/>
        </w:rPr>
        <w:t>פרסום וניהול של מכרזי מסגרת ברשויות מקומיות ובתאגידים עירוניים</w:t>
      </w:r>
      <w:r w:rsidR="00D73746">
        <w:rPr>
          <w:rFonts w:hint="cs"/>
          <w:noProof/>
          <w:rtl/>
        </w:rPr>
        <w:t xml:space="preserve"> </w:t>
      </w:r>
    </w:p>
    <w:p w:rsidR="00E86C14" w:rsidRPr="00247EEA" w:rsidRDefault="000C3DE6" w:rsidP="00E86C14">
      <w:pPr>
        <w:pStyle w:val="7392"/>
        <w:spacing w:before="840"/>
        <w:rPr>
          <w:rtl/>
        </w:rPr>
      </w:pPr>
      <w:r w:rsidRPr="00247EEA">
        <w:rPr>
          <w:rFonts w:hint="cs"/>
          <w:rtl/>
        </w:rPr>
        <w:t>כדי</w:t>
      </w:r>
      <w:r w:rsidRPr="00247EEA">
        <w:rPr>
          <w:rtl/>
        </w:rPr>
        <w:t xml:space="preserve"> להבטיח שהרשות המקומית תעמוד בחובתה לחלק את משאביה בהליך מסודר ושקוף </w:t>
      </w:r>
      <w:r w:rsidRPr="00247EEA">
        <w:rPr>
          <w:rFonts w:hint="cs"/>
          <w:rtl/>
        </w:rPr>
        <w:t>ו</w:t>
      </w:r>
      <w:r w:rsidRPr="00247EEA">
        <w:rPr>
          <w:rtl/>
        </w:rPr>
        <w:t>כדי למנוע הקצאה לא</w:t>
      </w:r>
      <w:r w:rsidRPr="00247EEA">
        <w:rPr>
          <w:rFonts w:hint="cs"/>
          <w:rtl/>
        </w:rPr>
        <w:t>-</w:t>
      </w:r>
      <w:r w:rsidRPr="00247EEA">
        <w:rPr>
          <w:rtl/>
        </w:rPr>
        <w:t>שוויונית של משאביה, קבע המחוקק, בין היתר, הסדרים לחלוקת משאבים על ידי הרשות.</w:t>
      </w:r>
      <w:r w:rsidRPr="00247EEA">
        <w:rPr>
          <w:rFonts w:hint="cs"/>
          <w:rtl/>
        </w:rPr>
        <w:t xml:space="preserve"> על פי פקודת העיריות [נוסח חדש], עירייה לא תתקשר בחוזה להעברת טובין, להזמנת טובין או לביצוע</w:t>
      </w:r>
      <w:r w:rsidRPr="00247EEA">
        <w:rPr>
          <w:rFonts w:hint="cs"/>
          <w:rtl/>
        </w:rPr>
        <w:t xml:space="preserve"> עבודה "אלא על פי מכרז פומבי". </w:t>
      </w:r>
      <w:r w:rsidRPr="00247EEA">
        <w:rPr>
          <w:rtl/>
        </w:rPr>
        <w:t>מהבחינה הציבורית</w:t>
      </w:r>
      <w:r w:rsidRPr="00247EEA">
        <w:rPr>
          <w:rFonts w:hint="cs"/>
          <w:rtl/>
        </w:rPr>
        <w:t>,</w:t>
      </w:r>
      <w:r w:rsidRPr="00247EEA">
        <w:rPr>
          <w:rtl/>
        </w:rPr>
        <w:t xml:space="preserve"> דיני המכרזים אמורים להגשים את עקרון השוויון באמצעות מתן הזדמנות שווה לכל אדם החפץ להגיש את מועמדותו. מהבחינה הכלכלית</w:t>
      </w:r>
      <w:r w:rsidRPr="00247EEA">
        <w:rPr>
          <w:rFonts w:hint="cs"/>
          <w:rtl/>
        </w:rPr>
        <w:t>,</w:t>
      </w:r>
      <w:r w:rsidRPr="00247EEA">
        <w:rPr>
          <w:rtl/>
        </w:rPr>
        <w:t xml:space="preserve"> דיני המכרזים מבטאים את השאיפה לנהוג בכספי הציבור באופן יעיל וחסכוני, תוך השגת מרב היתרונו</w:t>
      </w:r>
      <w:r w:rsidRPr="00247EEA">
        <w:rPr>
          <w:rtl/>
        </w:rPr>
        <w:t>ת למפרסם המכרז. על פי תקנות חובת המכרזים</w:t>
      </w:r>
      <w:r w:rsidRPr="00247EEA">
        <w:rPr>
          <w:rFonts w:hint="cs"/>
          <w:rtl/>
        </w:rPr>
        <w:t>, התשנ"ג-1993,</w:t>
      </w:r>
      <w:r w:rsidRPr="004566FB">
        <w:rPr>
          <w:rFonts w:hint="cs"/>
          <w:rtl/>
        </w:rPr>
        <w:t xml:space="preserve"> </w:t>
      </w:r>
      <w:r w:rsidRPr="00247EEA">
        <w:rPr>
          <w:rtl/>
        </w:rPr>
        <w:t xml:space="preserve">החלות על השלטון המרכזי, מכרז המסגרת </w:t>
      </w:r>
      <w:r w:rsidRPr="00247EEA">
        <w:rPr>
          <w:rFonts w:hint="cs"/>
          <w:rtl/>
        </w:rPr>
        <w:t>הוא מכרז פומבי ה</w:t>
      </w:r>
      <w:r w:rsidRPr="00247EEA">
        <w:rPr>
          <w:rtl/>
        </w:rPr>
        <w:t xml:space="preserve">בנוי משני שלבים: בשלב הראשון ועדת המכרזים בוחרת יותר מספק מסגרת אחד וחותמת עם הספקים שנבחרו על הסכם מסגרת. זהות הספק </w:t>
      </w:r>
      <w:r w:rsidRPr="00247EEA">
        <w:rPr>
          <w:rFonts w:hint="cs"/>
          <w:rtl/>
        </w:rPr>
        <w:t>ש</w:t>
      </w:r>
      <w:r w:rsidRPr="00247EEA">
        <w:rPr>
          <w:rtl/>
        </w:rPr>
        <w:t>ממנו תבוצע בפועל כל הזמנה של טו</w:t>
      </w:r>
      <w:r w:rsidRPr="00247EEA">
        <w:rPr>
          <w:rtl/>
        </w:rPr>
        <w:t xml:space="preserve">בין, עבודה או שירותים </w:t>
      </w:r>
      <w:r w:rsidRPr="00247EEA">
        <w:rPr>
          <w:rFonts w:hint="cs"/>
          <w:rtl/>
        </w:rPr>
        <w:t xml:space="preserve">(השלב השני) </w:t>
      </w:r>
      <w:r w:rsidRPr="00247EEA">
        <w:rPr>
          <w:rtl/>
        </w:rPr>
        <w:t>תיקבע מפעם לפעם במהלך תקופת הסכם המסגרת, לפי תנאי מכרז המסגרת. דיני המכרזים</w:t>
      </w:r>
      <w:r>
        <w:rPr>
          <w:vertAlign w:val="superscript"/>
          <w:rtl/>
        </w:rPr>
        <w:footnoteReference w:id="1"/>
      </w:r>
      <w:r w:rsidRPr="00247EEA">
        <w:rPr>
          <w:rtl/>
        </w:rPr>
        <w:t xml:space="preserve"> בשלטון המקומי אינם מסדירים את עריכתו של מכרז מסגרת ברשויות מקומיות. עם זאת, רשות מקומית שהחליטה לפרסם מכרז מסגרת נדרשת לשמור על עקרונות דיני המכר</w:t>
      </w:r>
      <w:r w:rsidRPr="00247EEA">
        <w:rPr>
          <w:rtl/>
        </w:rPr>
        <w:t>זים וההליך התחרותי, וביכולתה להקיש מהכללים החלים על השלטון המרכזי לעניין זה.</w:t>
      </w:r>
      <w:r w:rsidRPr="00247EEA">
        <w:rPr>
          <w:rFonts w:hint="cs"/>
          <w:rtl/>
        </w:rPr>
        <w:t xml:space="preserve"> משרד מבקר המדינה </w:t>
      </w:r>
      <w:r w:rsidRPr="00247EEA">
        <w:rPr>
          <w:rtl/>
        </w:rPr>
        <w:t>המל</w:t>
      </w:r>
      <w:r w:rsidRPr="00247EEA">
        <w:rPr>
          <w:rFonts w:hint="cs"/>
          <w:rtl/>
        </w:rPr>
        <w:t>י</w:t>
      </w:r>
      <w:r w:rsidRPr="00247EEA">
        <w:rPr>
          <w:rtl/>
        </w:rPr>
        <w:t xml:space="preserve">ץ למשרד הפנים </w:t>
      </w:r>
      <w:r w:rsidRPr="00247EEA">
        <w:rPr>
          <w:rFonts w:hint="cs"/>
          <w:rtl/>
        </w:rPr>
        <w:t xml:space="preserve">בדוח ביקורת משנת 2018 </w:t>
      </w:r>
      <w:r w:rsidRPr="00247EEA">
        <w:rPr>
          <w:rtl/>
        </w:rPr>
        <w:t>לקבוע הנחיות לרשויות המקומיות בכל הנוגע להליך ההתקשרות עם הזוכים בהסכ</w:t>
      </w:r>
      <w:r w:rsidRPr="00247EEA">
        <w:rPr>
          <w:rFonts w:hint="cs"/>
          <w:rtl/>
        </w:rPr>
        <w:t>מי</w:t>
      </w:r>
      <w:r w:rsidRPr="00247EEA">
        <w:rPr>
          <w:rtl/>
        </w:rPr>
        <w:t xml:space="preserve"> מסגרת</w:t>
      </w:r>
      <w:r>
        <w:rPr>
          <w:vertAlign w:val="superscript"/>
          <w:rtl/>
        </w:rPr>
        <w:footnoteReference w:id="2"/>
      </w:r>
      <w:r w:rsidRPr="00247EEA">
        <w:rPr>
          <w:rtl/>
        </w:rPr>
        <w:t>.</w:t>
      </w:r>
    </w:p>
    <w:p w:rsidR="007F4A20" w:rsidRDefault="000C3DE6">
      <w:pPr>
        <w:bidi w:val="0"/>
        <w:spacing w:after="200" w:line="276" w:lineRule="auto"/>
        <w:rPr>
          <w:rFonts w:ascii="Tahoma" w:hAnsi="Tahoma" w:cs="Tahoma"/>
          <w:color w:val="0D0D0D" w:themeColor="text1" w:themeTint="F2"/>
          <w:sz w:val="18"/>
          <w:szCs w:val="18"/>
          <w:rtl/>
        </w:rPr>
      </w:pPr>
      <w:r>
        <w:rPr>
          <w:rtl/>
        </w:rPr>
        <w:br w:type="page"/>
      </w:r>
    </w:p>
    <w:p w:rsidR="005D0F8C" w:rsidRDefault="000C3DE6"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277"/>
        <w:gridCol w:w="1508"/>
        <w:gridCol w:w="277"/>
        <w:gridCol w:w="1674"/>
        <w:gridCol w:w="277"/>
        <w:gridCol w:w="1663"/>
      </w:tblGrid>
      <w:tr w:rsidR="00955D7E" w:rsidTr="00E86C14">
        <w:tc>
          <w:tcPr>
            <w:tcW w:w="1149" w:type="pct"/>
            <w:tcBorders>
              <w:bottom w:val="single" w:sz="12" w:space="0" w:color="000000" w:themeColor="text1"/>
            </w:tcBorders>
            <w:vAlign w:val="bottom"/>
          </w:tcPr>
          <w:p w:rsidR="00E86C14" w:rsidRPr="00E86C14" w:rsidRDefault="000C3DE6" w:rsidP="00E86C14">
            <w:pPr>
              <w:spacing w:after="60" w:line="240" w:lineRule="auto"/>
              <w:jc w:val="left"/>
              <w:rPr>
                <w:b/>
                <w:bCs/>
                <w:spacing w:val="-28"/>
                <w:rtl/>
              </w:rPr>
            </w:pPr>
            <w:r w:rsidRPr="00E86C14">
              <w:rPr>
                <w:rFonts w:ascii="Tahoma" w:eastAsiaTheme="minorEastAsia" w:hAnsi="Tahoma" w:cs="Tahoma" w:hint="cs"/>
                <w:b/>
                <w:bCs/>
                <w:color w:val="0D0D0D" w:themeColor="text1" w:themeTint="F2"/>
                <w:spacing w:val="-10"/>
                <w:sz w:val="36"/>
                <w:szCs w:val="36"/>
                <w:rtl/>
              </w:rPr>
              <w:t>66%</w:t>
            </w:r>
            <w:r w:rsidRPr="00E86C14">
              <w:rPr>
                <w:rFonts w:ascii="Tahoma" w:eastAsiaTheme="minorEastAsia" w:hAnsi="Tahoma" w:cs="Tahoma"/>
                <w:b/>
                <w:bCs/>
                <w:color w:val="0D0D0D" w:themeColor="text1" w:themeTint="F2"/>
                <w:spacing w:val="-10"/>
                <w:sz w:val="36"/>
                <w:szCs w:val="36"/>
                <w:rtl/>
              </w:rPr>
              <w:t xml:space="preserve"> </w:t>
            </w:r>
          </w:p>
        </w:tc>
        <w:tc>
          <w:tcPr>
            <w:tcW w:w="188" w:type="pct"/>
            <w:vAlign w:val="bottom"/>
          </w:tcPr>
          <w:p w:rsidR="00E86C14" w:rsidRPr="00E86C14" w:rsidRDefault="00E86C14" w:rsidP="00E86C14">
            <w:pPr>
              <w:spacing w:before="120" w:after="60" w:line="240" w:lineRule="auto"/>
              <w:jc w:val="left"/>
              <w:rPr>
                <w:b/>
                <w:bCs/>
                <w:rtl/>
              </w:rPr>
            </w:pPr>
          </w:p>
        </w:tc>
        <w:tc>
          <w:tcPr>
            <w:tcW w:w="1023" w:type="pct"/>
            <w:tcBorders>
              <w:bottom w:val="single" w:sz="12" w:space="0" w:color="000000" w:themeColor="text1"/>
            </w:tcBorders>
            <w:vAlign w:val="bottom"/>
          </w:tcPr>
          <w:p w:rsidR="00E86C14" w:rsidRPr="00E86C14" w:rsidRDefault="000C3DE6" w:rsidP="00E86C14">
            <w:pPr>
              <w:pStyle w:val="2021"/>
              <w:spacing w:before="0" w:after="60"/>
              <w:rPr>
                <w:spacing w:val="-10"/>
                <w:rtl/>
              </w:rPr>
            </w:pPr>
            <w:r w:rsidRPr="00E86C14">
              <w:rPr>
                <w:rFonts w:hint="cs"/>
                <w:spacing w:val="-10"/>
                <w:rtl/>
              </w:rPr>
              <w:t xml:space="preserve">18.3 </w:t>
            </w:r>
            <w:r w:rsidRPr="00E86C14">
              <w:rPr>
                <w:rFonts w:hint="cs"/>
                <w:spacing w:val="-10"/>
                <w:sz w:val="26"/>
                <w:szCs w:val="26"/>
                <w:rtl/>
              </w:rPr>
              <w:t>מיליון ש"ח</w:t>
            </w:r>
          </w:p>
        </w:tc>
        <w:tc>
          <w:tcPr>
            <w:tcW w:w="188" w:type="pct"/>
            <w:vAlign w:val="bottom"/>
          </w:tcPr>
          <w:p w:rsidR="00E86C14" w:rsidRPr="00E86C14" w:rsidRDefault="00E86C14" w:rsidP="00E86C14">
            <w:pPr>
              <w:spacing w:before="120" w:after="60" w:line="240" w:lineRule="auto"/>
              <w:jc w:val="left"/>
              <w:rPr>
                <w:b/>
                <w:bCs/>
                <w:rtl/>
              </w:rPr>
            </w:pPr>
          </w:p>
        </w:tc>
        <w:tc>
          <w:tcPr>
            <w:tcW w:w="1136" w:type="pct"/>
            <w:tcBorders>
              <w:bottom w:val="single" w:sz="12" w:space="0" w:color="000000" w:themeColor="text1"/>
            </w:tcBorders>
            <w:vAlign w:val="bottom"/>
          </w:tcPr>
          <w:p w:rsidR="00E86C14" w:rsidRPr="00E86C14" w:rsidRDefault="000C3DE6" w:rsidP="00E86C14">
            <w:pPr>
              <w:pStyle w:val="2021"/>
              <w:spacing w:before="0" w:after="60"/>
              <w:rPr>
                <w:spacing w:val="-20"/>
                <w:sz w:val="24"/>
                <w:rtl/>
              </w:rPr>
            </w:pPr>
            <w:r w:rsidRPr="00E86C14">
              <w:rPr>
                <w:rFonts w:hint="cs"/>
                <w:spacing w:val="-10"/>
                <w:rtl/>
              </w:rPr>
              <w:t>7</w:t>
            </w:r>
          </w:p>
        </w:tc>
        <w:tc>
          <w:tcPr>
            <w:tcW w:w="188" w:type="pct"/>
            <w:vAlign w:val="bottom"/>
          </w:tcPr>
          <w:p w:rsidR="00E86C14" w:rsidRPr="00E86C14" w:rsidRDefault="00E86C14" w:rsidP="00E86C14">
            <w:pPr>
              <w:pStyle w:val="2021"/>
              <w:spacing w:before="0" w:after="60"/>
              <w:rPr>
                <w:spacing w:val="-10"/>
                <w:rtl/>
              </w:rPr>
            </w:pPr>
          </w:p>
        </w:tc>
        <w:tc>
          <w:tcPr>
            <w:tcW w:w="1128" w:type="pct"/>
            <w:tcBorders>
              <w:bottom w:val="single" w:sz="12" w:space="0" w:color="000000" w:themeColor="text1"/>
            </w:tcBorders>
            <w:vAlign w:val="bottom"/>
          </w:tcPr>
          <w:p w:rsidR="00E86C14" w:rsidRPr="00E86C14" w:rsidRDefault="000C3DE6" w:rsidP="00E86C14">
            <w:pPr>
              <w:pStyle w:val="2021"/>
              <w:spacing w:before="0" w:after="60"/>
              <w:rPr>
                <w:spacing w:val="-10"/>
                <w:rtl/>
              </w:rPr>
            </w:pPr>
            <w:r w:rsidRPr="00E86C14">
              <w:rPr>
                <w:rFonts w:hint="cs"/>
                <w:spacing w:val="-10"/>
                <w:rtl/>
              </w:rPr>
              <w:t>91%</w:t>
            </w:r>
          </w:p>
        </w:tc>
      </w:tr>
      <w:tr w:rsidR="00955D7E" w:rsidTr="00E86C14">
        <w:tc>
          <w:tcPr>
            <w:tcW w:w="1149" w:type="pct"/>
            <w:tcBorders>
              <w:top w:val="single" w:sz="12" w:space="0" w:color="000000" w:themeColor="text1"/>
            </w:tcBorders>
          </w:tcPr>
          <w:p w:rsidR="00E86C14" w:rsidRPr="00E52143" w:rsidRDefault="000C3DE6" w:rsidP="00E86C14">
            <w:pPr>
              <w:pStyle w:val="732021"/>
              <w:spacing w:before="0" w:after="480" w:line="240" w:lineRule="auto"/>
              <w:rPr>
                <w:rtl/>
              </w:rPr>
            </w:pPr>
            <w:r w:rsidRPr="00247EEA">
              <w:rPr>
                <w:rFonts w:hint="cs"/>
                <w:rtl/>
              </w:rPr>
              <w:t>מהגופים שנבדקו (23 מתוך 35) פרסמו מכרזי מסגרת בשנים 2019 - 2022</w:t>
            </w:r>
          </w:p>
        </w:tc>
        <w:tc>
          <w:tcPr>
            <w:tcW w:w="188" w:type="pct"/>
          </w:tcPr>
          <w:p w:rsidR="00E86C14" w:rsidRPr="00E52143" w:rsidRDefault="00E86C14" w:rsidP="00E86C14">
            <w:pPr>
              <w:pStyle w:val="732021"/>
              <w:spacing w:before="0" w:after="480" w:line="240" w:lineRule="auto"/>
              <w:rPr>
                <w:rtl/>
              </w:rPr>
            </w:pPr>
          </w:p>
        </w:tc>
        <w:tc>
          <w:tcPr>
            <w:tcW w:w="1023" w:type="pct"/>
            <w:tcBorders>
              <w:top w:val="single" w:sz="12" w:space="0" w:color="000000" w:themeColor="text1"/>
            </w:tcBorders>
          </w:tcPr>
          <w:p w:rsidR="00E86C14" w:rsidRPr="00E52143" w:rsidRDefault="000C3DE6" w:rsidP="00E86C14">
            <w:pPr>
              <w:pStyle w:val="732021"/>
              <w:spacing w:before="0" w:after="480" w:line="240" w:lineRule="auto"/>
              <w:rPr>
                <w:rtl/>
              </w:rPr>
            </w:pPr>
            <w:r w:rsidRPr="00247EEA">
              <w:rPr>
                <w:rFonts w:hint="cs"/>
                <w:rtl/>
              </w:rPr>
              <w:t>שילמו בממוצע הגופים שנבדקו באמצעות מרכזי מסגרת, מדי שנה</w:t>
            </w:r>
          </w:p>
        </w:tc>
        <w:tc>
          <w:tcPr>
            <w:tcW w:w="188" w:type="pct"/>
          </w:tcPr>
          <w:p w:rsidR="00E86C14" w:rsidRPr="00E52143" w:rsidRDefault="00E86C14" w:rsidP="00E86C14">
            <w:pPr>
              <w:pStyle w:val="732021"/>
              <w:spacing w:before="0" w:after="480" w:line="240" w:lineRule="auto"/>
              <w:rPr>
                <w:rtl/>
              </w:rPr>
            </w:pPr>
          </w:p>
        </w:tc>
        <w:tc>
          <w:tcPr>
            <w:tcW w:w="1136" w:type="pct"/>
            <w:tcBorders>
              <w:top w:val="single" w:sz="12" w:space="0" w:color="000000" w:themeColor="text1"/>
            </w:tcBorders>
          </w:tcPr>
          <w:p w:rsidR="00E86C14" w:rsidRPr="00E52143" w:rsidRDefault="000C3DE6" w:rsidP="00E86C14">
            <w:pPr>
              <w:pStyle w:val="732021"/>
              <w:spacing w:before="0" w:after="480" w:line="240" w:lineRule="auto"/>
              <w:rPr>
                <w:rtl/>
              </w:rPr>
            </w:pPr>
            <w:r w:rsidRPr="00247EEA">
              <w:rPr>
                <w:rFonts w:hint="cs"/>
                <w:rtl/>
              </w:rPr>
              <w:t>המספר הממוצע של מכרזי מסגרת בגופים שפרסמו מכרזים אלה בשנים 2019 - 2022</w:t>
            </w:r>
          </w:p>
        </w:tc>
        <w:tc>
          <w:tcPr>
            <w:tcW w:w="188" w:type="pct"/>
          </w:tcPr>
          <w:p w:rsidR="00E86C14" w:rsidRPr="00E52143" w:rsidRDefault="00E86C14" w:rsidP="00E86C14">
            <w:pPr>
              <w:pStyle w:val="732021"/>
              <w:spacing w:before="0" w:after="480" w:line="240" w:lineRule="auto"/>
              <w:rPr>
                <w:rtl/>
              </w:rPr>
            </w:pPr>
          </w:p>
        </w:tc>
        <w:tc>
          <w:tcPr>
            <w:tcW w:w="1128" w:type="pct"/>
            <w:tcBorders>
              <w:top w:val="single" w:sz="12" w:space="0" w:color="000000" w:themeColor="text1"/>
            </w:tcBorders>
          </w:tcPr>
          <w:p w:rsidR="00E86C14" w:rsidRPr="00E52143" w:rsidRDefault="000C3DE6" w:rsidP="00E86C14">
            <w:pPr>
              <w:pStyle w:val="732021"/>
              <w:spacing w:before="0" w:after="480" w:line="240" w:lineRule="auto"/>
              <w:rPr>
                <w:rtl/>
              </w:rPr>
            </w:pPr>
            <w:r w:rsidRPr="00247EEA">
              <w:rPr>
                <w:rFonts w:hint="cs"/>
                <w:rtl/>
              </w:rPr>
              <w:t>מהגופים שפרסמו מכרזי מסגרת (21 מתוך 23) עשו זאת ללא נהלים שמסד</w:t>
            </w:r>
            <w:r w:rsidRPr="00247EEA">
              <w:rPr>
                <w:rFonts w:hint="cs"/>
                <w:rtl/>
              </w:rPr>
              <w:t>ירים את הליכי הפרסום והניהול של מכרזי מסגרת</w:t>
            </w:r>
          </w:p>
        </w:tc>
      </w:tr>
      <w:tr w:rsidR="00955D7E" w:rsidTr="00E86C14">
        <w:tc>
          <w:tcPr>
            <w:tcW w:w="1149" w:type="pct"/>
            <w:tcBorders>
              <w:bottom w:val="single" w:sz="12" w:space="0" w:color="000000" w:themeColor="text1"/>
            </w:tcBorders>
            <w:vAlign w:val="bottom"/>
          </w:tcPr>
          <w:p w:rsidR="00E86C14" w:rsidRPr="00E86C14" w:rsidRDefault="000C3DE6" w:rsidP="00E86C14">
            <w:pPr>
              <w:spacing w:line="240" w:lineRule="auto"/>
              <w:jc w:val="left"/>
              <w:rPr>
                <w:rFonts w:ascii="Tahoma" w:eastAsiaTheme="minorEastAsia" w:hAnsi="Tahoma" w:cs="Tahoma"/>
                <w:b/>
                <w:bCs/>
                <w:color w:val="0D0D0D" w:themeColor="text1" w:themeTint="F2"/>
                <w:spacing w:val="-10"/>
                <w:sz w:val="36"/>
                <w:szCs w:val="36"/>
                <w:rtl/>
              </w:rPr>
            </w:pPr>
            <w:r w:rsidRPr="00E86C14">
              <w:rPr>
                <w:rFonts w:ascii="Tahoma" w:eastAsiaTheme="minorEastAsia" w:hAnsi="Tahoma" w:cs="Tahoma" w:hint="cs"/>
                <w:b/>
                <w:bCs/>
                <w:color w:val="0D0D0D" w:themeColor="text1" w:themeTint="F2"/>
                <w:spacing w:val="-10"/>
                <w:sz w:val="36"/>
                <w:szCs w:val="36"/>
                <w:rtl/>
              </w:rPr>
              <w:t xml:space="preserve">20 </w:t>
            </w:r>
            <w:r w:rsidRPr="00E86C14">
              <w:rPr>
                <w:rFonts w:ascii="Tahoma" w:eastAsiaTheme="minorEastAsia" w:hAnsi="Tahoma" w:cs="Tahoma" w:hint="cs"/>
                <w:b/>
                <w:bCs/>
                <w:color w:val="0D0D0D" w:themeColor="text1" w:themeTint="F2"/>
                <w:spacing w:val="-10"/>
                <w:sz w:val="26"/>
                <w:szCs w:val="26"/>
                <w:rtl/>
              </w:rPr>
              <w:t>שנה</w:t>
            </w:r>
          </w:p>
        </w:tc>
        <w:tc>
          <w:tcPr>
            <w:tcW w:w="188" w:type="pct"/>
            <w:vAlign w:val="bottom"/>
          </w:tcPr>
          <w:p w:rsidR="00E86C14" w:rsidRPr="00E86C14" w:rsidRDefault="00E86C14" w:rsidP="00E86C14">
            <w:pPr>
              <w:spacing w:after="120"/>
              <w:jc w:val="left"/>
              <w:rPr>
                <w:rFonts w:ascii="Tahoma" w:eastAsiaTheme="minorEastAsia" w:hAnsi="Tahom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E86C14" w:rsidRPr="00E86C14" w:rsidRDefault="000C3DE6" w:rsidP="00E86C14">
            <w:pPr>
              <w:pStyle w:val="2021"/>
              <w:spacing w:before="0" w:after="60"/>
              <w:rPr>
                <w:spacing w:val="-10"/>
                <w:rtl/>
              </w:rPr>
            </w:pPr>
            <w:r w:rsidRPr="00E86C14">
              <w:rPr>
                <w:rFonts w:hint="cs"/>
                <w:spacing w:val="-10"/>
                <w:rtl/>
              </w:rPr>
              <w:t>85%</w:t>
            </w:r>
          </w:p>
        </w:tc>
        <w:tc>
          <w:tcPr>
            <w:tcW w:w="188" w:type="pct"/>
            <w:vAlign w:val="bottom"/>
          </w:tcPr>
          <w:p w:rsidR="00E86C14" w:rsidRPr="00E86C14" w:rsidRDefault="00E86C14" w:rsidP="00E86C14">
            <w:pPr>
              <w:spacing w:after="120" w:line="240" w:lineRule="auto"/>
              <w:jc w:val="left"/>
              <w:rPr>
                <w:b/>
                <w:bCs/>
                <w:rtl/>
              </w:rPr>
            </w:pPr>
          </w:p>
        </w:tc>
        <w:tc>
          <w:tcPr>
            <w:tcW w:w="1136" w:type="pct"/>
            <w:tcBorders>
              <w:bottom w:val="single" w:sz="12" w:space="0" w:color="000000" w:themeColor="text1"/>
            </w:tcBorders>
            <w:vAlign w:val="bottom"/>
          </w:tcPr>
          <w:p w:rsidR="00E86C14" w:rsidRPr="00E86C14" w:rsidRDefault="000C3DE6" w:rsidP="00E86C14">
            <w:pPr>
              <w:spacing w:after="60" w:line="192" w:lineRule="auto"/>
              <w:jc w:val="left"/>
              <w:rPr>
                <w:rFonts w:ascii="Tahoma" w:eastAsiaTheme="minorEastAsia" w:hAnsi="Tahoma" w:cs="Tahoma"/>
                <w:b/>
                <w:bCs/>
                <w:color w:val="0D0D0D" w:themeColor="text1" w:themeTint="F2"/>
                <w:spacing w:val="-10"/>
                <w:sz w:val="36"/>
                <w:szCs w:val="36"/>
                <w:rtl/>
              </w:rPr>
            </w:pPr>
            <w:r w:rsidRPr="00E86C14">
              <w:rPr>
                <w:rFonts w:ascii="Tahoma" w:eastAsiaTheme="minorEastAsia" w:hAnsi="Tahoma" w:cs="Tahoma" w:hint="cs"/>
                <w:b/>
                <w:bCs/>
                <w:color w:val="0D0D0D" w:themeColor="text1" w:themeTint="F2"/>
                <w:spacing w:val="-10"/>
                <w:sz w:val="36"/>
                <w:szCs w:val="36"/>
                <w:rtl/>
              </w:rPr>
              <w:t xml:space="preserve">2 </w:t>
            </w:r>
            <w:r w:rsidRPr="00E86C14">
              <w:rPr>
                <w:rFonts w:ascii="Tahoma" w:eastAsiaTheme="minorEastAsia" w:hAnsi="Tahoma" w:cs="Tahoma" w:hint="cs"/>
                <w:b/>
                <w:bCs/>
                <w:color w:val="0D0D0D" w:themeColor="text1" w:themeTint="F2"/>
                <w:spacing w:val="-10"/>
                <w:sz w:val="26"/>
                <w:szCs w:val="26"/>
                <w:rtl/>
              </w:rPr>
              <w:t>מתוך</w:t>
            </w:r>
            <w:r w:rsidRPr="00E86C14">
              <w:rPr>
                <w:rFonts w:ascii="Tahoma" w:eastAsiaTheme="minorEastAsia" w:hAnsi="Tahoma" w:cs="Tahoma" w:hint="cs"/>
                <w:b/>
                <w:bCs/>
                <w:color w:val="0D0D0D" w:themeColor="text1" w:themeTint="F2"/>
                <w:spacing w:val="-10"/>
                <w:sz w:val="36"/>
                <w:szCs w:val="36"/>
                <w:rtl/>
              </w:rPr>
              <w:t xml:space="preserve"> 7</w:t>
            </w:r>
          </w:p>
        </w:tc>
        <w:tc>
          <w:tcPr>
            <w:tcW w:w="188" w:type="pct"/>
            <w:vAlign w:val="bottom"/>
          </w:tcPr>
          <w:p w:rsidR="00E86C14" w:rsidRPr="00E86C14" w:rsidRDefault="00E86C14" w:rsidP="00E86C14">
            <w:pPr>
              <w:spacing w:after="60" w:line="240" w:lineRule="auto"/>
              <w:jc w:val="left"/>
              <w:rPr>
                <w:rFonts w:ascii="Tahoma" w:eastAsiaTheme="minorEastAsia" w:hAnsi="Tahom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E86C14" w:rsidRPr="00E86C14" w:rsidRDefault="000C3DE6" w:rsidP="00E86C14">
            <w:pPr>
              <w:spacing w:after="60" w:line="240" w:lineRule="auto"/>
              <w:jc w:val="left"/>
              <w:rPr>
                <w:rFonts w:ascii="Tahoma" w:eastAsiaTheme="minorEastAsia" w:hAnsi="Tahoma" w:cs="Tahoma"/>
                <w:b/>
                <w:bCs/>
                <w:color w:val="0D0D0D" w:themeColor="text1" w:themeTint="F2"/>
                <w:spacing w:val="-10"/>
                <w:sz w:val="36"/>
                <w:szCs w:val="36"/>
                <w:rtl/>
              </w:rPr>
            </w:pPr>
            <w:r w:rsidRPr="00E86C14">
              <w:rPr>
                <w:rFonts w:ascii="Tahoma" w:eastAsiaTheme="minorEastAsia" w:hAnsi="Tahoma" w:cs="Tahoma" w:hint="cs"/>
                <w:b/>
                <w:bCs/>
                <w:color w:val="0D0D0D" w:themeColor="text1" w:themeTint="F2"/>
                <w:spacing w:val="-10"/>
                <w:sz w:val="36"/>
                <w:szCs w:val="36"/>
                <w:rtl/>
              </w:rPr>
              <w:t xml:space="preserve">19 </w:t>
            </w:r>
            <w:r w:rsidRPr="00E86C14">
              <w:rPr>
                <w:rFonts w:ascii="Tahoma" w:eastAsiaTheme="minorEastAsia" w:hAnsi="Tahoma" w:cs="Tahoma" w:hint="cs"/>
                <w:b/>
                <w:bCs/>
                <w:color w:val="0D0D0D" w:themeColor="text1" w:themeTint="F2"/>
                <w:spacing w:val="-10"/>
                <w:sz w:val="26"/>
                <w:szCs w:val="26"/>
                <w:rtl/>
              </w:rPr>
              <w:t>פרויקטים</w:t>
            </w:r>
          </w:p>
        </w:tc>
      </w:tr>
      <w:tr w:rsidR="00955D7E" w:rsidTr="00E86C14">
        <w:tc>
          <w:tcPr>
            <w:tcW w:w="1149" w:type="pct"/>
            <w:tcBorders>
              <w:top w:val="single" w:sz="12" w:space="0" w:color="000000" w:themeColor="text1"/>
            </w:tcBorders>
          </w:tcPr>
          <w:p w:rsidR="00E86C14" w:rsidRPr="004562F8" w:rsidRDefault="000C3DE6" w:rsidP="00E86C14">
            <w:pPr>
              <w:pStyle w:val="732021"/>
              <w:spacing w:before="0" w:after="0" w:line="240" w:lineRule="auto"/>
              <w:rPr>
                <w:rtl/>
              </w:rPr>
            </w:pPr>
            <w:r w:rsidRPr="00247EEA">
              <w:rPr>
                <w:rFonts w:hint="cs"/>
                <w:rtl/>
              </w:rPr>
              <w:t>פרק הזמן שחלף</w:t>
            </w:r>
            <w:r w:rsidRPr="00615347">
              <w:rPr>
                <w:rtl/>
              </w:rPr>
              <w:t xml:space="preserve"> </w:t>
            </w:r>
            <w:r w:rsidRPr="00247EEA">
              <w:rPr>
                <w:rtl/>
              </w:rPr>
              <w:t>מהמועד שבו אמור</w:t>
            </w:r>
            <w:r w:rsidRPr="00247EEA">
              <w:rPr>
                <w:rFonts w:hint="cs"/>
                <w:rtl/>
              </w:rPr>
              <w:t xml:space="preserve"> היה משרד הפנים להתקין </w:t>
            </w:r>
            <w:r w:rsidRPr="00247EEA">
              <w:rPr>
                <w:rtl/>
              </w:rPr>
              <w:t>תקנות הנוגעות להחלת הוראות לקיום מכרזים בתאגידים העירוניים</w:t>
            </w:r>
            <w:r w:rsidRPr="00247EEA">
              <w:rPr>
                <w:rFonts w:hint="cs"/>
                <w:rtl/>
              </w:rPr>
              <w:t xml:space="preserve">, ולא עשה כן, למרות פסיקת בית המשפט העליון ולמרות דוחות מבקר </w:t>
            </w:r>
            <w:r w:rsidRPr="00247EEA">
              <w:rPr>
                <w:rFonts w:hint="cs"/>
                <w:rtl/>
              </w:rPr>
              <w:t>המדינה בנושא</w:t>
            </w:r>
          </w:p>
        </w:tc>
        <w:tc>
          <w:tcPr>
            <w:tcW w:w="188" w:type="pct"/>
          </w:tcPr>
          <w:p w:rsidR="00E86C14" w:rsidRPr="008D750B" w:rsidRDefault="00E86C14" w:rsidP="00E86C14">
            <w:pPr>
              <w:pStyle w:val="732021"/>
              <w:spacing w:before="0" w:after="0" w:line="240" w:lineRule="auto"/>
              <w:rPr>
                <w:rtl/>
              </w:rPr>
            </w:pPr>
          </w:p>
        </w:tc>
        <w:tc>
          <w:tcPr>
            <w:tcW w:w="1023" w:type="pct"/>
            <w:tcBorders>
              <w:top w:val="single" w:sz="12" w:space="0" w:color="000000" w:themeColor="text1"/>
            </w:tcBorders>
          </w:tcPr>
          <w:p w:rsidR="00E86C14" w:rsidRPr="004562F8" w:rsidRDefault="000C3DE6" w:rsidP="00E86C14">
            <w:pPr>
              <w:pStyle w:val="732021"/>
              <w:spacing w:before="0" w:after="0" w:line="240" w:lineRule="auto"/>
              <w:rPr>
                <w:rtl/>
              </w:rPr>
            </w:pPr>
            <w:r w:rsidRPr="00247EEA">
              <w:rPr>
                <w:rFonts w:hint="cs"/>
                <w:rtl/>
              </w:rPr>
              <w:t xml:space="preserve">מהזוכים במכרזי </w:t>
            </w:r>
            <w:r w:rsidRPr="002C4DA6">
              <w:rPr>
                <w:rFonts w:hint="cs"/>
                <w:b/>
                <w:bCs/>
                <w:rtl/>
              </w:rPr>
              <w:t>החברה לפיתוח פתח תקווה</w:t>
            </w:r>
            <w:r w:rsidRPr="00247EEA">
              <w:rPr>
                <w:rFonts w:hint="cs"/>
                <w:rtl/>
              </w:rPr>
              <w:t xml:space="preserve"> בשנים 2019 - 2022 (64 מתוך 75) </w:t>
            </w:r>
            <w:r w:rsidRPr="00247EEA">
              <w:rPr>
                <w:rtl/>
              </w:rPr>
              <w:t>הציעו הצעה השווה למקדם ההנחה המזערי</w:t>
            </w:r>
            <w:r w:rsidRPr="00247EEA">
              <w:rPr>
                <w:rFonts w:hint="cs"/>
                <w:rtl/>
              </w:rPr>
              <w:t xml:space="preserve"> שנקבע בתנאי המכרז</w:t>
            </w:r>
          </w:p>
        </w:tc>
        <w:tc>
          <w:tcPr>
            <w:tcW w:w="188" w:type="pct"/>
          </w:tcPr>
          <w:p w:rsidR="00E86C14" w:rsidRDefault="00E86C14" w:rsidP="00E86C14">
            <w:pPr>
              <w:pStyle w:val="732021"/>
              <w:spacing w:before="0" w:after="0" w:line="240" w:lineRule="auto"/>
              <w:rPr>
                <w:rtl/>
              </w:rPr>
            </w:pPr>
          </w:p>
        </w:tc>
        <w:tc>
          <w:tcPr>
            <w:tcW w:w="1136" w:type="pct"/>
            <w:tcBorders>
              <w:top w:val="single" w:sz="12" w:space="0" w:color="000000" w:themeColor="text1"/>
            </w:tcBorders>
          </w:tcPr>
          <w:p w:rsidR="00E86C14" w:rsidRPr="0062456C" w:rsidRDefault="000C3DE6" w:rsidP="00E86C14">
            <w:pPr>
              <w:pStyle w:val="732021"/>
              <w:spacing w:before="0" w:after="0" w:line="240" w:lineRule="auto"/>
              <w:rPr>
                <w:rtl/>
              </w:rPr>
            </w:pPr>
            <w:r w:rsidRPr="00247EEA">
              <w:rPr>
                <w:rFonts w:hint="cs"/>
                <w:rtl/>
              </w:rPr>
              <w:t xml:space="preserve">מספר המכרזים בעיריית </w:t>
            </w:r>
            <w:r w:rsidRPr="00E86C14">
              <w:rPr>
                <w:rFonts w:hint="cs"/>
                <w:b/>
                <w:bCs/>
                <w:rtl/>
              </w:rPr>
              <w:t>יבנה</w:t>
            </w:r>
            <w:r w:rsidRPr="00247EEA">
              <w:rPr>
                <w:rFonts w:hint="cs"/>
                <w:rtl/>
              </w:rPr>
              <w:t xml:space="preserve"> שבהם מרבית התשלומים שולמו לספקים שלא הציעו את המחיר הזול ביותר, מתוך כלל המכרזים </w:t>
            </w:r>
            <w:r w:rsidRPr="00247EEA">
              <w:rPr>
                <w:rFonts w:hint="eastAsia"/>
                <w:rtl/>
              </w:rPr>
              <w:t>ש</w:t>
            </w:r>
            <w:r w:rsidRPr="00247EEA">
              <w:rPr>
                <w:rFonts w:hint="cs"/>
                <w:rtl/>
              </w:rPr>
              <w:t xml:space="preserve">בהם זכה </w:t>
            </w:r>
            <w:r w:rsidRPr="00247EEA">
              <w:rPr>
                <w:rFonts w:hint="cs"/>
                <w:rtl/>
              </w:rPr>
              <w:t>יותר מספק אחד ובוצעו תשלומים</w:t>
            </w:r>
          </w:p>
        </w:tc>
        <w:tc>
          <w:tcPr>
            <w:tcW w:w="188" w:type="pct"/>
          </w:tcPr>
          <w:p w:rsidR="00E86C14" w:rsidRPr="00C92141" w:rsidRDefault="00E86C14" w:rsidP="00E86C14">
            <w:pPr>
              <w:pStyle w:val="732021"/>
              <w:spacing w:before="0" w:after="0" w:line="240" w:lineRule="auto"/>
              <w:rPr>
                <w:rtl/>
              </w:rPr>
            </w:pPr>
          </w:p>
        </w:tc>
        <w:tc>
          <w:tcPr>
            <w:tcW w:w="1128" w:type="pct"/>
            <w:tcBorders>
              <w:top w:val="single" w:sz="12" w:space="0" w:color="000000" w:themeColor="text1"/>
            </w:tcBorders>
          </w:tcPr>
          <w:p w:rsidR="00E86C14" w:rsidRPr="00C92141" w:rsidRDefault="000C3DE6" w:rsidP="00E86C14">
            <w:pPr>
              <w:pStyle w:val="732021"/>
              <w:spacing w:before="0" w:after="0" w:line="240" w:lineRule="auto"/>
              <w:rPr>
                <w:rtl/>
              </w:rPr>
            </w:pPr>
            <w:r w:rsidRPr="00247EEA">
              <w:rPr>
                <w:rFonts w:hint="cs"/>
                <w:rtl/>
              </w:rPr>
              <w:t xml:space="preserve">בהם שילמה </w:t>
            </w:r>
            <w:r w:rsidRPr="002C4DA6">
              <w:rPr>
                <w:rFonts w:hint="cs"/>
                <w:b/>
                <w:bCs/>
                <w:rtl/>
              </w:rPr>
              <w:t>החברה לפיתוח פתח תקווה</w:t>
            </w:r>
            <w:r w:rsidRPr="00247EEA">
              <w:rPr>
                <w:rFonts w:hint="cs"/>
                <w:rtl/>
              </w:rPr>
              <w:t xml:space="preserve"> סכומים משמעותיים של בין מיליון ש"ח לכ-7.4 מיליון ש"ח לקבלנים בעבור ביצוע פרויקטים באמצעות מכרזי מסגרת, ללא </w:t>
            </w:r>
            <w:r w:rsidRPr="00247EEA">
              <w:rPr>
                <w:rtl/>
              </w:rPr>
              <w:t>בקרה כי הזמנת עבודה באמצעות מכרז מסגרת עדיפה על פרסום מכרז פרטני</w:t>
            </w:r>
          </w:p>
        </w:tc>
      </w:tr>
    </w:tbl>
    <w:p w:rsidR="00420374" w:rsidRDefault="00420374" w:rsidP="00420374">
      <w:pPr>
        <w:pStyle w:val="73f7"/>
        <w:spacing w:after="0"/>
        <w:rPr>
          <w:sz w:val="10"/>
          <w:szCs w:val="10"/>
          <w:rtl/>
        </w:rPr>
      </w:pPr>
    </w:p>
    <w:p w:rsidR="00420374" w:rsidRPr="00C62692" w:rsidRDefault="000C3DE6" w:rsidP="00420374">
      <w:pPr>
        <w:pStyle w:val="732"/>
        <w:rPr>
          <w:rtl/>
        </w:rPr>
      </w:pPr>
      <w:r w:rsidRPr="00C62692">
        <w:rPr>
          <w:rtl/>
        </w:rPr>
        <w:t>פעולות הביקורת</w:t>
      </w:r>
    </w:p>
    <w:p w:rsidR="00EB672B" w:rsidRDefault="000C3DE6" w:rsidP="00EB672B">
      <w:pPr>
        <w:pStyle w:val="73f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C14" w:rsidRPr="00247EEA">
        <w:rPr>
          <w:noProof/>
          <w:rtl/>
        </w:rPr>
        <w:t xml:space="preserve">בחודשים מרץ </w:t>
      </w:r>
      <w:r w:rsidR="00E86C14" w:rsidRPr="00247EEA">
        <w:rPr>
          <w:rFonts w:hint="cs"/>
          <w:noProof/>
          <w:rtl/>
        </w:rPr>
        <w:t>עד</w:t>
      </w:r>
      <w:r w:rsidR="00E86C14" w:rsidRPr="00247EEA">
        <w:rPr>
          <w:noProof/>
          <w:rtl/>
        </w:rPr>
        <w:t xml:space="preserve"> דצמבר 2023 בדק משרד מבקר המדינה את התקשרותן של רשויות מקומיות ותאגידים עירוניים באמצעות מכרזי מסגרת. הבדיקה נעשתה בעיריות </w:t>
      </w:r>
      <w:r w:rsidR="00E86C14" w:rsidRPr="00E86C14">
        <w:rPr>
          <w:b/>
          <w:bCs/>
          <w:noProof/>
          <w:rtl/>
        </w:rPr>
        <w:t>יבנה</w:t>
      </w:r>
      <w:r w:rsidR="00E86C14" w:rsidRPr="00247EEA">
        <w:rPr>
          <w:rFonts w:hint="cs"/>
          <w:noProof/>
          <w:rtl/>
        </w:rPr>
        <w:t xml:space="preserve"> </w:t>
      </w:r>
      <w:r w:rsidR="00E86C14" w:rsidRPr="00247EEA">
        <w:rPr>
          <w:noProof/>
          <w:rtl/>
        </w:rPr>
        <w:t>ו</w:t>
      </w:r>
      <w:r w:rsidR="00E86C14" w:rsidRPr="00E86C14">
        <w:rPr>
          <w:b/>
          <w:bCs/>
          <w:noProof/>
          <w:rtl/>
        </w:rPr>
        <w:t>קריית</w:t>
      </w:r>
      <w:r w:rsidR="00E86C14" w:rsidRPr="00247EEA">
        <w:rPr>
          <w:noProof/>
          <w:rtl/>
        </w:rPr>
        <w:t xml:space="preserve"> </w:t>
      </w:r>
      <w:r w:rsidR="00E86C14" w:rsidRPr="00E86C14">
        <w:rPr>
          <w:b/>
          <w:bCs/>
          <w:noProof/>
          <w:rtl/>
        </w:rPr>
        <w:t>ביאליק</w:t>
      </w:r>
      <w:r w:rsidR="00E86C14" w:rsidRPr="00247EEA">
        <w:rPr>
          <w:noProof/>
          <w:rtl/>
        </w:rPr>
        <w:t xml:space="preserve"> (</w:t>
      </w:r>
      <w:r w:rsidR="00E86C14" w:rsidRPr="00247EEA">
        <w:rPr>
          <w:rFonts w:hint="cs"/>
          <w:noProof/>
          <w:rtl/>
        </w:rPr>
        <w:t>הרשויות המקומיות</w:t>
      </w:r>
      <w:r w:rsidR="00E86C14" w:rsidRPr="00247EEA">
        <w:rPr>
          <w:noProof/>
          <w:rtl/>
        </w:rPr>
        <w:t xml:space="preserve"> שנבדקו) </w:t>
      </w:r>
      <w:r w:rsidR="00E86C14" w:rsidRPr="00E86C14">
        <w:rPr>
          <w:noProof/>
          <w:rtl/>
        </w:rPr>
        <w:t>ו</w:t>
      </w:r>
      <w:r w:rsidR="00E86C14" w:rsidRPr="00E86C14">
        <w:rPr>
          <w:b/>
          <w:bCs/>
          <w:noProof/>
          <w:rtl/>
        </w:rPr>
        <w:t>בחברה לפיתוח פתח תקווה</w:t>
      </w:r>
      <w:r w:rsidR="00E86C14" w:rsidRPr="00247EEA">
        <w:rPr>
          <w:noProof/>
          <w:rtl/>
        </w:rPr>
        <w:t xml:space="preserve"> (חלפ"ת)</w:t>
      </w:r>
      <w:r>
        <w:rPr>
          <w:noProof/>
          <w:vertAlign w:val="superscript"/>
          <w:rtl/>
        </w:rPr>
        <w:footnoteReference w:id="3"/>
      </w:r>
      <w:r w:rsidR="00E86C14" w:rsidRPr="00247EEA">
        <w:rPr>
          <w:noProof/>
          <w:rtl/>
        </w:rPr>
        <w:t xml:space="preserve">; </w:t>
      </w:r>
      <w:r w:rsidR="00E86C14" w:rsidRPr="00247EEA">
        <w:rPr>
          <w:noProof/>
          <w:rtl/>
        </w:rPr>
        <w:lastRenderedPageBreak/>
        <w:t>(להלן - ביקורת העומק)</w:t>
      </w:r>
      <w:r>
        <w:rPr>
          <w:noProof/>
          <w:vertAlign w:val="superscript"/>
          <w:rtl/>
        </w:rPr>
        <w:footnoteReference w:id="4"/>
      </w:r>
      <w:r w:rsidR="00E86C14" w:rsidRPr="00247EEA">
        <w:rPr>
          <w:noProof/>
          <w:rtl/>
        </w:rPr>
        <w:t xml:space="preserve">. בדיקות השלמה נעשו במשרד הפנים. </w:t>
      </w:r>
      <w:r w:rsidR="00E86C14" w:rsidRPr="00247EEA">
        <w:rPr>
          <w:rFonts w:hint="cs"/>
          <w:noProof/>
          <w:rtl/>
        </w:rPr>
        <w:t>כמו כן,</w:t>
      </w:r>
      <w:r w:rsidR="00E86C14" w:rsidRPr="00247EEA">
        <w:rPr>
          <w:noProof/>
          <w:rtl/>
        </w:rPr>
        <w:t xml:space="preserve"> נשלחו שאלות ל-</w:t>
      </w:r>
      <w:r w:rsidR="00E86C14" w:rsidRPr="00247EEA">
        <w:rPr>
          <w:rFonts w:hint="cs"/>
          <w:noProof/>
          <w:rtl/>
        </w:rPr>
        <w:t>16</w:t>
      </w:r>
      <w:r w:rsidR="00E86C14" w:rsidRPr="00247EEA">
        <w:rPr>
          <w:noProof/>
          <w:rtl/>
        </w:rPr>
        <w:t xml:space="preserve"> רשויות מקומיות ול-16 תאגידים עירוניים.</w:t>
      </w:r>
      <w:r w:rsidR="00E86C14" w:rsidRPr="00247EEA">
        <w:rPr>
          <w:rFonts w:hint="cs"/>
          <w:noProof/>
          <w:rtl/>
        </w:rPr>
        <w:t xml:space="preserve"> </w:t>
      </w:r>
      <w:r w:rsidR="00E86C14" w:rsidRPr="00247EEA">
        <w:rPr>
          <w:noProof/>
          <w:rtl/>
        </w:rPr>
        <w:t>הגופים שנבדקו במסגרת ביקורת העומק ומשלוח השאלות יכונו "כלל הגופים שנכללו בביקורת"</w:t>
      </w:r>
      <w:r>
        <w:rPr>
          <w:rFonts w:hint="cs"/>
          <w:rtl/>
        </w:rPr>
        <w:t>.</w:t>
      </w:r>
      <w:r w:rsidRPr="001F3363">
        <w:rPr>
          <w:rFonts w:hint="cs"/>
          <w:rtl/>
        </w:rPr>
        <w:t xml:space="preserve"> </w:t>
      </w:r>
    </w:p>
    <w:p w:rsidR="00EB672B" w:rsidRPr="00275281" w:rsidRDefault="000C3DE6" w:rsidP="00EB672B">
      <w:pPr>
        <w:pStyle w:val="732"/>
        <w:rPr>
          <w:rtl/>
        </w:rPr>
      </w:pPr>
      <w:r w:rsidRPr="00275281">
        <w:rPr>
          <w:rFonts w:hint="cs"/>
          <w:rtl/>
        </w:rPr>
        <w:t>תמונת המצב העולה מן הביקורת</w:t>
      </w:r>
    </w:p>
    <w:p w:rsidR="00EB672B" w:rsidRPr="00CF6518" w:rsidRDefault="000C3DE6"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0C3DE6" w:rsidP="00EB672B">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cs"/>
          <w:b/>
          <w:bCs/>
          <w:rtl/>
        </w:rPr>
        <w:t xml:space="preserve">היעדר מסגרת נורמטיבית למכרזי מסגרת בשלטון המקומי </w:t>
      </w:r>
      <w:r w:rsidR="00E86C14" w:rsidRPr="00247EEA">
        <w:rPr>
          <w:rFonts w:hint="cs"/>
          <w:rtl/>
        </w:rPr>
        <w:t xml:space="preserve">- </w:t>
      </w:r>
      <w:r w:rsidR="00E86C14" w:rsidRPr="00247EEA">
        <w:rPr>
          <w:rtl/>
        </w:rPr>
        <w:t xml:space="preserve">בעוד </w:t>
      </w:r>
      <w:r w:rsidR="00E86C14" w:rsidRPr="00247EEA">
        <w:rPr>
          <w:rFonts w:hint="cs"/>
          <w:rtl/>
        </w:rPr>
        <w:t>ש</w:t>
      </w:r>
      <w:r w:rsidR="00E86C14" w:rsidRPr="00247EEA">
        <w:rPr>
          <w:rtl/>
        </w:rPr>
        <w:t xml:space="preserve">לשלטון המרכזי נקבעה מסגרת נורמטיבית מפורטת לפרסום ולניהול מכרזי מסגרת - בחקיקה משנית ובהנחיות מינהליות – </w:t>
      </w:r>
      <w:r w:rsidR="00E86C14" w:rsidRPr="00247EEA">
        <w:rPr>
          <w:rFonts w:hint="cs"/>
          <w:rtl/>
        </w:rPr>
        <w:t>משרד הפנים לא קבע</w:t>
      </w:r>
      <w:r w:rsidR="00E86C14" w:rsidRPr="00247EEA">
        <w:rPr>
          <w:rtl/>
        </w:rPr>
        <w:t xml:space="preserve"> מסגרת נורמטיבית דומה לרשויות המקומיות ולתאגידים העירוניים.</w:t>
      </w:r>
      <w:r w:rsidR="00E86C14" w:rsidRPr="00247EEA">
        <w:rPr>
          <w:rFonts w:hint="cs"/>
          <w:rtl/>
        </w:rPr>
        <w:t xml:space="preserve"> </w:t>
      </w:r>
      <w:r w:rsidR="00E86C14" w:rsidRPr="00247EEA">
        <w:rPr>
          <w:rtl/>
        </w:rPr>
        <w:t xml:space="preserve">משרד מבקר המדינה מעיר בחומרה למשרד הפנים על שאף שחלפו כ-20 שנה מהמועד שבו אמורות היו להיות מותקנות תקנות הנוגעות להחלת הוראות לקיום מכרזים בתאגידים העירוניים, ולמרות פסיקת בית המשפט העליון ולמרות דוחות </w:t>
      </w:r>
      <w:r w:rsidR="00E86C14" w:rsidRPr="00247EEA">
        <w:rPr>
          <w:rFonts w:hint="cs"/>
          <w:rtl/>
        </w:rPr>
        <w:t>של</w:t>
      </w:r>
      <w:r w:rsidR="00E86C14" w:rsidRPr="00247EEA">
        <w:rPr>
          <w:rtl/>
        </w:rPr>
        <w:t xml:space="preserve"> משרד מבקר המדינה בנושא</w:t>
      </w:r>
      <w:r w:rsidR="00E86C14" w:rsidRPr="00247EEA">
        <w:rPr>
          <w:rFonts w:hint="cs"/>
          <w:rtl/>
        </w:rPr>
        <w:t xml:space="preserve">, </w:t>
      </w:r>
      <w:r w:rsidR="00E86C14" w:rsidRPr="00247EEA">
        <w:rPr>
          <w:rtl/>
        </w:rPr>
        <w:t>הוא טרם התקין תקנות כאמור או קבע כללים מסוימים לקיום מכרזים בתאגידים העירוניים. זאת למרות מספרם הרב של התאגידים העירוניים והיקף פעילותם הכספי הנרחב</w:t>
      </w:r>
      <w:r w:rsidR="00E86C14" w:rsidRPr="00247EEA">
        <w:rPr>
          <w:rFonts w:hint="cs"/>
          <w:rtl/>
        </w:rPr>
        <w:t xml:space="preserve"> (במאי 2022 פעלו בישראל 627 תאגידים עירוניים והיקף פעילותם השנתי באותה עת הסתכם ב-17 מיליארד ש"ח</w:t>
      </w:r>
      <w:r w:rsidR="00E86C14">
        <w:rPr>
          <w:rFonts w:hint="cs"/>
          <w:rtl/>
        </w:rPr>
        <w:t>)</w:t>
      </w:r>
      <w:r w:rsidRPr="00AF3B73">
        <w:rPr>
          <w:rtl/>
        </w:rPr>
        <w:t>.</w:t>
      </w:r>
    </w:p>
    <w:p w:rsidR="00EB672B" w:rsidRPr="00AF3B73" w:rsidRDefault="000C3DE6"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b/>
          <w:bCs/>
          <w:rtl/>
        </w:rPr>
        <w:t>בקרה על רכש מכוח מכרז</w:t>
      </w:r>
      <w:r w:rsidR="00E86C14" w:rsidRPr="00247EEA">
        <w:rPr>
          <w:rFonts w:hint="cs"/>
          <w:b/>
          <w:bCs/>
          <w:rtl/>
        </w:rPr>
        <w:t>י</w:t>
      </w:r>
      <w:r w:rsidR="00E86C14" w:rsidRPr="00247EEA">
        <w:rPr>
          <w:b/>
          <w:bCs/>
          <w:rtl/>
        </w:rPr>
        <w:t xml:space="preserve"> המסגרת</w:t>
      </w:r>
      <w:r w:rsidR="00E86C14" w:rsidRPr="00247EEA">
        <w:rPr>
          <w:rFonts w:hint="cs"/>
          <w:b/>
          <w:bCs/>
          <w:rtl/>
        </w:rPr>
        <w:t xml:space="preserve"> -</w:t>
      </w:r>
      <w:r w:rsidR="00E86C14" w:rsidRPr="00247EEA">
        <w:rPr>
          <w:rFonts w:hint="cs"/>
          <w:rtl/>
        </w:rPr>
        <w:t xml:space="preserve"> </w:t>
      </w:r>
      <w:r w:rsidR="00E86C14" w:rsidRPr="00247EEA">
        <w:rPr>
          <w:rtl/>
        </w:rPr>
        <w:t xml:space="preserve">אין בידי עיריות </w:t>
      </w:r>
      <w:r w:rsidR="00E86C14" w:rsidRPr="00247EEA">
        <w:rPr>
          <w:b/>
          <w:bCs/>
          <w:rtl/>
        </w:rPr>
        <w:t>יבנה</w:t>
      </w:r>
      <w:r w:rsidR="00E86C14" w:rsidRPr="00247EEA">
        <w:rPr>
          <w:rtl/>
        </w:rPr>
        <w:t xml:space="preserve"> ו</w:t>
      </w:r>
      <w:r w:rsidR="00E86C14" w:rsidRPr="00247EEA">
        <w:rPr>
          <w:b/>
          <w:bCs/>
          <w:rtl/>
        </w:rPr>
        <w:t xml:space="preserve">קריית ביאליק </w:t>
      </w:r>
      <w:r w:rsidR="00E86C14" w:rsidRPr="00247EEA">
        <w:rPr>
          <w:rtl/>
        </w:rPr>
        <w:t xml:space="preserve">רישום המפרט אילו הזמנות עבודה הוצאו מכוח מכרזי המסגרת </w:t>
      </w:r>
      <w:r w:rsidR="00E86C14" w:rsidRPr="00247EEA">
        <w:rPr>
          <w:rFonts w:hint="cs"/>
          <w:rtl/>
        </w:rPr>
        <w:t>ש</w:t>
      </w:r>
      <w:r w:rsidR="00E86C14" w:rsidRPr="00247EEA">
        <w:rPr>
          <w:rtl/>
        </w:rPr>
        <w:t xml:space="preserve">פרסמו </w:t>
      </w:r>
      <w:r w:rsidR="00E86C14" w:rsidRPr="00247EEA">
        <w:rPr>
          <w:rFonts w:hint="cs"/>
          <w:rtl/>
        </w:rPr>
        <w:t>בין ה</w:t>
      </w:r>
      <w:r w:rsidR="00E86C14" w:rsidRPr="00247EEA">
        <w:rPr>
          <w:rtl/>
        </w:rPr>
        <w:t>שנים 2018 - 2022</w:t>
      </w:r>
      <w:r w:rsidR="00E86C14" w:rsidRPr="00247EEA">
        <w:rPr>
          <w:rFonts w:hint="cs"/>
          <w:rtl/>
        </w:rPr>
        <w:t xml:space="preserve">. </w:t>
      </w:r>
      <w:r w:rsidR="00E86C14" w:rsidRPr="00247EEA">
        <w:rPr>
          <w:rtl/>
        </w:rPr>
        <w:t>ב</w:t>
      </w:r>
      <w:r w:rsidR="00E86C14" w:rsidRPr="00247EEA">
        <w:rPr>
          <w:b/>
          <w:bCs/>
          <w:rtl/>
        </w:rPr>
        <w:t>חלפ"ת</w:t>
      </w:r>
      <w:r w:rsidR="00E86C14" w:rsidRPr="00247EEA">
        <w:rPr>
          <w:rtl/>
        </w:rPr>
        <w:t xml:space="preserve">, המנהלת מכרזים </w:t>
      </w:r>
      <w:r w:rsidR="00E86C14" w:rsidRPr="00247EEA">
        <w:rPr>
          <w:rFonts w:hint="cs"/>
          <w:rtl/>
        </w:rPr>
        <w:t>ש</w:t>
      </w:r>
      <w:r w:rsidR="00E86C14" w:rsidRPr="00247EEA">
        <w:rPr>
          <w:rtl/>
        </w:rPr>
        <w:t>בהם לעיתים קיימים פרקים שונים</w:t>
      </w:r>
      <w:r w:rsidR="00E86C14" w:rsidRPr="00247EEA">
        <w:rPr>
          <w:rFonts w:hint="cs"/>
          <w:rtl/>
        </w:rPr>
        <w:t xml:space="preserve"> אחדים</w:t>
      </w:r>
      <w:r w:rsidR="00E86C14" w:rsidRPr="00247EEA">
        <w:rPr>
          <w:rtl/>
        </w:rPr>
        <w:t>, נמצא כי א</w:t>
      </w:r>
      <w:r w:rsidR="00E86C14" w:rsidRPr="00247EEA">
        <w:rPr>
          <w:rFonts w:hint="cs"/>
          <w:rtl/>
        </w:rPr>
        <w:t>ו</w:t>
      </w:r>
      <w:r w:rsidR="00E86C14" w:rsidRPr="00247EEA">
        <w:rPr>
          <w:rtl/>
        </w:rPr>
        <w:t>מנם קיים רישום המפרט אילו הזמנות עבודה הוצאו מכוח כל מכרז, אך רישום ברמת פרקי המכרז שכל אחד מהם הוא תת-מכרז בפני עצמו מצוין כמלל חופשי, ולא כשדה מובנה במערכת</w:t>
      </w:r>
      <w:r w:rsidR="00E86C14" w:rsidRPr="00247EEA">
        <w:rPr>
          <w:rFonts w:hint="cs"/>
          <w:rtl/>
        </w:rPr>
        <w:t xml:space="preserve">. משכך, </w:t>
      </w:r>
      <w:r w:rsidR="00E86C14" w:rsidRPr="00247EEA">
        <w:rPr>
          <w:rtl/>
        </w:rPr>
        <w:t xml:space="preserve">היעדר רישום הזמנות העבודה פוגע בהליכי הבקרה </w:t>
      </w:r>
      <w:r w:rsidR="00E86C14" w:rsidRPr="00247EEA">
        <w:rPr>
          <w:rFonts w:hint="cs"/>
          <w:rtl/>
        </w:rPr>
        <w:t>על</w:t>
      </w:r>
      <w:r w:rsidR="00E86C14" w:rsidRPr="00247EEA">
        <w:rPr>
          <w:rtl/>
        </w:rPr>
        <w:t xml:space="preserve"> ביצוע ההזמנות מכוחם של המכרזים ובניהולם</w:t>
      </w:r>
      <w:r w:rsidRPr="00AF3B73">
        <w:rPr>
          <w:rFonts w:hint="cs"/>
          <w:rtl/>
        </w:rPr>
        <w:t xml:space="preserve">. </w:t>
      </w:r>
    </w:p>
    <w:p w:rsidR="00EB672B" w:rsidRPr="00AF3B73" w:rsidRDefault="000C3DE6" w:rsidP="00EB672B">
      <w:pPr>
        <w:pStyle w:val="73f7"/>
        <w:rPr>
          <w:rtl/>
        </w:rPr>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b/>
          <w:bCs/>
          <w:rtl/>
        </w:rPr>
        <w:t xml:space="preserve">בחירת ספקי המסגרת במכרזי </w:t>
      </w:r>
      <w:r w:rsidR="00E86C14" w:rsidRPr="00247EEA">
        <w:rPr>
          <w:rFonts w:hint="cs"/>
          <w:b/>
          <w:bCs/>
          <w:rtl/>
        </w:rPr>
        <w:t>חלפ"ת</w:t>
      </w:r>
      <w:r w:rsidR="00E86C14" w:rsidRPr="00247EEA">
        <w:rPr>
          <w:rFonts w:hint="cs"/>
          <w:rtl/>
        </w:rPr>
        <w:t xml:space="preserve"> - אופן ביצוע מכרזי המסגרת של </w:t>
      </w:r>
      <w:r w:rsidR="00E86C14" w:rsidRPr="00247EEA">
        <w:rPr>
          <w:rFonts w:hint="cs"/>
          <w:b/>
          <w:bCs/>
          <w:rtl/>
        </w:rPr>
        <w:t>חלפ"ת</w:t>
      </w:r>
      <w:r w:rsidR="00E86C14" w:rsidRPr="00247EEA">
        <w:rPr>
          <w:rFonts w:hint="cs"/>
          <w:rtl/>
        </w:rPr>
        <w:t xml:space="preserve"> כלל שימוש ב"מחיר רצפה" (מקדם הנחה מזערי), שהביא בפועל לכך ש-11 מכרזים מתוך 12 מכרזי המסגרת </w:t>
      </w:r>
      <w:r w:rsidR="00E86C14" w:rsidRPr="00247EEA">
        <w:rPr>
          <w:rtl/>
        </w:rPr>
        <w:t xml:space="preserve">שלגביהם </w:t>
      </w:r>
      <w:r w:rsidR="00E86C14" w:rsidRPr="00247EEA">
        <w:rPr>
          <w:rFonts w:hint="cs"/>
          <w:rtl/>
        </w:rPr>
        <w:t xml:space="preserve">קבעה </w:t>
      </w:r>
      <w:r w:rsidR="00E86C14" w:rsidRPr="00247EEA">
        <w:rPr>
          <w:rFonts w:hint="cs"/>
          <w:b/>
          <w:bCs/>
          <w:rtl/>
        </w:rPr>
        <w:t>חלפ"ת</w:t>
      </w:r>
      <w:r w:rsidR="00E86C14" w:rsidRPr="00247EEA">
        <w:rPr>
          <w:rtl/>
        </w:rPr>
        <w:t xml:space="preserve"> </w:t>
      </w:r>
      <w:r w:rsidR="00E86C14" w:rsidRPr="00247EEA">
        <w:rPr>
          <w:rFonts w:hint="cs"/>
          <w:rtl/>
        </w:rPr>
        <w:t xml:space="preserve">"מחיר רצפה" בוצעו במחיר זה שקבעה, אשר </w:t>
      </w:r>
      <w:r w:rsidR="00E86C14" w:rsidRPr="00247EEA">
        <w:rPr>
          <w:rtl/>
        </w:rPr>
        <w:t>כלל</w:t>
      </w:r>
      <w:r w:rsidR="00E86C14" w:rsidRPr="00247EEA">
        <w:rPr>
          <w:rFonts w:hint="cs"/>
          <w:rtl/>
        </w:rPr>
        <w:t xml:space="preserve"> </w:t>
      </w:r>
      <w:r w:rsidR="00E86C14" w:rsidRPr="00247EEA">
        <w:rPr>
          <w:rtl/>
        </w:rPr>
        <w:t>הנחה שנעה בין 5% ל-25% ממחירי המחירון</w:t>
      </w:r>
      <w:r w:rsidR="00E86C14" w:rsidRPr="00247EEA">
        <w:rPr>
          <w:rFonts w:hint="cs"/>
          <w:rtl/>
        </w:rPr>
        <w:t xml:space="preserve">; </w:t>
      </w:r>
      <w:r w:rsidR="00E86C14" w:rsidRPr="00247EEA">
        <w:rPr>
          <w:rFonts w:hint="cs"/>
          <w:b/>
          <w:bCs/>
          <w:rtl/>
        </w:rPr>
        <w:t>חלפ"ת</w:t>
      </w:r>
      <w:r w:rsidR="00E86C14" w:rsidRPr="00247EEA">
        <w:rPr>
          <w:rFonts w:hint="cs"/>
          <w:rtl/>
        </w:rPr>
        <w:t xml:space="preserve"> החליטה על זהות הזוכים בהסתמך על אמות מידה סובייקטיביות באופן יחסי שקיים קושי להעריכן, ואף לא קבעה מדדים להערכת אמות המידה הללו; </w:t>
      </w:r>
      <w:r w:rsidR="00E86C14" w:rsidRPr="00247EEA">
        <w:rPr>
          <w:rFonts w:hint="cs"/>
          <w:b/>
          <w:bCs/>
          <w:rtl/>
        </w:rPr>
        <w:t>חלפ"ת</w:t>
      </w:r>
      <w:r w:rsidR="00E86C14" w:rsidRPr="00247EEA">
        <w:rPr>
          <w:rFonts w:hint="cs"/>
          <w:rtl/>
        </w:rPr>
        <w:t xml:space="preserve"> לא נימקה, כנדרש בפרוטוקולי המכרזים, מדוע מציע מסוים זכה לציון איכות כזה ולא אחר. </w:t>
      </w:r>
      <w:r w:rsidR="00E86C14" w:rsidRPr="00247EEA">
        <w:rPr>
          <w:rtl/>
        </w:rPr>
        <w:t xml:space="preserve">התנהלות זו של </w:t>
      </w:r>
      <w:r w:rsidR="00E86C14" w:rsidRPr="00247EEA">
        <w:rPr>
          <w:rFonts w:hint="eastAsia"/>
          <w:b/>
          <w:bCs/>
          <w:rtl/>
        </w:rPr>
        <w:t>חלפ</w:t>
      </w:r>
      <w:r w:rsidR="00E86C14" w:rsidRPr="00247EEA">
        <w:rPr>
          <w:b/>
          <w:bCs/>
          <w:rtl/>
        </w:rPr>
        <w:t>"ת</w:t>
      </w:r>
      <w:r w:rsidR="00E86C14" w:rsidRPr="00247EEA">
        <w:rPr>
          <w:rtl/>
        </w:rPr>
        <w:t xml:space="preserve"> </w:t>
      </w:r>
      <w:r w:rsidR="00E86C14" w:rsidRPr="00247EEA">
        <w:rPr>
          <w:rFonts w:hint="cs"/>
          <w:rtl/>
        </w:rPr>
        <w:t xml:space="preserve">מעלה חשש לפגיעה </w:t>
      </w:r>
      <w:r w:rsidR="00E86C14" w:rsidRPr="00247EEA">
        <w:rPr>
          <w:rtl/>
        </w:rPr>
        <w:t xml:space="preserve">בעקרונות התחרות, </w:t>
      </w:r>
      <w:r w:rsidR="00E86C14" w:rsidRPr="00247EEA">
        <w:rPr>
          <w:rFonts w:hint="eastAsia"/>
          <w:rtl/>
        </w:rPr>
        <w:t>השקיפות</w:t>
      </w:r>
      <w:r w:rsidR="00E86C14" w:rsidRPr="00247EEA">
        <w:rPr>
          <w:rtl/>
        </w:rPr>
        <w:t xml:space="preserve">, </w:t>
      </w:r>
      <w:r w:rsidR="00E86C14" w:rsidRPr="00247EEA">
        <w:rPr>
          <w:rFonts w:hint="eastAsia"/>
          <w:rtl/>
        </w:rPr>
        <w:t>השוויון</w:t>
      </w:r>
      <w:r w:rsidR="00E86C14" w:rsidRPr="00247EEA">
        <w:rPr>
          <w:rtl/>
        </w:rPr>
        <w:t xml:space="preserve"> </w:t>
      </w:r>
      <w:r w:rsidR="00E86C14" w:rsidRPr="00247EEA">
        <w:rPr>
          <w:rFonts w:hint="eastAsia"/>
          <w:rtl/>
        </w:rPr>
        <w:t>וההגינות</w:t>
      </w:r>
      <w:r w:rsidR="00E86C14" w:rsidRPr="00247EEA">
        <w:rPr>
          <w:rtl/>
        </w:rPr>
        <w:t xml:space="preserve">, </w:t>
      </w:r>
      <w:r w:rsidR="00E86C14" w:rsidRPr="00247EEA">
        <w:rPr>
          <w:rFonts w:hint="eastAsia"/>
          <w:rtl/>
        </w:rPr>
        <w:t>העומדים</w:t>
      </w:r>
      <w:r w:rsidR="00E86C14" w:rsidRPr="00247EEA">
        <w:rPr>
          <w:rtl/>
        </w:rPr>
        <w:t xml:space="preserve"> </w:t>
      </w:r>
      <w:r w:rsidR="00E86C14" w:rsidRPr="00247EEA">
        <w:rPr>
          <w:rFonts w:hint="eastAsia"/>
          <w:rtl/>
        </w:rPr>
        <w:t>בבסיסו</w:t>
      </w:r>
      <w:r w:rsidR="00E86C14" w:rsidRPr="00247EEA">
        <w:rPr>
          <w:rtl/>
        </w:rPr>
        <w:t xml:space="preserve"> </w:t>
      </w:r>
      <w:r w:rsidR="00E86C14" w:rsidRPr="00247EEA">
        <w:rPr>
          <w:rFonts w:hint="eastAsia"/>
          <w:rtl/>
        </w:rPr>
        <w:t>של</w:t>
      </w:r>
      <w:r w:rsidR="00E86C14" w:rsidRPr="00247EEA">
        <w:rPr>
          <w:rtl/>
        </w:rPr>
        <w:t xml:space="preserve"> </w:t>
      </w:r>
      <w:r w:rsidR="00E86C14" w:rsidRPr="00247EEA">
        <w:rPr>
          <w:rFonts w:hint="eastAsia"/>
          <w:rtl/>
        </w:rPr>
        <w:t>המכרז</w:t>
      </w:r>
      <w:r w:rsidRPr="00AF3B73">
        <w:rPr>
          <w:rFonts w:hint="cs"/>
          <w:rtl/>
        </w:rPr>
        <w:t>.</w:t>
      </w:r>
    </w:p>
    <w:p w:rsidR="00EB672B" w:rsidRPr="00AF3B73" w:rsidRDefault="000C3DE6" w:rsidP="00EB672B">
      <w:pPr>
        <w:pStyle w:val="73f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b/>
          <w:bCs/>
          <w:rtl/>
        </w:rPr>
        <w:t>בחירת עיריית יבנה בהצעה יחידה במכרז מסגרת</w:t>
      </w:r>
      <w:r w:rsidR="00E86C14" w:rsidRPr="00247EEA">
        <w:rPr>
          <w:rFonts w:hint="cs"/>
          <w:rtl/>
        </w:rPr>
        <w:t xml:space="preserve"> - במכרז מסגרת בתחום האינסטלציה בחרה עיריית </w:t>
      </w:r>
      <w:r w:rsidR="00E86C14" w:rsidRPr="00247EEA">
        <w:rPr>
          <w:rFonts w:hint="cs"/>
          <w:b/>
          <w:bCs/>
          <w:rtl/>
        </w:rPr>
        <w:t>יבנה</w:t>
      </w:r>
      <w:r w:rsidR="00E86C14" w:rsidRPr="00247EEA">
        <w:rPr>
          <w:rFonts w:hint="cs"/>
          <w:rtl/>
        </w:rPr>
        <w:t xml:space="preserve"> בהצעה היחידה שהוגשה. שלא בהתאם</w:t>
      </w:r>
      <w:r w:rsidR="00E86C14" w:rsidRPr="00247EEA">
        <w:rPr>
          <w:rtl/>
        </w:rPr>
        <w:t xml:space="preserve"> </w:t>
      </w:r>
      <w:r w:rsidR="00E86C14" w:rsidRPr="00247EEA">
        <w:rPr>
          <w:rFonts w:hint="cs"/>
          <w:rtl/>
        </w:rPr>
        <w:t>ל</w:t>
      </w:r>
      <w:r w:rsidR="00E86C14" w:rsidRPr="00247EEA">
        <w:rPr>
          <w:rtl/>
        </w:rPr>
        <w:t>תקנות העיריות מכרזים והפסיקה</w:t>
      </w:r>
      <w:r w:rsidR="00E86C14" w:rsidRPr="00247EEA">
        <w:rPr>
          <w:rFonts w:hint="cs"/>
          <w:rtl/>
        </w:rPr>
        <w:t>,</w:t>
      </w:r>
      <w:r w:rsidR="00E86C14" w:rsidRPr="00247EEA">
        <w:rPr>
          <w:rtl/>
        </w:rPr>
        <w:t xml:space="preserve"> ועדת המכרזים </w:t>
      </w:r>
      <w:r w:rsidR="00E86C14" w:rsidRPr="00247EEA">
        <w:rPr>
          <w:rFonts w:hint="cs"/>
          <w:rtl/>
        </w:rPr>
        <w:t xml:space="preserve">של עיריית </w:t>
      </w:r>
      <w:r w:rsidR="00E86C14" w:rsidRPr="00247EEA">
        <w:rPr>
          <w:rFonts w:hint="cs"/>
          <w:b/>
          <w:bCs/>
          <w:rtl/>
        </w:rPr>
        <w:t>יבנה</w:t>
      </w:r>
      <w:r w:rsidR="00E86C14" w:rsidRPr="00247EEA">
        <w:rPr>
          <w:rFonts w:hint="cs"/>
          <w:rtl/>
        </w:rPr>
        <w:t xml:space="preserve"> לא בחנה במכרזים בהם ניגש מציע </w:t>
      </w:r>
      <w:r w:rsidR="00E86C14" w:rsidRPr="00247EEA">
        <w:rPr>
          <w:rFonts w:hint="cs"/>
          <w:rtl/>
        </w:rPr>
        <w:lastRenderedPageBreak/>
        <w:t>יחיד</w:t>
      </w:r>
      <w:r w:rsidR="00E86C14" w:rsidRPr="00247EEA">
        <w:rPr>
          <w:rtl/>
        </w:rPr>
        <w:t xml:space="preserve"> אם אין חשש שהצעת המציע היחיד עולה על מחיר השוק ואם אין חשש שההצעה הוגשה כהצעה יחידה עקב קנוניה בין המציעים. הדבר מקבל משנה תוקף </w:t>
      </w:r>
      <w:r w:rsidR="00E86C14" w:rsidRPr="00247EEA">
        <w:rPr>
          <w:rFonts w:hint="cs"/>
          <w:rtl/>
        </w:rPr>
        <w:t>במקרים בהם ההנחה שהוצעה נמוכה מההנחה שקבעה העירייה כאומדן,</w:t>
      </w:r>
      <w:r w:rsidR="00E86C14" w:rsidRPr="00247EEA">
        <w:rPr>
          <w:rtl/>
        </w:rPr>
        <w:t xml:space="preserve"> ובנסיבות שבהן </w:t>
      </w:r>
      <w:r w:rsidR="00E86C14" w:rsidRPr="00247EEA">
        <w:rPr>
          <w:rFonts w:hint="cs"/>
          <w:rtl/>
        </w:rPr>
        <w:t>מדובר במכרז מסגרת לבחירת מספר ספקים</w:t>
      </w:r>
      <w:r w:rsidR="00E86C14" w:rsidRPr="00247EEA">
        <w:rPr>
          <w:rtl/>
        </w:rPr>
        <w:t xml:space="preserve"> בתחום האינסטלציה</w:t>
      </w:r>
      <w:r w:rsidR="00E86C14" w:rsidRPr="00247EEA">
        <w:rPr>
          <w:rFonts w:hint="cs"/>
          <w:rtl/>
        </w:rPr>
        <w:t>. בפועל, ההצעה היחידה שהוגשה היתה יקרה ב-8%</w:t>
      </w:r>
      <w:r w:rsidR="00E86C14" w:rsidRPr="00247EEA">
        <w:rPr>
          <w:rtl/>
        </w:rPr>
        <w:t xml:space="preserve"> </w:t>
      </w:r>
      <w:r w:rsidR="00E86C14" w:rsidRPr="00247EEA">
        <w:rPr>
          <w:rFonts w:hint="cs"/>
          <w:rtl/>
        </w:rPr>
        <w:t>מ</w:t>
      </w:r>
      <w:r w:rsidR="00E86C14" w:rsidRPr="00247EEA">
        <w:rPr>
          <w:rtl/>
        </w:rPr>
        <w:t>אומדן העירייה</w:t>
      </w:r>
      <w:r w:rsidR="00E86C14" w:rsidRPr="00247EEA">
        <w:rPr>
          <w:rFonts w:hint="cs"/>
          <w:rtl/>
        </w:rPr>
        <w:t xml:space="preserve"> (2% הנחה בהצעה לעומת 10% הנחה באומדן</w:t>
      </w:r>
      <w:r w:rsidR="00E86C14">
        <w:rPr>
          <w:rFonts w:hint="cs"/>
          <w:rtl/>
        </w:rPr>
        <w:t>)</w:t>
      </w:r>
      <w:r w:rsidRPr="00AF3B73">
        <w:rPr>
          <w:rFonts w:hint="cs"/>
          <w:rtl/>
        </w:rPr>
        <w:t xml:space="preserve">. </w:t>
      </w:r>
    </w:p>
    <w:p w:rsidR="00EB672B" w:rsidRPr="00AF3B73" w:rsidRDefault="000C3DE6" w:rsidP="00EB672B">
      <w:pPr>
        <w:pStyle w:val="73f7"/>
      </w:pPr>
      <w:r w:rsidRPr="00AF3B73">
        <w:rPr>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cs"/>
          <w:b/>
          <w:bCs/>
          <w:rtl/>
        </w:rPr>
        <w:t xml:space="preserve">אי-קביעת כללים לבחירת ספק מסויים מבין הספקים שזכו במכרז המסגרת - </w:t>
      </w:r>
      <w:r w:rsidR="00E86C14" w:rsidRPr="00247EEA">
        <w:rPr>
          <w:rFonts w:hint="eastAsia"/>
          <w:b/>
          <w:bCs/>
          <w:rtl/>
        </w:rPr>
        <w:t>חלפ</w:t>
      </w:r>
      <w:r w:rsidR="00E86C14" w:rsidRPr="00247EEA">
        <w:rPr>
          <w:b/>
          <w:bCs/>
          <w:rtl/>
        </w:rPr>
        <w:t>"ת</w:t>
      </w:r>
      <w:r w:rsidR="00E86C14" w:rsidRPr="00247EEA">
        <w:rPr>
          <w:rtl/>
        </w:rPr>
        <w:t xml:space="preserve"> ועיריית </w:t>
      </w:r>
      <w:r w:rsidR="00E86C14" w:rsidRPr="00247EEA">
        <w:rPr>
          <w:b/>
          <w:bCs/>
          <w:rtl/>
        </w:rPr>
        <w:t>קריית ביאליק</w:t>
      </w:r>
      <w:r w:rsidR="00E86C14" w:rsidRPr="00247EEA">
        <w:rPr>
          <w:rtl/>
        </w:rPr>
        <w:t xml:space="preserve"> </w:t>
      </w:r>
      <w:r w:rsidR="00E86C14" w:rsidRPr="00247EEA">
        <w:rPr>
          <w:rFonts w:hint="eastAsia"/>
          <w:rtl/>
        </w:rPr>
        <w:t>נתנו</w:t>
      </w:r>
      <w:r w:rsidR="00E86C14" w:rsidRPr="00247EEA">
        <w:rPr>
          <w:rtl/>
        </w:rPr>
        <w:t xml:space="preserve"> </w:t>
      </w:r>
      <w:r w:rsidR="00E86C14" w:rsidRPr="00247EEA">
        <w:rPr>
          <w:rFonts w:hint="cs"/>
          <w:rtl/>
        </w:rPr>
        <w:t xml:space="preserve">לעצמן </w:t>
      </w:r>
      <w:r w:rsidR="00E86C14" w:rsidRPr="00247EEA">
        <w:rPr>
          <w:rtl/>
        </w:rPr>
        <w:t>שיקול דעת כללי</w:t>
      </w:r>
      <w:r w:rsidR="00E86C14" w:rsidRPr="00247EEA">
        <w:rPr>
          <w:rFonts w:hint="cs"/>
          <w:rtl/>
        </w:rPr>
        <w:t>,</w:t>
      </w:r>
      <w:r w:rsidR="00E86C14" w:rsidRPr="00247EEA">
        <w:rPr>
          <w:rtl/>
        </w:rPr>
        <w:t xml:space="preserve"> </w:t>
      </w:r>
      <w:r w:rsidR="00E86C14" w:rsidRPr="00247EEA">
        <w:rPr>
          <w:rFonts w:hint="eastAsia"/>
          <w:rtl/>
        </w:rPr>
        <w:t>ללא</w:t>
      </w:r>
      <w:r w:rsidR="00E86C14" w:rsidRPr="00247EEA">
        <w:rPr>
          <w:rtl/>
        </w:rPr>
        <w:t xml:space="preserve"> כל מגבלות</w:t>
      </w:r>
      <w:r w:rsidR="00E86C14" w:rsidRPr="00247EEA">
        <w:rPr>
          <w:rFonts w:hint="cs"/>
          <w:rtl/>
        </w:rPr>
        <w:t>,</w:t>
      </w:r>
      <w:r w:rsidR="00E86C14" w:rsidRPr="00247EEA">
        <w:rPr>
          <w:rtl/>
        </w:rPr>
        <w:t xml:space="preserve"> ל</w:t>
      </w:r>
      <w:r w:rsidR="00E86C14" w:rsidRPr="00247EEA">
        <w:rPr>
          <w:rFonts w:hint="eastAsia"/>
          <w:rtl/>
        </w:rPr>
        <w:t>צורך</w:t>
      </w:r>
      <w:r w:rsidR="00E86C14" w:rsidRPr="00247EEA">
        <w:rPr>
          <w:rtl/>
        </w:rPr>
        <w:t xml:space="preserve"> בחירת הקבלן </w:t>
      </w:r>
      <w:r w:rsidR="00E86C14" w:rsidRPr="00247EEA">
        <w:rPr>
          <w:rFonts w:hint="eastAsia"/>
          <w:rtl/>
        </w:rPr>
        <w:t>שיבצע</w:t>
      </w:r>
      <w:r w:rsidR="00E86C14" w:rsidRPr="00247EEA">
        <w:rPr>
          <w:rtl/>
        </w:rPr>
        <w:t xml:space="preserve"> עבודה </w:t>
      </w:r>
      <w:r w:rsidR="00E86C14" w:rsidRPr="00247EEA">
        <w:rPr>
          <w:rFonts w:hint="eastAsia"/>
          <w:rtl/>
        </w:rPr>
        <w:t>מסוי</w:t>
      </w:r>
      <w:r w:rsidR="00E86C14" w:rsidRPr="00247EEA">
        <w:rPr>
          <w:rFonts w:hint="cs"/>
          <w:rtl/>
        </w:rPr>
        <w:t>מ</w:t>
      </w:r>
      <w:r w:rsidR="00E86C14" w:rsidRPr="00247EEA">
        <w:rPr>
          <w:rFonts w:hint="eastAsia"/>
          <w:rtl/>
        </w:rPr>
        <w:t>ת</w:t>
      </w:r>
      <w:r w:rsidR="00E86C14" w:rsidRPr="00247EEA">
        <w:rPr>
          <w:rtl/>
        </w:rPr>
        <w:t xml:space="preserve"> מבין רשימת קבלנים </w:t>
      </w:r>
      <w:r w:rsidR="00E86C14" w:rsidRPr="00247EEA">
        <w:rPr>
          <w:rFonts w:hint="eastAsia"/>
          <w:rtl/>
        </w:rPr>
        <w:t>שזכו</w:t>
      </w:r>
      <w:r w:rsidR="00E86C14" w:rsidRPr="00247EEA">
        <w:rPr>
          <w:rtl/>
        </w:rPr>
        <w:t xml:space="preserve"> </w:t>
      </w:r>
      <w:r w:rsidR="00E86C14" w:rsidRPr="00247EEA">
        <w:rPr>
          <w:rFonts w:hint="eastAsia"/>
          <w:rtl/>
        </w:rPr>
        <w:t>בשלב</w:t>
      </w:r>
      <w:r w:rsidR="00E86C14" w:rsidRPr="00247EEA">
        <w:rPr>
          <w:rtl/>
        </w:rPr>
        <w:t xml:space="preserve"> </w:t>
      </w:r>
      <w:r w:rsidR="00E86C14" w:rsidRPr="00247EEA">
        <w:rPr>
          <w:rFonts w:hint="eastAsia"/>
          <w:rtl/>
        </w:rPr>
        <w:t>הראשון</w:t>
      </w:r>
      <w:r w:rsidR="00E86C14" w:rsidRPr="00247EEA">
        <w:rPr>
          <w:rtl/>
        </w:rPr>
        <w:t xml:space="preserve"> </w:t>
      </w:r>
      <w:r w:rsidR="00E86C14" w:rsidRPr="00247EEA">
        <w:rPr>
          <w:rFonts w:hint="eastAsia"/>
          <w:rtl/>
        </w:rPr>
        <w:t>של</w:t>
      </w:r>
      <w:r w:rsidR="00E86C14" w:rsidRPr="00247EEA">
        <w:rPr>
          <w:rtl/>
        </w:rPr>
        <w:t xml:space="preserve"> </w:t>
      </w:r>
      <w:r w:rsidR="00E86C14" w:rsidRPr="00247EEA">
        <w:rPr>
          <w:rFonts w:hint="eastAsia"/>
          <w:rtl/>
        </w:rPr>
        <w:t>המכרז</w:t>
      </w:r>
      <w:r w:rsidR="00E86C14" w:rsidRPr="00247EEA">
        <w:rPr>
          <w:rtl/>
        </w:rPr>
        <w:t xml:space="preserve">, </w:t>
      </w:r>
      <w:r w:rsidR="00E86C14" w:rsidRPr="00247EEA">
        <w:rPr>
          <w:rFonts w:hint="eastAsia"/>
          <w:rtl/>
        </w:rPr>
        <w:t>ללא</w:t>
      </w:r>
      <w:r w:rsidR="00E86C14" w:rsidRPr="00247EEA">
        <w:rPr>
          <w:rtl/>
        </w:rPr>
        <w:t xml:space="preserve"> </w:t>
      </w:r>
      <w:r w:rsidR="00E86C14" w:rsidRPr="00247EEA">
        <w:rPr>
          <w:rFonts w:hint="eastAsia"/>
          <w:rtl/>
        </w:rPr>
        <w:t>כינוס</w:t>
      </w:r>
      <w:r w:rsidR="00E86C14" w:rsidRPr="00247EEA">
        <w:rPr>
          <w:rtl/>
        </w:rPr>
        <w:t xml:space="preserve"> </w:t>
      </w:r>
      <w:r w:rsidR="00E86C14" w:rsidRPr="00247EEA">
        <w:rPr>
          <w:rFonts w:hint="eastAsia"/>
          <w:rtl/>
        </w:rPr>
        <w:t>ועדת</w:t>
      </w:r>
      <w:r w:rsidR="00E86C14" w:rsidRPr="00247EEA">
        <w:rPr>
          <w:rtl/>
        </w:rPr>
        <w:t xml:space="preserve"> </w:t>
      </w:r>
      <w:r w:rsidR="00E86C14" w:rsidRPr="00247EEA">
        <w:rPr>
          <w:rFonts w:hint="eastAsia"/>
          <w:rtl/>
        </w:rPr>
        <w:t>מכרזים</w:t>
      </w:r>
      <w:r w:rsidR="00E86C14" w:rsidRPr="00247EEA">
        <w:rPr>
          <w:rFonts w:hint="cs"/>
          <w:rtl/>
        </w:rPr>
        <w:t xml:space="preserve">, </w:t>
      </w:r>
      <w:r w:rsidR="00E86C14" w:rsidRPr="00247EEA">
        <w:rPr>
          <w:rtl/>
        </w:rPr>
        <w:t>ובלי לקבוע אמות מידה ברורות לבחירת מי מהזוכים לביצוע עבודה מסוימת.</w:t>
      </w:r>
      <w:r w:rsidR="00E86C14" w:rsidRPr="00247EEA">
        <w:rPr>
          <w:rFonts w:hint="cs"/>
          <w:rtl/>
        </w:rPr>
        <w:t xml:space="preserve"> זאת לגבי מכרז מסגרת מבין ארבעת מכרזים בעיריית </w:t>
      </w:r>
      <w:r w:rsidR="00E86C14" w:rsidRPr="00247EEA">
        <w:rPr>
          <w:rFonts w:hint="cs"/>
          <w:b/>
          <w:bCs/>
          <w:rtl/>
        </w:rPr>
        <w:t>קריית ביאליק,</w:t>
      </w:r>
      <w:r w:rsidR="00E86C14" w:rsidRPr="00247EEA">
        <w:rPr>
          <w:rFonts w:hint="cs"/>
          <w:rtl/>
        </w:rPr>
        <w:t xml:space="preserve"> ולגבי כל 13 מכרזי המסגרת שפרסמה </w:t>
      </w:r>
      <w:r w:rsidR="00E86C14" w:rsidRPr="00247EEA">
        <w:rPr>
          <w:rFonts w:hint="cs"/>
          <w:b/>
          <w:bCs/>
          <w:rtl/>
        </w:rPr>
        <w:t>חלפ"ת</w:t>
      </w:r>
      <w:r w:rsidR="00E86C14" w:rsidRPr="00247EEA">
        <w:rPr>
          <w:rFonts w:hint="cs"/>
          <w:rtl/>
        </w:rPr>
        <w:t xml:space="preserve">. בשני מקרים </w:t>
      </w:r>
      <w:r w:rsidR="00E86C14" w:rsidRPr="00247EEA">
        <w:rPr>
          <w:rFonts w:hint="cs"/>
          <w:b/>
          <w:bCs/>
          <w:rtl/>
        </w:rPr>
        <w:t>חלפ"ת</w:t>
      </w:r>
      <w:r w:rsidR="00E86C14" w:rsidRPr="00247EEA">
        <w:rPr>
          <w:rFonts w:hint="cs"/>
          <w:rtl/>
        </w:rPr>
        <w:t xml:space="preserve"> העניקה למציעים שלא היו בעלי הניקוד המשוקלל הגבוה ביותר היקף עבודות נרחב יותר, שההפרש ביניהם עמד על כ-8.3 מיליון ש"ח וכ-2.4 מיליון ש"ח ועיריית </w:t>
      </w:r>
      <w:r w:rsidR="00E86C14" w:rsidRPr="00247EEA">
        <w:rPr>
          <w:rFonts w:hint="cs"/>
          <w:b/>
          <w:bCs/>
          <w:rtl/>
        </w:rPr>
        <w:t>קריית ביאליק</w:t>
      </w:r>
      <w:r w:rsidR="00E86C14" w:rsidRPr="00247EEA">
        <w:rPr>
          <w:rFonts w:hint="cs"/>
          <w:rtl/>
        </w:rPr>
        <w:t xml:space="preserve"> העניקה לכל אחד משני מציעים שהציעו את אותו אחוז הנחה, היקפי עבודות שונים שההפרש ביניהם עמד על כ-3.3 מיליון ש"ח</w:t>
      </w:r>
      <w:r w:rsidRPr="00AF3B73">
        <w:rPr>
          <w:rFonts w:hint="cs"/>
          <w:rtl/>
        </w:rPr>
        <w:t xml:space="preserve">. </w:t>
      </w:r>
    </w:p>
    <w:p w:rsidR="00EB672B" w:rsidRPr="00AF3B73" w:rsidRDefault="000C3DE6" w:rsidP="00EB672B">
      <w:pPr>
        <w:pStyle w:val="73f7"/>
        <w:rPr>
          <w:rtl/>
        </w:rPr>
      </w:pPr>
      <w:r w:rsidRPr="00AF3B73">
        <w:rPr>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cs"/>
          <w:b/>
          <w:bCs/>
          <w:rtl/>
        </w:rPr>
        <w:t xml:space="preserve">אי-יישום כללי הבחירה בספק מסויים מבין הספקים שזכו במכרז המסגרת - </w:t>
      </w:r>
      <w:r w:rsidR="00E86C14" w:rsidRPr="00247EEA">
        <w:rPr>
          <w:rFonts w:hint="eastAsia"/>
          <w:rtl/>
        </w:rPr>
        <w:t>ב</w:t>
      </w:r>
      <w:r w:rsidR="00E86C14" w:rsidRPr="00247EEA">
        <w:rPr>
          <w:rFonts w:hint="cs"/>
          <w:b/>
          <w:bCs/>
          <w:rtl/>
        </w:rPr>
        <w:t>עיריית יבנה</w:t>
      </w:r>
      <w:r w:rsidR="00E86C14" w:rsidRPr="00247EEA">
        <w:rPr>
          <w:rFonts w:hint="cs"/>
          <w:rtl/>
        </w:rPr>
        <w:t xml:space="preserve"> נמצאו </w:t>
      </w:r>
      <w:r w:rsidR="00E86C14" w:rsidRPr="00247EEA">
        <w:rPr>
          <w:rtl/>
        </w:rPr>
        <w:t xml:space="preserve">31 הזמנות עבודה מתוך 315 הזמנות עבודה </w:t>
      </w:r>
      <w:r w:rsidR="00E86C14" w:rsidRPr="00247EEA">
        <w:rPr>
          <w:rFonts w:hint="cs"/>
          <w:rtl/>
        </w:rPr>
        <w:t>ש</w:t>
      </w:r>
      <w:r w:rsidR="00E86C14" w:rsidRPr="00247EEA">
        <w:rPr>
          <w:rtl/>
        </w:rPr>
        <w:t>בה</w:t>
      </w:r>
      <w:r w:rsidR="00E86C14" w:rsidRPr="00247EEA">
        <w:rPr>
          <w:rFonts w:hint="cs"/>
          <w:rtl/>
        </w:rPr>
        <w:t>ן</w:t>
      </w:r>
      <w:r w:rsidR="00E86C14" w:rsidRPr="00247EEA">
        <w:rPr>
          <w:rtl/>
        </w:rPr>
        <w:t xml:space="preserve"> הזמנות העבודה ניתנו לספקים ללא הליך התמחרות, </w:t>
      </w:r>
      <w:r w:rsidR="00E86C14" w:rsidRPr="00247EEA">
        <w:rPr>
          <w:rFonts w:hint="cs"/>
          <w:rtl/>
        </w:rPr>
        <w:t>אף</w:t>
      </w:r>
      <w:r w:rsidR="00E86C14" w:rsidRPr="00247EEA">
        <w:rPr>
          <w:rtl/>
        </w:rPr>
        <w:t xml:space="preserve"> שהעבודות היו מעל הסכום </w:t>
      </w:r>
      <w:r w:rsidR="00E86C14" w:rsidRPr="00247EEA">
        <w:rPr>
          <w:rFonts w:hint="cs"/>
          <w:rtl/>
        </w:rPr>
        <w:t>ש</w:t>
      </w:r>
      <w:r w:rsidR="00E86C14" w:rsidRPr="00247EEA">
        <w:rPr>
          <w:rtl/>
        </w:rPr>
        <w:t>בו הליך התמחרות נדרש על פי תנאי המכרז, לעיתים אף פי ש</w:t>
      </w:r>
      <w:r w:rsidR="00E86C14" w:rsidRPr="00247EEA">
        <w:rPr>
          <w:rFonts w:hint="cs"/>
          <w:rtl/>
        </w:rPr>
        <w:t>י</w:t>
      </w:r>
      <w:r w:rsidR="00E86C14" w:rsidRPr="00247EEA">
        <w:rPr>
          <w:rtl/>
        </w:rPr>
        <w:t>ש</w:t>
      </w:r>
      <w:r w:rsidR="00E86C14" w:rsidRPr="00247EEA">
        <w:rPr>
          <w:rFonts w:hint="cs"/>
          <w:rtl/>
        </w:rPr>
        <w:t>ה</w:t>
      </w:r>
      <w:r w:rsidR="00E86C14" w:rsidRPr="00247EEA">
        <w:rPr>
          <w:rtl/>
        </w:rPr>
        <w:t xml:space="preserve"> ו</w:t>
      </w:r>
      <w:r w:rsidR="00E86C14" w:rsidRPr="00247EEA">
        <w:rPr>
          <w:rFonts w:hint="cs"/>
          <w:rtl/>
        </w:rPr>
        <w:t xml:space="preserve">פי </w:t>
      </w:r>
      <w:r w:rsidR="00E86C14" w:rsidRPr="00247EEA">
        <w:rPr>
          <w:rtl/>
        </w:rPr>
        <w:t>תשע</w:t>
      </w:r>
      <w:r w:rsidR="00E86C14" w:rsidRPr="00247EEA">
        <w:rPr>
          <w:rFonts w:hint="cs"/>
          <w:rtl/>
        </w:rPr>
        <w:t>ה</w:t>
      </w:r>
      <w:r w:rsidR="00E86C14" w:rsidRPr="00247EEA">
        <w:rPr>
          <w:rtl/>
        </w:rPr>
        <w:t xml:space="preserve"> מסכום ההתמחרות הנדרש, </w:t>
      </w:r>
      <w:r w:rsidR="00E86C14" w:rsidRPr="00247EEA">
        <w:rPr>
          <w:rFonts w:hint="cs"/>
          <w:rtl/>
        </w:rPr>
        <w:t xml:space="preserve">בהן </w:t>
      </w:r>
      <w:r w:rsidR="00E86C14" w:rsidRPr="00247EEA">
        <w:rPr>
          <w:rtl/>
        </w:rPr>
        <w:t>עבודות שאינן במסגרת שיפוצי קיץ.</w:t>
      </w:r>
      <w:r w:rsidR="00E86C14" w:rsidRPr="00247EEA">
        <w:rPr>
          <w:rFonts w:hint="cs"/>
          <w:rtl/>
        </w:rPr>
        <w:t xml:space="preserve"> בשלושה מכרזים של </w:t>
      </w:r>
      <w:r w:rsidR="00E86C14" w:rsidRPr="00247EEA">
        <w:rPr>
          <w:rtl/>
        </w:rPr>
        <w:t xml:space="preserve">עיריית </w:t>
      </w:r>
      <w:r w:rsidR="00E86C14" w:rsidRPr="00247EEA">
        <w:rPr>
          <w:b/>
          <w:bCs/>
          <w:rtl/>
        </w:rPr>
        <w:t>קריית ביאליק</w:t>
      </w:r>
      <w:r w:rsidR="00E86C14" w:rsidRPr="00247EEA">
        <w:rPr>
          <w:rFonts w:hint="cs"/>
          <w:rtl/>
        </w:rPr>
        <w:t>,</w:t>
      </w:r>
      <w:r w:rsidR="00E86C14" w:rsidRPr="00247EEA">
        <w:rPr>
          <w:rtl/>
        </w:rPr>
        <w:t xml:space="preserve"> </w:t>
      </w:r>
      <w:r w:rsidR="00E86C14" w:rsidRPr="00247EEA">
        <w:rPr>
          <w:rFonts w:hint="cs"/>
          <w:rtl/>
        </w:rPr>
        <w:t xml:space="preserve">שבהם קבעה כי תחלק את העבודות באופן שוויוני ככל שניתן, היא </w:t>
      </w:r>
      <w:r w:rsidR="00E86C14" w:rsidRPr="00247EEA">
        <w:rPr>
          <w:rtl/>
        </w:rPr>
        <w:t xml:space="preserve">לא קבעה כללים לניהול </w:t>
      </w:r>
      <w:r w:rsidR="00E86C14" w:rsidRPr="00247EEA">
        <w:rPr>
          <w:rFonts w:hint="cs"/>
          <w:rtl/>
        </w:rPr>
        <w:t>ה</w:t>
      </w:r>
      <w:r w:rsidR="00E86C14" w:rsidRPr="00247EEA">
        <w:rPr>
          <w:rtl/>
        </w:rPr>
        <w:t xml:space="preserve">מעקב אחר חלוקת העבודה בין </w:t>
      </w:r>
      <w:r w:rsidR="00E86C14" w:rsidRPr="00247EEA">
        <w:rPr>
          <w:rFonts w:hint="cs"/>
          <w:rtl/>
        </w:rPr>
        <w:t xml:space="preserve">הספקים שזכו במכרזי המסגרת, </w:t>
      </w:r>
      <w:r w:rsidR="00E86C14" w:rsidRPr="00247EEA">
        <w:rPr>
          <w:rtl/>
        </w:rPr>
        <w:t>אשר יבטיחו</w:t>
      </w:r>
      <w:r w:rsidR="00E86C14" w:rsidRPr="00247EEA">
        <w:rPr>
          <w:rFonts w:hint="cs"/>
          <w:rtl/>
        </w:rPr>
        <w:t xml:space="preserve"> </w:t>
      </w:r>
      <w:r w:rsidR="00E86C14" w:rsidRPr="00247EEA">
        <w:rPr>
          <w:rtl/>
        </w:rPr>
        <w:t>כי אכן חלוקת העבודה בין הספקים מתבצעת באופן שוויוני</w:t>
      </w:r>
      <w:r w:rsidR="00E86C14" w:rsidRPr="00247EEA">
        <w:rPr>
          <w:rFonts w:hint="cs"/>
          <w:rtl/>
        </w:rPr>
        <w:t>,</w:t>
      </w:r>
      <w:r w:rsidR="00E86C14" w:rsidRPr="00247EEA">
        <w:rPr>
          <w:rtl/>
        </w:rPr>
        <w:t xml:space="preserve"> </w:t>
      </w:r>
      <w:r w:rsidR="00E86C14" w:rsidRPr="00247EEA">
        <w:rPr>
          <w:rFonts w:hint="cs"/>
          <w:rtl/>
        </w:rPr>
        <w:t>ו</w:t>
      </w:r>
      <w:r w:rsidR="00E86C14" w:rsidRPr="00247EEA">
        <w:rPr>
          <w:rtl/>
        </w:rPr>
        <w:t>בפועל עולה כי חלוקת העבודה בין הספקים לא הייתה שוויונית.</w:t>
      </w:r>
      <w:r w:rsidR="00E86C14" w:rsidRPr="00247EEA">
        <w:rPr>
          <w:rFonts w:hint="cs"/>
          <w:rtl/>
        </w:rPr>
        <w:t xml:space="preserve"> כך לדוגמא, </w:t>
      </w:r>
      <w:r w:rsidR="00E86C14" w:rsidRPr="00247EEA">
        <w:rPr>
          <w:rFonts w:hint="eastAsia"/>
          <w:rtl/>
        </w:rPr>
        <w:t>במכרז</w:t>
      </w:r>
      <w:r w:rsidR="00E86C14" w:rsidRPr="00247EEA">
        <w:rPr>
          <w:rtl/>
        </w:rPr>
        <w:t xml:space="preserve"> לעבודות שיפוץ במוסדות חינוך בעיר</w:t>
      </w:r>
      <w:r w:rsidR="00E86C14" w:rsidRPr="00247EEA">
        <w:rPr>
          <w:rFonts w:hint="cs"/>
          <w:rtl/>
        </w:rPr>
        <w:t>,</w:t>
      </w:r>
      <w:r w:rsidR="00E86C14" w:rsidRPr="00247EEA">
        <w:rPr>
          <w:rtl/>
        </w:rPr>
        <w:t xml:space="preserve"> </w:t>
      </w:r>
      <w:r w:rsidR="00E86C14" w:rsidRPr="00247EEA">
        <w:rPr>
          <w:rFonts w:hint="cs"/>
          <w:rtl/>
        </w:rPr>
        <w:t xml:space="preserve">עיריית </w:t>
      </w:r>
      <w:r w:rsidR="00E86C14" w:rsidRPr="00247EEA">
        <w:rPr>
          <w:rFonts w:hint="cs"/>
          <w:b/>
          <w:bCs/>
          <w:rtl/>
        </w:rPr>
        <w:t xml:space="preserve">קריית ביאליק </w:t>
      </w:r>
      <w:r w:rsidR="00E86C14" w:rsidRPr="00247EEA">
        <w:rPr>
          <w:rFonts w:hint="cs"/>
          <w:rtl/>
        </w:rPr>
        <w:t xml:space="preserve">שילמה 73% מכלל התשלומים </w:t>
      </w:r>
      <w:r w:rsidR="00E86C14" w:rsidRPr="00247EEA">
        <w:rPr>
          <w:rtl/>
        </w:rPr>
        <w:t xml:space="preserve">לספק שהציע שיעור </w:t>
      </w:r>
      <w:r w:rsidR="00E86C14" w:rsidRPr="00247EEA">
        <w:rPr>
          <w:rFonts w:hint="cs"/>
          <w:rtl/>
        </w:rPr>
        <w:t xml:space="preserve">הנחה </w:t>
      </w:r>
      <w:r w:rsidR="00E86C14" w:rsidRPr="00247EEA">
        <w:rPr>
          <w:rtl/>
        </w:rPr>
        <w:t xml:space="preserve">של 26%, </w:t>
      </w:r>
      <w:r w:rsidR="00E86C14" w:rsidRPr="00247EEA">
        <w:rPr>
          <w:rFonts w:hint="cs"/>
          <w:rtl/>
        </w:rPr>
        <w:t>בעוד</w:t>
      </w:r>
      <w:r w:rsidR="00E86C14" w:rsidRPr="00247EEA">
        <w:rPr>
          <w:rtl/>
        </w:rPr>
        <w:t xml:space="preserve"> </w:t>
      </w:r>
      <w:r w:rsidR="00E86C14" w:rsidRPr="00247EEA">
        <w:rPr>
          <w:rFonts w:hint="cs"/>
          <w:rtl/>
        </w:rPr>
        <w:t xml:space="preserve">שלספק </w:t>
      </w:r>
      <w:r w:rsidR="00E86C14" w:rsidRPr="00247EEA">
        <w:rPr>
          <w:rtl/>
        </w:rPr>
        <w:t xml:space="preserve">שהציע שיעור </w:t>
      </w:r>
      <w:r w:rsidR="00E86C14" w:rsidRPr="00247EEA">
        <w:rPr>
          <w:rFonts w:hint="cs"/>
          <w:rtl/>
        </w:rPr>
        <w:t xml:space="preserve">הנחה </w:t>
      </w:r>
      <w:r w:rsidR="00E86C14" w:rsidRPr="00247EEA">
        <w:rPr>
          <w:rtl/>
        </w:rPr>
        <w:t>של 27%</w:t>
      </w:r>
      <w:r w:rsidR="00E86C14" w:rsidRPr="00247EEA">
        <w:rPr>
          <w:rFonts w:hint="cs"/>
          <w:rtl/>
        </w:rPr>
        <w:t xml:space="preserve">, שילמה </w:t>
      </w:r>
      <w:r w:rsidR="00E86C14" w:rsidRPr="00247EEA">
        <w:rPr>
          <w:rtl/>
        </w:rPr>
        <w:t xml:space="preserve">27% מכלל התשלומים (4.9 מיליון </w:t>
      </w:r>
      <w:r w:rsidR="00E86C14" w:rsidRPr="00247EEA">
        <w:rPr>
          <w:rFonts w:hint="eastAsia"/>
          <w:rtl/>
        </w:rPr>
        <w:t>ש</w:t>
      </w:r>
      <w:r w:rsidR="00E86C14" w:rsidRPr="00247EEA">
        <w:rPr>
          <w:rtl/>
        </w:rPr>
        <w:t xml:space="preserve">"ח </w:t>
      </w:r>
      <w:r w:rsidR="00E86C14" w:rsidRPr="00247EEA">
        <w:rPr>
          <w:rFonts w:hint="eastAsia"/>
          <w:rtl/>
        </w:rPr>
        <w:t>לעומת</w:t>
      </w:r>
      <w:r w:rsidR="00E86C14" w:rsidRPr="00247EEA">
        <w:rPr>
          <w:rtl/>
        </w:rPr>
        <w:t xml:space="preserve"> 1.8 </w:t>
      </w:r>
      <w:r w:rsidR="00E86C14" w:rsidRPr="00247EEA">
        <w:rPr>
          <w:rFonts w:hint="eastAsia"/>
          <w:rtl/>
        </w:rPr>
        <w:t>מיליון</w:t>
      </w:r>
      <w:r w:rsidR="00E86C14" w:rsidRPr="00247EEA">
        <w:rPr>
          <w:rtl/>
        </w:rPr>
        <w:t xml:space="preserve"> </w:t>
      </w:r>
      <w:r w:rsidR="00E86C14" w:rsidRPr="00247EEA">
        <w:rPr>
          <w:rFonts w:hint="eastAsia"/>
          <w:rtl/>
        </w:rPr>
        <w:t>ש</w:t>
      </w:r>
      <w:r w:rsidR="00E86C14" w:rsidRPr="00247EEA">
        <w:rPr>
          <w:rtl/>
        </w:rPr>
        <w:t xml:space="preserve">"ח </w:t>
      </w:r>
      <w:r w:rsidR="00E86C14" w:rsidRPr="00247EEA">
        <w:rPr>
          <w:rFonts w:hint="eastAsia"/>
          <w:rtl/>
        </w:rPr>
        <w:t>בהתאמה</w:t>
      </w:r>
      <w:r w:rsidR="00E86C14" w:rsidRPr="00247EEA">
        <w:rPr>
          <w:rtl/>
        </w:rPr>
        <w:t xml:space="preserve">); </w:t>
      </w:r>
      <w:r w:rsidR="00E86C14" w:rsidRPr="00247EEA">
        <w:rPr>
          <w:rFonts w:hint="eastAsia"/>
          <w:rtl/>
        </w:rPr>
        <w:t>במכרז</w:t>
      </w:r>
      <w:r w:rsidR="00E86C14" w:rsidRPr="00247EEA">
        <w:rPr>
          <w:rtl/>
        </w:rPr>
        <w:t xml:space="preserve"> </w:t>
      </w:r>
      <w:r w:rsidR="00E86C14" w:rsidRPr="00247EEA">
        <w:rPr>
          <w:rFonts w:hint="eastAsia"/>
          <w:rtl/>
        </w:rPr>
        <w:t>לביצוע</w:t>
      </w:r>
      <w:r w:rsidR="00E86C14" w:rsidRPr="00247EEA">
        <w:rPr>
          <w:rtl/>
        </w:rPr>
        <w:t xml:space="preserve"> </w:t>
      </w:r>
      <w:r w:rsidR="00E86C14" w:rsidRPr="00247EEA">
        <w:rPr>
          <w:rFonts w:hint="eastAsia"/>
          <w:rtl/>
        </w:rPr>
        <w:t>עבודות</w:t>
      </w:r>
      <w:r w:rsidR="00E86C14" w:rsidRPr="00247EEA">
        <w:rPr>
          <w:rtl/>
        </w:rPr>
        <w:t xml:space="preserve"> </w:t>
      </w:r>
      <w:r w:rsidR="00E86C14" w:rsidRPr="00247EEA">
        <w:rPr>
          <w:rFonts w:hint="eastAsia"/>
          <w:rtl/>
        </w:rPr>
        <w:t>איטום</w:t>
      </w:r>
      <w:r w:rsidR="00E86C14" w:rsidRPr="00247EEA">
        <w:rPr>
          <w:rtl/>
        </w:rPr>
        <w:t xml:space="preserve"> </w:t>
      </w:r>
      <w:r w:rsidR="00E86C14" w:rsidRPr="00247EEA">
        <w:rPr>
          <w:rFonts w:hint="eastAsia"/>
          <w:rtl/>
        </w:rPr>
        <w:t>וסיוד</w:t>
      </w:r>
      <w:r w:rsidR="00E86C14" w:rsidRPr="00247EEA">
        <w:rPr>
          <w:rtl/>
        </w:rPr>
        <w:t xml:space="preserve"> </w:t>
      </w:r>
      <w:r w:rsidR="00E86C14" w:rsidRPr="00247EEA">
        <w:rPr>
          <w:rFonts w:hint="eastAsia"/>
          <w:rtl/>
        </w:rPr>
        <w:t>גגות</w:t>
      </w:r>
      <w:r w:rsidR="00E86C14" w:rsidRPr="00247EEA">
        <w:rPr>
          <w:rtl/>
        </w:rPr>
        <w:t xml:space="preserve"> </w:t>
      </w:r>
      <w:r w:rsidR="00E86C14" w:rsidRPr="00247EEA">
        <w:rPr>
          <w:rFonts w:hint="eastAsia"/>
          <w:rtl/>
        </w:rPr>
        <w:t>במוסדות</w:t>
      </w:r>
      <w:r w:rsidR="00E86C14" w:rsidRPr="00247EEA">
        <w:rPr>
          <w:rtl/>
        </w:rPr>
        <w:t xml:space="preserve"> </w:t>
      </w:r>
      <w:r w:rsidR="00E86C14" w:rsidRPr="00247EEA">
        <w:rPr>
          <w:rFonts w:hint="eastAsia"/>
          <w:rtl/>
        </w:rPr>
        <w:t>חינוך</w:t>
      </w:r>
      <w:r w:rsidR="00E86C14" w:rsidRPr="00247EEA">
        <w:rPr>
          <w:rtl/>
        </w:rPr>
        <w:t xml:space="preserve"> </w:t>
      </w:r>
      <w:r w:rsidR="00E86C14" w:rsidRPr="00247EEA">
        <w:rPr>
          <w:rFonts w:hint="eastAsia"/>
          <w:rtl/>
        </w:rPr>
        <w:t>וציבור</w:t>
      </w:r>
      <w:r w:rsidR="00E86C14" w:rsidRPr="00247EEA">
        <w:rPr>
          <w:rtl/>
        </w:rPr>
        <w:t xml:space="preserve"> </w:t>
      </w:r>
      <w:r w:rsidR="00E86C14" w:rsidRPr="00247EEA">
        <w:rPr>
          <w:rFonts w:hint="cs"/>
          <w:rtl/>
        </w:rPr>
        <w:t xml:space="preserve">עיריית </w:t>
      </w:r>
      <w:r w:rsidR="00E86C14" w:rsidRPr="00247EEA">
        <w:rPr>
          <w:rFonts w:hint="cs"/>
          <w:b/>
          <w:bCs/>
          <w:rtl/>
        </w:rPr>
        <w:t>קריית ביאליק</w:t>
      </w:r>
      <w:r w:rsidR="00E86C14" w:rsidRPr="00247EEA">
        <w:rPr>
          <w:rFonts w:hint="cs"/>
          <w:rtl/>
        </w:rPr>
        <w:t xml:space="preserve"> שילמה 71% מכלל התשלומים </w:t>
      </w:r>
      <w:r w:rsidR="00E86C14" w:rsidRPr="00247EEA">
        <w:rPr>
          <w:rtl/>
        </w:rPr>
        <w:t xml:space="preserve">לספק שהציע </w:t>
      </w:r>
      <w:r w:rsidR="00E86C14" w:rsidRPr="00247EEA">
        <w:rPr>
          <w:rFonts w:hint="cs"/>
          <w:rtl/>
        </w:rPr>
        <w:t xml:space="preserve">שיעור </w:t>
      </w:r>
      <w:r w:rsidR="00E86C14" w:rsidRPr="00247EEA">
        <w:rPr>
          <w:rtl/>
        </w:rPr>
        <w:t xml:space="preserve">הנחה </w:t>
      </w:r>
      <w:r w:rsidR="00E86C14" w:rsidRPr="00247EEA">
        <w:rPr>
          <w:rFonts w:hint="cs"/>
          <w:rtl/>
        </w:rPr>
        <w:t xml:space="preserve">של </w:t>
      </w:r>
      <w:r w:rsidR="00E86C14" w:rsidRPr="00247EEA">
        <w:rPr>
          <w:rtl/>
        </w:rPr>
        <w:t xml:space="preserve">39%, </w:t>
      </w:r>
      <w:r w:rsidR="00E86C14" w:rsidRPr="00247EEA">
        <w:rPr>
          <w:rFonts w:hint="cs"/>
          <w:rtl/>
        </w:rPr>
        <w:t xml:space="preserve">בעוד שלספק שהציע שיעור הנחה של 42% שילמה 29% מכלל התשלומים </w:t>
      </w:r>
      <w:r w:rsidR="00E86C14" w:rsidRPr="00247EEA">
        <w:rPr>
          <w:rtl/>
        </w:rPr>
        <w:t>(כ-500,000 ש"ח</w:t>
      </w:r>
      <w:r w:rsidR="00E86C14" w:rsidRPr="00247EEA">
        <w:rPr>
          <w:rFonts w:hint="cs"/>
          <w:rtl/>
        </w:rPr>
        <w:t xml:space="preserve"> לעומת כ-200,000 ש"ח</w:t>
      </w:r>
      <w:r w:rsidR="00E86C14">
        <w:rPr>
          <w:rFonts w:hint="cs"/>
          <w:rtl/>
        </w:rPr>
        <w:t>)</w:t>
      </w:r>
      <w:r w:rsidRPr="00AF3B73">
        <w:rPr>
          <w:rFonts w:hint="cs"/>
          <w:rtl/>
        </w:rPr>
        <w:t>.</w:t>
      </w:r>
    </w:p>
    <w:p w:rsidR="00EB672B" w:rsidRDefault="000C3DE6" w:rsidP="00EB672B">
      <w:pPr>
        <w:pStyle w:val="73f7"/>
        <w:rPr>
          <w:rtl/>
        </w:rPr>
      </w:pPr>
      <w:r w:rsidRPr="0063556C">
        <w:rPr>
          <w:rStyle w:val="7372"/>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b/>
          <w:bCs/>
          <w:rtl/>
        </w:rPr>
        <w:t>זהות הגורם האחראי על ביצוע שלב המכרז השני</w:t>
      </w:r>
      <w:r w:rsidR="00E86C14" w:rsidRPr="00247EEA">
        <w:rPr>
          <w:rFonts w:hint="cs"/>
          <w:rtl/>
        </w:rPr>
        <w:t xml:space="preserve"> -</w:t>
      </w:r>
      <w:r w:rsidR="00E86C14" w:rsidRPr="00247EEA">
        <w:rPr>
          <w:rtl/>
        </w:rPr>
        <w:t xml:space="preserve"> עלה כי בעלי תפקידים בעיריות </w:t>
      </w:r>
      <w:r w:rsidR="00E86C14" w:rsidRPr="00247EEA">
        <w:rPr>
          <w:b/>
          <w:bCs/>
          <w:rtl/>
        </w:rPr>
        <w:t>יבנה</w:t>
      </w:r>
      <w:r w:rsidR="00E86C14" w:rsidRPr="00247EEA">
        <w:rPr>
          <w:rFonts w:hint="cs"/>
          <w:b/>
          <w:bCs/>
          <w:rtl/>
        </w:rPr>
        <w:t xml:space="preserve">, </w:t>
      </w:r>
      <w:r w:rsidR="00E86C14" w:rsidRPr="00247EEA">
        <w:rPr>
          <w:b/>
          <w:bCs/>
          <w:rtl/>
        </w:rPr>
        <w:t>קריית ביאליק</w:t>
      </w:r>
      <w:r w:rsidR="00E86C14" w:rsidRPr="00247EEA">
        <w:rPr>
          <w:rtl/>
        </w:rPr>
        <w:t xml:space="preserve">, </w:t>
      </w:r>
      <w:r w:rsidR="00E86C14" w:rsidRPr="00247EEA">
        <w:rPr>
          <w:rFonts w:hint="cs"/>
          <w:b/>
          <w:bCs/>
          <w:rtl/>
        </w:rPr>
        <w:t>ופתח תקווה</w:t>
      </w:r>
      <w:r w:rsidR="00E86C14" w:rsidRPr="00247EEA">
        <w:rPr>
          <w:rFonts w:hint="cs"/>
          <w:rtl/>
        </w:rPr>
        <w:t xml:space="preserve"> </w:t>
      </w:r>
      <w:r w:rsidR="00E86C14" w:rsidRPr="00247EEA">
        <w:rPr>
          <w:rtl/>
        </w:rPr>
        <w:t>וב</w:t>
      </w:r>
      <w:r w:rsidR="00E86C14" w:rsidRPr="00247EEA">
        <w:rPr>
          <w:b/>
          <w:bCs/>
          <w:rtl/>
        </w:rPr>
        <w:t xml:space="preserve">חלפ"ת </w:t>
      </w:r>
      <w:r w:rsidR="00E86C14" w:rsidRPr="00247EEA">
        <w:rPr>
          <w:rFonts w:hint="cs"/>
          <w:rtl/>
        </w:rPr>
        <w:t>הם שהחליטו</w:t>
      </w:r>
      <w:r w:rsidR="00E86C14" w:rsidRPr="00247EEA">
        <w:rPr>
          <w:rtl/>
        </w:rPr>
        <w:t xml:space="preserve"> באופן בלעדי מי מבין הזוכים במכרז המסגרת יבצע הזמנת עבודה מסוימת, ללא מעורבות של ועדת המכרזים</w:t>
      </w:r>
      <w:r w:rsidR="00E86C14" w:rsidRPr="00247EEA">
        <w:rPr>
          <w:rFonts w:hint="cs"/>
          <w:rtl/>
        </w:rPr>
        <w:t xml:space="preserve"> או ועדה מקצועית אחרת</w:t>
      </w:r>
      <w:r w:rsidR="00E86C14" w:rsidRPr="00247EEA">
        <w:rPr>
          <w:rtl/>
        </w:rPr>
        <w:t>,</w:t>
      </w:r>
      <w:r w:rsidR="00E86C14" w:rsidRPr="00247EEA">
        <w:rPr>
          <w:rFonts w:hint="cs"/>
          <w:rtl/>
        </w:rPr>
        <w:t xml:space="preserve"> ללא </w:t>
      </w:r>
      <w:r w:rsidR="00E86C14" w:rsidRPr="00247EEA">
        <w:rPr>
          <w:rtl/>
        </w:rPr>
        <w:t>בקרה כי הזמנת עבודה באמצעות מכרז מסגרת עדיפה על פרסום מכרז פרטני, מבלי ש</w:t>
      </w:r>
      <w:r w:rsidR="00E86C14" w:rsidRPr="00247EEA">
        <w:rPr>
          <w:rFonts w:hint="cs"/>
          <w:rtl/>
        </w:rPr>
        <w:t xml:space="preserve">עיריות </w:t>
      </w:r>
      <w:r w:rsidR="00E86C14" w:rsidRPr="00247EEA">
        <w:rPr>
          <w:rFonts w:hint="cs"/>
          <w:b/>
          <w:bCs/>
          <w:rtl/>
        </w:rPr>
        <w:t>יבנה</w:t>
      </w:r>
      <w:r w:rsidR="00E86C14" w:rsidRPr="00247EEA">
        <w:rPr>
          <w:rFonts w:hint="cs"/>
          <w:rtl/>
        </w:rPr>
        <w:t xml:space="preserve"> ו</w:t>
      </w:r>
      <w:r w:rsidR="00E86C14" w:rsidRPr="00247EEA">
        <w:rPr>
          <w:rFonts w:hint="cs"/>
          <w:b/>
          <w:bCs/>
          <w:rtl/>
        </w:rPr>
        <w:t xml:space="preserve">קריית ביאליק </w:t>
      </w:r>
      <w:r w:rsidR="00E86C14" w:rsidRPr="00247EEA">
        <w:rPr>
          <w:rFonts w:hint="cs"/>
          <w:rtl/>
        </w:rPr>
        <w:t>ו</w:t>
      </w:r>
      <w:r w:rsidR="00E86C14" w:rsidRPr="00247EEA">
        <w:rPr>
          <w:rFonts w:hint="cs"/>
          <w:b/>
          <w:bCs/>
          <w:rtl/>
        </w:rPr>
        <w:t>חלפ"ת</w:t>
      </w:r>
      <w:r w:rsidR="00E86C14" w:rsidRPr="00247EEA">
        <w:rPr>
          <w:rtl/>
        </w:rPr>
        <w:t xml:space="preserve"> קבעו אמות מידה ל</w:t>
      </w:r>
      <w:r w:rsidR="00E86C14" w:rsidRPr="00247EEA">
        <w:rPr>
          <w:rFonts w:hint="cs"/>
          <w:rtl/>
        </w:rPr>
        <w:t>החלטותיהם ומבלי שהחלטותיהם היו שקופות, זאת, באופן המעלה</w:t>
      </w:r>
      <w:r w:rsidR="00E86C14" w:rsidRPr="00247EEA">
        <w:rPr>
          <w:rtl/>
        </w:rPr>
        <w:t xml:space="preserve"> חשש לכך שיתקיים משוא פנים</w:t>
      </w:r>
      <w:r w:rsidR="00E86C14" w:rsidRPr="00247EEA">
        <w:rPr>
          <w:rFonts w:hint="cs"/>
          <w:rtl/>
        </w:rPr>
        <w:t xml:space="preserve">. </w:t>
      </w:r>
      <w:r w:rsidR="00E86C14" w:rsidRPr="00247EEA">
        <w:rPr>
          <w:rtl/>
        </w:rPr>
        <w:t xml:space="preserve">חלק מאותן הזמנות עבודה, עמדו על מיליוני שקלים בעיריית </w:t>
      </w:r>
      <w:r w:rsidR="00E86C14" w:rsidRPr="00247EEA">
        <w:rPr>
          <w:b/>
          <w:bCs/>
          <w:rtl/>
        </w:rPr>
        <w:t>קריית ביאליק</w:t>
      </w:r>
      <w:r w:rsidR="00E86C14" w:rsidRPr="00247EEA">
        <w:rPr>
          <w:rtl/>
        </w:rPr>
        <w:t xml:space="preserve"> ו</w:t>
      </w:r>
      <w:r w:rsidR="00E86C14" w:rsidRPr="00247EEA">
        <w:rPr>
          <w:b/>
          <w:bCs/>
          <w:rtl/>
        </w:rPr>
        <w:t>חלפ"ת</w:t>
      </w:r>
      <w:r w:rsidR="00E86C14" w:rsidRPr="00247EEA">
        <w:rPr>
          <w:rFonts w:hint="cs"/>
          <w:rtl/>
        </w:rPr>
        <w:t xml:space="preserve">, למשל </w:t>
      </w:r>
      <w:r w:rsidR="00E86C14" w:rsidRPr="00247EEA">
        <w:rPr>
          <w:rFonts w:hint="cs"/>
          <w:b/>
          <w:bCs/>
          <w:rtl/>
        </w:rPr>
        <w:t>חלפ"ת</w:t>
      </w:r>
      <w:r w:rsidR="00E86C14" w:rsidRPr="00247EEA">
        <w:rPr>
          <w:rFonts w:hint="cs"/>
          <w:rtl/>
        </w:rPr>
        <w:t xml:space="preserve"> שילמה כ-7.4 מיליון ש"ח לקבלן מסוים בעבור ביצוע פרויקט יחיד</w:t>
      </w:r>
      <w:r w:rsidRPr="00AF3B73">
        <w:rPr>
          <w:rFonts w:hint="cs"/>
          <w:rtl/>
        </w:rPr>
        <w:t xml:space="preserve">. </w:t>
      </w:r>
    </w:p>
    <w:p w:rsidR="00E86C14" w:rsidRDefault="000C3DE6" w:rsidP="00E86C14">
      <w:pPr>
        <w:pStyle w:val="73f7"/>
        <w:rPr>
          <w:rtl/>
        </w:rPr>
      </w:pPr>
      <w:r w:rsidRPr="0063556C">
        <w:rPr>
          <w:rStyle w:val="7372"/>
          <w:rFonts w:hint="cs"/>
          <w:noProof/>
          <w:rtl/>
        </w:rPr>
        <w:lastRenderedPageBreak/>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9100001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00012"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47EEA">
        <w:rPr>
          <w:b/>
          <w:bCs/>
          <w:rtl/>
        </w:rPr>
        <w:t>ערבות מכרז ודמי השתתפות</w:t>
      </w:r>
      <w:r w:rsidRPr="00247EEA">
        <w:rPr>
          <w:rtl/>
        </w:rPr>
        <w:t xml:space="preserve"> </w:t>
      </w:r>
      <w:r w:rsidRPr="00247EEA">
        <w:rPr>
          <w:rFonts w:hint="cs"/>
          <w:rtl/>
        </w:rPr>
        <w:t xml:space="preserve">- </w:t>
      </w:r>
      <w:r w:rsidRPr="00247EEA">
        <w:rPr>
          <w:rtl/>
        </w:rPr>
        <w:t>קיימים הבדלים גדולים בין גובה ע</w:t>
      </w:r>
      <w:r w:rsidRPr="00247EEA">
        <w:rPr>
          <w:rFonts w:hint="eastAsia"/>
          <w:rtl/>
        </w:rPr>
        <w:t>ר</w:t>
      </w:r>
      <w:r w:rsidRPr="00247EEA">
        <w:rPr>
          <w:rtl/>
        </w:rPr>
        <w:t>בות המכרז ודמי ההשתתפו</w:t>
      </w:r>
      <w:r w:rsidRPr="00247EEA">
        <w:rPr>
          <w:rtl/>
        </w:rPr>
        <w:t xml:space="preserve">ת שנקבעו במכרזי המסגרת של העיריות </w:t>
      </w:r>
      <w:r w:rsidRPr="00247EEA">
        <w:rPr>
          <w:b/>
          <w:bCs/>
          <w:rtl/>
        </w:rPr>
        <w:t>יבנה</w:t>
      </w:r>
      <w:r w:rsidRPr="00247EEA">
        <w:rPr>
          <w:rtl/>
        </w:rPr>
        <w:t xml:space="preserve"> ו</w:t>
      </w:r>
      <w:r w:rsidRPr="00247EEA">
        <w:rPr>
          <w:b/>
          <w:bCs/>
          <w:rtl/>
        </w:rPr>
        <w:t xml:space="preserve">קריית ביאליק </w:t>
      </w:r>
      <w:r w:rsidRPr="00247EEA">
        <w:rPr>
          <w:rFonts w:hint="eastAsia"/>
          <w:rtl/>
        </w:rPr>
        <w:t>ושל</w:t>
      </w:r>
      <w:r w:rsidRPr="00247EEA">
        <w:rPr>
          <w:rtl/>
        </w:rPr>
        <w:t xml:space="preserve"> </w:t>
      </w:r>
      <w:r w:rsidRPr="00247EEA">
        <w:rPr>
          <w:rFonts w:hint="eastAsia"/>
          <w:b/>
          <w:bCs/>
          <w:rtl/>
        </w:rPr>
        <w:t>ה</w:t>
      </w:r>
      <w:r w:rsidRPr="00247EEA">
        <w:rPr>
          <w:b/>
          <w:bCs/>
          <w:rtl/>
        </w:rPr>
        <w:t>חלפ"ת</w:t>
      </w:r>
      <w:r w:rsidRPr="00247EEA">
        <w:rPr>
          <w:rFonts w:hint="cs"/>
          <w:b/>
          <w:bCs/>
          <w:rtl/>
        </w:rPr>
        <w:t xml:space="preserve">. </w:t>
      </w:r>
      <w:r w:rsidRPr="00247EEA">
        <w:rPr>
          <w:rFonts w:hint="cs"/>
          <w:rtl/>
        </w:rPr>
        <w:t>כך,</w:t>
      </w:r>
      <w:r w:rsidRPr="00247EEA">
        <w:rPr>
          <w:rFonts w:hint="cs"/>
          <w:b/>
          <w:bCs/>
          <w:rtl/>
        </w:rPr>
        <w:t xml:space="preserve"> </w:t>
      </w:r>
      <w:r w:rsidRPr="00247EEA">
        <w:rPr>
          <w:rtl/>
        </w:rPr>
        <w:t>גובה דמי הערבות במכרזים שנבדקו נע בין 0 ש"ח לבין 200,000 ש"ח</w:t>
      </w:r>
      <w:r w:rsidRPr="00247EEA">
        <w:rPr>
          <w:rFonts w:hint="cs"/>
          <w:rtl/>
        </w:rPr>
        <w:t>,</w:t>
      </w:r>
      <w:r w:rsidRPr="00247EEA">
        <w:rPr>
          <w:rtl/>
        </w:rPr>
        <w:t xml:space="preserve"> וגובה דמי ההשתתפות </w:t>
      </w:r>
      <w:r w:rsidRPr="00247EEA">
        <w:rPr>
          <w:rFonts w:hint="cs"/>
          <w:rtl/>
        </w:rPr>
        <w:t>בהם</w:t>
      </w:r>
      <w:r w:rsidRPr="00247EEA">
        <w:rPr>
          <w:rtl/>
        </w:rPr>
        <w:t xml:space="preserve"> נע בין 0 ש"ח לבין 2,500 ש"ח.</w:t>
      </w:r>
      <w:r w:rsidRPr="00247EEA">
        <w:rPr>
          <w:rFonts w:hint="cs"/>
          <w:rtl/>
        </w:rPr>
        <w:t xml:space="preserve"> נמצא כי בכל 22 מכרזי המסגרת שנבדקו בעיריות </w:t>
      </w:r>
      <w:r w:rsidRPr="00247EEA">
        <w:rPr>
          <w:b/>
          <w:bCs/>
          <w:rtl/>
        </w:rPr>
        <w:t>יבנה</w:t>
      </w:r>
      <w:r w:rsidRPr="00247EEA">
        <w:rPr>
          <w:rtl/>
        </w:rPr>
        <w:t xml:space="preserve"> ו</w:t>
      </w:r>
      <w:r w:rsidRPr="00247EEA">
        <w:rPr>
          <w:b/>
          <w:bCs/>
          <w:rtl/>
        </w:rPr>
        <w:t xml:space="preserve">קריית ביאליק </w:t>
      </w:r>
      <w:r w:rsidRPr="00247EEA">
        <w:rPr>
          <w:rFonts w:hint="cs"/>
          <w:rtl/>
        </w:rPr>
        <w:t xml:space="preserve">ושל </w:t>
      </w:r>
      <w:r w:rsidRPr="00247EEA">
        <w:rPr>
          <w:rFonts w:hint="cs"/>
          <w:b/>
          <w:bCs/>
          <w:rtl/>
        </w:rPr>
        <w:t>ה</w:t>
      </w:r>
      <w:r w:rsidRPr="00247EEA">
        <w:rPr>
          <w:b/>
          <w:bCs/>
          <w:rtl/>
        </w:rPr>
        <w:t>חלפ"ת</w:t>
      </w:r>
      <w:r w:rsidRPr="00247EEA">
        <w:rPr>
          <w:rtl/>
        </w:rPr>
        <w:t xml:space="preserve"> </w:t>
      </w:r>
      <w:r w:rsidRPr="00247EEA">
        <w:rPr>
          <w:rtl/>
        </w:rPr>
        <w:t>למכרזי המסגרת לא צורף אומדן ומשכך לא ניתן לבחון האם הללו עומדים בקנה אחד עם המלצת מרכז השלטון המקומי</w:t>
      </w:r>
      <w:r w:rsidRPr="00247EEA">
        <w:rPr>
          <w:rFonts w:hint="cs"/>
          <w:rtl/>
        </w:rPr>
        <w:t>, לפיה ע</w:t>
      </w:r>
      <w:r w:rsidRPr="00247EEA">
        <w:rPr>
          <w:rtl/>
        </w:rPr>
        <w:t>רבות ההצעה לא תעלה על שיעור של 2.5% מהיקף ההתקשרות, ובמקרים מיוחדים ומנימוקים שיירשמו תהיה הרשות המקומית רשאית לקבוע שיעור ערבות גבוה יותר</w:t>
      </w:r>
      <w:r w:rsidRPr="00247EEA">
        <w:rPr>
          <w:rFonts w:hint="cs"/>
          <w:rtl/>
        </w:rPr>
        <w:t>.</w:t>
      </w:r>
      <w:r w:rsidRPr="00247EEA">
        <w:rPr>
          <w:rtl/>
        </w:rPr>
        <w:t xml:space="preserve"> </w:t>
      </w:r>
      <w:r w:rsidRPr="00247EEA">
        <w:rPr>
          <w:rFonts w:hint="cs"/>
          <w:rtl/>
        </w:rPr>
        <w:t>עוד עולה</w:t>
      </w:r>
      <w:r w:rsidRPr="00247EEA">
        <w:rPr>
          <w:rFonts w:hint="cs"/>
          <w:rtl/>
        </w:rPr>
        <w:t xml:space="preserve"> כי ההחלטה על גובה דמי הערבות ודמי ההשתתפות נקבעו בהיעדר כללים לקביעת הסכומים הללו בכל מכרז ומבלי שהחלטות אלו נומקו</w:t>
      </w:r>
      <w:r w:rsidRPr="00AF3B73">
        <w:rPr>
          <w:rFonts w:hint="cs"/>
          <w:rtl/>
        </w:rPr>
        <w:t xml:space="preserve">. </w:t>
      </w:r>
    </w:p>
    <w:p w:rsidR="00E86C14" w:rsidRDefault="000C3DE6" w:rsidP="00E86C14">
      <w:pPr>
        <w:pStyle w:val="73f7"/>
        <w:rPr>
          <w:rtl/>
        </w:rPr>
      </w:pPr>
      <w:r w:rsidRPr="0063556C">
        <w:rPr>
          <w:rStyle w:val="7372"/>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427037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0373"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47EEA">
        <w:rPr>
          <w:b/>
          <w:bCs/>
          <w:rtl/>
        </w:rPr>
        <w:t>העדפת עסק בשליטת אישה</w:t>
      </w:r>
      <w:r w:rsidRPr="00247EEA">
        <w:rPr>
          <w:rFonts w:hint="cs"/>
          <w:rtl/>
        </w:rPr>
        <w:t xml:space="preserve"> - </w:t>
      </w:r>
      <w:r w:rsidRPr="00247EEA">
        <w:rPr>
          <w:rtl/>
        </w:rPr>
        <w:t xml:space="preserve">נמצא כי בשני מכרזי מסגרת שפרסמה עיריית </w:t>
      </w:r>
      <w:r w:rsidRPr="00247EEA">
        <w:rPr>
          <w:b/>
          <w:bCs/>
          <w:rtl/>
        </w:rPr>
        <w:t>קריית ביאליק</w:t>
      </w:r>
      <w:r w:rsidRPr="00247EEA">
        <w:rPr>
          <w:rtl/>
        </w:rPr>
        <w:t xml:space="preserve"> ובכל 13 מכרזי המסגרת שפרסמה </w:t>
      </w:r>
      <w:r w:rsidRPr="00247EEA">
        <w:rPr>
          <w:b/>
          <w:bCs/>
          <w:rtl/>
        </w:rPr>
        <w:t>חלפ"ת</w:t>
      </w:r>
      <w:r w:rsidRPr="00247EEA">
        <w:rPr>
          <w:rtl/>
        </w:rPr>
        <w:t xml:space="preserve"> אין התייחסות להעדפת עסק בשל</w:t>
      </w:r>
      <w:r w:rsidRPr="00247EEA">
        <w:rPr>
          <w:rtl/>
        </w:rPr>
        <w:t>יטת אישה</w:t>
      </w:r>
      <w:r w:rsidRPr="00AF3B73">
        <w:rPr>
          <w:rFonts w:hint="cs"/>
          <w:rtl/>
        </w:rPr>
        <w:t xml:space="preserve">. </w:t>
      </w:r>
    </w:p>
    <w:p w:rsidR="00E86C14" w:rsidRDefault="000C3DE6" w:rsidP="00E86C14">
      <w:pPr>
        <w:pStyle w:val="73f7"/>
        <w:rPr>
          <w:rtl/>
        </w:rPr>
      </w:pPr>
      <w:r w:rsidRPr="0063556C">
        <w:rPr>
          <w:rStyle w:val="7372"/>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4741039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10394"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47EEA">
        <w:rPr>
          <w:b/>
          <w:bCs/>
          <w:rtl/>
        </w:rPr>
        <w:t>התקשרות עם יועצים באמצעות מכרז מסגרת בעיריית קריית ביאליק</w:t>
      </w:r>
      <w:r w:rsidRPr="00247EEA">
        <w:rPr>
          <w:rFonts w:hint="cs"/>
          <w:rtl/>
        </w:rPr>
        <w:t xml:space="preserve"> - </w:t>
      </w:r>
      <w:r w:rsidRPr="00247EEA">
        <w:rPr>
          <w:rtl/>
        </w:rPr>
        <w:t xml:space="preserve">אופן בחירת היועצים בעיריית </w:t>
      </w:r>
      <w:r w:rsidRPr="00247EEA">
        <w:rPr>
          <w:b/>
          <w:bCs/>
          <w:rtl/>
        </w:rPr>
        <w:t>קריית ביאליק</w:t>
      </w:r>
      <w:r w:rsidRPr="00247EEA">
        <w:rPr>
          <w:rtl/>
        </w:rPr>
        <w:t xml:space="preserve">, אינו מחייב את בחירתם באמצעות הליך שקוף ושוויוני ואף מבלי שהעירייה קבעה כללים שיבטיחו כי הוא מתבצע בהתאם </w:t>
      </w:r>
      <w:r w:rsidRPr="00247EEA">
        <w:rPr>
          <w:rFonts w:hint="cs"/>
          <w:rtl/>
        </w:rPr>
        <w:t xml:space="preserve">לשיטת הבחירה עליה הוחלט </w:t>
      </w:r>
      <w:r w:rsidRPr="00247EEA">
        <w:rPr>
          <w:rtl/>
        </w:rPr>
        <w:t>וכי ניתן יהיה ל</w:t>
      </w:r>
      <w:r w:rsidRPr="00247EEA">
        <w:rPr>
          <w:rtl/>
        </w:rPr>
        <w:t>קיים מעקב ובקרה, כך שבפועל עיקר העבודה הועברה ליועץ מסוים</w:t>
      </w:r>
      <w:r w:rsidRPr="00247EEA">
        <w:rPr>
          <w:rFonts w:hint="cs"/>
          <w:rtl/>
        </w:rPr>
        <w:t xml:space="preserve"> -</w:t>
      </w:r>
      <w:r w:rsidRPr="00247EEA">
        <w:rPr>
          <w:rtl/>
        </w:rPr>
        <w:t xml:space="preserve"> </w:t>
      </w:r>
      <w:r w:rsidRPr="00247EEA">
        <w:rPr>
          <w:rFonts w:hint="cs"/>
          <w:rtl/>
        </w:rPr>
        <w:t xml:space="preserve">אינו עולה בקנה אחד עם </w:t>
      </w:r>
      <w:r w:rsidRPr="00247EEA">
        <w:rPr>
          <w:rtl/>
        </w:rPr>
        <w:t>עקרונות דיני המכרזים.</w:t>
      </w:r>
      <w:r w:rsidRPr="00247EEA">
        <w:rPr>
          <w:rFonts w:hint="cs"/>
          <w:rtl/>
        </w:rPr>
        <w:t xml:space="preserve"> כך לדוגמא, </w:t>
      </w:r>
      <w:r w:rsidRPr="00247EEA">
        <w:rPr>
          <w:rtl/>
        </w:rPr>
        <w:t>בפרק א' במכרז למתן שירותי ניהול ופיקוח לפרויקטים הנדסיים</w:t>
      </w:r>
      <w:r w:rsidRPr="00247EEA">
        <w:rPr>
          <w:rFonts w:hint="cs"/>
          <w:rtl/>
        </w:rPr>
        <w:t xml:space="preserve">, בו נבחרו עשרה ספקים שונים, </w:t>
      </w:r>
      <w:r w:rsidRPr="00247EEA">
        <w:rPr>
          <w:rtl/>
        </w:rPr>
        <w:t>שיעור התשלומים ששילמה העירייה ליו</w:t>
      </w:r>
      <w:r w:rsidRPr="00247EEA">
        <w:rPr>
          <w:rFonts w:hint="cs"/>
          <w:rtl/>
        </w:rPr>
        <w:t>עץ א'</w:t>
      </w:r>
      <w:r w:rsidRPr="00247EEA">
        <w:rPr>
          <w:rtl/>
          <w:lang w:eastAsia="he-IL"/>
        </w:rPr>
        <w:t xml:space="preserve"> </w:t>
      </w:r>
      <w:r w:rsidRPr="00247EEA">
        <w:rPr>
          <w:rtl/>
        </w:rPr>
        <w:t>עמד על כ-87% מכלל</w:t>
      </w:r>
      <w:r w:rsidRPr="00247EEA">
        <w:rPr>
          <w:rtl/>
        </w:rPr>
        <w:t xml:space="preserve"> התשלומים</w:t>
      </w:r>
      <w:r w:rsidRPr="00AF3B73">
        <w:rPr>
          <w:rFonts w:hint="cs"/>
          <w:rtl/>
        </w:rPr>
        <w:t xml:space="preserve">. </w:t>
      </w:r>
    </w:p>
    <w:p w:rsidR="00E86C14" w:rsidRDefault="00E86C14" w:rsidP="00EB672B">
      <w:pPr>
        <w:pStyle w:val="73f7"/>
        <w:rPr>
          <w:rtl/>
        </w:rPr>
      </w:pPr>
    </w:p>
    <w:p w:rsidR="00EB672B" w:rsidRPr="000B463F" w:rsidRDefault="000C3DE6"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RDefault="000C3DE6" w:rsidP="00EB672B">
      <w:pPr>
        <w:pStyle w:val="73f7"/>
        <w:rPr>
          <w:rtl/>
        </w:rPr>
      </w:pPr>
      <w:r w:rsidRPr="00247EEA">
        <w:rPr>
          <w:b/>
          <w:bCs/>
          <w:rtl/>
        </w:rPr>
        <w:t>העדפת עסק בשליטת אישה</w:t>
      </w:r>
      <w:r w:rsidRPr="00247EEA">
        <w:rPr>
          <w:rFonts w:hint="cs"/>
          <w:rtl/>
        </w:rPr>
        <w:t xml:space="preserve"> - </w:t>
      </w:r>
      <w:r w:rsidRPr="00247EEA">
        <w:rPr>
          <w:rtl/>
        </w:rPr>
        <w:t xml:space="preserve">במכרז המסגרת שפרסמה עיריית </w:t>
      </w:r>
      <w:r w:rsidRPr="00247EEA">
        <w:rPr>
          <w:b/>
          <w:bCs/>
          <w:rtl/>
        </w:rPr>
        <w:t>יבנה</w:t>
      </w:r>
      <w:r w:rsidRPr="00247EEA">
        <w:rPr>
          <w:rtl/>
        </w:rPr>
        <w:t xml:space="preserve"> ובשישה מתוך שמונת מכרזי המסגרת שפרסמה עיריית </w:t>
      </w:r>
      <w:r w:rsidRPr="00247EEA">
        <w:rPr>
          <w:b/>
          <w:bCs/>
          <w:rtl/>
        </w:rPr>
        <w:t>קריית ביאליק</w:t>
      </w:r>
      <w:r w:rsidRPr="00247EEA">
        <w:rPr>
          <w:rtl/>
        </w:rPr>
        <w:t xml:space="preserve"> נקבע כי במקרה שבו ההצעות הטובות ביותר יהיו זהות, ואחת מן ההצעות היא של עסק בשליטת אישה, תינתן עדיפות להצעה זו, בהתאם לנקבע בתקנ</w:t>
      </w:r>
      <w:r w:rsidRPr="00247EEA">
        <w:rPr>
          <w:rtl/>
        </w:rPr>
        <w:t>ות העיריות מכרזים</w:t>
      </w:r>
      <w:r w:rsidRPr="00CA4EB1">
        <w:rPr>
          <w:rFonts w:hint="cs"/>
          <w:rtl/>
        </w:rPr>
        <w:t>.</w:t>
      </w:r>
    </w:p>
    <w:p w:rsidR="00E86C14" w:rsidRDefault="000C3DE6" w:rsidP="00EB672B">
      <w:pPr>
        <w:pStyle w:val="73f7"/>
        <w:rPr>
          <w:rtl/>
        </w:rPr>
      </w:pPr>
      <w:r w:rsidRPr="00247EEA">
        <w:rPr>
          <w:rFonts w:hint="cs"/>
          <w:b/>
          <w:bCs/>
          <w:rtl/>
        </w:rPr>
        <w:t>פרסום מכרזי המסגרת</w:t>
      </w:r>
      <w:r w:rsidRPr="00247EEA">
        <w:rPr>
          <w:rFonts w:hint="cs"/>
          <w:rtl/>
        </w:rPr>
        <w:t xml:space="preserve"> - </w:t>
      </w:r>
      <w:r w:rsidRPr="00247EEA">
        <w:rPr>
          <w:rtl/>
        </w:rPr>
        <w:t>משרד מבקר המדינה מציין לחיוב את פרסום מכרזי</w:t>
      </w:r>
      <w:r w:rsidRPr="00247EEA">
        <w:rPr>
          <w:rFonts w:hint="cs"/>
          <w:rtl/>
        </w:rPr>
        <w:t xml:space="preserve"> הרשויות המקומיות והתאגידים העירוניים שנבדקו ב</w:t>
      </w:r>
      <w:r w:rsidRPr="00247EEA">
        <w:rPr>
          <w:rtl/>
        </w:rPr>
        <w:t>אתרי המרשתת שלה</w:t>
      </w:r>
      <w:r w:rsidRPr="00247EEA">
        <w:rPr>
          <w:rFonts w:hint="cs"/>
          <w:rtl/>
        </w:rPr>
        <w:t>ן</w:t>
      </w:r>
      <w:r w:rsidR="00EB672B">
        <w:rPr>
          <w:rFonts w:hint="cs"/>
          <w:rtl/>
        </w:rPr>
        <w:t>.</w:t>
      </w:r>
    </w:p>
    <w:p w:rsidR="00E86C14" w:rsidRDefault="000C3DE6">
      <w:pPr>
        <w:bidi w:val="0"/>
        <w:spacing w:after="200" w:line="276" w:lineRule="auto"/>
        <w:rPr>
          <w:rFonts w:ascii="Tahoma" w:hAnsi="Tahoma" w:cs="Tahoma"/>
          <w:color w:val="0D0D0D" w:themeColor="text1" w:themeTint="F2"/>
          <w:sz w:val="18"/>
          <w:szCs w:val="18"/>
          <w:rtl/>
        </w:rPr>
      </w:pPr>
      <w:r>
        <w:rPr>
          <w:rtl/>
        </w:rPr>
        <w:br w:type="page"/>
      </w:r>
    </w:p>
    <w:p w:rsidR="00EB672B" w:rsidRPr="00CA4EB1" w:rsidRDefault="00EB672B" w:rsidP="00EB672B">
      <w:pPr>
        <w:pStyle w:val="73f7"/>
        <w:rPr>
          <w:rtl/>
        </w:rPr>
      </w:pPr>
    </w:p>
    <w:p w:rsidR="00EB672B" w:rsidRPr="006F49D3" w:rsidRDefault="000C3DE6" w:rsidP="006F49D3">
      <w:pPr>
        <w:pStyle w:val="73fd"/>
        <w:rPr>
          <w:rtl/>
        </w:rPr>
      </w:pPr>
      <w:r w:rsidRPr="006F49D3">
        <w:rPr>
          <w:rFonts w:hint="cs"/>
          <w:rtl/>
        </w:rPr>
        <w:t>עיקרי המלצות הביקורת</w:t>
      </w:r>
    </w:p>
    <w:p w:rsidR="00EB672B" w:rsidRPr="007C7D40" w:rsidRDefault="000C3DE6"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cs"/>
          <w:rtl/>
        </w:rPr>
        <w:t xml:space="preserve">על </w:t>
      </w:r>
      <w:r w:rsidR="00E86C14" w:rsidRPr="00247EEA">
        <w:rPr>
          <w:rtl/>
        </w:rPr>
        <w:t>משרד הפנים לבחון את הצורך בעדכון החקיקה החלה על השלטון המקומי ובאימוץ העקרונות שנקבעו במסגרת הנורמטיבית החלה על השלטון המרכזי, בשינויים המתחייבים, ובין היתר בכל הנוגע לניהול מכרזי מסגרת</w:t>
      </w:r>
      <w:r w:rsidR="00E86C14" w:rsidRPr="00247EEA">
        <w:rPr>
          <w:rFonts w:hint="cs"/>
          <w:rtl/>
        </w:rPr>
        <w:t>, תוך התאמתם גם לשינויים שחלו בחלוף הזמן וכן תוך ביצוע התאמות לשעת חירום</w:t>
      </w:r>
      <w:r w:rsidR="00E86C14" w:rsidRPr="00247EEA">
        <w:rPr>
          <w:rtl/>
        </w:rPr>
        <w:t>.</w:t>
      </w:r>
      <w:r w:rsidR="00E86C14" w:rsidRPr="00247EEA">
        <w:rPr>
          <w:rFonts w:hint="cs"/>
          <w:rtl/>
        </w:rPr>
        <w:t xml:space="preserve"> על משרד הפנים לפעול להתקנת התקנות לעניין עסקאות של תאגיד מקומי ולהסדיר כללים לקיום מכרזים בתאגידים העירוניים, </w:t>
      </w:r>
      <w:r w:rsidR="00E86C14" w:rsidRPr="00247EEA">
        <w:rPr>
          <w:rFonts w:hint="eastAsia"/>
          <w:rtl/>
        </w:rPr>
        <w:t>בשים</w:t>
      </w:r>
      <w:r w:rsidR="00E86C14" w:rsidRPr="00247EEA">
        <w:rPr>
          <w:rtl/>
        </w:rPr>
        <w:t xml:space="preserve"> </w:t>
      </w:r>
      <w:r w:rsidR="00E86C14" w:rsidRPr="00247EEA">
        <w:rPr>
          <w:rFonts w:hint="eastAsia"/>
          <w:rtl/>
        </w:rPr>
        <w:t>לב</w:t>
      </w:r>
      <w:r w:rsidR="00E86C14" w:rsidRPr="00247EEA">
        <w:rPr>
          <w:rtl/>
        </w:rPr>
        <w:t xml:space="preserve"> </w:t>
      </w:r>
      <w:r w:rsidR="00E86C14" w:rsidRPr="00247EEA">
        <w:rPr>
          <w:rFonts w:hint="eastAsia"/>
          <w:rtl/>
        </w:rPr>
        <w:t>לאסדרה</w:t>
      </w:r>
      <w:r w:rsidR="00E86C14" w:rsidRPr="00247EEA">
        <w:rPr>
          <w:rtl/>
        </w:rPr>
        <w:t xml:space="preserve"> </w:t>
      </w:r>
      <w:r w:rsidR="00E86C14" w:rsidRPr="00247EEA">
        <w:rPr>
          <w:rFonts w:hint="eastAsia"/>
          <w:rtl/>
        </w:rPr>
        <w:t>הקיימת</w:t>
      </w:r>
      <w:r w:rsidR="00E86C14" w:rsidRPr="00247EEA">
        <w:rPr>
          <w:rtl/>
        </w:rPr>
        <w:t xml:space="preserve"> </w:t>
      </w:r>
      <w:r w:rsidR="00E86C14" w:rsidRPr="00247EEA">
        <w:rPr>
          <w:rFonts w:hint="eastAsia"/>
          <w:rtl/>
        </w:rPr>
        <w:t>במדינה</w:t>
      </w:r>
      <w:r w:rsidR="00E86C14" w:rsidRPr="00247EEA">
        <w:rPr>
          <w:rtl/>
        </w:rPr>
        <w:t>.</w:t>
      </w:r>
      <w:r w:rsidR="00E86C14" w:rsidRPr="00247EEA">
        <w:rPr>
          <w:rFonts w:hint="cs"/>
          <w:rtl/>
        </w:rPr>
        <w:t xml:space="preserve"> </w:t>
      </w:r>
      <w:r w:rsidR="00E86C14" w:rsidRPr="00247EEA">
        <w:rPr>
          <w:rtl/>
        </w:rPr>
        <w:t xml:space="preserve">עד להסדרת הנושא בחקיקה, </w:t>
      </w:r>
      <w:r w:rsidR="00E86C14" w:rsidRPr="00247EEA">
        <w:rPr>
          <w:rFonts w:hint="cs"/>
          <w:rtl/>
        </w:rPr>
        <w:t>מוצע</w:t>
      </w:r>
      <w:r w:rsidR="00E86C14" w:rsidRPr="00247EEA">
        <w:rPr>
          <w:rtl/>
        </w:rPr>
        <w:t xml:space="preserve"> </w:t>
      </w:r>
      <w:r w:rsidR="00E86C14" w:rsidRPr="00247EEA">
        <w:rPr>
          <w:rFonts w:hint="cs"/>
          <w:rtl/>
        </w:rPr>
        <w:t>ל</w:t>
      </w:r>
      <w:r w:rsidR="00E86C14" w:rsidRPr="00247EEA">
        <w:rPr>
          <w:rtl/>
        </w:rPr>
        <w:t>משרד הפנים להנחות את הרשויות המקומיות ואת התאגידים העירוניים על אודות אופן ניהול הליך מכרז מסגרת. זאת כדי להבטיח שמירה על ההליך התחרותי ואת קיומם של ערכי השוויון וההגינות העומדים ביסוד שיטת המכרזים</w:t>
      </w:r>
      <w:r w:rsidRPr="007C7D40">
        <w:rPr>
          <w:rFonts w:hint="cs"/>
          <w:rtl/>
        </w:rPr>
        <w:t xml:space="preserve">. </w:t>
      </w:r>
    </w:p>
    <w:p w:rsidR="00EB672B" w:rsidRPr="007C7D40" w:rsidRDefault="000C3DE6"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tl/>
        </w:rPr>
        <w:t>נוכח ה</w:t>
      </w:r>
      <w:r w:rsidR="00E86C14" w:rsidRPr="00247EEA">
        <w:rPr>
          <w:rFonts w:hint="cs"/>
          <w:rtl/>
        </w:rPr>
        <w:t>י</w:t>
      </w:r>
      <w:r w:rsidR="00E86C14" w:rsidRPr="00247EEA">
        <w:rPr>
          <w:rtl/>
        </w:rPr>
        <w:t>עדרן של הנחיות</w:t>
      </w:r>
      <w:r w:rsidR="00E86C14" w:rsidRPr="00247EEA">
        <w:rPr>
          <w:rFonts w:hint="cs"/>
          <w:rtl/>
        </w:rPr>
        <w:t xml:space="preserve"> פרטניות</w:t>
      </w:r>
      <w:r w:rsidR="00E86C14" w:rsidRPr="00247EEA">
        <w:rPr>
          <w:rtl/>
        </w:rPr>
        <w:t xml:space="preserve"> הנוגעות למכרזי מסגרת </w:t>
      </w:r>
      <w:r w:rsidR="00E86C14" w:rsidRPr="00247EEA">
        <w:rPr>
          <w:rFonts w:hint="cs"/>
          <w:rtl/>
        </w:rPr>
        <w:t xml:space="preserve">בשלטון המקומי </w:t>
      </w:r>
      <w:r w:rsidR="00E86C14" w:rsidRPr="00247EEA">
        <w:rPr>
          <w:rtl/>
        </w:rPr>
        <w:t xml:space="preserve">ונוכח מורכבות המכרזים הללו והיקפם, מומלץ </w:t>
      </w:r>
      <w:r w:rsidR="00E86C14" w:rsidRPr="00247EEA">
        <w:rPr>
          <w:rFonts w:hint="cs"/>
          <w:rtl/>
        </w:rPr>
        <w:t xml:space="preserve">לעיריות </w:t>
      </w:r>
      <w:r w:rsidR="00E86C14" w:rsidRPr="00247EEA">
        <w:rPr>
          <w:rFonts w:hint="cs"/>
          <w:b/>
          <w:bCs/>
          <w:rtl/>
        </w:rPr>
        <w:t>יבנה</w:t>
      </w:r>
      <w:r w:rsidR="00E86C14" w:rsidRPr="00247EEA">
        <w:rPr>
          <w:rFonts w:hint="cs"/>
          <w:rtl/>
        </w:rPr>
        <w:t xml:space="preserve"> ו</w:t>
      </w:r>
      <w:r w:rsidR="00E86C14" w:rsidRPr="00247EEA">
        <w:rPr>
          <w:rFonts w:hint="cs"/>
          <w:b/>
          <w:bCs/>
          <w:rtl/>
        </w:rPr>
        <w:t xml:space="preserve">קריית ביאליק </w:t>
      </w:r>
      <w:r w:rsidR="00E86C14" w:rsidRPr="00247EEA">
        <w:rPr>
          <w:rFonts w:hint="cs"/>
          <w:rtl/>
        </w:rPr>
        <w:t>ו</w:t>
      </w:r>
      <w:r w:rsidR="00E86C14" w:rsidRPr="00247EEA">
        <w:rPr>
          <w:rFonts w:hint="cs"/>
          <w:b/>
          <w:bCs/>
          <w:rtl/>
        </w:rPr>
        <w:t xml:space="preserve">לחברה לפיתוח פתח תקווה, </w:t>
      </w:r>
      <w:r w:rsidR="00E86C14" w:rsidRPr="00247EEA">
        <w:rPr>
          <w:rFonts w:hint="cs"/>
          <w:rtl/>
        </w:rPr>
        <w:t>ולכלל הרשויות שעורכות</w:t>
      </w:r>
      <w:r w:rsidR="00E86C14" w:rsidRPr="00247EEA">
        <w:rPr>
          <w:b/>
          <w:bCs/>
          <w:rtl/>
        </w:rPr>
        <w:t xml:space="preserve"> </w:t>
      </w:r>
      <w:r w:rsidR="00E86C14" w:rsidRPr="00247EEA">
        <w:rPr>
          <w:rtl/>
        </w:rPr>
        <w:t>מכרזי מסגרת</w:t>
      </w:r>
      <w:r w:rsidR="00E86C14" w:rsidRPr="00247EEA">
        <w:rPr>
          <w:rFonts w:hint="cs"/>
          <w:rtl/>
        </w:rPr>
        <w:t>,</w:t>
      </w:r>
      <w:r w:rsidR="00E86C14" w:rsidRPr="00247EEA">
        <w:rPr>
          <w:rtl/>
        </w:rPr>
        <w:t xml:space="preserve"> לקבוע נהלים אשר יכללו הוראות </w:t>
      </w:r>
      <w:r w:rsidR="00E86C14" w:rsidRPr="00247EEA">
        <w:rPr>
          <w:rFonts w:hint="cs"/>
          <w:rtl/>
        </w:rPr>
        <w:t xml:space="preserve">שמטרתן </w:t>
      </w:r>
      <w:r w:rsidR="00E86C14" w:rsidRPr="00247EEA">
        <w:rPr>
          <w:rtl/>
        </w:rPr>
        <w:t>להבטיח כי מכרזי המסגרת יקיימו את עקרונות דיני המכרזים</w:t>
      </w:r>
      <w:r w:rsidR="00E86C14" w:rsidRPr="00247EEA">
        <w:rPr>
          <w:rFonts w:hint="cs"/>
          <w:rtl/>
        </w:rPr>
        <w:t>,</w:t>
      </w:r>
      <w:r w:rsidR="00E86C14" w:rsidRPr="00247EEA">
        <w:rPr>
          <w:rtl/>
        </w:rPr>
        <w:t xml:space="preserve"> ובין היתר</w:t>
      </w:r>
      <w:r w:rsidR="00E86C14" w:rsidRPr="00247EEA">
        <w:rPr>
          <w:rFonts w:hint="cs"/>
          <w:rtl/>
        </w:rPr>
        <w:t>,</w:t>
      </w:r>
      <w:r w:rsidR="00E86C14" w:rsidRPr="00247EEA">
        <w:rPr>
          <w:rtl/>
        </w:rPr>
        <w:t xml:space="preserve"> קיומו של הליך תחרותי בשלב בחירת הזוכים</w:t>
      </w:r>
      <w:r w:rsidRPr="007C7D40">
        <w:rPr>
          <w:rtl/>
        </w:rPr>
        <w:t xml:space="preserve">. </w:t>
      </w:r>
    </w:p>
    <w:p w:rsidR="00EB672B" w:rsidRPr="007C7D40" w:rsidRDefault="000C3DE6"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eastAsia"/>
          <w:rtl/>
        </w:rPr>
        <w:t>מומלץ</w:t>
      </w:r>
      <w:r w:rsidR="00E86C14" w:rsidRPr="00247EEA">
        <w:rPr>
          <w:rtl/>
        </w:rPr>
        <w:t xml:space="preserve"> לעיריות </w:t>
      </w:r>
      <w:r w:rsidR="00E86C14" w:rsidRPr="00247EEA">
        <w:rPr>
          <w:b/>
          <w:bCs/>
          <w:rtl/>
        </w:rPr>
        <w:t>יבנה</w:t>
      </w:r>
      <w:r w:rsidR="00E86C14" w:rsidRPr="00247EEA">
        <w:rPr>
          <w:rtl/>
        </w:rPr>
        <w:t xml:space="preserve"> ו</w:t>
      </w:r>
      <w:r w:rsidR="00E86C14" w:rsidRPr="00247EEA">
        <w:rPr>
          <w:b/>
          <w:bCs/>
          <w:rtl/>
        </w:rPr>
        <w:t>קריית ביאליק</w:t>
      </w:r>
      <w:r w:rsidR="00E86C14" w:rsidRPr="00247EEA">
        <w:rPr>
          <w:rFonts w:hint="cs"/>
          <w:rtl/>
        </w:rPr>
        <w:t xml:space="preserve"> </w:t>
      </w:r>
      <w:r w:rsidR="00E86C14" w:rsidRPr="00247EEA">
        <w:rPr>
          <w:rFonts w:hint="eastAsia"/>
          <w:rtl/>
        </w:rPr>
        <w:t>ול</w:t>
      </w:r>
      <w:r w:rsidR="00E86C14" w:rsidRPr="00247EEA">
        <w:rPr>
          <w:rFonts w:hint="cs"/>
          <w:b/>
          <w:bCs/>
          <w:rtl/>
        </w:rPr>
        <w:t>חלפ"ת</w:t>
      </w:r>
      <w:r w:rsidR="00E86C14" w:rsidRPr="00247EEA">
        <w:rPr>
          <w:rtl/>
        </w:rPr>
        <w:t xml:space="preserve"> לקבוע כללים </w:t>
      </w:r>
      <w:r w:rsidR="00E86C14" w:rsidRPr="00247EEA">
        <w:rPr>
          <w:rFonts w:hint="cs"/>
          <w:rtl/>
        </w:rPr>
        <w:t>ש</w:t>
      </w:r>
      <w:r w:rsidR="00E86C14" w:rsidRPr="00247EEA">
        <w:rPr>
          <w:rtl/>
        </w:rPr>
        <w:t xml:space="preserve">יאפשרו להן לקיים בקרה </w:t>
      </w:r>
      <w:r w:rsidR="00E86C14" w:rsidRPr="00247EEA">
        <w:rPr>
          <w:rFonts w:hint="cs"/>
          <w:rtl/>
        </w:rPr>
        <w:t>על</w:t>
      </w:r>
      <w:r w:rsidR="00E86C14" w:rsidRPr="00247EEA">
        <w:rPr>
          <w:rtl/>
        </w:rPr>
        <w:t xml:space="preserve"> הזמנות העבודה </w:t>
      </w:r>
      <w:r w:rsidR="00E86C14" w:rsidRPr="00247EEA">
        <w:rPr>
          <w:rFonts w:hint="cs"/>
          <w:rtl/>
        </w:rPr>
        <w:t>ש</w:t>
      </w:r>
      <w:r w:rsidR="00E86C14" w:rsidRPr="00247EEA">
        <w:rPr>
          <w:rtl/>
        </w:rPr>
        <w:t xml:space="preserve">הוציאו מכוחו של מכרז המסגרת </w:t>
      </w:r>
      <w:r w:rsidR="00E86C14" w:rsidRPr="00247EEA">
        <w:rPr>
          <w:rFonts w:hint="cs"/>
          <w:rtl/>
        </w:rPr>
        <w:t>ש</w:t>
      </w:r>
      <w:r w:rsidR="00E86C14" w:rsidRPr="00247EEA">
        <w:rPr>
          <w:rtl/>
        </w:rPr>
        <w:t>פרסמו, ובהם לכלול שדות</w:t>
      </w:r>
      <w:r w:rsidR="00E86C14" w:rsidRPr="00247EEA">
        <w:rPr>
          <w:rFonts w:hint="cs"/>
          <w:rtl/>
        </w:rPr>
        <w:t xml:space="preserve"> מובנים במערכת הממוחשבת הנדרשים לביצוע בקרה על עבודות שהוצאו מכוח מכרז</w:t>
      </w:r>
      <w:r w:rsidRPr="007C7D40">
        <w:rPr>
          <w:rFonts w:hint="cs"/>
          <w:rtl/>
        </w:rPr>
        <w:t>.</w:t>
      </w:r>
    </w:p>
    <w:p w:rsidR="00EB672B" w:rsidRPr="007C7D40" w:rsidRDefault="000C3DE6"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cs"/>
          <w:rtl/>
        </w:rPr>
        <w:t xml:space="preserve">בשלב הראשון של מכרז המסגרת </w:t>
      </w:r>
      <w:r w:rsidR="00E86C14" w:rsidRPr="00247EEA">
        <w:rPr>
          <w:rtl/>
        </w:rPr>
        <w:t xml:space="preserve">על עיריית </w:t>
      </w:r>
      <w:r w:rsidR="00E86C14" w:rsidRPr="00247EEA">
        <w:rPr>
          <w:b/>
          <w:bCs/>
          <w:rtl/>
        </w:rPr>
        <w:t>קריית ביאליק</w:t>
      </w:r>
      <w:r w:rsidR="00E86C14" w:rsidRPr="00247EEA">
        <w:rPr>
          <w:rtl/>
        </w:rPr>
        <w:t xml:space="preserve"> להקפיד כי המכרזים שהיא מפרסמת יכללו אמות מידה ברורות ומדידות לבחירה בספקים הזוכים</w:t>
      </w:r>
      <w:r w:rsidR="00E86C14" w:rsidRPr="00247EEA">
        <w:rPr>
          <w:rFonts w:hint="cs"/>
          <w:rtl/>
        </w:rPr>
        <w:t xml:space="preserve">, וככל שבחירת הזוכה היא בהתאם להצעה הזולה ביותר, מן הראוי לציין זאת מפורשות. בשלב השני של המכרז </w:t>
      </w:r>
      <w:r w:rsidR="00E86C14" w:rsidRPr="00247EEA">
        <w:rPr>
          <w:rtl/>
        </w:rPr>
        <w:t xml:space="preserve">על </w:t>
      </w:r>
      <w:r w:rsidR="00E86C14" w:rsidRPr="00247EEA">
        <w:rPr>
          <w:b/>
          <w:bCs/>
          <w:rtl/>
        </w:rPr>
        <w:t xml:space="preserve">חלפ"ת </w:t>
      </w:r>
      <w:r w:rsidR="00E86C14" w:rsidRPr="00247EEA">
        <w:rPr>
          <w:rtl/>
        </w:rPr>
        <w:t>ועיריית</w:t>
      </w:r>
      <w:r w:rsidR="00E86C14" w:rsidRPr="00247EEA">
        <w:rPr>
          <w:b/>
          <w:bCs/>
          <w:rtl/>
        </w:rPr>
        <w:t xml:space="preserve"> קריית ביאליק</w:t>
      </w:r>
      <w:r w:rsidR="00E86C14" w:rsidRPr="00247EEA">
        <w:rPr>
          <w:rtl/>
        </w:rPr>
        <w:t xml:space="preserve"> להקפיד לקבוע אמות מידה ברורות, ידועות מראש ומדידות לבחירה בספק מסוים לביצוע עבודה מסוימת מבין הספקים שזכו בשלב הראשון של מכרז מסגרת ולנמק את הליכי הבחירה</w:t>
      </w:r>
      <w:r w:rsidR="00E86C14" w:rsidRPr="00247EEA">
        <w:rPr>
          <w:rFonts w:hint="cs"/>
          <w:rtl/>
        </w:rPr>
        <w:t xml:space="preserve"> ואת השיקולים שבחנו ושעל בסיסם החליטו לתת מי מהעבודות למי מהספקים</w:t>
      </w:r>
      <w:r w:rsidR="00E86C14" w:rsidRPr="00247EEA">
        <w:rPr>
          <w:rtl/>
        </w:rPr>
        <w:t xml:space="preserve">. על עיריות </w:t>
      </w:r>
      <w:r w:rsidR="00E86C14" w:rsidRPr="00247EEA">
        <w:rPr>
          <w:b/>
          <w:bCs/>
          <w:rtl/>
        </w:rPr>
        <w:t>קריית ביאליק</w:t>
      </w:r>
      <w:r w:rsidR="00E86C14" w:rsidRPr="00247EEA">
        <w:rPr>
          <w:rtl/>
        </w:rPr>
        <w:t xml:space="preserve"> ו</w:t>
      </w:r>
      <w:r w:rsidR="00E86C14" w:rsidRPr="00247EEA">
        <w:rPr>
          <w:b/>
          <w:bCs/>
          <w:rtl/>
        </w:rPr>
        <w:t>יבנה</w:t>
      </w:r>
      <w:r w:rsidR="00E86C14" w:rsidRPr="00247EEA">
        <w:rPr>
          <w:rtl/>
        </w:rPr>
        <w:t xml:space="preserve"> לפעול כדי ליישם את אמות המידה שקבעו במכרזי המסגרת, תוך שמירה על יעילות ושקיפות</w:t>
      </w:r>
      <w:r w:rsidRPr="007C7D40">
        <w:rPr>
          <w:rFonts w:hint="cs"/>
          <w:rtl/>
        </w:rPr>
        <w:t>.</w:t>
      </w:r>
    </w:p>
    <w:p w:rsidR="00EB672B" w:rsidRPr="007C7D40" w:rsidRDefault="000C3DE6" w:rsidP="00EB672B">
      <w:pPr>
        <w:pStyle w:val="73f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tl/>
        </w:rPr>
        <w:t xml:space="preserve">על </w:t>
      </w:r>
      <w:r w:rsidR="00E86C14" w:rsidRPr="00247EEA">
        <w:rPr>
          <w:rFonts w:hint="cs"/>
          <w:b/>
          <w:bCs/>
          <w:rtl/>
        </w:rPr>
        <w:t>חלפ"ת</w:t>
      </w:r>
      <w:r w:rsidR="00E86C14" w:rsidRPr="00247EEA">
        <w:rPr>
          <w:rtl/>
        </w:rPr>
        <w:t xml:space="preserve"> לבחון אם דרך פעילותה</w:t>
      </w:r>
      <w:r w:rsidR="00E86C14" w:rsidRPr="00247EEA">
        <w:rPr>
          <w:rFonts w:hint="cs"/>
          <w:rtl/>
        </w:rPr>
        <w:t>,</w:t>
      </w:r>
      <w:r w:rsidR="00E86C14" w:rsidRPr="00247EEA">
        <w:rPr>
          <w:rtl/>
        </w:rPr>
        <w:t xml:space="preserve"> </w:t>
      </w:r>
      <w:r w:rsidR="00E86C14" w:rsidRPr="00247EEA">
        <w:rPr>
          <w:rFonts w:hint="cs"/>
          <w:rtl/>
        </w:rPr>
        <w:t>ש</w:t>
      </w:r>
      <w:r w:rsidR="00E86C14" w:rsidRPr="00247EEA">
        <w:rPr>
          <w:rtl/>
        </w:rPr>
        <w:t>בו היא קובעת את מקדם ההנחה המרבי ובמחיר זה מבוצע המכרז בפועל</w:t>
      </w:r>
      <w:r w:rsidR="00E86C14" w:rsidRPr="00247EEA">
        <w:rPr>
          <w:rFonts w:hint="cs"/>
          <w:rtl/>
        </w:rPr>
        <w:t>,</w:t>
      </w:r>
      <w:r w:rsidR="00E86C14" w:rsidRPr="00247EEA">
        <w:rPr>
          <w:rtl/>
        </w:rPr>
        <w:t xml:space="preserve"> עולה </w:t>
      </w:r>
      <w:r w:rsidR="00E86C14" w:rsidRPr="00247EEA">
        <w:rPr>
          <w:rFonts w:hint="cs"/>
          <w:rtl/>
        </w:rPr>
        <w:t>באופן מיטבי עם</w:t>
      </w:r>
      <w:r w:rsidR="00E86C14" w:rsidRPr="00247EEA">
        <w:rPr>
          <w:rtl/>
        </w:rPr>
        <w:t xml:space="preserve"> עקרונות דיני המכרזים</w:t>
      </w:r>
      <w:r w:rsidR="00E86C14" w:rsidRPr="00247EEA">
        <w:rPr>
          <w:rFonts w:hint="cs"/>
          <w:rtl/>
        </w:rPr>
        <w:t xml:space="preserve">, שכן באופן מעשי אין כמעט תחרות על רכיב המחיר. </w:t>
      </w:r>
      <w:r w:rsidR="00E86C14" w:rsidRPr="00247EEA">
        <w:rPr>
          <w:rtl/>
        </w:rPr>
        <w:t xml:space="preserve">על </w:t>
      </w:r>
      <w:r w:rsidR="00E86C14" w:rsidRPr="00247EEA">
        <w:rPr>
          <w:b/>
          <w:bCs/>
          <w:rtl/>
        </w:rPr>
        <w:t>חלפ"ת</w:t>
      </w:r>
      <w:r w:rsidR="00E86C14" w:rsidRPr="00247EEA">
        <w:rPr>
          <w:rtl/>
        </w:rPr>
        <w:t xml:space="preserve"> להקפיד כי המכרזים שהיא מפרסמת יממשו את העקרונות העומדים בבסיס דיני המכרזים, ובתוך כך</w:t>
      </w:r>
      <w:r w:rsidR="00E86C14" w:rsidRPr="00247EEA">
        <w:rPr>
          <w:rFonts w:hint="cs"/>
          <w:rtl/>
        </w:rPr>
        <w:t xml:space="preserve"> תשמור על ניהול הליך תחרותי</w:t>
      </w:r>
      <w:r w:rsidR="00E86C14" w:rsidRPr="00247EEA">
        <w:rPr>
          <w:rtl/>
        </w:rPr>
        <w:t xml:space="preserve"> </w:t>
      </w:r>
      <w:r w:rsidR="00E86C14" w:rsidRPr="00247EEA">
        <w:rPr>
          <w:rFonts w:hint="cs"/>
          <w:rtl/>
        </w:rPr>
        <w:t>ו</w:t>
      </w:r>
      <w:r w:rsidR="00E86C14" w:rsidRPr="00247EEA">
        <w:rPr>
          <w:rtl/>
        </w:rPr>
        <w:t>תקבע אמות מידה ברורות הניתנות להערכה ולמדידה, ותפעל בשקיפות תוך נימוק החלטותיה</w:t>
      </w:r>
      <w:r w:rsidRPr="007C7D40">
        <w:rPr>
          <w:rFonts w:hint="cs"/>
          <w:rtl/>
        </w:rPr>
        <w:t>.</w:t>
      </w:r>
    </w:p>
    <w:p w:rsidR="00EB672B" w:rsidRDefault="000C3DE6"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tl/>
        </w:rPr>
        <w:t xml:space="preserve">מומלץ </w:t>
      </w:r>
      <w:r w:rsidR="00E86C14" w:rsidRPr="00247EEA">
        <w:rPr>
          <w:b/>
          <w:bCs/>
          <w:rtl/>
        </w:rPr>
        <w:t>לעירי</w:t>
      </w:r>
      <w:r w:rsidR="00E86C14" w:rsidRPr="00247EEA">
        <w:rPr>
          <w:rFonts w:hint="cs"/>
          <w:b/>
          <w:bCs/>
          <w:rtl/>
        </w:rPr>
        <w:t>ו</w:t>
      </w:r>
      <w:r w:rsidR="00E86C14" w:rsidRPr="00247EEA">
        <w:rPr>
          <w:b/>
          <w:bCs/>
          <w:rtl/>
        </w:rPr>
        <w:t>ת יבנה</w:t>
      </w:r>
      <w:r w:rsidR="00E86C14" w:rsidRPr="00247EEA">
        <w:rPr>
          <w:rtl/>
        </w:rPr>
        <w:t xml:space="preserve"> </w:t>
      </w:r>
      <w:r w:rsidR="00E86C14" w:rsidRPr="00247EEA">
        <w:rPr>
          <w:rFonts w:hint="cs"/>
          <w:b/>
          <w:bCs/>
          <w:rtl/>
        </w:rPr>
        <w:t>ו</w:t>
      </w:r>
      <w:r w:rsidR="00E86C14" w:rsidRPr="00247EEA">
        <w:rPr>
          <w:b/>
          <w:bCs/>
          <w:rtl/>
        </w:rPr>
        <w:t>קריית ביאליק</w:t>
      </w:r>
      <w:r w:rsidR="00E86C14" w:rsidRPr="00247EEA">
        <w:rPr>
          <w:rFonts w:hint="cs"/>
          <w:b/>
          <w:bCs/>
          <w:rtl/>
        </w:rPr>
        <w:t>,</w:t>
      </w:r>
      <w:r w:rsidR="00E86C14" w:rsidRPr="00247EEA">
        <w:rPr>
          <w:b/>
          <w:bCs/>
          <w:rtl/>
        </w:rPr>
        <w:t xml:space="preserve"> וחלפ"ת</w:t>
      </w:r>
      <w:r w:rsidR="00E86C14" w:rsidRPr="00247EEA">
        <w:rPr>
          <w:rtl/>
        </w:rPr>
        <w:t xml:space="preserve"> לנהל את הליך הבחירה בספק מסוים לביצוע עבודה מסוימת מכח מכרזי מסגרת תוך קביעת מנגנון בקרה לביצוע הזמנות העבודה, ובהליך שקוף. במסגרת זו מומלץ כי </w:t>
      </w:r>
      <w:r w:rsidR="00E86C14" w:rsidRPr="00247EEA">
        <w:rPr>
          <w:rFonts w:hint="cs"/>
          <w:rtl/>
        </w:rPr>
        <w:t xml:space="preserve">בהתקשרויות בסכומים גבוהים (מעל 50,000 </w:t>
      </w:r>
      <w:r w:rsidR="00E86C14" w:rsidRPr="00247EEA">
        <w:rPr>
          <w:rFonts w:hint="cs"/>
          <w:rtl/>
        </w:rPr>
        <w:lastRenderedPageBreak/>
        <w:t xml:space="preserve">ש"ח), </w:t>
      </w:r>
      <w:r w:rsidR="00E86C14" w:rsidRPr="00247EEA">
        <w:rPr>
          <w:rtl/>
        </w:rPr>
        <w:t xml:space="preserve">השלב השני ינוהל על ידי ועדת המכרזים, או על ידי ועדה מקצועית שתורכב ממנכ"ל הרשות המקומית, גזבר הרשות המקומית והיועץ המשפטי שלה, כפי שנקבע בחוזר משרד הפנים העוסק בהתקשרות רשות מקומית באמצעות מכרז מסגרת </w:t>
      </w:r>
      <w:r w:rsidR="00E86C14" w:rsidRPr="00247EEA">
        <w:rPr>
          <w:rFonts w:hint="cs"/>
          <w:rtl/>
        </w:rPr>
        <w:t>שנערך על ידי גוף ציבורי</w:t>
      </w:r>
      <w:r w:rsidR="00E86C14" w:rsidRPr="00247EEA">
        <w:rPr>
          <w:rtl/>
        </w:rPr>
        <w:t>, זאת בכדי לקיים בחינה לקיומה של יעילות מיטבית בשימוש במכרז המסגרת לביצוע עבודה מסוימת</w:t>
      </w:r>
      <w:r w:rsidRPr="008E57FE">
        <w:rPr>
          <w:rFonts w:hint="cs"/>
          <w:rtl/>
        </w:rPr>
        <w:t>.</w:t>
      </w:r>
    </w:p>
    <w:p w:rsidR="00362505" w:rsidRDefault="000C3DE6"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86C14" w:rsidRPr="00247EEA">
        <w:rPr>
          <w:rFonts w:hint="eastAsia"/>
          <w:rtl/>
        </w:rPr>
        <w:t>מומלץ</w:t>
      </w:r>
      <w:r w:rsidR="00E86C14" w:rsidRPr="00247EEA">
        <w:rPr>
          <w:rtl/>
        </w:rPr>
        <w:t xml:space="preserve"> למשרד הפנים לתת את דעתו לעניין קביעת שיעור הערבות וסכום דמי ההשתתפות הנדרשים במכרזי מסגרת של הרשויות המקומיות והתאגידים העירוניים, נוכח הקושי לגזור את סכומי גובה הערבות ודמי ההשתתפות מהיקף מכרזי המסגרת, אשר היקפם הכספי לא נאמד בעת פרסומם, ונוכח ה</w:t>
      </w:r>
      <w:r w:rsidR="00E86C14" w:rsidRPr="00247EEA">
        <w:rPr>
          <w:rFonts w:hint="cs"/>
          <w:rtl/>
        </w:rPr>
        <w:t>י</w:t>
      </w:r>
      <w:r w:rsidR="00E86C14" w:rsidRPr="00247EEA">
        <w:rPr>
          <w:rtl/>
        </w:rPr>
        <w:t xml:space="preserve">עדר כללים לקביעת הסכומים הללו במכרזי המסגרת של עיריות </w:t>
      </w:r>
      <w:r w:rsidR="00E86C14" w:rsidRPr="00247EEA">
        <w:rPr>
          <w:b/>
          <w:bCs/>
          <w:rtl/>
        </w:rPr>
        <w:t>יבנה</w:t>
      </w:r>
      <w:r w:rsidR="00E86C14" w:rsidRPr="00247EEA">
        <w:rPr>
          <w:rtl/>
        </w:rPr>
        <w:t xml:space="preserve"> </w:t>
      </w:r>
      <w:r w:rsidR="00E86C14" w:rsidRPr="00247EEA">
        <w:rPr>
          <w:rFonts w:hint="cs"/>
          <w:rtl/>
        </w:rPr>
        <w:t>ו</w:t>
      </w:r>
      <w:r w:rsidR="00E86C14" w:rsidRPr="00247EEA">
        <w:rPr>
          <w:b/>
          <w:bCs/>
          <w:rtl/>
        </w:rPr>
        <w:t>קר</w:t>
      </w:r>
      <w:r w:rsidR="00E86C14" w:rsidRPr="00247EEA">
        <w:rPr>
          <w:rFonts w:hint="cs"/>
          <w:b/>
          <w:bCs/>
          <w:rtl/>
        </w:rPr>
        <w:t>י</w:t>
      </w:r>
      <w:r w:rsidR="00E86C14" w:rsidRPr="00247EEA">
        <w:rPr>
          <w:b/>
          <w:bCs/>
          <w:rtl/>
        </w:rPr>
        <w:t xml:space="preserve">ית ביאליק </w:t>
      </w:r>
      <w:r w:rsidR="00E86C14" w:rsidRPr="00247EEA">
        <w:rPr>
          <w:rtl/>
        </w:rPr>
        <w:t>ו</w:t>
      </w:r>
      <w:r w:rsidR="00E86C14" w:rsidRPr="00247EEA">
        <w:rPr>
          <w:rFonts w:hint="cs"/>
          <w:rtl/>
        </w:rPr>
        <w:t>של ה</w:t>
      </w:r>
      <w:r w:rsidR="00E86C14" w:rsidRPr="00247EEA">
        <w:rPr>
          <w:b/>
          <w:bCs/>
          <w:rtl/>
        </w:rPr>
        <w:t>חלפ"ת</w:t>
      </w:r>
      <w:r w:rsidRPr="008E57FE">
        <w:rPr>
          <w:rFonts w:hint="cs"/>
          <w:rtl/>
        </w:rPr>
        <w:t>.</w:t>
      </w:r>
    </w:p>
    <w:p w:rsidR="00E86C14" w:rsidRDefault="000C3DE6" w:rsidP="00362505">
      <w:pPr>
        <w:pStyle w:val="73f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47EEA">
        <w:rPr>
          <w:rtl/>
        </w:rPr>
        <w:t xml:space="preserve">על עיריית </w:t>
      </w:r>
      <w:r w:rsidRPr="00247EEA">
        <w:rPr>
          <w:b/>
          <w:bCs/>
          <w:rtl/>
        </w:rPr>
        <w:t>קריית ביאליק</w:t>
      </w:r>
      <w:r w:rsidRPr="00247EEA">
        <w:rPr>
          <w:rtl/>
        </w:rPr>
        <w:t xml:space="preserve"> ו</w:t>
      </w:r>
      <w:r w:rsidRPr="00247EEA">
        <w:rPr>
          <w:b/>
          <w:bCs/>
          <w:rtl/>
        </w:rPr>
        <w:t>חלפ"ת</w:t>
      </w:r>
      <w:r w:rsidRPr="00247EEA">
        <w:rPr>
          <w:rtl/>
        </w:rPr>
        <w:t xml:space="preserve"> להקפיד לקבוע בתנאי המכרז העדפה לעסק בשליטת אישה</w:t>
      </w:r>
      <w:r w:rsidRPr="00247EEA">
        <w:rPr>
          <w:rFonts w:hint="cs"/>
          <w:rtl/>
        </w:rPr>
        <w:t>,</w:t>
      </w:r>
      <w:r w:rsidRPr="00247EEA">
        <w:rPr>
          <w:rtl/>
        </w:rPr>
        <w:t xml:space="preserve"> כאמור בתקנות העיריות מכרזים</w:t>
      </w:r>
      <w:r w:rsidRPr="008E57FE">
        <w:rPr>
          <w:rFonts w:hint="cs"/>
          <w:rtl/>
        </w:rPr>
        <w:t>.</w:t>
      </w:r>
    </w:p>
    <w:p w:rsidR="00E86C14" w:rsidRDefault="000C3DE6">
      <w:pPr>
        <w:bidi w:val="0"/>
        <w:spacing w:after="200" w:line="276" w:lineRule="auto"/>
        <w:rPr>
          <w:rFonts w:ascii="Tahoma" w:hAnsi="Tahoma" w:cs="Tahoma"/>
          <w:color w:val="0D0D0D" w:themeColor="text1" w:themeTint="F2"/>
          <w:sz w:val="18"/>
          <w:szCs w:val="18"/>
          <w:rtl/>
        </w:rPr>
      </w:pPr>
      <w:r>
        <w:rPr>
          <w:rtl/>
        </w:rPr>
        <w:br w:type="page"/>
      </w:r>
    </w:p>
    <w:p w:rsidR="005D0F8C" w:rsidRDefault="000C3DE6" w:rsidP="00EB672B">
      <w:pPr>
        <w:pStyle w:val="73f7"/>
        <w:rPr>
          <w:rtl/>
        </w:rPr>
      </w:pPr>
      <w:r w:rsidRPr="00D527BD">
        <w:rPr>
          <w:noProof/>
          <w:szCs w:val="20"/>
          <w:rtl/>
        </w:rPr>
        <w:lastRenderedPageBreak/>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004E71DD"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RDefault="000C3DE6" w:rsidP="00524400">
                            <w:pPr>
                              <w:pStyle w:val="73ff"/>
                              <w:rPr>
                                <w:rtl/>
                              </w:rPr>
                            </w:pPr>
                            <w:r>
                              <w:rPr>
                                <w:rFonts w:hint="cs"/>
                                <w:rtl/>
                              </w:rPr>
                              <w:t>נתונים כלליים העולים מן הביקורת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5CA7CE87">
                      <w:pPr>
                        <w:pStyle w:val="7332"/>
                        <w:rPr>
                          <w:rtl/>
                        </w:rPr>
                      </w:pPr>
                      <w:r>
                        <w:rPr>
                          <w:rFonts w:hint="cs"/>
                          <w:rtl/>
                        </w:rPr>
                        <w:t>נתונים כלליים העולים מן הביקורת</w:t>
                      </w:r>
                    </w:p>
                  </w:txbxContent>
                </v:textbox>
              </v:shape>
            </w:pict>
          </mc:Fallback>
        </mc:AlternateContent>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0C3DE6" w:rsidP="00D57BE9">
      <w:pPr>
        <w:rPr>
          <w:rtl/>
        </w:rPr>
      </w:pPr>
      <w:bookmarkStart w:id="1" w:name="_GoBack"/>
      <w:r>
        <w:rPr>
          <w:noProof/>
          <w:rtl/>
          <w:lang w:val="he-IL"/>
        </w:rPr>
        <w:drawing>
          <wp:inline distT="0" distB="0" distL="0" distR="0">
            <wp:extent cx="4627746" cy="5301539"/>
            <wp:effectExtent l="0" t="0" r="0" b="0"/>
            <wp:docPr id="252592013" name="תמונה 4" descr="מספר הגופים שפרסמו מכרזי מסגרת בשנים 2019-2022: 23 פרסמו, 12 לא פרסמו.&#10;מספר הגופים שברשותם נהלים לפרסום מכרזי מסגרת, מבין הגופים שפרסמו: 2 עם נהלים, 21 ללא נהלים.&#10;המספר הממוצע של מכרזי מסגרת בקרב הגופים שפרסמו מכרזים מסוג זה בשנים 2019-2022: 7.&#10;ממוצע התשלומים השנתי בגוף שפרסם מכרזי מסגרת: 18347986 ש&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40342" cy="5315969"/>
                    </a:xfrm>
                    <a:prstGeom prst="rect">
                      <a:avLst/>
                    </a:prstGeom>
                  </pic:spPr>
                </pic:pic>
              </a:graphicData>
            </a:graphic>
          </wp:inline>
        </w:drawing>
      </w:r>
      <w:bookmarkEnd w:id="1"/>
    </w:p>
    <w:p w:rsidR="00362505" w:rsidRPr="00E86C14" w:rsidRDefault="000C3DE6" w:rsidP="00E86C14">
      <w:pPr>
        <w:pStyle w:val="73e"/>
        <w:rPr>
          <w:rtl/>
        </w:rPr>
      </w:pPr>
      <w:r w:rsidRPr="00E86C14">
        <w:rPr>
          <w:rFonts w:hint="cs"/>
          <w:rtl/>
        </w:rPr>
        <w:t>על פי</w:t>
      </w:r>
      <w:r w:rsidRPr="00E86C14">
        <w:rPr>
          <w:rtl/>
        </w:rPr>
        <w:t xml:space="preserve"> </w:t>
      </w:r>
      <w:r w:rsidRPr="00E86C14">
        <w:rPr>
          <w:rFonts w:hint="cs"/>
          <w:rtl/>
        </w:rPr>
        <w:t>נתוני 35 הגופים שנבדקו (הן בבדיקת עומק והן באמצעות משלוח שאלות), בעיבוד משרד מבקר המדינה</w:t>
      </w:r>
      <w:r w:rsidR="005D0F8C" w:rsidRPr="00E86C14">
        <w:rPr>
          <w:rFonts w:hint="cs"/>
          <w:rtl/>
        </w:rPr>
        <w:t>.</w:t>
      </w:r>
    </w:p>
    <w:p w:rsidR="00362505" w:rsidRDefault="000C3DE6">
      <w:pPr>
        <w:bidi w:val="0"/>
        <w:spacing w:after="200" w:line="276" w:lineRule="auto"/>
        <w:rPr>
          <w:rFonts w:ascii="Tahoma" w:hAnsi="Tahoma" w:cs="Tahoma"/>
          <w:color w:val="0D0D0D" w:themeColor="text1" w:themeTint="F2"/>
          <w:sz w:val="16"/>
          <w:szCs w:val="16"/>
          <w:rtl/>
        </w:rPr>
      </w:pPr>
      <w:r>
        <w:rPr>
          <w:rtl/>
        </w:rPr>
        <w:br w:type="page"/>
      </w:r>
    </w:p>
    <w:p w:rsidR="004E71DD" w:rsidRDefault="000C3DE6" w:rsidP="004E71DD">
      <w:pPr>
        <w:pStyle w:val="732"/>
        <w:rPr>
          <w:rtl/>
        </w:rPr>
      </w:pPr>
      <w:r w:rsidRPr="00EF3061">
        <w:rPr>
          <w:rFonts w:hint="cs"/>
          <w:rtl/>
        </w:rPr>
        <w:lastRenderedPageBreak/>
        <w:t>סיכום</w:t>
      </w:r>
    </w:p>
    <w:p w:rsidR="00E86C14" w:rsidRPr="00247EEA" w:rsidRDefault="000C3DE6" w:rsidP="00E86C14">
      <w:pPr>
        <w:widowControl w:val="0"/>
        <w:tabs>
          <w:tab w:val="left" w:pos="9604"/>
        </w:tabs>
        <w:spacing w:before="240" w:line="276" w:lineRule="auto"/>
        <w:ind w:left="-1"/>
        <w:rPr>
          <w:rFonts w:ascii="Tahoma" w:hAnsi="Tahoma" w:cs="Tahoma"/>
          <w:sz w:val="18"/>
          <w:szCs w:val="18"/>
          <w:rtl/>
        </w:rPr>
      </w:pPr>
      <w:r w:rsidRPr="00247EEA">
        <w:rPr>
          <w:rFonts w:ascii="Tahoma" w:hAnsi="Tahoma" w:cs="Tahoma"/>
          <w:sz w:val="18"/>
          <w:szCs w:val="18"/>
          <w:rtl/>
        </w:rPr>
        <w:t xml:space="preserve">הרשות המקומית נדרשת לחלק את משאביה בהליך מסודר ושקוף </w:t>
      </w:r>
      <w:r w:rsidRPr="00247EEA">
        <w:rPr>
          <w:rFonts w:ascii="Tahoma" w:hAnsi="Tahoma" w:cs="Tahoma" w:hint="cs"/>
          <w:sz w:val="18"/>
          <w:szCs w:val="18"/>
          <w:rtl/>
        </w:rPr>
        <w:t>כדי</w:t>
      </w:r>
      <w:r w:rsidRPr="00247EEA">
        <w:rPr>
          <w:rFonts w:ascii="Tahoma" w:hAnsi="Tahoma" w:cs="Tahoma"/>
          <w:sz w:val="18"/>
          <w:szCs w:val="18"/>
          <w:rtl/>
        </w:rPr>
        <w:t xml:space="preserve"> למנוע הקצאה לא</w:t>
      </w:r>
      <w:r w:rsidRPr="00247EEA">
        <w:rPr>
          <w:rFonts w:ascii="Tahoma" w:hAnsi="Tahoma" w:cs="Tahoma" w:hint="cs"/>
          <w:sz w:val="18"/>
          <w:szCs w:val="18"/>
          <w:rtl/>
        </w:rPr>
        <w:t>-</w:t>
      </w:r>
      <w:r w:rsidRPr="00247EEA">
        <w:rPr>
          <w:rFonts w:ascii="Tahoma" w:hAnsi="Tahoma" w:cs="Tahoma"/>
          <w:sz w:val="18"/>
          <w:szCs w:val="18"/>
          <w:rtl/>
        </w:rPr>
        <w:t>שוויונית של משאביה ולהבטיח מינהל</w:t>
      </w:r>
      <w:r w:rsidRPr="00247EEA">
        <w:rPr>
          <w:rFonts w:ascii="Tahoma" w:hAnsi="Tahoma" w:cs="Tahoma"/>
          <w:sz w:val="18"/>
          <w:szCs w:val="18"/>
          <w:rtl/>
        </w:rPr>
        <w:t xml:space="preserve"> תקין, תחרות הוגנת ומתן הזדמנות שווה לכ</w:t>
      </w:r>
      <w:r w:rsidRPr="00247EEA">
        <w:rPr>
          <w:rFonts w:ascii="Tahoma" w:hAnsi="Tahoma" w:cs="Tahoma" w:hint="cs"/>
          <w:sz w:val="18"/>
          <w:szCs w:val="18"/>
          <w:rtl/>
        </w:rPr>
        <w:t>ו</w:t>
      </w:r>
      <w:r w:rsidRPr="00247EEA">
        <w:rPr>
          <w:rFonts w:ascii="Tahoma" w:hAnsi="Tahoma" w:cs="Tahoma"/>
          <w:sz w:val="18"/>
          <w:szCs w:val="18"/>
          <w:rtl/>
        </w:rPr>
        <w:t xml:space="preserve">ל. בביקורת עלה כי החקיקה המסדירה את עריכתם של מכרזים פומביים ברשויות מקומיות אינה מסדירה את עריכתם של מכרזי מסגרת. כמו כן, </w:t>
      </w:r>
      <w:r w:rsidRPr="00247EEA">
        <w:rPr>
          <w:rFonts w:ascii="Tahoma" w:hAnsi="Tahoma" w:cs="Tahoma" w:hint="cs"/>
          <w:sz w:val="18"/>
          <w:szCs w:val="18"/>
          <w:rtl/>
        </w:rPr>
        <w:t>משרד הפנים טרם התקין את ה</w:t>
      </w:r>
      <w:r w:rsidRPr="00247EEA">
        <w:rPr>
          <w:rFonts w:ascii="Tahoma" w:hAnsi="Tahoma" w:cs="Tahoma"/>
          <w:sz w:val="18"/>
          <w:szCs w:val="18"/>
          <w:rtl/>
        </w:rPr>
        <w:t>תקנות הנוגעות להחלת הוראות לקיום מכרזים בתאגידים עירוניים. זאת אף שח</w:t>
      </w:r>
      <w:r w:rsidRPr="00247EEA">
        <w:rPr>
          <w:rFonts w:ascii="Tahoma" w:hAnsi="Tahoma" w:cs="Tahoma"/>
          <w:sz w:val="18"/>
          <w:szCs w:val="18"/>
          <w:rtl/>
        </w:rPr>
        <w:t>לפו כ-20 שנה מהמועד שבו אמורות היו להיות מותקנות תקנות אלו</w:t>
      </w:r>
      <w:r w:rsidRPr="00247EEA">
        <w:rPr>
          <w:rFonts w:ascii="Tahoma" w:hAnsi="Tahoma" w:cs="Tahoma" w:hint="cs"/>
          <w:sz w:val="18"/>
          <w:szCs w:val="18"/>
          <w:rtl/>
        </w:rPr>
        <w:t>, אף שמבקר המדינה העיר על כך בדוחותיו</w:t>
      </w:r>
      <w:r w:rsidRPr="00247EEA">
        <w:rPr>
          <w:rFonts w:ascii="Tahoma" w:hAnsi="Tahoma" w:cs="Tahoma"/>
          <w:sz w:val="18"/>
          <w:szCs w:val="18"/>
          <w:rtl/>
        </w:rPr>
        <w:t xml:space="preserve"> ולמרות פסיקת בית המשפט העליון בנושא</w:t>
      </w:r>
      <w:r w:rsidRPr="00247EEA">
        <w:rPr>
          <w:rFonts w:ascii="Tahoma" w:hAnsi="Tahoma" w:cs="Tahoma" w:hint="cs"/>
          <w:sz w:val="18"/>
          <w:szCs w:val="18"/>
          <w:rtl/>
        </w:rPr>
        <w:t>.</w:t>
      </w:r>
    </w:p>
    <w:p w:rsidR="00E86C14" w:rsidRPr="00247EEA" w:rsidRDefault="000C3DE6" w:rsidP="00E86C14">
      <w:pPr>
        <w:widowControl w:val="0"/>
        <w:tabs>
          <w:tab w:val="left" w:pos="9604"/>
        </w:tabs>
        <w:spacing w:before="240" w:line="276" w:lineRule="auto"/>
        <w:ind w:left="-1"/>
        <w:rPr>
          <w:rFonts w:ascii="Tahoma" w:hAnsi="Tahoma" w:cs="Tahoma"/>
          <w:sz w:val="18"/>
          <w:szCs w:val="18"/>
        </w:rPr>
      </w:pPr>
      <w:r w:rsidRPr="00247EEA">
        <w:rPr>
          <w:rFonts w:ascii="Tahoma" w:hAnsi="Tahoma" w:cs="Tahoma"/>
          <w:sz w:val="18"/>
          <w:szCs w:val="18"/>
          <w:rtl/>
        </w:rPr>
        <w:t>הממצאים שעלו בדוח זה מחדדים את הצורך שמשרד הפנים ינחה את הרשויות המקומיות ואת התאגידים העירוניים בנוגע לאופן ניהול הליך מכר</w:t>
      </w:r>
      <w:r w:rsidRPr="00247EEA">
        <w:rPr>
          <w:rFonts w:ascii="Tahoma" w:hAnsi="Tahoma" w:cs="Tahoma"/>
          <w:sz w:val="18"/>
          <w:szCs w:val="18"/>
          <w:rtl/>
        </w:rPr>
        <w:t>ז מסגרת</w:t>
      </w:r>
      <w:r w:rsidRPr="00247EEA">
        <w:rPr>
          <w:rFonts w:ascii="Tahoma" w:hAnsi="Tahoma" w:cs="Tahoma" w:hint="cs"/>
          <w:sz w:val="18"/>
          <w:szCs w:val="18"/>
          <w:rtl/>
        </w:rPr>
        <w:t xml:space="preserve"> </w:t>
      </w:r>
      <w:r w:rsidRPr="00247EEA">
        <w:rPr>
          <w:rFonts w:ascii="Tahoma" w:hAnsi="Tahoma" w:cs="Tahoma" w:hint="eastAsia"/>
          <w:sz w:val="18"/>
          <w:szCs w:val="18"/>
          <w:rtl/>
        </w:rPr>
        <w:t>לנוכח</w:t>
      </w:r>
      <w:r w:rsidRPr="00247EEA">
        <w:rPr>
          <w:rFonts w:ascii="Tahoma" w:hAnsi="Tahoma" w:cs="Tahoma" w:hint="cs"/>
          <w:sz w:val="18"/>
          <w:szCs w:val="18"/>
          <w:rtl/>
        </w:rPr>
        <w:t xml:space="preserve"> מאפייניו הייחודיים</w:t>
      </w:r>
      <w:r w:rsidRPr="00247EEA">
        <w:rPr>
          <w:rFonts w:ascii="Tahoma" w:hAnsi="Tahoma" w:cs="Tahoma"/>
          <w:sz w:val="18"/>
          <w:szCs w:val="18"/>
          <w:rtl/>
        </w:rPr>
        <w:t>, וזאת כדי להבטיח את קיומם של ערכי השוויון וההגינות העומדים ביסוד שיטת המכרזים</w:t>
      </w:r>
      <w:r w:rsidRPr="00247EEA">
        <w:rPr>
          <w:rFonts w:ascii="Tahoma" w:hAnsi="Tahoma" w:cs="Tahoma" w:hint="cs"/>
          <w:sz w:val="18"/>
          <w:szCs w:val="18"/>
          <w:rtl/>
        </w:rPr>
        <w:t xml:space="preserve"> בשלבים השונים של המכרז</w:t>
      </w:r>
      <w:r w:rsidRPr="00247EEA">
        <w:rPr>
          <w:rFonts w:ascii="Tahoma" w:hAnsi="Tahoma" w:cs="Tahoma"/>
          <w:sz w:val="18"/>
          <w:szCs w:val="18"/>
          <w:rtl/>
        </w:rPr>
        <w:t>, ויבחן את הצורך בעדכון החקיקה החלה על השלטון המקומי, תוך אימוץ העקרונות לניהול מכרזי מסגרת שנקבעו בחקיקה החלה על השלטון המ</w:t>
      </w:r>
      <w:r w:rsidRPr="00247EEA">
        <w:rPr>
          <w:rFonts w:ascii="Tahoma" w:hAnsi="Tahoma" w:cs="Tahoma"/>
          <w:sz w:val="18"/>
          <w:szCs w:val="18"/>
          <w:rtl/>
        </w:rPr>
        <w:t>רכזי, בשינויים המתחייבים. על הרשויות המקומיות והתאגידים העירוניים להבטיח שפרסומם וניהולם של מכרזי המסגרת ייעשו תוך שמירה על עקרונות דיני המכרזים ולפעול ביעילות, בשקיפות ובהגינות, תוך מתן הזדמנות שווה למציעים, הן בבחירת ספקי המסגרת והן בחלוקת העבודות ביניהם</w:t>
      </w:r>
      <w:r w:rsidRPr="00247EEA">
        <w:rPr>
          <w:rFonts w:ascii="Tahoma" w:hAnsi="Tahoma" w:cs="Tahoma"/>
          <w:sz w:val="18"/>
          <w:szCs w:val="18"/>
          <w:rtl/>
        </w:rPr>
        <w:t>.</w:t>
      </w:r>
    </w:p>
    <w:p w:rsidR="00D57BE9" w:rsidRPr="00E86C14" w:rsidRDefault="00D57BE9" w:rsidP="00E86C14">
      <w:pPr>
        <w:widowControl w:val="0"/>
        <w:tabs>
          <w:tab w:val="left" w:pos="9604"/>
        </w:tabs>
        <w:spacing w:before="240" w:line="276" w:lineRule="auto"/>
        <w:ind w:left="-1"/>
        <w:rPr>
          <w:rtl/>
        </w:rPr>
      </w:pPr>
    </w:p>
    <w:sectPr w:rsidR="00D57BE9" w:rsidRPr="00E86C14"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18" w:rsidRDefault="000C3DE6">
      <w:pPr>
        <w:spacing w:line="240" w:lineRule="auto"/>
      </w:pPr>
      <w:r>
        <w:separator/>
      </w:r>
    </w:p>
    <w:p w:rsidR="002B7418" w:rsidRDefault="002B7418"/>
    <w:p w:rsidR="002B7418" w:rsidRDefault="002B7418"/>
    <w:p w:rsidR="002B7418" w:rsidRDefault="002B7418"/>
  </w:endnote>
  <w:endnote w:type="continuationSeparator" w:id="0">
    <w:p w:rsidR="002B7418" w:rsidRDefault="000C3DE6">
      <w:pPr>
        <w:spacing w:line="240" w:lineRule="auto"/>
      </w:pPr>
      <w:r>
        <w:continuationSeparator/>
      </w:r>
    </w:p>
    <w:p w:rsidR="002B7418" w:rsidRDefault="002B7418"/>
    <w:p w:rsidR="002B7418" w:rsidRDefault="002B7418"/>
    <w:p w:rsidR="002B7418" w:rsidRDefault="002B7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altName w:val="Calibri"/>
    <w:charset w:val="00"/>
    <w:family w:val="swiss"/>
    <w:pitch w:val="variable"/>
    <w:sig w:usb0="00000007" w:usb1="00000000" w:usb2="00000000" w:usb3="00000000" w:csb0="00000003" w:csb1="00000000"/>
  </w:font>
  <w:font w:name="Tw Cen MT Condensed">
    <w:altName w:val="Arial"/>
    <w:charset w:val="00"/>
    <w:family w:val="swiss"/>
    <w:pitch w:val="variable"/>
    <w:sig w:usb0="00000007" w:usb1="00000000" w:usb2="00000000" w:usb3="00000000" w:csb0="00000003" w:csb1="00000000"/>
  </w:font>
  <w:font w:name="Levenim MT">
    <w:altName w:val="Times New Roman"/>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0C3DE6"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C3DE6"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5B" w:rsidRDefault="005819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18" w:rsidRDefault="000C3DE6" w:rsidP="00E7235E">
      <w:pPr>
        <w:spacing w:line="240" w:lineRule="auto"/>
      </w:pPr>
      <w:r>
        <w:separator/>
      </w:r>
    </w:p>
  </w:footnote>
  <w:footnote w:type="continuationSeparator" w:id="0">
    <w:p w:rsidR="002B7418" w:rsidRDefault="000C3DE6" w:rsidP="00C23CC9">
      <w:pPr>
        <w:spacing w:line="240" w:lineRule="auto"/>
      </w:pPr>
      <w:r>
        <w:continuationSeparator/>
      </w:r>
    </w:p>
    <w:p w:rsidR="002B7418" w:rsidRDefault="002B7418"/>
    <w:p w:rsidR="002B7418" w:rsidRDefault="002B7418"/>
    <w:p w:rsidR="002B7418" w:rsidRDefault="002B7418"/>
  </w:footnote>
  <w:footnote w:id="1">
    <w:p w:rsidR="00E86C14" w:rsidRPr="00E86C14" w:rsidRDefault="000C3DE6" w:rsidP="00E86C14">
      <w:pPr>
        <w:pStyle w:val="712"/>
      </w:pPr>
      <w:r w:rsidRPr="00E86C14">
        <w:rPr>
          <w:rStyle w:val="affff"/>
          <w:vertAlign w:val="baseline"/>
        </w:rPr>
        <w:footnoteRef/>
      </w:r>
      <w:r w:rsidRPr="00E86C14">
        <w:rPr>
          <w:rtl/>
        </w:rPr>
        <w:t xml:space="preserve"> </w:t>
      </w:r>
      <w:r w:rsidRPr="00E86C14">
        <w:rPr>
          <w:rtl/>
        </w:rPr>
        <w:tab/>
        <w:t xml:space="preserve">תקנות </w:t>
      </w:r>
      <w:r w:rsidRPr="00E86C14">
        <w:rPr>
          <w:rtl/>
        </w:rPr>
        <w:t>העיריות מכרזים, התשמ"ח-1987</w:t>
      </w:r>
      <w:r w:rsidRPr="00E86C14">
        <w:rPr>
          <w:rFonts w:hint="cs"/>
          <w:rtl/>
        </w:rPr>
        <w:t xml:space="preserve"> (להלן - תקנות העיריות מכרזים); התוספת הרביעית לצו המועצות המקומיות, התשי"א-1950 (להלן - צו המועצות המקומיות); התוספת השנייה לצו המועצות המקומיות (מועצות אזוריות), התשי"ח-1958 (להלן - צו המועצות האזוריות)</w:t>
      </w:r>
      <w:r w:rsidRPr="00E86C14">
        <w:rPr>
          <w:rtl/>
        </w:rPr>
        <w:t>.</w:t>
      </w:r>
    </w:p>
  </w:footnote>
  <w:footnote w:id="2">
    <w:p w:rsidR="00E86C14" w:rsidRDefault="000C3DE6" w:rsidP="00E86C14">
      <w:pPr>
        <w:pStyle w:val="712"/>
      </w:pPr>
      <w:r w:rsidRPr="00E86C14">
        <w:rPr>
          <w:rStyle w:val="affff"/>
          <w:vertAlign w:val="baseline"/>
        </w:rPr>
        <w:footnoteRef/>
      </w:r>
      <w:r w:rsidRPr="00E86C14">
        <w:rPr>
          <w:rtl/>
        </w:rPr>
        <w:t xml:space="preserve"> </w:t>
      </w:r>
      <w:r w:rsidRPr="00E86C14">
        <w:rPr>
          <w:rtl/>
        </w:rPr>
        <w:tab/>
      </w:r>
      <w:r w:rsidRPr="00E86C14">
        <w:rPr>
          <w:rFonts w:hint="eastAsia"/>
          <w:rtl/>
        </w:rPr>
        <w:t>מבקר</w:t>
      </w:r>
      <w:r w:rsidRPr="00E86C14">
        <w:rPr>
          <w:rtl/>
        </w:rPr>
        <w:t xml:space="preserve"> </w:t>
      </w:r>
      <w:r w:rsidRPr="00E86C14">
        <w:rPr>
          <w:rFonts w:hint="eastAsia"/>
          <w:rtl/>
        </w:rPr>
        <w:t>המדינה</w:t>
      </w:r>
      <w:r w:rsidRPr="00E86C14">
        <w:rPr>
          <w:rtl/>
        </w:rPr>
        <w:t xml:space="preserve">, </w:t>
      </w:r>
      <w:r w:rsidRPr="00E86C14">
        <w:rPr>
          <w:b/>
          <w:bCs/>
          <w:rtl/>
        </w:rPr>
        <w:t xml:space="preserve">דוח על </w:t>
      </w:r>
      <w:r w:rsidRPr="00E86C14">
        <w:rPr>
          <w:b/>
          <w:bCs/>
          <w:rtl/>
        </w:rPr>
        <w:t>הביקורת בשלטון המקומי לשנת 2018</w:t>
      </w:r>
      <w:r w:rsidRPr="00E86C14">
        <w:rPr>
          <w:rFonts w:hint="cs"/>
          <w:rtl/>
        </w:rPr>
        <w:t xml:space="preserve"> (2018)</w:t>
      </w:r>
      <w:r w:rsidRPr="00E86C14">
        <w:rPr>
          <w:rtl/>
        </w:rPr>
        <w:t xml:space="preserve">, "עיריית </w:t>
      </w:r>
      <w:r w:rsidRPr="00E86C14">
        <w:rPr>
          <w:rFonts w:hint="eastAsia"/>
          <w:rtl/>
        </w:rPr>
        <w:t>רחובות</w:t>
      </w:r>
      <w:r w:rsidRPr="00E86C14">
        <w:rPr>
          <w:rtl/>
        </w:rPr>
        <w:t xml:space="preserve"> - </w:t>
      </w:r>
      <w:r w:rsidRPr="00E86C14">
        <w:rPr>
          <w:rFonts w:hint="eastAsia"/>
          <w:rtl/>
        </w:rPr>
        <w:t>שיפוץ</w:t>
      </w:r>
      <w:r w:rsidRPr="00E86C14">
        <w:rPr>
          <w:rtl/>
        </w:rPr>
        <w:t xml:space="preserve"> </w:t>
      </w:r>
      <w:r w:rsidRPr="00E86C14">
        <w:rPr>
          <w:rFonts w:hint="eastAsia"/>
          <w:rtl/>
        </w:rPr>
        <w:t>בית</w:t>
      </w:r>
      <w:r w:rsidRPr="00E86C14">
        <w:rPr>
          <w:rtl/>
        </w:rPr>
        <w:t xml:space="preserve"> </w:t>
      </w:r>
      <w:r w:rsidRPr="00E86C14">
        <w:rPr>
          <w:rFonts w:hint="eastAsia"/>
          <w:rtl/>
        </w:rPr>
        <w:t>התרבות</w:t>
      </w:r>
      <w:r w:rsidRPr="00E86C14">
        <w:rPr>
          <w:rtl/>
        </w:rPr>
        <w:t>" עמ' 393 - 451.</w:t>
      </w:r>
    </w:p>
  </w:footnote>
  <w:footnote w:id="3">
    <w:p w:rsidR="00E86C14" w:rsidRPr="00E86C14" w:rsidRDefault="000C3DE6" w:rsidP="00E86C14">
      <w:pPr>
        <w:pStyle w:val="712"/>
        <w:rPr>
          <w:rtl/>
        </w:rPr>
      </w:pPr>
      <w:r w:rsidRPr="00E86C14">
        <w:rPr>
          <w:rStyle w:val="affff"/>
          <w:vertAlign w:val="baseline"/>
        </w:rPr>
        <w:footnoteRef/>
      </w:r>
      <w:r w:rsidRPr="00E86C14">
        <w:rPr>
          <w:rStyle w:val="affff"/>
          <w:vertAlign w:val="baseline"/>
          <w:rtl/>
        </w:rPr>
        <w:t xml:space="preserve"> </w:t>
      </w:r>
      <w:r w:rsidRPr="00E86C14">
        <w:rPr>
          <w:rStyle w:val="affff"/>
          <w:vertAlign w:val="baseline"/>
          <w:rtl/>
        </w:rPr>
        <w:tab/>
      </w:r>
      <w:r w:rsidRPr="00E86C14">
        <w:rPr>
          <w:rFonts w:hint="cs"/>
          <w:rtl/>
        </w:rPr>
        <w:t>בדיקה בעיריית פתח תקווה העלתה כי העירייה לא פרסמה מכרזי מסגרת בין השנים 2018 - 2022. מכרזי מסגרת לעבודות בפתח תקווה פורסמו באמצעות חלפ"ת.</w:t>
      </w:r>
    </w:p>
  </w:footnote>
  <w:footnote w:id="4">
    <w:p w:rsidR="00E86C14" w:rsidRDefault="000C3DE6" w:rsidP="00E86C14">
      <w:pPr>
        <w:pStyle w:val="a7"/>
        <w:rPr>
          <w:rtl/>
        </w:rPr>
      </w:pPr>
      <w:r>
        <w:rPr>
          <w:rStyle w:val="affff"/>
        </w:rPr>
        <w:footnoteRef/>
      </w:r>
      <w:r>
        <w:rPr>
          <w:rtl/>
        </w:rPr>
        <w:t xml:space="preserve"> </w:t>
      </w:r>
      <w:r>
        <w:rPr>
          <w:rtl/>
        </w:rPr>
        <w:tab/>
      </w:r>
      <w:r w:rsidRPr="00342F57">
        <w:rPr>
          <w:rFonts w:ascii="Tahoma" w:hAnsi="Tahoma" w:cs="Tahoma" w:hint="cs"/>
          <w:sz w:val="16"/>
          <w:szCs w:val="16"/>
          <w:rtl/>
        </w:rPr>
        <w:t xml:space="preserve">בבדיקת העומק </w:t>
      </w:r>
      <w:r w:rsidRPr="00342F57">
        <w:rPr>
          <w:rFonts w:ascii="Tahoma" w:hAnsi="Tahoma" w:cs="Tahoma"/>
          <w:sz w:val="16"/>
          <w:szCs w:val="16"/>
          <w:rtl/>
        </w:rPr>
        <w:t xml:space="preserve">נבדקו המכרזים </w:t>
      </w:r>
      <w:r w:rsidRPr="00342F57">
        <w:rPr>
          <w:rFonts w:ascii="Tahoma" w:hAnsi="Tahoma" w:cs="Tahoma" w:hint="cs"/>
          <w:sz w:val="16"/>
          <w:szCs w:val="16"/>
          <w:rtl/>
        </w:rPr>
        <w:t xml:space="preserve">שהוצאו </w:t>
      </w:r>
      <w:r w:rsidRPr="00342F57">
        <w:rPr>
          <w:rFonts w:ascii="Tahoma" w:hAnsi="Tahoma" w:cs="Tahoma"/>
          <w:sz w:val="16"/>
          <w:szCs w:val="16"/>
          <w:rtl/>
        </w:rPr>
        <w:t>בין השנים 2018 - 2022</w:t>
      </w:r>
      <w:r w:rsidRPr="00342F57">
        <w:rPr>
          <w:rFonts w:ascii="Tahoma" w:hAnsi="Tahoma" w:cs="Tahoma"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0C3DE6"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0C3DE6"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C3DE6"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0C3DE6"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0C3DE6"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0C3DE6"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C3DE6">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0C3DE6">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0C3DE6" w:rsidP="00F559D6">
                          <w:pPr>
                            <w:pStyle w:val="1"/>
                            <w:spacing w:line="269" w:lineRule="auto"/>
                            <w:jc w:val="left"/>
                            <w:rPr>
                              <w:rFonts w:ascii="Tahoma" w:eastAsiaTheme="minorHAnsi" w:hAnsi="Tahoma" w:cs="Tahoma"/>
                              <w:bCs w:val="0"/>
                              <w:color w:val="0D0D0D" w:themeColor="text1" w:themeTint="F2"/>
                              <w:sz w:val="16"/>
                              <w:szCs w:val="16"/>
                              <w:u w:val="none"/>
                            </w:rPr>
                          </w:pPr>
                          <w:r w:rsidRPr="00E86C14">
                            <w:rPr>
                              <w:rFonts w:ascii="Tahoma" w:eastAsiaTheme="minorHAnsi" w:hAnsi="Tahoma" w:cs="Tahoma"/>
                              <w:bCs w:val="0"/>
                              <w:color w:val="0D0D0D" w:themeColor="text1" w:themeTint="F2"/>
                              <w:sz w:val="16"/>
                              <w:szCs w:val="16"/>
                              <w:u w:val="none"/>
                              <w:rtl/>
                            </w:rPr>
                            <w:t>פרסום וניהול של מכרזי מסגרת ברשויות מקומיות ובתאגידים עירוניים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05339BE">
                    <w:pPr>
                      <w:pStyle w:val="Heading1"/>
                      <w:spacing w:line="269" w:lineRule="auto"/>
                      <w:jc w:val="left"/>
                      <w:rPr>
                        <w:rFonts w:ascii="Tahoma" w:hAnsi="Tahoma" w:eastAsiaTheme="minorHAnsi" w:cs="Tahoma"/>
                        <w:bCs w:val="0"/>
                        <w:color w:val="0D0D0D" w:themeColor="text1" w:themeTint="F2"/>
                        <w:sz w:val="16"/>
                        <w:szCs w:val="16"/>
                        <w:u w:val="none"/>
                      </w:rPr>
                    </w:pPr>
                    <w:r w:rsidRPr="00E86C14">
                      <w:rPr>
                        <w:rFonts w:ascii="Tahoma" w:hAnsi="Tahoma" w:eastAsiaTheme="minorHAnsi" w:cs="Tahoma"/>
                        <w:bCs w:val="0"/>
                        <w:color w:val="0D0D0D" w:themeColor="text1" w:themeTint="F2"/>
                        <w:sz w:val="16"/>
                        <w:szCs w:val="16"/>
                        <w:u w:val="none"/>
                        <w:rtl/>
                      </w:rPr>
                      <w:t>פרסום וניהול של מכרזי מסגרת ברשויות מקומיות ובתאגידים עירוניים</w:t>
                    </w:r>
                  </w:p>
                </w:txbxContent>
              </v:textbox>
              <w10:wrap type="square"/>
            </v:shape>
          </w:pict>
        </mc:Fallback>
      </mc:AlternateContent>
    </w:r>
  </w:p>
  <w:p w:rsidR="00F73EE0" w:rsidRDefault="000C3DE6"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0C3DE6"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0C3DE6" w:rsidP="00E86C1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86C14" w:rsidRPr="00E86C14">
                            <w:rPr>
                              <w:rFonts w:ascii="Tahoma" w:hAnsi="Tahoma" w:cs="Tahoma"/>
                              <w:b/>
                              <w:bCs/>
                              <w:rtl/>
                            </w:rPr>
                            <w:t>פרסום וניהול של מכרזי מסגרת ברשויות מקומיות ובתאגידים עירוניים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E86C14" w14:paraId="3B4CCAD6" w14:textId="0B9ACC5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86C14" w:rsidR="00E86C14">
                      <w:rPr>
                        <w:rFonts w:ascii="Tahoma" w:hAnsi="Tahoma" w:cs="Tahoma"/>
                        <w:b/>
                        <w:bCs/>
                        <w:rtl/>
                      </w:rPr>
                      <w:t>פרסום וניהול של מכרזי מסגרת ברשויות מקומיות ובתאגידים עירוניים</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0C3DE6"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0C3DE6" w:rsidP="00B244B0">
                          <w:pPr>
                            <w:jc w:val="right"/>
                            <w:rPr>
                              <w:color w:val="0D0D0D" w:themeColor="text1" w:themeTint="F2"/>
                              <w:sz w:val="16"/>
                              <w:szCs w:val="16"/>
                            </w:rPr>
                          </w:pPr>
                          <w:r w:rsidRPr="00D27D83">
                            <w:rPr>
                              <w:rFonts w:ascii="Tahoma" w:hAnsi="Tahoma" w:cs="Tahoma"/>
                              <w:color w:val="0D0D0D"/>
                              <w:sz w:val="16"/>
                              <w:szCs w:val="16"/>
                              <w:rtl/>
                            </w:rPr>
                            <w:t>דוח מבקר המדינה | חשוון התשפ"ד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5A83D8AA">
                    <w:pPr>
                      <w:jc w:val="right"/>
                      <w:rPr>
                        <w:color w:val="0D0D0D" w:themeColor="text1" w:themeTint="F2"/>
                        <w:sz w:val="16"/>
                        <w:szCs w:val="16"/>
                      </w:rPr>
                    </w:pPr>
                    <w:r w:rsidRPr="00D27D83">
                      <w:rPr>
                        <w:rFonts w:ascii="Tahoma" w:hAnsi="Tahoma" w:cs="Tahoma"/>
                        <w:color w:val="0D0D0D"/>
                        <w:sz w:val="16"/>
                        <w:szCs w:val="16"/>
                        <w:rtl/>
                      </w:rPr>
                      <w:t xml:space="preserve">דוח מבקר המדינה | חשוון </w:t>
                    </w:r>
                    <w:r w:rsidRPr="00D27D83">
                      <w:rPr>
                        <w:rFonts w:ascii="Tahoma" w:hAnsi="Tahoma" w:cs="Tahoma"/>
                        <w:color w:val="0D0D0D"/>
                        <w:sz w:val="16"/>
                        <w:szCs w:val="16"/>
                        <w:rtl/>
                      </w:rPr>
                      <w:t>התשפ"ד</w:t>
                    </w:r>
                    <w:r w:rsidRPr="00D27D83">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47E44216">
      <w:start w:val="1"/>
      <w:numFmt w:val="bullet"/>
      <w:pStyle w:val="73BULLETS"/>
      <w:lvlText w:val=""/>
      <w:lvlJc w:val="left"/>
      <w:pPr>
        <w:ind w:left="720" w:hanging="360"/>
      </w:pPr>
      <w:rPr>
        <w:rFonts w:ascii="Symbol" w:hAnsi="Symbol" w:hint="default"/>
      </w:rPr>
    </w:lvl>
    <w:lvl w:ilvl="1" w:tplc="992C95CA" w:tentative="1">
      <w:start w:val="1"/>
      <w:numFmt w:val="bullet"/>
      <w:lvlText w:val="o"/>
      <w:lvlJc w:val="left"/>
      <w:pPr>
        <w:ind w:left="1440" w:hanging="360"/>
      </w:pPr>
      <w:rPr>
        <w:rFonts w:ascii="Courier New" w:hAnsi="Courier New" w:cs="Courier New" w:hint="default"/>
      </w:rPr>
    </w:lvl>
    <w:lvl w:ilvl="2" w:tplc="EE62C9DA" w:tentative="1">
      <w:start w:val="1"/>
      <w:numFmt w:val="bullet"/>
      <w:lvlText w:val=""/>
      <w:lvlJc w:val="left"/>
      <w:pPr>
        <w:ind w:left="2160" w:hanging="360"/>
      </w:pPr>
      <w:rPr>
        <w:rFonts w:ascii="Wingdings" w:hAnsi="Wingdings" w:hint="default"/>
      </w:rPr>
    </w:lvl>
    <w:lvl w:ilvl="3" w:tplc="35021CCE" w:tentative="1">
      <w:start w:val="1"/>
      <w:numFmt w:val="bullet"/>
      <w:lvlText w:val=""/>
      <w:lvlJc w:val="left"/>
      <w:pPr>
        <w:ind w:left="2880" w:hanging="360"/>
      </w:pPr>
      <w:rPr>
        <w:rFonts w:ascii="Symbol" w:hAnsi="Symbol" w:hint="default"/>
      </w:rPr>
    </w:lvl>
    <w:lvl w:ilvl="4" w:tplc="50EE1842" w:tentative="1">
      <w:start w:val="1"/>
      <w:numFmt w:val="bullet"/>
      <w:lvlText w:val="o"/>
      <w:lvlJc w:val="left"/>
      <w:pPr>
        <w:ind w:left="3600" w:hanging="360"/>
      </w:pPr>
      <w:rPr>
        <w:rFonts w:ascii="Courier New" w:hAnsi="Courier New" w:cs="Courier New" w:hint="default"/>
      </w:rPr>
    </w:lvl>
    <w:lvl w:ilvl="5" w:tplc="ED7EAAC4" w:tentative="1">
      <w:start w:val="1"/>
      <w:numFmt w:val="bullet"/>
      <w:lvlText w:val=""/>
      <w:lvlJc w:val="left"/>
      <w:pPr>
        <w:ind w:left="4320" w:hanging="360"/>
      </w:pPr>
      <w:rPr>
        <w:rFonts w:ascii="Wingdings" w:hAnsi="Wingdings" w:hint="default"/>
      </w:rPr>
    </w:lvl>
    <w:lvl w:ilvl="6" w:tplc="98C2E350" w:tentative="1">
      <w:start w:val="1"/>
      <w:numFmt w:val="bullet"/>
      <w:lvlText w:val=""/>
      <w:lvlJc w:val="left"/>
      <w:pPr>
        <w:ind w:left="5040" w:hanging="360"/>
      </w:pPr>
      <w:rPr>
        <w:rFonts w:ascii="Symbol" w:hAnsi="Symbol" w:hint="default"/>
      </w:rPr>
    </w:lvl>
    <w:lvl w:ilvl="7" w:tplc="F71A4048" w:tentative="1">
      <w:start w:val="1"/>
      <w:numFmt w:val="bullet"/>
      <w:lvlText w:val="o"/>
      <w:lvlJc w:val="left"/>
      <w:pPr>
        <w:ind w:left="5760" w:hanging="360"/>
      </w:pPr>
      <w:rPr>
        <w:rFonts w:ascii="Courier New" w:hAnsi="Courier New" w:cs="Courier New" w:hint="default"/>
      </w:rPr>
    </w:lvl>
    <w:lvl w:ilvl="8" w:tplc="5D9ED926" w:tentative="1">
      <w:start w:val="1"/>
      <w:numFmt w:val="bullet"/>
      <w:lvlText w:val=""/>
      <w:lvlJc w:val="left"/>
      <w:pPr>
        <w:ind w:left="6480" w:hanging="360"/>
      </w:pPr>
      <w:rPr>
        <w:rFonts w:ascii="Wingdings" w:hAnsi="Wingdings" w:hint="default"/>
      </w:rPr>
    </w:lvl>
  </w:abstractNum>
  <w:abstractNum w:abstractNumId="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15:restartNumberingAfterBreak="0">
    <w:nsid w:val="5D7F29F7"/>
    <w:multiLevelType w:val="hybridMultilevel"/>
    <w:tmpl w:val="ABFC5A12"/>
    <w:lvl w:ilvl="0" w:tplc="CD7CA5B4">
      <w:start w:val="1"/>
      <w:numFmt w:val="hebrew1"/>
      <w:pStyle w:val="7"/>
      <w:lvlText w:val="%1."/>
      <w:lvlJc w:val="left"/>
      <w:pPr>
        <w:ind w:left="794" w:hanging="397"/>
      </w:pPr>
      <w:rPr>
        <w:rFonts w:hint="default"/>
      </w:rPr>
    </w:lvl>
    <w:lvl w:ilvl="1" w:tplc="611E4AA6" w:tentative="1">
      <w:start w:val="1"/>
      <w:numFmt w:val="lowerLetter"/>
      <w:lvlText w:val="%2."/>
      <w:lvlJc w:val="left"/>
      <w:pPr>
        <w:ind w:left="1440" w:hanging="360"/>
      </w:pPr>
    </w:lvl>
    <w:lvl w:ilvl="2" w:tplc="10388D9A" w:tentative="1">
      <w:start w:val="1"/>
      <w:numFmt w:val="lowerRoman"/>
      <w:lvlText w:val="%3."/>
      <w:lvlJc w:val="right"/>
      <w:pPr>
        <w:ind w:left="2160" w:hanging="180"/>
      </w:pPr>
    </w:lvl>
    <w:lvl w:ilvl="3" w:tplc="C5444F96" w:tentative="1">
      <w:start w:val="1"/>
      <w:numFmt w:val="decimal"/>
      <w:lvlText w:val="%4."/>
      <w:lvlJc w:val="left"/>
      <w:pPr>
        <w:ind w:left="2880" w:hanging="360"/>
      </w:pPr>
    </w:lvl>
    <w:lvl w:ilvl="4" w:tplc="9B5A4118" w:tentative="1">
      <w:start w:val="1"/>
      <w:numFmt w:val="lowerLetter"/>
      <w:lvlText w:val="%5."/>
      <w:lvlJc w:val="left"/>
      <w:pPr>
        <w:ind w:left="3600" w:hanging="360"/>
      </w:pPr>
    </w:lvl>
    <w:lvl w:ilvl="5" w:tplc="C2EA1888" w:tentative="1">
      <w:start w:val="1"/>
      <w:numFmt w:val="lowerRoman"/>
      <w:lvlText w:val="%6."/>
      <w:lvlJc w:val="right"/>
      <w:pPr>
        <w:ind w:left="4320" w:hanging="180"/>
      </w:pPr>
    </w:lvl>
    <w:lvl w:ilvl="6" w:tplc="6C4E8844" w:tentative="1">
      <w:start w:val="1"/>
      <w:numFmt w:val="decimal"/>
      <w:lvlText w:val="%7."/>
      <w:lvlJc w:val="left"/>
      <w:pPr>
        <w:ind w:left="5040" w:hanging="360"/>
      </w:pPr>
    </w:lvl>
    <w:lvl w:ilvl="7" w:tplc="29342F5A" w:tentative="1">
      <w:start w:val="1"/>
      <w:numFmt w:val="lowerLetter"/>
      <w:lvlText w:val="%8."/>
      <w:lvlJc w:val="left"/>
      <w:pPr>
        <w:ind w:left="5760" w:hanging="360"/>
      </w:pPr>
    </w:lvl>
    <w:lvl w:ilvl="8" w:tplc="19DC5FDA" w:tentative="1">
      <w:start w:val="1"/>
      <w:numFmt w:val="lowerRoman"/>
      <w:lvlText w:val="%9."/>
      <w:lvlJc w:val="right"/>
      <w:pPr>
        <w:ind w:left="6480" w:hanging="180"/>
      </w:pPr>
    </w:lvl>
  </w:abstractNum>
  <w:abstractNum w:abstractNumId="7"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8"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2"/>
  </w:num>
  <w:num w:numId="3">
    <w:abstractNumId w:val="3"/>
  </w:num>
  <w:num w:numId="4">
    <w:abstractNumId w:val="8"/>
  </w:num>
  <w:num w:numId="5">
    <w:abstractNumId w:val="0"/>
  </w:num>
  <w:num w:numId="6">
    <w:abstractNumId w:val="4"/>
  </w:num>
  <w:num w:numId="7">
    <w:abstractNumId w:val="7"/>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3C0B"/>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DE6"/>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47EEA"/>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B7418"/>
    <w:rsid w:val="002C06EB"/>
    <w:rsid w:val="002C1BB5"/>
    <w:rsid w:val="002C1D86"/>
    <w:rsid w:val="002C1EE0"/>
    <w:rsid w:val="002C247E"/>
    <w:rsid w:val="002C28D3"/>
    <w:rsid w:val="002C2B0E"/>
    <w:rsid w:val="002C316A"/>
    <w:rsid w:val="002C3B87"/>
    <w:rsid w:val="002C3D55"/>
    <w:rsid w:val="002C4139"/>
    <w:rsid w:val="002C4302"/>
    <w:rsid w:val="002C4DA6"/>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F5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CCC"/>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954"/>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6FB"/>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95B"/>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347"/>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A7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7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27D83"/>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3AD8"/>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E2D"/>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6C14"/>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Bullet List,FooterText,LP1,List Paragraph1,List Paragraph_0,List Paragraph_1,List Paragraph_2,Paragraphe de liste1,lp1,numbered,style 2,פיסקת bullets"/>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Bullet List תו,FooterText תו,LP1 תו,List Paragraph1 תו,List Paragraph_0 תו,List Paragraph_1 תו,List Paragraph_2 תו,Paragraphe de liste1 תו,lp1 תו,numbered תו,style 2 תו,פיסקת bullets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0_0_0_0,Footnote Reference_1,Footnote Reference_2,Footnote Reference_3,Footnote Reference_3_0,Footnote Reference_4,Footnote text,fr"/>
    <w:basedOn w:val="a1"/>
    <w:uiPriority w:val="99"/>
    <w:unhideWhenUsed/>
    <w:rsid w:val="00E86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521D6C-97DD-4229-A006-ADA9F1C3526B}"/>
</file>

<file path=customXml/itemProps4.xml><?xml version="1.0" encoding="utf-8"?>
<ds:datastoreItem xmlns:ds="http://schemas.openxmlformats.org/officeDocument/2006/customXml" ds:itemID="{7F427F2B-AF12-4D9D-97AF-F367CE66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2285</Words>
  <Characters>11430</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8</cp:revision>
  <cp:lastPrinted>2023-07-16T07:57:00Z</cp:lastPrinted>
  <dcterms:created xsi:type="dcterms:W3CDTF">2024-08-27T14:47:00Z</dcterms:created>
  <dcterms:modified xsi:type="dcterms:W3CDTF">2024-10-27T06:30:00Z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