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696877F2">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3062122</wp:posOffset>
                </wp:positionH>
                <wp:positionV relativeFrom="paragraph">
                  <wp:posOffset>262509</wp:posOffset>
                </wp:positionV>
                <wp:extent cx="0" cy="4184294"/>
                <wp:effectExtent l="25400" t="0" r="25400" b="3238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18429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1pt,20.65pt" to="241.1pt,350.1pt" strokecolor="white" strokeweight="4pt"/>
            </w:pict>
          </mc:Fallback>
        </mc:AlternateContent>
      </w:r>
      <w:r w:rsidR="008A71D4">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318281</wp:posOffset>
                </wp:positionH>
                <wp:positionV relativeFrom="paragraph">
                  <wp:posOffset>1920191</wp:posOffset>
                </wp:positionV>
                <wp:extent cx="2621817"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817"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5.05pt,151.2pt" to="231.5pt,151.2pt" strokecolor="white" strokeweight="1.5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4B9EA769">
                            <w:pPr>
                              <w:pStyle w:val="a33"/>
                              <w:bidi/>
                              <w:rPr>
                                <w:rtl/>
                              </w:rPr>
                            </w:pPr>
                            <w:r w:rsidRPr="004532DC">
                              <w:rPr>
                                <w:rtl/>
                              </w:rPr>
                              <w:t xml:space="preserve">דוח מבקר המדינה | חשוון </w:t>
                            </w:r>
                            <w:r w:rsidRPr="004532DC">
                              <w:rPr>
                                <w:rtl/>
                              </w:rPr>
                              <w:t>התשפ"</w:t>
                            </w:r>
                            <w:r w:rsidR="007D25CD">
                              <w:rPr>
                                <w:rFonts w:hint="cs"/>
                                <w:rtl/>
                              </w:rPr>
                              <w:t>ה</w:t>
                            </w:r>
                            <w:r w:rsidRPr="004532DC">
                              <w:rPr>
                                <w:rtl/>
                              </w:rPr>
                              <w:t xml:space="preserve"> | נובמבר 2024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0937B3FB">
                            <w:pPr>
                              <w:pStyle w:val="-1"/>
                              <w:rPr>
                                <w:rtl/>
                              </w:rPr>
                            </w:pPr>
                            <w:r>
                              <w:rPr>
                                <w:rFonts w:hint="cs"/>
                                <w:rtl/>
                              </w:rPr>
                              <w:t>דוחות מיוחדים</w:t>
                            </w:r>
                          </w:p>
                          <w:p w:rsidR="00C30482" w:rsidRPr="000F5023" w:rsidP="003463B5" w14:textId="5A56D5BA">
                            <w:pPr>
                              <w:pStyle w:val="a32"/>
                              <w:bidi/>
                              <w:spacing w:before="240"/>
                              <w:rPr>
                                <w:rtl/>
                              </w:rPr>
                            </w:pPr>
                            <w:r w:rsidRPr="003463B5">
                              <w:rPr>
                                <w:rtl/>
                              </w:rPr>
                              <w:t>טיפול משרד המשפטים בהליכי חדלות פירעון ושיקום כלכלי</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4B9EA769">
                      <w:pPr>
                        <w:pStyle w:val="a33"/>
                        <w:bidi/>
                        <w:rPr>
                          <w:rtl/>
                        </w:rPr>
                      </w:pPr>
                      <w:r w:rsidRPr="004532DC">
                        <w:rPr>
                          <w:rtl/>
                        </w:rPr>
                        <w:t xml:space="preserve">דוח מבקר המדינה | חשוון </w:t>
                      </w:r>
                      <w:r w:rsidRPr="004532DC">
                        <w:rPr>
                          <w:rtl/>
                        </w:rPr>
                        <w:t>התשפ"</w:t>
                      </w:r>
                      <w:r w:rsidR="007D25CD">
                        <w:rPr>
                          <w:rFonts w:hint="cs"/>
                          <w:rtl/>
                        </w:rPr>
                        <w:t>ה</w:t>
                      </w:r>
                      <w:r w:rsidRPr="004532DC">
                        <w:rPr>
                          <w:rtl/>
                        </w:rPr>
                        <w:t xml:space="preserve"> | נובמבר 2024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0937B3FB">
                      <w:pPr>
                        <w:pStyle w:val="-1"/>
                        <w:rPr>
                          <w:rtl/>
                        </w:rPr>
                      </w:pPr>
                      <w:r>
                        <w:rPr>
                          <w:rFonts w:hint="cs"/>
                          <w:rtl/>
                        </w:rPr>
                        <w:t>דוחות מיוחדים</w:t>
                      </w:r>
                    </w:p>
                    <w:p w:rsidR="00C30482" w:rsidRPr="000F5023" w:rsidP="003463B5" w14:paraId="5BE5E625" w14:textId="5A56D5BA">
                      <w:pPr>
                        <w:pStyle w:val="a32"/>
                        <w:bidi/>
                        <w:spacing w:before="240"/>
                        <w:rPr>
                          <w:rtl/>
                        </w:rPr>
                      </w:pPr>
                      <w:r w:rsidRPr="003463B5">
                        <w:rPr>
                          <w:rtl/>
                        </w:rPr>
                        <w:t>טיפול משרד המשפטים בהליכי חדלות פירעון ושיקום כלכלי</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F263FC0">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6710B91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99200" behindDoc="0" locked="0" layoutInCell="1" allowOverlap="1">
                <wp:simplePos x="0" y="0"/>
                <wp:positionH relativeFrom="column">
                  <wp:posOffset>3907353</wp:posOffset>
                </wp:positionH>
                <wp:positionV relativeFrom="paragraph">
                  <wp:posOffset>6663128</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4.65pt;margin-left:307.65pt;flip:y;mso-height-percent:0;mso-height-relative:margin;mso-width-percent:0;mso-width-relative:margin;mso-wrap-distance-bottom:0;mso-wrap-distance-left:9pt;mso-wrap-distance-right:9pt;mso-wrap-distance-top:0;mso-wrap-style:square;position:absolute;visibility:visible;v-text-anchor:middle;z-index:251700224"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6135C69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FE3A0B" w14:paraId="4ED3AA37" w14:textId="52FDBB3D">
      <w:pPr>
        <w:pStyle w:val="7329"/>
        <w:spacing w:after="720"/>
        <w:rPr>
          <w:rtl/>
        </w:rPr>
      </w:pPr>
      <w:r w:rsidRPr="00802F2E">
        <w:rPr>
          <w:noProof/>
          <w:rtl/>
        </w:rPr>
        <w:drawing>
          <wp:anchor distT="0" distB="0" distL="114300" distR="114300" simplePos="0" relativeHeight="251681792" behindDoc="0" locked="0" layoutInCell="1" allowOverlap="1">
            <wp:simplePos x="0" y="0"/>
            <wp:positionH relativeFrom="column">
              <wp:posOffset>3324134</wp:posOffset>
            </wp:positionH>
            <wp:positionV relativeFrom="paragraph">
              <wp:posOffset>1106805</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AD2908">
        <w:rPr>
          <w:noProof/>
          <w:rtl/>
        </w:rPr>
        <mc:AlternateContent>
          <mc:Choice Requires="wps">
            <w:drawing>
              <wp:anchor distT="0" distB="0" distL="114300" distR="114300" simplePos="0" relativeHeight="251674624" behindDoc="0" locked="0" layoutInCell="1" allowOverlap="1">
                <wp:simplePos x="0" y="0"/>
                <wp:positionH relativeFrom="column">
                  <wp:posOffset>-656409</wp:posOffset>
                </wp:positionH>
                <wp:positionV relativeFrom="paragraph">
                  <wp:posOffset>325300</wp:posOffset>
                </wp:positionV>
                <wp:extent cx="194310" cy="5573123"/>
                <wp:effectExtent l="0" t="0" r="0" b="254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573123"/>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alt="&quot;&quot;" style="width:15.3pt;height:438.85pt;margin-top:25.6pt;margin-left:-51.7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3463B5" w:rsidR="003463B5">
        <w:rPr>
          <w:noProof/>
          <w:rtl/>
        </w:rPr>
        <w:t xml:space="preserve">טיפול משרד המשפטים בהליכי חדלות פירעון ושיקום כלכלי </w:t>
      </w:r>
    </w:p>
    <w:p w:rsidR="007F4A20" w:rsidRPr="00F16A67" w:rsidP="008A7100" w14:paraId="0B41EED6" w14:textId="7F068D49">
      <w:pPr>
        <w:pStyle w:val="7392"/>
        <w:spacing w:before="840"/>
        <w:rPr>
          <w:rtl/>
        </w:rPr>
      </w:pPr>
      <w:r w:rsidRPr="007B2803">
        <w:rPr>
          <w:rFonts w:hint="cs"/>
          <w:rtl/>
        </w:rPr>
        <w:t>הליכי חדלות פירעון משמשים מסגרת לטיפול במצבים שבהם חייבים אינם יכולים לעמוד בהתחייבויותיהם הפיננסיות</w:t>
      </w:r>
      <w:r>
        <w:rPr>
          <w:rFonts w:hint="cs"/>
          <w:rtl/>
        </w:rPr>
        <w:t xml:space="preserve">. </w:t>
      </w:r>
      <w:r w:rsidRPr="007B2803">
        <w:rPr>
          <w:rFonts w:hint="cs"/>
          <w:rtl/>
        </w:rPr>
        <w:t>בספטמבר 2019 נכנס לתוקף חוק חדלות פירעון ושיקום כלכלי, התשע"ח-2018, המכיל את כלל הוראות החוק הנוגעות להליכי חדלות פירעון. לחוק שלוש מטרות עיקריות</w:t>
      </w:r>
      <w:r w:rsidRPr="007B2803">
        <w:rPr>
          <w:rtl/>
        </w:rPr>
        <w:t>:</w:t>
      </w:r>
      <w:r w:rsidRPr="007B2803">
        <w:rPr>
          <w:rFonts w:hint="cs"/>
          <w:rtl/>
        </w:rPr>
        <w:t xml:space="preserve"> </w:t>
      </w:r>
      <w:r w:rsidRPr="007B2803">
        <w:rPr>
          <w:rtl/>
        </w:rPr>
        <w:t xml:space="preserve">האחת - </w:t>
      </w:r>
      <w:r w:rsidRPr="007B2803">
        <w:rPr>
          <w:rFonts w:hint="cs"/>
          <w:rtl/>
        </w:rPr>
        <w:t>להביא לשיקומו הכלכלי של החייב; השנייה - להגדיל את שיעור החוב שייפרע לנושים; השלישית - להגביר את הוודאות והיציבות של הדין, לקצר הליכים ולהפחית את הנטל הבירוקרטי. הממונה על הליכי חדלות פירעון ושיקום כלכלי, אשר פועל במסגרת של אגף במשרד המשפטים, מופקד על הטיפול בהליכי חדלות פירעון ובכלל זה הליכי חדלות פירעון של יחידים, הליכי חדלות פירעון של תאגידים, הליכי פירוק של חברות, הבראת חברות והסדרי נושים. סמכותו של הממונה בנוגע לטיפול בעניינם של יחידים חלה על הליכי חדלות פירעון שהחבות בהם גדולה מ-150,000 ש"ח</w:t>
      </w:r>
      <w:r>
        <w:rPr>
          <w:vertAlign w:val="superscript"/>
          <w:rtl/>
        </w:rPr>
        <w:footnoteReference w:id="2"/>
      </w:r>
      <w:r w:rsidRPr="007B2803">
        <w:rPr>
          <w:rFonts w:hint="cs"/>
          <w:rtl/>
        </w:rPr>
        <w:t xml:space="preserve">. הליכים שהחבות בהם קטנה יותר מתנהלים ברשות האכיפה והגבייה. מדי שנה מוגשות בתחום חדלות הפירעון של יחידים יותר מ-20,000 בקשות לצווי כינוס או לפתיחת הליכים; מוצאים כ-15,000 צווים; ומתנהלים יותר מ-60,000 תיקים פעילים. בשנת 2022 נתנו בתי המשפט צווים להפעלת תאגיד לשם שיקומו הכלכלי ב-20 הליכים; ב-953 הליכים ניתנו צווים לפירוק התאגיד; וב-20 הליכים אושרה תכנית לשיקום כלכלי. סכום תביעות החוב שהוגשו בהליכי חדלות פירעון ב-2021 </w:t>
      </w:r>
      <w:r w:rsidRPr="00310D80" w:rsidR="00310D80">
        <w:rPr>
          <w:rtl/>
        </w:rPr>
        <w:t>הסתכם ביותר מ-60 מיליארד ש"ח</w:t>
      </w:r>
      <w:r>
        <w:rPr>
          <w:rtl/>
        </w:rPr>
        <w:br/>
      </w:r>
      <w:r w:rsidRPr="007B2803">
        <w:rPr>
          <w:rFonts w:hint="cs"/>
          <w:rtl/>
        </w:rPr>
        <w:t>(כ-43.7 מיליארד ש"ח בהליכי יחידים וכ-16.7 מיליארד ש"ח בהליכי תאגידים)</w:t>
      </w:r>
      <w:r w:rsidRPr="007B2803">
        <w:rPr>
          <w:rtl/>
        </w:rPr>
        <w:t>.</w:t>
      </w:r>
      <w:r w:rsidRPr="007B2803">
        <w:rPr>
          <w:rFonts w:hint="cs"/>
          <w:rtl/>
        </w:rPr>
        <w:t xml:space="preserve"> שיעור הפירעון הממוצע בתיקי חדלות פירעון של יחידים המטופלים על ידי הממונה בשנת 2021 היה כ-7% ובשנת 2022 כ-13%</w:t>
      </w:r>
      <w:r w:rsidRPr="00F16A67" w:rsidR="0036097F">
        <w:rPr>
          <w:rFonts w:hint="cs"/>
          <w:rtl/>
        </w:rPr>
        <w:t>.</w:t>
      </w:r>
      <w:r w:rsidRPr="00F16A67"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3329849</wp:posOffset>
            </wp:positionH>
            <wp:positionV relativeFrom="paragraph">
              <wp:posOffset>0</wp:posOffset>
            </wp:positionV>
            <wp:extent cx="1405255" cy="431800"/>
            <wp:effectExtent l="0" t="0" r="0"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4"/>
        <w:gridCol w:w="277"/>
        <w:gridCol w:w="1530"/>
        <w:gridCol w:w="277"/>
        <w:gridCol w:w="1697"/>
        <w:gridCol w:w="277"/>
        <w:gridCol w:w="1598"/>
      </w:tblGrid>
      <w:tr w14:paraId="58B4726B" w14:textId="77777777" w:rsidTr="003463B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63" w:type="pct"/>
            <w:tcBorders>
              <w:bottom w:val="single" w:sz="12" w:space="0" w:color="000000" w:themeColor="text1"/>
            </w:tcBorders>
            <w:vAlign w:val="bottom"/>
          </w:tcPr>
          <w:p w:rsidR="003463B5" w:rsidRPr="003463B5" w:rsidP="003463B5" w14:paraId="0AC46F13" w14:textId="77777777">
            <w:pPr>
              <w:spacing w:after="60" w:line="240" w:lineRule="auto"/>
              <w:jc w:val="left"/>
              <w:rPr>
                <w:rFonts w:ascii="Tahoma" w:hAnsi="Tahoma" w:cs="Tahoma"/>
                <w:b/>
                <w:bCs/>
                <w:spacing w:val="-10"/>
                <w:sz w:val="36"/>
                <w:szCs w:val="36"/>
                <w:rtl/>
              </w:rPr>
            </w:pPr>
            <w:r w:rsidRPr="003463B5">
              <w:rPr>
                <w:rFonts w:ascii="Tahoma" w:hAnsi="Tahoma" w:cs="Tahoma" w:hint="cs"/>
                <w:b/>
                <w:bCs/>
                <w:spacing w:val="-10"/>
                <w:sz w:val="36"/>
                <w:szCs w:val="36"/>
                <w:rtl/>
              </w:rPr>
              <w:t>786</w:t>
            </w:r>
          </w:p>
          <w:p w:rsidR="003463B5" w:rsidRPr="003463B5" w:rsidP="003463B5" w14:paraId="23EB689E" w14:textId="2CE5CF92">
            <w:pPr>
              <w:spacing w:after="60" w:line="240" w:lineRule="auto"/>
              <w:jc w:val="left"/>
              <w:rPr>
                <w:b/>
                <w:bCs/>
                <w:spacing w:val="-28"/>
                <w:rtl/>
              </w:rPr>
            </w:pPr>
            <w:r w:rsidRPr="003463B5">
              <w:rPr>
                <w:rFonts w:ascii="Tahoma" w:hAnsi="Tahoma" w:cs="Tahoma" w:hint="cs"/>
                <w:b/>
                <w:bCs/>
                <w:spacing w:val="-10"/>
                <w:sz w:val="26"/>
                <w:szCs w:val="26"/>
                <w:rtl/>
              </w:rPr>
              <w:t>מיליארד ש"ח</w:t>
            </w:r>
          </w:p>
        </w:tc>
        <w:tc>
          <w:tcPr>
            <w:tcW w:w="188" w:type="pct"/>
            <w:vAlign w:val="bottom"/>
          </w:tcPr>
          <w:p w:rsidR="003463B5" w:rsidRPr="003463B5" w:rsidP="003463B5" w14:paraId="19192EA5" w14:textId="77777777">
            <w:pPr>
              <w:spacing w:before="120" w:after="60" w:line="240" w:lineRule="auto"/>
              <w:jc w:val="left"/>
              <w:rPr>
                <w:b/>
                <w:bCs/>
                <w:rtl/>
              </w:rPr>
            </w:pPr>
          </w:p>
        </w:tc>
        <w:tc>
          <w:tcPr>
            <w:tcW w:w="1038" w:type="pct"/>
            <w:tcBorders>
              <w:bottom w:val="single" w:sz="12" w:space="0" w:color="000000" w:themeColor="text1"/>
            </w:tcBorders>
            <w:vAlign w:val="bottom"/>
          </w:tcPr>
          <w:p w:rsidR="003463B5" w:rsidRPr="003463B5" w:rsidP="003463B5" w14:paraId="761F4116" w14:textId="7691461A">
            <w:pPr>
              <w:pStyle w:val="2021"/>
              <w:spacing w:before="0" w:after="60"/>
              <w:rPr>
                <w:spacing w:val="-10"/>
                <w:rtl/>
              </w:rPr>
            </w:pPr>
            <w:r w:rsidRPr="003463B5">
              <w:rPr>
                <w:rFonts w:hint="cs"/>
                <w:sz w:val="26"/>
                <w:szCs w:val="26"/>
                <w:rtl/>
              </w:rPr>
              <w:t>יותר מ-</w:t>
            </w:r>
            <w:r w:rsidRPr="003463B5">
              <w:rPr>
                <w:rFonts w:hint="cs"/>
                <w:rtl/>
              </w:rPr>
              <w:t xml:space="preserve">60 </w:t>
            </w:r>
            <w:r w:rsidRPr="003463B5">
              <w:rPr>
                <w:rFonts w:hint="cs"/>
                <w:spacing w:val="-10"/>
                <w:sz w:val="26"/>
                <w:szCs w:val="26"/>
                <w:rtl/>
              </w:rPr>
              <w:t>מיליארד</w:t>
            </w:r>
            <w:r w:rsidRPr="003463B5">
              <w:rPr>
                <w:rFonts w:hint="cs"/>
                <w:sz w:val="26"/>
                <w:szCs w:val="26"/>
                <w:rtl/>
              </w:rPr>
              <w:t xml:space="preserve"> ש"ח</w:t>
            </w:r>
          </w:p>
        </w:tc>
        <w:tc>
          <w:tcPr>
            <w:tcW w:w="188" w:type="pct"/>
            <w:vAlign w:val="bottom"/>
          </w:tcPr>
          <w:p w:rsidR="003463B5" w:rsidRPr="003463B5" w:rsidP="003463B5" w14:paraId="3E3B45B6" w14:textId="77777777">
            <w:pPr>
              <w:spacing w:after="60" w:line="240" w:lineRule="auto"/>
              <w:jc w:val="left"/>
              <w:rPr>
                <w:rFonts w:ascii="Tahoma" w:hAnsi="Tahoma" w:cs="Tahoma"/>
                <w:b/>
                <w:bCs/>
                <w:spacing w:val="-10"/>
                <w:sz w:val="28"/>
                <w:szCs w:val="28"/>
                <w:rtl/>
              </w:rPr>
            </w:pPr>
          </w:p>
          <w:p w:rsidR="003463B5" w:rsidRPr="003463B5" w:rsidP="003463B5" w14:paraId="2810DE55" w14:textId="77777777">
            <w:pPr>
              <w:spacing w:before="120" w:after="60" w:line="240" w:lineRule="auto"/>
              <w:jc w:val="left"/>
              <w:rPr>
                <w:b/>
                <w:bCs/>
                <w:rtl/>
              </w:rPr>
            </w:pPr>
          </w:p>
        </w:tc>
        <w:tc>
          <w:tcPr>
            <w:tcW w:w="1151" w:type="pct"/>
            <w:tcBorders>
              <w:bottom w:val="single" w:sz="12" w:space="0" w:color="000000" w:themeColor="text1"/>
            </w:tcBorders>
            <w:vAlign w:val="bottom"/>
          </w:tcPr>
          <w:p w:rsidR="003463B5" w:rsidRPr="003463B5" w:rsidP="003463B5" w14:paraId="2A2E27BD" w14:textId="06DEB86C">
            <w:pPr>
              <w:pStyle w:val="2021"/>
              <w:spacing w:before="0" w:after="60"/>
              <w:rPr>
                <w:spacing w:val="-20"/>
                <w:sz w:val="24"/>
                <w:rtl/>
              </w:rPr>
            </w:pPr>
            <w:r w:rsidRPr="003463B5">
              <w:rPr>
                <w:rFonts w:hint="cs"/>
                <w:spacing w:val="-10"/>
                <w:sz w:val="26"/>
                <w:szCs w:val="26"/>
                <w:rtl/>
              </w:rPr>
              <w:t>כ-</w:t>
            </w:r>
            <w:r w:rsidRPr="003463B5">
              <w:rPr>
                <w:rFonts w:hint="cs"/>
                <w:spacing w:val="-10"/>
                <w:rtl/>
              </w:rPr>
              <w:t>7%</w:t>
            </w:r>
            <w:r w:rsidRPr="003463B5">
              <w:rPr>
                <w:rFonts w:hint="cs"/>
                <w:spacing w:val="-10"/>
                <w:sz w:val="28"/>
                <w:szCs w:val="28"/>
                <w:rtl/>
              </w:rPr>
              <w:t xml:space="preserve"> </w:t>
            </w:r>
            <w:r w:rsidRPr="003463B5">
              <w:rPr>
                <w:spacing w:val="-10"/>
                <w:sz w:val="26"/>
                <w:szCs w:val="26"/>
                <w:rtl/>
              </w:rPr>
              <w:br/>
            </w:r>
            <w:r w:rsidRPr="003463B5">
              <w:rPr>
                <w:rFonts w:hint="cs"/>
                <w:spacing w:val="-10"/>
                <w:sz w:val="26"/>
                <w:szCs w:val="26"/>
                <w:rtl/>
              </w:rPr>
              <w:t xml:space="preserve">פירעון </w:t>
            </w:r>
            <w:r w:rsidRPr="003463B5">
              <w:rPr>
                <w:rFonts w:hint="eastAsia"/>
                <w:spacing w:val="-10"/>
                <w:sz w:val="26"/>
                <w:szCs w:val="26"/>
                <w:rtl/>
              </w:rPr>
              <w:t>בלבד</w:t>
            </w:r>
          </w:p>
        </w:tc>
        <w:tc>
          <w:tcPr>
            <w:tcW w:w="188" w:type="pct"/>
            <w:vAlign w:val="bottom"/>
          </w:tcPr>
          <w:p w:rsidR="003463B5" w:rsidRPr="003463B5" w:rsidP="003463B5" w14:paraId="47B754BA" w14:textId="77777777">
            <w:pPr>
              <w:pStyle w:val="2021"/>
              <w:spacing w:before="0" w:after="60"/>
              <w:rPr>
                <w:spacing w:val="-10"/>
                <w:rtl/>
              </w:rPr>
            </w:pPr>
          </w:p>
        </w:tc>
        <w:tc>
          <w:tcPr>
            <w:tcW w:w="1084" w:type="pct"/>
            <w:tcBorders>
              <w:bottom w:val="single" w:sz="12" w:space="0" w:color="000000" w:themeColor="text1"/>
            </w:tcBorders>
            <w:vAlign w:val="bottom"/>
          </w:tcPr>
          <w:p w:rsidR="003463B5" w:rsidRPr="003463B5" w:rsidP="003463B5" w14:paraId="5F3A3FF5" w14:textId="579B4FC9">
            <w:pPr>
              <w:pStyle w:val="2021"/>
              <w:spacing w:before="0" w:after="60"/>
              <w:rPr>
                <w:spacing w:val="-10"/>
                <w:rtl/>
              </w:rPr>
            </w:pPr>
            <w:r w:rsidRPr="003463B5">
              <w:rPr>
                <w:rFonts w:hint="cs"/>
                <w:spacing w:val="-10"/>
                <w:rtl/>
              </w:rPr>
              <w:t>7</w:t>
            </w:r>
            <w:r w:rsidRPr="003463B5">
              <w:rPr>
                <w:rFonts w:hint="cs"/>
                <w:spacing w:val="-10"/>
                <w:sz w:val="28"/>
                <w:szCs w:val="28"/>
                <w:rtl/>
              </w:rPr>
              <w:t xml:space="preserve"> </w:t>
            </w:r>
            <w:r w:rsidRPr="003463B5">
              <w:rPr>
                <w:rFonts w:hint="cs"/>
                <w:spacing w:val="-10"/>
                <w:sz w:val="26"/>
                <w:szCs w:val="26"/>
                <w:rtl/>
              </w:rPr>
              <w:t xml:space="preserve">עובדים </w:t>
            </w:r>
            <w:r w:rsidRPr="003463B5">
              <w:rPr>
                <w:rFonts w:hint="eastAsia"/>
                <w:spacing w:val="-10"/>
                <w:sz w:val="26"/>
                <w:szCs w:val="26"/>
                <w:rtl/>
              </w:rPr>
              <w:t>בלבד</w:t>
            </w:r>
            <w:r w:rsidRPr="003463B5">
              <w:rPr>
                <w:rFonts w:hint="eastAsia"/>
                <w:spacing w:val="-10"/>
                <w:sz w:val="28"/>
                <w:szCs w:val="28"/>
                <w:rtl/>
              </w:rPr>
              <w:t xml:space="preserve"> </w:t>
            </w:r>
          </w:p>
        </w:tc>
      </w:tr>
      <w:tr w14:paraId="6DFAF81C" w14:textId="77777777" w:rsidTr="003463B5">
        <w:tblPrEx>
          <w:tblW w:w="5000" w:type="pct"/>
          <w:tblLook w:val="04A0"/>
        </w:tblPrEx>
        <w:tc>
          <w:tcPr>
            <w:tcW w:w="1163" w:type="pct"/>
            <w:tcBorders>
              <w:top w:val="single" w:sz="12" w:space="0" w:color="000000" w:themeColor="text1"/>
            </w:tcBorders>
          </w:tcPr>
          <w:p w:rsidR="003463B5" w:rsidRPr="00E52143" w:rsidP="003463B5" w14:paraId="1D96599A" w14:textId="79E6039D">
            <w:pPr>
              <w:pStyle w:val="732021"/>
              <w:spacing w:before="0" w:after="0" w:line="240" w:lineRule="auto"/>
              <w:rPr>
                <w:rtl/>
              </w:rPr>
            </w:pPr>
            <w:r w:rsidRPr="003463B5">
              <w:rPr>
                <w:rFonts w:hint="cs"/>
                <w:rtl/>
              </w:rPr>
              <w:t>היקף חובות משקי הבית. כ-70% מהם לדיור וכ-30% - חוב צרכני. נכון לשנת 2019, ל-9</w:t>
            </w:r>
            <w:r>
              <w:rPr>
                <w:rFonts w:hint="cs"/>
                <w:rtl/>
              </w:rPr>
              <w:t xml:space="preserve">% </w:t>
            </w:r>
            <w:r w:rsidRPr="003463B5">
              <w:rPr>
                <w:rFonts w:hint="cs"/>
                <w:rtl/>
              </w:rPr>
              <w:t>מכלל האוכלוסייה הבוגרת במדינת ישראל נפתחו תיקים בהוצאה לפועל</w:t>
            </w:r>
          </w:p>
        </w:tc>
        <w:tc>
          <w:tcPr>
            <w:tcW w:w="188" w:type="pct"/>
          </w:tcPr>
          <w:p w:rsidR="003463B5" w:rsidRPr="00E52143" w:rsidP="003463B5" w14:paraId="2BF81D8C" w14:textId="77777777">
            <w:pPr>
              <w:pStyle w:val="732021"/>
              <w:spacing w:before="0" w:after="0" w:line="240" w:lineRule="auto"/>
              <w:rPr>
                <w:rtl/>
              </w:rPr>
            </w:pPr>
          </w:p>
        </w:tc>
        <w:tc>
          <w:tcPr>
            <w:tcW w:w="1038" w:type="pct"/>
            <w:tcBorders>
              <w:top w:val="single" w:sz="12" w:space="0" w:color="000000" w:themeColor="text1"/>
            </w:tcBorders>
          </w:tcPr>
          <w:p w:rsidR="003463B5" w:rsidRPr="003463B5" w:rsidP="003463B5" w14:paraId="26345BE9" w14:textId="16C075D1">
            <w:pPr>
              <w:spacing w:line="240" w:lineRule="auto"/>
              <w:ind w:right="23"/>
              <w:jc w:val="left"/>
              <w:rPr>
                <w:rFonts w:ascii="Tahoma" w:hAnsi="Tahoma" w:eastAsiaTheme="minorEastAsia" w:cs="Tahoma"/>
                <w:color w:val="0D0D0D" w:themeColor="text1" w:themeTint="F2"/>
                <w:w w:val="90"/>
                <w:sz w:val="18"/>
                <w:szCs w:val="18"/>
                <w:rtl/>
              </w:rPr>
            </w:pPr>
            <w:r w:rsidRPr="003463B5">
              <w:rPr>
                <w:rFonts w:ascii="Tahoma" w:hAnsi="Tahoma" w:eastAsiaTheme="minorEastAsia" w:cs="Tahoma" w:hint="cs"/>
                <w:color w:val="0D0D0D" w:themeColor="text1" w:themeTint="F2"/>
                <w:w w:val="90"/>
                <w:sz w:val="18"/>
                <w:szCs w:val="18"/>
                <w:rtl/>
              </w:rPr>
              <w:t xml:space="preserve">סכום תביעות החוב בשנת 2021; מדי שנה מוגשות יותר </w:t>
            </w:r>
            <w:r w:rsidR="008528AD">
              <w:rPr>
                <w:rFonts w:ascii="Tahoma" w:hAnsi="Tahoma" w:eastAsiaTheme="minorEastAsia" w:cs="Tahoma"/>
                <w:color w:val="0D0D0D" w:themeColor="text1" w:themeTint="F2"/>
                <w:w w:val="90"/>
                <w:sz w:val="18"/>
                <w:szCs w:val="18"/>
                <w:rtl/>
              </w:rPr>
              <w:br/>
            </w:r>
            <w:r w:rsidRPr="003463B5">
              <w:rPr>
                <w:rFonts w:ascii="Tahoma" w:hAnsi="Tahoma" w:eastAsiaTheme="minorEastAsia" w:cs="Tahoma" w:hint="cs"/>
                <w:color w:val="0D0D0D" w:themeColor="text1" w:themeTint="F2"/>
                <w:w w:val="90"/>
                <w:sz w:val="18"/>
                <w:szCs w:val="18"/>
                <w:rtl/>
              </w:rPr>
              <w:t>מ-20,000 בקשות לצווי כינוס או לפתיחת הליכים</w:t>
            </w:r>
          </w:p>
          <w:p w:rsidR="003463B5" w:rsidRPr="00E52143" w:rsidP="003463B5" w14:paraId="68924AF7" w14:textId="08259E3E">
            <w:pPr>
              <w:pStyle w:val="732021"/>
              <w:spacing w:before="0" w:after="0" w:line="240" w:lineRule="auto"/>
              <w:rPr>
                <w:rtl/>
              </w:rPr>
            </w:pPr>
          </w:p>
        </w:tc>
        <w:tc>
          <w:tcPr>
            <w:tcW w:w="188" w:type="pct"/>
          </w:tcPr>
          <w:p w:rsidR="003463B5" w:rsidRPr="00E52143" w:rsidP="003463B5" w14:paraId="4F52CE08" w14:textId="77777777">
            <w:pPr>
              <w:pStyle w:val="732021"/>
              <w:spacing w:before="0" w:after="0" w:line="240" w:lineRule="auto"/>
              <w:rPr>
                <w:rtl/>
              </w:rPr>
            </w:pPr>
          </w:p>
        </w:tc>
        <w:tc>
          <w:tcPr>
            <w:tcW w:w="1151" w:type="pct"/>
            <w:tcBorders>
              <w:top w:val="single" w:sz="12" w:space="0" w:color="000000" w:themeColor="text1"/>
            </w:tcBorders>
          </w:tcPr>
          <w:p w:rsidR="003463B5" w:rsidRPr="003463B5" w:rsidP="003463B5" w14:paraId="191664AF" w14:textId="77777777">
            <w:pPr>
              <w:spacing w:line="240" w:lineRule="auto"/>
              <w:ind w:right="23"/>
              <w:jc w:val="left"/>
              <w:rPr>
                <w:rFonts w:ascii="Tahoma" w:hAnsi="Tahoma" w:eastAsiaTheme="minorEastAsia" w:cs="Tahoma"/>
                <w:color w:val="0D0D0D" w:themeColor="text1" w:themeTint="F2"/>
                <w:w w:val="90"/>
                <w:sz w:val="18"/>
                <w:szCs w:val="18"/>
                <w:rtl/>
              </w:rPr>
            </w:pPr>
            <w:r w:rsidRPr="003463B5">
              <w:rPr>
                <w:rFonts w:ascii="Tahoma" w:hAnsi="Tahoma" w:eastAsiaTheme="minorEastAsia" w:cs="Tahoma" w:hint="cs"/>
                <w:color w:val="0D0D0D" w:themeColor="text1" w:themeTint="F2"/>
                <w:w w:val="90"/>
                <w:sz w:val="18"/>
                <w:szCs w:val="18"/>
                <w:rtl/>
              </w:rPr>
              <w:t>שיעור הפירעון הממוצע בתיקי חדלות פירעון של יחידים המטופלים על ידי הממונה ב</w:t>
            </w:r>
            <w:r w:rsidRPr="003463B5">
              <w:rPr>
                <w:rFonts w:ascii="Tahoma" w:hAnsi="Tahoma" w:eastAsiaTheme="minorEastAsia" w:cs="Tahoma" w:hint="eastAsia"/>
                <w:color w:val="0D0D0D" w:themeColor="text1" w:themeTint="F2"/>
                <w:w w:val="90"/>
                <w:sz w:val="18"/>
                <w:szCs w:val="18"/>
                <w:rtl/>
              </w:rPr>
              <w:t>שנת</w:t>
            </w:r>
            <w:r w:rsidRPr="003463B5">
              <w:rPr>
                <w:rFonts w:ascii="Tahoma" w:hAnsi="Tahoma" w:eastAsiaTheme="minorEastAsia" w:cs="Tahoma" w:hint="cs"/>
                <w:color w:val="0D0D0D" w:themeColor="text1" w:themeTint="F2"/>
                <w:w w:val="90"/>
                <w:sz w:val="18"/>
                <w:szCs w:val="18"/>
                <w:rtl/>
              </w:rPr>
              <w:t xml:space="preserve"> 2021 (ב</w:t>
            </w:r>
            <w:r w:rsidRPr="003463B5">
              <w:rPr>
                <w:rFonts w:ascii="Tahoma" w:hAnsi="Tahoma" w:eastAsiaTheme="minorEastAsia" w:cs="Tahoma" w:hint="eastAsia"/>
                <w:color w:val="0D0D0D" w:themeColor="text1" w:themeTint="F2"/>
                <w:w w:val="90"/>
                <w:sz w:val="18"/>
                <w:szCs w:val="18"/>
                <w:rtl/>
              </w:rPr>
              <w:t>שנת</w:t>
            </w:r>
            <w:r w:rsidRPr="003463B5">
              <w:rPr>
                <w:rFonts w:ascii="Tahoma" w:hAnsi="Tahoma" w:eastAsiaTheme="minorEastAsia" w:cs="Tahoma" w:hint="cs"/>
                <w:color w:val="0D0D0D" w:themeColor="text1" w:themeTint="F2"/>
                <w:w w:val="90"/>
                <w:sz w:val="18"/>
                <w:szCs w:val="18"/>
                <w:rtl/>
              </w:rPr>
              <w:t xml:space="preserve"> 2022 - 13%). כלל החובות האבודים </w:t>
            </w:r>
            <w:r w:rsidRPr="003463B5">
              <w:rPr>
                <w:rFonts w:ascii="Tahoma" w:hAnsi="Tahoma" w:eastAsiaTheme="minorEastAsia" w:cs="Tahoma"/>
                <w:color w:val="0D0D0D" w:themeColor="text1" w:themeTint="F2"/>
                <w:w w:val="90"/>
                <w:sz w:val="18"/>
                <w:szCs w:val="18"/>
                <w:rtl/>
              </w:rPr>
              <w:t>-</w:t>
            </w:r>
            <w:r w:rsidRPr="003463B5">
              <w:rPr>
                <w:rFonts w:ascii="Tahoma" w:hAnsi="Tahoma" w:eastAsiaTheme="minorEastAsia" w:cs="Tahoma" w:hint="cs"/>
                <w:color w:val="0D0D0D" w:themeColor="text1" w:themeTint="F2"/>
                <w:w w:val="90"/>
                <w:sz w:val="18"/>
                <w:szCs w:val="18"/>
                <w:rtl/>
              </w:rPr>
              <w:t xml:space="preserve"> כ-49.5 מיליארד ש"ח לשנה</w:t>
            </w:r>
          </w:p>
          <w:p w:rsidR="003463B5" w:rsidRPr="00E52143" w:rsidP="003463B5" w14:paraId="203F9568" w14:textId="41B6B3A4">
            <w:pPr>
              <w:pStyle w:val="732021"/>
              <w:spacing w:before="0" w:after="0" w:line="240" w:lineRule="auto"/>
              <w:rPr>
                <w:rtl/>
              </w:rPr>
            </w:pPr>
          </w:p>
        </w:tc>
        <w:tc>
          <w:tcPr>
            <w:tcW w:w="188" w:type="pct"/>
          </w:tcPr>
          <w:p w:rsidR="003463B5" w:rsidRPr="00E52143" w:rsidP="003463B5" w14:paraId="42538096" w14:textId="77777777">
            <w:pPr>
              <w:pStyle w:val="732021"/>
              <w:spacing w:before="0" w:after="0" w:line="240" w:lineRule="auto"/>
              <w:rPr>
                <w:rtl/>
              </w:rPr>
            </w:pPr>
          </w:p>
        </w:tc>
        <w:tc>
          <w:tcPr>
            <w:tcW w:w="1084" w:type="pct"/>
            <w:tcBorders>
              <w:top w:val="single" w:sz="12" w:space="0" w:color="000000" w:themeColor="text1"/>
            </w:tcBorders>
          </w:tcPr>
          <w:p w:rsidR="003463B5" w:rsidRPr="00E52143" w:rsidP="003463B5" w14:paraId="1878D11D" w14:textId="197B16D9">
            <w:pPr>
              <w:pStyle w:val="732021"/>
              <w:spacing w:before="0" w:after="0" w:line="240" w:lineRule="auto"/>
              <w:rPr>
                <w:rtl/>
              </w:rPr>
            </w:pPr>
            <w:r w:rsidRPr="003463B5">
              <w:rPr>
                <w:rFonts w:hint="cs"/>
                <w:rtl/>
              </w:rPr>
              <w:t xml:space="preserve">מפקחים על כ-450 נאמנים המנהלים </w:t>
            </w:r>
            <w:r w:rsidRPr="003463B5">
              <w:rPr>
                <w:rtl/>
              </w:rPr>
              <w:br/>
            </w:r>
            <w:r w:rsidRPr="003463B5">
              <w:rPr>
                <w:rFonts w:hint="cs"/>
                <w:rtl/>
              </w:rPr>
              <w:t>כ-60,000 תיקים</w:t>
            </w:r>
            <w:r>
              <w:rPr>
                <w:rtl/>
              </w:rPr>
              <w:t xml:space="preserve"> </w:t>
            </w:r>
            <w:r w:rsidRPr="003463B5">
              <w:rPr>
                <w:rtl/>
              </w:rPr>
              <w:t xml:space="preserve">לגביית חובות בהיקף של </w:t>
            </w:r>
            <w:r w:rsidRPr="003463B5">
              <w:rPr>
                <w:rFonts w:hint="cs"/>
                <w:rtl/>
              </w:rPr>
              <w:t>כ-</w:t>
            </w:r>
            <w:r w:rsidRPr="003463B5">
              <w:rPr>
                <w:rtl/>
              </w:rPr>
              <w:t>60 מיליארד ש"ח</w:t>
            </w:r>
            <w:r w:rsidRPr="003463B5">
              <w:rPr>
                <w:rFonts w:hint="cs"/>
                <w:rtl/>
              </w:rPr>
              <w:t xml:space="preserve">  </w:t>
            </w:r>
          </w:p>
        </w:tc>
      </w:tr>
      <w:tr w14:paraId="1BD5A20C" w14:textId="77777777" w:rsidTr="003463B5">
        <w:tblPrEx>
          <w:tblW w:w="5000" w:type="pct"/>
          <w:tblLook w:val="04A0"/>
        </w:tblPrEx>
        <w:tc>
          <w:tcPr>
            <w:tcW w:w="1163" w:type="pct"/>
            <w:tcBorders>
              <w:bottom w:val="single" w:sz="12" w:space="0" w:color="000000" w:themeColor="text1"/>
            </w:tcBorders>
            <w:vAlign w:val="bottom"/>
          </w:tcPr>
          <w:p w:rsidR="003463B5" w:rsidRPr="003463B5" w:rsidP="003463B5" w14:paraId="500D3B50" w14:textId="18772B48">
            <w:pPr>
              <w:spacing w:before="120" w:line="240" w:lineRule="auto"/>
              <w:jc w:val="left"/>
              <w:rPr>
                <w:rFonts w:ascii="Tahoma" w:hAnsi="Tahoma" w:eastAsiaTheme="minorEastAsia" w:cs="Tahoma"/>
                <w:b/>
                <w:bCs/>
                <w:color w:val="0D0D0D" w:themeColor="text1" w:themeTint="F2"/>
                <w:spacing w:val="-10"/>
                <w:sz w:val="36"/>
                <w:szCs w:val="36"/>
                <w:rtl/>
              </w:rPr>
            </w:pPr>
            <w:r w:rsidRPr="003463B5">
              <w:rPr>
                <w:rFonts w:ascii="Tahoma" w:hAnsi="Tahoma" w:cs="Tahoma" w:hint="eastAsia"/>
                <w:b/>
                <w:bCs/>
                <w:spacing w:val="-10"/>
                <w:sz w:val="26"/>
                <w:szCs w:val="26"/>
                <w:rtl/>
              </w:rPr>
              <w:t>גידול</w:t>
            </w:r>
            <w:r w:rsidRPr="003463B5">
              <w:rPr>
                <w:rFonts w:ascii="Tahoma" w:hAnsi="Tahoma" w:cs="Tahoma"/>
                <w:b/>
                <w:bCs/>
                <w:spacing w:val="-10"/>
                <w:sz w:val="26"/>
                <w:szCs w:val="26"/>
                <w:rtl/>
              </w:rPr>
              <w:t xml:space="preserve"> </w:t>
            </w:r>
            <w:r w:rsidRPr="003463B5">
              <w:rPr>
                <w:rFonts w:ascii="Tahoma" w:hAnsi="Tahoma" w:cs="Tahoma" w:hint="eastAsia"/>
                <w:b/>
                <w:bCs/>
                <w:spacing w:val="-10"/>
                <w:sz w:val="26"/>
                <w:szCs w:val="26"/>
                <w:rtl/>
              </w:rPr>
              <w:t>של</w:t>
            </w:r>
            <w:r w:rsidRPr="003463B5">
              <w:rPr>
                <w:rFonts w:ascii="Tahoma" w:hAnsi="Tahoma" w:cs="Tahoma"/>
                <w:b/>
                <w:bCs/>
                <w:spacing w:val="-10"/>
                <w:sz w:val="26"/>
                <w:szCs w:val="26"/>
                <w:rtl/>
              </w:rPr>
              <w:t xml:space="preserve"> </w:t>
            </w:r>
            <w:r w:rsidRPr="003463B5">
              <w:rPr>
                <w:rFonts w:ascii="Tahoma" w:hAnsi="Tahoma" w:cs="Tahoma"/>
                <w:b/>
                <w:bCs/>
                <w:spacing w:val="-10"/>
                <w:sz w:val="26"/>
                <w:szCs w:val="26"/>
                <w:rtl/>
              </w:rPr>
              <w:br/>
            </w:r>
            <w:r w:rsidRPr="003463B5">
              <w:rPr>
                <w:rFonts w:ascii="Tahoma" w:hAnsi="Tahoma" w:cs="Tahoma" w:hint="eastAsia"/>
                <w:b/>
                <w:bCs/>
                <w:spacing w:val="-10"/>
                <w:sz w:val="26"/>
                <w:szCs w:val="26"/>
                <w:rtl/>
              </w:rPr>
              <w:t>כ</w:t>
            </w:r>
            <w:r w:rsidRPr="003463B5">
              <w:rPr>
                <w:rFonts w:ascii="Tahoma" w:hAnsi="Tahoma" w:cs="Tahoma"/>
                <w:b/>
                <w:bCs/>
                <w:spacing w:val="-10"/>
                <w:sz w:val="26"/>
                <w:szCs w:val="26"/>
                <w:rtl/>
              </w:rPr>
              <w:t>-</w:t>
            </w:r>
            <w:r w:rsidRPr="003463B5">
              <w:rPr>
                <w:rFonts w:ascii="Tahoma" w:hAnsi="Tahoma" w:cs="Tahoma" w:hint="cs"/>
                <w:b/>
                <w:bCs/>
                <w:spacing w:val="-10"/>
                <w:sz w:val="36"/>
                <w:szCs w:val="36"/>
                <w:rtl/>
              </w:rPr>
              <w:t>60%</w:t>
            </w:r>
          </w:p>
        </w:tc>
        <w:tc>
          <w:tcPr>
            <w:tcW w:w="188" w:type="pct"/>
            <w:vAlign w:val="bottom"/>
          </w:tcPr>
          <w:p w:rsidR="003463B5" w:rsidRPr="003463B5" w:rsidP="003463B5" w14:paraId="26A950B1" w14:textId="77777777">
            <w:pPr>
              <w:spacing w:before="120" w:after="120"/>
              <w:jc w:val="left"/>
              <w:rPr>
                <w:rFonts w:ascii="Tahoma" w:hAnsi="Tahoma" w:eastAsiaTheme="minorEastAsia" w:cs="Tahoma"/>
                <w:b/>
                <w:bCs/>
                <w:color w:val="0D0D0D" w:themeColor="text1" w:themeTint="F2"/>
                <w:spacing w:val="-10"/>
                <w:sz w:val="36"/>
                <w:szCs w:val="36"/>
                <w:rtl/>
              </w:rPr>
            </w:pPr>
          </w:p>
        </w:tc>
        <w:tc>
          <w:tcPr>
            <w:tcW w:w="1038" w:type="pct"/>
            <w:tcBorders>
              <w:bottom w:val="single" w:sz="12" w:space="0" w:color="000000" w:themeColor="text1"/>
            </w:tcBorders>
            <w:vAlign w:val="bottom"/>
          </w:tcPr>
          <w:p w:rsidR="003463B5" w:rsidRPr="003463B5" w:rsidP="003463B5" w14:paraId="48896DF7" w14:textId="348864A7">
            <w:pPr>
              <w:pStyle w:val="2021"/>
              <w:spacing w:after="60"/>
              <w:rPr>
                <w:spacing w:val="-10"/>
                <w:rtl/>
              </w:rPr>
            </w:pPr>
            <w:r w:rsidRPr="003463B5">
              <w:rPr>
                <w:rFonts w:hint="cs"/>
                <w:spacing w:val="-10"/>
                <w:sz w:val="26"/>
                <w:szCs w:val="26"/>
                <w:rtl/>
              </w:rPr>
              <w:t>רק כ-</w:t>
            </w:r>
            <w:r w:rsidRPr="003463B5">
              <w:rPr>
                <w:rFonts w:hint="cs"/>
                <w:spacing w:val="-10"/>
                <w:rtl/>
              </w:rPr>
              <w:t>20</w:t>
            </w:r>
            <w:r w:rsidRPr="003463B5">
              <w:rPr>
                <w:rFonts w:hint="cs"/>
                <w:spacing w:val="-10"/>
                <w:sz w:val="28"/>
                <w:szCs w:val="28"/>
                <w:rtl/>
              </w:rPr>
              <w:t xml:space="preserve"> </w:t>
            </w:r>
            <w:r w:rsidRPr="003463B5">
              <w:rPr>
                <w:spacing w:val="-10"/>
                <w:sz w:val="26"/>
                <w:szCs w:val="26"/>
                <w:rtl/>
              </w:rPr>
              <w:br/>
            </w:r>
            <w:r w:rsidRPr="003463B5">
              <w:rPr>
                <w:rFonts w:hint="cs"/>
                <w:spacing w:val="-10"/>
                <w:sz w:val="26"/>
                <w:szCs w:val="26"/>
                <w:rtl/>
              </w:rPr>
              <w:t>תיקי חקירה</w:t>
            </w:r>
          </w:p>
        </w:tc>
        <w:tc>
          <w:tcPr>
            <w:tcW w:w="188" w:type="pct"/>
            <w:vAlign w:val="bottom"/>
          </w:tcPr>
          <w:p w:rsidR="003463B5" w:rsidRPr="003463B5" w:rsidP="003463B5" w14:paraId="5B4C8A80" w14:textId="77777777">
            <w:pPr>
              <w:spacing w:before="120" w:after="120" w:line="240" w:lineRule="auto"/>
              <w:jc w:val="left"/>
              <w:rPr>
                <w:b/>
                <w:bCs/>
                <w:rtl/>
              </w:rPr>
            </w:pPr>
          </w:p>
        </w:tc>
        <w:tc>
          <w:tcPr>
            <w:tcW w:w="1151" w:type="pct"/>
            <w:tcBorders>
              <w:bottom w:val="single" w:sz="12" w:space="0" w:color="000000" w:themeColor="text1"/>
            </w:tcBorders>
            <w:vAlign w:val="bottom"/>
          </w:tcPr>
          <w:p w:rsidR="003463B5" w:rsidRPr="003463B5" w:rsidP="003463B5" w14:paraId="249A0A90" w14:textId="77777777">
            <w:pPr>
              <w:spacing w:after="60" w:line="240" w:lineRule="auto"/>
              <w:jc w:val="left"/>
              <w:rPr>
                <w:rFonts w:ascii="Tahoma" w:hAnsi="Tahoma" w:cs="Tahoma"/>
                <w:b/>
                <w:bCs/>
                <w:spacing w:val="-10"/>
                <w:sz w:val="28"/>
                <w:szCs w:val="28"/>
                <w:rtl/>
              </w:rPr>
            </w:pPr>
            <w:r w:rsidRPr="003463B5">
              <w:rPr>
                <w:rFonts w:ascii="Tahoma" w:hAnsi="Tahoma" w:cs="Tahoma" w:hint="eastAsia"/>
                <w:b/>
                <w:bCs/>
                <w:spacing w:val="-10"/>
                <w:sz w:val="26"/>
                <w:szCs w:val="26"/>
                <w:rtl/>
              </w:rPr>
              <w:t>רק</w:t>
            </w:r>
            <w:r w:rsidRPr="003463B5">
              <w:rPr>
                <w:rFonts w:ascii="Tahoma" w:hAnsi="Tahoma" w:cs="Tahoma" w:hint="cs"/>
                <w:b/>
                <w:bCs/>
                <w:spacing w:val="-10"/>
                <w:sz w:val="26"/>
                <w:szCs w:val="26"/>
                <w:rtl/>
              </w:rPr>
              <w:t xml:space="preserve"> כ-</w:t>
            </w:r>
            <w:r w:rsidRPr="003463B5">
              <w:rPr>
                <w:rFonts w:ascii="Tahoma" w:hAnsi="Tahoma" w:cs="Tahoma" w:hint="cs"/>
                <w:b/>
                <w:bCs/>
                <w:spacing w:val="-10"/>
                <w:sz w:val="36"/>
                <w:szCs w:val="36"/>
                <w:rtl/>
              </w:rPr>
              <w:t>850</w:t>
            </w:r>
            <w:r w:rsidRPr="003463B5">
              <w:rPr>
                <w:rFonts w:ascii="Tahoma" w:hAnsi="Tahoma" w:cs="Tahoma" w:hint="cs"/>
                <w:b/>
                <w:bCs/>
                <w:spacing w:val="-10"/>
                <w:sz w:val="28"/>
                <w:szCs w:val="28"/>
                <w:rtl/>
              </w:rPr>
              <w:t xml:space="preserve"> </w:t>
            </w:r>
          </w:p>
          <w:p w:rsidR="003463B5" w:rsidRPr="003463B5" w:rsidP="003463B5" w14:paraId="226A2E50" w14:textId="449405A9">
            <w:pPr>
              <w:spacing w:after="60" w:line="192" w:lineRule="auto"/>
              <w:jc w:val="left"/>
              <w:rPr>
                <w:rFonts w:ascii="Tahoma" w:hAnsi="Tahoma" w:eastAsiaTheme="minorEastAsia" w:cs="Tahoma"/>
                <w:b/>
                <w:bCs/>
                <w:color w:val="0D0D0D" w:themeColor="text1" w:themeTint="F2"/>
                <w:spacing w:val="-10"/>
                <w:sz w:val="36"/>
                <w:szCs w:val="36"/>
                <w:rtl/>
              </w:rPr>
            </w:pPr>
            <w:r w:rsidRPr="003463B5">
              <w:rPr>
                <w:rFonts w:ascii="Tahoma" w:hAnsi="Tahoma" w:cs="Tahoma" w:hint="cs"/>
                <w:b/>
                <w:bCs/>
                <w:spacing w:val="-10"/>
                <w:sz w:val="26"/>
                <w:szCs w:val="26"/>
                <w:rtl/>
              </w:rPr>
              <w:t xml:space="preserve">חייבים </w:t>
            </w:r>
          </w:p>
        </w:tc>
        <w:tc>
          <w:tcPr>
            <w:tcW w:w="188" w:type="pct"/>
            <w:vAlign w:val="bottom"/>
          </w:tcPr>
          <w:p w:rsidR="003463B5" w:rsidRPr="003463B5" w:rsidP="003463B5" w14:paraId="5E7F766C" w14:textId="77777777">
            <w:pPr>
              <w:spacing w:after="60" w:line="240" w:lineRule="auto"/>
              <w:jc w:val="left"/>
              <w:rPr>
                <w:rFonts w:ascii="Tahoma" w:hAnsi="Tahoma" w:eastAsiaTheme="minorEastAsia" w:cs="Tahoma"/>
                <w:b/>
                <w:bCs/>
                <w:color w:val="0D0D0D" w:themeColor="text1" w:themeTint="F2"/>
                <w:spacing w:val="-10"/>
                <w:sz w:val="36"/>
                <w:szCs w:val="36"/>
                <w:rtl/>
              </w:rPr>
            </w:pPr>
          </w:p>
        </w:tc>
        <w:tc>
          <w:tcPr>
            <w:tcW w:w="1084" w:type="pct"/>
            <w:tcBorders>
              <w:bottom w:val="single" w:sz="12" w:space="0" w:color="000000" w:themeColor="text1"/>
            </w:tcBorders>
            <w:vAlign w:val="bottom"/>
          </w:tcPr>
          <w:p w:rsidR="003463B5" w:rsidRPr="003463B5" w:rsidP="003463B5" w14:paraId="5AEEF263" w14:textId="7F991DCC">
            <w:pPr>
              <w:spacing w:after="60" w:line="240" w:lineRule="auto"/>
              <w:jc w:val="left"/>
              <w:rPr>
                <w:rFonts w:ascii="Tahoma" w:hAnsi="Tahoma" w:eastAsiaTheme="minorEastAsia" w:cs="Tahoma"/>
                <w:b/>
                <w:bCs/>
                <w:color w:val="0D0D0D" w:themeColor="text1" w:themeTint="F2"/>
                <w:spacing w:val="-10"/>
                <w:sz w:val="36"/>
                <w:szCs w:val="36"/>
                <w:rtl/>
              </w:rPr>
            </w:pPr>
            <w:r w:rsidRPr="003463B5">
              <w:rPr>
                <w:rFonts w:ascii="Tahoma" w:hAnsi="Tahoma" w:cs="Tahoma" w:hint="cs"/>
                <w:b/>
                <w:bCs/>
                <w:spacing w:val="-10"/>
                <w:sz w:val="36"/>
                <w:szCs w:val="36"/>
                <w:rtl/>
              </w:rPr>
              <w:t>8</w:t>
            </w:r>
          </w:p>
        </w:tc>
      </w:tr>
      <w:tr w14:paraId="54154FA5" w14:textId="77777777" w:rsidTr="003463B5">
        <w:tblPrEx>
          <w:tblW w:w="5000" w:type="pct"/>
          <w:tblLook w:val="04A0"/>
        </w:tblPrEx>
        <w:tc>
          <w:tcPr>
            <w:tcW w:w="1163" w:type="pct"/>
            <w:tcBorders>
              <w:top w:val="single" w:sz="12" w:space="0" w:color="000000" w:themeColor="text1"/>
            </w:tcBorders>
          </w:tcPr>
          <w:p w:rsidR="003463B5" w:rsidRPr="004562F8" w:rsidP="003463B5" w14:paraId="6DB67748" w14:textId="08E0184E">
            <w:pPr>
              <w:pStyle w:val="732021"/>
              <w:spacing w:before="0" w:after="0" w:line="240" w:lineRule="auto"/>
              <w:rPr>
                <w:rtl/>
              </w:rPr>
            </w:pPr>
            <w:r w:rsidRPr="003463B5">
              <w:rPr>
                <w:rFonts w:hint="cs"/>
                <w:rtl/>
              </w:rPr>
              <w:t>בתלונות על נאמנים בשנת 2021 (3,496 תלונות) לעומת שנת 2020 (2,148 תלונות)</w:t>
            </w:r>
          </w:p>
        </w:tc>
        <w:tc>
          <w:tcPr>
            <w:tcW w:w="188" w:type="pct"/>
          </w:tcPr>
          <w:p w:rsidR="003463B5" w:rsidRPr="008D750B" w:rsidP="003463B5" w14:paraId="0C0AE598" w14:textId="77777777">
            <w:pPr>
              <w:pStyle w:val="732021"/>
              <w:spacing w:before="0" w:after="0" w:line="240" w:lineRule="auto"/>
              <w:rPr>
                <w:rtl/>
              </w:rPr>
            </w:pPr>
          </w:p>
        </w:tc>
        <w:tc>
          <w:tcPr>
            <w:tcW w:w="1038" w:type="pct"/>
            <w:tcBorders>
              <w:top w:val="single" w:sz="12" w:space="0" w:color="000000" w:themeColor="text1"/>
            </w:tcBorders>
          </w:tcPr>
          <w:p w:rsidR="003463B5" w:rsidRPr="004562F8" w:rsidP="003463B5" w14:paraId="1916A301" w14:textId="0F7AB106">
            <w:pPr>
              <w:pStyle w:val="732021"/>
              <w:spacing w:before="0" w:after="0" w:line="240" w:lineRule="auto"/>
              <w:rPr>
                <w:rtl/>
              </w:rPr>
            </w:pPr>
            <w:r w:rsidRPr="003463B5">
              <w:rPr>
                <w:rFonts w:hint="cs"/>
                <w:rtl/>
              </w:rPr>
              <w:t xml:space="preserve">מטופלים </w:t>
            </w:r>
            <w:r w:rsidRPr="003463B5">
              <w:rPr>
                <w:rFonts w:hint="eastAsia"/>
                <w:rtl/>
              </w:rPr>
              <w:t>על</w:t>
            </w:r>
            <w:r w:rsidRPr="003463B5">
              <w:rPr>
                <w:rtl/>
              </w:rPr>
              <w:t xml:space="preserve"> </w:t>
            </w:r>
            <w:r w:rsidRPr="003463B5">
              <w:rPr>
                <w:rFonts w:hint="eastAsia"/>
                <w:rtl/>
              </w:rPr>
              <w:t>ידי</w:t>
            </w:r>
            <w:r w:rsidRPr="003463B5">
              <w:rPr>
                <w:rFonts w:hint="cs"/>
                <w:rtl/>
              </w:rPr>
              <w:t xml:space="preserve"> יחידת החקירות מדי שנה, אף שלהערכת הממונה </w:t>
            </w:r>
            <w:r w:rsidRPr="003463B5">
              <w:rPr>
                <w:rFonts w:hint="eastAsia"/>
                <w:rtl/>
              </w:rPr>
              <w:t>מתבצעות</w:t>
            </w:r>
            <w:r w:rsidRPr="003463B5">
              <w:rPr>
                <w:rtl/>
              </w:rPr>
              <w:t xml:space="preserve"> </w:t>
            </w:r>
            <w:r w:rsidRPr="003463B5">
              <w:rPr>
                <w:rFonts w:hint="cs"/>
                <w:rtl/>
              </w:rPr>
              <w:t>עבירות ב</w:t>
            </w:r>
            <w:r w:rsidRPr="003463B5">
              <w:rPr>
                <w:rFonts w:hint="eastAsia"/>
                <w:rtl/>
              </w:rPr>
              <w:t>יותר</w:t>
            </w:r>
            <w:r w:rsidRPr="003463B5">
              <w:rPr>
                <w:rtl/>
              </w:rPr>
              <w:t xml:space="preserve"> </w:t>
            </w:r>
            <w:r w:rsidR="008528AD">
              <w:rPr>
                <w:rtl/>
              </w:rPr>
              <w:br/>
            </w:r>
            <w:r w:rsidRPr="003463B5">
              <w:rPr>
                <w:rFonts w:hint="eastAsia"/>
                <w:rtl/>
              </w:rPr>
              <w:t>מ</w:t>
            </w:r>
            <w:r w:rsidRPr="003463B5">
              <w:rPr>
                <w:rtl/>
              </w:rPr>
              <w:t>-2,000</w:t>
            </w:r>
            <w:r w:rsidRPr="003463B5">
              <w:rPr>
                <w:rFonts w:hint="cs"/>
                <w:rtl/>
              </w:rPr>
              <w:t xml:space="preserve"> הליכי חדלות פירעון בשנה </w:t>
            </w:r>
          </w:p>
        </w:tc>
        <w:tc>
          <w:tcPr>
            <w:tcW w:w="188" w:type="pct"/>
          </w:tcPr>
          <w:p w:rsidR="003463B5" w:rsidP="003463B5" w14:paraId="14782C57" w14:textId="77777777">
            <w:pPr>
              <w:pStyle w:val="732021"/>
              <w:spacing w:before="0" w:after="0" w:line="240" w:lineRule="auto"/>
              <w:rPr>
                <w:rtl/>
              </w:rPr>
            </w:pPr>
          </w:p>
        </w:tc>
        <w:tc>
          <w:tcPr>
            <w:tcW w:w="1151" w:type="pct"/>
            <w:tcBorders>
              <w:top w:val="single" w:sz="12" w:space="0" w:color="000000" w:themeColor="text1"/>
            </w:tcBorders>
          </w:tcPr>
          <w:p w:rsidR="003463B5" w:rsidRPr="0062456C" w:rsidP="003463B5" w14:paraId="6149CA50" w14:textId="3FF0DFA4">
            <w:pPr>
              <w:pStyle w:val="732021"/>
              <w:spacing w:before="0" w:after="0" w:line="240" w:lineRule="auto"/>
              <w:rPr>
                <w:rtl/>
              </w:rPr>
            </w:pPr>
            <w:r w:rsidRPr="003463B5">
              <w:rPr>
                <w:rFonts w:hint="cs"/>
                <w:rtl/>
              </w:rPr>
              <w:t xml:space="preserve">מתוך אומדן של </w:t>
            </w:r>
            <w:r w:rsidR="008528AD">
              <w:rPr>
                <w:rtl/>
              </w:rPr>
              <w:br/>
            </w:r>
            <w:r w:rsidRPr="003463B5">
              <w:rPr>
                <w:rFonts w:hint="cs"/>
                <w:rtl/>
              </w:rPr>
              <w:t xml:space="preserve">כ-37,500 חייבים שהצורך בהכשרה כלכלית רלוונטי בעניינם השלימו תוכנית הכשרה להתנהלות כלכלית נכונה עד יוני 2023 </w:t>
            </w:r>
            <w:r w:rsidR="008528AD">
              <w:rPr>
                <w:rFonts w:hint="cs"/>
                <w:rtl/>
              </w:rPr>
              <w:t>-</w:t>
            </w:r>
            <w:r w:rsidRPr="003463B5">
              <w:rPr>
                <w:rFonts w:hint="cs"/>
                <w:rtl/>
              </w:rPr>
              <w:t xml:space="preserve"> על פי ההערכה הם מהווים פחות </w:t>
            </w:r>
            <w:r w:rsidRPr="003463B5">
              <w:rPr>
                <w:rFonts w:hint="eastAsia"/>
                <w:rtl/>
              </w:rPr>
              <w:t>מ</w:t>
            </w:r>
            <w:r w:rsidRPr="003463B5">
              <w:rPr>
                <w:rtl/>
              </w:rPr>
              <w:t>-3%</w:t>
            </w:r>
            <w:r w:rsidRPr="003463B5">
              <w:rPr>
                <w:rFonts w:hint="cs"/>
                <w:rtl/>
              </w:rPr>
              <w:t xml:space="preserve"> מכלל אלפי החייבים אשר ההכשרה רלוונטית בעניינם</w:t>
            </w:r>
          </w:p>
        </w:tc>
        <w:tc>
          <w:tcPr>
            <w:tcW w:w="188" w:type="pct"/>
          </w:tcPr>
          <w:p w:rsidR="003463B5" w:rsidRPr="00C92141" w:rsidP="003463B5" w14:paraId="66E34E8E" w14:textId="77777777">
            <w:pPr>
              <w:pStyle w:val="732021"/>
              <w:spacing w:before="0" w:after="0" w:line="240" w:lineRule="auto"/>
              <w:rPr>
                <w:rtl/>
              </w:rPr>
            </w:pPr>
          </w:p>
        </w:tc>
        <w:tc>
          <w:tcPr>
            <w:tcW w:w="1084" w:type="pct"/>
            <w:tcBorders>
              <w:top w:val="single" w:sz="12" w:space="0" w:color="000000" w:themeColor="text1"/>
            </w:tcBorders>
          </w:tcPr>
          <w:p w:rsidR="003463B5" w:rsidRPr="003463B5" w:rsidP="003463B5" w14:paraId="3435B4A0" w14:textId="77777777">
            <w:pPr>
              <w:spacing w:line="240" w:lineRule="auto"/>
              <w:ind w:right="23"/>
              <w:jc w:val="left"/>
              <w:rPr>
                <w:rFonts w:ascii="Tahoma" w:hAnsi="Tahoma" w:eastAsiaTheme="minorEastAsia" w:cs="Tahoma"/>
                <w:color w:val="0D0D0D" w:themeColor="text1" w:themeTint="F2"/>
                <w:w w:val="90"/>
                <w:sz w:val="18"/>
                <w:szCs w:val="18"/>
                <w:rtl/>
              </w:rPr>
            </w:pPr>
            <w:r w:rsidRPr="003463B5">
              <w:rPr>
                <w:rFonts w:ascii="Tahoma" w:hAnsi="Tahoma" w:eastAsiaTheme="minorEastAsia" w:cs="Tahoma" w:hint="cs"/>
                <w:color w:val="0D0D0D" w:themeColor="text1" w:themeTint="F2"/>
                <w:w w:val="90"/>
                <w:sz w:val="18"/>
                <w:szCs w:val="18"/>
                <w:rtl/>
              </w:rPr>
              <w:t xml:space="preserve">מספר מאגרי המידע המצויים במערכות מחשוב נפרדות שאינן מסונכרנות </w:t>
            </w:r>
            <w:r w:rsidRPr="003463B5">
              <w:rPr>
                <w:rFonts w:ascii="Tahoma" w:hAnsi="Tahoma" w:eastAsiaTheme="minorEastAsia" w:cs="Tahoma" w:hint="eastAsia"/>
                <w:color w:val="0D0D0D" w:themeColor="text1" w:themeTint="F2"/>
                <w:w w:val="90"/>
                <w:sz w:val="18"/>
                <w:szCs w:val="18"/>
                <w:rtl/>
              </w:rPr>
              <w:t>זו</w:t>
            </w:r>
            <w:r w:rsidRPr="003463B5">
              <w:rPr>
                <w:rFonts w:ascii="Tahoma" w:hAnsi="Tahoma" w:eastAsiaTheme="minorEastAsia" w:cs="Tahoma"/>
                <w:color w:val="0D0D0D" w:themeColor="text1" w:themeTint="F2"/>
                <w:w w:val="90"/>
                <w:sz w:val="18"/>
                <w:szCs w:val="18"/>
                <w:rtl/>
              </w:rPr>
              <w:t xml:space="preserve"> </w:t>
            </w:r>
            <w:r w:rsidRPr="003463B5">
              <w:rPr>
                <w:rFonts w:ascii="Tahoma" w:hAnsi="Tahoma" w:eastAsiaTheme="minorEastAsia" w:cs="Tahoma" w:hint="eastAsia"/>
                <w:color w:val="0D0D0D" w:themeColor="text1" w:themeTint="F2"/>
                <w:w w:val="90"/>
                <w:sz w:val="18"/>
                <w:szCs w:val="18"/>
                <w:rtl/>
              </w:rPr>
              <w:t>עם</w:t>
            </w:r>
            <w:r w:rsidRPr="003463B5">
              <w:rPr>
                <w:rFonts w:ascii="Tahoma" w:hAnsi="Tahoma" w:eastAsiaTheme="minorEastAsia" w:cs="Tahoma"/>
                <w:color w:val="0D0D0D" w:themeColor="text1" w:themeTint="F2"/>
                <w:w w:val="90"/>
                <w:sz w:val="18"/>
                <w:szCs w:val="18"/>
                <w:rtl/>
              </w:rPr>
              <w:t xml:space="preserve"> </w:t>
            </w:r>
            <w:r w:rsidRPr="003463B5">
              <w:rPr>
                <w:rFonts w:ascii="Tahoma" w:hAnsi="Tahoma" w:eastAsiaTheme="minorEastAsia" w:cs="Tahoma" w:hint="eastAsia"/>
                <w:color w:val="0D0D0D" w:themeColor="text1" w:themeTint="F2"/>
                <w:w w:val="90"/>
                <w:sz w:val="18"/>
                <w:szCs w:val="18"/>
                <w:rtl/>
              </w:rPr>
              <w:t>זו</w:t>
            </w:r>
            <w:r w:rsidRPr="003463B5">
              <w:rPr>
                <w:rFonts w:ascii="Tahoma" w:hAnsi="Tahoma" w:eastAsiaTheme="minorEastAsia" w:cs="Tahoma" w:hint="cs"/>
                <w:color w:val="0D0D0D" w:themeColor="text1" w:themeTint="F2"/>
                <w:w w:val="90"/>
                <w:sz w:val="18"/>
                <w:szCs w:val="18"/>
                <w:rtl/>
              </w:rPr>
              <w:t>, המשמשות את הממונה</w:t>
            </w:r>
          </w:p>
          <w:p w:rsidR="003463B5" w:rsidRPr="00C92141" w:rsidP="003463B5" w14:paraId="39498237" w14:textId="78AA3164">
            <w:pPr>
              <w:pStyle w:val="732021"/>
              <w:spacing w:before="0" w:after="0" w:line="240" w:lineRule="auto"/>
              <w:rPr>
                <w:rtl/>
              </w:rPr>
            </w:pP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EB672B" w:rsidP="00EB672B" w14:paraId="21608E70" w14:textId="1A0D9396">
      <w:pPr>
        <w:pStyle w:val="7317"/>
        <w:rPr>
          <w:rtl/>
        </w:rPr>
      </w:pPr>
      <w:r w:rsidRPr="001F3363">
        <w:rPr>
          <w:noProof/>
        </w:rPr>
        <w:drawing>
          <wp:anchor distT="0" distB="0" distL="71755" distR="71755" simplePos="0" relativeHeight="251680768"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2803" w:rsidR="003463B5">
        <w:rPr>
          <w:rFonts w:hint="cs"/>
          <w:noProof/>
          <w:rtl/>
        </w:rPr>
        <w:t>בחודשים ינואר עד יוני 2023 בדק משרד מבקר המדינה את טיפול משרד המשפטים בהליכי חדלות פירעון ושיקום כלכלי</w:t>
      </w:r>
      <w:r>
        <w:rPr>
          <w:noProof/>
          <w:vertAlign w:val="superscript"/>
          <w:rtl/>
        </w:rPr>
        <w:footnoteReference w:id="3"/>
      </w:r>
      <w:r w:rsidRPr="007B2803" w:rsidR="003463B5">
        <w:rPr>
          <w:rFonts w:hint="cs"/>
          <w:noProof/>
          <w:rtl/>
        </w:rPr>
        <w:t>. הבדיקה התמקדה, בין היתר, בנושאים אלו: קביעת תשלום חודשי לחייבים; הכשרות בתחום השיקום הכלכלי; הנחיית נאמנים ופיקוח עליהם; פעילות אכיפה; מערכות מחשוב; ניתוח נתונים ומחקר; חלוקת סמכויות הטיפול בהליכי חדלות פירעון; התקשרות עם גורמים חיצוניים (נציגים) לצורך ביצוע תפקידי הממונה; ופיצול אגף האפוטרופוס הכללי, הרשם לענייני ירושה והממונה על הליכי חדלות פירעון לשני מכלולים נפרדים. הביקורת נעשתה באגף הממונה על הליכי חדלות פירעון שבמשרד המשפטים: ביחידות המטה ובמחוזות הממונה. בדיקות השלמה בוצעו ביחידות נוספות במשרד המשפטים; ברשות האכיפה והגבייה; ובאגף התקציבים שבמשרד האוצר. כמו כן התקיימו פגישות עם גורמים שכיהנו בעבר כמנהלים בכירים בממונה; עם עורכי דין העוסקים בתחום חדלות הפירעון במגזר הפרטי ובלשכת עורכי הדין; עם אנשי אקדמיה העוסקים במחקר בתחום חדלות הפירעון; ועם גורמים מקרב המגזר השלישי</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07F07ECE">
      <w:pPr>
        <w:pStyle w:val="7317"/>
        <w:rPr>
          <w:rtl/>
        </w:rPr>
      </w:pPr>
      <w:r w:rsidRPr="00310D80">
        <w:rPr>
          <w:rStyle w:val="7391"/>
          <w:rFonts w:hint="cs"/>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10D80" w:rsidR="003463B5">
        <w:rPr>
          <w:rStyle w:val="7391"/>
          <w:rFonts w:hint="cs"/>
          <w:rtl/>
        </w:rPr>
        <w:t>קביעת תשלום חודשי לחייבים -</w:t>
      </w:r>
      <w:r w:rsidRPr="003A161A" w:rsidR="003463B5">
        <w:rPr>
          <w:rtl/>
        </w:rPr>
        <w:t xml:space="preserve"> </w:t>
      </w:r>
      <w:r w:rsidRPr="007B2803" w:rsidR="003463B5">
        <w:rPr>
          <w:rtl/>
        </w:rPr>
        <w:t>נכון למועד הביקורת, ספטמבר 2023, שר המשפטים לא התקין תקנות</w:t>
      </w:r>
      <w:r w:rsidRPr="007B2803" w:rsidR="003463B5">
        <w:rPr>
          <w:rFonts w:hint="cs"/>
          <w:rtl/>
        </w:rPr>
        <w:t xml:space="preserve"> דמי מחיה, וזאת בניגוד להוראות חוק </w:t>
      </w:r>
      <w:r w:rsidRPr="007B2803" w:rsidR="003463B5">
        <w:rPr>
          <w:rFonts w:hint="cs"/>
          <w:rtl/>
        </w:rPr>
        <w:t>חדל"פ</w:t>
      </w:r>
      <w:r w:rsidRPr="007B2803" w:rsidR="003463B5">
        <w:rPr>
          <w:rtl/>
        </w:rPr>
        <w:t xml:space="preserve">. קביעת </w:t>
      </w:r>
      <w:r w:rsidRPr="007B2803" w:rsidR="003463B5">
        <w:rPr>
          <w:rFonts w:hint="cs"/>
          <w:rtl/>
        </w:rPr>
        <w:t>תקנות</w:t>
      </w:r>
      <w:r w:rsidRPr="007B2803" w:rsidR="003463B5">
        <w:rPr>
          <w:rtl/>
        </w:rPr>
        <w:t xml:space="preserve"> לחישוב זה נדרש</w:t>
      </w:r>
      <w:r w:rsidRPr="007B2803" w:rsidR="003463B5">
        <w:rPr>
          <w:rFonts w:hint="cs"/>
          <w:rtl/>
        </w:rPr>
        <w:t>ת</w:t>
      </w:r>
      <w:r w:rsidRPr="007B2803" w:rsidR="003463B5">
        <w:rPr>
          <w:rtl/>
        </w:rPr>
        <w:t xml:space="preserve"> כדי שהם ישמשו בסיס לקביעת סכום התשלום החודשי שיהיה על החייב לשלם במסגרת הליך חדלות הפירעון</w:t>
      </w:r>
      <w:r w:rsidRPr="00AF3B73">
        <w:rPr>
          <w:rtl/>
        </w:rPr>
        <w:t>.</w:t>
      </w:r>
    </w:p>
    <w:p w:rsidR="00EB672B" w:rsidRPr="00AF3B73" w:rsidP="00EB672B" w14:paraId="61697365" w14:textId="4B296A68">
      <w:pPr>
        <w:pStyle w:val="7317"/>
      </w:pPr>
      <w:r w:rsidRPr="00310D80">
        <w:rPr>
          <w:rStyle w:val="7391"/>
          <w:rFonts w:hint="cs"/>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10D80" w:rsidR="003463B5">
        <w:rPr>
          <w:rStyle w:val="7391"/>
          <w:rFonts w:hint="cs"/>
          <w:rtl/>
        </w:rPr>
        <w:t>העברת מידע על אופן חישוב סכום התשלום החודשי -</w:t>
      </w:r>
      <w:r w:rsidRPr="007B2803" w:rsidR="003463B5">
        <w:rPr>
          <w:rFonts w:hint="cs"/>
          <w:rtl/>
        </w:rPr>
        <w:t xml:space="preserve"> </w:t>
      </w:r>
      <w:r w:rsidRPr="007B2803" w:rsidR="003463B5">
        <w:rPr>
          <w:rtl/>
        </w:rPr>
        <w:t>הממונה אינו מוסר לחייבים את המידע שעל בסיסו נקבע סכום התשלום העיתי בתקופת הביניים, ובכלל זה אינו מוסר להם את הנתונים שהובאו בחשבון ואת אופן החישוב של סכום התשלום העיתי</w:t>
      </w:r>
      <w:r w:rsidRPr="00AF3B73">
        <w:rPr>
          <w:rFonts w:hint="cs"/>
          <w:rtl/>
        </w:rPr>
        <w:t xml:space="preserve">. </w:t>
      </w:r>
    </w:p>
    <w:p w:rsidR="00EB672B" w:rsidRPr="00AF3B73" w:rsidP="00EB672B" w14:paraId="257CE09B" w14:textId="224458B7">
      <w:pPr>
        <w:pStyle w:val="7317"/>
        <w:rPr>
          <w:rtl/>
        </w:rPr>
      </w:pPr>
      <w:r w:rsidRPr="00310D80">
        <w:rPr>
          <w:rStyle w:val="7391"/>
          <w:rFonts w:hint="cs"/>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10D80" w:rsidR="003463B5">
        <w:rPr>
          <w:rStyle w:val="7391"/>
          <w:rFonts w:hint="cs"/>
          <w:rtl/>
        </w:rPr>
        <w:t>בקרה ופיקוח על נאמנים -</w:t>
      </w:r>
      <w:r w:rsidRPr="007B2803" w:rsidR="003463B5">
        <w:rPr>
          <w:rFonts w:hint="cs"/>
          <w:rtl/>
        </w:rPr>
        <w:t xml:space="preserve"> </w:t>
      </w:r>
      <w:r w:rsidRPr="007B2803" w:rsidR="003463B5">
        <w:rPr>
          <w:rtl/>
        </w:rPr>
        <w:t xml:space="preserve">היחידה לפיקוח על נאמנים בממונה על הליכי חדלות פירעון, שהוקמה לצורך מימוש אחריותו של הממונה בחוק לשמירת התקינות, ההוגנות והיעילות של הליכי חדלות פירעון, אינה מבצעת בקרות יזומות וחקירות עומק </w:t>
      </w:r>
      <w:r w:rsidRPr="007B2803" w:rsidR="003463B5">
        <w:rPr>
          <w:rFonts w:hint="eastAsia"/>
          <w:rtl/>
        </w:rPr>
        <w:t>בנושא</w:t>
      </w:r>
      <w:r w:rsidRPr="007B2803" w:rsidR="003463B5">
        <w:rPr>
          <w:rtl/>
        </w:rPr>
        <w:t xml:space="preserve"> התנהלותם של כ-450 הנאמנים שבאחריותה</w:t>
      </w:r>
      <w:r w:rsidRPr="00E64BDD" w:rsidR="003463B5">
        <w:rPr>
          <w:rtl/>
        </w:rPr>
        <w:t xml:space="preserve"> </w:t>
      </w:r>
      <w:r w:rsidRPr="007B2803" w:rsidR="003463B5">
        <w:rPr>
          <w:rFonts w:hint="cs"/>
          <w:rtl/>
        </w:rPr>
        <w:t xml:space="preserve">המטפלים </w:t>
      </w:r>
      <w:r w:rsidRPr="007B2803" w:rsidR="003463B5">
        <w:rPr>
          <w:rtl/>
        </w:rPr>
        <w:t>בכ-20,000 תיקים בשנה, ובכלל זה על התנהלותם מול החייבים ומול בתי המשפט</w:t>
      </w:r>
      <w:r w:rsidRPr="007B2803" w:rsidR="003463B5">
        <w:rPr>
          <w:rFonts w:hint="cs"/>
          <w:rtl/>
        </w:rPr>
        <w:t>,</w:t>
      </w:r>
      <w:r w:rsidRPr="007B2803" w:rsidR="003463B5">
        <w:rPr>
          <w:rtl/>
        </w:rPr>
        <w:t xml:space="preserve"> על איכות עבודתם</w:t>
      </w:r>
      <w:r w:rsidRPr="007B2803" w:rsidR="003463B5">
        <w:rPr>
          <w:rFonts w:hint="cs"/>
          <w:rtl/>
        </w:rPr>
        <w:t>, על אופן חלוקת הכספים לנושים ועל היקף שכר הטרחה שמשולם לנאמנים</w:t>
      </w:r>
      <w:r w:rsidRPr="007B2803" w:rsidR="003463B5">
        <w:rPr>
          <w:rtl/>
        </w:rPr>
        <w:t>,</w:t>
      </w:r>
      <w:r w:rsidRPr="007B2803" w:rsidR="003463B5">
        <w:rPr>
          <w:rFonts w:hint="cs"/>
          <w:rtl/>
        </w:rPr>
        <w:t xml:space="preserve"> לעיתים מתוך חשבון הנאמנות של הנאמן</w:t>
      </w:r>
      <w:r w:rsidRPr="007B2803" w:rsidR="003463B5">
        <w:rPr>
          <w:rtl/>
        </w:rPr>
        <w:t xml:space="preserve">; </w:t>
      </w:r>
      <w:r w:rsidRPr="007B2803" w:rsidR="003463B5">
        <w:rPr>
          <w:rFonts w:hint="cs"/>
          <w:rtl/>
        </w:rPr>
        <w:t>בהעדר בקרות וחקירות גם</w:t>
      </w:r>
      <w:r w:rsidRPr="007B2803" w:rsidR="003463B5">
        <w:rPr>
          <w:rtl/>
        </w:rPr>
        <w:t xml:space="preserve"> לא ננקטו סנקציות כלפי נאמנים שלא מילאו את תפקידם כראוי. בכל </w:t>
      </w:r>
      <w:r w:rsidRPr="007B2803" w:rsidR="003463B5">
        <w:rPr>
          <w:rtl/>
        </w:rPr>
        <w:t>הנוגע להתנהלות הנאמנים, היחידה מתמקדת בביצוע בקרות טכניות, כגון נוכחות פיזית של נאמן בהליכים משפטיים ועצם הגשת דוחות</w:t>
      </w:r>
      <w:r w:rsidRPr="00AF3B73">
        <w:rPr>
          <w:rFonts w:hint="cs"/>
          <w:rtl/>
        </w:rPr>
        <w:t>.</w:t>
      </w:r>
    </w:p>
    <w:p w:rsidR="00EB672B" w:rsidRPr="00AF3B73" w:rsidP="00EB672B" w14:paraId="42C157E6" w14:textId="5C5E0098">
      <w:pPr>
        <w:pStyle w:val="7317"/>
      </w:pPr>
      <w:r w:rsidRPr="00310D80">
        <w:rPr>
          <w:rStyle w:val="7391"/>
          <w:rFonts w:hint="cs"/>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10D80" w:rsidR="003463B5">
        <w:rPr>
          <w:rStyle w:val="7391"/>
          <w:rFonts w:hint="cs"/>
          <w:rtl/>
        </w:rPr>
        <w:t>הטיפול בתלונות על נאמנים -</w:t>
      </w:r>
      <w:r w:rsidRPr="007B2803" w:rsidR="003463B5">
        <w:rPr>
          <w:rFonts w:hint="cs"/>
          <w:rtl/>
        </w:rPr>
        <w:t xml:space="preserve"> במהלך השנים </w:t>
      </w:r>
      <w:r w:rsidRPr="007B2803" w:rsidR="003463B5">
        <w:rPr>
          <w:rtl/>
        </w:rPr>
        <w:t xml:space="preserve">חל גידול של כ-60% במספר התלונות </w:t>
      </w:r>
      <w:r w:rsidRPr="007B2803" w:rsidR="003463B5">
        <w:rPr>
          <w:rFonts w:hint="cs"/>
          <w:rtl/>
        </w:rPr>
        <w:t xml:space="preserve">על נאמנים </w:t>
      </w:r>
      <w:r w:rsidRPr="007B2803" w:rsidR="003463B5">
        <w:rPr>
          <w:rtl/>
        </w:rPr>
        <w:t xml:space="preserve">שהתקבלו אצל הממונה (2,148 בשנת 2020, 3,496 בשנת 2021). הממונה לא קבע מנגנון מסודר לטיפול בתלונות המתקבלות על נאמנים. בין היתר, הממונה לא קבע לוח זמנים מחייב לשלבי הטיפול בתלונה, קריטריונים לסיווג התלונות, אופן הטיפול בתלונה בהתאם לסיווגה עד לסגירתה, מנגנון מסירת מידע ועדכונים למתלונן ולנאמן או </w:t>
      </w:r>
      <w:r w:rsidRPr="007B2803" w:rsidR="003463B5">
        <w:rPr>
          <w:rtl/>
        </w:rPr>
        <w:t>לנילון</w:t>
      </w:r>
      <w:r w:rsidRPr="007B2803" w:rsidR="003463B5">
        <w:rPr>
          <w:rtl/>
        </w:rPr>
        <w:t>, כללים לעניין ערעור, הסנקציות שיינקטו כלפי נאמנים אשר התלונה בעניינם נמצאה מוצדקת וקריטריונים להפעלתן</w:t>
      </w:r>
      <w:r w:rsidRPr="00AF3B73">
        <w:rPr>
          <w:rFonts w:hint="cs"/>
          <w:rtl/>
        </w:rPr>
        <w:t xml:space="preserve">. </w:t>
      </w:r>
    </w:p>
    <w:p w:rsidR="00EB672B" w:rsidRPr="00AF3B73" w:rsidP="00EB672B" w14:paraId="0E55F83C" w14:textId="7DFE88D4">
      <w:pPr>
        <w:pStyle w:val="7317"/>
      </w:pPr>
      <w:r w:rsidRPr="00310D80">
        <w:rPr>
          <w:rStyle w:val="7391"/>
          <w:rFonts w:hint="cs"/>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10D80" w:rsidR="003463B5">
        <w:rPr>
          <w:rStyle w:val="7391"/>
          <w:rtl/>
        </w:rPr>
        <w:t>מערכת ממוחשבת לטיפול בתלונות</w:t>
      </w:r>
      <w:r w:rsidRPr="00310D80" w:rsidR="003463B5">
        <w:rPr>
          <w:rStyle w:val="7391"/>
          <w:rFonts w:hint="cs"/>
          <w:rtl/>
        </w:rPr>
        <w:t xml:space="preserve"> -</w:t>
      </w:r>
      <w:r w:rsidRPr="007B2803" w:rsidR="003463B5">
        <w:rPr>
          <w:rtl/>
        </w:rPr>
        <w:t xml:space="preserve"> אין בידי הממונה כלים </w:t>
      </w:r>
      <w:r w:rsidRPr="007B2803" w:rsidR="003463B5">
        <w:rPr>
          <w:rtl/>
        </w:rPr>
        <w:t>מחשוביים</w:t>
      </w:r>
      <w:r w:rsidRPr="007B2803" w:rsidR="003463B5">
        <w:rPr>
          <w:rtl/>
        </w:rPr>
        <w:t xml:space="preserve"> מתאימים ויעילים לניהול הטיפול </w:t>
      </w:r>
      <w:r w:rsidRPr="007B2803" w:rsidR="003463B5">
        <w:rPr>
          <w:rFonts w:hint="cs"/>
          <w:rtl/>
        </w:rPr>
        <w:t>ב</w:t>
      </w:r>
      <w:r w:rsidRPr="007B2803" w:rsidR="003463B5">
        <w:rPr>
          <w:rtl/>
        </w:rPr>
        <w:t>תלונות, לבקרה ולמעקב בנושא ולתיעוד הטיפול בתלונות. במצב דברים זה, נכון למועד סיום הביקורת נוהל</w:t>
      </w:r>
      <w:r w:rsidRPr="007B2803" w:rsidR="003463B5">
        <w:rPr>
          <w:rFonts w:hint="cs"/>
          <w:rtl/>
        </w:rPr>
        <w:t>ו</w:t>
      </w:r>
      <w:r w:rsidRPr="007B2803" w:rsidR="003463B5">
        <w:rPr>
          <w:rtl/>
        </w:rPr>
        <w:t xml:space="preserve"> </w:t>
      </w:r>
      <w:r w:rsidRPr="007B2803" w:rsidR="003463B5">
        <w:rPr>
          <w:rFonts w:hint="cs"/>
          <w:rtl/>
        </w:rPr>
        <w:t xml:space="preserve">באופן ידני </w:t>
      </w:r>
      <w:r w:rsidRPr="007B2803" w:rsidR="003463B5">
        <w:rPr>
          <w:rtl/>
        </w:rPr>
        <w:t>כ-200 תלונות שהוגדרו על ידי הממונה כמהותיות, מתוך אלפי תלונות. מערכת ממוחשבת יעילה נחוצה בייחוד נוכח מספר התלונות (יותר מ-3,400 בשנת 2021</w:t>
      </w:r>
      <w:r w:rsidRPr="00AF3B73">
        <w:rPr>
          <w:rFonts w:hint="cs"/>
          <w:rtl/>
        </w:rPr>
        <w:t xml:space="preserve">. </w:t>
      </w:r>
    </w:p>
    <w:p w:rsidR="00EB672B" w:rsidRPr="00AF3B73" w:rsidP="00EB672B" w14:paraId="1320DBEF" w14:textId="6A90F145">
      <w:pPr>
        <w:pStyle w:val="7317"/>
        <w:rPr>
          <w:rtl/>
        </w:rPr>
      </w:pPr>
      <w:r w:rsidRPr="00310D80">
        <w:rPr>
          <w:rStyle w:val="7391"/>
          <w:rFonts w:hint="cs"/>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10D80" w:rsidR="003463B5">
        <w:rPr>
          <w:rStyle w:val="7391"/>
          <w:rFonts w:hint="cs"/>
          <w:rtl/>
        </w:rPr>
        <w:t>סקרי שירות בקרב חייבים -</w:t>
      </w:r>
      <w:r w:rsidRPr="007B2803" w:rsidR="003463B5">
        <w:rPr>
          <w:rFonts w:hint="cs"/>
          <w:rtl/>
        </w:rPr>
        <w:t xml:space="preserve"> </w:t>
      </w:r>
      <w:r w:rsidRPr="007B2803" w:rsidR="003463B5">
        <w:rPr>
          <w:rtl/>
        </w:rPr>
        <w:t xml:space="preserve">מתוך סקרי השירות שביצע הממונה עולה כי </w:t>
      </w:r>
      <w:r w:rsidRPr="007B2803" w:rsidR="003463B5">
        <w:rPr>
          <w:rFonts w:hint="eastAsia"/>
          <w:rtl/>
        </w:rPr>
        <w:t>יותר</w:t>
      </w:r>
      <w:r w:rsidRPr="007B2803" w:rsidR="003463B5">
        <w:rPr>
          <w:rFonts w:hint="cs"/>
          <w:rtl/>
        </w:rPr>
        <w:t xml:space="preserve"> ממחצית </w:t>
      </w:r>
      <w:r w:rsidRPr="007B2803" w:rsidR="003463B5">
        <w:rPr>
          <w:rtl/>
        </w:rPr>
        <w:t xml:space="preserve">החייבים שהשיבו על הסקר אינם מרוצים </w:t>
      </w:r>
      <w:r w:rsidRPr="007B2803" w:rsidR="003463B5">
        <w:rPr>
          <w:rFonts w:hint="cs"/>
          <w:rtl/>
        </w:rPr>
        <w:t xml:space="preserve">מטיפול הנאמן בפניותיהם (56%) </w:t>
      </w:r>
      <w:r w:rsidRPr="007B2803" w:rsidR="003463B5">
        <w:rPr>
          <w:rFonts w:hint="eastAsia"/>
          <w:rtl/>
        </w:rPr>
        <w:t>ו</w:t>
      </w:r>
      <w:r w:rsidRPr="007B2803" w:rsidR="003463B5">
        <w:rPr>
          <w:rtl/>
        </w:rPr>
        <w:t>מזמינות</w:t>
      </w:r>
      <w:r w:rsidRPr="007B2803" w:rsidR="003463B5">
        <w:rPr>
          <w:rFonts w:hint="cs"/>
          <w:rtl/>
        </w:rPr>
        <w:t>ו (55%)</w:t>
      </w:r>
      <w:r w:rsidRPr="007B2803" w:rsidR="003463B5">
        <w:rPr>
          <w:rtl/>
        </w:rPr>
        <w:t>,</w:t>
      </w:r>
      <w:r w:rsidRPr="007B2803" w:rsidR="003463B5">
        <w:rPr>
          <w:rFonts w:hint="cs"/>
          <w:rtl/>
        </w:rPr>
        <w:t xml:space="preserve"> </w:t>
      </w:r>
      <w:r w:rsidRPr="007B2803" w:rsidR="003463B5">
        <w:rPr>
          <w:rFonts w:hint="eastAsia"/>
          <w:rtl/>
        </w:rPr>
        <w:t>וכי</w:t>
      </w:r>
      <w:r w:rsidRPr="007B2803" w:rsidR="003463B5">
        <w:rPr>
          <w:rFonts w:hint="cs"/>
          <w:rtl/>
        </w:rPr>
        <w:t xml:space="preserve"> </w:t>
      </w:r>
      <w:r w:rsidRPr="007B2803" w:rsidR="003463B5">
        <w:rPr>
          <w:rtl/>
        </w:rPr>
        <w:t>70% מהחייבים השיבו שלא קיבלו מענה מלא וברור מהנאמן.</w:t>
      </w:r>
      <w:r w:rsidRPr="007B2803" w:rsidR="003463B5">
        <w:rPr>
          <w:rFonts w:hint="cs"/>
          <w:rtl/>
        </w:rPr>
        <w:t xml:space="preserve"> </w:t>
      </w:r>
      <w:r w:rsidRPr="007B2803" w:rsidR="003463B5">
        <w:rPr>
          <w:rtl/>
        </w:rPr>
        <w:t>עם זאת, הממונה לא העמיק את הבקרות והפיקוח על נאמנים לנוכח ממצאי סקרי השירות</w:t>
      </w:r>
      <w:r w:rsidRPr="007B2803" w:rsidR="003463B5">
        <w:rPr>
          <w:rFonts w:hint="cs"/>
          <w:rtl/>
        </w:rPr>
        <w:t xml:space="preserve">, </w:t>
      </w:r>
      <w:r w:rsidRPr="007B2803" w:rsidR="003463B5">
        <w:rPr>
          <w:rtl/>
        </w:rPr>
        <w:t>לא ניתח את ממצאי סקרי השירות שערך, לא ביצע הליך הפקת לקחים ולא נקט פעולות ייעודיות לתיקון הליקויים שהועלו בסקרים</w:t>
      </w:r>
      <w:r w:rsidRPr="00AF3B73">
        <w:rPr>
          <w:rFonts w:hint="cs"/>
          <w:rtl/>
        </w:rPr>
        <w:t>.</w:t>
      </w:r>
    </w:p>
    <w:p w:rsidR="003463B5" w:rsidRPr="007B2803" w:rsidP="003463B5" w14:paraId="4CD55A34" w14:textId="77777777">
      <w:pPr>
        <w:pStyle w:val="7317"/>
      </w:pPr>
      <w:r w:rsidRPr="00310D80">
        <w:rPr>
          <w:rStyle w:val="7391"/>
          <w:rFonts w:hint="cs"/>
          <w:rtl/>
        </w:rPr>
        <w:drawing>
          <wp:anchor distT="0" distB="0" distL="114300" distR="114300" simplePos="0" relativeHeight="251695104" behindDoc="1" locked="0" layoutInCell="1" allowOverlap="1">
            <wp:simplePos x="0" y="0"/>
            <wp:positionH relativeFrom="column">
              <wp:posOffset>4556760</wp:posOffset>
            </wp:positionH>
            <wp:positionV relativeFrom="paragraph">
              <wp:posOffset>38009</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10D80">
        <w:rPr>
          <w:rStyle w:val="7391"/>
          <w:rFonts w:hint="cs"/>
          <w:rtl/>
        </w:rPr>
        <w:t xml:space="preserve">היקף פעילות יחידת החקירות </w:t>
      </w:r>
      <w:r w:rsidRPr="00310D80">
        <w:rPr>
          <w:rStyle w:val="7391"/>
          <w:rtl/>
        </w:rPr>
        <w:t>-</w:t>
      </w:r>
      <w:r w:rsidRPr="007B2803">
        <w:rPr>
          <w:rFonts w:hint="cs"/>
          <w:rtl/>
        </w:rPr>
        <w:t xml:space="preserve"> יחידת החקירות של הממונה פועלת בהיקפים מצומצמים ומטפלת במספר קטן של תיקים - כ-20 תיקים בשנה </w:t>
      </w:r>
      <w:r w:rsidRPr="007B2803">
        <w:rPr>
          <w:rFonts w:hint="eastAsia"/>
          <w:rtl/>
        </w:rPr>
        <w:t>בלבד</w:t>
      </w:r>
      <w:r w:rsidRPr="007B2803">
        <w:rPr>
          <w:rFonts w:hint="cs"/>
          <w:rtl/>
        </w:rPr>
        <w:t xml:space="preserve"> בתקופת הביקורת. משנת 2015 ועד אמצע שנת 2023 טיפלה היחידה בסך הכ</w:t>
      </w:r>
      <w:r w:rsidRPr="007B2803">
        <w:rPr>
          <w:rFonts w:hint="eastAsia"/>
          <w:rtl/>
        </w:rPr>
        <w:t>ו</w:t>
      </w:r>
      <w:r w:rsidRPr="007B2803">
        <w:rPr>
          <w:rFonts w:hint="cs"/>
          <w:rtl/>
        </w:rPr>
        <w:t>ל בכ-80 תיקים</w:t>
      </w:r>
      <w:r w:rsidRPr="007B2803">
        <w:rPr>
          <w:rtl/>
        </w:rPr>
        <w:t>.</w:t>
      </w:r>
      <w:r w:rsidRPr="007B2803">
        <w:rPr>
          <w:rFonts w:hint="cs"/>
          <w:rtl/>
        </w:rPr>
        <w:t xml:space="preserve"> זאת בשעה שעל פי הערכת הממונה עבירות בתחום חדלות הפירעון מתבצעות בכ-10% מההליכים המתנהלים בנושא (דהיינו - ב</w:t>
      </w:r>
      <w:r w:rsidRPr="007B2803">
        <w:rPr>
          <w:rFonts w:hint="eastAsia"/>
          <w:rtl/>
        </w:rPr>
        <w:t>יותר</w:t>
      </w:r>
      <w:r w:rsidRPr="007B2803">
        <w:rPr>
          <w:rtl/>
        </w:rPr>
        <w:t xml:space="preserve"> </w:t>
      </w:r>
      <w:r w:rsidRPr="007B2803">
        <w:rPr>
          <w:rFonts w:hint="eastAsia"/>
          <w:rtl/>
        </w:rPr>
        <w:t>מ</w:t>
      </w:r>
      <w:r w:rsidRPr="007B2803">
        <w:rPr>
          <w:rtl/>
        </w:rPr>
        <w:t>-</w:t>
      </w:r>
      <w:r w:rsidRPr="007B2803">
        <w:rPr>
          <w:rFonts w:hint="cs"/>
          <w:rtl/>
        </w:rPr>
        <w:t xml:space="preserve">2,000 הליכים בשנה, </w:t>
      </w:r>
      <w:r w:rsidRPr="007B2803">
        <w:rPr>
          <w:rFonts w:hint="eastAsia"/>
          <w:rtl/>
        </w:rPr>
        <w:t>ו</w:t>
      </w:r>
      <w:r w:rsidRPr="007B2803">
        <w:rPr>
          <w:rFonts w:hint="cs"/>
          <w:rtl/>
        </w:rPr>
        <w:t xml:space="preserve">היקף החובות האבודים שמקורם בעבירות אלו מסתכם בכ-5 מיליארד ש"ח לשנה, בקירוב). פעילות יחידת החקירות בתיקי תאגידים החלה רק בשנת 2023, 4 שנים לאחר שהתאפשרה על פי חוק הקניית סמכויות האכיפה הפלילית בתחום זה לחוקרי הממונה. במצב דברים זה עולה חשש </w:t>
      </w:r>
      <w:r w:rsidRPr="007B2803">
        <w:rPr>
          <w:rtl/>
        </w:rPr>
        <w:t xml:space="preserve">כי בהיעדר פעילות רחבה ואפקטיבית של הממונה באמצעות יחידת החקירות, נפגעות הן ההרתעה מפני ניצול לרעה של הליכי חדלות פירעון והן יכולת האכיפה בעניין פעילות עבריינית בתחום, בכלל, ובעניין הסתרה או הברחה של נכסים שיכולים לסייע בהגדלת שיעור החוב שיוכלו הנושים לפרוע, בפרט.  </w:t>
      </w:r>
    </w:p>
    <w:p w:rsidR="00EB672B" w:rsidP="003463B5" w14:paraId="6EA213E6" w14:textId="2FF25229">
      <w:pPr>
        <w:pStyle w:val="7317"/>
        <w:rPr>
          <w:rtl/>
        </w:rPr>
      </w:pPr>
      <w:r w:rsidRPr="00310D80">
        <w:rPr>
          <w:rStyle w:val="7391"/>
          <w:rFonts w:hint="cs"/>
          <w:rtl/>
        </w:rPr>
        <w:t>ביחידת החקירות יש מחסור בכוח אדם -</w:t>
      </w:r>
      <w:r w:rsidRPr="007B2803">
        <w:rPr>
          <w:rFonts w:hint="cs"/>
          <w:rtl/>
        </w:rPr>
        <w:t xml:space="preserve"> 12 משרות בלבד מאוישות על ידי חוקרים מתוך 25 תקנים על פי תקינה שנקבע ליחידה במועד הקמתה לפני קרוב לשלושים שנה, זאת אף שבתקופה זו גדל מספר תיקי חדלות הפירעון באלפי אחוזים - באמצעים ובמשאבים הנחוצים לה למימוש תפקידיה וייעודה. הממונה מוגבל בהיקף החקירות שביכולתו לנהל ונאלץ לפעול רק בתיקים שבהם הגיע להסכמות על שיתוף פעולה עם יחידה משטרתית ספציפית.</w:t>
      </w:r>
      <w:r w:rsidRPr="00242E4E">
        <w:rPr>
          <w:rtl/>
        </w:rPr>
        <w:t xml:space="preserve"> </w:t>
      </w:r>
      <w:r w:rsidRPr="007B2803">
        <w:rPr>
          <w:rtl/>
        </w:rPr>
        <w:t>במצב דברים זה,</w:t>
      </w:r>
      <w:r w:rsidRPr="007B2803">
        <w:rPr>
          <w:rFonts w:hint="cs"/>
          <w:rtl/>
        </w:rPr>
        <w:t xml:space="preserve"> כל</w:t>
      </w:r>
      <w:r w:rsidRPr="007B2803">
        <w:rPr>
          <w:rtl/>
        </w:rPr>
        <w:t xml:space="preserve"> 80 התיקים שטופלו על ידי היחידה מאז שנת 2015 ועד תום הביקורת נחקרו במסגרת שיתוף פעולה עם המשטרה</w:t>
      </w:r>
      <w:r w:rsidRPr="00AF3B73">
        <w:rPr>
          <w:rFonts w:hint="cs"/>
          <w:rtl/>
        </w:rPr>
        <w:t xml:space="preserve">. </w:t>
      </w:r>
    </w:p>
    <w:p w:rsidR="003463B5" w:rsidP="003463B5" w14:paraId="49848FD9" w14:textId="1952DE41">
      <w:pPr>
        <w:pStyle w:val="7317"/>
        <w:rPr>
          <w:rtl/>
        </w:rPr>
      </w:pPr>
      <w:r w:rsidRPr="00310D80">
        <w:rPr>
          <w:rStyle w:val="7391"/>
          <w:rFonts w:hint="cs"/>
          <w:rtl/>
        </w:rPr>
        <w:drawing>
          <wp:anchor distT="0" distB="0" distL="114300" distR="114300" simplePos="0" relativeHeight="25170124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667830256"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83025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10D80">
        <w:rPr>
          <w:rStyle w:val="7391"/>
          <w:rFonts w:hint="cs"/>
          <w:rtl/>
        </w:rPr>
        <w:t>איסוף מודיעין ומיקוד מאמצי חקירה -</w:t>
      </w:r>
      <w:r w:rsidRPr="007B2803">
        <w:rPr>
          <w:rFonts w:hint="cs"/>
          <w:rtl/>
        </w:rPr>
        <w:t xml:space="preserve"> פעילות הממונה בתחום המודיעין מצומצמת ביותר ולרשות חולית המודיעין לא עומדים אמצעים ומערכות טכנולוגיות לאיסוף ולניתוח של מודיעין, הדרושים לפעילותה. בנסיבות אלו מוגבלת היכולת של הממונה למקד פעילות חקירתית בהתבסס על מודיעין</w:t>
      </w:r>
      <w:r w:rsidRPr="00AF3B73">
        <w:rPr>
          <w:rFonts w:hint="cs"/>
          <w:rtl/>
        </w:rPr>
        <w:t xml:space="preserve">. </w:t>
      </w:r>
    </w:p>
    <w:p w:rsidR="003463B5" w:rsidP="003463B5" w14:paraId="025F6274" w14:textId="4CA9ABAC">
      <w:pPr>
        <w:pStyle w:val="7317"/>
        <w:rPr>
          <w:rtl/>
        </w:rPr>
      </w:pPr>
      <w:r w:rsidRPr="00310D80">
        <w:rPr>
          <w:rStyle w:val="7391"/>
          <w:rFonts w:hint="cs"/>
          <w:rtl/>
        </w:rPr>
        <w:drawing>
          <wp:anchor distT="0" distB="0" distL="114300" distR="114300" simplePos="0" relativeHeight="25170227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6126165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6165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10D80">
        <w:rPr>
          <w:rStyle w:val="7391"/>
          <w:rFonts w:hint="cs"/>
          <w:rtl/>
        </w:rPr>
        <w:t>היקף תוכנית ההכשרה להתנהלות כלכלית נכונה -</w:t>
      </w:r>
      <w:r w:rsidRPr="007B2803">
        <w:rPr>
          <w:rFonts w:hint="cs"/>
          <w:rtl/>
        </w:rPr>
        <w:t xml:space="preserve"> נכון ליוני 2023, כמעט ארבע שנים לאחר כניסתו של חוק </w:t>
      </w:r>
      <w:r w:rsidRPr="007B2803">
        <w:rPr>
          <w:rFonts w:hint="cs"/>
          <w:rtl/>
        </w:rPr>
        <w:t>חדל"פ</w:t>
      </w:r>
      <w:r w:rsidRPr="007B2803">
        <w:rPr>
          <w:rFonts w:hint="cs"/>
          <w:rtl/>
        </w:rPr>
        <w:t xml:space="preserve"> לתוקף, השלימו את תוכנית ההכשרה הכלכלית </w:t>
      </w:r>
      <w:r w:rsidRPr="007B2803">
        <w:rPr>
          <w:rFonts w:hint="eastAsia"/>
          <w:rtl/>
        </w:rPr>
        <w:t>כ</w:t>
      </w:r>
      <w:r w:rsidRPr="007B2803">
        <w:rPr>
          <w:rtl/>
        </w:rPr>
        <w:t xml:space="preserve">-850 </w:t>
      </w:r>
      <w:r w:rsidRPr="007B2803">
        <w:rPr>
          <w:rFonts w:hint="eastAsia"/>
          <w:rtl/>
        </w:rPr>
        <w:t>חייבים</w:t>
      </w:r>
      <w:r w:rsidRPr="007B2803">
        <w:rPr>
          <w:rtl/>
        </w:rPr>
        <w:t xml:space="preserve"> </w:t>
      </w:r>
      <w:r w:rsidRPr="007B2803">
        <w:rPr>
          <w:rFonts w:hint="eastAsia"/>
          <w:rtl/>
        </w:rPr>
        <w:t>בלבד</w:t>
      </w:r>
      <w:r w:rsidRPr="007B2803">
        <w:rPr>
          <w:rtl/>
        </w:rPr>
        <w:t>,</w:t>
      </w:r>
      <w:r w:rsidRPr="007B2803">
        <w:rPr>
          <w:rFonts w:hint="cs"/>
          <w:rtl/>
        </w:rPr>
        <w:t xml:space="preserve"> </w:t>
      </w:r>
      <w:r w:rsidRPr="007B2803">
        <w:rPr>
          <w:rFonts w:hint="eastAsia"/>
          <w:rtl/>
        </w:rPr>
        <w:t>ששיעורם</w:t>
      </w:r>
      <w:r w:rsidRPr="007B2803">
        <w:rPr>
          <w:rFonts w:hint="cs"/>
          <w:rtl/>
        </w:rPr>
        <w:t xml:space="preserve"> פחות </w:t>
      </w:r>
      <w:r w:rsidRPr="007B2803">
        <w:rPr>
          <w:rFonts w:hint="eastAsia"/>
          <w:rtl/>
        </w:rPr>
        <w:t>מ</w:t>
      </w:r>
      <w:r w:rsidRPr="007B2803">
        <w:rPr>
          <w:rtl/>
        </w:rPr>
        <w:t>-3%</w:t>
      </w:r>
      <w:r w:rsidRPr="007B2803">
        <w:rPr>
          <w:rFonts w:hint="cs"/>
          <w:rtl/>
        </w:rPr>
        <w:t xml:space="preserve"> מכלל החייבים אשר ההכשרה הייתה רלוונטית בעניינם במהלך תקופה זו (מוערך בכ-37,500 חייבים). נתונים אלה מעידים שתוכניות לשיקום כלכלי, לרבות תכנית להכשרה להתנהלות כלכלית נכונה על פי דין, שהחלה לפעול במרץ 2021 - כשנה וחצי לאחר כניסת חוק </w:t>
      </w:r>
      <w:r w:rsidRPr="007B2803">
        <w:rPr>
          <w:rFonts w:hint="cs"/>
          <w:rtl/>
        </w:rPr>
        <w:t>חדל"פ</w:t>
      </w:r>
      <w:r w:rsidRPr="007B2803">
        <w:rPr>
          <w:rFonts w:hint="cs"/>
          <w:rtl/>
        </w:rPr>
        <w:t xml:space="preserve"> לתוקף אשר העמיד את שיקומו של החייב כתכלית מרכזית - פועלות במתכונת מוגבלת</w:t>
      </w:r>
      <w:r>
        <w:rPr>
          <w:rFonts w:hint="cs"/>
          <w:rtl/>
        </w:rPr>
        <w:t>,</w:t>
      </w:r>
      <w:r w:rsidRPr="00BF1F6A">
        <w:rPr>
          <w:rtl/>
        </w:rPr>
        <w:t xml:space="preserve"> </w:t>
      </w:r>
      <w:r w:rsidRPr="007B2803">
        <w:rPr>
          <w:rtl/>
        </w:rPr>
        <w:t xml:space="preserve">תוך הקצאת </w:t>
      </w:r>
      <w:r w:rsidRPr="007B2803">
        <w:rPr>
          <w:rFonts w:hint="cs"/>
          <w:rtl/>
        </w:rPr>
        <w:t>משאבים</w:t>
      </w:r>
      <w:r w:rsidRPr="007B2803">
        <w:rPr>
          <w:rtl/>
        </w:rPr>
        <w:t xml:space="preserve"> בהיקף מצומצם. כל אלו השליכו ישירות על שיעור היישום הנמוך כאמור של ת</w:t>
      </w:r>
      <w:r w:rsidRPr="007B2803">
        <w:rPr>
          <w:rFonts w:hint="cs"/>
          <w:rtl/>
        </w:rPr>
        <w:t>ו</w:t>
      </w:r>
      <w:r w:rsidRPr="007B2803">
        <w:rPr>
          <w:rtl/>
        </w:rPr>
        <w:t>כניות ההכשרה</w:t>
      </w:r>
      <w:r w:rsidRPr="00AF3B73">
        <w:rPr>
          <w:rFonts w:hint="cs"/>
          <w:rtl/>
        </w:rPr>
        <w:t xml:space="preserve">. </w:t>
      </w:r>
    </w:p>
    <w:p w:rsidR="003463B5" w:rsidRPr="007B2803" w:rsidP="003463B5" w14:paraId="6F620AA0" w14:textId="77777777">
      <w:pPr>
        <w:pStyle w:val="7317"/>
      </w:pPr>
      <w:r w:rsidRPr="00310D80">
        <w:rPr>
          <w:rStyle w:val="7391"/>
          <w:rFonts w:hint="cs"/>
          <w:rtl/>
        </w:rPr>
        <w:drawing>
          <wp:anchor distT="0" distB="0" distL="114300" distR="114300" simplePos="0" relativeHeight="25170329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94602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602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10D80">
        <w:rPr>
          <w:rStyle w:val="7391"/>
          <w:rFonts w:hint="cs"/>
          <w:rtl/>
        </w:rPr>
        <w:t>מערכת המחשוב בממונה -</w:t>
      </w:r>
      <w:r w:rsidRPr="007B2803">
        <w:rPr>
          <w:rFonts w:hint="cs"/>
          <w:rtl/>
        </w:rPr>
        <w:t xml:space="preserve"> </w:t>
      </w:r>
      <w:r w:rsidRPr="007B2803">
        <w:rPr>
          <w:rtl/>
        </w:rPr>
        <w:t xml:space="preserve">פעילות הממונה מבוססת על מערכות מחשוב תפעוליות מיושנות על בסיס טכנולוגיית מג'יק </w:t>
      </w:r>
      <w:r w:rsidRPr="007B2803">
        <w:rPr>
          <w:rFonts w:hint="cs"/>
          <w:rtl/>
        </w:rPr>
        <w:t xml:space="preserve">אשר נמנות </w:t>
      </w:r>
      <w:r w:rsidRPr="007B2803">
        <w:rPr>
          <w:rFonts w:hint="eastAsia"/>
          <w:rtl/>
        </w:rPr>
        <w:t>עם</w:t>
      </w:r>
      <w:r w:rsidRPr="007B2803">
        <w:rPr>
          <w:rFonts w:hint="cs"/>
          <w:rtl/>
        </w:rPr>
        <w:t xml:space="preserve"> 40 </w:t>
      </w:r>
      <w:r w:rsidRPr="007B2803">
        <w:rPr>
          <w:rFonts w:hint="eastAsia"/>
          <w:rtl/>
        </w:rPr>
        <w:t>ה</w:t>
      </w:r>
      <w:r w:rsidRPr="007B2803">
        <w:rPr>
          <w:rFonts w:hint="cs"/>
          <w:rtl/>
        </w:rPr>
        <w:t xml:space="preserve">מערכות מבוססות </w:t>
      </w:r>
      <w:r w:rsidRPr="007B2803">
        <w:rPr>
          <w:rFonts w:hint="eastAsia"/>
          <w:rtl/>
        </w:rPr>
        <w:t>ה</w:t>
      </w:r>
      <w:r w:rsidRPr="007B2803">
        <w:rPr>
          <w:rFonts w:hint="cs"/>
          <w:rtl/>
        </w:rPr>
        <w:t>מג'יק המצויות בשימוש משרד המשפטים, ואשר</w:t>
      </w:r>
      <w:r w:rsidRPr="007B2803">
        <w:rPr>
          <w:rtl/>
        </w:rPr>
        <w:t xml:space="preserve"> פועלות זה כ-30 שנים ודורשות תחזוקה רבה, והגם שנעשו בהן שיפורים עדיין מתרחשות בהן תקלות רבות; מערכות המחשוב אינן מותאמות לצורכי הארגון </w:t>
      </w:r>
      <w:r w:rsidRPr="007B2803">
        <w:rPr>
          <w:rFonts w:hint="cs"/>
          <w:rtl/>
        </w:rPr>
        <w:t>ולכן עובדי הממונה נאלצים לעבוד באופן ידני</w:t>
      </w:r>
      <w:r w:rsidRPr="007B2803">
        <w:rPr>
          <w:rtl/>
        </w:rPr>
        <w:t>,</w:t>
      </w:r>
      <w:r w:rsidRPr="007B2803">
        <w:rPr>
          <w:rFonts w:hint="cs"/>
          <w:rtl/>
        </w:rPr>
        <w:t xml:space="preserve"> דבר אשר </w:t>
      </w:r>
      <w:r w:rsidRPr="007B2803">
        <w:rPr>
          <w:rtl/>
        </w:rPr>
        <w:t>גוזל זמן רב</w:t>
      </w:r>
      <w:r w:rsidRPr="007B2803">
        <w:rPr>
          <w:rFonts w:hint="cs"/>
          <w:rtl/>
        </w:rPr>
        <w:t xml:space="preserve">, </w:t>
      </w:r>
      <w:r w:rsidRPr="007B2803">
        <w:rPr>
          <w:rtl/>
        </w:rPr>
        <w:t>אינ</w:t>
      </w:r>
      <w:r w:rsidRPr="007B2803">
        <w:rPr>
          <w:rFonts w:hint="cs"/>
          <w:rtl/>
        </w:rPr>
        <w:t>ו</w:t>
      </w:r>
      <w:r w:rsidRPr="007B2803">
        <w:rPr>
          <w:rtl/>
        </w:rPr>
        <w:t xml:space="preserve"> יעיל</w:t>
      </w:r>
      <w:r w:rsidRPr="007B2803">
        <w:rPr>
          <w:rFonts w:hint="cs"/>
          <w:rtl/>
        </w:rPr>
        <w:t xml:space="preserve"> וחשוף</w:t>
      </w:r>
      <w:r w:rsidRPr="007B2803">
        <w:rPr>
          <w:rtl/>
        </w:rPr>
        <w:t xml:space="preserve"> לטעויות אנוש בהקלדת הנתונים ולשליפת נתונים שאינם מעודכנים כנדרש</w:t>
      </w:r>
      <w:r w:rsidRPr="007B2803">
        <w:rPr>
          <w:rFonts w:hint="cs"/>
          <w:rtl/>
        </w:rPr>
        <w:t xml:space="preserve">; </w:t>
      </w:r>
      <w:r w:rsidRPr="007B2803">
        <w:rPr>
          <w:rtl/>
        </w:rPr>
        <w:t>ואינן מאפשרות מתן מענה הולם ויסודי על צרכים אלה.</w:t>
      </w:r>
      <w:r w:rsidRPr="007B2803">
        <w:rPr>
          <w:rFonts w:hint="cs"/>
          <w:rtl/>
        </w:rPr>
        <w:t xml:space="preserve"> משכך</w:t>
      </w:r>
      <w:r w:rsidRPr="007B2803">
        <w:rPr>
          <w:rtl/>
        </w:rPr>
        <w:t>, קיים סיכון לפגיעה ואף לשיתוק של פעילות הממונה בניהול כ-60,000 תיקים, באופן שעלול להשפיע, להערכת הממונה, על המשק העסקי-כלכלי במדינת ישראל.</w:t>
      </w:r>
      <w:r w:rsidRPr="007B2803">
        <w:rPr>
          <w:rFonts w:hint="cs"/>
          <w:rtl/>
        </w:rPr>
        <w:t xml:space="preserve"> </w:t>
      </w:r>
      <w:r w:rsidRPr="007B2803">
        <w:rPr>
          <w:rtl/>
        </w:rPr>
        <w:t>מאז החלטת משרד המשפטים והממונה בשנת 2017 לפתח מערכת מחשוב חדשה עבור הממונה,</w:t>
      </w:r>
      <w:r w:rsidRPr="007B2803">
        <w:rPr>
          <w:rFonts w:hint="cs"/>
          <w:rtl/>
        </w:rPr>
        <w:t xml:space="preserve"> </w:t>
      </w:r>
      <w:r w:rsidRPr="007B2803">
        <w:rPr>
          <w:rtl/>
        </w:rPr>
        <w:t>לא קודם פרויקט פיתוח המערכת החדשה.</w:t>
      </w:r>
      <w:r w:rsidRPr="007B2803">
        <w:rPr>
          <w:rFonts w:hint="cs"/>
          <w:rtl/>
        </w:rPr>
        <w:t xml:space="preserve"> </w:t>
      </w:r>
    </w:p>
    <w:p w:rsidR="003463B5" w:rsidP="003463B5" w14:paraId="379162FB" w14:textId="1F3E96DC">
      <w:pPr>
        <w:pStyle w:val="7317"/>
        <w:rPr>
          <w:rtl/>
        </w:rPr>
      </w:pPr>
      <w:r w:rsidRPr="007B2803">
        <w:rPr>
          <w:rtl/>
        </w:rPr>
        <w:t>במערכות המחשוב של הממונה שמונה מאגרי מידע המצויים במערכות נפרדות שאינן מסונכרנות באופן שוטף זו עם זו</w:t>
      </w:r>
      <w:r w:rsidRPr="007B2803">
        <w:rPr>
          <w:rFonts w:hint="cs"/>
          <w:rtl/>
        </w:rPr>
        <w:t xml:space="preserve">, </w:t>
      </w:r>
      <w:r w:rsidRPr="007B2803">
        <w:rPr>
          <w:rtl/>
        </w:rPr>
        <w:t>דבר המונע העברה ושיתוף</w:t>
      </w:r>
      <w:r w:rsidRPr="007B2803">
        <w:rPr>
          <w:rFonts w:hint="cs"/>
          <w:rtl/>
        </w:rPr>
        <w:t xml:space="preserve"> </w:t>
      </w:r>
      <w:r w:rsidRPr="007B2803">
        <w:rPr>
          <w:rFonts w:hint="eastAsia"/>
          <w:rtl/>
        </w:rPr>
        <w:t>של</w:t>
      </w:r>
      <w:r w:rsidRPr="007B2803">
        <w:rPr>
          <w:rtl/>
        </w:rPr>
        <w:t xml:space="preserve"> מידע בין מערכות ומקשה את גיבושה של תמונת מצב כלל-ארצית, יוצר סיכון לעיוות מידע, מגביר את מורכבות התחזוקה ועלול לגרום לטיפול לא יעיל בתיקים.</w:t>
      </w:r>
      <w:r w:rsidRPr="007B2803">
        <w:rPr>
          <w:rFonts w:hint="cs"/>
          <w:rtl/>
        </w:rPr>
        <w:t xml:space="preserve"> יצוין כי </w:t>
      </w:r>
      <w:r w:rsidRPr="007B2803">
        <w:rPr>
          <w:rtl/>
        </w:rPr>
        <w:t>הצורך בתיקון המתווה של מערכות המחשוב של האגף הועלה כבר בשנת 1996 בדוח ועדת אברהמי</w:t>
      </w:r>
      <w:r w:rsidRPr="00AF3B73">
        <w:rPr>
          <w:rFonts w:hint="cs"/>
          <w:rtl/>
        </w:rPr>
        <w:t xml:space="preserve">. </w:t>
      </w:r>
    </w:p>
    <w:p w:rsidR="003463B5" w:rsidP="003463B5" w14:paraId="23DA9756" w14:textId="1EEB0FE9">
      <w:pPr>
        <w:pStyle w:val="7317"/>
        <w:rPr>
          <w:rtl/>
        </w:rPr>
      </w:pPr>
      <w:r w:rsidRPr="00310D80">
        <w:rPr>
          <w:rStyle w:val="7391"/>
          <w:rFonts w:hint="cs"/>
          <w:rtl/>
        </w:rPr>
        <w:drawing>
          <wp:anchor distT="0" distB="0" distL="114300" distR="114300" simplePos="0" relativeHeight="25170432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87747171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47171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10D80">
        <w:rPr>
          <w:rStyle w:val="7391"/>
          <w:rtl/>
        </w:rPr>
        <w:t>איסוף מידע ונתונים</w:t>
      </w:r>
      <w:r w:rsidRPr="00310D80">
        <w:rPr>
          <w:rStyle w:val="7391"/>
          <w:rFonts w:hint="cs"/>
          <w:rtl/>
        </w:rPr>
        <w:t xml:space="preserve"> ומחקר</w:t>
      </w:r>
      <w:r w:rsidRPr="00310D80">
        <w:rPr>
          <w:rStyle w:val="7391"/>
          <w:rtl/>
        </w:rPr>
        <w:t xml:space="preserve"> </w:t>
      </w:r>
      <w:r w:rsidRPr="00310D80">
        <w:rPr>
          <w:rStyle w:val="7391"/>
          <w:rFonts w:hint="cs"/>
          <w:rtl/>
        </w:rPr>
        <w:t xml:space="preserve">ליישום חוק </w:t>
      </w:r>
      <w:r w:rsidRPr="00310D80">
        <w:rPr>
          <w:rStyle w:val="7391"/>
          <w:rtl/>
        </w:rPr>
        <w:t>חדלות פירעון ושיקום כלכלי</w:t>
      </w:r>
      <w:r w:rsidRPr="00310D80">
        <w:rPr>
          <w:rStyle w:val="7391"/>
          <w:rFonts w:hint="cs"/>
          <w:rtl/>
        </w:rPr>
        <w:t xml:space="preserve"> - </w:t>
      </w:r>
      <w:r w:rsidRPr="007B2803">
        <w:rPr>
          <w:rtl/>
        </w:rPr>
        <w:t xml:space="preserve">הממונה אינו מבצע מחקרים יזומים בתחום הליכי חדלות פירעון, </w:t>
      </w:r>
      <w:r w:rsidRPr="007B2803">
        <w:rPr>
          <w:rFonts w:hint="cs"/>
          <w:rtl/>
        </w:rPr>
        <w:t xml:space="preserve">וזאת בניגוד להוראות חוק </w:t>
      </w:r>
      <w:r w:rsidRPr="007B2803">
        <w:rPr>
          <w:rFonts w:hint="cs"/>
          <w:rtl/>
        </w:rPr>
        <w:t>חדל"פ</w:t>
      </w:r>
      <w:r w:rsidRPr="007B2803">
        <w:rPr>
          <w:rFonts w:hint="cs"/>
          <w:rtl/>
        </w:rPr>
        <w:t>,</w:t>
      </w:r>
      <w:r w:rsidRPr="007B2803">
        <w:rPr>
          <w:rtl/>
        </w:rPr>
        <w:t xml:space="preserve"> ובפרט בתחומי ליבת עיסוקו: שיקום כלכלי, צווי תשלומים, הנחיית נאמנים ופיקוח עליהם, ואין גורם ייעודי בממונה בעל הכשרה בתחום המחקר המתאים לעיסוק בתחום זה</w:t>
      </w:r>
      <w:r w:rsidRPr="007B2803">
        <w:rPr>
          <w:rFonts w:hint="cs"/>
          <w:rtl/>
        </w:rPr>
        <w:t xml:space="preserve">. </w:t>
      </w:r>
      <w:r w:rsidRPr="007B2803">
        <w:rPr>
          <w:rFonts w:hint="eastAsia"/>
          <w:rtl/>
        </w:rPr>
        <w:t>כמו</w:t>
      </w:r>
      <w:r w:rsidRPr="007B2803">
        <w:rPr>
          <w:rtl/>
        </w:rPr>
        <w:t xml:space="preserve"> </w:t>
      </w:r>
      <w:r w:rsidRPr="007B2803">
        <w:rPr>
          <w:rFonts w:hint="eastAsia"/>
          <w:rtl/>
        </w:rPr>
        <w:t>כן</w:t>
      </w:r>
      <w:r w:rsidRPr="007B2803">
        <w:rPr>
          <w:rFonts w:hint="cs"/>
          <w:rtl/>
        </w:rPr>
        <w:t xml:space="preserve">, משרד המשפטים לא ביצע מחקר שילווה את יישום הוראות חוק </w:t>
      </w:r>
      <w:r w:rsidRPr="007B2803">
        <w:rPr>
          <w:rFonts w:hint="cs"/>
          <w:rtl/>
        </w:rPr>
        <w:t>חדל"פ</w:t>
      </w:r>
      <w:r w:rsidRPr="007B2803">
        <w:rPr>
          <w:rFonts w:hint="cs"/>
          <w:rtl/>
        </w:rPr>
        <w:t xml:space="preserve">; </w:t>
      </w:r>
      <w:r w:rsidRPr="007B2803">
        <w:rPr>
          <w:rFonts w:hint="eastAsia"/>
          <w:rtl/>
        </w:rPr>
        <w:t>אומנם</w:t>
      </w:r>
      <w:r w:rsidRPr="007B2803">
        <w:rPr>
          <w:rtl/>
        </w:rPr>
        <w:t xml:space="preserve"> </w:t>
      </w:r>
      <w:r w:rsidRPr="007B2803">
        <w:rPr>
          <w:rFonts w:hint="eastAsia"/>
          <w:rtl/>
        </w:rPr>
        <w:t>משרד</w:t>
      </w:r>
      <w:r w:rsidRPr="007B2803">
        <w:rPr>
          <w:rtl/>
        </w:rPr>
        <w:t xml:space="preserve"> </w:t>
      </w:r>
      <w:r w:rsidRPr="007B2803">
        <w:rPr>
          <w:rFonts w:hint="eastAsia"/>
          <w:rtl/>
        </w:rPr>
        <w:t>המשפטים</w:t>
      </w:r>
      <w:r w:rsidRPr="007B2803">
        <w:rPr>
          <w:rtl/>
        </w:rPr>
        <w:t xml:space="preserve"> </w:t>
      </w:r>
      <w:r w:rsidRPr="007B2803">
        <w:rPr>
          <w:rFonts w:hint="eastAsia"/>
          <w:rtl/>
        </w:rPr>
        <w:t>יזם</w:t>
      </w:r>
      <w:r w:rsidRPr="007B2803">
        <w:rPr>
          <w:rtl/>
        </w:rPr>
        <w:t xml:space="preserve"> </w:t>
      </w:r>
      <w:r w:rsidRPr="007B2803">
        <w:rPr>
          <w:rFonts w:hint="eastAsia"/>
          <w:rtl/>
        </w:rPr>
        <w:t>את</w:t>
      </w:r>
      <w:r w:rsidRPr="007B2803">
        <w:rPr>
          <w:rtl/>
        </w:rPr>
        <w:t xml:space="preserve"> </w:t>
      </w:r>
      <w:r w:rsidRPr="007B2803">
        <w:rPr>
          <w:rFonts w:hint="eastAsia"/>
          <w:rtl/>
        </w:rPr>
        <w:t>ביצוע</w:t>
      </w:r>
      <w:r w:rsidRPr="007B2803">
        <w:rPr>
          <w:rtl/>
        </w:rPr>
        <w:t xml:space="preserve"> </w:t>
      </w:r>
      <w:r w:rsidRPr="007B2803">
        <w:rPr>
          <w:rFonts w:hint="eastAsia"/>
          <w:rtl/>
        </w:rPr>
        <w:t>המחקר</w:t>
      </w:r>
      <w:r w:rsidRPr="007B2803">
        <w:rPr>
          <w:rtl/>
        </w:rPr>
        <w:t xml:space="preserve"> </w:t>
      </w:r>
      <w:r w:rsidRPr="007B2803">
        <w:rPr>
          <w:rFonts w:hint="eastAsia"/>
          <w:rtl/>
        </w:rPr>
        <w:t>והתקשר</w:t>
      </w:r>
      <w:r w:rsidRPr="007B2803">
        <w:rPr>
          <w:rtl/>
        </w:rPr>
        <w:t xml:space="preserve"> לשם כך עם צוות מחקר חיצוני</w:t>
      </w:r>
      <w:r w:rsidRPr="007B2803">
        <w:rPr>
          <w:rFonts w:hint="cs"/>
          <w:rtl/>
        </w:rPr>
        <w:t>,</w:t>
      </w:r>
      <w:r w:rsidRPr="007B2803">
        <w:rPr>
          <w:rtl/>
        </w:rPr>
        <w:t xml:space="preserve"> אך המחקר לא </w:t>
      </w:r>
      <w:r w:rsidRPr="007B2803">
        <w:rPr>
          <w:rFonts w:hint="cs"/>
          <w:rtl/>
        </w:rPr>
        <w:t xml:space="preserve">הבשיל עקב עמדת הצוות בדבר קשיים מתודולוגיים בביצוע המחקר. </w:t>
      </w:r>
      <w:r w:rsidRPr="007B2803">
        <w:rPr>
          <w:rtl/>
        </w:rPr>
        <w:t>פער</w:t>
      </w:r>
      <w:r w:rsidRPr="007B2803">
        <w:rPr>
          <w:rFonts w:hint="cs"/>
          <w:rtl/>
        </w:rPr>
        <w:t>ים</w:t>
      </w:r>
      <w:r w:rsidRPr="007B2803">
        <w:rPr>
          <w:rtl/>
        </w:rPr>
        <w:t xml:space="preserve"> </w:t>
      </w:r>
      <w:r w:rsidRPr="007B2803">
        <w:rPr>
          <w:rFonts w:hint="cs"/>
          <w:rtl/>
        </w:rPr>
        <w:t xml:space="preserve">אלו </w:t>
      </w:r>
      <w:r w:rsidRPr="007B2803">
        <w:rPr>
          <w:rtl/>
        </w:rPr>
        <w:t>אינ</w:t>
      </w:r>
      <w:r w:rsidRPr="007B2803">
        <w:rPr>
          <w:rFonts w:hint="cs"/>
          <w:rtl/>
        </w:rPr>
        <w:t>ם</w:t>
      </w:r>
      <w:r w:rsidRPr="007B2803">
        <w:rPr>
          <w:rtl/>
        </w:rPr>
        <w:t xml:space="preserve"> עולה בקנה אחד </w:t>
      </w:r>
      <w:r w:rsidRPr="007B2803">
        <w:rPr>
          <w:rFonts w:hint="cs"/>
          <w:rtl/>
        </w:rPr>
        <w:t>עם החובות שהוטלו על משרד המשפטים והממונה בחוק</w:t>
      </w:r>
      <w:r w:rsidRPr="00AF3B73">
        <w:rPr>
          <w:rFonts w:hint="cs"/>
          <w:rtl/>
        </w:rPr>
        <w:t xml:space="preserve">. </w:t>
      </w:r>
    </w:p>
    <w:p w:rsidR="003463B5" w:rsidP="003463B5" w14:paraId="559943CF" w14:textId="3BFC242C">
      <w:pPr>
        <w:pStyle w:val="7317"/>
        <w:rPr>
          <w:rtl/>
        </w:rPr>
      </w:pPr>
      <w:r w:rsidRPr="00310D80">
        <w:rPr>
          <w:rStyle w:val="7391"/>
          <w:rFonts w:hint="cs"/>
          <w:rtl/>
        </w:rPr>
        <w:drawing>
          <wp:anchor distT="0" distB="0" distL="114300" distR="114300" simplePos="0" relativeHeight="25170534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715072026"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07202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10D80">
        <w:rPr>
          <w:rStyle w:val="7391"/>
          <w:rFonts w:hint="cs"/>
          <w:rtl/>
        </w:rPr>
        <w:t>חלוקת הסמכויות בטיפול בהליכי חדלות פירעון -</w:t>
      </w:r>
      <w:r w:rsidRPr="007B2803">
        <w:rPr>
          <w:rFonts w:hint="cs"/>
          <w:rtl/>
        </w:rPr>
        <w:t xml:space="preserve"> </w:t>
      </w:r>
      <w:r w:rsidRPr="007B2803">
        <w:rPr>
          <w:rFonts w:hint="eastAsia"/>
          <w:rtl/>
        </w:rPr>
        <w:t>משרד</w:t>
      </w:r>
      <w:r w:rsidRPr="007B2803">
        <w:rPr>
          <w:rtl/>
        </w:rPr>
        <w:t xml:space="preserve"> המשפטים </w:t>
      </w:r>
      <w:r w:rsidRPr="007B2803">
        <w:rPr>
          <w:rFonts w:hint="cs"/>
          <w:rtl/>
        </w:rPr>
        <w:t xml:space="preserve">החליט </w:t>
      </w:r>
      <w:r w:rsidRPr="007B2803">
        <w:rPr>
          <w:rFonts w:hint="eastAsia"/>
          <w:rtl/>
        </w:rPr>
        <w:t>לבחון</w:t>
      </w:r>
      <w:r w:rsidRPr="007B2803">
        <w:rPr>
          <w:rFonts w:hint="cs"/>
          <w:rtl/>
        </w:rPr>
        <w:t>,</w:t>
      </w:r>
      <w:r w:rsidRPr="007B2803">
        <w:rPr>
          <w:rtl/>
        </w:rPr>
        <w:t xml:space="preserve"> ב</w:t>
      </w:r>
      <w:r w:rsidRPr="007B2803">
        <w:rPr>
          <w:rFonts w:hint="eastAsia"/>
          <w:rtl/>
        </w:rPr>
        <w:t>מסגרת</w:t>
      </w:r>
      <w:r w:rsidRPr="007B2803">
        <w:rPr>
          <w:rtl/>
        </w:rPr>
        <w:t xml:space="preserve"> </w:t>
      </w:r>
      <w:r w:rsidRPr="007B2803">
        <w:rPr>
          <w:rFonts w:hint="eastAsia"/>
          <w:rtl/>
        </w:rPr>
        <w:t>עבודת</w:t>
      </w:r>
      <w:r w:rsidRPr="007B2803">
        <w:rPr>
          <w:rtl/>
        </w:rPr>
        <w:t xml:space="preserve"> </w:t>
      </w:r>
      <w:r w:rsidRPr="007B2803">
        <w:rPr>
          <w:rFonts w:hint="eastAsia"/>
          <w:rtl/>
        </w:rPr>
        <w:t>מטה</w:t>
      </w:r>
      <w:r w:rsidRPr="007B2803">
        <w:rPr>
          <w:rFonts w:hint="cs"/>
          <w:rtl/>
        </w:rPr>
        <w:t>,</w:t>
      </w:r>
      <w:r w:rsidRPr="007B2803">
        <w:rPr>
          <w:rtl/>
        </w:rPr>
        <w:t xml:space="preserve"> </w:t>
      </w:r>
      <w:r w:rsidRPr="007B2803">
        <w:rPr>
          <w:rFonts w:hint="cs"/>
          <w:rtl/>
        </w:rPr>
        <w:t xml:space="preserve">ובחלוף כשלוש שנים מכניסתו לתוקף של חוק </w:t>
      </w:r>
      <w:r w:rsidRPr="007B2803">
        <w:rPr>
          <w:rFonts w:hint="cs"/>
          <w:rtl/>
        </w:rPr>
        <w:t>חדל"פ</w:t>
      </w:r>
      <w:r w:rsidRPr="007B2803">
        <w:rPr>
          <w:rFonts w:hint="cs"/>
          <w:rtl/>
        </w:rPr>
        <w:t xml:space="preserve">, </w:t>
      </w:r>
      <w:r w:rsidRPr="007B2803">
        <w:rPr>
          <w:rFonts w:hint="eastAsia"/>
          <w:rtl/>
        </w:rPr>
        <w:t>את</w:t>
      </w:r>
      <w:r w:rsidRPr="007B2803">
        <w:rPr>
          <w:rtl/>
        </w:rPr>
        <w:t xml:space="preserve"> הצורך בייעול המודל הקיים </w:t>
      </w:r>
      <w:r w:rsidRPr="007B2803">
        <w:rPr>
          <w:rFonts w:hint="eastAsia"/>
          <w:rtl/>
        </w:rPr>
        <w:t>לניהול</w:t>
      </w:r>
      <w:r w:rsidRPr="007B2803">
        <w:rPr>
          <w:rtl/>
        </w:rPr>
        <w:t xml:space="preserve"> </w:t>
      </w:r>
      <w:r w:rsidRPr="007B2803">
        <w:rPr>
          <w:rFonts w:hint="eastAsia"/>
          <w:rtl/>
        </w:rPr>
        <w:t>תיקי</w:t>
      </w:r>
      <w:r w:rsidRPr="007B2803">
        <w:rPr>
          <w:rtl/>
        </w:rPr>
        <w:t xml:space="preserve"> </w:t>
      </w:r>
      <w:r w:rsidRPr="007B2803">
        <w:rPr>
          <w:rFonts w:hint="eastAsia"/>
          <w:rtl/>
        </w:rPr>
        <w:t>הליכי</w:t>
      </w:r>
      <w:r w:rsidRPr="007B2803">
        <w:rPr>
          <w:rtl/>
        </w:rPr>
        <w:t xml:space="preserve"> </w:t>
      </w:r>
      <w:r w:rsidRPr="007B2803">
        <w:rPr>
          <w:rFonts w:hint="eastAsia"/>
          <w:rtl/>
        </w:rPr>
        <w:t>חדלות</w:t>
      </w:r>
      <w:r w:rsidRPr="007B2803">
        <w:rPr>
          <w:rtl/>
        </w:rPr>
        <w:t xml:space="preserve"> </w:t>
      </w:r>
      <w:r w:rsidRPr="007B2803">
        <w:rPr>
          <w:rFonts w:hint="eastAsia"/>
          <w:rtl/>
        </w:rPr>
        <w:t>פירעון</w:t>
      </w:r>
      <w:r w:rsidRPr="007B2803">
        <w:rPr>
          <w:rFonts w:hint="cs"/>
          <w:rtl/>
        </w:rPr>
        <w:t xml:space="preserve"> ובכלל זה את המודל הקובע את </w:t>
      </w:r>
      <w:r w:rsidRPr="007B2803">
        <w:rPr>
          <w:rFonts w:hint="cs"/>
          <w:rtl/>
        </w:rPr>
        <w:t xml:space="preserve">חלוקת סמכויות הטיפול </w:t>
      </w:r>
      <w:r w:rsidRPr="007B2803">
        <w:rPr>
          <w:rtl/>
        </w:rPr>
        <w:t>בין הממונה ובין רשות האכיפ</w:t>
      </w:r>
      <w:r w:rsidRPr="007B2803">
        <w:rPr>
          <w:rFonts w:hint="eastAsia"/>
          <w:rtl/>
        </w:rPr>
        <w:t>ה</w:t>
      </w:r>
      <w:r w:rsidRPr="007B2803">
        <w:rPr>
          <w:rtl/>
        </w:rPr>
        <w:t xml:space="preserve"> </w:t>
      </w:r>
      <w:r w:rsidRPr="007B2803">
        <w:rPr>
          <w:rFonts w:hint="eastAsia"/>
          <w:rtl/>
        </w:rPr>
        <w:t>והגבייה</w:t>
      </w:r>
      <w:r w:rsidRPr="007B2803">
        <w:rPr>
          <w:rtl/>
        </w:rPr>
        <w:t xml:space="preserve">. עם זאת, בביקורת נמצא כי </w:t>
      </w:r>
      <w:r w:rsidRPr="007B2803">
        <w:rPr>
          <w:rFonts w:hint="eastAsia"/>
          <w:rtl/>
        </w:rPr>
        <w:t>החלטה</w:t>
      </w:r>
      <w:r w:rsidRPr="007B2803">
        <w:rPr>
          <w:rtl/>
        </w:rPr>
        <w:t xml:space="preserve"> </w:t>
      </w:r>
      <w:r w:rsidRPr="007B2803">
        <w:rPr>
          <w:rFonts w:hint="eastAsia"/>
          <w:rtl/>
        </w:rPr>
        <w:t>זו</w:t>
      </w:r>
      <w:r w:rsidRPr="007B2803">
        <w:rPr>
          <w:rFonts w:hint="cs"/>
          <w:rtl/>
        </w:rPr>
        <w:t>,</w:t>
      </w:r>
      <w:r w:rsidRPr="007B2803">
        <w:rPr>
          <w:rtl/>
        </w:rPr>
        <w:t xml:space="preserve"> </w:t>
      </w:r>
      <w:r w:rsidRPr="007B2803">
        <w:rPr>
          <w:rFonts w:hint="eastAsia"/>
          <w:rtl/>
        </w:rPr>
        <w:t>שהתקבלה</w:t>
      </w:r>
      <w:r w:rsidRPr="007B2803">
        <w:rPr>
          <w:rtl/>
        </w:rPr>
        <w:t xml:space="preserve"> </w:t>
      </w:r>
      <w:r w:rsidRPr="007B2803">
        <w:rPr>
          <w:rFonts w:hint="eastAsia"/>
          <w:rtl/>
        </w:rPr>
        <w:t>במאי</w:t>
      </w:r>
      <w:r w:rsidRPr="007B2803">
        <w:rPr>
          <w:rtl/>
        </w:rPr>
        <w:t xml:space="preserve"> 2022</w:t>
      </w:r>
      <w:r w:rsidRPr="007B2803">
        <w:rPr>
          <w:rFonts w:hint="cs"/>
          <w:rtl/>
        </w:rPr>
        <w:t>,</w:t>
      </w:r>
      <w:r w:rsidRPr="007B2803">
        <w:rPr>
          <w:rtl/>
        </w:rPr>
        <w:t xml:space="preserve"> </w:t>
      </w:r>
      <w:r w:rsidRPr="007B2803">
        <w:rPr>
          <w:rFonts w:hint="eastAsia"/>
          <w:rtl/>
        </w:rPr>
        <w:t>טרם</w:t>
      </w:r>
      <w:r w:rsidRPr="007B2803">
        <w:rPr>
          <w:rtl/>
        </w:rPr>
        <w:t xml:space="preserve"> קודמה </w:t>
      </w:r>
      <w:r w:rsidRPr="007B2803">
        <w:rPr>
          <w:rFonts w:hint="cs"/>
          <w:rtl/>
        </w:rPr>
        <w:t xml:space="preserve">על ידי משרד המשפטים </w:t>
      </w:r>
      <w:r w:rsidRPr="007B2803">
        <w:rPr>
          <w:rFonts w:hint="eastAsia"/>
          <w:rtl/>
        </w:rPr>
        <w:t>הלכה</w:t>
      </w:r>
      <w:r w:rsidRPr="007B2803">
        <w:rPr>
          <w:rtl/>
        </w:rPr>
        <w:t xml:space="preserve"> </w:t>
      </w:r>
      <w:r w:rsidRPr="007B2803">
        <w:rPr>
          <w:rFonts w:hint="eastAsia"/>
          <w:rtl/>
        </w:rPr>
        <w:t>למעשה</w:t>
      </w:r>
      <w:r w:rsidRPr="00AF3B73">
        <w:rPr>
          <w:rFonts w:hint="cs"/>
          <w:rtl/>
        </w:rPr>
        <w:t xml:space="preserve">. </w:t>
      </w:r>
    </w:p>
    <w:p w:rsidR="003463B5" w:rsidP="003463B5" w14:paraId="1ADC450B" w14:textId="10086994">
      <w:pPr>
        <w:pStyle w:val="7317"/>
        <w:rPr>
          <w:rtl/>
        </w:rPr>
      </w:pPr>
      <w:r w:rsidRPr="00310D80">
        <w:rPr>
          <w:rStyle w:val="7391"/>
          <w:rFonts w:hint="cs"/>
          <w:rtl/>
        </w:rPr>
        <w:drawing>
          <wp:anchor distT="0" distB="0" distL="114300" distR="114300" simplePos="0" relativeHeight="25170636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31972746"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2746"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310D80">
        <w:rPr>
          <w:rStyle w:val="7391"/>
          <w:rFonts w:hint="eastAsia"/>
          <w:rtl/>
        </w:rPr>
        <w:t>פיצול</w:t>
      </w:r>
      <w:r w:rsidRPr="00310D80">
        <w:rPr>
          <w:rStyle w:val="7391"/>
          <w:rtl/>
        </w:rPr>
        <w:t xml:space="preserve"> אגף האפוטרופוס הכללי, הממונה על חדלות פירעון והרשם לענייני ירושה </w:t>
      </w:r>
      <w:r w:rsidRPr="00310D80">
        <w:rPr>
          <w:rStyle w:val="7391"/>
          <w:rFonts w:hint="cs"/>
          <w:rtl/>
        </w:rPr>
        <w:t>-</w:t>
      </w:r>
      <w:r w:rsidRPr="007B2803">
        <w:rPr>
          <w:rFonts w:hint="cs"/>
          <w:rtl/>
        </w:rPr>
        <w:t xml:space="preserve"> תהליך בחינת האפשרות לפיצול של אגף גדול ומורכב (שבו פעלו שלושה מכלולים ושבו עבדו יותר מ-500 עובדים וכ-150 נציגים, ביחידות מטה ובמחוזות) בוצע </w:t>
      </w:r>
      <w:r w:rsidRPr="007B2803">
        <w:rPr>
          <w:rFonts w:hint="eastAsia"/>
          <w:rtl/>
        </w:rPr>
        <w:t>ב</w:t>
      </w:r>
      <w:r w:rsidRPr="007B2803">
        <w:rPr>
          <w:rFonts w:hint="cs"/>
          <w:rtl/>
        </w:rPr>
        <w:t>תוך פרק זמן קצר במיוחד של פחות מחודשיים (מ</w:t>
      </w:r>
      <w:r w:rsidRPr="007B2803">
        <w:rPr>
          <w:rtl/>
        </w:rPr>
        <w:t xml:space="preserve">-3.3.22 </w:t>
      </w:r>
      <w:r w:rsidRPr="007B2803">
        <w:rPr>
          <w:rFonts w:hint="cs"/>
          <w:rtl/>
        </w:rPr>
        <w:t xml:space="preserve">עד </w:t>
      </w:r>
      <w:r w:rsidRPr="007B2803">
        <w:rPr>
          <w:rtl/>
        </w:rPr>
        <w:t>28.4.22</w:t>
      </w:r>
      <w:r w:rsidRPr="007B2803">
        <w:rPr>
          <w:rFonts w:hint="cs"/>
          <w:rtl/>
        </w:rPr>
        <w:t xml:space="preserve">) וכבר במהלך תקופה זו </w:t>
      </w:r>
      <w:r w:rsidRPr="007B2803">
        <w:rPr>
          <w:rFonts w:hint="eastAsia"/>
          <w:rtl/>
        </w:rPr>
        <w:t>ועוד</w:t>
      </w:r>
      <w:r w:rsidRPr="007B2803">
        <w:rPr>
          <w:rtl/>
        </w:rPr>
        <w:t xml:space="preserve"> </w:t>
      </w:r>
      <w:r w:rsidRPr="007B2803">
        <w:rPr>
          <w:rFonts w:hint="eastAsia"/>
          <w:rtl/>
        </w:rPr>
        <w:t>קודם</w:t>
      </w:r>
      <w:r w:rsidRPr="007B2803">
        <w:rPr>
          <w:rtl/>
        </w:rPr>
        <w:t xml:space="preserve"> </w:t>
      </w:r>
      <w:r w:rsidRPr="007B2803">
        <w:rPr>
          <w:rFonts w:hint="eastAsia"/>
          <w:rtl/>
        </w:rPr>
        <w:t>ש</w:t>
      </w:r>
      <w:r w:rsidRPr="007B2803">
        <w:rPr>
          <w:rFonts w:hint="cs"/>
          <w:rtl/>
        </w:rPr>
        <w:t xml:space="preserve">התקבלה החלטה מושכלת בנושא, ננקטו צעדים מעשיים לקראת פיצול האגף. תהליך </w:t>
      </w:r>
      <w:r w:rsidR="00310D80">
        <w:rPr>
          <w:rFonts w:hint="cs"/>
          <w:rtl/>
        </w:rPr>
        <w:t>זה</w:t>
      </w:r>
      <w:r w:rsidRPr="007B2803">
        <w:rPr>
          <w:rFonts w:hint="cs"/>
          <w:rtl/>
        </w:rPr>
        <w:t xml:space="preserve"> בוצע בלי שעמדה לפני מקבלי ההחלטות תמונת מצב מלאה לשם הכרעה בסוגיית הפיצול ומבלי שניתן מענה לוגיסטי שיאפשר יישום מלא של ההחלטה. לנוכח האמור, </w:t>
      </w:r>
      <w:r w:rsidRPr="007B2803">
        <w:rPr>
          <w:rtl/>
        </w:rPr>
        <w:t>אין בטעמים שעמדו בבסיס ההחלטה לפיצול האגף ובאופיו של ההליך שהתקיים בעניין זה כדי להוות תשתית מספקת ליישום מהלך ארגוני יסודי ונרחב</w:t>
      </w:r>
      <w:r w:rsidRPr="007B2803">
        <w:rPr>
          <w:rFonts w:hint="cs"/>
          <w:rtl/>
        </w:rPr>
        <w:t>, שיישומו כרוך אף במינוי בעלי תפקידים בכירים נוספים, למול תיעדוף צרכים ופרויקטים אחרים הנבחנים במשרד המשפטים</w:t>
      </w:r>
      <w:r w:rsidRPr="00AF3B73">
        <w:rPr>
          <w:rFonts w:hint="cs"/>
          <w:rtl/>
        </w:rPr>
        <w:t xml:space="preserve">. </w:t>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P="003463B5" w14:paraId="3D4B0578" w14:textId="2301D8D8">
      <w:pPr>
        <w:pStyle w:val="7317"/>
        <w:spacing w:after="480"/>
        <w:rPr>
          <w:rtl/>
        </w:rPr>
      </w:pPr>
      <w:r w:rsidRPr="00310D80">
        <w:rPr>
          <w:rStyle w:val="7391"/>
          <w:rFonts w:hint="cs"/>
          <w:rtl/>
        </w:rPr>
        <w:t>תוכנית השתלמות של אנשי מקצוע -</w:t>
      </w:r>
      <w:r w:rsidRPr="00C03C8A">
        <w:rPr>
          <w:rFonts w:hint="cs"/>
          <w:rtl/>
        </w:rPr>
        <w:t xml:space="preserve"> </w:t>
      </w:r>
      <w:r w:rsidRPr="007B2803">
        <w:rPr>
          <w:rFonts w:hint="cs"/>
          <w:rtl/>
        </w:rPr>
        <w:t xml:space="preserve">נכון לדצמבר 2022, יותר מ-600 אנשי מקצוע עברו השתלמות המיועדת לבעלי תפקיד </w:t>
      </w:r>
      <w:r w:rsidRPr="007B2803">
        <w:rPr>
          <w:rFonts w:hint="eastAsia"/>
          <w:rtl/>
        </w:rPr>
        <w:t>בעבודה</w:t>
      </w:r>
      <w:r w:rsidRPr="007B2803">
        <w:rPr>
          <w:rtl/>
        </w:rPr>
        <w:t xml:space="preserve"> מעודדת שיקום כלכלי ומודע</w:t>
      </w:r>
      <w:r w:rsidRPr="007B2803">
        <w:rPr>
          <w:rFonts w:hint="cs"/>
          <w:rtl/>
        </w:rPr>
        <w:t>ו</w:t>
      </w:r>
      <w:r w:rsidRPr="007B2803">
        <w:rPr>
          <w:rtl/>
        </w:rPr>
        <w:t xml:space="preserve">ת </w:t>
      </w:r>
      <w:r w:rsidRPr="007B2803">
        <w:rPr>
          <w:rFonts w:hint="cs"/>
          <w:rtl/>
        </w:rPr>
        <w:t>ל</w:t>
      </w:r>
      <w:r w:rsidRPr="007B2803">
        <w:rPr>
          <w:rFonts w:hint="eastAsia"/>
          <w:rtl/>
        </w:rPr>
        <w:t>עוני</w:t>
      </w:r>
      <w:r>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06148A7D">
      <w:pPr>
        <w:pStyle w:val="731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7B2803" w:rsidR="003463B5">
        <w:rPr>
          <w:rFonts w:hint="cs"/>
          <w:rtl/>
        </w:rPr>
        <w:t xml:space="preserve">על </w:t>
      </w:r>
      <w:r w:rsidRPr="007B2803" w:rsidR="003463B5">
        <w:rPr>
          <w:rtl/>
        </w:rPr>
        <w:t>שר המשפטים, באישור ועדת החוקה, להשלים התקנת התקנות לעניין דרך חישוב דמי המחיה ודרך חישוב כושר השתכרותו של היחיד</w:t>
      </w:r>
      <w:r w:rsidRPr="007C7D40">
        <w:rPr>
          <w:rFonts w:hint="cs"/>
          <w:rtl/>
        </w:rPr>
        <w:t xml:space="preserve">. </w:t>
      </w:r>
    </w:p>
    <w:p w:rsidR="00EB672B" w:rsidRPr="007C7D40" w:rsidP="00EB672B" w14:paraId="723E2ABD" w14:textId="0A35662E">
      <w:pPr>
        <w:pStyle w:val="7317"/>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B2803" w:rsidR="003463B5">
        <w:rPr>
          <w:rtl/>
        </w:rPr>
        <w:t xml:space="preserve">על הממונה לפקח על אופן התנהלותם של </w:t>
      </w:r>
      <w:r w:rsidRPr="007B2803" w:rsidR="003463B5">
        <w:rPr>
          <w:rFonts w:hint="cs"/>
          <w:rtl/>
        </w:rPr>
        <w:t xml:space="preserve">כ-450 </w:t>
      </w:r>
      <w:r w:rsidRPr="007B2803" w:rsidR="003463B5">
        <w:rPr>
          <w:rtl/>
        </w:rPr>
        <w:t>הנאמנים</w:t>
      </w:r>
      <w:r w:rsidRPr="007B2803" w:rsidR="003463B5">
        <w:rPr>
          <w:rFonts w:hint="cs"/>
          <w:rtl/>
        </w:rPr>
        <w:t xml:space="preserve"> שפועלים בכ-60,000 תיקים בשנה</w:t>
      </w:r>
      <w:r w:rsidRPr="007B2803" w:rsidR="003463B5">
        <w:rPr>
          <w:rtl/>
        </w:rPr>
        <w:t>. לצורך כך מוצע כי הממונה יגבש מתווה עבודה כולל ומפורט שיבטיח פיקוח אפקטיבי על עבודת הנאמנים, ובכלל זה הוא יגדיר את פעולות הפיקוח, קריטריונים לבחינת איכות עבודתם של הנאמנים ודרכי טיפול באי-סדרים שיימצאו במסגרת פעולות הפיקוח והבקרה.</w:t>
      </w:r>
      <w:r w:rsidRPr="007B2803" w:rsidR="003463B5">
        <w:rPr>
          <w:rFonts w:hint="cs"/>
          <w:rtl/>
        </w:rPr>
        <w:t xml:space="preserve"> כמו כן, מומלץ כי </w:t>
      </w:r>
      <w:r w:rsidRPr="007B2803" w:rsidR="003463B5">
        <w:rPr>
          <w:rtl/>
        </w:rPr>
        <w:t xml:space="preserve">הממונה </w:t>
      </w:r>
      <w:r w:rsidRPr="007B2803" w:rsidR="003463B5">
        <w:rPr>
          <w:rFonts w:hint="cs"/>
          <w:rtl/>
        </w:rPr>
        <w:t>יפעיל מנגנון אפקטיבי</w:t>
      </w:r>
      <w:r w:rsidRPr="007B2803" w:rsidR="003463B5">
        <w:rPr>
          <w:rtl/>
        </w:rPr>
        <w:t xml:space="preserve"> שיבטיח טיפול מקצועי בתלונות המתקבלות על נאמנים</w:t>
      </w:r>
      <w:r w:rsidRPr="007C7D40">
        <w:rPr>
          <w:rtl/>
        </w:rPr>
        <w:t xml:space="preserve">. </w:t>
      </w:r>
    </w:p>
    <w:p w:rsidR="00EB672B" w:rsidRPr="007C7D40" w:rsidP="00EB672B" w14:paraId="55FA89EC" w14:textId="0D59D936">
      <w:pPr>
        <w:pStyle w:val="731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B2803" w:rsidR="003463B5">
        <w:rPr>
          <w:rFonts w:hint="cs"/>
          <w:rtl/>
        </w:rPr>
        <w:t>מוצע כי הממונה יפעל להגדלת היקף הפעילות של יחידת החקירות, הן בתיקי יחידים והן בתיקי תאגידים, בהלימה למספר ההליכים בתחום חדלות הפירעון. פעילות זו ראוי שתישען על יעדים מוגדרים באופן שיסייע ליחידה במימוש ייעודה באמצעות אכיפה ויצירת הרתעה מפני ניצול לרעה של הליכי חדלות פירעון. מוצע כי הממונה, בשיתוף עם הנהלת משרד המשפטים, נציבות שירות המדינה ומשרד האוצר יקיים בחינה כוללת של האמצעים הדרושים ליחידת החקירות, וכי הוא יפעל לגיבוש מענה הולם לצורך מיצוי פעילות היחידה ומימוש יעדיה</w:t>
      </w:r>
      <w:r w:rsidRPr="007C7D40">
        <w:rPr>
          <w:rFonts w:hint="cs"/>
          <w:rtl/>
        </w:rPr>
        <w:t>.</w:t>
      </w:r>
    </w:p>
    <w:p w:rsidR="00EB672B" w:rsidRPr="007C7D40" w:rsidP="00EB672B" w14:paraId="078A06EB" w14:textId="6FB246CC">
      <w:pPr>
        <w:pStyle w:val="731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B2803" w:rsidR="003463B5">
        <w:rPr>
          <w:rFonts w:hint="cs"/>
          <w:rtl/>
        </w:rPr>
        <w:t>מומלץ שהממונה והמשטרה יסדירו את ממשקי העבודה ביניהם באופן שיבטיח פעילות אפקטיבית משותפת תוך מיצוי יכולות הדדי להגברת האכיפה בתחום חדלות הפירעון</w:t>
      </w:r>
      <w:r w:rsidRPr="007C7D40">
        <w:rPr>
          <w:rFonts w:hint="cs"/>
          <w:rtl/>
        </w:rPr>
        <w:t>.</w:t>
      </w:r>
    </w:p>
    <w:p w:rsidR="00EB672B" w:rsidRPr="007C7D40" w:rsidP="00EB672B" w14:paraId="5538133A" w14:textId="529E00CF">
      <w:pPr>
        <w:pStyle w:val="7317"/>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7B2803" w:rsidR="003463B5">
        <w:rPr>
          <w:rFonts w:hint="cs"/>
          <w:rtl/>
        </w:rPr>
        <w:t>מוצע כי הממונה יבחן את מידת ההלימה בין שיעור ההמלצות להפניה להכשרה לבין שיעור המקרים שבהם נדרשת, לשיטתו, הפניה להכשרה. כמו כן, על הממונה לעשות את כל הנדרש לצורך הפעלת מערך ההכשרות בהיקפים גדולים יותר, התואמים לפוטנציאל החייבים הזקוקים להכשרות אלו. מוצע כי משרד המשפטים והממונה יפעלו לצורך יישום מענה ארגוני הולם לפעילות בתחום השיקום הכלכלי וייסדו בהתאם לכך מסגרת אופרטיבית להאצת מהלכים להשלמת פיתוח וליישום של תוכניות ותהליכים בתחום השיקום הכלכלי בכלל ובנוגע להכשרות להתנהלות כלכלית נכונה בפרט</w:t>
      </w:r>
      <w:r w:rsidRPr="007C7D40">
        <w:rPr>
          <w:rFonts w:hint="cs"/>
          <w:rtl/>
        </w:rPr>
        <w:t>.</w:t>
      </w:r>
    </w:p>
    <w:p w:rsidR="00EB672B" w:rsidP="00EB672B" w14:paraId="63467834" w14:textId="7F3E8C7E">
      <w:pPr>
        <w:pStyle w:val="731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B2803" w:rsidR="003463B5">
        <w:rPr>
          <w:rtl/>
        </w:rPr>
        <w:t>מוצע כי משרד המשפטים בשיתוף הממונה יפעלו בהקדם לגיבוש תוכנית עבודה סדורה בכל הנוגע למערכות המחשוב בממונה באופן שהליכי חדלות הפירעון יתבצעו תוך שימוש במערכות מחשוב שיאפשרו לממונה לבצע את המשימות המוטלות עליו באופן יעיל, ברמת שירות נאותה ובהתאם לנדרש בחוק</w:t>
      </w:r>
      <w:r w:rsidRPr="008E57FE">
        <w:rPr>
          <w:rFonts w:hint="cs"/>
          <w:rtl/>
        </w:rPr>
        <w:t>.</w:t>
      </w:r>
    </w:p>
    <w:p w:rsidR="00362505" w:rsidP="00362505" w14:paraId="74A7651D" w14:textId="21614BAF">
      <w:pPr>
        <w:pStyle w:val="7317"/>
        <w:rPr>
          <w:rtl/>
        </w:rPr>
      </w:pPr>
      <w:r w:rsidRPr="0063556C">
        <w:rPr>
          <w:rStyle w:val="7372"/>
          <w:rFonts w:hint="cs"/>
          <w:noProof/>
          <w:rtl/>
        </w:rPr>
        <w:drawing>
          <wp:anchor distT="0" distB="1440180" distL="107950" distR="114300" simplePos="0" relativeHeight="25169612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B2803" w:rsidR="003463B5">
        <w:rPr>
          <w:rtl/>
        </w:rPr>
        <w:t xml:space="preserve">מוצע כי הממונה ורשות האכיפה והגבייה יערכו בחינה בדבר הצורך בהקמת מערכת מידע משותפת לטיפול בהליכי חדלות פירעון, בראי היתרונות והחסרונות </w:t>
      </w:r>
      <w:r w:rsidRPr="007B2803" w:rsidR="003463B5">
        <w:rPr>
          <w:rFonts w:hint="eastAsia"/>
          <w:rtl/>
        </w:rPr>
        <w:t>שיהיו</w:t>
      </w:r>
      <w:r w:rsidRPr="007B2803" w:rsidR="003463B5">
        <w:rPr>
          <w:rtl/>
        </w:rPr>
        <w:t xml:space="preserve"> למערכת כזו, העלויות הכרוכות בכך ויעילות השימוש בה</w:t>
      </w:r>
      <w:r w:rsidRPr="008E57FE">
        <w:rPr>
          <w:rFonts w:hint="cs"/>
          <w:rtl/>
        </w:rPr>
        <w:t>.</w:t>
      </w:r>
    </w:p>
    <w:p w:rsidR="00362505" w:rsidP="00362505" w14:paraId="64F1A374" w14:textId="3464F676">
      <w:pPr>
        <w:pStyle w:val="7317"/>
        <w:rPr>
          <w:rtl/>
        </w:rPr>
      </w:pPr>
      <w:r w:rsidRPr="0063556C">
        <w:rPr>
          <w:rStyle w:val="7372"/>
          <w:rFonts w:hint="cs"/>
          <w:noProof/>
          <w:rtl/>
        </w:rPr>
        <w:drawing>
          <wp:anchor distT="0" distB="1440180" distL="107950" distR="114300" simplePos="0" relativeHeight="251697152"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623734442" name="תמונה 162373444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34442" name="תמונה 162373444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B2803" w:rsidR="003463B5">
        <w:rPr>
          <w:rFonts w:hint="cs"/>
          <w:rtl/>
        </w:rPr>
        <w:t xml:space="preserve">מומלץ כי משרד המשפטים </w:t>
      </w:r>
      <w:r w:rsidRPr="007B2803" w:rsidR="003463B5">
        <w:rPr>
          <w:rFonts w:hint="eastAsia"/>
          <w:rtl/>
        </w:rPr>
        <w:t>יקדם</w:t>
      </w:r>
      <w:r w:rsidRPr="007B2803" w:rsidR="003463B5">
        <w:rPr>
          <w:rtl/>
        </w:rPr>
        <w:t xml:space="preserve"> </w:t>
      </w:r>
      <w:r w:rsidRPr="007B2803" w:rsidR="003463B5">
        <w:rPr>
          <w:rFonts w:hint="cs"/>
          <w:rtl/>
        </w:rPr>
        <w:t xml:space="preserve">עבודת מטה לבחינת המבנה הארגוני המתאים והיעיל לפעילות בתחום חדלות הפירעון, בדגש על חלוקת הסמכויות בין הממונה לבין רשות האכיפה והגבייה. זאת כדי להביא למיצוי משאבים אופטימלי </w:t>
      </w:r>
      <w:r w:rsidRPr="007B2803" w:rsidR="003463B5">
        <w:rPr>
          <w:rFonts w:hint="cs"/>
          <w:rtl/>
        </w:rPr>
        <w:t>ולמקסום</w:t>
      </w:r>
      <w:r w:rsidRPr="007B2803" w:rsidR="003463B5">
        <w:rPr>
          <w:rFonts w:hint="cs"/>
          <w:rtl/>
        </w:rPr>
        <w:t xml:space="preserve"> תוצאות הפעילות וכדי לשפר את השירות לציבור בכלל, ולהביא לטיוב ולייעול של הטיפול בהליכי חדלות פירעון בפרט. על סמך ממצאי עבודת מטה זו מוצע לבחון, בין היתר, את הצורך בייזום של שינויי חקיקה שיאפשרו ביצוע התאמות, במידת הנדרש, בהתאם למתווה שיגובש</w:t>
      </w:r>
      <w:r w:rsidRPr="008E57FE">
        <w:rPr>
          <w:rFonts w:hint="cs"/>
          <w:rtl/>
        </w:rPr>
        <w:t>.</w:t>
      </w:r>
    </w:p>
    <w:p w:rsidR="003463B5" w:rsidP="00362505" w14:paraId="62699D10" w14:textId="1280BE50">
      <w:pPr>
        <w:pStyle w:val="7317"/>
        <w:rPr>
          <w:rtl/>
        </w:rPr>
      </w:pPr>
      <w:r w:rsidRPr="0063556C">
        <w:rPr>
          <w:rStyle w:val="7372"/>
          <w:rFonts w:hint="cs"/>
          <w:noProof/>
          <w:rtl/>
        </w:rPr>
        <w:drawing>
          <wp:anchor distT="0" distB="1440180" distL="107950" distR="114300" simplePos="0" relativeHeight="25169817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466323398" name="תמונה 46632339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23398" name="תמונה 466323398">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B2803">
        <w:rPr>
          <w:rFonts w:hint="cs"/>
          <w:rtl/>
        </w:rPr>
        <w:t>בבואו לקבל החלטות הנוגעות למבנה הארגון, אשר להן השפעה נרחבת על פעילות הארגון, על משרד המשפטים בכלל ועל מנכ"ל משרד המשפטים בפרט להתבסס על בחינה מקדימה מעמיקה, תוך התייחסות לכל הנתונים, השיקולים והחלופות הרלוונטיים ותוך הקצאת פרק זמן הולם לקיום הליך הבחינה</w:t>
      </w:r>
      <w:r w:rsidRPr="008E57FE">
        <w:rPr>
          <w:rFonts w:hint="cs"/>
          <w:rtl/>
        </w:rPr>
        <w:t>.</w:t>
      </w:r>
    </w:p>
    <w:p w:rsidR="003463B5" w14:paraId="7011CA8B" w14:textId="77777777">
      <w:pPr>
        <w:bidi w:val="0"/>
        <w:spacing w:after="200" w:line="276" w:lineRule="auto"/>
        <w:rPr>
          <w:rFonts w:ascii="Tahoma" w:hAnsi="Tahoma" w:cs="Tahoma"/>
          <w:color w:val="0D0D0D" w:themeColor="text1" w:themeTint="F2"/>
          <w:sz w:val="18"/>
          <w:szCs w:val="18"/>
          <w:rtl/>
        </w:rPr>
      </w:pPr>
      <w:r>
        <w:rPr>
          <w:rtl/>
        </w:rPr>
        <w:br w:type="page"/>
      </w:r>
    </w:p>
    <w:p w:rsidR="00362505" w:rsidP="00362505" w14:paraId="39371DD8" w14:textId="77777777">
      <w:pPr>
        <w:pStyle w:val="7317"/>
        <w:rPr>
          <w:rtl/>
        </w:rPr>
      </w:pPr>
    </w:p>
    <w:p w:rsidR="005D0F8C" w:rsidP="00EB672B" w14:paraId="6DC28C4F" w14:textId="15E77DC7">
      <w:pPr>
        <w:pStyle w:val="7317"/>
        <w:rPr>
          <w:rtl/>
        </w:rPr>
      </w:pP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94524</wp:posOffset>
                </wp:positionH>
                <wp:positionV relativeFrom="paragraph">
                  <wp:posOffset>59690</wp:posOffset>
                </wp:positionV>
                <wp:extent cx="4436745" cy="434975"/>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5C7ABF" w:rsidP="00524400" w14:textId="2DC70280">
                            <w:pPr>
                              <w:pStyle w:val="7332"/>
                              <w:rPr>
                                <w:rtl/>
                              </w:rPr>
                            </w:pPr>
                            <w:r>
                              <w:rPr>
                                <w:rFonts w:hint="cs"/>
                                <w:noProof/>
                                <w:rtl/>
                              </w:rPr>
                              <w:t>הליכי חדלות פירעון - נתונים מרכזיי</w:t>
                            </w:r>
                            <w:r w:rsidR="00310D80">
                              <w:rPr>
                                <w:rFonts w:hint="cs"/>
                                <w:rtl/>
                              </w:rPr>
                              <w:t>ם</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34.25pt;margin-top:4.7pt;margin-left:7.45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2DC70280">
                      <w:pPr>
                        <w:pStyle w:val="7332"/>
                        <w:rPr>
                          <w:rtl/>
                        </w:rPr>
                      </w:pPr>
                      <w:r>
                        <w:rPr>
                          <w:rFonts w:hint="cs"/>
                          <w:noProof/>
                          <w:rtl/>
                        </w:rPr>
                        <w:t>הליכי חדלות פירעון - נתונים מרכזיי</w:t>
                      </w:r>
                      <w:r w:rsidR="00310D80">
                        <w:rPr>
                          <w:rFonts w:hint="cs"/>
                          <w:rtl/>
                        </w:rPr>
                        <w:t>ם</w:t>
                      </w:r>
                    </w:p>
                  </w:txbxContent>
                </v:textbox>
              </v:shape>
            </w:pict>
          </mc:Fallback>
        </mc:AlternateContent>
      </w:r>
      <w:r w:rsidRPr="00D527BD" w:rsidR="00D57BE9">
        <w:rPr>
          <w:noProof/>
          <w:szCs w:val="20"/>
          <w:rtl/>
        </w:rPr>
        <w:drawing>
          <wp:anchor distT="0" distB="0" distL="114300" distR="114300" simplePos="0" relativeHeight="2516776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P="00D57BE9" w14:paraId="29744092" w14:textId="06EF01F3">
      <w:pPr>
        <w:rPr>
          <w:rtl/>
        </w:rPr>
      </w:pPr>
      <w:r>
        <w:rPr>
          <w:noProof/>
          <w:rtl/>
          <w:lang w:val="he-IL"/>
        </w:rPr>
        <w:drawing>
          <wp:inline distT="0" distB="0" distL="0" distR="0">
            <wp:extent cx="4633435" cy="1949391"/>
            <wp:effectExtent l="0" t="0" r="2540" b="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rcRect b="5437"/>
                    <a:stretch>
                      <a:fillRect/>
                    </a:stretch>
                  </pic:blipFill>
                  <pic:spPr bwMode="auto">
                    <a:xfrm>
                      <a:off x="0" y="0"/>
                      <a:ext cx="4712470" cy="1982643"/>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402D67" w:rsidRPr="00402D67" w:rsidP="00402D67" w14:paraId="569296E0" w14:textId="40C033C2">
      <w:pPr>
        <w:rPr>
          <w:rtl/>
        </w:rPr>
      </w:pPr>
      <w:r>
        <w:rPr>
          <w:noProof/>
          <w:rtl/>
          <w:lang w:val="he-IL"/>
        </w:rPr>
        <w:drawing>
          <wp:inline distT="0" distB="0" distL="0" distR="0">
            <wp:extent cx="4679950" cy="2828925"/>
            <wp:effectExtent l="0" t="0" r="6350" b="3175"/>
            <wp:docPr id="973907554"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907554" name="תמונה 973907554"/>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2828925"/>
                    </a:xfrm>
                    <a:prstGeom prst="rect">
                      <a:avLst/>
                    </a:prstGeom>
                  </pic:spPr>
                </pic:pic>
              </a:graphicData>
            </a:graphic>
          </wp:inline>
        </w:drawing>
      </w:r>
    </w:p>
    <w:p w:rsidR="00310D80" w:rsidRPr="00310D80" w:rsidP="00310D80" w14:paraId="3B6E79C6" w14:textId="2692534E">
      <w:pPr>
        <w:pStyle w:val="738"/>
        <w:rPr>
          <w:rtl/>
        </w:rPr>
      </w:pPr>
      <w:r w:rsidRPr="00310D80">
        <w:rPr>
          <w:rtl/>
        </w:rPr>
        <w:t>על פי נתוני הממונה ורשות האכיפה והגביה, בעיבוד משרד מבקר המדינה</w:t>
      </w:r>
      <w:r w:rsidRPr="00310D80">
        <w:t>.</w:t>
      </w:r>
    </w:p>
    <w:p w:rsidR="00362505" w14:paraId="3DE42211" w14:textId="77777777">
      <w:pPr>
        <w:bidi w:val="0"/>
        <w:spacing w:after="200" w:line="276" w:lineRule="auto"/>
        <w:rPr>
          <w:rFonts w:ascii="Tahoma" w:hAnsi="Tahoma" w:cs="Tahoma"/>
          <w:color w:val="0D0D0D" w:themeColor="text1" w:themeTint="F2"/>
          <w:sz w:val="16"/>
          <w:szCs w:val="16"/>
          <w:rtl/>
        </w:rPr>
      </w:pPr>
      <w:r>
        <w:rPr>
          <w:rtl/>
        </w:rPr>
        <w:br w:type="page"/>
      </w:r>
    </w:p>
    <w:p w:rsidR="004E71DD" w:rsidP="004E71DD" w14:paraId="7C33D7DD" w14:textId="7A449BE3">
      <w:pPr>
        <w:pStyle w:val="73"/>
        <w:rPr>
          <w:rtl/>
        </w:rPr>
      </w:pPr>
      <w:r w:rsidRPr="00EF3061">
        <w:rPr>
          <w:rFonts w:hint="cs"/>
          <w:rtl/>
        </w:rPr>
        <w:t>סיכום</w:t>
      </w:r>
    </w:p>
    <w:p w:rsidR="008A173D" w:rsidRPr="008A173D" w:rsidP="008A173D" w14:paraId="27F2F7E4" w14:textId="77777777">
      <w:pPr>
        <w:pStyle w:val="7392"/>
        <w:rPr>
          <w:rtl/>
        </w:rPr>
      </w:pPr>
      <w:r w:rsidRPr="008A173D">
        <w:rPr>
          <w:rFonts w:hint="cs"/>
          <w:rtl/>
        </w:rPr>
        <w:t xml:space="preserve">לטיפול בהליכי חדלות פירעון השפעות ניכרות על מאות אלפי חייבים ונושים, על תאגידים רבים, ועשויות להיות לו אף השפעות כלכליות וחברתיות ברמה המשקית והלאומית. </w:t>
      </w:r>
    </w:p>
    <w:p w:rsidR="008A173D" w:rsidRPr="008A173D" w:rsidP="008A173D" w14:paraId="2F1C9DF3" w14:textId="77777777">
      <w:pPr>
        <w:pStyle w:val="7392"/>
        <w:rPr>
          <w:rtl/>
        </w:rPr>
      </w:pPr>
      <w:r w:rsidRPr="008A173D">
        <w:rPr>
          <w:rFonts w:hint="cs"/>
          <w:rtl/>
        </w:rPr>
        <w:t xml:space="preserve">ממצאי ביקורת זו מלמדים על ליקויים משמעותיים בטיפול משרד המשפטים בהליכי חדלות פירעון, וכן על פערים ניכרים בהתמודדות הממונה עם האתגרים הניצבים לפניו, בדגש על הטיפול בהליכי חדלות פירעון של יחידים. כך, בין היתר, נמצאו פערים בשלושה תחומי ליבה בפעילות הממונה על חדלות פירעון: </w:t>
      </w:r>
      <w:r w:rsidRPr="008A173D">
        <w:rPr>
          <w:rFonts w:hint="eastAsia"/>
          <w:rtl/>
        </w:rPr>
        <w:t>שיקום</w:t>
      </w:r>
      <w:r w:rsidRPr="008A173D">
        <w:rPr>
          <w:rtl/>
        </w:rPr>
        <w:t xml:space="preserve"> </w:t>
      </w:r>
      <w:r w:rsidRPr="008A173D">
        <w:rPr>
          <w:rFonts w:hint="eastAsia"/>
          <w:rtl/>
        </w:rPr>
        <w:t>כלכלי</w:t>
      </w:r>
      <w:r w:rsidRPr="008A173D">
        <w:rPr>
          <w:rFonts w:hint="cs"/>
          <w:rtl/>
        </w:rPr>
        <w:t xml:space="preserve"> </w:t>
      </w:r>
      <w:r w:rsidRPr="008A173D">
        <w:rPr>
          <w:rtl/>
        </w:rPr>
        <w:t>–</w:t>
      </w:r>
      <w:r w:rsidRPr="008A173D">
        <w:rPr>
          <w:rFonts w:hint="cs"/>
          <w:rtl/>
        </w:rPr>
        <w:t xml:space="preserve"> רק מקצת החייבים אשר הכשרה להתנהלות כלכלית נכונה רלוונטית בעניינם משתתפים בה בפועל; פיקוח על נאמנים - היחידה לפיקוח על נאמנים אינה מבצעת בקרות יזומות וחקירות עומק בדבר התנהלותם של הנאמנים; </w:t>
      </w:r>
      <w:r w:rsidRPr="008A173D">
        <w:rPr>
          <w:rFonts w:hint="eastAsia"/>
          <w:rtl/>
        </w:rPr>
        <w:t>חקירות</w:t>
      </w:r>
      <w:r w:rsidRPr="008A173D">
        <w:rPr>
          <w:rFonts w:hint="cs"/>
          <w:rtl/>
        </w:rPr>
        <w:t xml:space="preserve"> - יחידת החקירות פועלת בהיקפים מצומצמים ומטפלת בתיקים מעטים, באופן המעלה חשש לפגיעה בהרתעה וביכולת לאכיפת החוק. </w:t>
      </w:r>
    </w:p>
    <w:p w:rsidR="008A173D" w:rsidRPr="008A173D" w:rsidP="008A173D" w14:paraId="77E44EFD" w14:textId="77777777">
      <w:pPr>
        <w:pStyle w:val="7392"/>
        <w:rPr>
          <w:rtl/>
        </w:rPr>
      </w:pPr>
      <w:r w:rsidRPr="008A173D">
        <w:rPr>
          <w:rFonts w:hint="cs"/>
          <w:rtl/>
        </w:rPr>
        <w:t xml:space="preserve">מכלול ממצאי הדוח העוסקים בשורה של היבטים תפקודיים וארגוניים מחייבים פעולת תיקון רחבה באופן שיאפשר פעילות אפקטיבית להשגת היעדים שנקבעו בחוק </w:t>
      </w:r>
      <w:r w:rsidRPr="008A173D">
        <w:rPr>
          <w:rFonts w:hint="cs"/>
          <w:rtl/>
        </w:rPr>
        <w:t>חדל"פ</w:t>
      </w:r>
      <w:r w:rsidRPr="008A173D">
        <w:rPr>
          <w:rFonts w:hint="cs"/>
          <w:rtl/>
        </w:rPr>
        <w:t>. חיזוק פעילות הממונה בתחומי הליבה כאמור מצריך גם גישור על פערים שהועלו בדוח במישורים ארגוניים, תפעוליים ותומכים, ובכלל זה: קידום הליכים שיבטיחו את יכולת ההפעלה של מערכת המחשוב</w:t>
      </w:r>
      <w:r w:rsidRPr="008A173D">
        <w:rPr>
          <w:rtl/>
        </w:rPr>
        <w:t xml:space="preserve">; איסוף מידע לצורכי ניתוח ומחקר; מתן מענה </w:t>
      </w:r>
      <w:r w:rsidRPr="008A173D">
        <w:rPr>
          <w:rFonts w:hint="eastAsia"/>
          <w:rtl/>
        </w:rPr>
        <w:t>על</w:t>
      </w:r>
      <w:r w:rsidRPr="008A173D">
        <w:rPr>
          <w:rtl/>
        </w:rPr>
        <w:t xml:space="preserve"> פערים </w:t>
      </w:r>
      <w:r w:rsidRPr="008A173D">
        <w:rPr>
          <w:rFonts w:hint="eastAsia"/>
          <w:rtl/>
        </w:rPr>
        <w:t>מבניים</w:t>
      </w:r>
      <w:r w:rsidRPr="008A173D">
        <w:rPr>
          <w:rtl/>
        </w:rPr>
        <w:t xml:space="preserve">-ארגוניים </w:t>
      </w:r>
      <w:r w:rsidRPr="008A173D">
        <w:rPr>
          <w:rFonts w:hint="eastAsia"/>
          <w:rtl/>
        </w:rPr>
        <w:t>שהועלו</w:t>
      </w:r>
      <w:r w:rsidRPr="008A173D">
        <w:rPr>
          <w:rtl/>
        </w:rPr>
        <w:t xml:space="preserve"> </w:t>
      </w:r>
      <w:r w:rsidRPr="008A173D">
        <w:rPr>
          <w:rFonts w:hint="eastAsia"/>
          <w:rtl/>
        </w:rPr>
        <w:t>בדוח</w:t>
      </w:r>
      <w:r w:rsidRPr="008A173D">
        <w:rPr>
          <w:rtl/>
        </w:rPr>
        <w:t xml:space="preserve"> </w:t>
      </w:r>
      <w:r w:rsidRPr="008A173D">
        <w:rPr>
          <w:rFonts w:hint="eastAsia"/>
          <w:rtl/>
        </w:rPr>
        <w:t>זה</w:t>
      </w:r>
      <w:r w:rsidRPr="008A173D">
        <w:rPr>
          <w:rtl/>
        </w:rPr>
        <w:t xml:space="preserve"> </w:t>
      </w:r>
      <w:r w:rsidRPr="008A173D">
        <w:rPr>
          <w:rFonts w:hint="eastAsia"/>
          <w:rtl/>
        </w:rPr>
        <w:t>בכל</w:t>
      </w:r>
      <w:r w:rsidRPr="008A173D">
        <w:rPr>
          <w:rtl/>
        </w:rPr>
        <w:t xml:space="preserve"> </w:t>
      </w:r>
      <w:r w:rsidRPr="008A173D">
        <w:rPr>
          <w:rFonts w:hint="eastAsia"/>
          <w:rtl/>
        </w:rPr>
        <w:t>אחד</w:t>
      </w:r>
      <w:r w:rsidRPr="008A173D">
        <w:rPr>
          <w:rtl/>
        </w:rPr>
        <w:t xml:space="preserve"> </w:t>
      </w:r>
      <w:r w:rsidRPr="008A173D">
        <w:rPr>
          <w:rFonts w:hint="eastAsia"/>
          <w:rtl/>
        </w:rPr>
        <w:t>מתחומי</w:t>
      </w:r>
      <w:r w:rsidRPr="008A173D">
        <w:rPr>
          <w:rtl/>
        </w:rPr>
        <w:t xml:space="preserve"> </w:t>
      </w:r>
      <w:r w:rsidRPr="008A173D">
        <w:rPr>
          <w:rFonts w:hint="eastAsia"/>
          <w:rtl/>
        </w:rPr>
        <w:t>הליבה</w:t>
      </w:r>
      <w:r w:rsidRPr="008A173D">
        <w:rPr>
          <w:rtl/>
        </w:rPr>
        <w:t xml:space="preserve">; </w:t>
      </w:r>
      <w:r w:rsidRPr="008A173D">
        <w:rPr>
          <w:rFonts w:hint="eastAsia"/>
          <w:rtl/>
        </w:rPr>
        <w:t>כמו</w:t>
      </w:r>
      <w:r w:rsidRPr="008A173D">
        <w:rPr>
          <w:rtl/>
        </w:rPr>
        <w:t xml:space="preserve"> </w:t>
      </w:r>
      <w:r w:rsidRPr="008A173D">
        <w:rPr>
          <w:rFonts w:hint="eastAsia"/>
          <w:rtl/>
        </w:rPr>
        <w:t>כן</w:t>
      </w:r>
      <w:r w:rsidRPr="008A173D">
        <w:rPr>
          <w:rtl/>
        </w:rPr>
        <w:t xml:space="preserve">, מוצע כי משרד המשפטים, שאחראי </w:t>
      </w:r>
      <w:r w:rsidRPr="008A173D">
        <w:rPr>
          <w:rFonts w:hint="eastAsia"/>
          <w:rtl/>
        </w:rPr>
        <w:t>לשתי</w:t>
      </w:r>
      <w:r w:rsidRPr="008A173D">
        <w:rPr>
          <w:rtl/>
        </w:rPr>
        <w:t xml:space="preserve"> זרועות </w:t>
      </w:r>
      <w:r w:rsidRPr="008A173D">
        <w:rPr>
          <w:rFonts w:hint="cs"/>
          <w:rtl/>
        </w:rPr>
        <w:t>ה</w:t>
      </w:r>
      <w:r w:rsidRPr="008A173D">
        <w:rPr>
          <w:rtl/>
        </w:rPr>
        <w:t xml:space="preserve">ביצוע </w:t>
      </w:r>
      <w:r w:rsidRPr="008A173D">
        <w:rPr>
          <w:rFonts w:hint="cs"/>
          <w:rtl/>
        </w:rPr>
        <w:t>המטפלות בתחום חדלות הפירעון (הממונה ורשות האכיפה והגביה),</w:t>
      </w:r>
      <w:r w:rsidRPr="008A173D">
        <w:rPr>
          <w:rtl/>
        </w:rPr>
        <w:t xml:space="preserve"> יקדם את עבודת המטה</w:t>
      </w:r>
      <w:r w:rsidRPr="008A173D">
        <w:rPr>
          <w:rFonts w:hint="cs"/>
          <w:rtl/>
        </w:rPr>
        <w:t xml:space="preserve"> </w:t>
      </w:r>
      <w:r w:rsidRPr="008A173D">
        <w:rPr>
          <w:rtl/>
        </w:rPr>
        <w:t xml:space="preserve">לבחינת המבנה הארגוני הקיים. זאת, כדי לבחון את הצורך בשינויים </w:t>
      </w:r>
      <w:r w:rsidRPr="008A173D">
        <w:rPr>
          <w:rFonts w:hint="eastAsia"/>
          <w:rtl/>
        </w:rPr>
        <w:t>על</w:t>
      </w:r>
      <w:r w:rsidRPr="008A173D">
        <w:rPr>
          <w:rtl/>
        </w:rPr>
        <w:t xml:space="preserve"> מנת </w:t>
      </w:r>
      <w:r w:rsidRPr="008A173D">
        <w:rPr>
          <w:rFonts w:hint="eastAsia"/>
          <w:rtl/>
        </w:rPr>
        <w:t>להביא</w:t>
      </w:r>
      <w:r w:rsidRPr="008A173D">
        <w:rPr>
          <w:rtl/>
        </w:rPr>
        <w:t xml:space="preserve"> למיצוי משאבים אופטימלי, </w:t>
      </w:r>
      <w:r w:rsidRPr="008A173D">
        <w:rPr>
          <w:rFonts w:hint="eastAsia"/>
          <w:rtl/>
        </w:rPr>
        <w:t>לטיובו</w:t>
      </w:r>
      <w:r w:rsidRPr="008A173D">
        <w:rPr>
          <w:rtl/>
        </w:rPr>
        <w:t xml:space="preserve"> ו</w:t>
      </w:r>
      <w:r w:rsidRPr="008A173D">
        <w:rPr>
          <w:rFonts w:hint="eastAsia"/>
          <w:rtl/>
        </w:rPr>
        <w:t>לייעולו</w:t>
      </w:r>
      <w:r w:rsidRPr="008A173D">
        <w:rPr>
          <w:rtl/>
        </w:rPr>
        <w:t xml:space="preserve"> </w:t>
      </w:r>
      <w:r w:rsidRPr="008A173D">
        <w:rPr>
          <w:rFonts w:hint="eastAsia"/>
          <w:rtl/>
        </w:rPr>
        <w:t>של</w:t>
      </w:r>
      <w:r w:rsidRPr="008A173D">
        <w:rPr>
          <w:rtl/>
        </w:rPr>
        <w:t xml:space="preserve"> הטיפול בהליכי חדלות פירעון ו</w:t>
      </w:r>
      <w:r w:rsidRPr="008A173D">
        <w:rPr>
          <w:rFonts w:hint="eastAsia"/>
          <w:rtl/>
        </w:rPr>
        <w:t>כן</w:t>
      </w:r>
      <w:r w:rsidRPr="008A173D">
        <w:rPr>
          <w:rtl/>
        </w:rPr>
        <w:t xml:space="preserve"> </w:t>
      </w:r>
      <w:r w:rsidRPr="008A173D">
        <w:rPr>
          <w:rFonts w:hint="eastAsia"/>
          <w:rtl/>
        </w:rPr>
        <w:t>על</w:t>
      </w:r>
      <w:r w:rsidRPr="008A173D">
        <w:rPr>
          <w:rtl/>
        </w:rPr>
        <w:t xml:space="preserve"> </w:t>
      </w:r>
      <w:r w:rsidRPr="008A173D">
        <w:rPr>
          <w:rFonts w:hint="eastAsia"/>
          <w:rtl/>
        </w:rPr>
        <w:t>מנת</w:t>
      </w:r>
      <w:r w:rsidRPr="008A173D">
        <w:rPr>
          <w:rtl/>
        </w:rPr>
        <w:t xml:space="preserve"> </w:t>
      </w:r>
      <w:r w:rsidRPr="008A173D">
        <w:rPr>
          <w:rFonts w:hint="eastAsia"/>
          <w:rtl/>
        </w:rPr>
        <w:t>להביא</w:t>
      </w:r>
      <w:r w:rsidRPr="008A173D">
        <w:rPr>
          <w:rtl/>
        </w:rPr>
        <w:t xml:space="preserve"> </w:t>
      </w:r>
      <w:r w:rsidRPr="008A173D">
        <w:rPr>
          <w:rFonts w:hint="eastAsia"/>
          <w:rtl/>
        </w:rPr>
        <w:t>לשיפור</w:t>
      </w:r>
      <w:r w:rsidRPr="008A173D">
        <w:rPr>
          <w:rtl/>
        </w:rPr>
        <w:t xml:space="preserve"> </w:t>
      </w:r>
      <w:r w:rsidRPr="008A173D">
        <w:rPr>
          <w:rFonts w:hint="eastAsia"/>
          <w:rtl/>
        </w:rPr>
        <w:t>השירות</w:t>
      </w:r>
      <w:r w:rsidRPr="008A173D">
        <w:rPr>
          <w:rtl/>
        </w:rPr>
        <w:t xml:space="preserve"> </w:t>
      </w:r>
      <w:r w:rsidRPr="008A173D">
        <w:rPr>
          <w:rFonts w:hint="eastAsia"/>
          <w:rtl/>
        </w:rPr>
        <w:t>לציבור</w:t>
      </w:r>
      <w:r w:rsidRPr="008A173D">
        <w:rPr>
          <w:rtl/>
        </w:rPr>
        <w:t xml:space="preserve">. </w:t>
      </w:r>
      <w:r w:rsidRPr="008A173D">
        <w:rPr>
          <w:rFonts w:hint="cs"/>
          <w:rtl/>
        </w:rPr>
        <w:t>כמו כן,</w:t>
      </w:r>
      <w:r w:rsidRPr="008A173D">
        <w:rPr>
          <w:rtl/>
        </w:rPr>
        <w:t xml:space="preserve"> </w:t>
      </w:r>
      <w:r w:rsidRPr="008A173D">
        <w:rPr>
          <w:rFonts w:hint="eastAsia"/>
          <w:rtl/>
        </w:rPr>
        <w:t>בבואו</w:t>
      </w:r>
      <w:r w:rsidRPr="008A173D">
        <w:rPr>
          <w:rtl/>
        </w:rPr>
        <w:t xml:space="preserve"> </w:t>
      </w:r>
      <w:r w:rsidRPr="008A173D">
        <w:rPr>
          <w:rFonts w:hint="eastAsia"/>
          <w:rtl/>
        </w:rPr>
        <w:t>לקבל</w:t>
      </w:r>
      <w:r w:rsidRPr="008A173D">
        <w:rPr>
          <w:rtl/>
        </w:rPr>
        <w:t xml:space="preserve"> </w:t>
      </w:r>
      <w:r w:rsidRPr="008A173D">
        <w:rPr>
          <w:rFonts w:hint="eastAsia"/>
          <w:rtl/>
        </w:rPr>
        <w:t>החלטות</w:t>
      </w:r>
      <w:r w:rsidRPr="008A173D">
        <w:rPr>
          <w:rtl/>
        </w:rPr>
        <w:t xml:space="preserve"> </w:t>
      </w:r>
      <w:r w:rsidRPr="008A173D">
        <w:rPr>
          <w:rFonts w:hint="eastAsia"/>
          <w:rtl/>
        </w:rPr>
        <w:t>הנוגעות</w:t>
      </w:r>
      <w:r w:rsidRPr="008A173D">
        <w:rPr>
          <w:rtl/>
        </w:rPr>
        <w:t xml:space="preserve"> </w:t>
      </w:r>
      <w:r w:rsidRPr="008A173D">
        <w:rPr>
          <w:rFonts w:hint="eastAsia"/>
          <w:rtl/>
        </w:rPr>
        <w:t>למבנה</w:t>
      </w:r>
      <w:r w:rsidRPr="008A173D">
        <w:rPr>
          <w:rtl/>
        </w:rPr>
        <w:t xml:space="preserve"> </w:t>
      </w:r>
      <w:r w:rsidRPr="008A173D">
        <w:rPr>
          <w:rFonts w:hint="eastAsia"/>
          <w:rtl/>
        </w:rPr>
        <w:t>הארגון</w:t>
      </w:r>
      <w:r w:rsidRPr="008A173D">
        <w:rPr>
          <w:rtl/>
        </w:rPr>
        <w:t xml:space="preserve">, </w:t>
      </w:r>
      <w:r w:rsidRPr="008A173D">
        <w:rPr>
          <w:rFonts w:hint="eastAsia"/>
          <w:rtl/>
        </w:rPr>
        <w:t>אשר</w:t>
      </w:r>
      <w:r w:rsidRPr="008A173D">
        <w:rPr>
          <w:rtl/>
        </w:rPr>
        <w:t xml:space="preserve"> </w:t>
      </w:r>
      <w:r w:rsidRPr="008A173D">
        <w:rPr>
          <w:rFonts w:hint="eastAsia"/>
          <w:rtl/>
        </w:rPr>
        <w:t>להן</w:t>
      </w:r>
      <w:r w:rsidRPr="008A173D">
        <w:rPr>
          <w:rtl/>
        </w:rPr>
        <w:t xml:space="preserve"> </w:t>
      </w:r>
      <w:r w:rsidRPr="008A173D">
        <w:rPr>
          <w:rFonts w:hint="eastAsia"/>
          <w:rtl/>
        </w:rPr>
        <w:t>השפעה</w:t>
      </w:r>
      <w:r w:rsidRPr="008A173D">
        <w:rPr>
          <w:rtl/>
        </w:rPr>
        <w:t xml:space="preserve"> </w:t>
      </w:r>
      <w:r w:rsidRPr="008A173D">
        <w:rPr>
          <w:rFonts w:hint="eastAsia"/>
          <w:rtl/>
        </w:rPr>
        <w:t>נרחבת</w:t>
      </w:r>
      <w:r w:rsidRPr="008A173D">
        <w:rPr>
          <w:rtl/>
        </w:rPr>
        <w:t xml:space="preserve">, </w:t>
      </w:r>
      <w:r w:rsidRPr="008A173D">
        <w:rPr>
          <w:rFonts w:hint="eastAsia"/>
          <w:rtl/>
        </w:rPr>
        <w:t>על</w:t>
      </w:r>
      <w:r w:rsidRPr="008A173D">
        <w:rPr>
          <w:rtl/>
        </w:rPr>
        <w:t xml:space="preserve"> </w:t>
      </w:r>
      <w:r w:rsidRPr="008A173D">
        <w:rPr>
          <w:rFonts w:hint="eastAsia"/>
          <w:rtl/>
        </w:rPr>
        <w:t>משרד</w:t>
      </w:r>
      <w:r w:rsidRPr="008A173D">
        <w:rPr>
          <w:rtl/>
        </w:rPr>
        <w:t xml:space="preserve"> </w:t>
      </w:r>
      <w:r w:rsidRPr="008A173D">
        <w:rPr>
          <w:rFonts w:hint="eastAsia"/>
          <w:rtl/>
        </w:rPr>
        <w:t>המשפטים</w:t>
      </w:r>
      <w:r w:rsidRPr="008A173D">
        <w:rPr>
          <w:rtl/>
        </w:rPr>
        <w:t xml:space="preserve"> </w:t>
      </w:r>
      <w:r w:rsidRPr="008A173D">
        <w:rPr>
          <w:rFonts w:hint="eastAsia"/>
          <w:rtl/>
        </w:rPr>
        <w:t>בכלל</w:t>
      </w:r>
      <w:r w:rsidRPr="008A173D">
        <w:rPr>
          <w:rtl/>
        </w:rPr>
        <w:t xml:space="preserve"> </w:t>
      </w:r>
      <w:r w:rsidRPr="008A173D">
        <w:rPr>
          <w:rFonts w:hint="eastAsia"/>
          <w:rtl/>
        </w:rPr>
        <w:t>ועל</w:t>
      </w:r>
      <w:r w:rsidRPr="008A173D">
        <w:rPr>
          <w:rtl/>
        </w:rPr>
        <w:t xml:space="preserve"> </w:t>
      </w:r>
      <w:r w:rsidRPr="008A173D">
        <w:rPr>
          <w:rFonts w:hint="eastAsia"/>
          <w:rtl/>
        </w:rPr>
        <w:t>מנכ</w:t>
      </w:r>
      <w:r w:rsidRPr="008A173D">
        <w:rPr>
          <w:rtl/>
        </w:rPr>
        <w:t xml:space="preserve">"ל </w:t>
      </w:r>
      <w:r w:rsidRPr="008A173D">
        <w:rPr>
          <w:rFonts w:hint="eastAsia"/>
          <w:rtl/>
        </w:rPr>
        <w:t>משרד</w:t>
      </w:r>
      <w:r w:rsidRPr="008A173D">
        <w:rPr>
          <w:rtl/>
        </w:rPr>
        <w:t xml:space="preserve"> </w:t>
      </w:r>
      <w:r w:rsidRPr="008A173D">
        <w:rPr>
          <w:rFonts w:hint="eastAsia"/>
          <w:rtl/>
        </w:rPr>
        <w:t>המשפטים</w:t>
      </w:r>
      <w:r w:rsidRPr="008A173D">
        <w:rPr>
          <w:rtl/>
        </w:rPr>
        <w:t xml:space="preserve"> </w:t>
      </w:r>
      <w:r w:rsidRPr="008A173D">
        <w:rPr>
          <w:rFonts w:hint="eastAsia"/>
          <w:rtl/>
        </w:rPr>
        <w:t>בפרט</w:t>
      </w:r>
      <w:r w:rsidRPr="008A173D">
        <w:rPr>
          <w:rtl/>
        </w:rPr>
        <w:t xml:space="preserve"> </w:t>
      </w:r>
      <w:r w:rsidRPr="008A173D">
        <w:rPr>
          <w:rFonts w:hint="eastAsia"/>
          <w:rtl/>
        </w:rPr>
        <w:t>להתבסס</w:t>
      </w:r>
      <w:r w:rsidRPr="008A173D">
        <w:rPr>
          <w:rtl/>
        </w:rPr>
        <w:t xml:space="preserve"> </w:t>
      </w:r>
      <w:r w:rsidRPr="008A173D">
        <w:rPr>
          <w:rFonts w:hint="eastAsia"/>
          <w:rtl/>
        </w:rPr>
        <w:t>על</w:t>
      </w:r>
      <w:r w:rsidRPr="008A173D">
        <w:rPr>
          <w:rtl/>
        </w:rPr>
        <w:t xml:space="preserve"> </w:t>
      </w:r>
      <w:r w:rsidRPr="008A173D">
        <w:rPr>
          <w:rFonts w:hint="eastAsia"/>
          <w:rtl/>
        </w:rPr>
        <w:t>בחינה</w:t>
      </w:r>
      <w:r w:rsidRPr="008A173D">
        <w:rPr>
          <w:rtl/>
        </w:rPr>
        <w:t xml:space="preserve"> </w:t>
      </w:r>
      <w:r w:rsidRPr="008A173D">
        <w:rPr>
          <w:rFonts w:hint="eastAsia"/>
          <w:rtl/>
        </w:rPr>
        <w:t>מקדימה</w:t>
      </w:r>
      <w:r w:rsidRPr="008A173D">
        <w:rPr>
          <w:rtl/>
        </w:rPr>
        <w:t xml:space="preserve"> </w:t>
      </w:r>
      <w:r w:rsidRPr="008A173D">
        <w:rPr>
          <w:rFonts w:hint="eastAsia"/>
          <w:rtl/>
        </w:rPr>
        <w:t>מעמיקה</w:t>
      </w:r>
      <w:r w:rsidRPr="008A173D">
        <w:rPr>
          <w:rtl/>
        </w:rPr>
        <w:t xml:space="preserve"> </w:t>
      </w:r>
      <w:r w:rsidRPr="008A173D">
        <w:rPr>
          <w:rFonts w:hint="eastAsia"/>
          <w:rtl/>
        </w:rPr>
        <w:t>ונרחבת</w:t>
      </w:r>
      <w:r w:rsidRPr="008A173D">
        <w:rPr>
          <w:rtl/>
        </w:rPr>
        <w:t xml:space="preserve">, </w:t>
      </w:r>
      <w:r w:rsidRPr="008A173D">
        <w:rPr>
          <w:rFonts w:hint="eastAsia"/>
          <w:rtl/>
        </w:rPr>
        <w:t>תוך</w:t>
      </w:r>
      <w:r w:rsidRPr="008A173D">
        <w:rPr>
          <w:rtl/>
        </w:rPr>
        <w:t xml:space="preserve"> </w:t>
      </w:r>
      <w:r w:rsidRPr="008A173D">
        <w:rPr>
          <w:rFonts w:hint="eastAsia"/>
          <w:rtl/>
        </w:rPr>
        <w:t>הקצאת</w:t>
      </w:r>
      <w:r w:rsidRPr="008A173D">
        <w:rPr>
          <w:rtl/>
        </w:rPr>
        <w:t xml:space="preserve"> </w:t>
      </w:r>
      <w:r w:rsidRPr="008A173D">
        <w:rPr>
          <w:rFonts w:hint="eastAsia"/>
          <w:rtl/>
        </w:rPr>
        <w:t>פרק</w:t>
      </w:r>
      <w:r w:rsidRPr="008A173D">
        <w:rPr>
          <w:rtl/>
        </w:rPr>
        <w:t xml:space="preserve"> </w:t>
      </w:r>
      <w:r w:rsidRPr="008A173D">
        <w:rPr>
          <w:rFonts w:hint="eastAsia"/>
          <w:rtl/>
        </w:rPr>
        <w:t>זמן</w:t>
      </w:r>
      <w:r w:rsidRPr="008A173D">
        <w:rPr>
          <w:rtl/>
        </w:rPr>
        <w:t xml:space="preserve"> </w:t>
      </w:r>
      <w:r w:rsidRPr="008A173D">
        <w:rPr>
          <w:rFonts w:hint="eastAsia"/>
          <w:rtl/>
        </w:rPr>
        <w:t>הולם</w:t>
      </w:r>
      <w:r w:rsidRPr="008A173D">
        <w:rPr>
          <w:rtl/>
        </w:rPr>
        <w:t xml:space="preserve"> </w:t>
      </w:r>
      <w:r w:rsidRPr="008A173D">
        <w:rPr>
          <w:rFonts w:hint="eastAsia"/>
          <w:rtl/>
        </w:rPr>
        <w:t>לקיום</w:t>
      </w:r>
      <w:r w:rsidRPr="008A173D">
        <w:rPr>
          <w:rtl/>
        </w:rPr>
        <w:t xml:space="preserve"> </w:t>
      </w:r>
      <w:r w:rsidRPr="008A173D">
        <w:rPr>
          <w:rFonts w:hint="eastAsia"/>
          <w:rtl/>
        </w:rPr>
        <w:t>הליך</w:t>
      </w:r>
      <w:r w:rsidRPr="008A173D">
        <w:rPr>
          <w:rtl/>
        </w:rPr>
        <w:t xml:space="preserve"> </w:t>
      </w:r>
      <w:r w:rsidRPr="008A173D">
        <w:rPr>
          <w:rFonts w:hint="eastAsia"/>
          <w:rtl/>
        </w:rPr>
        <w:t>הבחינה</w:t>
      </w:r>
      <w:r w:rsidRPr="008A173D">
        <w:rPr>
          <w:rtl/>
        </w:rPr>
        <w:t xml:space="preserve">. </w:t>
      </w:r>
      <w:r w:rsidRPr="008A173D">
        <w:rPr>
          <w:rFonts w:hint="cs"/>
          <w:rtl/>
        </w:rPr>
        <w:t>ראוי כי הליך השינוי הארגוני שבוצע בשנת 2022 ושבמסגרתו פוצל האגף לשתי זרועות ינותח ויילמד כחלק מהליך הפקת לקחים שישמש את משרד המשפטים בבואו לקדם הליכים ארגוניים עתידיים.</w:t>
      </w:r>
    </w:p>
    <w:p w:rsidR="000A48F0" w:rsidP="008A173D" w14:paraId="7A555FDA" w14:textId="1CD5D9A6">
      <w:pPr>
        <w:pStyle w:val="7392"/>
        <w:rPr>
          <w:rtl/>
        </w:rPr>
      </w:pPr>
      <w:r w:rsidRPr="008A173D">
        <w:rPr>
          <w:rFonts w:hint="cs"/>
          <w:rtl/>
        </w:rPr>
        <w:t>על משרד המשפטים והממונה לפעול לתיקון הליקויים העולים מדוח זה</w:t>
      </w:r>
      <w:r w:rsidRPr="008A173D" w:rsidR="00AD1000">
        <w:rPr>
          <w:rFonts w:hint="cs"/>
          <w:rtl/>
        </w:rPr>
        <w:t>.</w:t>
      </w:r>
    </w:p>
    <w:p w:rsidR="000A48F0" w14:paraId="530B669B" w14:textId="77777777">
      <w:pPr>
        <w:bidi w:val="0"/>
        <w:spacing w:after="200" w:line="276" w:lineRule="auto"/>
        <w:rPr>
          <w:rFonts w:ascii="Tahoma" w:hAnsi="Tahoma" w:cs="Tahoma"/>
          <w:color w:val="0D0D0D" w:themeColor="text1" w:themeTint="F2"/>
          <w:sz w:val="18"/>
          <w:szCs w:val="18"/>
          <w:rtl/>
        </w:rPr>
      </w:pPr>
      <w:r>
        <w:rPr>
          <w:rtl/>
        </w:rPr>
        <w:br w:type="page"/>
      </w:r>
    </w:p>
    <w:p w:rsidR="00AD1000" w:rsidRPr="008A173D" w:rsidP="008A173D" w14:paraId="555AF0D4" w14:textId="0D637B14">
      <w:pPr>
        <w:pStyle w:val="7392"/>
        <w:rPr>
          <w:rtl/>
        </w:rPr>
      </w:pPr>
      <w:r>
        <w:rPr>
          <w:noProof/>
          <w:rtl/>
          <w:lang w:val="he-IL"/>
        </w:rPr>
        <mc:AlternateContent>
          <mc:Choice Requires="wps">
            <w:drawing>
              <wp:anchor distT="0" distB="0" distL="114300" distR="114300" simplePos="0" relativeHeight="251707392" behindDoc="0" locked="0" layoutInCell="1" allowOverlap="1">
                <wp:simplePos x="0" y="0"/>
                <wp:positionH relativeFrom="column">
                  <wp:posOffset>-1395575</wp:posOffset>
                </wp:positionH>
                <wp:positionV relativeFrom="paragraph">
                  <wp:posOffset>-706585</wp:posOffset>
                </wp:positionV>
                <wp:extent cx="6266985" cy="802888"/>
                <wp:effectExtent l="0" t="0" r="6985" b="10160"/>
                <wp:wrapNone/>
                <wp:docPr id="1521438090"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266985" cy="80288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6" style="width:493.45pt;height:63.2pt;margin-top:-55.65pt;margin-left:-109.9pt;mso-wrap-distance-bottom:0;mso-wrap-distance-left:9pt;mso-wrap-distance-right:9pt;mso-wrap-distance-top:0;mso-wrap-style:square;position:absolute;visibility:visible;v-text-anchor:middle;z-index:251708416" fillcolor="white" strokecolor="white" strokeweight="1.25pt"/>
            </w:pict>
          </mc:Fallback>
        </mc:AlternateContent>
      </w:r>
    </w:p>
    <w:p w:rsidR="00D57BE9" w:rsidRPr="008A173D" w:rsidP="008A173D" w14:paraId="3D558F60" w14:textId="772366F2">
      <w:pPr>
        <w:pStyle w:val="7392"/>
        <w:rPr>
          <w:rtl/>
        </w:rPr>
      </w:pPr>
      <w:r>
        <w:rPr>
          <w:noProof/>
          <w:rtl/>
          <w:lang w:val="he-IL"/>
        </w:rPr>
        <mc:AlternateContent>
          <mc:Choice Requires="wps">
            <w:drawing>
              <wp:anchor distT="0" distB="0" distL="114300" distR="114300" simplePos="0" relativeHeight="251709440" behindDoc="0" locked="0" layoutInCell="1" allowOverlap="1">
                <wp:simplePos x="0" y="0"/>
                <wp:positionH relativeFrom="column">
                  <wp:posOffset>4001104</wp:posOffset>
                </wp:positionH>
                <wp:positionV relativeFrom="paragraph">
                  <wp:posOffset>6629802</wp:posOffset>
                </wp:positionV>
                <wp:extent cx="1226464" cy="802888"/>
                <wp:effectExtent l="0" t="0" r="18415" b="10160"/>
                <wp:wrapNone/>
                <wp:docPr id="599683133"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1226464" cy="80288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1" o:spid="_x0000_s1037" style="width:96.55pt;height:63.2pt;margin-top:522.05pt;margin-left:315.05pt;mso-width-percent:0;mso-width-relative:margin;mso-wrap-distance-bottom:0;mso-wrap-distance-left:9pt;mso-wrap-distance-right:9pt;mso-wrap-distance-top:0;mso-wrap-style:square;position:absolute;visibility:visible;v-text-anchor:middle;z-index:251710464" fillcolor="white" strokecolor="white" strokeweight="1.25pt"/>
            </w:pict>
          </mc:Fallback>
        </mc:AlternateContent>
      </w:r>
    </w:p>
    <w:sectPr w:rsidSect="00441D4B">
      <w:headerReference w:type="default" r:id="rId29"/>
      <w:pgSz w:w="11906" w:h="16838" w:code="9"/>
      <w:pgMar w:top="3062" w:right="2268" w:bottom="2552" w:left="2268" w:header="1134" w:footer="1361" w:gutter="0"/>
      <w:pgNumType w:start="185"/>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627BEE" w14:paraId="127B299F" w14:textId="77777777">
      <w:pPr>
        <w:spacing w:line="240" w:lineRule="auto"/>
      </w:pPr>
      <w:r>
        <w:separator/>
      </w:r>
    </w:p>
    <w:p w:rsidR="00627BEE" w14:paraId="19F86220" w14:textId="77777777"/>
    <w:p w:rsidR="00627BEE" w14:paraId="68D9234A" w14:textId="77777777"/>
    <w:p w:rsidR="00627BEE" w14:paraId="6D2BBA87" w14:textId="77777777"/>
  </w:endnote>
  <w:endnote w:type="continuationSeparator" w:id="1">
    <w:p w:rsidR="00627BEE" w14:paraId="26FFA4C3" w14:textId="77777777">
      <w:pPr>
        <w:spacing w:line="240" w:lineRule="auto"/>
      </w:pPr>
      <w:r>
        <w:continuationSeparator/>
      </w:r>
    </w:p>
    <w:p w:rsidR="00627BEE" w14:paraId="38608CFB" w14:textId="77777777"/>
    <w:p w:rsidR="00627BEE" w14:paraId="6B0D3F3D" w14:textId="77777777"/>
    <w:p w:rsidR="00627BEE" w14:paraId="764000F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79" w:rsidP="004A6E79" w14:paraId="351AB7F3" w14:textId="77777777">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28AD" w14:paraId="1E5E884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27BEE" w:rsidP="00E7235E" w14:paraId="268E04D9" w14:textId="77777777">
      <w:pPr>
        <w:spacing w:line="240" w:lineRule="auto"/>
      </w:pPr>
      <w:r>
        <w:separator/>
      </w:r>
    </w:p>
  </w:footnote>
  <w:footnote w:type="continuationSeparator" w:id="1">
    <w:p w:rsidR="00627BEE" w:rsidP="00C23CC9" w14:paraId="4D730B8A" w14:textId="77777777">
      <w:pPr>
        <w:spacing w:line="240" w:lineRule="auto"/>
      </w:pPr>
      <w:r>
        <w:continuationSeparator/>
      </w:r>
    </w:p>
    <w:p w:rsidR="00627BEE" w14:paraId="518E94E8" w14:textId="77777777"/>
    <w:p w:rsidR="00627BEE" w14:paraId="65F37813" w14:textId="77777777"/>
    <w:p w:rsidR="00627BEE" w14:paraId="48524B0A" w14:textId="77777777"/>
  </w:footnote>
  <w:footnote w:id="2">
    <w:p w:rsidR="003463B5" w:rsidRPr="003463B5" w:rsidP="003463B5" w14:paraId="18BD9C90" w14:textId="19469B54">
      <w:pPr>
        <w:pStyle w:val="712"/>
        <w:rPr>
          <w:rtl/>
        </w:rPr>
      </w:pPr>
      <w:r w:rsidRPr="003463B5">
        <w:rPr>
          <w:rStyle w:val="FootnoteReference2"/>
          <w:vertAlign w:val="baseline"/>
        </w:rPr>
        <w:footnoteRef/>
      </w:r>
      <w:r w:rsidRPr="003463B5">
        <w:rPr>
          <w:rtl/>
        </w:rPr>
        <w:t xml:space="preserve"> </w:t>
      </w:r>
      <w:r w:rsidRPr="003463B5">
        <w:rPr>
          <w:rtl/>
        </w:rPr>
        <w:tab/>
      </w:r>
      <w:r w:rsidRPr="00310D80" w:rsidR="00310D80">
        <w:rPr>
          <w:rtl/>
        </w:rPr>
        <w:t xml:space="preserve">סעיף 104 לחוק </w:t>
      </w:r>
      <w:r w:rsidRPr="00310D80" w:rsidR="00310D80">
        <w:rPr>
          <w:rtl/>
        </w:rPr>
        <w:t>חדל"פ</w:t>
      </w:r>
      <w:r w:rsidRPr="00310D80" w:rsidR="00310D80">
        <w:rPr>
          <w:rtl/>
        </w:rPr>
        <w:t xml:space="preserve">. הסכום המעודכן לעניין זה, לפי הודעה (מס' 2) תשפ"ג-2023, </w:t>
      </w:r>
      <w:r w:rsidRPr="00310D80" w:rsidR="00310D80">
        <w:rPr>
          <w:rtl/>
        </w:rPr>
        <w:t>י"פ</w:t>
      </w:r>
      <w:r w:rsidRPr="00310D80" w:rsidR="00310D80">
        <w:rPr>
          <w:rtl/>
        </w:rPr>
        <w:t xml:space="preserve"> תשפ"ג 11052, 3076, מסתכם ב-161,236.45 ש"ח</w:t>
      </w:r>
      <w:r w:rsidRPr="003463B5">
        <w:rPr>
          <w:rtl/>
        </w:rPr>
        <w:t>.</w:t>
      </w:r>
    </w:p>
  </w:footnote>
  <w:footnote w:id="3">
    <w:p w:rsidR="003463B5" w:rsidRPr="00310D80" w:rsidP="00310D80" w14:paraId="15E3A861" w14:textId="77777777">
      <w:pPr>
        <w:pStyle w:val="712"/>
      </w:pPr>
      <w:r w:rsidRPr="00310D80">
        <w:rPr>
          <w:rStyle w:val="FootnoteReference2"/>
          <w:vertAlign w:val="baseline"/>
        </w:rPr>
        <w:footnoteRef/>
      </w:r>
      <w:r w:rsidRPr="00310D80">
        <w:rPr>
          <w:rtl/>
        </w:rPr>
        <w:t xml:space="preserve"> </w:t>
      </w:r>
      <w:r w:rsidRPr="00310D80">
        <w:rPr>
          <w:rtl/>
        </w:rPr>
        <w:tab/>
        <w:t>דוח ביקורת זה היה אמור להיכלל במסגרת הדוח השנתי של מבקר המדינה ולהתפרסם במאי 2024. בפועל, בשל פרוץ מלחמת חרבות ברזל חלה דחייה בהשלמת דוח הביקורת והוא מתפרסם כעת באופן שמשקף את הנתונים שהיו ידועים במהלך ביצוע הביקורת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122C3B95">
                          <w:pPr>
                            <w:pStyle w:val="Heading1"/>
                            <w:spacing w:line="269" w:lineRule="auto"/>
                            <w:jc w:val="left"/>
                            <w:rPr>
                              <w:rFonts w:ascii="Tahoma" w:hAnsi="Tahoma" w:eastAsiaTheme="minorHAnsi" w:cs="Tahoma"/>
                              <w:bCs w:val="0"/>
                              <w:color w:val="0D0D0D" w:themeColor="text1" w:themeTint="F2"/>
                              <w:sz w:val="16"/>
                              <w:szCs w:val="16"/>
                              <w:u w:val="none"/>
                            </w:rPr>
                          </w:pPr>
                          <w:r w:rsidRPr="003463B5">
                            <w:rPr>
                              <w:rFonts w:ascii="Tahoma" w:hAnsi="Tahoma" w:eastAsiaTheme="minorHAnsi" w:cs="Tahoma"/>
                              <w:bCs w:val="0"/>
                              <w:color w:val="0D0D0D" w:themeColor="text1" w:themeTint="F2"/>
                              <w:sz w:val="16"/>
                              <w:szCs w:val="16"/>
                              <w:u w:val="none"/>
                              <w:rtl/>
                            </w:rPr>
                            <w:t>טיפול משרד המשפטים בהליכי חדלות פירעון ושיקום כלכלי</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122C3B95">
                    <w:pPr>
                      <w:pStyle w:val="Heading1"/>
                      <w:spacing w:line="269" w:lineRule="auto"/>
                      <w:jc w:val="left"/>
                      <w:rPr>
                        <w:rFonts w:ascii="Tahoma" w:hAnsi="Tahoma" w:eastAsiaTheme="minorHAnsi" w:cs="Tahoma"/>
                        <w:bCs w:val="0"/>
                        <w:color w:val="0D0D0D" w:themeColor="text1" w:themeTint="F2"/>
                        <w:sz w:val="16"/>
                        <w:szCs w:val="16"/>
                        <w:u w:val="none"/>
                      </w:rPr>
                    </w:pPr>
                    <w:r w:rsidRPr="003463B5">
                      <w:rPr>
                        <w:rFonts w:ascii="Tahoma" w:hAnsi="Tahoma" w:eastAsiaTheme="minorHAnsi" w:cs="Tahoma"/>
                        <w:bCs w:val="0"/>
                        <w:color w:val="0D0D0D" w:themeColor="text1" w:themeTint="F2"/>
                        <w:sz w:val="16"/>
                        <w:szCs w:val="16"/>
                        <w:u w:val="none"/>
                        <w:rtl/>
                      </w:rPr>
                      <w:t>טיפול משרד המשפטים בהליכי חדלות פירעון ושיקום כלכלי</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3463B5" w14:textId="6850D365">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AD2908">
                            <w:rPr>
                              <w:rFonts w:hint="cs"/>
                              <w:rtl/>
                            </w:rPr>
                            <w:t xml:space="preserve">    </w:t>
                          </w:r>
                          <w:r>
                            <w:rPr>
                              <w:rFonts w:hint="cs"/>
                              <w:rtl/>
                            </w:rPr>
                            <w:t xml:space="preserve">        </w:t>
                          </w:r>
                          <w:r w:rsidR="00AD2908">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3463B5" w:rsidR="003463B5">
                            <w:rPr>
                              <w:rFonts w:ascii="Tahoma" w:hAnsi="Tahoma" w:cs="Tahoma"/>
                              <w:b/>
                              <w:bCs/>
                              <w:rtl/>
                            </w:rPr>
                            <w:t>טיפול משרד המשפטים בהליכי חדלות פירעון ושיקום כלכלי</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3463B5" w14:paraId="3B4CCAD6" w14:textId="6850D365">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AD2908">
                      <w:rPr>
                        <w:rFonts w:hint="cs"/>
                        <w:rtl/>
                      </w:rPr>
                      <w:t xml:space="preserve">    </w:t>
                    </w:r>
                    <w:r>
                      <w:rPr>
                        <w:rFonts w:hint="cs"/>
                        <w:rtl/>
                      </w:rPr>
                      <w:t xml:space="preserve">        </w:t>
                    </w:r>
                    <w:r w:rsidR="00AD2908">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3463B5" w:rsidR="003463B5">
                      <w:rPr>
                        <w:rFonts w:ascii="Tahoma" w:hAnsi="Tahoma" w:cs="Tahoma"/>
                        <w:b/>
                        <w:bCs/>
                        <w:rtl/>
                      </w:rPr>
                      <w:t>טיפול משרד המשפטים בהליכי חדלות פירעון ושיקום כלכלי</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4D49ACD0">
                          <w:pPr>
                            <w:jc w:val="right"/>
                            <w:rPr>
                              <w:color w:val="0D0D0D" w:themeColor="text1" w:themeTint="F2"/>
                              <w:sz w:val="16"/>
                              <w:szCs w:val="16"/>
                            </w:rPr>
                          </w:pPr>
                          <w:r w:rsidRPr="004532DC">
                            <w:rPr>
                              <w:rFonts w:ascii="Tahoma" w:hAnsi="Tahoma" w:cs="Tahoma"/>
                              <w:color w:val="0D0D0D"/>
                              <w:sz w:val="16"/>
                              <w:szCs w:val="16"/>
                              <w:rtl/>
                            </w:rPr>
                            <w:t xml:space="preserve">דוח מבקר המדינה | חשוון </w:t>
                          </w:r>
                          <w:r w:rsidRPr="004532DC">
                            <w:rPr>
                              <w:rFonts w:ascii="Tahoma" w:hAnsi="Tahoma" w:cs="Tahoma"/>
                              <w:color w:val="0D0D0D"/>
                              <w:sz w:val="16"/>
                              <w:szCs w:val="16"/>
                              <w:rtl/>
                            </w:rPr>
                            <w:t>התשפ"</w:t>
                          </w:r>
                          <w:r w:rsidR="007D25CD">
                            <w:rPr>
                              <w:rFonts w:ascii="Tahoma" w:hAnsi="Tahoma" w:cs="Tahoma" w:hint="cs"/>
                              <w:color w:val="0D0D0D"/>
                              <w:sz w:val="16"/>
                              <w:szCs w:val="16"/>
                              <w:rtl/>
                            </w:rPr>
                            <w:t>ה</w:t>
                          </w:r>
                          <w:r w:rsidRPr="004532DC">
                            <w:rPr>
                              <w:rFonts w:ascii="Tahoma" w:hAnsi="Tahoma" w:cs="Tahoma"/>
                              <w:color w:val="0D0D0D"/>
                              <w:sz w:val="16"/>
                              <w:szCs w:val="16"/>
                              <w:rtl/>
                            </w:rPr>
                            <w:t xml:space="preserve"> | נובמבר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4D49ACD0">
                    <w:pPr>
                      <w:jc w:val="right"/>
                      <w:rPr>
                        <w:color w:val="0D0D0D" w:themeColor="text1" w:themeTint="F2"/>
                        <w:sz w:val="16"/>
                        <w:szCs w:val="16"/>
                      </w:rPr>
                    </w:pPr>
                    <w:r w:rsidRPr="004532DC">
                      <w:rPr>
                        <w:rFonts w:ascii="Tahoma" w:hAnsi="Tahoma" w:cs="Tahoma"/>
                        <w:color w:val="0D0D0D"/>
                        <w:sz w:val="16"/>
                        <w:szCs w:val="16"/>
                        <w:rtl/>
                      </w:rPr>
                      <w:t xml:space="preserve">דוח מבקר המדינה | חשוון </w:t>
                    </w:r>
                    <w:r w:rsidRPr="004532DC">
                      <w:rPr>
                        <w:rFonts w:ascii="Tahoma" w:hAnsi="Tahoma" w:cs="Tahoma"/>
                        <w:color w:val="0D0D0D"/>
                        <w:sz w:val="16"/>
                        <w:szCs w:val="16"/>
                        <w:rtl/>
                      </w:rPr>
                      <w:t>התשפ"</w:t>
                    </w:r>
                    <w:r w:rsidR="007D25CD">
                      <w:rPr>
                        <w:rFonts w:ascii="Tahoma" w:hAnsi="Tahoma" w:cs="Tahoma" w:hint="cs"/>
                        <w:color w:val="0D0D0D"/>
                        <w:sz w:val="16"/>
                        <w:szCs w:val="16"/>
                        <w:rtl/>
                      </w:rPr>
                      <w:t>ה</w:t>
                    </w:r>
                    <w:r w:rsidRPr="004532DC">
                      <w:rPr>
                        <w:rFonts w:ascii="Tahoma" w:hAnsi="Tahoma" w:cs="Tahoma"/>
                        <w:color w:val="0D0D0D"/>
                        <w:sz w:val="16"/>
                        <w:szCs w:val="16"/>
                        <w:rtl/>
                      </w:rPr>
                      <w:t xml:space="preserve"> | נובמבר 2024</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F58FB1E"/>
    <w:lvl w:ilvl="0">
      <w:start w:val="1"/>
      <w:numFmt w:val="decimal"/>
      <w:lvlText w:val="%1."/>
      <w:lvlJc w:val="left"/>
      <w:pPr>
        <w:tabs>
          <w:tab w:val="num" w:pos="1492"/>
        </w:tabs>
        <w:ind w:left="1492" w:hanging="360"/>
      </w:pPr>
    </w:lvl>
  </w:abstractNum>
  <w:abstractNum w:abstractNumId="1">
    <w:nsid w:val="FFFFFF7D"/>
    <w:multiLevelType w:val="singleLevel"/>
    <w:tmpl w:val="3EA83228"/>
    <w:lvl w:ilvl="0">
      <w:start w:val="1"/>
      <w:numFmt w:val="decimal"/>
      <w:lvlText w:val="%1."/>
      <w:lvlJc w:val="left"/>
      <w:pPr>
        <w:tabs>
          <w:tab w:val="num" w:pos="1209"/>
        </w:tabs>
        <w:ind w:left="1209" w:hanging="360"/>
      </w:pPr>
    </w:lvl>
  </w:abstractNum>
  <w:abstractNum w:abstractNumId="2">
    <w:nsid w:val="FFFFFF7F"/>
    <w:multiLevelType w:val="singleLevel"/>
    <w:tmpl w:val="F89639E4"/>
    <w:lvl w:ilvl="0">
      <w:start w:val="1"/>
      <w:numFmt w:val="decimal"/>
      <w:lvlText w:val="%1."/>
      <w:lvlJc w:val="left"/>
      <w:pPr>
        <w:tabs>
          <w:tab w:val="num" w:pos="643"/>
        </w:tabs>
        <w:ind w:left="643" w:hanging="360"/>
      </w:pPr>
    </w:lvl>
  </w:abstractNum>
  <w:abstractNum w:abstractNumId="3">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9">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20"/>
  </w:num>
  <w:num w:numId="2" w16cid:durableId="159808484">
    <w:abstractNumId w:val="13"/>
  </w:num>
  <w:num w:numId="3" w16cid:durableId="2074310673">
    <w:abstractNumId w:val="16"/>
  </w:num>
  <w:num w:numId="4" w16cid:durableId="1596554476">
    <w:abstractNumId w:val="27"/>
  </w:num>
  <w:num w:numId="5" w16cid:durableId="781269690">
    <w:abstractNumId w:val="9"/>
  </w:num>
  <w:num w:numId="6" w16cid:durableId="1087919862">
    <w:abstractNumId w:val="17"/>
  </w:num>
  <w:num w:numId="7" w16cid:durableId="1266497691">
    <w:abstractNumId w:val="22"/>
  </w:num>
  <w:num w:numId="8" w16cid:durableId="1873692319">
    <w:abstractNumId w:val="11"/>
  </w:num>
  <w:num w:numId="9" w16cid:durableId="1479689730">
    <w:abstractNumId w:val="10"/>
  </w:num>
  <w:num w:numId="10" w16cid:durableId="1861623203">
    <w:abstractNumId w:val="8"/>
  </w:num>
  <w:num w:numId="11" w16cid:durableId="1544710153">
    <w:abstractNumId w:val="18"/>
  </w:num>
  <w:num w:numId="12" w16cid:durableId="1057507424">
    <w:abstractNumId w:val="21"/>
  </w:num>
  <w:num w:numId="13" w16cid:durableId="1609385757">
    <w:abstractNumId w:val="24"/>
  </w:num>
  <w:num w:numId="14" w16cid:durableId="1208831065">
    <w:abstractNumId w:val="19"/>
  </w:num>
  <w:num w:numId="15" w16cid:durableId="1425805868">
    <w:abstractNumId w:val="25"/>
  </w:num>
  <w:num w:numId="16" w16cid:durableId="1455250565">
    <w:abstractNumId w:val="12"/>
  </w:num>
  <w:num w:numId="17" w16cid:durableId="1398552641">
    <w:abstractNumId w:val="26"/>
  </w:num>
  <w:num w:numId="18" w16cid:durableId="1752001909">
    <w:abstractNumId w:val="23"/>
  </w:num>
  <w:num w:numId="19" w16cid:durableId="1971200875">
    <w:abstractNumId w:val="15"/>
  </w:num>
  <w:num w:numId="20" w16cid:durableId="499739379">
    <w:abstractNumId w:val="14"/>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8"/>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48F0"/>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717"/>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197"/>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2E4E"/>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0D80"/>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3B5"/>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161A"/>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210"/>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2D67"/>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4B"/>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2DC"/>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BEE"/>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8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39"/>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2803"/>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5CD"/>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8AD"/>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73D"/>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1C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37E21"/>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2908"/>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1F6A"/>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8A"/>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798"/>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34A"/>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325"/>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BDD"/>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0F8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0_0_0_0,Footnote Reference_1,Footnote Reference_2,Footnote Reference_3,Footnote Reference_3_0,Footnote Reference_4,Footnote text,מ"/>
    <w:basedOn w:val="DefaultParagraphFont"/>
    <w:uiPriority w:val="99"/>
    <w:unhideWhenUsed/>
    <w:rsid w:val="003463B5"/>
    <w:rPr>
      <w:vertAlign w:val="superscript"/>
    </w:rPr>
  </w:style>
  <w:style w:type="paragraph" w:customStyle="1" w:styleId="a35">
    <w:name w:val="רכיבי המבוא ממה"/>
    <w:basedOn w:val="Normal"/>
    <w:link w:val="a36"/>
    <w:qFormat/>
    <w:rsid w:val="003463B5"/>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36">
    <w:name w:val="רכיבי המבוא ממה תו"/>
    <w:basedOn w:val="DefaultParagraphFont"/>
    <w:link w:val="a35"/>
    <w:rsid w:val="003463B5"/>
    <w:rPr>
      <w:rFonts w:ascii="Calibri" w:eastAsia="Calibri" w:hAnsi="Calibri" w:cs="Calibri"/>
      <w:color w:val="00206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jpeg" /><Relationship Id="rId28" Type="http://schemas.openxmlformats.org/officeDocument/2006/relationships/image" Target="media/image13.jpeg" /><Relationship Id="rId29" Type="http://schemas.openxmlformats.org/officeDocument/2006/relationships/header" Target="header5.xml" /><Relationship Id="rId3" Type="http://schemas.openxmlformats.org/officeDocument/2006/relationships/settings" Target="settings.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4.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7869658C-C139-4FF7-9267-796E005C9403}"/>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17</TotalTime>
  <Pages>12</Pages>
  <Words>2642</Words>
  <Characters>13211</Characters>
  <Application>Microsoft Office Word</Application>
  <DocSecurity>0</DocSecurity>
  <Lines>110</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studio er</cp:lastModifiedBy>
  <cp:revision>10</cp:revision>
  <cp:lastPrinted>2023-07-16T07:57:00Z</cp:lastPrinted>
  <dcterms:created xsi:type="dcterms:W3CDTF">2024-10-14T09:41:00Z</dcterms:created>
  <dcterms:modified xsi:type="dcterms:W3CDTF">2025-04-01T13:27:00Z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