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sdt>
      <w:sdtPr>
        <w:rPr>
          <w:rFonts w:ascii="Times New Roman" w:hAnsi="Times New Roman" w:cs="David"/>
          <w:b w:val="0"/>
          <w:bCs w:val="0"/>
          <w:color w:val="auto"/>
          <w:sz w:val="32"/>
          <w:szCs w:val="32"/>
        </w:rPr>
        <w:id w:val="-758902378"/>
        <w:docPartObj>
          <w:docPartGallery w:val="Cover Pages"/>
          <w:docPartUnique/>
        </w:docPartObj>
      </w:sdtPr>
      <w:sdtEndPr>
        <w:rPr>
          <w:sz w:val="22"/>
          <w:szCs w:val="22"/>
        </w:rPr>
      </w:sdtEndPr>
      <w:sdtContent>
        <w:p w:rsidR="009E10F4" w:rsidRPr="00C12A3B" w:rsidP="00D963D2" w14:paraId="03E16566" w14:textId="13163D0B">
          <w:pPr>
            <w:pStyle w:val="7125"/>
            <w:bidi w:val="0"/>
            <w:spacing w:before="0" w:after="0"/>
            <w:ind w:right="2778"/>
            <w:jc w:val="center"/>
            <w:rPr>
              <w:sz w:val="34"/>
              <w:rtl/>
            </w:rPr>
          </w:pPr>
          <w:r w:rsidRPr="00C12A3B">
            <w:rPr>
              <w:sz w:val="34"/>
            </w:rPr>
            <w:t>State Comptroller Report</w:t>
          </w:r>
        </w:p>
        <w:p w:rsidR="009E10F4" w:rsidRPr="00C12A3B" w:rsidP="00A7221C" w14:paraId="78FB9D1E" w14:textId="241FABE7">
          <w:pPr>
            <w:pStyle w:val="7125"/>
            <w:bidi w:val="0"/>
            <w:spacing w:before="80" w:after="0"/>
            <w:ind w:left="1" w:right="2778" w:hanging="1"/>
            <w:jc w:val="center"/>
            <w:rPr>
              <w:b w:val="0"/>
              <w:bCs w:val="0"/>
              <w:spacing w:val="4"/>
              <w:sz w:val="30"/>
              <w:szCs w:val="30"/>
              <w:rtl/>
            </w:rPr>
          </w:pPr>
          <w:r w:rsidRPr="00C12A3B">
            <w:rPr>
              <w:b w:val="0"/>
              <w:bCs w:val="0"/>
              <w:spacing w:val="4"/>
              <w:sz w:val="30"/>
              <w:szCs w:val="30"/>
            </w:rPr>
            <w:t>November</w:t>
          </w:r>
          <w:r w:rsidRPr="00C12A3B" w:rsidR="00A7221C">
            <w:rPr>
              <w:b w:val="0"/>
              <w:bCs w:val="0"/>
              <w:spacing w:val="4"/>
              <w:sz w:val="30"/>
              <w:szCs w:val="30"/>
            </w:rPr>
            <w:t xml:space="preserve"> 2024</w:t>
          </w:r>
          <w:r w:rsidRPr="00C12A3B" w:rsidR="00A7221C">
            <w:rPr>
              <w:rFonts w:hint="cs"/>
              <w:b w:val="0"/>
              <w:bCs w:val="0"/>
              <w:spacing w:val="4"/>
              <w:sz w:val="30"/>
              <w:szCs w:val="30"/>
              <w:rtl/>
            </w:rPr>
            <w:t xml:space="preserve"> </w:t>
          </w:r>
          <w:r w:rsidRPr="00C12A3B" w:rsidR="00A7221C">
            <w:rPr>
              <w:b w:val="0"/>
              <w:bCs w:val="0"/>
              <w:spacing w:val="4"/>
              <w:sz w:val="30"/>
              <w:szCs w:val="30"/>
            </w:rPr>
            <w:t>|</w:t>
          </w:r>
          <w:r w:rsidRPr="00C12A3B" w:rsidR="00A7221C">
            <w:rPr>
              <w:rFonts w:hint="cs"/>
              <w:b w:val="0"/>
              <w:bCs w:val="0"/>
              <w:spacing w:val="4"/>
              <w:sz w:val="30"/>
              <w:szCs w:val="30"/>
              <w:rtl/>
            </w:rPr>
            <w:t xml:space="preserve"> </w:t>
          </w:r>
          <w:r w:rsidRPr="00C12A3B" w:rsidR="00A7221C">
            <w:rPr>
              <w:b w:val="0"/>
              <w:bCs w:val="0"/>
              <w:spacing w:val="4"/>
              <w:sz w:val="30"/>
              <w:szCs w:val="30"/>
            </w:rPr>
            <w:t xml:space="preserve">75A Part </w:t>
          </w:r>
          <w:r w:rsidRPr="00C12A3B">
            <w:rPr>
              <w:b w:val="0"/>
              <w:bCs w:val="0"/>
              <w:spacing w:val="4"/>
              <w:sz w:val="30"/>
              <w:szCs w:val="30"/>
            </w:rPr>
            <w:t>Two</w:t>
          </w:r>
        </w:p>
        <w:p w:rsidR="009E10F4" w:rsidRPr="00A7221C" w:rsidP="006229F2" w14:paraId="67C78866" w14:textId="5730937B">
          <w:pPr>
            <w:pStyle w:val="7125"/>
            <w:bidi w:val="0"/>
            <w:spacing w:before="180" w:after="0"/>
            <w:ind w:left="114" w:right="2692" w:hanging="1"/>
            <w:jc w:val="center"/>
            <w:rPr>
              <w:b w:val="0"/>
              <w:bCs w:val="0"/>
              <w:spacing w:val="160"/>
              <w:sz w:val="32"/>
              <w:szCs w:val="32"/>
            </w:rPr>
          </w:pPr>
          <w:r w:rsidRPr="00A7221C">
            <w:rPr>
              <w:rFonts w:hint="cs"/>
              <w:b w:val="0"/>
              <w:bCs w:val="0"/>
              <w:noProof/>
              <w:spacing w:val="160"/>
              <w:sz w:val="32"/>
              <w:szCs w:val="32"/>
              <w:rtl/>
            </w:rPr>
            <mc:AlternateContent>
              <mc:Choice Requires="wps">
                <w:drawing>
                  <wp:anchor distT="0" distB="0" distL="114300" distR="114300" simplePos="0" relativeHeight="251684864" behindDoc="0" locked="0" layoutInCell="1" allowOverlap="1">
                    <wp:simplePos x="0" y="0"/>
                    <wp:positionH relativeFrom="column">
                      <wp:posOffset>94705</wp:posOffset>
                    </wp:positionH>
                    <wp:positionV relativeFrom="paragraph">
                      <wp:posOffset>42273</wp:posOffset>
                    </wp:positionV>
                    <wp:extent cx="2710543" cy="0"/>
                    <wp:effectExtent l="0" t="0" r="7620" b="12700"/>
                    <wp:wrapNone/>
                    <wp:docPr id="5"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710543"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5888" from="7.45pt,3.35pt" to="220.9pt,3.35pt" strokecolor="#00305f" strokeweight="1pt"/>
                </w:pict>
              </mc:Fallback>
            </mc:AlternateContent>
          </w:r>
          <w:r w:rsidRPr="00A7221C">
            <w:rPr>
              <w:b w:val="0"/>
              <w:bCs w:val="0"/>
              <w:spacing w:val="160"/>
              <w:sz w:val="32"/>
              <w:szCs w:val="32"/>
            </w:rPr>
            <w:t>Abstracts</w:t>
          </w:r>
        </w:p>
        <w:p w:rsidR="00D963D2" w:rsidP="00D963D2" w14:paraId="5E1893C3" w14:textId="77777777">
          <w:pPr>
            <w:pStyle w:val="7125"/>
            <w:bidi w:val="0"/>
            <w:spacing w:before="120" w:after="0"/>
            <w:ind w:right="2778" w:hanging="1"/>
            <w:jc w:val="center"/>
            <w:rPr>
              <w:b w:val="0"/>
              <w:bCs w:val="0"/>
              <w:spacing w:val="148"/>
              <w:sz w:val="36"/>
              <w:szCs w:val="36"/>
              <w:rtl/>
            </w:rPr>
          </w:pPr>
        </w:p>
        <w:p w:rsidR="009E10F4" w14:paraId="3B2E64CF" w14:textId="20AC7AA3">
          <w:pPr>
            <w:bidi w:val="0"/>
            <w:spacing w:after="200" w:line="276" w:lineRule="auto"/>
            <w:rPr>
              <w:rFonts w:ascii="Tahoma" w:hAnsi="Tahoma" w:cs="Tahoma"/>
              <w:sz w:val="22"/>
              <w:szCs w:val="22"/>
            </w:rPr>
          </w:pPr>
          <w:r>
            <w:rPr>
              <w:b/>
              <w:bCs/>
              <w:noProof/>
              <w:sz w:val="22"/>
              <w:szCs w:val="22"/>
              <w:rtl/>
              <w:lang w:val="he-IL"/>
            </w:rPr>
            <mc:AlternateContent>
              <mc:Choice Requires="wps">
                <w:drawing>
                  <wp:anchor distT="0" distB="0" distL="114300" distR="114300" simplePos="0" relativeHeight="251699200" behindDoc="0" locked="0" layoutInCell="1" allowOverlap="1">
                    <wp:simplePos x="0" y="0"/>
                    <wp:positionH relativeFrom="column">
                      <wp:posOffset>4329755</wp:posOffset>
                    </wp:positionH>
                    <wp:positionV relativeFrom="paragraph">
                      <wp:posOffset>5762758</wp:posOffset>
                    </wp:positionV>
                    <wp:extent cx="1063256" cy="616688"/>
                    <wp:effectExtent l="12700" t="12700" r="16510" b="18415"/>
                    <wp:wrapNone/>
                    <wp:docPr id="4"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063256" cy="6166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27" style="width:83.7pt;height:48.55pt;margin-top:453.75pt;margin-left:340.95pt;mso-wrap-distance-bottom:0;mso-wrap-distance-left:9pt;mso-wrap-distance-right:9pt;mso-wrap-distance-top:0;mso-wrap-style:square;position:absolute;visibility:visible;v-text-anchor:middle;z-index:251700224"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6912" behindDoc="0" locked="0" layoutInCell="1" allowOverlap="1">
                    <wp:simplePos x="0" y="0"/>
                    <wp:positionH relativeFrom="column">
                      <wp:posOffset>4290060</wp:posOffset>
                    </wp:positionH>
                    <wp:positionV relativeFrom="paragraph">
                      <wp:posOffset>5814241</wp:posOffset>
                    </wp:positionV>
                    <wp:extent cx="1454331" cy="923109"/>
                    <wp:effectExtent l="12700" t="12700" r="19050" b="17145"/>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28" style="width:114.5pt;height:72.7pt;margin-top:457.8pt;margin-left:337.8pt;mso-wrap-distance-bottom:0;mso-wrap-distance-left:9pt;mso-wrap-distance-right:9pt;mso-wrap-distance-top:0;mso-wrap-style:square;position:absolute;visibility:visible;v-text-anchor:middle;z-index:251687936" fillcolor="white" strokecolor="white" strokeweight="2pt"/>
                </w:pict>
              </mc:Fallback>
            </mc:AlternateContent>
          </w:r>
          <w:r w:rsidR="001A1E88">
            <w:rPr>
              <w:b/>
              <w:bCs/>
              <w:sz w:val="22"/>
              <w:szCs w:val="22"/>
              <w:rtl/>
            </w:rPr>
            <w:br w:type="page"/>
          </w:r>
          <w:r w:rsidR="00F06766">
            <w:rPr>
              <w:b/>
              <w:bCs/>
              <w:noProof/>
              <w:sz w:val="22"/>
              <w:szCs w:val="22"/>
              <w:rtl/>
              <w:lang w:val="he-IL"/>
            </w:rPr>
            <mc:AlternateContent>
              <mc:Choice Requires="wps">
                <w:drawing>
                  <wp:anchor distT="0" distB="0" distL="114300" distR="114300" simplePos="0" relativeHeight="251705344" behindDoc="0" locked="0" layoutInCell="1" allowOverlap="1">
                    <wp:simplePos x="0" y="0"/>
                    <wp:positionH relativeFrom="column">
                      <wp:posOffset>3942806</wp:posOffset>
                    </wp:positionH>
                    <wp:positionV relativeFrom="paragraph">
                      <wp:posOffset>7197181</wp:posOffset>
                    </wp:positionV>
                    <wp:extent cx="1454331" cy="735058"/>
                    <wp:effectExtent l="12700" t="12700" r="19050" b="14605"/>
                    <wp:wrapNone/>
                    <wp:docPr id="48" name="מלבן 48"/>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48" o:spid="_x0000_s1029" style="width:114.5pt;height:57.9pt;margin-top:566.7pt;margin-left:310.45pt;mso-height-percent:0;mso-height-relative:margin;mso-wrap-distance-bottom:0;mso-wrap-distance-left:9pt;mso-wrap-distance-right:9pt;mso-wrap-distance-top:0;mso-wrap-style:square;position:absolute;visibility:visible;v-text-anchor:middle;z-index:251706368"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8960" behindDoc="0" locked="0" layoutInCell="1" allowOverlap="1">
                    <wp:simplePos x="0" y="0"/>
                    <wp:positionH relativeFrom="column">
                      <wp:posOffset>-879566</wp:posOffset>
                    </wp:positionH>
                    <wp:positionV relativeFrom="paragraph">
                      <wp:posOffset>7005683</wp:posOffset>
                    </wp:positionV>
                    <wp:extent cx="1454331" cy="923109"/>
                    <wp:effectExtent l="12700" t="12700" r="19050" b="1714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30" style="width:114.5pt;height:72.7pt;margin-top:551.65pt;margin-left:-69.25pt;mso-wrap-distance-bottom:0;mso-wrap-distance-left:9pt;mso-wrap-distance-right:9pt;mso-wrap-distance-top:0;mso-wrap-style:square;position:absolute;visibility:visible;v-text-anchor:middle;z-index:251689984" fillcolor="white" strokecolor="white" strokeweight="2pt"/>
                </w:pict>
              </mc:Fallback>
            </mc:AlternateContent>
          </w:r>
          <w:r>
            <w:rPr>
              <w:rFonts w:ascii="Tahoma" w:hAnsi="Tahoma" w:cs="Tahoma"/>
              <w:sz w:val="22"/>
              <w:szCs w:val="22"/>
            </w:rPr>
            <w:br w:type="page"/>
          </w:r>
        </w:p>
        <w:p w:rsidR="001A1E88" w14:paraId="14BE303F" w14:textId="06C7CB01">
          <w:pPr>
            <w:bidi w:val="0"/>
            <w:spacing w:after="200" w:line="276" w:lineRule="auto"/>
            <w:rPr>
              <w:rFonts w:ascii="Tahoma" w:hAnsi="Tahoma" w:cs="Tahoma"/>
              <w:sz w:val="22"/>
              <w:szCs w:val="22"/>
              <w:rtl/>
            </w:rPr>
          </w:pPr>
          <w:r>
            <w:rPr>
              <w:noProof/>
              <w:color w:val="002060"/>
              <w:sz w:val="18"/>
              <w:szCs w:val="18"/>
            </w:rPr>
            <w:drawing>
              <wp:anchor distT="0" distB="0" distL="114300" distR="114300" simplePos="0" relativeHeight="251661312" behindDoc="0" locked="0" layoutInCell="1" allowOverlap="1">
                <wp:simplePos x="0" y="0"/>
                <wp:positionH relativeFrom="column">
                  <wp:posOffset>2142490</wp:posOffset>
                </wp:positionH>
                <wp:positionV relativeFrom="paragraph">
                  <wp:posOffset>280035</wp:posOffset>
                </wp:positionV>
                <wp:extent cx="431800" cy="518795"/>
                <wp:effectExtent l="0" t="0" r="0" b="1905"/>
                <wp:wrapNone/>
                <wp:docPr id="611"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576" descr="תמונה שמכילה טקסט&#10;&#10;התיאור נוצר באופן אוטומטי"/>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sdtContent>
    </w:sdt>
    <w:p w:rsidR="000615B4" w:rsidP="000615B4" w14:paraId="14B4D122" w14:textId="609C96E7">
      <w:pPr>
        <w:pStyle w:val="12021"/>
        <w:spacing w:before="480"/>
        <w:rPr>
          <w:sz w:val="52"/>
          <w:szCs w:val="52"/>
          <w:rtl/>
        </w:rPr>
      </w:pPr>
    </w:p>
    <w:p w:rsidR="000615B4" w:rsidRPr="007A76A0" w:rsidP="000615B4" w14:paraId="77C7B959" w14:textId="5223D6EC">
      <w:pPr>
        <w:pStyle w:val="12021"/>
        <w:bidi w:val="0"/>
        <w:spacing w:before="480"/>
        <w:rPr>
          <w:sz w:val="24"/>
          <w:szCs w:val="24"/>
          <w:rtl/>
        </w:rPr>
      </w:pPr>
      <w:r w:rsidRPr="00C85089">
        <w:rPr>
          <w:sz w:val="24"/>
          <w:szCs w:val="24"/>
        </w:rPr>
        <w:t>State of Israel</w:t>
      </w:r>
    </w:p>
    <w:p w:rsidR="000615B4" w:rsidP="000615B4" w14:paraId="441E8DC8" w14:textId="1B8AFCE2">
      <w:pPr>
        <w:pStyle w:val="12021"/>
        <w:spacing w:before="480"/>
        <w:rPr>
          <w:sz w:val="52"/>
          <w:szCs w:val="52"/>
        </w:rPr>
      </w:pPr>
    </w:p>
    <w:p w:rsidR="00402757" w:rsidP="000615B4" w14:paraId="10B47431" w14:textId="38091580">
      <w:pPr>
        <w:pStyle w:val="12021"/>
        <w:spacing w:before="480"/>
        <w:rPr>
          <w:sz w:val="52"/>
          <w:szCs w:val="52"/>
          <w:rtl/>
        </w:rPr>
      </w:pPr>
    </w:p>
    <w:p w:rsidR="001A1E88" w:rsidRPr="00810FB6" w:rsidP="001A1E88" w14:paraId="6641FAF6" w14:textId="75CB7449">
      <w:pPr>
        <w:pStyle w:val="12021"/>
        <w:bidi w:val="0"/>
        <w:spacing w:after="0" w:line="700" w:lineRule="exact"/>
        <w:rPr>
          <w:noProof/>
          <w:sz w:val="48"/>
          <w:szCs w:val="48"/>
          <w:rtl/>
        </w:rPr>
      </w:pPr>
      <w:r w:rsidRPr="00810FB6">
        <w:rPr>
          <w:sz w:val="48"/>
          <w:szCs w:val="48"/>
        </w:rPr>
        <w:t>State Comptroller</w:t>
      </w:r>
      <w:r w:rsidRPr="00810FB6">
        <w:rPr>
          <w:rFonts w:hint="cs"/>
          <w:sz w:val="48"/>
          <w:szCs w:val="48"/>
          <w:rtl/>
        </w:rPr>
        <w:t xml:space="preserve"> </w:t>
      </w:r>
      <w:r w:rsidRPr="00810FB6" w:rsidR="00141BD3">
        <w:rPr>
          <w:sz w:val="48"/>
          <w:szCs w:val="48"/>
        </w:rPr>
        <w:t>Report</w:t>
      </w:r>
    </w:p>
    <w:p w:rsidR="001A1E88" w:rsidRPr="00C12A3B" w:rsidP="00A7221C" w14:paraId="00B7CF9C" w14:textId="09D2CDF8">
      <w:pPr>
        <w:pStyle w:val="12021"/>
        <w:bidi w:val="0"/>
        <w:spacing w:before="0" w:line="700" w:lineRule="exact"/>
        <w:rPr>
          <w:b w:val="0"/>
          <w:bCs w:val="0"/>
          <w:noProof/>
          <w:spacing w:val="38"/>
          <w:sz w:val="36"/>
          <w:szCs w:val="36"/>
        </w:rPr>
      </w:pPr>
      <w:r w:rsidRPr="00C12A3B">
        <w:rPr>
          <w:noProof/>
          <w:spacing w:val="38"/>
          <w:sz w:val="36"/>
          <w:szCs w:val="36"/>
          <w14:textOutline w14:w="9525" w14:cap="rnd">
            <w14:noFill/>
            <w14:prstDash w14:val="solid"/>
            <w14:bevel/>
          </w14:textOutline>
        </w:rPr>
        <mc:AlternateContent>
          <mc:Choice Requires="wps">
            <w:drawing>
              <wp:anchor distT="0" distB="0" distL="114300" distR="114300" simplePos="0" relativeHeight="251682816" behindDoc="0" locked="0" layoutInCell="1" allowOverlap="1">
                <wp:simplePos x="0" y="0"/>
                <wp:positionH relativeFrom="column">
                  <wp:posOffset>407761</wp:posOffset>
                </wp:positionH>
                <wp:positionV relativeFrom="paragraph">
                  <wp:posOffset>534670</wp:posOffset>
                </wp:positionV>
                <wp:extent cx="3828230" cy="0"/>
                <wp:effectExtent l="0" t="12700" r="20320" b="12700"/>
                <wp:wrapNone/>
                <wp:docPr id="2123057087"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82823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1" style="mso-height-percent:0;mso-height-relative:margin;mso-width-percent:0;mso-width-relative:margin;mso-wrap-distance-bottom:0;mso-wrap-distance-left:9pt;mso-wrap-distance-right:9pt;mso-wrap-distance-top:0;mso-wrap-style:square;position:absolute;visibility:visible;z-index:251683840" from="32.1pt,42.1pt" to="333.55pt,42.1pt" strokecolor="#00305f" strokeweight="1.5pt"/>
            </w:pict>
          </mc:Fallback>
        </mc:AlternateContent>
      </w:r>
      <w:r w:rsidRPr="00C12A3B" w:rsidR="00C12A3B">
        <w:rPr>
          <w:b w:val="0"/>
          <w:bCs w:val="0"/>
          <w:noProof/>
          <w:spacing w:val="38"/>
          <w:sz w:val="36"/>
          <w:szCs w:val="36"/>
        </w:rPr>
        <w:t xml:space="preserve">November </w:t>
      </w:r>
      <w:r w:rsidRPr="00C12A3B" w:rsidR="00A7221C">
        <w:rPr>
          <w:b w:val="0"/>
          <w:bCs w:val="0"/>
          <w:noProof/>
          <w:spacing w:val="38"/>
          <w:sz w:val="36"/>
          <w:szCs w:val="36"/>
        </w:rPr>
        <w:t xml:space="preserve">2024 | 75A Part </w:t>
      </w:r>
      <w:r w:rsidRPr="00C12A3B" w:rsidR="00C12A3B">
        <w:rPr>
          <w:b w:val="0"/>
          <w:bCs w:val="0"/>
          <w:noProof/>
          <w:spacing w:val="38"/>
          <w:sz w:val="36"/>
          <w:szCs w:val="36"/>
        </w:rPr>
        <w:t>Two</w:t>
      </w:r>
    </w:p>
    <w:p w:rsidR="00697F31" w:rsidRPr="00522B96" w:rsidP="006229F2" w14:paraId="0C52A523" w14:textId="5A0820F4">
      <w:pPr>
        <w:pStyle w:val="12021"/>
        <w:bidi w:val="0"/>
        <w:spacing w:before="240" w:line="700" w:lineRule="exact"/>
        <w:ind w:left="170"/>
        <w:rPr>
          <w:b w:val="0"/>
          <w:bCs w:val="0"/>
          <w:spacing w:val="214"/>
          <w:sz w:val="48"/>
          <w:szCs w:val="48"/>
        </w:rPr>
      </w:pPr>
      <w:r w:rsidRPr="00522B96">
        <w:rPr>
          <w:b w:val="0"/>
          <w:bCs w:val="0"/>
          <w:spacing w:val="214"/>
          <w:sz w:val="48"/>
          <w:szCs w:val="48"/>
        </w:rPr>
        <w:t>Abstracts</w:t>
      </w:r>
    </w:p>
    <w:p w:rsidR="000615B4" w:rsidP="00697F31" w14:paraId="4A8FB872" w14:textId="5995F852">
      <w:pPr>
        <w:spacing w:line="240" w:lineRule="atLeast"/>
        <w:rPr>
          <w:rFonts w:ascii="Tahoma" w:hAnsi="Tahoma" w:cs="Tahoma"/>
          <w:sz w:val="22"/>
          <w:szCs w:val="22"/>
          <w:rtl/>
        </w:rPr>
      </w:pPr>
    </w:p>
    <w:p w:rsidR="000615B4" w:rsidP="000615B4" w14:paraId="06A3C1A3" w14:textId="77777777">
      <w:pPr>
        <w:spacing w:line="240" w:lineRule="atLeast"/>
        <w:rPr>
          <w:rFonts w:ascii="Tahoma" w:hAnsi="Tahoma" w:cs="Tahoma"/>
          <w:sz w:val="22"/>
          <w:szCs w:val="22"/>
          <w:rtl/>
        </w:rPr>
      </w:pPr>
    </w:p>
    <w:p w:rsidR="000615B4" w:rsidP="000615B4" w14:paraId="534843FC" w14:textId="0C553859">
      <w:pPr>
        <w:spacing w:line="240" w:lineRule="atLeast"/>
        <w:rPr>
          <w:rFonts w:ascii="Tahoma" w:hAnsi="Tahoma" w:cs="Tahoma"/>
          <w:sz w:val="22"/>
          <w:szCs w:val="22"/>
        </w:rPr>
      </w:pPr>
    </w:p>
    <w:p w:rsidR="000615B4" w:rsidP="000615B4" w14:paraId="3A4268AA" w14:textId="5E7407D8">
      <w:pPr>
        <w:spacing w:line="240" w:lineRule="atLeast"/>
        <w:rPr>
          <w:rFonts w:ascii="Tahoma" w:hAnsi="Tahoma" w:cs="Tahoma"/>
          <w:sz w:val="22"/>
          <w:szCs w:val="22"/>
        </w:rPr>
      </w:pPr>
    </w:p>
    <w:p w:rsidR="009E10F4" w:rsidP="000615B4" w14:paraId="245DD48B" w14:textId="3EAFA1A0">
      <w:pPr>
        <w:spacing w:line="240" w:lineRule="atLeast"/>
        <w:rPr>
          <w:rFonts w:ascii="Tahoma" w:hAnsi="Tahoma" w:cs="Tahoma"/>
          <w:sz w:val="22"/>
          <w:szCs w:val="22"/>
        </w:rPr>
      </w:pPr>
    </w:p>
    <w:p w:rsidR="009E10F4" w:rsidP="000615B4" w14:paraId="72D85BC0" w14:textId="0B0CDC41">
      <w:pPr>
        <w:spacing w:line="240" w:lineRule="atLeast"/>
        <w:rPr>
          <w:rFonts w:ascii="Tahoma" w:hAnsi="Tahoma" w:cs="Tahoma"/>
          <w:sz w:val="22"/>
          <w:szCs w:val="22"/>
        </w:rPr>
      </w:pPr>
    </w:p>
    <w:p w:rsidR="009E10F4" w:rsidP="000615B4" w14:paraId="78570A36" w14:textId="3E2FA570">
      <w:pPr>
        <w:spacing w:line="240" w:lineRule="atLeast"/>
        <w:rPr>
          <w:rFonts w:ascii="Tahoma" w:hAnsi="Tahoma" w:cs="Tahoma"/>
          <w:sz w:val="22"/>
          <w:szCs w:val="22"/>
        </w:rPr>
      </w:pPr>
    </w:p>
    <w:p w:rsidR="009E10F4" w:rsidP="000615B4" w14:paraId="44EAA236" w14:textId="03B74CAA">
      <w:pPr>
        <w:spacing w:line="240" w:lineRule="atLeast"/>
        <w:rPr>
          <w:rFonts w:ascii="Tahoma" w:hAnsi="Tahoma" w:cs="Tahoma"/>
          <w:sz w:val="22"/>
          <w:szCs w:val="22"/>
          <w:rtl/>
        </w:rPr>
      </w:pPr>
    </w:p>
    <w:p w:rsidR="000615B4" w:rsidP="000615B4" w14:paraId="20B60917" w14:textId="779051DA">
      <w:pPr>
        <w:spacing w:line="240" w:lineRule="atLeast"/>
        <w:rPr>
          <w:rFonts w:ascii="Tahoma" w:hAnsi="Tahoma" w:cs="Tahoma"/>
          <w:sz w:val="22"/>
          <w:szCs w:val="22"/>
        </w:rPr>
      </w:pPr>
    </w:p>
    <w:p w:rsidR="00C158FE" w:rsidRPr="00C158FE" w:rsidP="000615B4" w14:paraId="76A115FF" w14:textId="67FAEB1E">
      <w:pPr>
        <w:spacing w:line="240" w:lineRule="atLeast"/>
        <w:rPr>
          <w:rFonts w:ascii="Tahoma" w:hAnsi="Tahoma" w:cs="Tahoma"/>
          <w:sz w:val="22"/>
          <w:szCs w:val="22"/>
        </w:rPr>
      </w:pPr>
      <w:r>
        <w:rPr>
          <w:rFonts w:ascii="Tahoma" w:hAnsi="Tahoma" w:cs="Tahoma"/>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-736600</wp:posOffset>
                </wp:positionH>
                <wp:positionV relativeFrom="paragraph">
                  <wp:posOffset>788307</wp:posOffset>
                </wp:positionV>
                <wp:extent cx="1048043" cy="703384"/>
                <wp:effectExtent l="12700" t="12700" r="19050" b="8255"/>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48043" cy="703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2.5pt;height:55.4pt;margin-top:62.05pt;margin-left:-58pt;mso-wrap-distance-bottom:0;mso-wrap-distance-left:9pt;mso-wrap-distance-right:9pt;mso-wrap-distance-top:0;mso-wrap-style:square;position:absolute;visibility:visible;v-text-anchor:middle;z-index:251673600" fillcolor="white" strokecolor="white" strokeweight="2pt"/>
            </w:pict>
          </mc:Fallback>
        </mc:AlternateContent>
      </w:r>
    </w:p>
    <w:p w:rsidR="00402757" w:rsidP="000615B4" w14:paraId="036CFED0" w14:textId="05841745">
      <w:pPr>
        <w:spacing w:line="240" w:lineRule="atLeast"/>
        <w:rPr>
          <w:rFonts w:ascii="Tahoma" w:hAnsi="Tahoma" w:cs="Tahoma"/>
          <w:sz w:val="22"/>
          <w:szCs w:val="22"/>
        </w:rPr>
      </w:pPr>
      <w:r>
        <w:rPr>
          <w:rFonts w:ascii="Tahoma" w:hAnsi="Tahoma" w:cs="Tahoma"/>
          <w:noProof/>
          <w:sz w:val="22"/>
          <w:szCs w:val="22"/>
          <w:rtl/>
          <w:lang w:val="he-IL"/>
        </w:rPr>
        <w:drawing>
          <wp:anchor distT="0" distB="0" distL="114300" distR="114300" simplePos="0" relativeHeight="251660288" behindDoc="0" locked="0" layoutInCell="1" allowOverlap="1">
            <wp:simplePos x="0" y="0"/>
            <wp:positionH relativeFrom="column">
              <wp:posOffset>1781175</wp:posOffset>
            </wp:positionH>
            <wp:positionV relativeFrom="paragraph">
              <wp:posOffset>167005</wp:posOffset>
            </wp:positionV>
            <wp:extent cx="1010285" cy="707390"/>
            <wp:effectExtent l="0" t="0" r="0" b="0"/>
            <wp:wrapSquare wrapText="bothSides"/>
            <wp:docPr id="6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402757" w:rsidP="000615B4" w14:paraId="25127AC0" w14:textId="16BD09F4">
      <w:pPr>
        <w:spacing w:line="240" w:lineRule="atLeast"/>
        <w:rPr>
          <w:rFonts w:ascii="Tahoma" w:hAnsi="Tahoma" w:cs="Tahoma"/>
          <w:sz w:val="22"/>
          <w:szCs w:val="22"/>
          <w:rtl/>
        </w:rPr>
      </w:pPr>
    </w:p>
    <w:p w:rsidR="000615B4" w:rsidP="000615B4" w14:paraId="02878E34" w14:textId="2876A559">
      <w:pPr>
        <w:spacing w:line="240" w:lineRule="atLeast"/>
        <w:rPr>
          <w:rFonts w:ascii="Tahoma" w:hAnsi="Tahoma" w:cs="Tahoma"/>
          <w:sz w:val="22"/>
          <w:szCs w:val="22"/>
          <w:rtl/>
        </w:rPr>
      </w:pPr>
    </w:p>
    <w:p w:rsidR="000615B4" w:rsidP="000615B4" w14:paraId="25670203" w14:textId="4F045FC6">
      <w:pPr>
        <w:spacing w:line="240" w:lineRule="atLeast"/>
        <w:rPr>
          <w:rFonts w:ascii="Tahoma" w:hAnsi="Tahoma" w:cs="Tahoma"/>
          <w:sz w:val="22"/>
          <w:szCs w:val="22"/>
          <w:rtl/>
        </w:rPr>
      </w:pPr>
    </w:p>
    <w:p w:rsidR="000615B4" w:rsidP="000615B4" w14:paraId="7BC4EB81" w14:textId="03F94948">
      <w:pPr>
        <w:spacing w:line="240" w:lineRule="atLeast"/>
        <w:jc w:val="center"/>
        <w:rPr>
          <w:rFonts w:ascii="Tahoma" w:hAnsi="Tahoma" w:cs="Tahoma"/>
          <w:sz w:val="24"/>
          <w:rtl/>
        </w:rPr>
      </w:pPr>
    </w:p>
    <w:p w:rsidR="000615B4" w:rsidP="000615B4" w14:paraId="4C8BB078" w14:textId="7EF6FA18">
      <w:pPr>
        <w:bidi w:val="0"/>
        <w:spacing w:line="240" w:lineRule="atLeast"/>
        <w:jc w:val="center"/>
        <w:rPr>
          <w:rFonts w:ascii="Tahoma" w:hAnsi="Tahoma" w:cs="Tahoma"/>
          <w:sz w:val="24"/>
        </w:rPr>
      </w:pPr>
    </w:p>
    <w:p w:rsidR="009E10F4" w:rsidRPr="00112923" w:rsidP="009E10F4" w14:paraId="3D93FAA1" w14:textId="1D8B39AB">
      <w:pPr>
        <w:bidi w:val="0"/>
        <w:spacing w:line="240" w:lineRule="atLeast"/>
        <w:jc w:val="center"/>
        <w:rPr>
          <w:rFonts w:ascii="Tahoma" w:hAnsi="Tahoma" w:cs="Tahoma"/>
          <w:sz w:val="24"/>
          <w:rtl/>
        </w:rPr>
      </w:pPr>
      <w:r>
        <w:rPr>
          <w:b/>
          <w:bCs/>
          <w:noProof/>
          <w:sz w:val="22"/>
          <w:szCs w:val="22"/>
          <w:rtl/>
          <w:lang w:val="he-IL"/>
        </w:rPr>
        <mc:AlternateContent>
          <mc:Choice Requires="wps">
            <w:drawing>
              <wp:anchor distT="0" distB="0" distL="114300" distR="114300" simplePos="0" relativeHeight="251711488" behindDoc="0" locked="0" layoutInCell="1" allowOverlap="1">
                <wp:simplePos x="0" y="0"/>
                <wp:positionH relativeFrom="column">
                  <wp:posOffset>-733516</wp:posOffset>
                </wp:positionH>
                <wp:positionV relativeFrom="paragraph">
                  <wp:posOffset>797560</wp:posOffset>
                </wp:positionV>
                <wp:extent cx="999672" cy="391886"/>
                <wp:effectExtent l="12700" t="12700" r="16510" b="14605"/>
                <wp:wrapNone/>
                <wp:docPr id="1994226003" name="מלבן 46"/>
                <wp:cNvGraphicFramePr/>
                <a:graphic xmlns:a="http://schemas.openxmlformats.org/drawingml/2006/main">
                  <a:graphicData uri="http://schemas.microsoft.com/office/word/2010/wordprocessingShape">
                    <wps:wsp xmlns:wps="http://schemas.microsoft.com/office/word/2010/wordprocessingShape">
                      <wps:cNvSpPr/>
                      <wps:spPr>
                        <a:xfrm>
                          <a:off x="0" y="0"/>
                          <a:ext cx="999672" cy="39188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6" o:spid="_x0000_s1033" style="width:78.7pt;height:30.85pt;margin-top:62.8pt;margin-left:-57.75pt;mso-wrap-distance-bottom:0;mso-wrap-distance-left:9pt;mso-wrap-distance-right:9pt;mso-wrap-distance-top:0;mso-wrap-style:square;position:absolute;visibility:visible;v-text-anchor:middle;z-index:251712512" fillcolor="white" strokecolor="white" strokeweight="2pt"/>
            </w:pict>
          </mc:Fallback>
        </mc:AlternateContent>
      </w:r>
      <w:r w:rsidR="00F06766">
        <w:rPr>
          <w:b/>
          <w:bCs/>
          <w:noProof/>
          <w:sz w:val="22"/>
          <w:szCs w:val="22"/>
          <w:rtl/>
          <w:lang w:val="he-IL"/>
        </w:rPr>
        <mc:AlternateContent>
          <mc:Choice Requires="wps">
            <w:drawing>
              <wp:anchor distT="0" distB="0" distL="114300" distR="114300" simplePos="0" relativeHeight="251703296" behindDoc="0" locked="0" layoutInCell="1" allowOverlap="1">
                <wp:simplePos x="0" y="0"/>
                <wp:positionH relativeFrom="column">
                  <wp:posOffset>-783771</wp:posOffset>
                </wp:positionH>
                <wp:positionV relativeFrom="paragraph">
                  <wp:posOffset>576036</wp:posOffset>
                </wp:positionV>
                <wp:extent cx="1454331" cy="735058"/>
                <wp:effectExtent l="12700" t="12700" r="19050" b="14605"/>
                <wp:wrapNone/>
                <wp:docPr id="47" name="מלבן 47"/>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47" o:spid="_x0000_s1034" style="width:114.5pt;height:57.9pt;margin-top:45.35pt;margin-left:-61.7pt;mso-height-percent:0;mso-height-relative:margin;mso-wrap-distance-bottom:0;mso-wrap-distance-left:9pt;mso-wrap-distance-right:9pt;mso-wrap-distance-top:0;mso-wrap-style:square;position:absolute;visibility:visible;v-text-anchor:middle;z-index:251704320"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693056" behindDoc="0" locked="0" layoutInCell="1" allowOverlap="1">
                <wp:simplePos x="0" y="0"/>
                <wp:positionH relativeFrom="column">
                  <wp:posOffset>4210685</wp:posOffset>
                </wp:positionH>
                <wp:positionV relativeFrom="paragraph">
                  <wp:posOffset>533128</wp:posOffset>
                </wp:positionV>
                <wp:extent cx="1454331" cy="923109"/>
                <wp:effectExtent l="12700" t="12700" r="19050" b="17145"/>
                <wp:wrapNone/>
                <wp:docPr id="33" name="מלבן 3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3" o:spid="_x0000_s1035" style="width:114.5pt;height:72.7pt;margin-top:42pt;margin-left:331.55pt;mso-wrap-distance-bottom:0;mso-wrap-distance-left:9pt;mso-wrap-distance-right:9pt;mso-wrap-distance-top:0;mso-wrap-style:square;position:absolute;visibility:visible;v-text-anchor:middle;z-index:251694080" fillcolor="white" strokecolor="white" strokeweight="2pt"/>
            </w:pict>
          </mc:Fallback>
        </mc:AlternateContent>
      </w:r>
      <w:r>
        <w:rPr>
          <w:rFonts w:ascii="Tahoma" w:hAnsi="Tahoma" w:cs="Tahoma"/>
          <w:sz w:val="24"/>
        </w:rPr>
        <w:t>Office of the State Comptroller</w:t>
      </w:r>
      <w:r>
        <w:rPr>
          <w:rFonts w:ascii="Tahoma" w:hAnsi="Tahoma" w:cs="Tahoma" w:hint="cs"/>
          <w:sz w:val="24"/>
          <w:rtl/>
        </w:rPr>
        <w:t xml:space="preserve"> | </w:t>
      </w:r>
      <w:r>
        <w:rPr>
          <w:rFonts w:ascii="Tahoma" w:hAnsi="Tahoma" w:cs="Tahoma" w:hint="cs"/>
          <w:sz w:val="24"/>
        </w:rPr>
        <w:t>J</w:t>
      </w:r>
      <w:r>
        <w:rPr>
          <w:rFonts w:ascii="Tahoma" w:hAnsi="Tahoma" w:cs="Tahoma"/>
          <w:sz w:val="24"/>
        </w:rPr>
        <w:t>erusalem</w:t>
      </w:r>
    </w:p>
    <w:p w:rsidR="00C32B66" w:rsidRPr="00976119" w:rsidP="009E10F4" w14:paraId="1E0A7CF6" w14:textId="3D920AB6">
      <w:pPr>
        <w:bidi w:val="0"/>
        <w:spacing w:line="240" w:lineRule="atLeast"/>
        <w:jc w:val="center"/>
        <w:rPr>
          <w:b/>
          <w:bCs/>
          <w:spacing w:val="140"/>
          <w:sz w:val="50"/>
          <w:szCs w:val="50"/>
          <w:rtl/>
        </w:rPr>
      </w:pPr>
    </w:p>
    <w:p w:rsidR="00035688" w:rsidP="00BA14FE" w14:paraId="54C6801D" w14:textId="16D66B76">
      <w:pPr>
        <w:spacing w:line="240" w:lineRule="atLeast"/>
        <w:rPr>
          <w:rFonts w:ascii="Tahoma" w:hAnsi="Tahoma" w:cs="Tahoma"/>
          <w:sz w:val="22"/>
          <w:szCs w:val="22"/>
          <w:rtl/>
        </w:rPr>
      </w:pPr>
    </w:p>
    <w:p w:rsidR="009C0D3F" w:rsidP="00BA14FE" w14:paraId="056AC312" w14:textId="1CB5857C">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2336" behindDoc="0" locked="0" layoutInCell="1" allowOverlap="1">
                <wp:simplePos x="0" y="0"/>
                <wp:positionH relativeFrom="column">
                  <wp:posOffset>-1387475</wp:posOffset>
                </wp:positionH>
                <wp:positionV relativeFrom="paragraph">
                  <wp:posOffset>286113</wp:posOffset>
                </wp:positionV>
                <wp:extent cx="7705725" cy="886938"/>
                <wp:effectExtent l="0" t="0" r="3175" b="2540"/>
                <wp:wrapNone/>
                <wp:docPr id="6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886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606.75pt;height:69.85pt;margin-top:22.55pt;margin-left:-109.2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9C0D3F" w:rsidP="00BA14FE" w14:paraId="4B149749" w14:textId="7B64CAA9">
      <w:pPr>
        <w:spacing w:line="240" w:lineRule="atLeast"/>
        <w:rPr>
          <w:rFonts w:ascii="Tahoma" w:hAnsi="Tahoma" w:cs="Tahoma"/>
          <w:sz w:val="22"/>
          <w:szCs w:val="22"/>
          <w:rtl/>
        </w:rPr>
      </w:pPr>
    </w:p>
    <w:p w:rsidR="009C0D3F" w:rsidP="00BA14FE" w14:paraId="4A9449C4" w14:textId="45FF89BA">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58240" behindDoc="0" locked="0" layoutInCell="1" allowOverlap="1">
                <wp:simplePos x="0" y="0"/>
                <wp:positionH relativeFrom="column">
                  <wp:posOffset>-1477010</wp:posOffset>
                </wp:positionH>
                <wp:positionV relativeFrom="paragraph">
                  <wp:posOffset>239304</wp:posOffset>
                </wp:positionV>
                <wp:extent cx="7705725" cy="1009650"/>
                <wp:effectExtent l="0" t="0" r="9525"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7" style="width:606.75pt;height:79.5pt;margin-top:18.85pt;margin-left:-116.3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2pt"/>
            </w:pict>
          </mc:Fallback>
        </mc:AlternateContent>
      </w:r>
    </w:p>
    <w:p w:rsidR="009C0D3F" w:rsidP="00BA14FE" w14:paraId="3D7DFA0C" w14:textId="77777777">
      <w:pPr>
        <w:spacing w:line="240" w:lineRule="atLeast"/>
        <w:rPr>
          <w:rFonts w:ascii="Tahoma" w:hAnsi="Tahoma" w:cs="Tahoma"/>
          <w:sz w:val="22"/>
          <w:szCs w:val="22"/>
          <w:rtl/>
        </w:rPr>
      </w:pPr>
    </w:p>
    <w:p w:rsidR="009C0D3F" w:rsidP="00BA14FE" w14:paraId="6B694F7D" w14:textId="2EA7DFBB">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3C19A639">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1E87BD9F">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735E4AA0" w14:textId="5D0DFD2A">
      <w:pPr>
        <w:spacing w:line="240" w:lineRule="atLeast"/>
        <w:rPr>
          <w:rFonts w:ascii="Tahoma" w:hAnsi="Tahoma" w:cs="Tahoma"/>
          <w:sz w:val="22"/>
          <w:szCs w:val="22"/>
          <w:rtl/>
        </w:rPr>
      </w:pPr>
    </w:p>
    <w:p w:rsidR="009C0D3F" w:rsidP="00BA14FE" w14:paraId="220D50AA" w14:textId="1CD5D6F1">
      <w:pPr>
        <w:spacing w:line="240" w:lineRule="atLeast"/>
        <w:rPr>
          <w:rFonts w:ascii="Tahoma" w:hAnsi="Tahoma" w:cs="Tahoma"/>
          <w:sz w:val="22"/>
          <w:szCs w:val="22"/>
        </w:rPr>
      </w:pPr>
    </w:p>
    <w:p w:rsidR="00C158FE" w:rsidP="00BA14FE" w14:paraId="52A3A667" w14:textId="6B33A8DD">
      <w:pPr>
        <w:spacing w:line="240" w:lineRule="atLeast"/>
        <w:rPr>
          <w:rFonts w:ascii="Tahoma" w:hAnsi="Tahoma" w:cs="Tahoma"/>
          <w:sz w:val="22"/>
          <w:szCs w:val="22"/>
        </w:rPr>
      </w:pPr>
    </w:p>
    <w:p w:rsidR="00C158FE" w:rsidP="00BA14FE" w14:paraId="37E21242"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38552405">
      <w:pPr>
        <w:spacing w:line="240" w:lineRule="atLeast"/>
        <w:rPr>
          <w:rFonts w:ascii="Tahoma" w:hAnsi="Tahoma" w:cs="Tahoma"/>
          <w:sz w:val="22"/>
          <w:szCs w:val="22"/>
          <w:rtl/>
        </w:rPr>
      </w:pPr>
    </w:p>
    <w:p w:rsidR="009C0D3F" w:rsidP="00BA14FE" w14:paraId="260836E0" w14:textId="5D9050F3">
      <w:pPr>
        <w:spacing w:line="240" w:lineRule="atLeast"/>
        <w:rPr>
          <w:rFonts w:ascii="Tahoma" w:hAnsi="Tahoma" w:cs="Tahoma"/>
          <w:sz w:val="22"/>
          <w:szCs w:val="22"/>
          <w:rtl/>
        </w:rPr>
      </w:pPr>
    </w:p>
    <w:p w:rsidR="009C0D3F" w:rsidP="00BA14FE" w14:paraId="11198336" w14:textId="4A3A0719">
      <w:pPr>
        <w:spacing w:line="240" w:lineRule="atLeast"/>
        <w:rPr>
          <w:rFonts w:ascii="Tahoma" w:hAnsi="Tahoma" w:cs="Tahoma"/>
          <w:sz w:val="22"/>
          <w:szCs w:val="22"/>
        </w:rPr>
      </w:pPr>
    </w:p>
    <w:p w:rsidR="004961C5" w:rsidP="00BA14FE" w14:paraId="2F2F1850" w14:textId="3CC47175">
      <w:pPr>
        <w:spacing w:line="240" w:lineRule="atLeast"/>
        <w:rPr>
          <w:rFonts w:ascii="Tahoma" w:hAnsi="Tahoma" w:cs="Tahoma"/>
          <w:sz w:val="22"/>
          <w:szCs w:val="22"/>
        </w:rPr>
      </w:pPr>
    </w:p>
    <w:p w:rsidR="004961C5" w:rsidP="00BA14FE" w14:paraId="5741586A"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5454D4DF">
      <w:pPr>
        <w:spacing w:line="240" w:lineRule="atLeast"/>
        <w:rPr>
          <w:rFonts w:ascii="Tahoma" w:hAnsi="Tahoma" w:cs="Tahoma"/>
          <w:sz w:val="22"/>
          <w:szCs w:val="22"/>
          <w:rtl/>
        </w:rPr>
      </w:pPr>
    </w:p>
    <w:p w:rsidR="00275375" w14:paraId="0FD2778B" w14:textId="63B49901">
      <w:pPr>
        <w:bidi w:val="0"/>
        <w:spacing w:after="200" w:line="276" w:lineRule="auto"/>
        <w:rPr>
          <w:rFonts w:ascii="Tahoma" w:hAnsi="Tahoma" w:cs="Tahoma"/>
          <w:sz w:val="24"/>
        </w:rPr>
      </w:pPr>
    </w:p>
    <w:p w:rsidR="00977579" w:rsidP="00977579" w14:paraId="10EB9738" w14:textId="604F850B">
      <w:pPr>
        <w:pStyle w:val="7190"/>
        <w:jc w:val="center"/>
        <w:rPr>
          <w:rtl/>
        </w:rPr>
      </w:pPr>
    </w:p>
    <w:p w:rsidR="009F3FCB" w:rsidRPr="00064016" w:rsidP="009F3FCB" w14:paraId="67DBE061" w14:textId="6AFF34E5">
      <w:pPr>
        <w:pStyle w:val="7190"/>
        <w:spacing w:after="120"/>
        <w:jc w:val="center"/>
      </w:pPr>
      <w:r>
        <w:t xml:space="preserve">Catalogue Number </w:t>
      </w:r>
      <w:r w:rsidR="002F49AA">
        <w:t>2024</w:t>
      </w:r>
      <w:r w:rsidR="00C46C4D">
        <w:t>-A-</w:t>
      </w:r>
      <w:r w:rsidR="002F49AA">
        <w:t>00</w:t>
      </w:r>
      <w:r w:rsidR="00E93869">
        <w:t>4</w:t>
      </w:r>
      <w:r w:rsidRPr="00064016">
        <w:rPr>
          <w:rtl/>
        </w:rPr>
        <w:t xml:space="preserve"> </w:t>
      </w:r>
    </w:p>
    <w:p w:rsidR="009F3FCB" w:rsidRPr="00064016" w:rsidP="009F3FCB" w14:paraId="793BE398" w14:textId="17E068A5">
      <w:pPr>
        <w:pStyle w:val="7190"/>
        <w:jc w:val="center"/>
        <w:rPr>
          <w:rtl/>
        </w:rPr>
      </w:pPr>
      <w:r w:rsidRPr="00064016">
        <w:t xml:space="preserve">ISSN </w:t>
      </w:r>
      <w:r w:rsidRPr="00300822" w:rsidR="00300822">
        <w:t>0334-9713</w:t>
      </w:r>
    </w:p>
    <w:p w:rsidR="009F3FCB" w:rsidRPr="00064016" w:rsidP="009F3FCB" w14:paraId="08120021" w14:textId="13046AE6">
      <w:pPr>
        <w:pStyle w:val="7190"/>
        <w:jc w:val="center"/>
        <w:rPr>
          <w:rtl/>
        </w:rPr>
      </w:pPr>
      <w:hyperlink r:id="rId12" w:history="1">
        <w:r w:rsidRPr="00064016">
          <w:t>www.mevaker.gov.il</w:t>
        </w:r>
      </w:hyperlink>
    </w:p>
    <w:p w:rsidR="009F3FCB" w:rsidP="009F3FCB" w14:paraId="359BA2FE" w14:textId="28462362">
      <w:pPr>
        <w:pStyle w:val="7190"/>
        <w:jc w:val="center"/>
        <w:rPr>
          <w:rtl/>
        </w:rPr>
      </w:pPr>
      <w:r>
        <w:rPr>
          <w:noProof/>
          <w:sz w:val="22"/>
          <w:szCs w:val="22"/>
          <w:rtl/>
          <w:lang w:val="he-IL"/>
        </w:rPr>
        <mc:AlternateContent>
          <mc:Choice Requires="wps">
            <w:drawing>
              <wp:anchor distT="0" distB="0" distL="114300" distR="114300" simplePos="0" relativeHeight="251674624" behindDoc="0" locked="0" layoutInCell="1" allowOverlap="1">
                <wp:simplePos x="0" y="0"/>
                <wp:positionH relativeFrom="column">
                  <wp:posOffset>4278630</wp:posOffset>
                </wp:positionH>
                <wp:positionV relativeFrom="paragraph">
                  <wp:posOffset>564955</wp:posOffset>
                </wp:positionV>
                <wp:extent cx="1047750" cy="702945"/>
                <wp:effectExtent l="12700" t="12700" r="19050" b="8255"/>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702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8" style="width:82.5pt;height:55.35pt;margin-top:44.5pt;margin-left:336.9pt;mso-wrap-distance-bottom:0;mso-wrap-distance-left:9pt;mso-wrap-distance-right:9pt;mso-wrap-distance-top:0;mso-wrap-style:square;position:absolute;visibility:visible;v-text-anchor:middle;z-index:251675648" fillcolor="white" strokecolor="white" strokeweight="2pt"/>
            </w:pict>
          </mc:Fallback>
        </mc:AlternateContent>
      </w:r>
    </w:p>
    <w:p w:rsidR="009F3FCB" w:rsidP="009F3FCB" w14:paraId="07B15CE0" w14:textId="3C1D4748">
      <w:pPr>
        <w:pStyle w:val="7190"/>
        <w:jc w:val="center"/>
      </w:pPr>
      <w:r>
        <w:t>Graphic Design: ER Design Team</w:t>
      </w:r>
    </w:p>
    <w:p w:rsidR="00D12792" w:rsidRPr="00EA22FE" w:rsidP="00D12792" w14:paraId="4BD3E2A6" w14:textId="4A44681A">
      <w:pPr>
        <w:tabs>
          <w:tab w:val="right" w:pos="7370"/>
        </w:tabs>
        <w:bidi w:val="0"/>
        <w:spacing w:after="200" w:line="276" w:lineRule="auto"/>
        <w:rPr>
          <w:rtl/>
        </w:rPr>
        <w:sectPr w:rsidSect="007824E3">
          <w:footerReference w:type="even" r:id="rId13"/>
          <w:footerReference w:type="default" r:id="rId14"/>
          <w:headerReference w:type="first" r:id="rId15"/>
          <w:footerReference w:type="first" r:id="rId16"/>
          <w:pgSz w:w="11906" w:h="16838" w:code="9"/>
          <w:pgMar w:top="3062" w:right="2268" w:bottom="2552" w:left="2268" w:header="1134" w:footer="1361" w:gutter="0"/>
          <w:cols w:space="708"/>
          <w:titlePg/>
          <w:bidi/>
          <w:rtlGutter/>
          <w:docGrid w:linePitch="360"/>
        </w:sectPr>
      </w:pPr>
      <w:r>
        <w:rPr>
          <w:b/>
          <w:bCs/>
          <w:noProof/>
          <w:sz w:val="22"/>
          <w:szCs w:val="22"/>
          <w:rtl/>
          <w:lang w:val="he-IL"/>
        </w:rPr>
        <mc:AlternateContent>
          <mc:Choice Requires="wps">
            <w:drawing>
              <wp:anchor distT="0" distB="0" distL="114300" distR="114300" simplePos="0" relativeHeight="251691008" behindDoc="0" locked="0" layoutInCell="1" allowOverlap="1">
                <wp:simplePos x="0" y="0"/>
                <wp:positionH relativeFrom="column">
                  <wp:posOffset>-788307</wp:posOffset>
                </wp:positionH>
                <wp:positionV relativeFrom="paragraph">
                  <wp:posOffset>300355</wp:posOffset>
                </wp:positionV>
                <wp:extent cx="1454331" cy="923109"/>
                <wp:effectExtent l="12700" t="12700" r="19050" b="1714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1" o:spid="_x0000_s1039" style="width:114.5pt;height:72.7pt;margin-top:23.65pt;margin-left:-62.05pt;mso-wrap-distance-bottom:0;mso-wrap-distance-left:9pt;mso-wrap-distance-right:9pt;mso-wrap-distance-top:0;mso-wrap-style:square;position:absolute;visibility:visible;v-text-anchor:middle;z-index:251692032" fillcolor="white" strokecolor="white" strokeweight="2pt"/>
            </w:pict>
          </mc:Fallback>
        </mc:AlternateContent>
      </w:r>
      <w:r w:rsidR="005D2577">
        <w:rPr>
          <w:b/>
          <w:bCs/>
          <w:noProof/>
          <w:spacing w:val="86"/>
          <w:rtl/>
          <w:lang w:val="he-IL"/>
        </w:rPr>
        <mc:AlternateContent>
          <mc:Choice Requires="wps">
            <w:drawing>
              <wp:anchor distT="0" distB="0" distL="114300" distR="114300" simplePos="0" relativeHeight="251664384" behindDoc="0" locked="0" layoutInCell="1" allowOverlap="1">
                <wp:simplePos x="0" y="0"/>
                <wp:positionH relativeFrom="column">
                  <wp:posOffset>-789744</wp:posOffset>
                </wp:positionH>
                <wp:positionV relativeFrom="paragraph">
                  <wp:posOffset>6041195</wp:posOffset>
                </wp:positionV>
                <wp:extent cx="3528647" cy="504092"/>
                <wp:effectExtent l="0" t="0" r="2540" b="4445"/>
                <wp:wrapNone/>
                <wp:docPr id="589"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528647" cy="50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40" style="width:277.85pt;height:39.7pt;margin-top:475.7pt;margin-left:-62.2pt;mso-height-percent:0;mso-height-relative:margin;mso-width-percent:0;mso-width-relative:margin;mso-wrap-distance-bottom:0;mso-wrap-distance-left:9pt;mso-wrap-distance-right:9pt;mso-wrap-distance-top:0;mso-wrap-style:square;position:absolute;visibility:visible;v-text-anchor:middle;z-index:251665408" fillcolor="white" stroked="f" strokeweight="2pt"/>
            </w:pict>
          </mc:Fallback>
        </mc:AlternateContent>
      </w:r>
      <w:r w:rsidR="00D80478">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4415188</wp:posOffset>
                </wp:positionH>
                <wp:positionV relativeFrom="paragraph">
                  <wp:posOffset>527484</wp:posOffset>
                </wp:positionV>
                <wp:extent cx="1227221" cy="697832"/>
                <wp:effectExtent l="12700" t="12700" r="17780" b="13970"/>
                <wp:wrapNone/>
                <wp:docPr id="27" name="מלבן 27"/>
                <wp:cNvGraphicFramePr/>
                <a:graphic xmlns:a="http://schemas.openxmlformats.org/drawingml/2006/main">
                  <a:graphicData uri="http://schemas.microsoft.com/office/word/2010/wordprocessingShape">
                    <wps:wsp xmlns:wps="http://schemas.microsoft.com/office/word/2010/wordprocessingShape">
                      <wps:cNvSpPr/>
                      <wps:spPr>
                        <a:xfrm>
                          <a:off x="0" y="0"/>
                          <a:ext cx="1227221" cy="6978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7" o:spid="_x0000_s1041" style="width:96.65pt;height:54.95pt;margin-top:41.55pt;margin-left:347.65pt;mso-wrap-distance-bottom:0;mso-wrap-distance-left:9pt;mso-wrap-distance-right:9pt;mso-wrap-distance-top:0;mso-wrap-style:square;position:absolute;visibility:visible;v-text-anchor:middle;z-index:251671552" fillcolor="white" strokecolor="white"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4358852</wp:posOffset>
                </wp:positionH>
                <wp:positionV relativeFrom="paragraph">
                  <wp:posOffset>3497369</wp:posOffset>
                </wp:positionV>
                <wp:extent cx="931333" cy="306917"/>
                <wp:effectExtent l="0" t="0" r="0" b="0"/>
                <wp:wrapNone/>
                <wp:docPr id="212305706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931333" cy="3069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42" style="width:73.35pt;height:24.15pt;margin-top:275.4pt;margin-left:343.2pt;flip:y;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2pt"/>
            </w:pict>
          </mc:Fallback>
        </mc:AlternateContent>
      </w:r>
      <w:r w:rsidRPr="00777BE8">
        <w:rPr>
          <w:rtl/>
        </w:rPr>
        <w:br w:type="page"/>
      </w:r>
    </w:p>
    <w:p w:rsidR="00D12792" w:rsidRPr="00C04B74" w:rsidP="00D1371E" w14:paraId="4B572C5B" w14:textId="0A53D616">
      <w:pPr>
        <w:pStyle w:val="71316"/>
        <w:bidi w:val="0"/>
        <w:ind w:left="113"/>
        <w:rPr>
          <w:sz w:val="36"/>
          <w:szCs w:val="36"/>
          <w:rtl/>
        </w:rPr>
      </w:pPr>
      <w:r w:rsidRPr="00B535DF">
        <w:rPr>
          <w:rFonts w:hint="cs"/>
          <w:b w:val="0"/>
          <w:bCs w:val="0"/>
          <w:noProof/>
          <w:spacing w:val="86"/>
          <w:rtl/>
          <w:lang w:val="he-IL"/>
        </w:rPr>
        <mc:AlternateContent>
          <mc:Choice Requires="wps">
            <w:drawing>
              <wp:anchor distT="0" distB="0" distL="114300" distR="114300" simplePos="0" relativeHeight="251668480" behindDoc="0" locked="0" layoutInCell="1" allowOverlap="1">
                <wp:simplePos x="0" y="0"/>
                <wp:positionH relativeFrom="column">
                  <wp:posOffset>83820</wp:posOffset>
                </wp:positionH>
                <wp:positionV relativeFrom="paragraph">
                  <wp:posOffset>440690</wp:posOffset>
                </wp:positionV>
                <wp:extent cx="1958340" cy="0"/>
                <wp:effectExtent l="0" t="0" r="10160" b="1270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95834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43" style="flip:x;mso-height-percent:0;mso-height-relative:margin;mso-width-percent:0;mso-width-relative:margin;mso-wrap-distance-bottom:0;mso-wrap-distance-left:9pt;mso-wrap-distance-right:9pt;mso-wrap-distance-top:0;mso-wrap-style:square;position:absolute;visibility:visible;z-index:251669504" from="6.6pt,34.7pt" to="160.8pt,34.7pt" strokecolor="#00305f" strokeweight="1pt"/>
            </w:pict>
          </mc:Fallback>
        </mc:AlternateContent>
      </w:r>
      <w:r>
        <w:rPr>
          <w:sz w:val="36"/>
          <w:szCs w:val="36"/>
        </w:rPr>
        <w:t>Table of contents</w:t>
      </w:r>
    </w:p>
    <w:p w:rsidR="00D12792" w:rsidP="00A27E15" w14:paraId="3A90F0CE" w14:textId="44545C1F">
      <w:pPr>
        <w:pStyle w:val="71316"/>
        <w:bidi w:val="0"/>
        <w:spacing w:before="240"/>
        <w:ind w:left="113" w:right="113"/>
        <w:rPr>
          <w:b w:val="0"/>
          <w:bCs w:val="0"/>
          <w:rtl/>
        </w:rPr>
      </w:pPr>
      <w:r>
        <w:rPr>
          <w:b w:val="0"/>
          <w:bCs w:val="0"/>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3858260</wp:posOffset>
                </wp:positionH>
                <wp:positionV relativeFrom="paragraph">
                  <wp:posOffset>6541770</wp:posOffset>
                </wp:positionV>
                <wp:extent cx="1454331" cy="735058"/>
                <wp:effectExtent l="12700" t="12700" r="19050" b="14605"/>
                <wp:wrapNone/>
                <wp:docPr id="34" name="מלבן 3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4" o:spid="_x0000_s1044" style="width:114.5pt;height:57.9pt;margin-top:515.1pt;margin-left:303.8pt;mso-height-percent:0;mso-height-relative:margin;mso-wrap-distance-bottom:0;mso-wrap-distance-left:9pt;mso-wrap-distance-right:9pt;mso-wrap-distance-top:0;mso-wrap-style:square;position:absolute;visibility:visible;v-text-anchor:middle;z-index:251696128" fillcolor="white" strokecolor="white" strokeweight="2pt"/>
            </w:pict>
          </mc:Fallback>
        </mc:AlternateContent>
      </w:r>
      <w:r>
        <w:rPr>
          <w:b w:val="0"/>
          <w:bCs w:val="0"/>
        </w:rPr>
        <w:t>Abstr</w:t>
      </w:r>
      <w:r w:rsidR="00BC7301">
        <w:rPr>
          <w:b w:val="0"/>
          <w:bCs w:val="0"/>
        </w:rPr>
        <w:t>acts</w:t>
      </w:r>
      <w:r w:rsidR="00C158FE">
        <w:rPr>
          <w:noProof/>
          <w:sz w:val="22"/>
          <w:szCs w:val="22"/>
          <w:rtl/>
          <w:lang w:val="he-IL"/>
        </w:rPr>
        <mc:AlternateContent>
          <mc:Choice Requires="wps">
            <w:drawing>
              <wp:anchor distT="0" distB="0" distL="114300" distR="114300" simplePos="0" relativeHeight="251680768" behindDoc="0" locked="0" layoutInCell="1" allowOverlap="1">
                <wp:simplePos x="0" y="0"/>
                <wp:positionH relativeFrom="column">
                  <wp:posOffset>4513971</wp:posOffset>
                </wp:positionH>
                <wp:positionV relativeFrom="paragraph">
                  <wp:posOffset>6246739</wp:posOffset>
                </wp:positionV>
                <wp:extent cx="794825" cy="478302"/>
                <wp:effectExtent l="12700" t="12700" r="18415" b="17145"/>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0" o:spid="_x0000_s1045" style="width:62.6pt;height:37.65pt;margin-top:491.85pt;margin-left:355.45pt;mso-wrap-distance-bottom:0;mso-wrap-distance-left:9pt;mso-wrap-distance-right:9pt;mso-wrap-distance-top:0;mso-wrap-style:square;position:absolute;visibility:visible;v-text-anchor:middle;z-index:251681792"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4798305</wp:posOffset>
                </wp:positionH>
                <wp:positionV relativeFrom="paragraph">
                  <wp:posOffset>5438384</wp:posOffset>
                </wp:positionV>
                <wp:extent cx="794825" cy="478302"/>
                <wp:effectExtent l="12700" t="12700" r="18415" b="1714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8" o:spid="_x0000_s1046" style="width:62.6pt;height:37.65pt;margin-top:428.2pt;margin-left:377.8pt;mso-wrap-distance-bottom:0;mso-wrap-distance-left:9pt;mso-wrap-distance-right:9pt;mso-wrap-distance-top:0;mso-wrap-style:square;position:absolute;visibility:visible;v-text-anchor:middle;z-index:251677696" fillcolor="white" strokecolor="white"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4"/>
        <w:gridCol w:w="566"/>
        <w:gridCol w:w="5810"/>
      </w:tblGrid>
      <w:tr w14:paraId="7EC36455" w14:textId="77777777" w:rsidTr="009608FC">
        <w:tblPrEx>
          <w:tblW w:w="0" w:type="auto"/>
          <w:tblLook w:val="04A0"/>
        </w:tblPrEx>
        <w:tc>
          <w:tcPr>
            <w:tcW w:w="984" w:type="dxa"/>
          </w:tcPr>
          <w:p w:rsidR="00BC7301" w:rsidP="009608FC" w14:paraId="7482A052" w14:textId="01E7511B">
            <w:pPr>
              <w:pStyle w:val="7190"/>
              <w:bidi w:val="0"/>
              <w:spacing w:before="600" w:after="480"/>
              <w:rPr>
                <w:rFonts w:ascii="Arial" w:hAnsi="Arial"/>
                <w:color w:val="000000"/>
                <w:sz w:val="24"/>
                <w:rtl/>
              </w:rPr>
            </w:pPr>
            <w:r>
              <w:rPr>
                <w:rFonts w:ascii="Arial" w:hAnsi="Arial" w:hint="cs"/>
                <w:color w:val="000000"/>
                <w:sz w:val="24"/>
                <w:rtl/>
              </w:rPr>
              <w:t>7</w:t>
            </w:r>
          </w:p>
        </w:tc>
        <w:tc>
          <w:tcPr>
            <w:tcW w:w="566" w:type="dxa"/>
          </w:tcPr>
          <w:p w:rsidR="00BC7301" w:rsidRPr="00C237BB" w:rsidP="009608FC" w14:paraId="09EC328E" w14:textId="089B313B">
            <w:pPr>
              <w:pStyle w:val="7190"/>
              <w:bidi w:val="0"/>
              <w:spacing w:before="600" w:after="480"/>
              <w:rPr>
                <w:b/>
                <w:bCs/>
                <w:color w:val="00305F"/>
                <w:sz w:val="22"/>
                <w:szCs w:val="22"/>
                <w:rtl/>
              </w:rPr>
            </w:pPr>
          </w:p>
        </w:tc>
        <w:tc>
          <w:tcPr>
            <w:tcW w:w="5810" w:type="dxa"/>
          </w:tcPr>
          <w:p w:rsidR="00BC7301" w:rsidRPr="00C237BB" w:rsidP="009608FC" w14:paraId="6572CF92" w14:textId="733BAE4E">
            <w:pPr>
              <w:pStyle w:val="7190"/>
              <w:bidi w:val="0"/>
              <w:spacing w:before="600" w:after="480"/>
              <w:jc w:val="both"/>
              <w:rPr>
                <w:b/>
                <w:bCs/>
                <w:rtl/>
              </w:rPr>
            </w:pPr>
            <w:r>
              <w:rPr>
                <w:b/>
                <w:bCs/>
                <w:color w:val="00305F"/>
                <w:sz w:val="22"/>
                <w:szCs w:val="22"/>
              </w:rPr>
              <w:t>Foreword</w:t>
            </w:r>
          </w:p>
        </w:tc>
      </w:tr>
      <w:tr w14:paraId="2427439D" w14:textId="77777777" w:rsidTr="009608FC">
        <w:tblPrEx>
          <w:tblW w:w="0" w:type="auto"/>
          <w:tblLook w:val="04A0"/>
        </w:tblPrEx>
        <w:tc>
          <w:tcPr>
            <w:tcW w:w="7360" w:type="dxa"/>
            <w:gridSpan w:val="3"/>
          </w:tcPr>
          <w:p w:rsidR="00141BD3" w:rsidRPr="00141BD3" w:rsidP="009608FC" w14:paraId="39328E8B" w14:textId="5F473411">
            <w:pPr>
              <w:pStyle w:val="7190"/>
              <w:bidi w:val="0"/>
              <w:spacing w:before="0" w:after="200"/>
              <w:jc w:val="both"/>
              <w:rPr>
                <w:color w:val="00305F"/>
                <w:sz w:val="24"/>
                <w:szCs w:val="24"/>
              </w:rPr>
            </w:pPr>
            <w:r w:rsidRPr="00244C6D">
              <w:rPr>
                <w:color w:val="00305F"/>
                <w:sz w:val="24"/>
                <w:szCs w:val="24"/>
              </w:rPr>
              <w:t xml:space="preserve">Chapter One | </w:t>
            </w:r>
            <w:r w:rsidRPr="009C4C39" w:rsidR="009C4C39">
              <w:rPr>
                <w:b/>
                <w:bCs/>
                <w:color w:val="00305F"/>
                <w:sz w:val="24"/>
                <w:szCs w:val="24"/>
              </w:rPr>
              <w:t>Systemic issues</w:t>
            </w:r>
          </w:p>
        </w:tc>
      </w:tr>
      <w:tr w14:paraId="6D9E0FCF" w14:textId="77777777" w:rsidTr="009608FC">
        <w:tblPrEx>
          <w:tblW w:w="0" w:type="auto"/>
          <w:tblLook w:val="04A0"/>
        </w:tblPrEx>
        <w:trPr>
          <w:trHeight w:val="831"/>
        </w:trPr>
        <w:tc>
          <w:tcPr>
            <w:tcW w:w="984" w:type="dxa"/>
          </w:tcPr>
          <w:p w:rsidR="00980BFA" w:rsidRPr="00141BD3" w:rsidP="009608FC" w14:paraId="520874BC" w14:textId="0E23AC92">
            <w:pPr>
              <w:pStyle w:val="7190"/>
              <w:bidi w:val="0"/>
              <w:spacing w:before="0" w:after="600"/>
              <w:rPr>
                <w:rFonts w:ascii="Arial" w:hAnsi="Arial"/>
                <w:color w:val="000000"/>
                <w:rtl/>
              </w:rPr>
            </w:pPr>
            <w:r>
              <w:rPr>
                <w:rFonts w:ascii="Arial" w:hAnsi="Arial" w:hint="cs"/>
                <w:color w:val="000000"/>
                <w:rtl/>
              </w:rPr>
              <w:t>1</w:t>
            </w:r>
            <w:r w:rsidR="00A069A9">
              <w:rPr>
                <w:rFonts w:ascii="Arial" w:hAnsi="Arial" w:hint="cs"/>
                <w:color w:val="000000"/>
                <w:rtl/>
              </w:rPr>
              <w:t>5</w:t>
            </w:r>
          </w:p>
        </w:tc>
        <w:tc>
          <w:tcPr>
            <w:tcW w:w="566" w:type="dxa"/>
          </w:tcPr>
          <w:p w:rsidR="00980BFA" w:rsidRPr="00141BD3" w:rsidP="009608FC" w14:paraId="217C385B" w14:textId="64B6353A">
            <w:pPr>
              <w:pStyle w:val="7190"/>
              <w:bidi w:val="0"/>
              <w:spacing w:before="0" w:after="600"/>
              <w:rPr>
                <w:rFonts w:ascii="Arial" w:hAnsi="Arial"/>
                <w:color w:val="000000"/>
                <w:rtl/>
              </w:rPr>
            </w:pPr>
          </w:p>
        </w:tc>
        <w:tc>
          <w:tcPr>
            <w:tcW w:w="5810" w:type="dxa"/>
          </w:tcPr>
          <w:p w:rsidR="00980BFA" w:rsidRPr="009C4C39" w:rsidP="009608FC" w14:paraId="13B617CA" w14:textId="1EF8149D">
            <w:pPr>
              <w:pStyle w:val="7190"/>
              <w:bidi w:val="0"/>
              <w:spacing w:before="0" w:after="600"/>
              <w:rPr>
                <w:color w:val="000000" w:themeColor="text1"/>
                <w:rtl/>
              </w:rPr>
            </w:pPr>
            <w:r w:rsidRPr="009C4C39">
              <w:rPr>
                <w:color w:val="000000" w:themeColor="text1"/>
              </w:rPr>
              <w:t>The State's Response to Concentration and Monopolies in the Food and Consumer Goods Sector</w:t>
            </w:r>
            <w:r w:rsidR="009608FC">
              <w:rPr>
                <w:noProof/>
                <w:color w:val="000000" w:themeColor="text1"/>
              </w:rPr>
              <w:t xml:space="preserve"> </w:t>
            </w:r>
          </w:p>
        </w:tc>
      </w:tr>
      <w:tr w14:paraId="68694D73" w14:textId="77777777" w:rsidTr="009608FC">
        <w:tblPrEx>
          <w:tblW w:w="0" w:type="auto"/>
          <w:tblLook w:val="04A0"/>
        </w:tblPrEx>
        <w:trPr>
          <w:trHeight w:val="289"/>
        </w:trPr>
        <w:tc>
          <w:tcPr>
            <w:tcW w:w="7360" w:type="dxa"/>
            <w:gridSpan w:val="3"/>
          </w:tcPr>
          <w:p w:rsidR="00980BFA" w:rsidRPr="00141BD3" w:rsidP="009608FC" w14:paraId="738C4602" w14:textId="0FC268C0">
            <w:pPr>
              <w:pStyle w:val="7190"/>
              <w:bidi w:val="0"/>
              <w:spacing w:before="0" w:after="200"/>
              <w:jc w:val="both"/>
              <w:rPr>
                <w:rFonts w:ascii="Arial" w:hAnsi="Arial"/>
                <w:color w:val="000000"/>
                <w:sz w:val="30"/>
                <w:szCs w:val="30"/>
                <w:rtl/>
              </w:rPr>
            </w:pPr>
            <w:r w:rsidRPr="003C3E61">
              <w:rPr>
                <w:color w:val="00305F"/>
                <w:sz w:val="24"/>
                <w:szCs w:val="24"/>
              </w:rPr>
              <w:t>Chapter Two</w:t>
            </w:r>
            <w:r w:rsidRPr="003C3E61">
              <w:rPr>
                <w:b/>
                <w:bCs/>
                <w:color w:val="00305F"/>
                <w:sz w:val="24"/>
                <w:szCs w:val="24"/>
              </w:rPr>
              <w:t xml:space="preserve"> | </w:t>
            </w:r>
            <w:r w:rsidRPr="0022348A">
              <w:rPr>
                <w:b/>
                <w:bCs/>
                <w:color w:val="00305F"/>
                <w:sz w:val="24"/>
                <w:szCs w:val="24"/>
              </w:rPr>
              <w:t xml:space="preserve">Government </w:t>
            </w:r>
            <w:r>
              <w:rPr>
                <w:b/>
                <w:bCs/>
                <w:color w:val="00305F"/>
                <w:sz w:val="24"/>
                <w:szCs w:val="24"/>
              </w:rPr>
              <w:t>Ministries</w:t>
            </w:r>
          </w:p>
        </w:tc>
      </w:tr>
      <w:tr w14:paraId="55C867D8" w14:textId="77777777" w:rsidTr="009608FC">
        <w:tblPrEx>
          <w:tblW w:w="0" w:type="auto"/>
          <w:tblLook w:val="04A0"/>
        </w:tblPrEx>
        <w:tc>
          <w:tcPr>
            <w:tcW w:w="7360" w:type="dxa"/>
            <w:gridSpan w:val="3"/>
          </w:tcPr>
          <w:p w:rsidR="00FF63DA" w:rsidRPr="00DE2520" w:rsidP="009608FC" w14:paraId="22F2C04F" w14:textId="1A713CB2">
            <w:pPr>
              <w:pStyle w:val="7190"/>
              <w:bidi w:val="0"/>
              <w:spacing w:before="0" w:after="120"/>
              <w:rPr>
                <w:color w:val="00305F"/>
                <w:sz w:val="22"/>
                <w:szCs w:val="22"/>
              </w:rPr>
            </w:pPr>
            <w:r w:rsidRPr="009C4C39">
              <w:rPr>
                <w:color w:val="00305F"/>
                <w:sz w:val="22"/>
                <w:szCs w:val="22"/>
              </w:rPr>
              <w:t>Ministry of Finance – The Tax Authority</w:t>
            </w:r>
          </w:p>
        </w:tc>
      </w:tr>
      <w:tr w14:paraId="77B92E84" w14:textId="77777777" w:rsidTr="009608FC">
        <w:tblPrEx>
          <w:tblW w:w="0" w:type="auto"/>
          <w:tblLook w:val="04A0"/>
        </w:tblPrEx>
        <w:tc>
          <w:tcPr>
            <w:tcW w:w="984" w:type="dxa"/>
          </w:tcPr>
          <w:p w:rsidR="00980BFA" w:rsidRPr="00980BFA" w:rsidP="00B60B63" w14:paraId="18BAE8C4" w14:textId="1751C868">
            <w:pPr>
              <w:pStyle w:val="7190"/>
              <w:bidi w:val="0"/>
              <w:spacing w:before="0" w:after="120"/>
              <w:rPr>
                <w:rFonts w:ascii="Arial" w:hAnsi="Arial"/>
                <w:color w:val="000000" w:themeColor="text1"/>
              </w:rPr>
            </w:pPr>
            <w:r>
              <w:rPr>
                <w:rFonts w:ascii="Arial" w:hAnsi="Arial" w:hint="cs"/>
                <w:color w:val="000000" w:themeColor="text1"/>
                <w:rtl/>
              </w:rPr>
              <w:t>33</w:t>
            </w:r>
          </w:p>
        </w:tc>
        <w:tc>
          <w:tcPr>
            <w:tcW w:w="566" w:type="dxa"/>
          </w:tcPr>
          <w:p w:rsidR="00980BFA" w:rsidRPr="00980BFA" w:rsidP="00B60B63" w14:paraId="5580573B" w14:textId="77777777">
            <w:pPr>
              <w:pStyle w:val="7190"/>
              <w:bidi w:val="0"/>
              <w:spacing w:before="0" w:after="120"/>
              <w:rPr>
                <w:rFonts w:ascii="Arial" w:hAnsi="Arial"/>
                <w:color w:val="000000" w:themeColor="text1"/>
                <w:rtl/>
              </w:rPr>
            </w:pPr>
          </w:p>
        </w:tc>
        <w:tc>
          <w:tcPr>
            <w:tcW w:w="5810" w:type="dxa"/>
            <w:vAlign w:val="center"/>
          </w:tcPr>
          <w:p w:rsidR="00980BFA" w:rsidRPr="00980BFA" w:rsidP="00B60B63" w14:paraId="379F5CD5" w14:textId="05219484">
            <w:pPr>
              <w:pStyle w:val="7190"/>
              <w:bidi w:val="0"/>
              <w:spacing w:before="0" w:after="120"/>
              <w:rPr>
                <w:color w:val="000000" w:themeColor="text1"/>
                <w:spacing w:val="-4"/>
              </w:rPr>
            </w:pPr>
            <w:r w:rsidRPr="009C4C39">
              <w:rPr>
                <w:color w:val="000000" w:themeColor="text1"/>
                <w:spacing w:val="-4"/>
              </w:rPr>
              <w:t>Taxation of Digital Currencies</w:t>
            </w:r>
          </w:p>
        </w:tc>
      </w:tr>
      <w:tr w14:paraId="55189E97" w14:textId="77777777" w:rsidTr="009608FC">
        <w:tblPrEx>
          <w:tblW w:w="0" w:type="auto"/>
          <w:tblLook w:val="04A0"/>
        </w:tblPrEx>
        <w:tc>
          <w:tcPr>
            <w:tcW w:w="7360" w:type="dxa"/>
            <w:gridSpan w:val="3"/>
          </w:tcPr>
          <w:p w:rsidR="00FF63DA" w:rsidRPr="00EF273E" w:rsidP="00B60B63" w14:paraId="0F6C9EE6" w14:textId="04B256E5">
            <w:pPr>
              <w:pStyle w:val="7190"/>
              <w:bidi w:val="0"/>
              <w:spacing w:after="120"/>
              <w:rPr>
                <w:color w:val="0D0D0D"/>
                <w:spacing w:val="-4"/>
              </w:rPr>
            </w:pPr>
            <w:r w:rsidRPr="009C4C39">
              <w:rPr>
                <w:color w:val="00305F"/>
                <w:sz w:val="22"/>
                <w:szCs w:val="22"/>
              </w:rPr>
              <w:t>The Ministry of Energy and Infrastructure</w:t>
            </w:r>
          </w:p>
        </w:tc>
      </w:tr>
      <w:tr w14:paraId="67E2D1A0" w14:textId="77777777" w:rsidTr="009608FC">
        <w:tblPrEx>
          <w:tblW w:w="0" w:type="auto"/>
          <w:tblLook w:val="04A0"/>
        </w:tblPrEx>
        <w:tc>
          <w:tcPr>
            <w:tcW w:w="984" w:type="dxa"/>
          </w:tcPr>
          <w:p w:rsidR="00980BFA" w:rsidP="00B60B63" w14:paraId="6748E24B" w14:textId="666434E2">
            <w:pPr>
              <w:pStyle w:val="7190"/>
              <w:bidi w:val="0"/>
              <w:spacing w:before="0" w:after="120"/>
              <w:rPr>
                <w:rFonts w:ascii="Arial" w:hAnsi="Arial"/>
                <w:color w:val="000000"/>
              </w:rPr>
            </w:pPr>
            <w:r>
              <w:rPr>
                <w:rFonts w:ascii="Arial" w:hAnsi="Arial" w:hint="cs"/>
                <w:color w:val="000000"/>
                <w:rtl/>
              </w:rPr>
              <w:t>45</w:t>
            </w:r>
          </w:p>
        </w:tc>
        <w:tc>
          <w:tcPr>
            <w:tcW w:w="566" w:type="dxa"/>
          </w:tcPr>
          <w:p w:rsidR="00980BFA" w:rsidRPr="00141BD3" w:rsidP="00B60B63" w14:paraId="721E5054" w14:textId="77777777">
            <w:pPr>
              <w:pStyle w:val="7190"/>
              <w:bidi w:val="0"/>
              <w:spacing w:before="0" w:after="120"/>
              <w:rPr>
                <w:rFonts w:ascii="Arial" w:hAnsi="Arial"/>
                <w:color w:val="000000"/>
                <w:rtl/>
              </w:rPr>
            </w:pPr>
          </w:p>
        </w:tc>
        <w:tc>
          <w:tcPr>
            <w:tcW w:w="5810" w:type="dxa"/>
            <w:vAlign w:val="center"/>
          </w:tcPr>
          <w:p w:rsidR="00980BFA" w:rsidRPr="0022348A" w:rsidP="00B60B63" w14:paraId="0FFC94BD" w14:textId="268DCE66">
            <w:pPr>
              <w:pStyle w:val="7190"/>
              <w:bidi w:val="0"/>
              <w:spacing w:before="0" w:after="120"/>
              <w:rPr>
                <w:color w:val="0D0D0D"/>
                <w:spacing w:val="-4"/>
              </w:rPr>
            </w:pPr>
            <w:r w:rsidRPr="009C4C39">
              <w:rPr>
                <w:color w:val="0D0D0D"/>
                <w:spacing w:val="-4"/>
              </w:rPr>
              <w:t>Development of the Electricity Sector Towards 2030</w:t>
            </w:r>
          </w:p>
        </w:tc>
      </w:tr>
      <w:tr w14:paraId="0D4809B3" w14:textId="77777777" w:rsidTr="009608FC">
        <w:tblPrEx>
          <w:tblW w:w="0" w:type="auto"/>
          <w:tblLook w:val="04A0"/>
        </w:tblPrEx>
        <w:tc>
          <w:tcPr>
            <w:tcW w:w="7360" w:type="dxa"/>
            <w:gridSpan w:val="3"/>
          </w:tcPr>
          <w:p w:rsidR="00FF63DA" w:rsidRPr="00EF273E" w:rsidP="00B60B63" w14:paraId="45D4BC49" w14:textId="5B52DB54">
            <w:pPr>
              <w:pStyle w:val="7190"/>
              <w:bidi w:val="0"/>
              <w:spacing w:after="120"/>
              <w:rPr>
                <w:color w:val="0D0D0D"/>
                <w:spacing w:val="-4"/>
              </w:rPr>
            </w:pPr>
            <w:r w:rsidRPr="009C4C39">
              <w:rPr>
                <w:color w:val="00305F"/>
                <w:sz w:val="22"/>
                <w:szCs w:val="22"/>
              </w:rPr>
              <w:t>The Ministry of Regional Cooperation</w:t>
            </w:r>
          </w:p>
        </w:tc>
      </w:tr>
      <w:tr w14:paraId="327F6673" w14:textId="77777777" w:rsidTr="009608FC">
        <w:tblPrEx>
          <w:tblW w:w="0" w:type="auto"/>
          <w:tblLook w:val="04A0"/>
        </w:tblPrEx>
        <w:tc>
          <w:tcPr>
            <w:tcW w:w="984" w:type="dxa"/>
          </w:tcPr>
          <w:p w:rsidR="00EF273E" w:rsidP="00B60B63" w14:paraId="1FA8CEF4" w14:textId="4B5B0982">
            <w:pPr>
              <w:pStyle w:val="7190"/>
              <w:bidi w:val="0"/>
              <w:spacing w:before="0" w:after="120"/>
              <w:rPr>
                <w:color w:val="0D0D0D"/>
                <w:spacing w:val="-4"/>
              </w:rPr>
            </w:pPr>
            <w:r>
              <w:rPr>
                <w:rFonts w:hint="cs"/>
                <w:color w:val="0D0D0D"/>
                <w:spacing w:val="-4"/>
                <w:rtl/>
              </w:rPr>
              <w:t>59</w:t>
            </w:r>
          </w:p>
        </w:tc>
        <w:tc>
          <w:tcPr>
            <w:tcW w:w="566" w:type="dxa"/>
          </w:tcPr>
          <w:p w:rsidR="00EF273E" w:rsidRPr="00EF273E" w:rsidP="00B60B63" w14:paraId="2A181F96" w14:textId="77777777">
            <w:pPr>
              <w:pStyle w:val="7190"/>
              <w:bidi w:val="0"/>
              <w:spacing w:before="0" w:after="120"/>
              <w:rPr>
                <w:color w:val="0D0D0D"/>
                <w:spacing w:val="-4"/>
                <w:rtl/>
              </w:rPr>
            </w:pPr>
          </w:p>
        </w:tc>
        <w:tc>
          <w:tcPr>
            <w:tcW w:w="5810" w:type="dxa"/>
          </w:tcPr>
          <w:p w:rsidR="00EF273E" w:rsidRPr="009C4C39" w:rsidP="00B60B63" w14:paraId="7A809920" w14:textId="6BCA2E5C">
            <w:pPr>
              <w:pStyle w:val="7190"/>
              <w:bidi w:val="0"/>
              <w:spacing w:before="0" w:after="120"/>
              <w:rPr>
                <w:color w:val="FF0000"/>
                <w:spacing w:val="-4"/>
              </w:rPr>
            </w:pPr>
            <w:r w:rsidRPr="00B061D1">
              <w:rPr>
                <w:color w:val="000000" w:themeColor="text1"/>
                <w:spacing w:val="-4"/>
              </w:rPr>
              <w:t xml:space="preserve">Activity of the Ministry </w:t>
            </w:r>
            <w:r w:rsidR="00E93869">
              <w:rPr>
                <w:color w:val="000000" w:themeColor="text1"/>
                <w:spacing w:val="-4"/>
              </w:rPr>
              <w:t>of</w:t>
            </w:r>
            <w:r w:rsidRPr="00B061D1">
              <w:rPr>
                <w:color w:val="000000" w:themeColor="text1"/>
                <w:spacing w:val="-4"/>
              </w:rPr>
              <w:t xml:space="preserve"> Regional Cooperation</w:t>
            </w:r>
          </w:p>
        </w:tc>
      </w:tr>
      <w:tr w14:paraId="4BE66813" w14:textId="77777777" w:rsidTr="009608FC">
        <w:tblPrEx>
          <w:tblW w:w="0" w:type="auto"/>
          <w:tblLook w:val="04A0"/>
        </w:tblPrEx>
        <w:tc>
          <w:tcPr>
            <w:tcW w:w="7360" w:type="dxa"/>
            <w:gridSpan w:val="3"/>
          </w:tcPr>
          <w:p w:rsidR="00FF63DA" w:rsidRPr="00EF273E" w:rsidP="009C4C39" w14:paraId="6646F9B4" w14:textId="66222BE8">
            <w:pPr>
              <w:pStyle w:val="7190"/>
              <w:bidi w:val="0"/>
              <w:spacing w:after="120"/>
              <w:rPr>
                <w:color w:val="0D0D0D"/>
                <w:spacing w:val="-4"/>
              </w:rPr>
            </w:pPr>
            <w:r w:rsidRPr="009C4C39">
              <w:rPr>
                <w:color w:val="00305F"/>
                <w:sz w:val="22"/>
                <w:szCs w:val="22"/>
              </w:rPr>
              <w:t>Ministry of Transpo</w:t>
            </w:r>
            <w:r w:rsidRPr="009C2929">
              <w:rPr>
                <w:color w:val="00305F"/>
                <w:sz w:val="22"/>
                <w:szCs w:val="22"/>
              </w:rPr>
              <w:t>rtation</w:t>
            </w:r>
            <w:r w:rsidRPr="009C4C39">
              <w:rPr>
                <w:color w:val="00305F"/>
                <w:sz w:val="22"/>
                <w:szCs w:val="22"/>
              </w:rPr>
              <w:t xml:space="preserve"> and Road Safety</w:t>
            </w:r>
          </w:p>
        </w:tc>
      </w:tr>
      <w:tr w14:paraId="32CE7FE1" w14:textId="77777777" w:rsidTr="009608FC">
        <w:tblPrEx>
          <w:tblW w:w="0" w:type="auto"/>
          <w:tblLook w:val="04A0"/>
        </w:tblPrEx>
        <w:tc>
          <w:tcPr>
            <w:tcW w:w="984" w:type="dxa"/>
          </w:tcPr>
          <w:p w:rsidR="009C4C39" w:rsidRPr="00FF63DA" w:rsidP="009C4C39" w14:paraId="2998319C" w14:textId="2D845DF1">
            <w:pPr>
              <w:pStyle w:val="7190"/>
              <w:bidi w:val="0"/>
              <w:spacing w:before="0" w:after="120"/>
              <w:rPr>
                <w:rFonts w:ascii="Arial" w:hAnsi="Arial"/>
                <w:color w:val="00B0F0"/>
              </w:rPr>
            </w:pPr>
            <w:r>
              <w:rPr>
                <w:rFonts w:ascii="Arial" w:hAnsi="Arial" w:hint="cs"/>
                <w:color w:val="000000" w:themeColor="text1"/>
                <w:rtl/>
              </w:rPr>
              <w:t>71</w:t>
            </w:r>
          </w:p>
        </w:tc>
        <w:tc>
          <w:tcPr>
            <w:tcW w:w="566" w:type="dxa"/>
          </w:tcPr>
          <w:p w:rsidR="009C4C39" w:rsidRPr="00FF63DA" w:rsidP="009C4C39" w14:paraId="4EB3FB12" w14:textId="77777777">
            <w:pPr>
              <w:pStyle w:val="7190"/>
              <w:bidi w:val="0"/>
              <w:spacing w:before="0" w:after="120"/>
              <w:rPr>
                <w:rFonts w:ascii="Arial" w:hAnsi="Arial"/>
                <w:color w:val="00B0F0"/>
                <w:rtl/>
              </w:rPr>
            </w:pPr>
          </w:p>
        </w:tc>
        <w:tc>
          <w:tcPr>
            <w:tcW w:w="5810" w:type="dxa"/>
            <w:vAlign w:val="center"/>
          </w:tcPr>
          <w:p w:rsidR="009C4C39" w:rsidRPr="00516DBF" w:rsidP="009C4C39" w14:paraId="69B3D3BA" w14:textId="0863FC78">
            <w:pPr>
              <w:pStyle w:val="7190"/>
              <w:bidi w:val="0"/>
              <w:spacing w:before="0" w:after="120"/>
              <w:rPr>
                <w:rFonts w:ascii="Arial" w:hAnsi="Arial"/>
                <w:color w:val="000000" w:themeColor="text1"/>
              </w:rPr>
            </w:pPr>
            <w:r w:rsidRPr="00516DBF">
              <w:rPr>
                <w:rFonts w:ascii="Arial" w:hAnsi="Arial"/>
                <w:color w:val="000000" w:themeColor="text1"/>
              </w:rPr>
              <w:t>Accessibility of Public Transportation for People with Disabilities – Follow-Up Audit</w:t>
            </w:r>
          </w:p>
        </w:tc>
      </w:tr>
      <w:tr w14:paraId="5EB6F577" w14:textId="77777777" w:rsidTr="009608FC">
        <w:tblPrEx>
          <w:tblW w:w="0" w:type="auto"/>
          <w:tblLook w:val="04A0"/>
        </w:tblPrEx>
        <w:tc>
          <w:tcPr>
            <w:tcW w:w="984" w:type="dxa"/>
          </w:tcPr>
          <w:p w:rsidR="009C4C39" w:rsidRPr="009C4C39" w:rsidP="009C4C39" w14:paraId="01F04E4D" w14:textId="5E18ABEB">
            <w:pPr>
              <w:pStyle w:val="7190"/>
              <w:bidi w:val="0"/>
              <w:spacing w:before="0" w:after="120"/>
              <w:rPr>
                <w:color w:val="0D0D0D"/>
                <w:spacing w:val="-4"/>
              </w:rPr>
            </w:pPr>
            <w:r>
              <w:rPr>
                <w:rFonts w:hint="cs"/>
                <w:color w:val="0D0D0D"/>
                <w:spacing w:val="-4"/>
                <w:rtl/>
              </w:rPr>
              <w:t>105</w:t>
            </w:r>
          </w:p>
        </w:tc>
        <w:tc>
          <w:tcPr>
            <w:tcW w:w="566" w:type="dxa"/>
          </w:tcPr>
          <w:p w:rsidR="009C4C39" w:rsidRPr="009C4C39" w:rsidP="009C4C39" w14:paraId="7AF89817" w14:textId="77777777">
            <w:pPr>
              <w:pStyle w:val="7190"/>
              <w:bidi w:val="0"/>
              <w:spacing w:before="0" w:after="120"/>
              <w:rPr>
                <w:color w:val="0D0D0D"/>
                <w:spacing w:val="-4"/>
                <w:rtl/>
              </w:rPr>
            </w:pPr>
          </w:p>
        </w:tc>
        <w:tc>
          <w:tcPr>
            <w:tcW w:w="5810" w:type="dxa"/>
            <w:vAlign w:val="center"/>
          </w:tcPr>
          <w:p w:rsidR="009C4C39" w:rsidRPr="009C4C39" w:rsidP="009C4C39" w14:paraId="2DEFAC6F" w14:textId="0CED254F">
            <w:pPr>
              <w:pStyle w:val="7190"/>
              <w:bidi w:val="0"/>
              <w:spacing w:before="0" w:after="120"/>
              <w:rPr>
                <w:color w:val="0D0D0D"/>
                <w:spacing w:val="-4"/>
              </w:rPr>
            </w:pPr>
            <w:r w:rsidRPr="009C4C39">
              <w:rPr>
                <w:color w:val="0D0D0D"/>
                <w:spacing w:val="-4"/>
              </w:rPr>
              <w:t>The Taxi Sector in Israel</w:t>
            </w:r>
          </w:p>
        </w:tc>
      </w:tr>
      <w:tr w14:paraId="74E70D8F" w14:textId="77777777" w:rsidTr="009608FC">
        <w:tblPrEx>
          <w:tblW w:w="0" w:type="auto"/>
          <w:tblLook w:val="04A0"/>
        </w:tblPrEx>
        <w:tc>
          <w:tcPr>
            <w:tcW w:w="984" w:type="dxa"/>
          </w:tcPr>
          <w:p w:rsidR="00980BFA" w:rsidRPr="009C2929" w:rsidP="009608FC" w14:paraId="267CAF4F" w14:textId="6AD7AB57">
            <w:pPr>
              <w:pStyle w:val="7190"/>
              <w:bidi w:val="0"/>
              <w:spacing w:before="0" w:after="1680"/>
              <w:rPr>
                <w:rFonts w:ascii="Arial" w:hAnsi="Arial"/>
                <w:color w:val="000000" w:themeColor="text1"/>
              </w:rPr>
            </w:pPr>
            <w:r>
              <w:rPr>
                <w:rFonts w:ascii="Arial" w:hAnsi="Arial" w:hint="cs"/>
                <w:color w:val="000000" w:themeColor="text1"/>
                <w:rtl/>
              </w:rPr>
              <w:t>125</w:t>
            </w:r>
          </w:p>
        </w:tc>
        <w:tc>
          <w:tcPr>
            <w:tcW w:w="566" w:type="dxa"/>
          </w:tcPr>
          <w:p w:rsidR="00980BFA" w:rsidRPr="009C2929" w:rsidP="009608FC" w14:paraId="185E30CF" w14:textId="77777777">
            <w:pPr>
              <w:pStyle w:val="7190"/>
              <w:bidi w:val="0"/>
              <w:spacing w:before="0" w:after="1680"/>
              <w:rPr>
                <w:rFonts w:ascii="Arial" w:hAnsi="Arial"/>
                <w:color w:val="000000" w:themeColor="text1"/>
                <w:rtl/>
              </w:rPr>
            </w:pPr>
          </w:p>
        </w:tc>
        <w:tc>
          <w:tcPr>
            <w:tcW w:w="5810" w:type="dxa"/>
            <w:vAlign w:val="center"/>
          </w:tcPr>
          <w:p w:rsidR="00980BFA" w:rsidRPr="009C2929" w:rsidP="009608FC" w14:paraId="70833722" w14:textId="69D0FA09">
            <w:pPr>
              <w:pStyle w:val="7190"/>
              <w:bidi w:val="0"/>
              <w:spacing w:before="0" w:after="1680"/>
              <w:rPr>
                <w:color w:val="000000" w:themeColor="text1"/>
                <w:spacing w:val="-4"/>
              </w:rPr>
            </w:pPr>
            <w:r w:rsidRPr="009C2929">
              <w:rPr>
                <w:color w:val="000000" w:themeColor="text1"/>
                <w:spacing w:val="-4"/>
              </w:rPr>
              <w:t>Operation of Toll Roads</w:t>
            </w:r>
          </w:p>
        </w:tc>
      </w:tr>
      <w:tr w14:paraId="529A9C36" w14:textId="77777777" w:rsidTr="009608FC">
        <w:tblPrEx>
          <w:tblW w:w="0" w:type="auto"/>
          <w:tblLook w:val="04A0"/>
        </w:tblPrEx>
        <w:tc>
          <w:tcPr>
            <w:tcW w:w="7360" w:type="dxa"/>
            <w:gridSpan w:val="3"/>
          </w:tcPr>
          <w:p w:rsidR="00980BFA" w:rsidRPr="001875BC" w:rsidP="00FF63DA" w14:paraId="54D1864C" w14:textId="47664CA9">
            <w:pPr>
              <w:pStyle w:val="7190"/>
              <w:bidi w:val="0"/>
              <w:spacing w:before="0" w:after="200" w:line="276" w:lineRule="auto"/>
              <w:rPr>
                <w:color w:val="000000"/>
                <w:rtl/>
              </w:rPr>
            </w:pPr>
            <w:r w:rsidRPr="00E36AE1">
              <w:rPr>
                <w:color w:val="00305F"/>
                <w:sz w:val="24"/>
                <w:szCs w:val="24"/>
              </w:rPr>
              <w:t>Chapter Three</w:t>
            </w:r>
            <w:r>
              <w:rPr>
                <w:color w:val="00305F"/>
                <w:sz w:val="24"/>
                <w:szCs w:val="24"/>
              </w:rPr>
              <w:t xml:space="preserve"> | </w:t>
            </w:r>
            <w:r>
              <w:rPr>
                <w:b/>
                <w:bCs/>
                <w:color w:val="00305F"/>
                <w:sz w:val="24"/>
                <w:szCs w:val="24"/>
              </w:rPr>
              <w:t>C</w:t>
            </w:r>
            <w:r w:rsidRPr="001954F2">
              <w:rPr>
                <w:b/>
                <w:bCs/>
                <w:color w:val="00305F"/>
                <w:sz w:val="24"/>
                <w:szCs w:val="24"/>
              </w:rPr>
              <w:t>orporations</w:t>
            </w:r>
          </w:p>
        </w:tc>
      </w:tr>
      <w:tr w14:paraId="795A1844" w14:textId="77777777" w:rsidTr="009608FC">
        <w:tblPrEx>
          <w:tblW w:w="0" w:type="auto"/>
          <w:tblLook w:val="04A0"/>
        </w:tblPrEx>
        <w:tc>
          <w:tcPr>
            <w:tcW w:w="7360" w:type="dxa"/>
            <w:gridSpan w:val="3"/>
          </w:tcPr>
          <w:p w:rsidR="00FF63DA" w:rsidRPr="009C2929" w:rsidP="009608FC" w14:paraId="20445ABF" w14:textId="0C9154A5">
            <w:pPr>
              <w:pStyle w:val="7190"/>
              <w:bidi w:val="0"/>
              <w:spacing w:before="0" w:after="120"/>
              <w:rPr>
                <w:color w:val="00305F"/>
                <w:sz w:val="22"/>
                <w:szCs w:val="22"/>
              </w:rPr>
            </w:pPr>
            <w:r w:rsidRPr="009C2929">
              <w:rPr>
                <w:color w:val="00305F"/>
                <w:sz w:val="22"/>
                <w:szCs w:val="22"/>
              </w:rPr>
              <w:t>The Water Authority</w:t>
            </w:r>
          </w:p>
        </w:tc>
      </w:tr>
      <w:tr w14:paraId="57B881A5" w14:textId="77777777" w:rsidTr="009608FC">
        <w:tblPrEx>
          <w:tblW w:w="0" w:type="auto"/>
          <w:tblLook w:val="04A0"/>
        </w:tblPrEx>
        <w:trPr>
          <w:trHeight w:val="784"/>
        </w:trPr>
        <w:tc>
          <w:tcPr>
            <w:tcW w:w="984" w:type="dxa"/>
          </w:tcPr>
          <w:p w:rsidR="009608FC" w:rsidP="009608FC" w14:paraId="3A6C46D1" w14:textId="4A2A457D">
            <w:pPr>
              <w:pStyle w:val="7190"/>
              <w:bidi w:val="0"/>
              <w:spacing w:before="0" w:after="600"/>
              <w:rPr>
                <w:rFonts w:ascii="Arial" w:hAnsi="Arial" w:hint="cs"/>
                <w:color w:val="000000"/>
                <w:sz w:val="24"/>
                <w:rtl/>
              </w:rPr>
            </w:pPr>
            <w:r>
              <w:rPr>
                <w:rFonts w:ascii="Arial" w:hAnsi="Arial" w:hint="cs"/>
                <w:color w:val="000000"/>
                <w:sz w:val="24"/>
                <w:rtl/>
              </w:rPr>
              <w:t>143</w:t>
            </w:r>
          </w:p>
        </w:tc>
        <w:tc>
          <w:tcPr>
            <w:tcW w:w="566" w:type="dxa"/>
          </w:tcPr>
          <w:p w:rsidR="009608FC" w:rsidRPr="00516880" w:rsidP="009608FC" w14:paraId="66E586A8" w14:textId="687A4F0C">
            <w:pPr>
              <w:pStyle w:val="7190"/>
              <w:bidi w:val="0"/>
              <w:spacing w:before="0" w:after="600"/>
              <w:rPr>
                <w:rFonts w:ascii="Arial" w:hAnsi="Arial"/>
                <w:color w:val="FF0000"/>
                <w:sz w:val="22"/>
                <w:szCs w:val="22"/>
                <w:rtl/>
              </w:rPr>
            </w:pPr>
          </w:p>
        </w:tc>
        <w:tc>
          <w:tcPr>
            <w:tcW w:w="5810" w:type="dxa"/>
          </w:tcPr>
          <w:p w:rsidR="009608FC" w:rsidRPr="001A78EF" w:rsidP="009608FC" w14:paraId="0E6BC6DB" w14:textId="17FD7E65">
            <w:pPr>
              <w:pStyle w:val="7190"/>
              <w:bidi w:val="0"/>
              <w:spacing w:before="0" w:after="600"/>
              <w:rPr>
                <w:color w:val="000000" w:themeColor="text1"/>
                <w:spacing w:val="-4"/>
              </w:rPr>
            </w:pPr>
            <w:r w:rsidRPr="001A78EF">
              <w:rPr>
                <w:color w:val="000000" w:themeColor="text1"/>
                <w:spacing w:val="-4"/>
              </w:rPr>
              <w:t>Regulation and Oversight of Seawater Desalination Facilities</w:t>
            </w:r>
            <w:r>
              <w:rPr>
                <w:noProof/>
                <w:color w:val="000000" w:themeColor="text1"/>
              </w:rPr>
              <w:t xml:space="preserve"> </w:t>
            </w:r>
          </w:p>
        </w:tc>
      </w:tr>
      <w:tr w14:paraId="776428AB" w14:textId="77777777" w:rsidTr="009608FC">
        <w:tblPrEx>
          <w:tblW w:w="0" w:type="auto"/>
          <w:tblLook w:val="04A0"/>
        </w:tblPrEx>
        <w:tc>
          <w:tcPr>
            <w:tcW w:w="7360" w:type="dxa"/>
            <w:gridSpan w:val="3"/>
          </w:tcPr>
          <w:p w:rsidR="00FF63DA" w:rsidRPr="00B20BCC" w:rsidP="00FF63DA" w14:paraId="062FEB57" w14:textId="2B3F47D9">
            <w:pPr>
              <w:pStyle w:val="7190"/>
              <w:bidi w:val="0"/>
              <w:spacing w:before="0" w:after="200"/>
              <w:jc w:val="both"/>
              <w:rPr>
                <w:color w:val="00305F"/>
                <w:sz w:val="22"/>
                <w:szCs w:val="22"/>
              </w:rPr>
            </w:pPr>
            <w:r w:rsidRPr="003C3E61">
              <w:rPr>
                <w:color w:val="00305F"/>
                <w:sz w:val="24"/>
                <w:szCs w:val="24"/>
              </w:rPr>
              <w:t>Chapter Four |</w:t>
            </w:r>
            <w:r w:rsidRPr="003C3E61">
              <w:rPr>
                <w:b/>
                <w:bCs/>
                <w:color w:val="00305F"/>
                <w:sz w:val="24"/>
                <w:szCs w:val="24"/>
              </w:rPr>
              <w:t xml:space="preserve"> </w:t>
            </w:r>
            <w:r>
              <w:rPr>
                <w:b/>
                <w:bCs/>
                <w:color w:val="00305F"/>
                <w:sz w:val="24"/>
                <w:szCs w:val="24"/>
              </w:rPr>
              <w:t>The Defense</w:t>
            </w:r>
            <w:r w:rsidRPr="001954F2">
              <w:rPr>
                <w:b/>
                <w:bCs/>
                <w:color w:val="00305F"/>
                <w:sz w:val="24"/>
                <w:szCs w:val="24"/>
              </w:rPr>
              <w:t xml:space="preserve"> </w:t>
            </w:r>
            <w:r>
              <w:rPr>
                <w:b/>
                <w:bCs/>
                <w:color w:val="00305F"/>
                <w:sz w:val="24"/>
                <w:szCs w:val="24"/>
              </w:rPr>
              <w:t>S</w:t>
            </w:r>
            <w:r w:rsidRPr="001954F2">
              <w:rPr>
                <w:b/>
                <w:bCs/>
                <w:color w:val="00305F"/>
                <w:sz w:val="24"/>
                <w:szCs w:val="24"/>
              </w:rPr>
              <w:t>ystem</w:t>
            </w:r>
          </w:p>
        </w:tc>
      </w:tr>
      <w:tr w14:paraId="1D9A8C0B" w14:textId="77777777" w:rsidTr="009608FC">
        <w:tblPrEx>
          <w:tblW w:w="0" w:type="auto"/>
          <w:tblLook w:val="04A0"/>
        </w:tblPrEx>
        <w:tc>
          <w:tcPr>
            <w:tcW w:w="984" w:type="dxa"/>
          </w:tcPr>
          <w:p w:rsidR="00980BFA" w:rsidP="009608FC" w14:paraId="7AB10CA4" w14:textId="084F0DE5">
            <w:pPr>
              <w:pStyle w:val="7190"/>
              <w:bidi w:val="0"/>
              <w:spacing w:before="0" w:after="600"/>
              <w:rPr>
                <w:rFonts w:ascii="Arial" w:hAnsi="Arial"/>
                <w:color w:val="000000"/>
                <w:sz w:val="24"/>
                <w:rtl/>
              </w:rPr>
            </w:pPr>
            <w:r>
              <w:rPr>
                <w:rFonts w:ascii="Arial" w:hAnsi="Arial" w:hint="cs"/>
                <w:color w:val="000000"/>
                <w:sz w:val="24"/>
                <w:rtl/>
              </w:rPr>
              <w:t>159</w:t>
            </w:r>
          </w:p>
        </w:tc>
        <w:tc>
          <w:tcPr>
            <w:tcW w:w="566" w:type="dxa"/>
          </w:tcPr>
          <w:p w:rsidR="00980BFA" w:rsidRPr="00EF273E" w:rsidP="009608FC" w14:paraId="753EF313" w14:textId="26E23C49">
            <w:pPr>
              <w:pStyle w:val="7190"/>
              <w:bidi w:val="0"/>
              <w:spacing w:before="0" w:after="600"/>
              <w:rPr>
                <w:rFonts w:ascii="Arial" w:hAnsi="Arial"/>
                <w:color w:val="000000" w:themeColor="text1"/>
                <w:sz w:val="24"/>
                <w:rtl/>
              </w:rPr>
            </w:pPr>
          </w:p>
        </w:tc>
        <w:tc>
          <w:tcPr>
            <w:tcW w:w="5810" w:type="dxa"/>
          </w:tcPr>
          <w:p w:rsidR="00980BFA" w:rsidRPr="00EF273E" w:rsidP="009608FC" w14:paraId="0B0017B7" w14:textId="30824259">
            <w:pPr>
              <w:pStyle w:val="7190"/>
              <w:bidi w:val="0"/>
              <w:spacing w:before="0" w:after="600"/>
              <w:rPr>
                <w:color w:val="000000" w:themeColor="text1"/>
              </w:rPr>
            </w:pPr>
            <w:r w:rsidRPr="00B061D1">
              <w:rPr>
                <w:color w:val="000000" w:themeColor="text1"/>
                <w:spacing w:val="-4"/>
              </w:rPr>
              <w:t>Expanded Follow-up Audit on a Classified System Within the Ministry of Defense and the IDF</w:t>
            </w:r>
          </w:p>
        </w:tc>
      </w:tr>
      <w:tr w14:paraId="4144CED8" w14:textId="77777777" w:rsidTr="009608FC">
        <w:tblPrEx>
          <w:tblW w:w="0" w:type="auto"/>
          <w:tblLook w:val="04A0"/>
        </w:tblPrEx>
        <w:tc>
          <w:tcPr>
            <w:tcW w:w="7360" w:type="dxa"/>
            <w:gridSpan w:val="3"/>
          </w:tcPr>
          <w:p w:rsidR="00FF63DA" w:rsidRPr="00B061D1" w:rsidP="00FF63DA" w14:paraId="0259920E" w14:textId="66380238">
            <w:pPr>
              <w:pStyle w:val="7190"/>
              <w:bidi w:val="0"/>
              <w:spacing w:before="0" w:after="200"/>
              <w:rPr>
                <w:color w:val="000000" w:themeColor="text1"/>
                <w:spacing w:val="-4"/>
              </w:rPr>
            </w:pPr>
            <w:r w:rsidRPr="003C3E61">
              <w:rPr>
                <w:color w:val="00305F"/>
                <w:sz w:val="24"/>
                <w:szCs w:val="24"/>
              </w:rPr>
              <w:t>Chapter F</w:t>
            </w:r>
            <w:r>
              <w:rPr>
                <w:rFonts w:hint="cs"/>
                <w:color w:val="00305F"/>
                <w:sz w:val="24"/>
                <w:szCs w:val="24"/>
                <w:rtl/>
              </w:rPr>
              <w:t>ive</w:t>
            </w:r>
            <w:r w:rsidRPr="003C3E61">
              <w:rPr>
                <w:color w:val="00305F"/>
                <w:sz w:val="24"/>
                <w:szCs w:val="24"/>
              </w:rPr>
              <w:t xml:space="preserve"> |</w:t>
            </w:r>
            <w:r w:rsidRPr="003C3E61">
              <w:rPr>
                <w:b/>
                <w:bCs/>
                <w:color w:val="00305F"/>
                <w:sz w:val="24"/>
                <w:szCs w:val="24"/>
              </w:rPr>
              <w:t xml:space="preserve"> </w:t>
            </w:r>
            <w:r w:rsidRPr="009C2929">
              <w:rPr>
                <w:b/>
                <w:bCs/>
                <w:color w:val="00305F"/>
                <w:sz w:val="24"/>
                <w:szCs w:val="24"/>
              </w:rPr>
              <w:t>Local government</w:t>
            </w:r>
          </w:p>
        </w:tc>
      </w:tr>
      <w:tr w14:paraId="63F12F3A" w14:textId="77777777" w:rsidTr="009608FC">
        <w:tblPrEx>
          <w:tblW w:w="0" w:type="auto"/>
          <w:tblLook w:val="04A0"/>
        </w:tblPrEx>
        <w:tc>
          <w:tcPr>
            <w:tcW w:w="984" w:type="dxa"/>
          </w:tcPr>
          <w:p w:rsidR="009C2929" w:rsidP="009608FC" w14:paraId="10E79B35" w14:textId="7D431A46">
            <w:pPr>
              <w:pStyle w:val="7190"/>
              <w:bidi w:val="0"/>
              <w:spacing w:before="0" w:after="120"/>
              <w:rPr>
                <w:rFonts w:ascii="Arial" w:hAnsi="Arial"/>
                <w:color w:val="000000"/>
                <w:sz w:val="24"/>
                <w:rtl/>
              </w:rPr>
            </w:pPr>
            <w:r>
              <w:rPr>
                <w:rFonts w:ascii="Arial" w:hAnsi="Arial" w:hint="cs"/>
                <w:color w:val="000000"/>
                <w:sz w:val="24"/>
                <w:rtl/>
              </w:rPr>
              <w:t>165</w:t>
            </w:r>
          </w:p>
        </w:tc>
        <w:tc>
          <w:tcPr>
            <w:tcW w:w="566" w:type="dxa"/>
          </w:tcPr>
          <w:p w:rsidR="009C2929" w:rsidRPr="00EF273E" w:rsidP="009608FC" w14:paraId="2039F2AF" w14:textId="56836CBF">
            <w:pPr>
              <w:pStyle w:val="7190"/>
              <w:bidi w:val="0"/>
              <w:spacing w:before="0" w:after="120"/>
              <w:rPr>
                <w:rFonts w:ascii="Arial" w:hAnsi="Arial"/>
                <w:color w:val="000000" w:themeColor="text1"/>
                <w:sz w:val="24"/>
                <w:rtl/>
              </w:rPr>
            </w:pPr>
          </w:p>
        </w:tc>
        <w:tc>
          <w:tcPr>
            <w:tcW w:w="5810" w:type="dxa"/>
          </w:tcPr>
          <w:p w:rsidR="009C2929" w:rsidRPr="00B061D1" w:rsidP="009608FC" w14:paraId="6A1FE06A" w14:textId="78EF67B8">
            <w:pPr>
              <w:pStyle w:val="7190"/>
              <w:bidi w:val="0"/>
              <w:spacing w:before="0" w:after="120"/>
              <w:rPr>
                <w:color w:val="000000" w:themeColor="text1"/>
                <w:spacing w:val="-4"/>
              </w:rPr>
            </w:pPr>
            <w:r w:rsidRPr="009C2929">
              <w:rPr>
                <w:color w:val="000000" w:themeColor="text1"/>
                <w:spacing w:val="-4"/>
              </w:rPr>
              <w:t>Publication and Management of Tenders for Framework Agreements in Local Authorities and Municipal Corporations</w:t>
            </w:r>
          </w:p>
        </w:tc>
      </w:tr>
      <w:tr w14:paraId="619DD59A" w14:textId="77777777" w:rsidTr="009608FC">
        <w:tblPrEx>
          <w:tblW w:w="0" w:type="auto"/>
          <w:tblLook w:val="04A0"/>
        </w:tblPrEx>
        <w:tc>
          <w:tcPr>
            <w:tcW w:w="984" w:type="dxa"/>
          </w:tcPr>
          <w:p w:rsidR="009C2929" w:rsidRPr="00670033" w:rsidP="009608FC" w14:paraId="14D7090D" w14:textId="5FB73EB1">
            <w:pPr>
              <w:pStyle w:val="7190"/>
              <w:bidi w:val="0"/>
              <w:spacing w:before="0" w:after="600"/>
              <w:rPr>
                <w:rFonts w:ascii="Arial" w:hAnsi="Arial"/>
                <w:color w:val="000000" w:themeColor="text1"/>
                <w:sz w:val="24"/>
                <w:rtl/>
              </w:rPr>
            </w:pPr>
            <w:r>
              <w:rPr>
                <w:rFonts w:ascii="Arial" w:hAnsi="Arial" w:hint="cs"/>
                <w:color w:val="000000" w:themeColor="text1"/>
                <w:sz w:val="24"/>
                <w:rtl/>
              </w:rPr>
              <w:t>177</w:t>
            </w:r>
          </w:p>
        </w:tc>
        <w:tc>
          <w:tcPr>
            <w:tcW w:w="566" w:type="dxa"/>
          </w:tcPr>
          <w:p w:rsidR="009C2929" w:rsidRPr="00670033" w:rsidP="009608FC" w14:paraId="1882EC1A" w14:textId="0AAC071A">
            <w:pPr>
              <w:pStyle w:val="7190"/>
              <w:bidi w:val="0"/>
              <w:spacing w:before="0" w:after="600"/>
              <w:rPr>
                <w:rFonts w:ascii="Arial" w:hAnsi="Arial"/>
                <w:color w:val="000000" w:themeColor="text1"/>
                <w:sz w:val="24"/>
                <w:rtl/>
              </w:rPr>
            </w:pPr>
          </w:p>
        </w:tc>
        <w:tc>
          <w:tcPr>
            <w:tcW w:w="5810" w:type="dxa"/>
          </w:tcPr>
          <w:p w:rsidR="009C2929" w:rsidRPr="00670033" w:rsidP="009608FC" w14:paraId="71A853A5" w14:textId="3C00238B">
            <w:pPr>
              <w:pStyle w:val="7190"/>
              <w:bidi w:val="0"/>
              <w:spacing w:before="0" w:after="600"/>
              <w:rPr>
                <w:color w:val="000000" w:themeColor="text1"/>
                <w:spacing w:val="-4"/>
              </w:rPr>
            </w:pPr>
            <w:r w:rsidRPr="00670033">
              <w:rPr>
                <w:color w:val="000000" w:themeColor="text1"/>
                <w:spacing w:val="-4"/>
              </w:rPr>
              <w:t xml:space="preserve">Advancing Master and Detailed Planning in Non-Jewish Sector Communities in the North of Israel  </w:t>
            </w:r>
          </w:p>
        </w:tc>
      </w:tr>
      <w:tr w14:paraId="28502675" w14:textId="77777777" w:rsidTr="009608FC">
        <w:tblPrEx>
          <w:tblW w:w="0" w:type="auto"/>
          <w:tblLook w:val="04A0"/>
        </w:tblPrEx>
        <w:tc>
          <w:tcPr>
            <w:tcW w:w="7360" w:type="dxa"/>
            <w:gridSpan w:val="3"/>
          </w:tcPr>
          <w:p w:rsidR="00FF63DA" w:rsidRPr="009C2929" w:rsidP="009608FC" w14:paraId="52EB4F5B" w14:textId="4C6F4835">
            <w:pPr>
              <w:pStyle w:val="7190"/>
              <w:bidi w:val="0"/>
              <w:spacing w:before="0" w:after="120"/>
              <w:rPr>
                <w:color w:val="00B0F0"/>
                <w:spacing w:val="-4"/>
              </w:rPr>
            </w:pPr>
            <w:r w:rsidRPr="00FF63DA">
              <w:rPr>
                <w:b/>
                <w:bCs/>
                <w:color w:val="00305F"/>
                <w:sz w:val="24"/>
                <w:szCs w:val="24"/>
              </w:rPr>
              <w:t>Special Reports</w:t>
            </w:r>
          </w:p>
        </w:tc>
      </w:tr>
      <w:tr w14:paraId="09A6F2FB" w14:textId="77777777" w:rsidTr="009608FC">
        <w:tblPrEx>
          <w:tblW w:w="0" w:type="auto"/>
          <w:tblLook w:val="04A0"/>
        </w:tblPrEx>
        <w:tc>
          <w:tcPr>
            <w:tcW w:w="984" w:type="dxa"/>
          </w:tcPr>
          <w:p w:rsidR="009C2929" w:rsidRPr="00FF63DA" w:rsidP="009C2929" w14:paraId="25E02C86" w14:textId="2F5A96C0">
            <w:pPr>
              <w:pStyle w:val="7190"/>
              <w:bidi w:val="0"/>
              <w:spacing w:after="120"/>
              <w:rPr>
                <w:rFonts w:ascii="Arial" w:hAnsi="Arial"/>
                <w:color w:val="000000" w:themeColor="text1"/>
                <w:sz w:val="24"/>
                <w:rtl/>
              </w:rPr>
            </w:pPr>
            <w:r>
              <w:rPr>
                <w:rFonts w:ascii="Arial" w:hAnsi="Arial" w:hint="cs"/>
                <w:color w:val="000000" w:themeColor="text1"/>
                <w:sz w:val="24"/>
                <w:rtl/>
              </w:rPr>
              <w:t>191</w:t>
            </w:r>
          </w:p>
        </w:tc>
        <w:tc>
          <w:tcPr>
            <w:tcW w:w="566" w:type="dxa"/>
          </w:tcPr>
          <w:p w:rsidR="009C2929" w:rsidRPr="00FF63DA" w:rsidP="009C2929" w14:paraId="2418D83D" w14:textId="7B393DDB">
            <w:pPr>
              <w:pStyle w:val="7190"/>
              <w:bidi w:val="0"/>
              <w:spacing w:after="120"/>
              <w:rPr>
                <w:rFonts w:ascii="Arial" w:hAnsi="Arial"/>
                <w:color w:val="000000" w:themeColor="text1"/>
                <w:sz w:val="24"/>
                <w:rtl/>
              </w:rPr>
            </w:pPr>
          </w:p>
        </w:tc>
        <w:tc>
          <w:tcPr>
            <w:tcW w:w="5810" w:type="dxa"/>
          </w:tcPr>
          <w:p w:rsidR="009C2929" w:rsidRPr="00FF63DA" w:rsidP="009C2929" w14:paraId="682C618B" w14:textId="0D11F746">
            <w:pPr>
              <w:pStyle w:val="7190"/>
              <w:bidi w:val="0"/>
              <w:spacing w:after="120"/>
              <w:rPr>
                <w:color w:val="000000" w:themeColor="text1"/>
                <w:spacing w:val="-4"/>
              </w:rPr>
            </w:pPr>
            <w:r w:rsidRPr="00FF63DA">
              <w:rPr>
                <w:color w:val="000000" w:themeColor="text1"/>
                <w:spacing w:val="-4"/>
              </w:rPr>
              <w:t>Waiting Times for Specialist Medical Services – Special Report</w:t>
            </w:r>
          </w:p>
        </w:tc>
      </w:tr>
      <w:tr w14:paraId="741FD98B" w14:textId="77777777" w:rsidTr="009608FC">
        <w:tblPrEx>
          <w:tblW w:w="0" w:type="auto"/>
          <w:tblLook w:val="04A0"/>
        </w:tblPrEx>
        <w:tc>
          <w:tcPr>
            <w:tcW w:w="984" w:type="dxa"/>
          </w:tcPr>
          <w:p w:rsidR="009C2929" w:rsidRPr="00184D9A" w:rsidP="00FF63DA" w14:paraId="64C446B9" w14:textId="6167307C">
            <w:pPr>
              <w:pStyle w:val="7190"/>
              <w:bidi w:val="0"/>
              <w:spacing w:before="0" w:after="120"/>
              <w:rPr>
                <w:rFonts w:ascii="Arial" w:hAnsi="Arial"/>
                <w:color w:val="000000" w:themeColor="text1"/>
                <w:sz w:val="24"/>
                <w:rtl/>
              </w:rPr>
            </w:pPr>
            <w:r>
              <w:rPr>
                <w:rFonts w:ascii="Arial" w:hAnsi="Arial" w:hint="cs"/>
                <w:color w:val="000000" w:themeColor="text1"/>
                <w:sz w:val="24"/>
                <w:rtl/>
              </w:rPr>
              <w:t>205</w:t>
            </w:r>
          </w:p>
        </w:tc>
        <w:tc>
          <w:tcPr>
            <w:tcW w:w="566" w:type="dxa"/>
          </w:tcPr>
          <w:p w:rsidR="009C2929" w:rsidRPr="00184D9A" w:rsidP="00FF63DA" w14:paraId="58DA023E" w14:textId="79561ED9">
            <w:pPr>
              <w:pStyle w:val="7190"/>
              <w:bidi w:val="0"/>
              <w:spacing w:before="0" w:after="120"/>
              <w:rPr>
                <w:rFonts w:ascii="Arial" w:hAnsi="Arial"/>
                <w:color w:val="000000" w:themeColor="text1"/>
                <w:sz w:val="24"/>
                <w:rtl/>
              </w:rPr>
            </w:pPr>
          </w:p>
        </w:tc>
        <w:tc>
          <w:tcPr>
            <w:tcW w:w="5810" w:type="dxa"/>
          </w:tcPr>
          <w:p w:rsidR="009C2929" w:rsidRPr="00184D9A" w:rsidP="00FF63DA" w14:paraId="3E94F8F6" w14:textId="11A8C225">
            <w:pPr>
              <w:pStyle w:val="7190"/>
              <w:bidi w:val="0"/>
              <w:spacing w:before="0" w:after="120"/>
              <w:rPr>
                <w:color w:val="000000" w:themeColor="text1"/>
                <w:spacing w:val="-4"/>
              </w:rPr>
            </w:pPr>
            <w:r w:rsidRPr="00184D9A">
              <w:rPr>
                <w:color w:val="000000" w:themeColor="text1"/>
                <w:spacing w:val="-4"/>
              </w:rPr>
              <w:t xml:space="preserve">The Ministry of Justice's Handling of Insolvency and Financial Rehabilitation Proceedings  </w:t>
            </w:r>
          </w:p>
        </w:tc>
      </w:tr>
    </w:tbl>
    <w:p w:rsidR="009C0D3F" w:rsidRPr="009C0D3F" w:rsidP="00064016" w14:paraId="0AF20478" w14:textId="17142E5D">
      <w:pPr>
        <w:pStyle w:val="7190"/>
        <w:jc w:val="center"/>
        <w:rPr>
          <w:sz w:val="24"/>
          <w:rtl/>
        </w:rPr>
        <w:sectPr w:rsidSect="007824E3">
          <w:headerReference w:type="even" r:id="rId17"/>
          <w:headerReference w:type="default" r:id="rId18"/>
          <w:footerReference w:type="default" r:id="rId19"/>
          <w:headerReference w:type="first" r:id="rId20"/>
          <w:pgSz w:w="11906" w:h="16838" w:code="9"/>
          <w:pgMar w:top="3062" w:right="2268" w:bottom="2552" w:left="2268" w:header="1134" w:footer="1361" w:gutter="0"/>
          <w:cols w:space="720"/>
          <w:titlePg/>
          <w:bidi/>
          <w:rtlGutter/>
          <w:docGrid w:linePitch="272"/>
        </w:sectPr>
      </w:pPr>
      <w:r>
        <w:rPr>
          <w:b/>
          <w:bCs/>
          <w:noProof/>
          <w:sz w:val="22"/>
          <w:szCs w:val="22"/>
          <w:rtl/>
          <w:lang w:val="he-IL"/>
        </w:rPr>
        <mc:AlternateContent>
          <mc:Choice Requires="wps">
            <w:drawing>
              <wp:anchor distT="0" distB="0" distL="114300" distR="114300" simplePos="0" relativeHeight="251709440" behindDoc="0" locked="0" layoutInCell="1" allowOverlap="1">
                <wp:simplePos x="0" y="0"/>
                <wp:positionH relativeFrom="column">
                  <wp:posOffset>3899894</wp:posOffset>
                </wp:positionH>
                <wp:positionV relativeFrom="paragraph">
                  <wp:posOffset>2593423</wp:posOffset>
                </wp:positionV>
                <wp:extent cx="1454331" cy="1219752"/>
                <wp:effectExtent l="12700" t="12700" r="19050" b="12700"/>
                <wp:wrapNone/>
                <wp:docPr id="517246427" name="מלבן 517246427"/>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12197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517246427" o:spid="_x0000_s1047" style="width:114.5pt;height:96.05pt;margin-top:204.2pt;margin-left:307.1pt;mso-height-percent:0;mso-height-relative:margin;mso-wrap-distance-bottom:0;mso-wrap-distance-left:9pt;mso-wrap-distance-right:9pt;mso-wrap-distance-top:0;mso-wrap-style:square;position:absolute;visibility:visible;v-text-anchor:middle;z-index:251710464" fillcolor="white" strokecolor="white" strokeweight="2pt"/>
            </w:pict>
          </mc:Fallback>
        </mc:AlternateContent>
      </w:r>
      <w:r w:rsidR="007824E3">
        <w:rPr>
          <w:b/>
          <w:bCs/>
          <w:noProof/>
          <w:sz w:val="22"/>
          <w:szCs w:val="22"/>
          <w:rtl/>
          <w:lang w:val="he-IL"/>
        </w:rPr>
        <mc:AlternateContent>
          <mc:Choice Requires="wps">
            <w:drawing>
              <wp:anchor distT="0" distB="0" distL="114300" distR="114300" simplePos="0" relativeHeight="251701248" behindDoc="0" locked="0" layoutInCell="1" allowOverlap="1">
                <wp:simplePos x="0" y="0"/>
                <wp:positionH relativeFrom="column">
                  <wp:posOffset>-602434</wp:posOffset>
                </wp:positionH>
                <wp:positionV relativeFrom="paragraph">
                  <wp:posOffset>1611811</wp:posOffset>
                </wp:positionV>
                <wp:extent cx="1454331" cy="735058"/>
                <wp:effectExtent l="12700" t="12700" r="19050" b="14605"/>
                <wp:wrapNone/>
                <wp:docPr id="24" name="מלבן 2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4" o:spid="_x0000_s1048" style="width:114.5pt;height:57.9pt;margin-top:126.9pt;margin-left:-47.45pt;mso-height-percent:0;mso-height-relative:margin;mso-wrap-distance-bottom:0;mso-wrap-distance-left:9pt;mso-wrap-distance-right:9pt;mso-wrap-distance-top:0;mso-wrap-style:square;position:absolute;visibility:visible;v-text-anchor:middle;z-index:251702272"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-704669</wp:posOffset>
                </wp:positionH>
                <wp:positionV relativeFrom="paragraph">
                  <wp:posOffset>195127</wp:posOffset>
                </wp:positionV>
                <wp:extent cx="1454331" cy="501106"/>
                <wp:effectExtent l="12700" t="12700" r="19050" b="6985"/>
                <wp:wrapNone/>
                <wp:docPr id="35" name="מלבן 3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5011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5" o:spid="_x0000_s1049" style="width:114.5pt;height:39.45pt;margin-top:15.35pt;margin-left:-55.5pt;mso-height-percent:0;mso-height-relative:margin;mso-wrap-distance-bottom:0;mso-wrap-distance-left:9pt;mso-wrap-distance-right:9pt;mso-wrap-distance-top:0;mso-wrap-style:square;position:absolute;visibility:visible;v-text-anchor:middle;z-index:251698176"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8720" behindDoc="0" locked="0" layoutInCell="1" allowOverlap="1">
                <wp:simplePos x="0" y="0"/>
                <wp:positionH relativeFrom="column">
                  <wp:posOffset>-545758</wp:posOffset>
                </wp:positionH>
                <wp:positionV relativeFrom="paragraph">
                  <wp:posOffset>4127500</wp:posOffset>
                </wp:positionV>
                <wp:extent cx="794825" cy="478302"/>
                <wp:effectExtent l="12700" t="12700" r="18415" b="17145"/>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50" style="width:62.6pt;height:37.65pt;margin-top:325pt;margin-left:-42.95pt;mso-wrap-distance-bottom:0;mso-wrap-distance-left:9pt;mso-wrap-distance-right:9pt;mso-wrap-distance-top:0;mso-wrap-style:square;position:absolute;visibility:visible;v-text-anchor:middle;z-index:251679744" fillcolor="white" strokecolor="white" strokeweight="2pt"/>
            </w:pict>
          </mc:Fallback>
        </mc:AlternateContent>
      </w:r>
    </w:p>
    <w:p w:rsidR="00F611CF" w:rsidRPr="006C067D" w:rsidP="00F611CF" w14:paraId="0214656F" w14:textId="5EFC9F83">
      <w:pPr>
        <w:rPr>
          <w:rFonts w:ascii="Arial" w:hAnsi="Arial"/>
          <w:szCs w:val="22"/>
          <w:rtl/>
        </w:rPr>
      </w:pPr>
    </w:p>
    <w:p w:rsidR="000E6A95" w:rsidRPr="001D6DD6" w:rsidP="000E6A95" w14:paraId="7A9DB702" w14:textId="7059E4CB">
      <w:pPr>
        <w:pStyle w:val="KOT1N"/>
        <w:spacing w:after="360"/>
        <w:jc w:val="left"/>
        <w:rPr>
          <w:rFonts w:ascii="Tahoma" w:hAnsi="Tahoma"/>
          <w:rtl/>
        </w:rPr>
      </w:pPr>
      <w:r w:rsidRPr="001D6DD6">
        <w:rPr>
          <w:rFonts w:ascii="Tahoma" w:hAnsi="Tahoma"/>
        </w:rPr>
        <w:t>Foreword</w:t>
      </w:r>
    </w:p>
    <w:p w:rsidR="00FF63DA" w:rsidRPr="00200D2B" w:rsidP="00FF63DA" w14:paraId="120AD761" w14:textId="77777777">
      <w:pPr>
        <w:pStyle w:val="7190"/>
        <w:bidi w:val="0"/>
        <w:spacing w:line="270" w:lineRule="exact"/>
        <w:rPr>
          <w:spacing w:val="2"/>
        </w:rPr>
      </w:pPr>
      <w:r w:rsidRPr="00200D2B">
        <w:rPr>
          <w:rFonts w:eastAsia="Calibri"/>
          <w:b/>
          <w:bCs/>
          <w:spacing w:val="2"/>
        </w:rPr>
        <w:t>The State Comptroller's annual audit report – November 2024</w:t>
      </w:r>
      <w:r w:rsidRPr="00200D2B">
        <w:rPr>
          <w:rFonts w:eastAsia="Calibri"/>
          <w:spacing w:val="2"/>
        </w:rPr>
        <w:t xml:space="preserve"> </w:t>
      </w:r>
      <w:r w:rsidRPr="00200D2B">
        <w:rPr>
          <w:spacing w:val="2"/>
        </w:rPr>
        <w:t xml:space="preserve">is submitted to the Knesset </w:t>
      </w:r>
      <w:r w:rsidRPr="00200D2B">
        <w:rPr>
          <w:spacing w:val="2"/>
        </w:rPr>
        <w:t>according</w:t>
      </w:r>
      <w:r w:rsidRPr="00200D2B">
        <w:rPr>
          <w:spacing w:val="2"/>
        </w:rPr>
        <w:t xml:space="preserve"> the State Comptroller’s Law, 1958 [Consolidated Version]</w:t>
      </w:r>
      <w:r w:rsidRPr="00200D2B">
        <w:rPr>
          <w:rFonts w:eastAsia="Calibri"/>
          <w:spacing w:val="2"/>
        </w:rPr>
        <w:t xml:space="preserve">. </w:t>
      </w:r>
      <w:r w:rsidRPr="00200D2B">
        <w:rPr>
          <w:rFonts w:eastAsia="Times New Roman"/>
          <w:color w:val="000000"/>
          <w:spacing w:val="2"/>
          <w:shd w:val="clear" w:color="auto" w:fill="FFFFFF"/>
        </w:rPr>
        <w:t>The report includes the results of the audit on government ministries, state corporations, and the local government.</w:t>
      </w:r>
      <w:r w:rsidRPr="00200D2B">
        <w:rPr>
          <w:spacing w:val="2"/>
        </w:rPr>
        <w:t xml:space="preserve"> The report also includes </w:t>
      </w:r>
      <w:r>
        <w:rPr>
          <w:spacing w:val="2"/>
        </w:rPr>
        <w:t>two</w:t>
      </w:r>
      <w:r w:rsidRPr="00200D2B">
        <w:rPr>
          <w:spacing w:val="2"/>
        </w:rPr>
        <w:t xml:space="preserve"> special (separate) reports pursuant to Section 14(b)(1) of the State Comptroller's Law.</w:t>
      </w:r>
    </w:p>
    <w:p w:rsidR="00FF63DA" w:rsidRPr="00200D2B" w:rsidP="00FF63DA" w14:paraId="44F5588A" w14:textId="77777777">
      <w:pPr>
        <w:pStyle w:val="7190"/>
        <w:bidi w:val="0"/>
        <w:spacing w:line="270" w:lineRule="exact"/>
        <w:rPr>
          <w:rFonts w:eastAsia="Times New Roman"/>
          <w:color w:val="000000"/>
          <w:spacing w:val="2"/>
          <w:shd w:val="clear" w:color="auto" w:fill="FFFFFF"/>
        </w:rPr>
      </w:pPr>
      <w:r w:rsidRPr="00200D2B">
        <w:rPr>
          <w:spacing w:val="2"/>
        </w:rPr>
        <w:t xml:space="preserve">Since October 2023, the State of Israel is engaged in the Iron Swords War, both in the northern and southern regions, following the murderous surprise attack by the </w:t>
      </w:r>
      <w:r w:rsidRPr="00200D2B">
        <w:rPr>
          <w:rFonts w:eastAsia="Times New Roman"/>
          <w:color w:val="000000"/>
          <w:spacing w:val="2"/>
          <w:shd w:val="clear" w:color="auto" w:fill="FFFFFF"/>
        </w:rPr>
        <w:t>Hamas on settlements</w:t>
      </w:r>
      <w:r w:rsidRPr="00200D2B">
        <w:rPr>
          <w:rFonts w:eastAsia="Times New Roman" w:hint="cs"/>
          <w:color w:val="000000"/>
          <w:spacing w:val="2"/>
          <w:shd w:val="clear" w:color="auto" w:fill="FFFFFF"/>
          <w:rtl/>
        </w:rPr>
        <w:t xml:space="preserve"> </w:t>
      </w:r>
      <w:r w:rsidRPr="00200D2B">
        <w:rPr>
          <w:rFonts w:eastAsia="Times New Roman"/>
          <w:color w:val="000000"/>
          <w:spacing w:val="2"/>
          <w:shd w:val="clear" w:color="auto" w:fill="FFFFFF"/>
        </w:rPr>
        <w:t xml:space="preserve">in the </w:t>
      </w:r>
      <w:r w:rsidRPr="00200D2B">
        <w:rPr>
          <w:color w:val="202122"/>
          <w:spacing w:val="2"/>
          <w:shd w:val="clear" w:color="auto" w:fill="FFFFFF"/>
        </w:rPr>
        <w:t>Gaza Envelope</w:t>
      </w:r>
      <w:r w:rsidRPr="00200D2B">
        <w:rPr>
          <w:rFonts w:eastAsia="Times New Roman"/>
          <w:color w:val="000000"/>
          <w:spacing w:val="2"/>
          <w:shd w:val="clear" w:color="auto" w:fill="FFFFFF"/>
        </w:rPr>
        <w:t xml:space="preserve"> and its vicinity during </w:t>
      </w:r>
      <w:r w:rsidRPr="00200D2B">
        <w:rPr>
          <w:spacing w:val="2"/>
        </w:rPr>
        <w:t>the Jewish holiday of</w:t>
      </w:r>
      <w:r w:rsidRPr="00200D2B">
        <w:rPr>
          <w:rFonts w:eastAsia="Times New Roman"/>
          <w:color w:val="000000"/>
          <w:spacing w:val="2"/>
          <w:shd w:val="clear" w:color="auto" w:fill="FFFFFF"/>
        </w:rPr>
        <w:t xml:space="preserve"> </w:t>
      </w:r>
      <w:r w:rsidRPr="00200D2B">
        <w:rPr>
          <w:spacing w:val="2"/>
        </w:rPr>
        <w:t>Simchat Torah, on October 7</w:t>
      </w:r>
      <w:r w:rsidRPr="00200D2B">
        <w:rPr>
          <w:spacing w:val="2"/>
          <w:vertAlign w:val="superscript"/>
        </w:rPr>
        <w:t>th</w:t>
      </w:r>
      <w:r w:rsidRPr="00200D2B">
        <w:rPr>
          <w:spacing w:val="2"/>
        </w:rPr>
        <w:t xml:space="preserve">. </w:t>
      </w:r>
      <w:r w:rsidRPr="00200D2B">
        <w:rPr>
          <w:rFonts w:eastAsia="Times New Roman"/>
          <w:color w:val="000000"/>
          <w:spacing w:val="2"/>
          <w:shd w:val="clear" w:color="auto" w:fill="FFFFFF"/>
        </w:rPr>
        <w:t>As previously announced, our office is conducting a comprehensive audit on matters related to the massacre on October 7</w:t>
      </w:r>
      <w:r w:rsidRPr="00200D2B">
        <w:rPr>
          <w:rFonts w:eastAsia="Times New Roman"/>
          <w:color w:val="000000"/>
          <w:spacing w:val="2"/>
          <w:shd w:val="clear" w:color="auto" w:fill="FFFFFF"/>
          <w:vertAlign w:val="superscript"/>
        </w:rPr>
        <w:t>th</w:t>
      </w:r>
      <w:r w:rsidRPr="00200D2B">
        <w:rPr>
          <w:rFonts w:eastAsia="Times New Roman"/>
          <w:color w:val="000000"/>
          <w:spacing w:val="2"/>
          <w:shd w:val="clear" w:color="auto" w:fill="FFFFFF"/>
        </w:rPr>
        <w:t xml:space="preserve"> and the Iron Swords War. In my view, there is a public and moral obligation to conduct an audit that will examine the performance of all ranks on the day of the massacre, in the period leading up to it, and in the period thereafter.</w:t>
      </w:r>
    </w:p>
    <w:p w:rsidR="00FF63DA" w:rsidRPr="00200D2B" w:rsidP="00FF63DA" w14:paraId="135277BC" w14:textId="77777777">
      <w:pPr>
        <w:pStyle w:val="7190"/>
        <w:bidi w:val="0"/>
        <w:spacing w:line="270" w:lineRule="exact"/>
        <w:rPr>
          <w:spacing w:val="2"/>
        </w:rPr>
      </w:pPr>
      <w:r w:rsidRPr="00200D2B">
        <w:rPr>
          <w:spacing w:val="2"/>
        </w:rPr>
        <w:t xml:space="preserve">Alongside this audit </w:t>
      </w:r>
      <w:r w:rsidRPr="00200D2B">
        <w:rPr>
          <w:rFonts w:eastAsia="Times New Roman"/>
          <w:color w:val="000000"/>
          <w:spacing w:val="2"/>
          <w:shd w:val="clear" w:color="auto" w:fill="FFFFFF"/>
        </w:rPr>
        <w:t xml:space="preserve">regarding the </w:t>
      </w:r>
      <w:r w:rsidRPr="00200D2B">
        <w:rPr>
          <w:spacing w:val="2"/>
        </w:rPr>
        <w:t>Iron Swords War</w:t>
      </w:r>
      <w:r w:rsidRPr="00200D2B">
        <w:rPr>
          <w:rFonts w:eastAsia="Times New Roman"/>
          <w:color w:val="000000"/>
          <w:spacing w:val="2"/>
          <w:shd w:val="clear" w:color="auto" w:fill="FFFFFF"/>
        </w:rPr>
        <w:t xml:space="preserve">, our office </w:t>
      </w:r>
      <w:r w:rsidRPr="00200D2B">
        <w:rPr>
          <w:spacing w:val="2"/>
        </w:rPr>
        <w:t xml:space="preserve">continues </w:t>
      </w:r>
      <w:r w:rsidRPr="00200D2B">
        <w:rPr>
          <w:rFonts w:eastAsia="Times New Roman"/>
          <w:color w:val="000000"/>
          <w:spacing w:val="2"/>
          <w:shd w:val="clear" w:color="auto" w:fill="FFFFFF"/>
        </w:rPr>
        <w:t>to conduct audits on other matters. Below is an overview of several audits:</w:t>
      </w:r>
    </w:p>
    <w:p w:rsidR="00FF63DA" w:rsidRPr="00200D2B" w:rsidP="00FF63DA" w14:paraId="5DC8135A" w14:textId="5424631C">
      <w:pPr>
        <w:pStyle w:val="7190"/>
        <w:numPr>
          <w:ilvl w:val="0"/>
          <w:numId w:val="34"/>
        </w:numPr>
        <w:bidi w:val="0"/>
        <w:spacing w:line="270" w:lineRule="exact"/>
        <w:rPr>
          <w:spacing w:val="2"/>
        </w:rPr>
      </w:pPr>
      <w:r w:rsidRPr="00200D2B">
        <w:rPr>
          <w:spacing w:val="2"/>
        </w:rPr>
        <w:t xml:space="preserve">The </w:t>
      </w:r>
      <w:r w:rsidRPr="00200D2B">
        <w:rPr>
          <w:rFonts w:eastAsia="Times New Roman"/>
          <w:color w:val="000000"/>
          <w:spacing w:val="2"/>
          <w:shd w:val="clear" w:color="auto" w:fill="FFFFFF"/>
        </w:rPr>
        <w:t xml:space="preserve">Office </w:t>
      </w:r>
      <w:r w:rsidRPr="00200D2B">
        <w:rPr>
          <w:spacing w:val="2"/>
        </w:rPr>
        <w:t>of</w:t>
      </w:r>
      <w:r w:rsidRPr="00200D2B">
        <w:rPr>
          <w:rFonts w:eastAsia="Times New Roman"/>
          <w:color w:val="000000"/>
          <w:spacing w:val="2"/>
          <w:shd w:val="clear" w:color="auto" w:fill="FFFFFF"/>
        </w:rPr>
        <w:t xml:space="preserve"> the State Comptroller places special emphasis on conducting audits on systemic issues with broad national implications</w:t>
      </w:r>
      <w:r w:rsidRPr="00200D2B">
        <w:rPr>
          <w:spacing w:val="2"/>
        </w:rPr>
        <w:t xml:space="preserve">. The report outlines findings from a systemic audit regarding </w:t>
      </w:r>
      <w:r w:rsidRPr="00E93869" w:rsidR="00E93869">
        <w:rPr>
          <w:b/>
          <w:bCs/>
          <w:spacing w:val="2"/>
        </w:rPr>
        <w:t>The State's Response to Concentration and Monopolies in the Food and Consumer Goods Sector</w:t>
      </w:r>
      <w:r w:rsidRPr="00200D2B">
        <w:rPr>
          <w:spacing w:val="2"/>
        </w:rPr>
        <w:t>. The cost of living in Israel is pivotal in the lives of its citizens; Private consumption expenditure on food and non-alcoholic beverages amounted to NIS 138 billion in 2021.</w:t>
      </w:r>
      <w:r>
        <w:rPr>
          <w:spacing w:val="2"/>
        </w:rPr>
        <w:t xml:space="preserve"> </w:t>
      </w:r>
      <w:r w:rsidRPr="00200D2B">
        <w:rPr>
          <w:spacing w:val="2"/>
        </w:rPr>
        <w:t>Some of the rising prices stem from structural challenges in the food and consumer markets, including centralization, economy competitiveness, customs barriers, plant protection barriers, and public health constraints. The audit raised that three food suppliers dominate over 85% of total sales of</w:t>
      </w:r>
      <w:r>
        <w:rPr>
          <w:spacing w:val="2"/>
        </w:rPr>
        <w:t xml:space="preserve"> </w:t>
      </w:r>
      <w:r w:rsidRPr="00200D2B">
        <w:rPr>
          <w:spacing w:val="2"/>
        </w:rPr>
        <w:t>20 food products categories, with Israel's import rate (relative to GDP) standing at only 23.4%, compared to an OECD average of 47% as of 2020. Additionally, food and consumption prices rose by 2.9% during the first three months of the Iron Swords War, according to an examination conducted by the Ministry of Economy.</w:t>
      </w:r>
    </w:p>
    <w:p w:rsidR="00FF63DA" w:rsidP="00FF63DA" w14:paraId="5F9B5C67" w14:textId="77777777">
      <w:pPr>
        <w:pStyle w:val="7190"/>
        <w:bidi w:val="0"/>
        <w:spacing w:line="270" w:lineRule="exact"/>
        <w:ind w:left="397"/>
        <w:rPr>
          <w:spacing w:val="2"/>
        </w:rPr>
      </w:pPr>
      <w:r w:rsidRPr="00200D2B">
        <w:rPr>
          <w:spacing w:val="2"/>
        </w:rPr>
        <w:t xml:space="preserve">It is noteworthy that following the audit, three legislative amendments were enacted, intended to increase the volume of import as part of the "What is good for Europe is good for Israel" reform. The Ministries of Finance, Economy, Agriculture, and Health, along with the Competition Authority and the Consumer Protection Authority, must proactively undertake measures to encourage and increase market competition and </w:t>
      </w:r>
      <w:r w:rsidRPr="00200D2B">
        <w:rPr>
          <w:spacing w:val="2"/>
        </w:rPr>
        <w:t>reduce centralization, each through the tools available to it and with collaborations of the relevant government ministries, and should it be necessary to increase the arsenal of tools at their disposal act to establish the relevant legislative amendments. The Prime Minister, alongside the Ministers of Finance, Economy, Health, Agriculture, and others involved in the Ministerial Committee addressing the cost of living (Environmental Protection, Energy and Infrastructure, Welfare and Social Security, Religious Services, Construction and Housing, the Negev, the Galilee and National Resilience, Communications, Tourism and Aliyah, and Integration), should monitor the implementation of the reforms, act to complete and update the reforms if necessary, and ensure that government actions aimed at reducing the cost of living remain coordinated and updated, in order to effectively address the cost of living and the rising food prices.</w:t>
      </w:r>
    </w:p>
    <w:p w:rsidR="00FF63DA" w:rsidRPr="00200D2B" w:rsidP="00FF63DA" w14:paraId="6634CD28" w14:textId="20964CF1">
      <w:pPr>
        <w:pStyle w:val="7190"/>
        <w:numPr>
          <w:ilvl w:val="0"/>
          <w:numId w:val="34"/>
        </w:numPr>
        <w:bidi w:val="0"/>
        <w:spacing w:line="270" w:lineRule="exact"/>
        <w:rPr>
          <w:spacing w:val="2"/>
        </w:rPr>
      </w:pPr>
      <w:r w:rsidRPr="00200D2B">
        <w:rPr>
          <w:spacing w:val="2"/>
        </w:rPr>
        <w:t xml:space="preserve">In the past 15 years, the global financial market for digital assets, including digital currencies (cryptocurrencies), has experienced significant growth, including in Israel. The digital asset market is characterized by volatility, reaching a peak of approximately $3 trillion in 2021 and 2024. The estimated tax collection potential in Israel from income derived from cryptocurrency activities is high, potentially amounting to NIS </w:t>
      </w:r>
      <w:r>
        <w:rPr>
          <w:spacing w:val="2"/>
          <w:rtl/>
        </w:rPr>
        <w:br/>
      </w:r>
      <w:r w:rsidRPr="00200D2B">
        <w:rPr>
          <w:spacing w:val="2"/>
        </w:rPr>
        <w:t>2</w:t>
      </w:r>
      <w:r w:rsidR="00E93869">
        <w:rPr>
          <w:spacing w:val="2"/>
        </w:rPr>
        <w:t>–</w:t>
      </w:r>
      <w:r w:rsidRPr="00200D2B">
        <w:rPr>
          <w:spacing w:val="2"/>
        </w:rPr>
        <w:t xml:space="preserve">3 billion. This report includes an audit regarding the </w:t>
      </w:r>
      <w:r w:rsidRPr="00E93869" w:rsidR="00E93869">
        <w:rPr>
          <w:b/>
          <w:bCs/>
          <w:spacing w:val="2"/>
        </w:rPr>
        <w:t>Taxation of Digital Currencies</w:t>
      </w:r>
      <w:r w:rsidRPr="00200D2B">
        <w:rPr>
          <w:spacing w:val="2"/>
        </w:rPr>
        <w:t>. The audit found that Israel was among the first countries to establish principles for cryptocurrency taxation; However, over time, while other nations, including the European Union, the United States, and the United Kingdom, have advanced their regulatory frameworks, Israel has fallen behind. The audit indicated that between 2018 and 2022, an average of only 500 individuals reported cryptocurrency activities to the Tax Authority, out of a potential reporting base of approximately 200,000 users. The definitions and taxation guidelines of this matter were not regulated by legislation, leading to unresolved taxation uncertainties regarding many issues in the crypto field, despite the significant influence of taxation rules and various definitions on the determination of tax liability and calculations.</w:t>
      </w:r>
    </w:p>
    <w:p w:rsidR="00FF63DA" w:rsidRPr="00200D2B" w:rsidP="00FF63DA" w14:paraId="12AF6D66" w14:textId="77777777">
      <w:pPr>
        <w:pStyle w:val="7190"/>
        <w:bidi w:val="0"/>
        <w:spacing w:line="270" w:lineRule="exact"/>
        <w:ind w:left="397"/>
        <w:rPr>
          <w:spacing w:val="2"/>
        </w:rPr>
      </w:pPr>
      <w:r w:rsidRPr="00200D2B">
        <w:rPr>
          <w:spacing w:val="2"/>
        </w:rPr>
        <w:t xml:space="preserve">It is recommended that the Tax Authority evaluate the effectiveness of procedures of tax payment via the Bank of Israel to the regulation of tax </w:t>
      </w:r>
      <w:r w:rsidRPr="00200D2B">
        <w:rPr>
          <w:spacing w:val="2"/>
        </w:rPr>
        <w:t>payments, and</w:t>
      </w:r>
      <w:r w:rsidRPr="00200D2B">
        <w:rPr>
          <w:spacing w:val="2"/>
        </w:rPr>
        <w:t xml:space="preserve"> consider </w:t>
      </w:r>
      <w:r w:rsidRPr="00200D2B">
        <w:rPr>
          <w:spacing w:val="2"/>
        </w:rPr>
        <w:t>making adjustments</w:t>
      </w:r>
      <w:r w:rsidRPr="00200D2B">
        <w:rPr>
          <w:spacing w:val="2"/>
        </w:rPr>
        <w:t xml:space="preserve"> and extensions to additional populations.</w:t>
      </w:r>
      <w:r>
        <w:rPr>
          <w:spacing w:val="2"/>
        </w:rPr>
        <w:t xml:space="preserve"> </w:t>
      </w:r>
      <w:r w:rsidRPr="00200D2B">
        <w:rPr>
          <w:spacing w:val="2"/>
        </w:rPr>
        <w:t xml:space="preserve">The Tax Authority should consult with the Bank of Israel, the Money Laundering and Terror Financing Prohibition Authority, and other market stakeholders in this matter, </w:t>
      </w:r>
      <w:r w:rsidRPr="00200D2B">
        <w:rPr>
          <w:spacing w:val="2"/>
        </w:rPr>
        <w:t>in order to</w:t>
      </w:r>
      <w:r w:rsidRPr="00200D2B">
        <w:rPr>
          <w:spacing w:val="2"/>
        </w:rPr>
        <w:t xml:space="preserve"> prevent the formation of an additional barrier to income reporting from cryptocurrencies. Furthermore, it is recommended that the Tax Authority collaborate with professional organizations, industry bodies, and counterparts from other countries to establish and publish clear taxation rules, as recently published by the European Union and the United Kingdom. Additionally, it is recommended that the Minister of Finance, in coordination with the Tax Authority, finalize the preparation of a bill to promote regulation in taxation, as outlined in Government Resolution 204 of February 2023. </w:t>
      </w:r>
      <w:r w:rsidRPr="00200D2B">
        <w:rPr>
          <w:spacing w:val="2"/>
        </w:rPr>
        <w:t>Clear taxation policies have the potential to enhance public trust in the Tax Authority, facilitate the outlining of a path promoting the growth of Israel's cryptocurrency sector, and ensure that Israel maintains its position as a technological leader, thus reaping the benefits of increased reporting rates and maximizing tax collection from cryptocurrency activities.</w:t>
      </w:r>
    </w:p>
    <w:p w:rsidR="00FF63DA" w:rsidRPr="00200D2B" w:rsidP="00FF63DA" w14:paraId="6F048AD0" w14:textId="2D908F52">
      <w:pPr>
        <w:pStyle w:val="7190"/>
        <w:numPr>
          <w:ilvl w:val="0"/>
          <w:numId w:val="34"/>
        </w:numPr>
        <w:bidi w:val="0"/>
        <w:spacing w:line="270" w:lineRule="exact"/>
        <w:rPr>
          <w:spacing w:val="2"/>
        </w:rPr>
      </w:pPr>
      <w:r w:rsidRPr="00200D2B">
        <w:rPr>
          <w:spacing w:val="2"/>
        </w:rPr>
        <w:t xml:space="preserve">The electricity sector is expected to face major challenges by 2030. those challenges stem from an accelerated demand for electricity driven by climate change, requirements to comply with governmental goals, including a transition to clean electricity production, the electrification of various transportation means (vehicles, public transport), and the establishment of additional desalination facilities. An audit regarding </w:t>
      </w:r>
      <w:r w:rsidRPr="00E93869" w:rsidR="00E93869">
        <w:rPr>
          <w:b/>
          <w:bCs/>
          <w:spacing w:val="2"/>
        </w:rPr>
        <w:t>Development of the Electricity Sector Towards 2030</w:t>
      </w:r>
      <w:r w:rsidR="00E93869">
        <w:rPr>
          <w:spacing w:val="2"/>
        </w:rPr>
        <w:t xml:space="preserve"> </w:t>
      </w:r>
      <w:r w:rsidRPr="00200D2B">
        <w:rPr>
          <w:spacing w:val="2"/>
        </w:rPr>
        <w:t xml:space="preserve">indicates that it is inadequately prepared to address these challenges. Significant gaps exist between decision-making timelines and the necessary timeframes for the sector's development, characterized by under-regulation, insufficient physical infrastructure development, delayed decision making, short-sighted planning, and failure to address existing barriers. The electricity sector is on the verge of a crisis that may result in an inability to meet electricity demand in the coming years, potentially inflicting substantial economic damage. The Office of the State Comptroller has estimated annual losses ranging from NIS 0.76 to 2.4 billion, based on projections from Noga – Israel Independent System Operator Ltd., for the years 2027 and 2028 (respectively) in the event of failure to develop the production systems as required. Noga has indicated that delays in the development plan could equate to approximately 6.5 hours of unmet electricity demand in 2027 and approximately 9.9 hours in 2028. There is a doubt regarding the ability to close these gaps within the remaining time, especially </w:t>
      </w:r>
      <w:r w:rsidRPr="00200D2B">
        <w:rPr>
          <w:spacing w:val="2"/>
        </w:rPr>
        <w:t>in light of</w:t>
      </w:r>
      <w:r w:rsidRPr="00200D2B">
        <w:rPr>
          <w:spacing w:val="2"/>
        </w:rPr>
        <w:t xml:space="preserve"> numerous existing barriers to the required development.</w:t>
      </w:r>
    </w:p>
    <w:p w:rsidR="00FF63DA" w:rsidRPr="00200D2B" w:rsidP="00FF63DA" w14:paraId="1C4E4693" w14:textId="77777777">
      <w:pPr>
        <w:pStyle w:val="7190"/>
        <w:bidi w:val="0"/>
        <w:spacing w:line="270" w:lineRule="exact"/>
        <w:ind w:left="397"/>
        <w:rPr>
          <w:spacing w:val="2"/>
        </w:rPr>
      </w:pPr>
      <w:r w:rsidRPr="00200D2B">
        <w:rPr>
          <w:spacing w:val="2"/>
        </w:rPr>
        <w:t>All stakeholders in the electricity sector, including the Ministry of Energy, the Ministry of Finance, the Electricity Authority, Noga, and the Israel Electric Company, must act urgently to remove barriers and further develop the electricity sector to the required extent by 2030.</w:t>
      </w:r>
      <w:r>
        <w:rPr>
          <w:rFonts w:hint="cs"/>
          <w:spacing w:val="2"/>
          <w:rtl/>
        </w:rPr>
        <w:t xml:space="preserve"> </w:t>
      </w:r>
      <w:r w:rsidRPr="00200D2B">
        <w:rPr>
          <w:spacing w:val="2"/>
        </w:rPr>
        <w:t>Alongside, they should currently examine and formulate long-term development plans,</w:t>
      </w:r>
      <w:r>
        <w:rPr>
          <w:spacing w:val="2"/>
        </w:rPr>
        <w:t xml:space="preserve"> </w:t>
      </w:r>
      <w:r w:rsidRPr="00200D2B">
        <w:rPr>
          <w:spacing w:val="2"/>
        </w:rPr>
        <w:t xml:space="preserve">to establish policy and developmental needs </w:t>
      </w:r>
      <w:r w:rsidRPr="00200D2B">
        <w:rPr>
          <w:spacing w:val="2"/>
        </w:rPr>
        <w:t>in order to</w:t>
      </w:r>
      <w:r w:rsidRPr="00200D2B">
        <w:rPr>
          <w:spacing w:val="2"/>
        </w:rPr>
        <w:t xml:space="preserve"> ensure these needs are addressed effectively. It is recommended that the Minister of Energy, who holds overarching responsibility for the development of the electricity sector, act to make the required decisions in advance and ensure the rectification of the deficiencies raised in the audit, to ensure reliable, available,</w:t>
      </w:r>
      <w:r>
        <w:rPr>
          <w:spacing w:val="2"/>
        </w:rPr>
        <w:t xml:space="preserve"> </w:t>
      </w:r>
      <w:r w:rsidRPr="001A2510">
        <w:rPr>
          <w:spacing w:val="2"/>
        </w:rPr>
        <w:t>efficient,</w:t>
      </w:r>
      <w:r>
        <w:rPr>
          <w:spacing w:val="2"/>
        </w:rPr>
        <w:t xml:space="preserve"> </w:t>
      </w:r>
      <w:r w:rsidRPr="001A2510">
        <w:rPr>
          <w:spacing w:val="2"/>
        </w:rPr>
        <w:t>and</w:t>
      </w:r>
      <w:r>
        <w:rPr>
          <w:spacing w:val="2"/>
        </w:rPr>
        <w:t xml:space="preserve"> </w:t>
      </w:r>
      <w:r w:rsidRPr="001A2510">
        <w:rPr>
          <w:spacing w:val="2"/>
        </w:rPr>
        <w:t>quality</w:t>
      </w:r>
      <w:r>
        <w:rPr>
          <w:spacing w:val="2"/>
        </w:rPr>
        <w:t xml:space="preserve"> </w:t>
      </w:r>
      <w:r w:rsidRPr="00200D2B">
        <w:rPr>
          <w:spacing w:val="2"/>
        </w:rPr>
        <w:t>electricity supply as set in the electricity sector’s objectives.</w:t>
      </w:r>
    </w:p>
    <w:p w:rsidR="00FF63DA" w:rsidRPr="00200D2B" w:rsidP="00FF63DA" w14:paraId="01F6365F" w14:textId="678E33B1">
      <w:pPr>
        <w:pStyle w:val="7190"/>
        <w:numPr>
          <w:ilvl w:val="0"/>
          <w:numId w:val="34"/>
        </w:numPr>
        <w:bidi w:val="0"/>
        <w:spacing w:line="270" w:lineRule="exact"/>
        <w:rPr>
          <w:spacing w:val="2"/>
        </w:rPr>
      </w:pPr>
      <w:r w:rsidRPr="00200D2B">
        <w:rPr>
          <w:spacing w:val="2"/>
        </w:rPr>
        <w:t xml:space="preserve">According to the Ministry of Transport, approximately 72 million taxi travels take place annually, and according to the Tax Authority data, the revenues of the taxi industry reached approximately NIS 6.5 billion in 2022. The Ministry of Transport as the main regulator of the industry, together with the Ministry of Finance, sets travel fares and </w:t>
      </w:r>
      <w:r w:rsidRPr="00200D2B">
        <w:rPr>
          <w:spacing w:val="2"/>
        </w:rPr>
        <w:t xml:space="preserve">the taxation policy. The audit regarding the </w:t>
      </w:r>
      <w:r w:rsidRPr="00E93869" w:rsidR="00E93869">
        <w:rPr>
          <w:b/>
          <w:bCs/>
          <w:spacing w:val="2"/>
        </w:rPr>
        <w:t>The</w:t>
      </w:r>
      <w:r w:rsidRPr="00E93869" w:rsidR="00E93869">
        <w:rPr>
          <w:b/>
          <w:bCs/>
          <w:spacing w:val="2"/>
        </w:rPr>
        <w:t xml:space="preserve"> Taxi Sector in Israel </w:t>
      </w:r>
      <w:r w:rsidRPr="00200D2B">
        <w:rPr>
          <w:spacing w:val="2"/>
        </w:rPr>
        <w:t xml:space="preserve">raised that in order to improve the service provided to the passengers, changes in regulation are required, regarding several key aspects </w:t>
      </w:r>
      <w:r w:rsidR="00E93869">
        <w:rPr>
          <w:spacing w:val="2"/>
        </w:rPr>
        <w:t>–</w:t>
      </w:r>
      <w:r w:rsidRPr="00200D2B">
        <w:rPr>
          <w:spacing w:val="2"/>
        </w:rPr>
        <w:t xml:space="preserve"> monitoring the licenses of operating and driving taxis, establishing additional regulation regarding enforcement violations in the industry, equitable fare pricing for both drivers and passengers, increasing transparency regarding the rights and obligations of taxi drivers, and reducing the air pollution associated with transportation activities. Additionally, it is essential to regulate the 'share taxi' branch and the taxis operation in the Ben Gurion Airport area. Between 2019 and 2023, 70% of public complaints submitted to the National Public Transport Authority, totaling 4,668 out of 6,641 complaints, were related to price gouging (1,761 complaints, 26.5%), refusal of drivers to operate a meter (1,448 complaints, 21.8%), and driver behavior (1,459 complaints, 22%). Furthermore, the Claims Unit of the Ministry of Transport received 1,055 claims, resulting in only 152 indictments (approximately 14% of claims) against taxi drivers, out of about 72 million annual trips.</w:t>
      </w:r>
    </w:p>
    <w:p w:rsidR="00FF63DA" w:rsidRPr="00200D2B" w:rsidP="00FF63DA" w14:paraId="5D907A21" w14:textId="77777777">
      <w:pPr>
        <w:pStyle w:val="7190"/>
        <w:bidi w:val="0"/>
        <w:spacing w:line="270" w:lineRule="exact"/>
        <w:ind w:left="397"/>
        <w:rPr>
          <w:spacing w:val="2"/>
        </w:rPr>
      </w:pPr>
      <w:r w:rsidRPr="00200D2B">
        <w:rPr>
          <w:spacing w:val="2"/>
        </w:rPr>
        <w:t>The Ministry of Transport, the Ministry of Finance, the Tax Authority, and Israel Airports Authority must each operate within their respective responsibilities and collaborate as required to rectify the deficiencies identified in this chapter.</w:t>
      </w:r>
    </w:p>
    <w:p w:rsidR="00FF63DA" w:rsidRPr="00200D2B" w:rsidP="00FF63DA" w14:paraId="0AAA36DC" w14:textId="19CCA227">
      <w:pPr>
        <w:pStyle w:val="7190"/>
        <w:numPr>
          <w:ilvl w:val="0"/>
          <w:numId w:val="34"/>
        </w:numPr>
        <w:bidi w:val="0"/>
        <w:spacing w:line="270" w:lineRule="exact"/>
        <w:rPr>
          <w:spacing w:val="2"/>
        </w:rPr>
      </w:pPr>
      <w:r w:rsidRPr="00200D2B">
        <w:rPr>
          <w:spacing w:val="2"/>
        </w:rPr>
        <w:t xml:space="preserve">According to projections of the Water Authority dated June 2023, the supply of natural water is expected to decline until 2050, while demand for potable water is anticipated to rise in line with the expected population increase in Israel. A primary method for augmenting water supply is seawater desalination. This report includes an audit regarding the </w:t>
      </w:r>
      <w:r w:rsidRPr="00B16411" w:rsidR="00B16411">
        <w:rPr>
          <w:b/>
          <w:bCs/>
          <w:spacing w:val="2"/>
        </w:rPr>
        <w:t>Regulation and Oversight of Seawater Desalination Facilities</w:t>
      </w:r>
      <w:r w:rsidRPr="00200D2B">
        <w:rPr>
          <w:spacing w:val="2"/>
        </w:rPr>
        <w:t>. Israel currently operates five large desalination facilities, which provided approximately 33% of total potable water in 2022, with the state incurring, in respect thereof, costs of approximately NIS 1.5 billion. For water supplied in 2023 that exceeded limits set in concession agreements, the Desalination Administration imposed on the desalination facilities agreed damages amounting to about NIS 1.6 million, an amount deemed insufficient to effectively deter excess supply.</w:t>
      </w:r>
    </w:p>
    <w:p w:rsidR="00FF63DA" w:rsidRPr="00200D2B" w:rsidP="00FF63DA" w14:paraId="3F074B7F" w14:textId="77777777">
      <w:pPr>
        <w:pStyle w:val="7190"/>
        <w:bidi w:val="0"/>
        <w:spacing w:line="270" w:lineRule="exact"/>
        <w:ind w:left="397"/>
        <w:rPr>
          <w:spacing w:val="2"/>
        </w:rPr>
      </w:pPr>
      <w:r w:rsidRPr="00200D2B">
        <w:rPr>
          <w:spacing w:val="2"/>
        </w:rPr>
        <w:t xml:space="preserve">In the coming decade, two concession agreements with desalination facilities are set to expire, with a production capacity of 205 million m³ for the facilities operated under these agreements. The Accountant General Division at the Ministry of Finance and the Desalination Administration must prepare in advance for the expiry of these agreements. The Accountant General Division, along with the Desalination Administration, should address this matter promptly, as delaying decisions may cause urgencies, forcing hasty and not thorough potentially decision-making process, which could increase costs for consumers. It is recommended that the Ministry of Health, the Water Authority, the Accountant General Division, and the Desalination Administration draw conclusions from this audit's findings, taking into consideration insights from prior </w:t>
      </w:r>
      <w:r w:rsidRPr="00200D2B">
        <w:rPr>
          <w:spacing w:val="2"/>
        </w:rPr>
        <w:t xml:space="preserve">engagements with desalination facilities. This evaluation should encompass enforcement measures, scope of agreed damages, incentives, required inspection frequencies, agreed performance indicators and thresholds, and adherence to reporting obligations. </w:t>
      </w:r>
    </w:p>
    <w:p w:rsidR="00FF63DA" w:rsidRPr="00200D2B" w:rsidP="00FF63DA" w14:paraId="15E81C1C" w14:textId="77777777">
      <w:pPr>
        <w:pStyle w:val="7190"/>
        <w:bidi w:val="0"/>
        <w:spacing w:line="270" w:lineRule="exact"/>
        <w:ind w:left="397"/>
        <w:rPr>
          <w:spacing w:val="2"/>
        </w:rPr>
      </w:pPr>
      <w:r w:rsidRPr="00200D2B">
        <w:rPr>
          <w:spacing w:val="2"/>
        </w:rPr>
        <w:t>The conclusions can assist and support future decision-making concerning the terms of agreements with future desalination facilities that will operate the facilities following the expiration of current concessions, as well as with respect to additional desalination facilities to be constructed in the future, including their regulation and supervision.</w:t>
      </w:r>
    </w:p>
    <w:p w:rsidR="00FF63DA" w:rsidRPr="00200D2B" w:rsidP="00FF63DA" w14:paraId="048B10E7" w14:textId="6C9761D1">
      <w:pPr>
        <w:pStyle w:val="7190"/>
        <w:numPr>
          <w:ilvl w:val="0"/>
          <w:numId w:val="34"/>
        </w:numPr>
        <w:bidi w:val="0"/>
        <w:spacing w:line="270" w:lineRule="exact"/>
        <w:rPr>
          <w:rFonts w:eastAsia="Times New Roman"/>
          <w:color w:val="000000"/>
          <w:spacing w:val="2"/>
          <w:shd w:val="clear" w:color="auto" w:fill="FFFFFF"/>
        </w:rPr>
      </w:pPr>
      <w:r w:rsidRPr="00200D2B">
        <w:rPr>
          <w:spacing w:val="2"/>
        </w:rPr>
        <w:t xml:space="preserve">The report also features two audit chapters regarding local government operations: </w:t>
      </w:r>
      <w:r w:rsidRPr="00B16411" w:rsidR="00B16411">
        <w:rPr>
          <w:b/>
          <w:bCs/>
          <w:spacing w:val="2"/>
        </w:rPr>
        <w:t>Publication and Management of Tenders for Framework Agreements in Local Authorities and Municipal Corporations</w:t>
      </w:r>
      <w:r w:rsidR="00A27E15">
        <w:rPr>
          <w:b/>
          <w:bCs/>
          <w:spacing w:val="2"/>
        </w:rPr>
        <w:t>;</w:t>
      </w:r>
      <w:r w:rsidRPr="00B16411" w:rsidR="00B16411">
        <w:rPr>
          <w:b/>
          <w:bCs/>
          <w:spacing w:val="2"/>
        </w:rPr>
        <w:t xml:space="preserve"> Advancing Master and Detailed Planning in Non-Jewish Sector Communities in the North of Israel</w:t>
      </w:r>
      <w:r w:rsidRPr="00200D2B">
        <w:rPr>
          <w:spacing w:val="2"/>
        </w:rPr>
        <w:t xml:space="preserve">. The audit found that despite all the resources allocated in recent years to advance planning within the non-Jewish sector, the planning institutions, local authorities, and committees have been unable to complete the development of detailed plans necessary for issuing building permits, </w:t>
      </w:r>
      <w:r w:rsidRPr="00200D2B">
        <w:rPr>
          <w:spacing w:val="2"/>
        </w:rPr>
        <w:t>in order to</w:t>
      </w:r>
      <w:r w:rsidRPr="00200D2B">
        <w:rPr>
          <w:spacing w:val="2"/>
        </w:rPr>
        <w:t xml:space="preserve"> solve the housing crisis in this sector. This setback stems, </w:t>
      </w:r>
      <w:r w:rsidRPr="001A2510">
        <w:rPr>
          <w:spacing w:val="2"/>
        </w:rPr>
        <w:t>inter alia</w:t>
      </w:r>
      <w:r w:rsidRPr="00200D2B">
        <w:rPr>
          <w:spacing w:val="2"/>
        </w:rPr>
        <w:t>, from the need to make changes to local outline plans, and in one case examined, also changes to a national outline plan, requiring approvals from the National Planning and Building Council as part of the promotion process, and legal complexities related to private land ownership and consolidation and division of land, unauthorized construction undermining planning efforts and the level of cooperation between local authorities and planning institutions</w:t>
      </w:r>
      <w:r w:rsidRPr="00200D2B">
        <w:rPr>
          <w:rFonts w:eastAsia="Times New Roman"/>
          <w:color w:val="000000"/>
          <w:spacing w:val="2"/>
          <w:shd w:val="clear" w:color="auto" w:fill="FFFFFF"/>
        </w:rPr>
        <w:t>.</w:t>
      </w:r>
    </w:p>
    <w:p w:rsidR="00FF63DA" w:rsidRPr="00200D2B" w:rsidP="00FF63DA" w14:paraId="66142045" w14:textId="77777777">
      <w:pPr>
        <w:pStyle w:val="7190"/>
        <w:bidi w:val="0"/>
        <w:spacing w:line="270" w:lineRule="exact"/>
        <w:ind w:left="397"/>
        <w:rPr>
          <w:spacing w:val="2"/>
        </w:rPr>
      </w:pPr>
      <w:r w:rsidRPr="00200D2B">
        <w:rPr>
          <w:spacing w:val="2"/>
        </w:rPr>
        <w:t>In light of</w:t>
      </w:r>
      <w:r w:rsidRPr="00200D2B">
        <w:rPr>
          <w:spacing w:val="2"/>
        </w:rPr>
        <w:t xml:space="preserve"> the importance of arranging the development of settlements in the non-Jewish sector, including addressing the housing shortage, the Minister of Interior should instruct the relevant planning authorities to focus and find solutions to advance planning in this sector, and monitor the promotion of those solutions, alongside enhancing enforcement measures to prevent unauthorized construction. The Planning Administration, the Ministry of Housing, the local authorities, and planning and construction committees must collaborate to identify and address the barriers to effective planning in non-Jewish settlements.</w:t>
      </w:r>
    </w:p>
    <w:p w:rsidR="00FF63DA" w:rsidRPr="00200D2B" w:rsidP="00FF63DA" w14:paraId="2D26D34E" w14:textId="483335E8">
      <w:pPr>
        <w:pStyle w:val="7190"/>
        <w:numPr>
          <w:ilvl w:val="0"/>
          <w:numId w:val="34"/>
        </w:numPr>
        <w:bidi w:val="0"/>
        <w:spacing w:line="270" w:lineRule="exact"/>
        <w:rPr>
          <w:spacing w:val="2"/>
        </w:rPr>
      </w:pPr>
      <w:r w:rsidRPr="00200D2B">
        <w:rPr>
          <w:color w:val="000000"/>
          <w:spacing w:val="2"/>
          <w:shd w:val="clear" w:color="auto" w:fill="FFFFFF"/>
        </w:rPr>
        <w:t xml:space="preserve">Monitoring the rectifying of deficiencies raised in previous </w:t>
      </w:r>
      <w:r w:rsidRPr="00200D2B">
        <w:rPr>
          <w:spacing w:val="2"/>
        </w:rPr>
        <w:t>reports</w:t>
      </w:r>
      <w:r w:rsidRPr="00200D2B">
        <w:rPr>
          <w:color w:val="000000"/>
          <w:spacing w:val="2"/>
          <w:shd w:val="clear" w:color="auto" w:fill="FFFFFF"/>
        </w:rPr>
        <w:t xml:space="preserve"> is an important tool whose purpose is to ensure rectification by the auditees</w:t>
      </w:r>
      <w:r w:rsidRPr="00200D2B">
        <w:rPr>
          <w:rFonts w:eastAsia="Times New Roman"/>
          <w:color w:val="000000"/>
          <w:spacing w:val="2"/>
          <w:shd w:val="clear" w:color="auto" w:fill="FFFFFF"/>
        </w:rPr>
        <w:t>.</w:t>
      </w:r>
      <w:r w:rsidRPr="00200D2B">
        <w:rPr>
          <w:color w:val="000000"/>
          <w:spacing w:val="2"/>
          <w:shd w:val="clear" w:color="auto" w:fill="FFFFFF"/>
        </w:rPr>
        <w:t xml:space="preserve"> This</w:t>
      </w:r>
      <w:r>
        <w:rPr>
          <w:color w:val="000000"/>
          <w:spacing w:val="2"/>
          <w:shd w:val="clear" w:color="auto" w:fill="FFFFFF"/>
        </w:rPr>
        <w:t xml:space="preserve"> </w:t>
      </w:r>
      <w:r w:rsidRPr="00200D2B">
        <w:rPr>
          <w:color w:val="000000"/>
          <w:spacing w:val="2"/>
          <w:shd w:val="clear" w:color="auto" w:fill="FFFFFF"/>
        </w:rPr>
        <w:t>report presents the findings of two follow-up audits: one on a classified subject, therefore confidentiality measures were taken by the Knesset’s State Control subcommittee</w:t>
      </w:r>
      <w:r w:rsidRPr="00200D2B">
        <w:rPr>
          <w:rFonts w:asciiTheme="minorHAnsi" w:hAnsiTheme="minorHAnsi" w:cstheme="minorHAnsi"/>
          <w:spacing w:val="2"/>
        </w:rPr>
        <w:t xml:space="preserve">, </w:t>
      </w:r>
      <w:r w:rsidRPr="00200D2B">
        <w:rPr>
          <w:color w:val="000000"/>
          <w:spacing w:val="2"/>
          <w:shd w:val="clear" w:color="auto" w:fill="FFFFFF"/>
        </w:rPr>
        <w:t xml:space="preserve">in accordance with paragraph 17 of the State Comptroller Law, 1958 [combined text], and another </w:t>
      </w:r>
      <w:r w:rsidRPr="00200D2B">
        <w:rPr>
          <w:spacing w:val="2"/>
        </w:rPr>
        <w:t xml:space="preserve">concerning </w:t>
      </w:r>
      <w:r w:rsidRPr="000C3E6E" w:rsidR="000C3E6E">
        <w:rPr>
          <w:b/>
          <w:bCs/>
          <w:spacing w:val="2"/>
        </w:rPr>
        <w:t>the Accessibility of Public Transportation for People with Disabilities</w:t>
      </w:r>
      <w:r w:rsidRPr="00200D2B">
        <w:rPr>
          <w:spacing w:val="2"/>
        </w:rPr>
        <w:t>.</w:t>
      </w:r>
    </w:p>
    <w:p w:rsidR="00FF63DA" w:rsidRPr="00200D2B" w:rsidP="00FF63DA" w14:paraId="458521D1" w14:textId="77777777">
      <w:pPr>
        <w:pStyle w:val="7190"/>
        <w:bidi w:val="0"/>
        <w:spacing w:line="270" w:lineRule="exact"/>
        <w:rPr>
          <w:color w:val="000000"/>
          <w:spacing w:val="2"/>
          <w:shd w:val="clear" w:color="auto" w:fill="FFFFFF"/>
        </w:rPr>
      </w:pPr>
      <w:r w:rsidRPr="00200D2B">
        <w:rPr>
          <w:b/>
          <w:bCs/>
          <w:spacing w:val="2"/>
        </w:rPr>
        <w:t>The preparation of the report required a significant effort by the employees of the Office of the State Comptroller, who prepared it professionalism, thoroughness, fairness</w:t>
      </w:r>
      <w:r>
        <w:rPr>
          <w:b/>
          <w:bCs/>
          <w:spacing w:val="2"/>
        </w:rPr>
        <w:t>,</w:t>
      </w:r>
      <w:r w:rsidRPr="00200D2B">
        <w:rPr>
          <w:b/>
          <w:bCs/>
          <w:spacing w:val="2"/>
        </w:rPr>
        <w:t xml:space="preserve"> and care and who carry out their public role out of a true sense of mission and they have my gratitude.</w:t>
      </w:r>
      <w:r w:rsidRPr="00200D2B">
        <w:rPr>
          <w:rFonts w:eastAsia="Times New Roman" w:cs="Times New Roman"/>
          <w:b/>
          <w:bCs/>
          <w:color w:val="000000" w:themeColor="text1"/>
          <w:spacing w:val="2"/>
        </w:rPr>
        <w:t xml:space="preserve"> </w:t>
      </w:r>
    </w:p>
    <w:p w:rsidR="007E2820" w:rsidRPr="00FF3C9C" w:rsidP="00FF63DA" w14:paraId="4C95227C" w14:textId="1F6F1789">
      <w:pPr>
        <w:pStyle w:val="7190"/>
        <w:bidi w:val="0"/>
        <w:rPr>
          <w:b/>
          <w:bCs/>
        </w:rPr>
      </w:pPr>
      <w:r w:rsidRPr="00200D2B">
        <w:rPr>
          <w:color w:val="000000"/>
          <w:spacing w:val="2"/>
          <w:shd w:val="clear" w:color="auto" w:fill="FFFFFF"/>
        </w:rPr>
        <w:t xml:space="preserve">We will continue to pray and hope for the victory of the IDF </w:t>
      </w:r>
      <w:r w:rsidRPr="00200D2B">
        <w:rPr>
          <w:spacing w:val="2"/>
        </w:rPr>
        <w:t>and</w:t>
      </w:r>
      <w:r w:rsidRPr="00200D2B">
        <w:rPr>
          <w:color w:val="000000"/>
          <w:spacing w:val="2"/>
          <w:shd w:val="clear" w:color="auto" w:fill="FFFFFF"/>
        </w:rPr>
        <w:t xml:space="preserve"> the Defense Establishment in this difficult war forced on us by </w:t>
      </w:r>
      <w:r w:rsidRPr="00200D2B">
        <w:rPr>
          <w:rFonts w:eastAsia="Times New Roman"/>
          <w:color w:val="000000"/>
          <w:spacing w:val="2"/>
          <w:shd w:val="clear" w:color="auto" w:fill="FFFFFF"/>
        </w:rPr>
        <w:t xml:space="preserve">our most bitter of enemies </w:t>
      </w:r>
      <w:r w:rsidRPr="00200D2B">
        <w:rPr>
          <w:color w:val="000000"/>
          <w:spacing w:val="2"/>
          <w:shd w:val="clear" w:color="auto" w:fill="FFFFFF"/>
        </w:rPr>
        <w:t xml:space="preserve">seeking to destroy us as a nation and as a state, for the return of the hostages to their homes, </w:t>
      </w:r>
      <w:r w:rsidRPr="00200D2B">
        <w:rPr>
          <w:spacing w:val="2"/>
        </w:rPr>
        <w:t>the return of residents from affected areas in the south and the north, the recovery of the injured</w:t>
      </w:r>
      <w:r w:rsidRPr="00200D2B">
        <w:rPr>
          <w:color w:val="000000"/>
          <w:spacing w:val="2"/>
          <w:shd w:val="clear" w:color="auto" w:fill="FFFFFF"/>
        </w:rPr>
        <w:t xml:space="preserve"> and for peaceful and routine days</w:t>
      </w:r>
      <w:r w:rsidRPr="00200D2B">
        <w:rPr>
          <w:spacing w:val="2"/>
        </w:rPr>
        <w:t>.</w:t>
      </w:r>
    </w:p>
    <w:p w:rsidR="002907DE" w:rsidP="002907DE" w14:paraId="46CC087B" w14:textId="77777777">
      <w:pPr>
        <w:tabs>
          <w:tab w:val="left" w:pos="424"/>
        </w:tabs>
        <w:bidi w:val="0"/>
        <w:spacing w:after="180" w:line="260" w:lineRule="exact"/>
        <w:rPr>
          <w:rFonts w:eastAsia="Times New Roman" w:cs="Times New Roman"/>
          <w:b/>
          <w:bCs/>
          <w:color w:val="000000" w:themeColor="text1"/>
          <w:sz w:val="24"/>
        </w:rPr>
      </w:pPr>
    </w:p>
    <w:p w:rsidR="002907DE" w:rsidP="002907DE" w14:paraId="4BF782F4" w14:textId="77777777">
      <w:pPr>
        <w:tabs>
          <w:tab w:val="left" w:pos="424"/>
        </w:tabs>
        <w:bidi w:val="0"/>
        <w:spacing w:after="180" w:line="260" w:lineRule="exact"/>
        <w:rPr>
          <w:rFonts w:eastAsia="Times New Roman" w:cs="Times New Roman"/>
          <w:b/>
          <w:bCs/>
          <w:color w:val="000000" w:themeColor="text1"/>
          <w:sz w:val="24"/>
        </w:rPr>
      </w:pPr>
    </w:p>
    <w:p w:rsidR="002907DE" w:rsidP="002907DE" w14:paraId="71679FAE" w14:textId="77777777">
      <w:pPr>
        <w:tabs>
          <w:tab w:val="left" w:pos="424"/>
        </w:tabs>
        <w:bidi w:val="0"/>
        <w:spacing w:after="180" w:line="260" w:lineRule="exact"/>
        <w:rPr>
          <w:rFonts w:ascii="Tahoma" w:hAnsi="Tahoma" w:cs="Tahoma"/>
          <w:color w:val="0D0D0D" w:themeColor="text1" w:themeTint="F2"/>
          <w:sz w:val="18"/>
          <w:szCs w:val="18"/>
        </w:rPr>
      </w:pPr>
    </w:p>
    <w:p w:rsidR="002907DE" w:rsidRPr="00D70CA7" w:rsidP="002907DE" w14:paraId="2F65DCA2" w14:textId="24F57B80">
      <w:pPr>
        <w:widowControl w:val="0"/>
        <w:bidi w:val="0"/>
        <w:spacing w:line="240" w:lineRule="atLeast"/>
        <w:ind w:left="2268"/>
        <w:jc w:val="center"/>
        <w:rPr>
          <w:rFonts w:ascii="Tahoma" w:hAnsi="Tahoma" w:cs="Tahoma"/>
          <w:b/>
          <w:bCs/>
          <w:sz w:val="18"/>
          <w:szCs w:val="18"/>
          <w:rtl/>
          <w:lang w:eastAsia="he-IL"/>
        </w:rPr>
      </w:pPr>
      <w:r w:rsidRPr="00C6221F">
        <w:rPr>
          <w:rFonts w:ascii="Tahoma" w:hAnsi="Tahoma" w:cs="Tahoma"/>
          <w:b/>
          <w:bCs/>
          <w:noProof/>
          <w:spacing w:val="2"/>
          <w:sz w:val="18"/>
          <w:szCs w:val="18"/>
          <w:rtl/>
        </w:rPr>
        <w:drawing>
          <wp:inline distT="0" distB="0" distL="0" distR="0">
            <wp:extent cx="1802735" cy="567152"/>
            <wp:effectExtent l="0" t="0" r="1270" b="4445"/>
            <wp:docPr id="2123057079" name="Picture 12" descr="תמונה שמכילה כתב יד, קליגרפיה, גופן,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descr="תמונה שמכילה כתב יד, קליגרפיה, גופן, טקסט&#10;&#10;התיאור נוצר באופן אוטומטי"/>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808603" cy="568998"/>
                    </a:xfrm>
                    <a:prstGeom prst="rect">
                      <a:avLst/>
                    </a:prstGeom>
                  </pic:spPr>
                </pic:pic>
              </a:graphicData>
            </a:graphic>
          </wp:inline>
        </w:drawing>
      </w:r>
    </w:p>
    <w:p w:rsidR="002907DE" w:rsidRPr="005E062A" w:rsidP="002907DE" w14:paraId="71CE0798" w14:textId="77777777">
      <w:pPr>
        <w:widowControl w:val="0"/>
        <w:bidi w:val="0"/>
        <w:spacing w:line="280" w:lineRule="exact"/>
        <w:ind w:left="2268"/>
        <w:jc w:val="center"/>
        <w:rPr>
          <w:rFonts w:ascii="Tahoma" w:hAnsi="Tahoma" w:cs="Tahoma"/>
          <w:b/>
          <w:bCs/>
          <w:szCs w:val="20"/>
          <w:rtl/>
          <w:lang w:eastAsia="he-IL"/>
        </w:rPr>
      </w:pPr>
      <w:r w:rsidRPr="005E062A">
        <w:rPr>
          <w:rFonts w:ascii="Tahoma" w:hAnsi="Tahoma" w:cs="Tahoma"/>
          <w:b/>
          <w:bCs/>
          <w:szCs w:val="20"/>
          <w:lang w:eastAsia="he-IL"/>
        </w:rPr>
        <w:t>Matanyahu</w:t>
      </w:r>
      <w:r w:rsidRPr="005E062A">
        <w:rPr>
          <w:rFonts w:ascii="Tahoma" w:hAnsi="Tahoma" w:cs="Tahoma"/>
          <w:b/>
          <w:bCs/>
          <w:szCs w:val="20"/>
          <w:lang w:eastAsia="he-IL"/>
        </w:rPr>
        <w:t xml:space="preserve"> Englman</w:t>
      </w:r>
    </w:p>
    <w:p w:rsidR="002907DE" w:rsidP="002907DE" w14:paraId="08063CC5" w14:textId="77777777">
      <w:pPr>
        <w:widowControl w:val="0"/>
        <w:bidi w:val="0"/>
        <w:spacing w:line="280" w:lineRule="exact"/>
        <w:ind w:left="2268"/>
        <w:jc w:val="center"/>
        <w:rPr>
          <w:rFonts w:ascii="Tahoma" w:hAnsi="Tahoma" w:cs="Tahoma"/>
          <w:szCs w:val="20"/>
          <w:rtl/>
          <w:lang w:eastAsia="he-IL"/>
        </w:rPr>
      </w:pPr>
      <w:r w:rsidRPr="005E062A">
        <w:rPr>
          <w:rFonts w:ascii="Tahoma" w:hAnsi="Tahoma" w:cs="Tahoma"/>
          <w:szCs w:val="20"/>
          <w:lang w:eastAsia="he-IL"/>
        </w:rPr>
        <w:t>State Comptroller</w:t>
      </w:r>
      <w:r>
        <w:rPr>
          <w:rFonts w:ascii="Tahoma" w:hAnsi="Tahoma" w:cs="Tahoma"/>
          <w:szCs w:val="20"/>
          <w:lang w:eastAsia="he-IL"/>
        </w:rPr>
        <w:t xml:space="preserve"> and</w:t>
      </w:r>
      <w:r w:rsidRPr="005E062A">
        <w:rPr>
          <w:rFonts w:ascii="Tahoma" w:hAnsi="Tahoma" w:cs="Tahoma"/>
          <w:szCs w:val="20"/>
          <w:lang w:eastAsia="he-IL"/>
        </w:rPr>
        <w:br/>
        <w:t>Ombudsman</w:t>
      </w:r>
      <w:r w:rsidRPr="00EE1DF0">
        <w:rPr>
          <w:rFonts w:ascii="Tahoma" w:hAnsi="Tahoma" w:cs="Tahoma"/>
          <w:spacing w:val="2"/>
          <w:szCs w:val="20"/>
          <w:lang w:eastAsia="he-IL"/>
        </w:rPr>
        <w:t xml:space="preserve"> </w:t>
      </w:r>
      <w:r w:rsidRPr="00C6221F">
        <w:rPr>
          <w:rFonts w:ascii="Tahoma" w:hAnsi="Tahoma" w:cs="Tahoma"/>
          <w:spacing w:val="2"/>
          <w:szCs w:val="20"/>
          <w:lang w:eastAsia="he-IL"/>
        </w:rPr>
        <w:t>of</w:t>
      </w:r>
      <w:r>
        <w:rPr>
          <w:rFonts w:ascii="Tahoma" w:hAnsi="Tahoma" w:cs="Tahoma"/>
          <w:szCs w:val="20"/>
          <w:lang w:eastAsia="he-IL"/>
        </w:rPr>
        <w:t xml:space="preserve"> </w:t>
      </w:r>
      <w:r w:rsidRPr="00C6221F">
        <w:rPr>
          <w:rFonts w:ascii="Tahoma" w:hAnsi="Tahoma" w:cs="Tahoma"/>
          <w:spacing w:val="2"/>
          <w:szCs w:val="20"/>
          <w:lang w:eastAsia="he-IL"/>
        </w:rPr>
        <w:t>Israel</w:t>
      </w:r>
    </w:p>
    <w:p w:rsidR="002907DE" w:rsidP="002907DE" w14:paraId="7256106E" w14:textId="77777777">
      <w:pPr>
        <w:widowControl w:val="0"/>
        <w:bidi w:val="0"/>
        <w:spacing w:line="280" w:lineRule="exact"/>
        <w:ind w:left="2268"/>
        <w:jc w:val="center"/>
        <w:rPr>
          <w:rFonts w:ascii="Tahoma" w:hAnsi="Tahoma" w:cs="Tahoma"/>
          <w:szCs w:val="20"/>
          <w:lang w:eastAsia="he-IL"/>
        </w:rPr>
      </w:pPr>
    </w:p>
    <w:p w:rsidR="007E2820" w:rsidP="007E2820" w14:paraId="0B89EF13" w14:textId="77777777">
      <w:pPr>
        <w:widowControl w:val="0"/>
        <w:bidi w:val="0"/>
        <w:spacing w:line="280" w:lineRule="exact"/>
        <w:ind w:left="2268"/>
        <w:jc w:val="center"/>
        <w:rPr>
          <w:rFonts w:ascii="Tahoma" w:hAnsi="Tahoma" w:cs="Tahoma"/>
          <w:szCs w:val="20"/>
          <w:lang w:eastAsia="he-IL"/>
        </w:rPr>
      </w:pPr>
    </w:p>
    <w:p w:rsidR="007E2820" w:rsidRPr="005E062A" w:rsidP="007E2820" w14:paraId="42A3E3D0" w14:textId="77777777">
      <w:pPr>
        <w:widowControl w:val="0"/>
        <w:bidi w:val="0"/>
        <w:spacing w:line="280" w:lineRule="exact"/>
        <w:ind w:left="2268"/>
        <w:jc w:val="center"/>
        <w:rPr>
          <w:rFonts w:ascii="Tahoma" w:hAnsi="Tahoma" w:cs="Tahoma"/>
          <w:szCs w:val="20"/>
          <w:rtl/>
          <w:lang w:eastAsia="he-IL"/>
        </w:rPr>
      </w:pPr>
    </w:p>
    <w:p w:rsidR="002907DE" w:rsidP="002907DE" w14:paraId="6AC13502" w14:textId="77777777">
      <w:pPr>
        <w:tabs>
          <w:tab w:val="left" w:pos="1050"/>
        </w:tabs>
        <w:bidi w:val="0"/>
        <w:spacing w:line="280" w:lineRule="exact"/>
        <w:rPr>
          <w:rFonts w:ascii="Tahoma" w:hAnsi="Tahoma" w:cs="Tahoma"/>
          <w:szCs w:val="20"/>
        </w:rPr>
      </w:pPr>
    </w:p>
    <w:p w:rsidR="002907DE" w:rsidRPr="00C6221F" w:rsidP="002907DE" w14:paraId="111B810B" w14:textId="34599649">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sidR="00FF63DA">
        <w:rPr>
          <w:rFonts w:ascii="Tahoma" w:hAnsi="Tahoma" w:cs="Tahoma"/>
          <w:color w:val="0D0D0D" w:themeColor="text1" w:themeTint="F2"/>
          <w:spacing w:val="2"/>
          <w:sz w:val="18"/>
          <w:szCs w:val="18"/>
        </w:rPr>
        <w:t xml:space="preserve">November </w:t>
      </w:r>
      <w:r w:rsidRPr="00C6221F">
        <w:rPr>
          <w:rFonts w:ascii="Tahoma" w:hAnsi="Tahoma" w:cs="Tahoma"/>
          <w:color w:val="0D0D0D" w:themeColor="text1" w:themeTint="F2"/>
          <w:spacing w:val="2"/>
          <w:sz w:val="18"/>
          <w:szCs w:val="18"/>
        </w:rPr>
        <w:t>202</w:t>
      </w:r>
      <w:r w:rsidR="00D1371E">
        <w:rPr>
          <w:rFonts w:ascii="Tahoma" w:hAnsi="Tahoma" w:cs="Tahoma" w:hint="cs"/>
          <w:color w:val="0D0D0D" w:themeColor="text1" w:themeTint="F2"/>
          <w:spacing w:val="2"/>
          <w:sz w:val="18"/>
          <w:szCs w:val="18"/>
          <w:rtl/>
        </w:rPr>
        <w:t>4</w:t>
      </w:r>
    </w:p>
    <w:p w:rsidR="00697F31" w:rsidP="00697F31" w14:paraId="14A3D4BA" w14:textId="77777777">
      <w:pPr>
        <w:tabs>
          <w:tab w:val="left" w:pos="1050"/>
        </w:tabs>
        <w:bidi w:val="0"/>
        <w:spacing w:line="280" w:lineRule="exact"/>
        <w:rPr>
          <w:rFonts w:ascii="Tahoma" w:hAnsi="Tahoma" w:cs="Tahoma"/>
          <w:szCs w:val="20"/>
        </w:rPr>
      </w:pPr>
    </w:p>
    <w:p w:rsidR="00697F31" w:rsidRPr="006C067D" w:rsidP="00697F31" w14:paraId="6C2497F1" w14:textId="77777777">
      <w:pPr>
        <w:tabs>
          <w:tab w:val="right" w:pos="12"/>
          <w:tab w:val="right" w:pos="156"/>
        </w:tabs>
        <w:spacing w:line="360" w:lineRule="auto"/>
        <w:rPr>
          <w:b/>
          <w:bCs/>
          <w:sz w:val="2"/>
          <w:szCs w:val="2"/>
          <w:u w:val="single"/>
          <w:rtl/>
        </w:rPr>
      </w:pPr>
    </w:p>
    <w:p w:rsidR="00697F31" w:rsidRPr="006C067D" w:rsidP="00697F31" w14:paraId="52E5F77A" w14:textId="77777777">
      <w:pPr>
        <w:tabs>
          <w:tab w:val="right" w:pos="12"/>
          <w:tab w:val="right" w:pos="156"/>
        </w:tabs>
        <w:ind w:hanging="129"/>
        <w:rPr>
          <w:b/>
          <w:bCs/>
          <w:sz w:val="2"/>
          <w:szCs w:val="2"/>
          <w:rtl/>
        </w:rPr>
      </w:pPr>
    </w:p>
    <w:p w:rsidR="00697F31" w:rsidRPr="006C067D" w:rsidP="00697F31" w14:paraId="5B53F822" w14:textId="77777777">
      <w:pPr>
        <w:tabs>
          <w:tab w:val="left" w:pos="1683"/>
        </w:tabs>
        <w:rPr>
          <w:sz w:val="2"/>
          <w:szCs w:val="2"/>
          <w:rtl/>
        </w:rPr>
      </w:pPr>
      <w:r w:rsidRPr="006C067D">
        <w:rPr>
          <w:sz w:val="24"/>
          <w:rtl/>
        </w:rPr>
        <w:tab/>
      </w:r>
    </w:p>
    <w:p w:rsidR="00B20B13" w:rsidRPr="006C067D" w:rsidP="00B20B13" w14:paraId="494BF6CF" w14:textId="63375E95">
      <w:pPr>
        <w:tabs>
          <w:tab w:val="right" w:pos="12"/>
          <w:tab w:val="right" w:pos="156"/>
        </w:tabs>
        <w:spacing w:line="360" w:lineRule="auto"/>
        <w:rPr>
          <w:b/>
          <w:bCs/>
          <w:sz w:val="2"/>
          <w:szCs w:val="2"/>
          <w:u w:val="single"/>
          <w:rtl/>
        </w:rPr>
      </w:pPr>
    </w:p>
    <w:p w:rsidR="00B20B13" w:rsidRPr="006C067D" w:rsidP="00B20B13" w14:paraId="598EC18E" w14:textId="493375B3">
      <w:pPr>
        <w:tabs>
          <w:tab w:val="right" w:pos="12"/>
          <w:tab w:val="right" w:pos="156"/>
        </w:tabs>
        <w:ind w:hanging="129"/>
        <w:rPr>
          <w:b/>
          <w:bCs/>
          <w:sz w:val="2"/>
          <w:szCs w:val="2"/>
          <w:rtl/>
        </w:rPr>
      </w:pPr>
    </w:p>
    <w:p w:rsidR="00F96F26" w:rsidRPr="002907DE" w:rsidP="002907DE" w14:paraId="3CC61AEA" w14:textId="19105A31">
      <w:pPr>
        <w:tabs>
          <w:tab w:val="left" w:pos="1683"/>
        </w:tabs>
        <w:rPr>
          <w:sz w:val="2"/>
          <w:szCs w:val="2"/>
          <w:rtl/>
        </w:rPr>
        <w:sectPr w:rsidSect="007824E3">
          <w:headerReference w:type="even" r:id="rId22"/>
          <w:headerReference w:type="default" r:id="rId23"/>
          <w:footerReference w:type="even" r:id="rId24"/>
          <w:footerReference w:type="default" r:id="rId25"/>
          <w:headerReference w:type="first" r:id="rId26"/>
          <w:footerReference w:type="first" r:id="rId27"/>
          <w:pgSz w:w="11906" w:h="16838" w:code="9"/>
          <w:pgMar w:top="3062" w:right="2268" w:bottom="2552" w:left="2268" w:header="1134" w:footer="1361" w:gutter="0"/>
          <w:cols w:space="708"/>
          <w:docGrid w:linePitch="360"/>
        </w:sectPr>
      </w:pPr>
    </w:p>
    <w:p w:rsidR="00BD786C" w:rsidP="007E2820" w14:paraId="33191633" w14:textId="566753E2">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707392" behindDoc="0" locked="0" layoutInCell="1" allowOverlap="1">
                <wp:simplePos x="0" y="0"/>
                <wp:positionH relativeFrom="column">
                  <wp:posOffset>-611749</wp:posOffset>
                </wp:positionH>
                <wp:positionV relativeFrom="paragraph">
                  <wp:posOffset>7207445</wp:posOffset>
                </wp:positionV>
                <wp:extent cx="1266092" cy="414216"/>
                <wp:effectExtent l="12700" t="12700" r="17145" b="17780"/>
                <wp:wrapNone/>
                <wp:docPr id="1668914303"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1266092" cy="41421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51" style="width:99.7pt;height:32.6pt;margin-top:567.5pt;margin-left:-48.15pt;mso-wrap-distance-bottom:0;mso-wrap-distance-left:9pt;mso-wrap-distance-right:9pt;mso-wrap-distance-top:0;mso-wrap-style:square;position:absolute;visibility:visible;v-text-anchor:middle;z-index:251708416" fillcolor="white" strokecolor="white" strokeweight="2pt"/>
            </w:pict>
          </mc:Fallback>
        </mc:AlternateContent>
      </w:r>
    </w:p>
    <w:sectPr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20B12" w14:paraId="6D43AF40" w14:textId="77777777">
      <w:pPr>
        <w:spacing w:line="240" w:lineRule="auto"/>
      </w:pPr>
      <w:r>
        <w:separator/>
      </w:r>
    </w:p>
    <w:p w:rsidR="00420B12" w14:paraId="58A71732" w14:textId="77777777"/>
  </w:endnote>
  <w:endnote w:type="continuationSeparator" w:id="1">
    <w:p w:rsidR="00420B12" w14:paraId="174DF7CC" w14:textId="77777777">
      <w:pPr>
        <w:spacing w:line="240" w:lineRule="auto"/>
      </w:pPr>
      <w:r>
        <w:continuationSeparator/>
      </w:r>
    </w:p>
    <w:p w:rsidR="00420B12" w14:paraId="2527FF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792" w:rsidP="00A0272B" w14:paraId="7CF2D899" w14:textId="77777777">
    <w:pPr>
      <w:pStyle w:val="Footer"/>
      <w:spacing w:after="120" w:line="312" w:lineRule="auto"/>
      <w:ind w:right="-567"/>
      <w:jc w:val="right"/>
      <w:rPr>
        <w:rFonts w:ascii="Tahoma" w:hAnsi="Tahoma" w:cs="Tahoma"/>
        <w:sz w:val="18"/>
        <w:szCs w:val="18"/>
        <w:rtl/>
      </w:rPr>
    </w:pPr>
  </w:p>
  <w:p w:rsidR="00D12792" w:rsidP="00C00262" w14:paraId="0B6C571A"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12792" w:rsidRPr="00A0272B" w:rsidP="00A0272B" w14:paraId="56563B1D" w14:textId="7777777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792" w:rsidP="00A0272B" w14:paraId="775442AC" w14:textId="77777777">
    <w:pPr>
      <w:pStyle w:val="Footer"/>
      <w:spacing w:after="120" w:line="312" w:lineRule="auto"/>
      <w:ind w:right="-567"/>
      <w:jc w:val="right"/>
      <w:rPr>
        <w:rFonts w:ascii="Tahoma" w:hAnsi="Tahoma" w:cs="Tahoma"/>
        <w:sz w:val="18"/>
        <w:szCs w:val="18"/>
        <w:rtl/>
      </w:rPr>
    </w:pPr>
  </w:p>
  <w:p w:rsidR="00D12792" w:rsidP="00C00262" w14:paraId="768EB2AC"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D12792" w:rsidRPr="00A0272B" w:rsidP="00A0272B" w14:paraId="5B6969CB" w14:textId="77777777">
    <w:pPr>
      <w:pStyle w:val="Footer"/>
      <w:rPr>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46C" w:rsidP="00E0446C" w14:paraId="2E0A8F5F" w14:textId="73A2F3A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00C158FE">
      <w:rPr>
        <w:rFonts w:ascii="Tahoma" w:hAnsi="Tahoma" w:cs="Tahoma"/>
        <w:sz w:val="18"/>
        <w:szCs w:val="18"/>
      </w:rPr>
      <w:t>5</w:t>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12792" w:rsidRPr="00870DCF" w:rsidP="00870DCF" w14:paraId="12C827B4" w14:textId="78BBA170">
    <w:pPr>
      <w:pStyle w:val="Footer"/>
      <w:spacing w:after="120" w:line="312" w:lineRule="auto"/>
      <w:ind w:right="-737"/>
      <w:jc w:val="right"/>
      <w:rPr>
        <w:rFonts w:ascii="Tahoma" w:hAnsi="Tahoma" w:cs="Tahom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46C" w:rsidP="00E0446C" w14:paraId="18E72760" w14:textId="0148C0A0">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158FE">
      <w:rPr>
        <w:rFonts w:ascii="Tahoma" w:hAnsi="Tahoma" w:cs="Tahoma"/>
        <w:sz w:val="18"/>
        <w:szCs w:val="18"/>
      </w:rPr>
      <w:t>6</w:t>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B07B37" w14:paraId="55F954A2" w14:textId="019C4EBD">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2427C4"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0B12" w:rsidP="00DC2873" w14:paraId="53B5C7AC" w14:textId="77777777">
      <w:pPr>
        <w:spacing w:line="240" w:lineRule="auto"/>
        <w:jc w:val="right"/>
      </w:pPr>
      <w:r>
        <w:separator/>
      </w:r>
    </w:p>
  </w:footnote>
  <w:footnote w:type="continuationSeparator" w:id="1">
    <w:p w:rsidR="00420B12" w:rsidP="00C23CC9" w14:paraId="1DBE9BB6" w14:textId="77777777">
      <w:pPr>
        <w:spacing w:line="240" w:lineRule="auto"/>
      </w:pPr>
      <w:r>
        <w:continuationSeparator/>
      </w:r>
    </w:p>
    <w:p w:rsidR="00420B12" w14:paraId="34684E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792" w:rsidRPr="00D15500" w:rsidP="005B4811" w14:paraId="55D4C8FD" w14:textId="7B0CF846">
    <w:pPr>
      <w:pStyle w:val="Header"/>
      <w:tabs>
        <w:tab w:val="center" w:pos="457"/>
        <w:tab w:val="clear" w:pos="4153"/>
        <w:tab w:val="clear" w:pos="8306"/>
      </w:tabs>
      <w:spacing w:line="312" w:lineRule="auto"/>
      <w:jc w:val="left"/>
      <w:rPr>
        <w:rFonts w:ascii="Tahoma" w:hAnsi="Tahoma" w:cs="Tahoma"/>
        <w:color w:val="002060"/>
        <w:sz w:val="18"/>
        <w:szCs w:val="1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6E6B100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5648"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9808"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F2565F" w14:paraId="5465C61E" w14:textId="1F98A94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1934D3DE">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236583</wp:posOffset>
              </wp:positionH>
              <wp:positionV relativeFrom="paragraph">
                <wp:posOffset>66675</wp:posOffset>
              </wp:positionV>
              <wp:extent cx="3281680" cy="280670"/>
              <wp:effectExtent l="0" t="0" r="0" b="444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680" cy="280670"/>
                      </a:xfrm>
                      <a:prstGeom prst="rect">
                        <a:avLst/>
                      </a:prstGeom>
                      <a:solidFill>
                        <a:srgbClr val="FFFFFF"/>
                      </a:solidFill>
                      <a:ln w="9525">
                        <a:noFill/>
                        <a:miter lim="800000"/>
                        <a:headEnd/>
                        <a:tailEnd/>
                      </a:ln>
                    </wps:spPr>
                    <wps:txbx>
                      <w:txbxContent>
                        <w:p w:rsidR="00DA4697" w:rsidRPr="0012741E" w:rsidP="006637B9" w14:textId="1B1914BF">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7824E3" w:rsidR="007824E3">
                            <w:rPr>
                              <w:rFonts w:ascii="Tahoma" w:hAnsi="Tahoma" w:cs="Tahoma"/>
                              <w:color w:val="0D0D0D" w:themeColor="text1" w:themeTint="F2"/>
                              <w:sz w:val="15"/>
                              <w:szCs w:val="15"/>
                            </w:rPr>
                            <w:t>Table of contents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0" type="#_x0000_t202" style="width:258.4pt;height:22.1pt;margin-top:5.25pt;margin-left:18.65pt;mso-width-percent:0;mso-width-relative:margin;mso-wrap-distance-bottom:0;mso-wrap-distance-left:9pt;mso-wrap-distance-right:9pt;mso-wrap-distance-top:0;mso-wrap-style:square;position:absolute;visibility:visible;v-text-anchor:top;z-index:251659264" stroked="f">
              <v:textbox style="mso-fit-shape-to-text:t">
                <w:txbxContent>
                  <w:p w:rsidR="00DA4697" w:rsidRPr="0012741E" w:rsidP="006637B9" w14:paraId="7647DFBB" w14:textId="1B1914BF">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7824E3" w:rsidR="007824E3">
                      <w:rPr>
                        <w:rFonts w:ascii="Tahoma" w:hAnsi="Tahoma" w:cs="Tahoma"/>
                        <w:color w:val="0D0D0D" w:themeColor="text1" w:themeTint="F2"/>
                        <w:sz w:val="15"/>
                        <w:szCs w:val="15"/>
                      </w:rPr>
                      <w:t>Table of contents</w:t>
                    </w:r>
                  </w:p>
                </w:txbxContent>
              </v:textbox>
              <w10:wrap type="square"/>
            </v:shape>
          </w:pict>
        </mc:Fallback>
      </mc:AlternateContent>
    </w:r>
    <w:r w:rsidR="00DA079E">
      <w:rPr>
        <w:noProof/>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1" style="flip:x;mso-height-percent:0;mso-height-relative:margin;mso-width-percent:0;mso-width-relative:margin;mso-wrap-distance-bottom:0;mso-wrap-distance-left:9pt;mso-wrap-distance-right:9pt;mso-wrap-distance-top:0;mso-wrap-style:square;position:absolute;visibility:visible;z-index:251667456" from="-4.8pt,30.05pt" to="486.2pt,30.05pt" strokecolor="#0d0d0d" strokeweight="0.25pt"/>
          </w:pict>
        </mc:Fallback>
      </mc:AlternateContent>
    </w:r>
    <w:r w:rsidR="00DA079E">
      <w:rPr>
        <w:rFonts w:ascii="Tahoma" w:hAnsi="Tahoma" w:cs="Tahoma"/>
        <w:noProof/>
        <w:color w:val="002060"/>
        <w:sz w:val="18"/>
        <w:szCs w:val="18"/>
      </w:rPr>
      <w:drawing>
        <wp:anchor distT="0" distB="0" distL="114300" distR="114300" simplePos="0" relativeHeight="251677696"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4E3" w:rsidP="007824E3" w14:paraId="4202EEF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71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3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824E3" w:rsidRPr="00DE3ECA" w:rsidP="007824E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8304" filled="f" strokecolor="#a5a5a5" strokeweight="0.25pt">
              <v:stroke dashstyle="longDash"/>
              <v:textbox>
                <w:txbxContent>
                  <w:p w:rsidR="007824E3" w:rsidRPr="00DE3ECA" w:rsidP="007824E3" w14:paraId="6FE2AD2A"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24E3" w:rsidP="007824E3" w14:paraId="059598B4" w14:textId="77777777">
    <w:pPr>
      <w:pStyle w:val="Header"/>
      <w:tabs>
        <w:tab w:val="left" w:pos="493"/>
        <w:tab w:val="center" w:pos="4111"/>
        <w:tab w:val="clear" w:pos="4153"/>
        <w:tab w:val="right" w:pos="7478"/>
        <w:tab w:val="right" w:pos="8222"/>
        <w:tab w:val="clear" w:pos="8306"/>
      </w:tabs>
      <w:jc w:val="left"/>
      <w:rPr>
        <w:rtl/>
      </w:rPr>
    </w:pPr>
  </w:p>
  <w:p w:rsidR="007824E3" w:rsidP="007824E3" w14:paraId="570FDC40" w14:textId="77777777">
    <w:pPr>
      <w:pStyle w:val="Header"/>
      <w:tabs>
        <w:tab w:val="left" w:pos="493"/>
        <w:tab w:val="center" w:pos="4111"/>
        <w:tab w:val="clear" w:pos="4153"/>
        <w:tab w:val="right" w:pos="7478"/>
        <w:tab w:val="right" w:pos="8222"/>
        <w:tab w:val="clear" w:pos="8306"/>
      </w:tabs>
      <w:jc w:val="left"/>
      <w:rPr>
        <w:rtl/>
      </w:rPr>
    </w:pPr>
  </w:p>
  <w:p w:rsidR="007824E3" w:rsidRPr="001526AC" w:rsidP="007824E3" w14:paraId="16815932" w14:textId="77777777">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9200"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7824E3" w:rsidRPr="00A4133B" w:rsidP="007824E3" w14:textId="15F04598">
                          <w:pPr>
                            <w:bidi w:val="0"/>
                            <w:jc w:val="right"/>
                            <w:rPr>
                              <w:color w:val="0D0D0D" w:themeColor="text1" w:themeTint="F2"/>
                              <w:sz w:val="16"/>
                              <w:szCs w:val="16"/>
                            </w:rPr>
                          </w:pPr>
                          <w:r w:rsidRPr="002F49AA">
                            <w:rPr>
                              <w:rFonts w:ascii="Tahoma" w:hAnsi="Tahoma" w:eastAsiaTheme="majorEastAsia" w:cs="Tahoma"/>
                              <w:noProof/>
                              <w:color w:val="0D0D0D" w:themeColor="text1" w:themeTint="F2"/>
                              <w:sz w:val="16"/>
                              <w:szCs w:val="16"/>
                            </w:rPr>
                            <w:t>Report of the State comptroller of Israel | January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7824E3" w:rsidRPr="00A4133B" w:rsidP="007824E3" w14:paraId="11213535" w14:textId="15F04598">
                    <w:pPr>
                      <w:bidi w:val="0"/>
                      <w:jc w:val="right"/>
                      <w:rPr>
                        <w:color w:val="0D0D0D" w:themeColor="text1" w:themeTint="F2"/>
                        <w:sz w:val="16"/>
                        <w:szCs w:val="16"/>
                      </w:rPr>
                    </w:pPr>
                    <w:r w:rsidRPr="002F49AA">
                      <w:rPr>
                        <w:rFonts w:ascii="Tahoma" w:hAnsi="Tahoma" w:eastAsiaTheme="majorEastAsia" w:cs="Tahoma"/>
                        <w:noProof/>
                        <w:color w:val="0D0D0D" w:themeColor="text1" w:themeTint="F2"/>
                        <w:sz w:val="16"/>
                        <w:szCs w:val="16"/>
                      </w:rPr>
                      <w:t>Report of the State comptroller of Israel | January 2024</w:t>
                    </w:r>
                  </w:p>
                </w:txbxContent>
              </v:textbox>
            </v:shape>
          </w:pict>
        </mc:Fallback>
      </mc:AlternateContent>
    </w: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701248"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39"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96128" from="-229.2pt,38.7pt" to="370.85pt,38.7pt" strokecolor="#0d0d0d" strokeweight="0.25pt"/>
          </w:pict>
        </mc:Fallback>
      </mc:AlternateContent>
    </w:r>
  </w:p>
  <w:p w:rsidR="00DA4697" w:rsidRPr="007824E3" w:rsidP="007824E3" w14:paraId="7C0E7E90" w14:textId="753E3E23">
    <w:pPr>
      <w:pStyle w:val="Header"/>
      <w:rPr>
        <w:szCs w:val="20"/>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A3A" w:rsidP="00A63A3A" w14:paraId="3011010F" w14:textId="0BD51AD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63A3A" w:rsidRPr="00DE3ECA" w:rsidP="00A63A3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A63A3A" w:rsidRPr="00DE3ECA" w:rsidP="00A63A3A" w14:paraId="6281FE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63A3A" w:rsidP="00A63A3A" w14:paraId="17626F3F" w14:textId="0FDC222B">
    <w:pPr>
      <w:pStyle w:val="Header"/>
      <w:tabs>
        <w:tab w:val="left" w:pos="493"/>
        <w:tab w:val="center" w:pos="4111"/>
        <w:tab w:val="clear" w:pos="4153"/>
        <w:tab w:val="right" w:pos="7478"/>
        <w:tab w:val="right" w:pos="8222"/>
        <w:tab w:val="clear" w:pos="8306"/>
      </w:tabs>
      <w:jc w:val="left"/>
      <w:rPr>
        <w:rtl/>
      </w:rPr>
    </w:pPr>
  </w:p>
  <w:p w:rsidR="00A63A3A" w:rsidP="00A63A3A" w14:paraId="365292B6" w14:textId="7894F2B4">
    <w:pPr>
      <w:pStyle w:val="Header"/>
      <w:tabs>
        <w:tab w:val="left" w:pos="493"/>
        <w:tab w:val="center" w:pos="4111"/>
        <w:tab w:val="clear" w:pos="4153"/>
        <w:tab w:val="right" w:pos="7478"/>
        <w:tab w:val="right" w:pos="8222"/>
        <w:tab w:val="clear" w:pos="8306"/>
      </w:tabs>
      <w:jc w:val="left"/>
    </w:pPr>
  </w:p>
  <w:p w:rsidR="00A63A3A" w:rsidP="00A63A3A" w14:paraId="08A56AD5" w14:textId="71260E3B">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82816"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A63A3A" w:rsidRPr="00F01BFA" w:rsidP="00A63A3A" w14:textId="210A83B1">
                          <w:pPr>
                            <w:bidi w:val="0"/>
                            <w:jc w:val="right"/>
                            <w:rPr>
                              <w:color w:val="0D0D0D" w:themeColor="text1" w:themeTint="F2"/>
                              <w:sz w:val="16"/>
                              <w:szCs w:val="16"/>
                            </w:rPr>
                          </w:pPr>
                          <w:r w:rsidRPr="00FF63DA">
                            <w:rPr>
                              <w:rFonts w:ascii="Tahoma" w:hAnsi="Tahoma" w:eastAsiaTheme="majorEastAsia" w:cs="Tahoma"/>
                              <w:noProof/>
                              <w:color w:val="0D0D0D" w:themeColor="text1" w:themeTint="F2"/>
                              <w:sz w:val="15"/>
                              <w:szCs w:val="15"/>
                            </w:rPr>
                            <w:t>Report of the State Comptroller of Israel | November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6"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A63A3A" w:rsidRPr="00F01BFA" w:rsidP="00A63A3A" w14:paraId="7CCEAB29" w14:textId="210A83B1">
                    <w:pPr>
                      <w:bidi w:val="0"/>
                      <w:jc w:val="right"/>
                      <w:rPr>
                        <w:color w:val="0D0D0D" w:themeColor="text1" w:themeTint="F2"/>
                        <w:sz w:val="16"/>
                        <w:szCs w:val="16"/>
                      </w:rPr>
                    </w:pPr>
                    <w:r w:rsidRPr="00FF63DA">
                      <w:rPr>
                        <w:rFonts w:ascii="Tahoma" w:hAnsi="Tahoma" w:eastAsiaTheme="majorEastAsia" w:cs="Tahoma"/>
                        <w:noProof/>
                        <w:color w:val="0D0D0D" w:themeColor="text1" w:themeTint="F2"/>
                        <w:sz w:val="15"/>
                        <w:szCs w:val="15"/>
                      </w:rPr>
                      <w:t>Report of the State Comptroller of Israel | November 2024</w:t>
                    </w:r>
                  </w:p>
                </w:txbxContent>
              </v:textbox>
            </v:shape>
          </w:pict>
        </mc:Fallback>
      </mc:AlternateContent>
    </w:r>
  </w:p>
  <w:p w:rsidR="00A76E5A" w:rsidRPr="00A63A3A" w:rsidP="00A63A3A" w14:paraId="767AEAC6" w14:textId="0BE5276C">
    <w:pPr>
      <w:pStyle w:val="Header"/>
    </w:pPr>
    <w:r>
      <w:rPr>
        <w:rFonts w:ascii="Tahoma" w:hAnsi="Tahoma" w:cs="Tahoma"/>
        <w:noProof/>
        <w:sz w:val="22"/>
        <w:szCs w:val="22"/>
        <w:rtl/>
        <w:lang w:val="he-IL"/>
      </w:rPr>
      <w:drawing>
        <wp:anchor distT="0" distB="0" distL="114300" distR="114300" simplePos="0" relativeHeight="251685888"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80768"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1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7" style="flip:x;mso-height-percent:0;mso-height-relative:margin;mso-width-percent:0;mso-width-relative:margin;mso-wrap-distance-bottom:0;mso-wrap-distance-left:9pt;mso-wrap-distance-right:9pt;mso-wrap-distance-top:0;mso-wrap-style:square;position:absolute;visibility:visible;z-index:251681792" from="-410.6pt,23.3pt" to="388.05pt,23.3pt" strokecolor="#0d0d0d" strokeweight="0.25pt"/>
          </w:pict>
        </mc:Fallback>
      </mc:AlternateContent>
    </w:r>
    <w:r w:rsidRPr="00A63A3A">
      <w:rPr>
        <w:noProof/>
        <w:szCs w:val="20"/>
        <w:rtl/>
      </w:rPr>
      <w:drawing>
        <wp:anchor distT="0" distB="0" distL="114300" distR="114300" simplePos="0" relativeHeight="251684864"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4E3" w:rsidP="007255AF" w14:paraId="52B9C41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707392"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42"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7824E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8064" filled="f" strokecolor="#a5a5a5" strokeweight="0.25pt">
              <v:stroke dashstyle="longDash"/>
              <v:textbox>
                <w:txbxContent>
                  <w:p w:rsidR="007824E3" w:rsidRPr="00DE3ECA" w:rsidP="00E82EA3" w14:paraId="7A27461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24E3" w:rsidP="00F2565F" w14:paraId="3BA5B75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7824E3" w:rsidP="007255AF" w14:paraId="5F7896B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824E3" w:rsidP="007255AF" w14:paraId="303BF20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824E3" w:rsidP="00A33696" w14:paraId="06C1E6AB" w14:textId="77777777">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703296" behindDoc="0" locked="0" layoutInCell="1" allowOverlap="1">
              <wp:simplePos x="0" y="0"/>
              <wp:positionH relativeFrom="column">
                <wp:posOffset>236583</wp:posOffset>
              </wp:positionH>
              <wp:positionV relativeFrom="paragraph">
                <wp:posOffset>66675</wp:posOffset>
              </wp:positionV>
              <wp:extent cx="3281680" cy="280670"/>
              <wp:effectExtent l="0" t="0" r="0" b="4445"/>
              <wp:wrapSquare wrapText="bothSides"/>
              <wp:docPr id="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680" cy="280670"/>
                      </a:xfrm>
                      <a:prstGeom prst="rect">
                        <a:avLst/>
                      </a:prstGeom>
                      <a:solidFill>
                        <a:srgbClr val="FFFFFF"/>
                      </a:solidFill>
                      <a:ln w="9525">
                        <a:noFill/>
                        <a:miter lim="800000"/>
                        <a:headEnd/>
                        <a:tailEnd/>
                      </a:ln>
                    </wps:spPr>
                    <wps:txbx>
                      <w:txbxContent>
                        <w:p w:rsidR="007824E3" w:rsidRPr="0012741E" w:rsidP="007824E3" w14:textId="4AB78372">
                          <w:pPr>
                            <w:bidi w:val="0"/>
                            <w:jc w:val="left"/>
                            <w:rPr>
                              <w:sz w:val="15"/>
                              <w:szCs w:val="15"/>
                            </w:rPr>
                          </w:pPr>
                          <w:r>
                            <w:rPr>
                              <w:rFonts w:ascii="Tahoma" w:hAnsi="Tahoma" w:cs="Tahoma"/>
                              <w:color w:val="0D0D0D" w:themeColor="text1" w:themeTint="F2"/>
                              <w:sz w:val="15"/>
                              <w:szCs w:val="15"/>
                            </w:rPr>
                            <w:t>Foreword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258.4pt;height:22.1pt;margin-top:5.25pt;margin-left:18.65pt;mso-width-percent:0;mso-width-relative:margin;mso-wrap-distance-bottom:0;mso-wrap-distance-left:9pt;mso-wrap-distance-right:9pt;mso-wrap-distance-top:0;mso-wrap-style:square;position:absolute;visibility:visible;v-text-anchor:top;z-index:251704320" stroked="f">
              <v:textbox style="mso-fit-shape-to-text:t">
                <w:txbxContent>
                  <w:p w:rsidR="007824E3" w:rsidRPr="0012741E" w:rsidP="007824E3" w14:paraId="1F1C56B1" w14:textId="4AB78372">
                    <w:pPr>
                      <w:bidi w:val="0"/>
                      <w:jc w:val="left"/>
                      <w:rPr>
                        <w:sz w:val="15"/>
                        <w:szCs w:val="15"/>
                      </w:rPr>
                    </w:pPr>
                    <w:r>
                      <w:rPr>
                        <w:rFonts w:ascii="Tahoma" w:hAnsi="Tahoma" w:cs="Tahoma"/>
                        <w:color w:val="0D0D0D" w:themeColor="text1" w:themeTint="F2"/>
                        <w:sz w:val="15"/>
                        <w:szCs w:val="15"/>
                      </w:rPr>
                      <w:t>Foreword</w:t>
                    </w: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45"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706368"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709440"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B4B" w:rsidP="001526AC" w14:paraId="27EB38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05277098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E3B4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BE3B4B" w:rsidRPr="00DE3ECA" w:rsidP="006E67D8" w14:paraId="3346CE3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E3B4B" w:rsidP="001526AC" w14:paraId="05EC28DE" w14:textId="77777777">
    <w:pPr>
      <w:pStyle w:val="Header"/>
      <w:tabs>
        <w:tab w:val="left" w:pos="493"/>
        <w:tab w:val="center" w:pos="4111"/>
        <w:tab w:val="clear" w:pos="4153"/>
        <w:tab w:val="right" w:pos="7478"/>
        <w:tab w:val="right" w:pos="8222"/>
        <w:tab w:val="clear" w:pos="8306"/>
      </w:tabs>
      <w:jc w:val="left"/>
      <w:rPr>
        <w:rtl/>
      </w:rPr>
    </w:pPr>
  </w:p>
  <w:p w:rsidR="00BE3B4B" w:rsidP="00005B23" w14:paraId="4FE87256" w14:textId="002E8DC7">
    <w:pPr>
      <w:pStyle w:val="Header"/>
      <w:tabs>
        <w:tab w:val="left" w:pos="493"/>
        <w:tab w:val="center" w:pos="4111"/>
        <w:tab w:val="clear" w:pos="4153"/>
        <w:tab w:val="right" w:pos="7478"/>
        <w:tab w:val="right" w:pos="8222"/>
        <w:tab w:val="clear" w:pos="8306"/>
      </w:tabs>
      <w:jc w:val="left"/>
      <w:rPr>
        <w:rtl/>
      </w:rPr>
    </w:pPr>
  </w:p>
  <w:p w:rsidR="00BE3B4B" w:rsidRPr="001526AC" w:rsidP="00005B23" w14:paraId="23773518" w14:textId="23183E45">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1008"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2052770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BE3B4B" w:rsidRPr="00A4133B" w:rsidP="00BE3B4B" w14:textId="12A2DE62">
                          <w:pPr>
                            <w:bidi w:val="0"/>
                            <w:jc w:val="right"/>
                            <w:rPr>
                              <w:color w:val="0D0D0D" w:themeColor="text1" w:themeTint="F2"/>
                              <w:sz w:val="16"/>
                              <w:szCs w:val="16"/>
                            </w:rPr>
                          </w:pPr>
                          <w:r w:rsidRPr="002F49AA">
                            <w:rPr>
                              <w:rFonts w:ascii="Tahoma" w:hAnsi="Tahoma" w:eastAsiaTheme="majorEastAsia" w:cs="Tahoma"/>
                              <w:noProof/>
                              <w:color w:val="0D0D0D" w:themeColor="text1" w:themeTint="F2"/>
                              <w:sz w:val="16"/>
                              <w:szCs w:val="16"/>
                            </w:rPr>
                            <w:t xml:space="preserve">Report of the State comptroller of Israel | </w:t>
                          </w:r>
                          <w:r w:rsidRPr="00C12A3B" w:rsidR="00C12A3B">
                            <w:rPr>
                              <w:rFonts w:ascii="Tahoma" w:hAnsi="Tahoma" w:eastAsiaTheme="majorEastAsia" w:cs="Tahoma"/>
                              <w:noProof/>
                              <w:color w:val="0D0D0D" w:themeColor="text1" w:themeTint="F2"/>
                              <w:sz w:val="16"/>
                              <w:szCs w:val="16"/>
                            </w:rPr>
                            <w:t xml:space="preserve">November </w:t>
                          </w:r>
                          <w:r w:rsidRPr="002F49AA">
                            <w:rPr>
                              <w:rFonts w:ascii="Tahoma" w:hAnsi="Tahoma" w:eastAsiaTheme="majorEastAsia" w:cs="Tahoma"/>
                              <w:noProof/>
                              <w:color w:val="0D0D0D" w:themeColor="text1" w:themeTint="F2"/>
                              <w:sz w:val="16"/>
                              <w:szCs w:val="16"/>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BE3B4B" w:rsidRPr="00A4133B" w:rsidP="00BE3B4B" w14:paraId="49DA2D2E" w14:textId="12A2DE62">
                    <w:pPr>
                      <w:bidi w:val="0"/>
                      <w:jc w:val="right"/>
                      <w:rPr>
                        <w:color w:val="0D0D0D" w:themeColor="text1" w:themeTint="F2"/>
                        <w:sz w:val="16"/>
                        <w:szCs w:val="16"/>
                      </w:rPr>
                    </w:pPr>
                    <w:r w:rsidRPr="002F49AA">
                      <w:rPr>
                        <w:rFonts w:ascii="Tahoma" w:hAnsi="Tahoma" w:eastAsiaTheme="majorEastAsia" w:cs="Tahoma"/>
                        <w:noProof/>
                        <w:color w:val="0D0D0D" w:themeColor="text1" w:themeTint="F2"/>
                        <w:sz w:val="16"/>
                        <w:szCs w:val="16"/>
                      </w:rPr>
                      <w:t xml:space="preserve">Report of the State comptroller of Israel | </w:t>
                    </w:r>
                    <w:r w:rsidRPr="00C12A3B" w:rsidR="00C12A3B">
                      <w:rPr>
                        <w:rFonts w:ascii="Tahoma" w:hAnsi="Tahoma" w:eastAsiaTheme="majorEastAsia" w:cs="Tahoma"/>
                        <w:noProof/>
                        <w:color w:val="0D0D0D" w:themeColor="text1" w:themeTint="F2"/>
                        <w:sz w:val="16"/>
                        <w:szCs w:val="16"/>
                      </w:rPr>
                      <w:t xml:space="preserve">November </w:t>
                    </w:r>
                    <w:r w:rsidRPr="002F49AA">
                      <w:rPr>
                        <w:rFonts w:ascii="Tahoma" w:hAnsi="Tahoma" w:eastAsiaTheme="majorEastAsia" w:cs="Tahoma"/>
                        <w:noProof/>
                        <w:color w:val="0D0D0D" w:themeColor="text1" w:themeTint="F2"/>
                        <w:sz w:val="16"/>
                        <w:szCs w:val="16"/>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2052770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693056"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205277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05277099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229.2pt,38.7pt" to="370.85pt,38.7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64"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5"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8"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6"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70528"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72576"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68" style="flip:x;mso-height-percent:0;mso-height-relative:margin;mso-width-percent:0;mso-width-relative:margin;mso-wrap-distance-bottom:0;mso-wrap-distance-left:9pt;mso-wrap-distance-right:9pt;mso-wrap-distance-top:0;mso-wrap-style:square;position:absolute;visibility:visible;z-index:251669504"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5432225" o:spid="_x0000_i1025" type="#_x0000_t75" style="width:142pt;height:142pt" o:bullet="t">
            <v:imagedata r:id="rId1" o:title=""/>
          </v:shape>
        </w:pict>
      </mc:Choice>
      <mc:Fallback>
        <w:drawing>
          <wp:inline distT="0" distB="0" distL="0" distR="0">
            <wp:extent cx="1803400" cy="1803400"/>
            <wp:effectExtent l="0" t="0" r="0" b="0"/>
            <wp:docPr id="25432225" name="תמונה 2543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0" cy="1803400"/>
                    </a:xfrm>
                    <a:prstGeom prst="rect">
                      <a:avLst/>
                    </a:prstGeom>
                    <a:noFill/>
                    <a:ln>
                      <a:noFill/>
                    </a:ln>
                  </pic:spPr>
                </pic:pic>
              </a:graphicData>
            </a:graphic>
          </wp:inline>
        </w:drawing>
      </mc:Fallback>
    </mc:AlternateContent>
  </w:numPicBullet>
  <w:abstractNum w:abstractNumId="0" w15:restartNumberingAfterBreak="0">
    <w:nsid w:val="066E5247"/>
    <w:multiLevelType w:val="hybridMultilevel"/>
    <w:tmpl w:val="8D6029CA"/>
    <w:lvl w:ilvl="0">
      <w:start w:val="1"/>
      <w:numFmt w:val="bullet"/>
      <w:pStyle w:val="75-"/>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15:restartNumberingAfterBreak="0">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1701D68"/>
    <w:multiLevelType w:val="hybridMultilevel"/>
    <w:tmpl w:val="BD04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C9E552A"/>
    <w:multiLevelType w:val="hybridMultilevel"/>
    <w:tmpl w:val="E2B4A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2A10FFB"/>
    <w:multiLevelType w:val="hybridMultilevel"/>
    <w:tmpl w:val="7EBA1A14"/>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15:restartNumberingAfterBreak="0">
    <w:nsid w:val="777D407F"/>
    <w:multiLevelType w:val="hybridMultilevel"/>
    <w:tmpl w:val="31B68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78570223"/>
    <w:multiLevelType w:val="hybridMultilevel"/>
    <w:tmpl w:val="5502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357120906">
    <w:abstractNumId w:val="8"/>
  </w:num>
  <w:num w:numId="2" w16cid:durableId="410009135">
    <w:abstractNumId w:val="15"/>
  </w:num>
  <w:num w:numId="3" w16cid:durableId="1500730454">
    <w:abstractNumId w:val="21"/>
  </w:num>
  <w:num w:numId="4" w16cid:durableId="78645908">
    <w:abstractNumId w:val="17"/>
  </w:num>
  <w:num w:numId="5" w16cid:durableId="1275677973">
    <w:abstractNumId w:val="11"/>
  </w:num>
  <w:num w:numId="6" w16cid:durableId="653753002">
    <w:abstractNumId w:val="14"/>
  </w:num>
  <w:num w:numId="7" w16cid:durableId="224269108">
    <w:abstractNumId w:val="26"/>
  </w:num>
  <w:num w:numId="8" w16cid:durableId="439835152">
    <w:abstractNumId w:val="1"/>
  </w:num>
  <w:num w:numId="9" w16cid:durableId="1413434321">
    <w:abstractNumId w:val="16"/>
  </w:num>
  <w:num w:numId="10" w16cid:durableId="1156579616">
    <w:abstractNumId w:val="4"/>
  </w:num>
  <w:num w:numId="11" w16cid:durableId="611285882">
    <w:abstractNumId w:val="18"/>
  </w:num>
  <w:num w:numId="12" w16cid:durableId="1409763858">
    <w:abstractNumId w:val="3"/>
  </w:num>
  <w:num w:numId="13" w16cid:durableId="1331372033">
    <w:abstractNumId w:val="7"/>
  </w:num>
  <w:num w:numId="14" w16cid:durableId="1564825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9552273">
    <w:abstractNumId w:val="9"/>
  </w:num>
  <w:num w:numId="16" w16cid:durableId="1273591268">
    <w:abstractNumId w:val="13"/>
  </w:num>
  <w:num w:numId="17" w16cid:durableId="1168063022">
    <w:abstractNumId w:val="20"/>
  </w:num>
  <w:num w:numId="18" w16cid:durableId="2043434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352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125550">
    <w:abstractNumId w:val="2"/>
  </w:num>
  <w:num w:numId="21" w16cid:durableId="4908757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6038454">
    <w:abstractNumId w:val="23"/>
  </w:num>
  <w:num w:numId="23" w16cid:durableId="1346880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039735">
    <w:abstractNumId w:val="5"/>
  </w:num>
  <w:num w:numId="25" w16cid:durableId="492380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646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1267084">
    <w:abstractNumId w:val="19"/>
  </w:num>
  <w:num w:numId="28" w16cid:durableId="440493306">
    <w:abstractNumId w:val="22"/>
  </w:num>
  <w:num w:numId="29" w16cid:durableId="625821032">
    <w:abstractNumId w:val="6"/>
  </w:num>
  <w:num w:numId="30" w16cid:durableId="476647105">
    <w:abstractNumId w:val="24"/>
  </w:num>
  <w:num w:numId="31" w16cid:durableId="1596671325">
    <w:abstractNumId w:val="25"/>
  </w:num>
  <w:num w:numId="32" w16cid:durableId="1058167225">
    <w:abstractNumId w:val="10"/>
  </w:num>
  <w:num w:numId="33" w16cid:durableId="1289703205">
    <w:abstractNumId w:val="0"/>
  </w:num>
  <w:num w:numId="34" w16cid:durableId="140760769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67"/>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C40"/>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3743F"/>
    <w:rsid w:val="00037DEE"/>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492"/>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0441"/>
    <w:rsid w:val="000615B4"/>
    <w:rsid w:val="00061760"/>
    <w:rsid w:val="0006189A"/>
    <w:rsid w:val="000618D0"/>
    <w:rsid w:val="00061D7A"/>
    <w:rsid w:val="00063297"/>
    <w:rsid w:val="00063A11"/>
    <w:rsid w:val="00064016"/>
    <w:rsid w:val="0006411D"/>
    <w:rsid w:val="0006445C"/>
    <w:rsid w:val="0006456C"/>
    <w:rsid w:val="00064637"/>
    <w:rsid w:val="00066628"/>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84F"/>
    <w:rsid w:val="00077B79"/>
    <w:rsid w:val="00080072"/>
    <w:rsid w:val="00081494"/>
    <w:rsid w:val="00081D0E"/>
    <w:rsid w:val="000824F8"/>
    <w:rsid w:val="0008345D"/>
    <w:rsid w:val="00083692"/>
    <w:rsid w:val="00083FD0"/>
    <w:rsid w:val="00084E3A"/>
    <w:rsid w:val="00085086"/>
    <w:rsid w:val="00085A22"/>
    <w:rsid w:val="00085B99"/>
    <w:rsid w:val="00086221"/>
    <w:rsid w:val="0008669B"/>
    <w:rsid w:val="00086738"/>
    <w:rsid w:val="00086BCD"/>
    <w:rsid w:val="00090633"/>
    <w:rsid w:val="000907D0"/>
    <w:rsid w:val="00091811"/>
    <w:rsid w:val="00091A72"/>
    <w:rsid w:val="00093E30"/>
    <w:rsid w:val="0009432F"/>
    <w:rsid w:val="00094D5D"/>
    <w:rsid w:val="00094F15"/>
    <w:rsid w:val="0009524E"/>
    <w:rsid w:val="0009559D"/>
    <w:rsid w:val="0009573B"/>
    <w:rsid w:val="00096CF4"/>
    <w:rsid w:val="00096EEC"/>
    <w:rsid w:val="000971EF"/>
    <w:rsid w:val="00097CDE"/>
    <w:rsid w:val="000A00AE"/>
    <w:rsid w:val="000A01F2"/>
    <w:rsid w:val="000A0884"/>
    <w:rsid w:val="000A0915"/>
    <w:rsid w:val="000A134E"/>
    <w:rsid w:val="000A15B1"/>
    <w:rsid w:val="000A1610"/>
    <w:rsid w:val="000A1B28"/>
    <w:rsid w:val="000A26F1"/>
    <w:rsid w:val="000A2BD8"/>
    <w:rsid w:val="000A3690"/>
    <w:rsid w:val="000A43A6"/>
    <w:rsid w:val="000A4686"/>
    <w:rsid w:val="000A5140"/>
    <w:rsid w:val="000A567C"/>
    <w:rsid w:val="000A5B75"/>
    <w:rsid w:val="000A65A9"/>
    <w:rsid w:val="000A69A7"/>
    <w:rsid w:val="000A7D65"/>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3E6E"/>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95"/>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3B0"/>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47"/>
    <w:rsid w:val="0010747A"/>
    <w:rsid w:val="001075AF"/>
    <w:rsid w:val="00107A35"/>
    <w:rsid w:val="00107D4A"/>
    <w:rsid w:val="0011074D"/>
    <w:rsid w:val="0011146E"/>
    <w:rsid w:val="00111AD4"/>
    <w:rsid w:val="00111CA0"/>
    <w:rsid w:val="00111F8A"/>
    <w:rsid w:val="00112134"/>
    <w:rsid w:val="00112923"/>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2741E"/>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3"/>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47ED0"/>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8E3"/>
    <w:rsid w:val="00156CAA"/>
    <w:rsid w:val="00156DEF"/>
    <w:rsid w:val="0015702B"/>
    <w:rsid w:val="00157577"/>
    <w:rsid w:val="00157D86"/>
    <w:rsid w:val="00160155"/>
    <w:rsid w:val="0016031C"/>
    <w:rsid w:val="00160DA6"/>
    <w:rsid w:val="00161124"/>
    <w:rsid w:val="00161717"/>
    <w:rsid w:val="00161DA5"/>
    <w:rsid w:val="00162EAF"/>
    <w:rsid w:val="001630E8"/>
    <w:rsid w:val="001637C1"/>
    <w:rsid w:val="001639FB"/>
    <w:rsid w:val="00163D00"/>
    <w:rsid w:val="0016401B"/>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1F81"/>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604"/>
    <w:rsid w:val="001839FA"/>
    <w:rsid w:val="00183DDC"/>
    <w:rsid w:val="00184D9A"/>
    <w:rsid w:val="001850C6"/>
    <w:rsid w:val="0018586A"/>
    <w:rsid w:val="001858E5"/>
    <w:rsid w:val="00185B85"/>
    <w:rsid w:val="0018758B"/>
    <w:rsid w:val="001875BC"/>
    <w:rsid w:val="001875D3"/>
    <w:rsid w:val="001900F7"/>
    <w:rsid w:val="0019015A"/>
    <w:rsid w:val="00190396"/>
    <w:rsid w:val="00190F93"/>
    <w:rsid w:val="0019167B"/>
    <w:rsid w:val="00191FF6"/>
    <w:rsid w:val="00192E51"/>
    <w:rsid w:val="00192F16"/>
    <w:rsid w:val="00193071"/>
    <w:rsid w:val="00193101"/>
    <w:rsid w:val="0019399F"/>
    <w:rsid w:val="00194286"/>
    <w:rsid w:val="001954F2"/>
    <w:rsid w:val="00195BC7"/>
    <w:rsid w:val="00195EBA"/>
    <w:rsid w:val="001960B4"/>
    <w:rsid w:val="0019758B"/>
    <w:rsid w:val="00197B6F"/>
    <w:rsid w:val="00197B8A"/>
    <w:rsid w:val="001A0CA6"/>
    <w:rsid w:val="001A166A"/>
    <w:rsid w:val="001A1E88"/>
    <w:rsid w:val="001A2081"/>
    <w:rsid w:val="001A2510"/>
    <w:rsid w:val="001A2A50"/>
    <w:rsid w:val="001A2F88"/>
    <w:rsid w:val="001A325B"/>
    <w:rsid w:val="001A38A7"/>
    <w:rsid w:val="001A3974"/>
    <w:rsid w:val="001A40B6"/>
    <w:rsid w:val="001A4E80"/>
    <w:rsid w:val="001A5D04"/>
    <w:rsid w:val="001A613C"/>
    <w:rsid w:val="001A6276"/>
    <w:rsid w:val="001A72F6"/>
    <w:rsid w:val="001A78EF"/>
    <w:rsid w:val="001A7D06"/>
    <w:rsid w:val="001B04C9"/>
    <w:rsid w:val="001B1655"/>
    <w:rsid w:val="001B17FB"/>
    <w:rsid w:val="001B2821"/>
    <w:rsid w:val="001B285C"/>
    <w:rsid w:val="001B2ACB"/>
    <w:rsid w:val="001B2C49"/>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31F"/>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4DA2"/>
    <w:rsid w:val="001E57D3"/>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D2B"/>
    <w:rsid w:val="00200E5B"/>
    <w:rsid w:val="00200FE9"/>
    <w:rsid w:val="002014C8"/>
    <w:rsid w:val="00202068"/>
    <w:rsid w:val="00202878"/>
    <w:rsid w:val="00202F8B"/>
    <w:rsid w:val="00203277"/>
    <w:rsid w:val="00203604"/>
    <w:rsid w:val="00205081"/>
    <w:rsid w:val="00205724"/>
    <w:rsid w:val="002064F7"/>
    <w:rsid w:val="00206509"/>
    <w:rsid w:val="00206BDB"/>
    <w:rsid w:val="0021058F"/>
    <w:rsid w:val="0021135F"/>
    <w:rsid w:val="0021150C"/>
    <w:rsid w:val="002120DB"/>
    <w:rsid w:val="002127FD"/>
    <w:rsid w:val="00212904"/>
    <w:rsid w:val="00212B04"/>
    <w:rsid w:val="00212EEA"/>
    <w:rsid w:val="002130B4"/>
    <w:rsid w:val="00213826"/>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348A"/>
    <w:rsid w:val="002246A9"/>
    <w:rsid w:val="00224723"/>
    <w:rsid w:val="002248C1"/>
    <w:rsid w:val="00224C04"/>
    <w:rsid w:val="002251A4"/>
    <w:rsid w:val="00225489"/>
    <w:rsid w:val="00225718"/>
    <w:rsid w:val="00225CAE"/>
    <w:rsid w:val="0022705A"/>
    <w:rsid w:val="00227CD0"/>
    <w:rsid w:val="00227E88"/>
    <w:rsid w:val="0023004B"/>
    <w:rsid w:val="002301B6"/>
    <w:rsid w:val="00230B94"/>
    <w:rsid w:val="00231C3C"/>
    <w:rsid w:val="00231DC5"/>
    <w:rsid w:val="00232836"/>
    <w:rsid w:val="002338F8"/>
    <w:rsid w:val="00234167"/>
    <w:rsid w:val="0023448C"/>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4C6D"/>
    <w:rsid w:val="00244C99"/>
    <w:rsid w:val="00245470"/>
    <w:rsid w:val="00246CD7"/>
    <w:rsid w:val="00247C83"/>
    <w:rsid w:val="00250370"/>
    <w:rsid w:val="0025068A"/>
    <w:rsid w:val="00250751"/>
    <w:rsid w:val="002516DF"/>
    <w:rsid w:val="00251B50"/>
    <w:rsid w:val="00254CF4"/>
    <w:rsid w:val="00255715"/>
    <w:rsid w:val="00255877"/>
    <w:rsid w:val="0025701A"/>
    <w:rsid w:val="002575ED"/>
    <w:rsid w:val="002576EB"/>
    <w:rsid w:val="002578A9"/>
    <w:rsid w:val="00260BF5"/>
    <w:rsid w:val="00260D04"/>
    <w:rsid w:val="0026130F"/>
    <w:rsid w:val="00261C84"/>
    <w:rsid w:val="00262A9E"/>
    <w:rsid w:val="002634F4"/>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81A"/>
    <w:rsid w:val="00282C5A"/>
    <w:rsid w:val="00283FFC"/>
    <w:rsid w:val="002841CB"/>
    <w:rsid w:val="00284ABA"/>
    <w:rsid w:val="00284B06"/>
    <w:rsid w:val="00285362"/>
    <w:rsid w:val="00285EC0"/>
    <w:rsid w:val="0028686C"/>
    <w:rsid w:val="0028694C"/>
    <w:rsid w:val="002869E1"/>
    <w:rsid w:val="00286A23"/>
    <w:rsid w:val="00286C34"/>
    <w:rsid w:val="002907DE"/>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6F7"/>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6EA6"/>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9AA"/>
    <w:rsid w:val="002F5163"/>
    <w:rsid w:val="002F5628"/>
    <w:rsid w:val="002F5A80"/>
    <w:rsid w:val="002F5B51"/>
    <w:rsid w:val="002F5CEC"/>
    <w:rsid w:val="002F6FA5"/>
    <w:rsid w:val="002F724D"/>
    <w:rsid w:val="002F7C75"/>
    <w:rsid w:val="0030043A"/>
    <w:rsid w:val="00300822"/>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07EC9"/>
    <w:rsid w:val="003108E3"/>
    <w:rsid w:val="00311190"/>
    <w:rsid w:val="0031135A"/>
    <w:rsid w:val="00313D58"/>
    <w:rsid w:val="00313EEC"/>
    <w:rsid w:val="00315624"/>
    <w:rsid w:val="00315BD6"/>
    <w:rsid w:val="00315D7F"/>
    <w:rsid w:val="00315FF2"/>
    <w:rsid w:val="00316385"/>
    <w:rsid w:val="00316C57"/>
    <w:rsid w:val="00316F0F"/>
    <w:rsid w:val="003177E2"/>
    <w:rsid w:val="00320B6A"/>
    <w:rsid w:val="0032289E"/>
    <w:rsid w:val="00322998"/>
    <w:rsid w:val="00322A81"/>
    <w:rsid w:val="00323027"/>
    <w:rsid w:val="0032331E"/>
    <w:rsid w:val="003233BC"/>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3B9"/>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3E9"/>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5C7"/>
    <w:rsid w:val="0036568B"/>
    <w:rsid w:val="00365C9E"/>
    <w:rsid w:val="00365D63"/>
    <w:rsid w:val="00365DC9"/>
    <w:rsid w:val="00365DE2"/>
    <w:rsid w:val="0036639F"/>
    <w:rsid w:val="003668A5"/>
    <w:rsid w:val="003675CC"/>
    <w:rsid w:val="003679C6"/>
    <w:rsid w:val="00370E4A"/>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0C22"/>
    <w:rsid w:val="003C2534"/>
    <w:rsid w:val="003C26AC"/>
    <w:rsid w:val="003C2A0B"/>
    <w:rsid w:val="003C2EC6"/>
    <w:rsid w:val="003C32FE"/>
    <w:rsid w:val="003C3358"/>
    <w:rsid w:val="003C3511"/>
    <w:rsid w:val="003C3E61"/>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EDD"/>
    <w:rsid w:val="003D6FE1"/>
    <w:rsid w:val="003D7383"/>
    <w:rsid w:val="003D7489"/>
    <w:rsid w:val="003D751C"/>
    <w:rsid w:val="003D7A6A"/>
    <w:rsid w:val="003E000E"/>
    <w:rsid w:val="003E009E"/>
    <w:rsid w:val="003E0ABC"/>
    <w:rsid w:val="003E20EB"/>
    <w:rsid w:val="003E2333"/>
    <w:rsid w:val="003E248F"/>
    <w:rsid w:val="003E26E6"/>
    <w:rsid w:val="003E2F13"/>
    <w:rsid w:val="003E31EE"/>
    <w:rsid w:val="003E351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84F"/>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757"/>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B12"/>
    <w:rsid w:val="00420DB1"/>
    <w:rsid w:val="0042151A"/>
    <w:rsid w:val="00421D2C"/>
    <w:rsid w:val="0042232C"/>
    <w:rsid w:val="0042545B"/>
    <w:rsid w:val="00425C95"/>
    <w:rsid w:val="00425E72"/>
    <w:rsid w:val="00425E85"/>
    <w:rsid w:val="0042649D"/>
    <w:rsid w:val="00426862"/>
    <w:rsid w:val="00426CE7"/>
    <w:rsid w:val="00426D50"/>
    <w:rsid w:val="00427402"/>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5B0"/>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589"/>
    <w:rsid w:val="00490E40"/>
    <w:rsid w:val="00491199"/>
    <w:rsid w:val="004919A3"/>
    <w:rsid w:val="00491D1E"/>
    <w:rsid w:val="00492D47"/>
    <w:rsid w:val="004930AA"/>
    <w:rsid w:val="004939B6"/>
    <w:rsid w:val="00493AE1"/>
    <w:rsid w:val="00493CBE"/>
    <w:rsid w:val="004945A4"/>
    <w:rsid w:val="00494652"/>
    <w:rsid w:val="00494C49"/>
    <w:rsid w:val="00495214"/>
    <w:rsid w:val="004955D7"/>
    <w:rsid w:val="0049574B"/>
    <w:rsid w:val="004961C5"/>
    <w:rsid w:val="004965B9"/>
    <w:rsid w:val="00497103"/>
    <w:rsid w:val="0049732E"/>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F65"/>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18E"/>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9DF"/>
    <w:rsid w:val="00501D89"/>
    <w:rsid w:val="0050204B"/>
    <w:rsid w:val="0050240C"/>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6EB"/>
    <w:rsid w:val="00510973"/>
    <w:rsid w:val="00510A6C"/>
    <w:rsid w:val="00510D89"/>
    <w:rsid w:val="00511F6D"/>
    <w:rsid w:val="005130A4"/>
    <w:rsid w:val="0051326F"/>
    <w:rsid w:val="00513BCD"/>
    <w:rsid w:val="00513F33"/>
    <w:rsid w:val="005147FC"/>
    <w:rsid w:val="00514DD2"/>
    <w:rsid w:val="005158BE"/>
    <w:rsid w:val="00515C82"/>
    <w:rsid w:val="00516835"/>
    <w:rsid w:val="00516880"/>
    <w:rsid w:val="00516DBF"/>
    <w:rsid w:val="00516FB8"/>
    <w:rsid w:val="00517613"/>
    <w:rsid w:val="0052031E"/>
    <w:rsid w:val="00520B9E"/>
    <w:rsid w:val="00520C3B"/>
    <w:rsid w:val="00520C4B"/>
    <w:rsid w:val="0052156D"/>
    <w:rsid w:val="00521A4E"/>
    <w:rsid w:val="00522475"/>
    <w:rsid w:val="005227A0"/>
    <w:rsid w:val="0052289F"/>
    <w:rsid w:val="00522B96"/>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2F5B"/>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035"/>
    <w:rsid w:val="00551B42"/>
    <w:rsid w:val="00551DB7"/>
    <w:rsid w:val="00553469"/>
    <w:rsid w:val="00554AAD"/>
    <w:rsid w:val="005554C5"/>
    <w:rsid w:val="005556CA"/>
    <w:rsid w:val="005559D1"/>
    <w:rsid w:val="00555CE4"/>
    <w:rsid w:val="00555D63"/>
    <w:rsid w:val="00555E7D"/>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33D"/>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6ED8"/>
    <w:rsid w:val="005C7994"/>
    <w:rsid w:val="005C7A15"/>
    <w:rsid w:val="005D00DB"/>
    <w:rsid w:val="005D07D2"/>
    <w:rsid w:val="005D0F46"/>
    <w:rsid w:val="005D14F8"/>
    <w:rsid w:val="005D1BB8"/>
    <w:rsid w:val="005D2577"/>
    <w:rsid w:val="005D25B7"/>
    <w:rsid w:val="005D293C"/>
    <w:rsid w:val="005D30B8"/>
    <w:rsid w:val="005D360E"/>
    <w:rsid w:val="005D48FE"/>
    <w:rsid w:val="005D4DA2"/>
    <w:rsid w:val="005D5DA2"/>
    <w:rsid w:val="005D5EAC"/>
    <w:rsid w:val="005D66B0"/>
    <w:rsid w:val="005D6BA1"/>
    <w:rsid w:val="005D6C63"/>
    <w:rsid w:val="005D6E99"/>
    <w:rsid w:val="005D7598"/>
    <w:rsid w:val="005E009F"/>
    <w:rsid w:val="005E062A"/>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19"/>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9B1"/>
    <w:rsid w:val="006229F2"/>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5DE9"/>
    <w:rsid w:val="006662AD"/>
    <w:rsid w:val="006668CA"/>
    <w:rsid w:val="0066760C"/>
    <w:rsid w:val="00667ABB"/>
    <w:rsid w:val="00670033"/>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856"/>
    <w:rsid w:val="00684959"/>
    <w:rsid w:val="00684DEA"/>
    <w:rsid w:val="006854F2"/>
    <w:rsid w:val="0068565C"/>
    <w:rsid w:val="0068620A"/>
    <w:rsid w:val="006862BE"/>
    <w:rsid w:val="00686E12"/>
    <w:rsid w:val="00690E56"/>
    <w:rsid w:val="00691B4D"/>
    <w:rsid w:val="0069249C"/>
    <w:rsid w:val="00692613"/>
    <w:rsid w:val="0069335D"/>
    <w:rsid w:val="00694C3C"/>
    <w:rsid w:val="00697E8B"/>
    <w:rsid w:val="00697F31"/>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7DE"/>
    <w:rsid w:val="006B18F5"/>
    <w:rsid w:val="006B1A63"/>
    <w:rsid w:val="006B2A03"/>
    <w:rsid w:val="006B2ABD"/>
    <w:rsid w:val="006B2E94"/>
    <w:rsid w:val="006B3858"/>
    <w:rsid w:val="006B5363"/>
    <w:rsid w:val="006B56D9"/>
    <w:rsid w:val="006B657B"/>
    <w:rsid w:val="006B709C"/>
    <w:rsid w:val="006B7850"/>
    <w:rsid w:val="006C01B3"/>
    <w:rsid w:val="006C0671"/>
    <w:rsid w:val="006C067D"/>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FAE"/>
    <w:rsid w:val="006C6452"/>
    <w:rsid w:val="006C69D4"/>
    <w:rsid w:val="006C7199"/>
    <w:rsid w:val="006C7422"/>
    <w:rsid w:val="006D0087"/>
    <w:rsid w:val="006D04D2"/>
    <w:rsid w:val="006D167F"/>
    <w:rsid w:val="006D176D"/>
    <w:rsid w:val="006D280F"/>
    <w:rsid w:val="006D383A"/>
    <w:rsid w:val="006D4161"/>
    <w:rsid w:val="006D476A"/>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674"/>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9BF"/>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47F1"/>
    <w:rsid w:val="00754B71"/>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BE8"/>
    <w:rsid w:val="00777DAD"/>
    <w:rsid w:val="00780097"/>
    <w:rsid w:val="007809A9"/>
    <w:rsid w:val="00780D40"/>
    <w:rsid w:val="00781125"/>
    <w:rsid w:val="00781F3B"/>
    <w:rsid w:val="007824AB"/>
    <w:rsid w:val="007824E3"/>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66F"/>
    <w:rsid w:val="007A1E36"/>
    <w:rsid w:val="007A2FCF"/>
    <w:rsid w:val="007A3DF5"/>
    <w:rsid w:val="007A3EF4"/>
    <w:rsid w:val="007A3F08"/>
    <w:rsid w:val="007A4DFA"/>
    <w:rsid w:val="007A4EBD"/>
    <w:rsid w:val="007A521B"/>
    <w:rsid w:val="007A54C1"/>
    <w:rsid w:val="007A582C"/>
    <w:rsid w:val="007A70F6"/>
    <w:rsid w:val="007A711B"/>
    <w:rsid w:val="007A75A0"/>
    <w:rsid w:val="007A76A0"/>
    <w:rsid w:val="007A7E74"/>
    <w:rsid w:val="007A7F2A"/>
    <w:rsid w:val="007B0184"/>
    <w:rsid w:val="007B06A5"/>
    <w:rsid w:val="007B0A01"/>
    <w:rsid w:val="007B0C46"/>
    <w:rsid w:val="007B112B"/>
    <w:rsid w:val="007B1D44"/>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A37"/>
    <w:rsid w:val="007D7E03"/>
    <w:rsid w:val="007D7EB3"/>
    <w:rsid w:val="007E01DB"/>
    <w:rsid w:val="007E10DE"/>
    <w:rsid w:val="007E19A6"/>
    <w:rsid w:val="007E2820"/>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B0D"/>
    <w:rsid w:val="00806D63"/>
    <w:rsid w:val="00807409"/>
    <w:rsid w:val="0080798A"/>
    <w:rsid w:val="008102AD"/>
    <w:rsid w:val="00810FB6"/>
    <w:rsid w:val="0081167C"/>
    <w:rsid w:val="00811E96"/>
    <w:rsid w:val="00811EF6"/>
    <w:rsid w:val="0081268F"/>
    <w:rsid w:val="0081297F"/>
    <w:rsid w:val="008148B4"/>
    <w:rsid w:val="0081495F"/>
    <w:rsid w:val="00815EB6"/>
    <w:rsid w:val="0081653B"/>
    <w:rsid w:val="008166A5"/>
    <w:rsid w:val="00816788"/>
    <w:rsid w:val="008168F8"/>
    <w:rsid w:val="00820393"/>
    <w:rsid w:val="008203CF"/>
    <w:rsid w:val="00820603"/>
    <w:rsid w:val="0082350D"/>
    <w:rsid w:val="00823E80"/>
    <w:rsid w:val="00824AA0"/>
    <w:rsid w:val="00825A1B"/>
    <w:rsid w:val="00825AAA"/>
    <w:rsid w:val="0082763E"/>
    <w:rsid w:val="0083171F"/>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898"/>
    <w:rsid w:val="00862BAF"/>
    <w:rsid w:val="00863B4F"/>
    <w:rsid w:val="00864147"/>
    <w:rsid w:val="008642D0"/>
    <w:rsid w:val="0086437F"/>
    <w:rsid w:val="0086613E"/>
    <w:rsid w:val="008676E6"/>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4B7"/>
    <w:rsid w:val="008A6E78"/>
    <w:rsid w:val="008A774D"/>
    <w:rsid w:val="008A78F7"/>
    <w:rsid w:val="008B0887"/>
    <w:rsid w:val="008B1542"/>
    <w:rsid w:val="008B17A0"/>
    <w:rsid w:val="008B1BDB"/>
    <w:rsid w:val="008B1F0F"/>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7ED"/>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6845"/>
    <w:rsid w:val="008F71B1"/>
    <w:rsid w:val="008F71BC"/>
    <w:rsid w:val="008F7246"/>
    <w:rsid w:val="008F7778"/>
    <w:rsid w:val="008F7DE6"/>
    <w:rsid w:val="0090097E"/>
    <w:rsid w:val="009015B2"/>
    <w:rsid w:val="00901881"/>
    <w:rsid w:val="009022AF"/>
    <w:rsid w:val="009037F5"/>
    <w:rsid w:val="009040D4"/>
    <w:rsid w:val="00904723"/>
    <w:rsid w:val="00905461"/>
    <w:rsid w:val="0090565B"/>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17"/>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3E9D"/>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08FC"/>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F53"/>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5B0"/>
    <w:rsid w:val="00977C6D"/>
    <w:rsid w:val="00977F17"/>
    <w:rsid w:val="00980499"/>
    <w:rsid w:val="00980BFA"/>
    <w:rsid w:val="00981469"/>
    <w:rsid w:val="00981AF3"/>
    <w:rsid w:val="00982497"/>
    <w:rsid w:val="00982C61"/>
    <w:rsid w:val="00982CD1"/>
    <w:rsid w:val="00982EEF"/>
    <w:rsid w:val="0098342A"/>
    <w:rsid w:val="00983AE1"/>
    <w:rsid w:val="00983E85"/>
    <w:rsid w:val="009848B7"/>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A0A09"/>
    <w:rsid w:val="009A1489"/>
    <w:rsid w:val="009A245B"/>
    <w:rsid w:val="009A2516"/>
    <w:rsid w:val="009A2FAA"/>
    <w:rsid w:val="009A349F"/>
    <w:rsid w:val="009A3852"/>
    <w:rsid w:val="009A444E"/>
    <w:rsid w:val="009A4788"/>
    <w:rsid w:val="009A4A6E"/>
    <w:rsid w:val="009A5DBB"/>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929"/>
    <w:rsid w:val="009C3C12"/>
    <w:rsid w:val="009C4088"/>
    <w:rsid w:val="009C4C39"/>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3941"/>
    <w:rsid w:val="009D55EE"/>
    <w:rsid w:val="009D5970"/>
    <w:rsid w:val="009D5C32"/>
    <w:rsid w:val="009D73F5"/>
    <w:rsid w:val="009D740A"/>
    <w:rsid w:val="009D7D93"/>
    <w:rsid w:val="009E040E"/>
    <w:rsid w:val="009E10F4"/>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3FCB"/>
    <w:rsid w:val="009F4F93"/>
    <w:rsid w:val="009F556C"/>
    <w:rsid w:val="009F711E"/>
    <w:rsid w:val="009F7F2B"/>
    <w:rsid w:val="00A0001D"/>
    <w:rsid w:val="00A01037"/>
    <w:rsid w:val="00A0119C"/>
    <w:rsid w:val="00A017D4"/>
    <w:rsid w:val="00A01C9C"/>
    <w:rsid w:val="00A01F05"/>
    <w:rsid w:val="00A0272B"/>
    <w:rsid w:val="00A0287D"/>
    <w:rsid w:val="00A03332"/>
    <w:rsid w:val="00A0369C"/>
    <w:rsid w:val="00A03771"/>
    <w:rsid w:val="00A04024"/>
    <w:rsid w:val="00A04595"/>
    <w:rsid w:val="00A0541B"/>
    <w:rsid w:val="00A06208"/>
    <w:rsid w:val="00A0628B"/>
    <w:rsid w:val="00A068D9"/>
    <w:rsid w:val="00A069A9"/>
    <w:rsid w:val="00A06EAB"/>
    <w:rsid w:val="00A06EB9"/>
    <w:rsid w:val="00A1016F"/>
    <w:rsid w:val="00A10443"/>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3CD2"/>
    <w:rsid w:val="00A2405B"/>
    <w:rsid w:val="00A25013"/>
    <w:rsid w:val="00A25467"/>
    <w:rsid w:val="00A25512"/>
    <w:rsid w:val="00A2551C"/>
    <w:rsid w:val="00A25C16"/>
    <w:rsid w:val="00A2617B"/>
    <w:rsid w:val="00A27672"/>
    <w:rsid w:val="00A27E15"/>
    <w:rsid w:val="00A30028"/>
    <w:rsid w:val="00A301EF"/>
    <w:rsid w:val="00A3040F"/>
    <w:rsid w:val="00A3123A"/>
    <w:rsid w:val="00A3168A"/>
    <w:rsid w:val="00A31CD2"/>
    <w:rsid w:val="00A323BA"/>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327"/>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3A"/>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1C"/>
    <w:rsid w:val="00A7228B"/>
    <w:rsid w:val="00A72A7B"/>
    <w:rsid w:val="00A72B75"/>
    <w:rsid w:val="00A73038"/>
    <w:rsid w:val="00A7328F"/>
    <w:rsid w:val="00A737C5"/>
    <w:rsid w:val="00A73F8D"/>
    <w:rsid w:val="00A749FD"/>
    <w:rsid w:val="00A74B8A"/>
    <w:rsid w:val="00A74C77"/>
    <w:rsid w:val="00A74D94"/>
    <w:rsid w:val="00A74DF1"/>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18"/>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F86"/>
    <w:rsid w:val="00AB0541"/>
    <w:rsid w:val="00AB09EE"/>
    <w:rsid w:val="00AB19B4"/>
    <w:rsid w:val="00AB2400"/>
    <w:rsid w:val="00AB25DF"/>
    <w:rsid w:val="00AB5377"/>
    <w:rsid w:val="00AB5B77"/>
    <w:rsid w:val="00AB7D08"/>
    <w:rsid w:val="00AB7F83"/>
    <w:rsid w:val="00AC0B81"/>
    <w:rsid w:val="00AC2300"/>
    <w:rsid w:val="00AC239C"/>
    <w:rsid w:val="00AC3451"/>
    <w:rsid w:val="00AC3506"/>
    <w:rsid w:val="00AC387E"/>
    <w:rsid w:val="00AC4DD2"/>
    <w:rsid w:val="00AC5210"/>
    <w:rsid w:val="00AC5BDF"/>
    <w:rsid w:val="00AC662A"/>
    <w:rsid w:val="00AC6903"/>
    <w:rsid w:val="00AC6B95"/>
    <w:rsid w:val="00AC722F"/>
    <w:rsid w:val="00AC7669"/>
    <w:rsid w:val="00AC79C9"/>
    <w:rsid w:val="00AD0AF6"/>
    <w:rsid w:val="00AD103E"/>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749"/>
    <w:rsid w:val="00AE6B0B"/>
    <w:rsid w:val="00AE71A8"/>
    <w:rsid w:val="00AE74AF"/>
    <w:rsid w:val="00AE74B3"/>
    <w:rsid w:val="00AE7530"/>
    <w:rsid w:val="00AE7678"/>
    <w:rsid w:val="00AF0329"/>
    <w:rsid w:val="00AF0774"/>
    <w:rsid w:val="00AF11B5"/>
    <w:rsid w:val="00AF1D47"/>
    <w:rsid w:val="00AF1F48"/>
    <w:rsid w:val="00AF2612"/>
    <w:rsid w:val="00AF3889"/>
    <w:rsid w:val="00AF39DC"/>
    <w:rsid w:val="00AF3BD3"/>
    <w:rsid w:val="00AF3F13"/>
    <w:rsid w:val="00AF3FE3"/>
    <w:rsid w:val="00AF4A53"/>
    <w:rsid w:val="00AF4F33"/>
    <w:rsid w:val="00AF52DC"/>
    <w:rsid w:val="00AF6305"/>
    <w:rsid w:val="00AF6A68"/>
    <w:rsid w:val="00AF72F9"/>
    <w:rsid w:val="00AF7ED1"/>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1D1"/>
    <w:rsid w:val="00B0644E"/>
    <w:rsid w:val="00B07B37"/>
    <w:rsid w:val="00B1077D"/>
    <w:rsid w:val="00B10841"/>
    <w:rsid w:val="00B10B1F"/>
    <w:rsid w:val="00B11176"/>
    <w:rsid w:val="00B1173B"/>
    <w:rsid w:val="00B123B7"/>
    <w:rsid w:val="00B13CB1"/>
    <w:rsid w:val="00B14BEA"/>
    <w:rsid w:val="00B15975"/>
    <w:rsid w:val="00B16411"/>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401AE"/>
    <w:rsid w:val="00B402BB"/>
    <w:rsid w:val="00B4069E"/>
    <w:rsid w:val="00B414AF"/>
    <w:rsid w:val="00B41708"/>
    <w:rsid w:val="00B42998"/>
    <w:rsid w:val="00B4301A"/>
    <w:rsid w:val="00B438DD"/>
    <w:rsid w:val="00B43B6A"/>
    <w:rsid w:val="00B43FF7"/>
    <w:rsid w:val="00B4438B"/>
    <w:rsid w:val="00B4526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B63"/>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301"/>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3B4B"/>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262"/>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2A3B"/>
    <w:rsid w:val="00C136E4"/>
    <w:rsid w:val="00C141FB"/>
    <w:rsid w:val="00C143BD"/>
    <w:rsid w:val="00C1441B"/>
    <w:rsid w:val="00C14FB5"/>
    <w:rsid w:val="00C151EC"/>
    <w:rsid w:val="00C1544B"/>
    <w:rsid w:val="00C158FE"/>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6C4D"/>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39FD"/>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4FD"/>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C00"/>
    <w:rsid w:val="00CA4D91"/>
    <w:rsid w:val="00CA4F20"/>
    <w:rsid w:val="00CA5908"/>
    <w:rsid w:val="00CA5D21"/>
    <w:rsid w:val="00CA6512"/>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792"/>
    <w:rsid w:val="00D12AD5"/>
    <w:rsid w:val="00D1371E"/>
    <w:rsid w:val="00D138B4"/>
    <w:rsid w:val="00D13D12"/>
    <w:rsid w:val="00D140C2"/>
    <w:rsid w:val="00D149DF"/>
    <w:rsid w:val="00D14E88"/>
    <w:rsid w:val="00D152AA"/>
    <w:rsid w:val="00D15500"/>
    <w:rsid w:val="00D15C15"/>
    <w:rsid w:val="00D15E24"/>
    <w:rsid w:val="00D16725"/>
    <w:rsid w:val="00D16D23"/>
    <w:rsid w:val="00D17643"/>
    <w:rsid w:val="00D17911"/>
    <w:rsid w:val="00D17FB4"/>
    <w:rsid w:val="00D20188"/>
    <w:rsid w:val="00D201E3"/>
    <w:rsid w:val="00D2027A"/>
    <w:rsid w:val="00D20A48"/>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089C"/>
    <w:rsid w:val="00D3182A"/>
    <w:rsid w:val="00D32136"/>
    <w:rsid w:val="00D3222B"/>
    <w:rsid w:val="00D3227D"/>
    <w:rsid w:val="00D330D8"/>
    <w:rsid w:val="00D33197"/>
    <w:rsid w:val="00D33567"/>
    <w:rsid w:val="00D33EEE"/>
    <w:rsid w:val="00D341A7"/>
    <w:rsid w:val="00D34B4B"/>
    <w:rsid w:val="00D35236"/>
    <w:rsid w:val="00D35305"/>
    <w:rsid w:val="00D3579C"/>
    <w:rsid w:val="00D35B2D"/>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0CA7"/>
    <w:rsid w:val="00D721EC"/>
    <w:rsid w:val="00D726CE"/>
    <w:rsid w:val="00D73677"/>
    <w:rsid w:val="00D73943"/>
    <w:rsid w:val="00D74912"/>
    <w:rsid w:val="00D74A6E"/>
    <w:rsid w:val="00D752E2"/>
    <w:rsid w:val="00D75805"/>
    <w:rsid w:val="00D75B50"/>
    <w:rsid w:val="00D75BE2"/>
    <w:rsid w:val="00D76480"/>
    <w:rsid w:val="00D778DB"/>
    <w:rsid w:val="00D779F7"/>
    <w:rsid w:val="00D80478"/>
    <w:rsid w:val="00D80557"/>
    <w:rsid w:val="00D80754"/>
    <w:rsid w:val="00D81F77"/>
    <w:rsid w:val="00D82F54"/>
    <w:rsid w:val="00D83026"/>
    <w:rsid w:val="00D83045"/>
    <w:rsid w:val="00D83354"/>
    <w:rsid w:val="00D844D3"/>
    <w:rsid w:val="00D857E6"/>
    <w:rsid w:val="00D85885"/>
    <w:rsid w:val="00D85F90"/>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9A7"/>
    <w:rsid w:val="00D95B44"/>
    <w:rsid w:val="00D95C20"/>
    <w:rsid w:val="00D961B5"/>
    <w:rsid w:val="00D961C7"/>
    <w:rsid w:val="00D963D2"/>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999"/>
    <w:rsid w:val="00DA7D0B"/>
    <w:rsid w:val="00DB07CA"/>
    <w:rsid w:val="00DB0823"/>
    <w:rsid w:val="00DB0D05"/>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3D20"/>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520"/>
    <w:rsid w:val="00DE261E"/>
    <w:rsid w:val="00DE269D"/>
    <w:rsid w:val="00DE3288"/>
    <w:rsid w:val="00DE3ECA"/>
    <w:rsid w:val="00DE52B7"/>
    <w:rsid w:val="00DE6636"/>
    <w:rsid w:val="00DE6C5F"/>
    <w:rsid w:val="00DE70EA"/>
    <w:rsid w:val="00DF0175"/>
    <w:rsid w:val="00DF0B89"/>
    <w:rsid w:val="00DF0CBD"/>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46C"/>
    <w:rsid w:val="00E049A5"/>
    <w:rsid w:val="00E051FB"/>
    <w:rsid w:val="00E056B0"/>
    <w:rsid w:val="00E05984"/>
    <w:rsid w:val="00E05C27"/>
    <w:rsid w:val="00E063DE"/>
    <w:rsid w:val="00E0671B"/>
    <w:rsid w:val="00E07453"/>
    <w:rsid w:val="00E075B4"/>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F98"/>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6AE1"/>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8E5"/>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234"/>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69"/>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2DA"/>
    <w:rsid w:val="00EE0BC0"/>
    <w:rsid w:val="00EE11C7"/>
    <w:rsid w:val="00EE123E"/>
    <w:rsid w:val="00EE1DF0"/>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273E"/>
    <w:rsid w:val="00EF302F"/>
    <w:rsid w:val="00EF3040"/>
    <w:rsid w:val="00EF3061"/>
    <w:rsid w:val="00EF3B49"/>
    <w:rsid w:val="00EF45CF"/>
    <w:rsid w:val="00EF48F2"/>
    <w:rsid w:val="00EF4B52"/>
    <w:rsid w:val="00EF5517"/>
    <w:rsid w:val="00EF5CDA"/>
    <w:rsid w:val="00EF70BA"/>
    <w:rsid w:val="00EF7EDF"/>
    <w:rsid w:val="00F002A4"/>
    <w:rsid w:val="00F0031B"/>
    <w:rsid w:val="00F005E5"/>
    <w:rsid w:val="00F00B12"/>
    <w:rsid w:val="00F00B5D"/>
    <w:rsid w:val="00F00CF5"/>
    <w:rsid w:val="00F013CB"/>
    <w:rsid w:val="00F018BF"/>
    <w:rsid w:val="00F01B1E"/>
    <w:rsid w:val="00F01BFA"/>
    <w:rsid w:val="00F02214"/>
    <w:rsid w:val="00F02230"/>
    <w:rsid w:val="00F0267C"/>
    <w:rsid w:val="00F02FF5"/>
    <w:rsid w:val="00F03379"/>
    <w:rsid w:val="00F0345E"/>
    <w:rsid w:val="00F03FC4"/>
    <w:rsid w:val="00F04BF2"/>
    <w:rsid w:val="00F05790"/>
    <w:rsid w:val="00F05CF9"/>
    <w:rsid w:val="00F06766"/>
    <w:rsid w:val="00F06960"/>
    <w:rsid w:val="00F06967"/>
    <w:rsid w:val="00F07E52"/>
    <w:rsid w:val="00F105A9"/>
    <w:rsid w:val="00F106E4"/>
    <w:rsid w:val="00F10ECA"/>
    <w:rsid w:val="00F115D6"/>
    <w:rsid w:val="00F1171C"/>
    <w:rsid w:val="00F119FB"/>
    <w:rsid w:val="00F11BF6"/>
    <w:rsid w:val="00F11F70"/>
    <w:rsid w:val="00F12333"/>
    <w:rsid w:val="00F1255D"/>
    <w:rsid w:val="00F12F5F"/>
    <w:rsid w:val="00F145D4"/>
    <w:rsid w:val="00F14AEC"/>
    <w:rsid w:val="00F14ED0"/>
    <w:rsid w:val="00F14EDC"/>
    <w:rsid w:val="00F15BB3"/>
    <w:rsid w:val="00F15F5B"/>
    <w:rsid w:val="00F16210"/>
    <w:rsid w:val="00F164D5"/>
    <w:rsid w:val="00F16B80"/>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C41"/>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23A"/>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5470"/>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42"/>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1BFB"/>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5FE1"/>
    <w:rsid w:val="00FD620D"/>
    <w:rsid w:val="00FD64B8"/>
    <w:rsid w:val="00FD667B"/>
    <w:rsid w:val="00FD7165"/>
    <w:rsid w:val="00FE013B"/>
    <w:rsid w:val="00FE0207"/>
    <w:rsid w:val="00FE0852"/>
    <w:rsid w:val="00FE1303"/>
    <w:rsid w:val="00FE1ABB"/>
    <w:rsid w:val="00FE291B"/>
    <w:rsid w:val="00FE330C"/>
    <w:rsid w:val="00FE3B4E"/>
    <w:rsid w:val="00FE40C1"/>
    <w:rsid w:val="00FE410C"/>
    <w:rsid w:val="00FE546C"/>
    <w:rsid w:val="00FE54AE"/>
    <w:rsid w:val="00FE5671"/>
    <w:rsid w:val="00FE59BB"/>
    <w:rsid w:val="00FE5E25"/>
    <w:rsid w:val="00FE6AE8"/>
    <w:rsid w:val="00FE7022"/>
    <w:rsid w:val="00FE70D5"/>
    <w:rsid w:val="00FE7127"/>
    <w:rsid w:val="00FF041F"/>
    <w:rsid w:val="00FF0C67"/>
    <w:rsid w:val="00FF0E6A"/>
    <w:rsid w:val="00FF0F69"/>
    <w:rsid w:val="00FF1623"/>
    <w:rsid w:val="00FF21EF"/>
    <w:rsid w:val="00FF2A34"/>
    <w:rsid w:val="00FF3C9C"/>
    <w:rsid w:val="00FF4A4D"/>
    <w:rsid w:val="00FF5813"/>
    <w:rsid w:val="00FF5E54"/>
    <w:rsid w:val="00FF5E85"/>
    <w:rsid w:val="00FF63DA"/>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F"/>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text,Footnote Reference_0,Footnote Reference_0_0,Footnote Reference_0_0_0,Footnote Reference_0_0_0_0,Footnote Reference_1,Footnote Reference_2,Footnote Reference_3,Footnote Reference_3_0,Footnote Reference_4,מ,Style"/>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12">
    <w:name w:val="הפניה להערת שוליים1"/>
    <w:semiHidden/>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3">
    <w:name w:val="71ג מקרא+הערות לתרשים/לוח/תמונה Char"/>
    <w:basedOn w:val="71Char2"/>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paragraph" w:customStyle="1" w:styleId="75">
    <w:name w:val="75א אנגלית טקסט רץ"/>
    <w:basedOn w:val="7190"/>
    <w:qFormat/>
    <w:rsid w:val="00AA7F86"/>
    <w:pPr>
      <w:bidi w:val="0"/>
    </w:pPr>
    <w:rPr>
      <w:shd w:val="clear" w:color="auto" w:fill="FFFFFF"/>
    </w:rPr>
  </w:style>
  <w:style w:type="paragraph" w:customStyle="1" w:styleId="75-">
    <w:name w:val="75א - הזחת בולטס"/>
    <w:basedOn w:val="7190"/>
    <w:qFormat/>
    <w:rsid w:val="00AA7F86"/>
    <w:pPr>
      <w:numPr>
        <w:numId w:val="33"/>
      </w:numPr>
      <w:bidi w:val="0"/>
    </w:pPr>
    <w:rPr>
      <w:shd w:val="clear" w:color="auto" w:fill="FFFFFF"/>
    </w:rPr>
  </w:style>
  <w:style w:type="paragraph" w:customStyle="1" w:styleId="75-7">
    <w:name w:val="75א - אנגלית הזחת פיסקה ללא בולטס 7"/>
    <w:basedOn w:val="75"/>
    <w:qFormat/>
    <w:rsid w:val="00AA7F86"/>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yperlink" Target="http://www.mevaker.gov.il"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image" Target="media/image4.jpeg"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header" Target="header7.xml" /><Relationship Id="rId27" Type="http://schemas.openxmlformats.org/officeDocument/2006/relationships/footer" Target="footer7.xml" /><Relationship Id="rId28" Type="http://schemas.openxmlformats.org/officeDocument/2006/relationships/header" Target="header8.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D6FC95-ECFE-40BC-A1C2-026F927D6F86}"/>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331791E-FA10-478E-8374-4B6261675515}">
  <ds:schemaRefs>
    <ds:schemaRef ds:uri="http://schemas.microsoft.com/sharepoint/v3/contenttype/forms"/>
  </ds:schemaRefs>
</ds:datastoreItem>
</file>

<file path=customXml/itemProps4.xml><?xml version="1.0" encoding="utf-8"?>
<ds:datastoreItem xmlns:ds="http://schemas.openxmlformats.org/officeDocument/2006/customXml" ds:itemID="{9D6F315B-2258-4D55-BE4F-1CDD553AE2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45</TotalTime>
  <Pages>12</Pages>
  <Words>2955</Words>
  <Characters>14779</Characters>
  <Application>Microsoft Office Word</Application>
  <DocSecurity>0</DocSecurity>
  <Lines>123</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Comptroller's Annual Audit Report - November 2024 - Foreword</dc:title>
  <dc:creator>newscorpio44</dc:creator>
  <cp:lastModifiedBy>studio er</cp:lastModifiedBy>
  <cp:revision>11</cp:revision>
  <cp:lastPrinted>2025-03-18T09:21:00Z</cp:lastPrinted>
  <dcterms:created xsi:type="dcterms:W3CDTF">2025-04-20T06:32:00Z</dcterms:created>
  <dcterms:modified xsi:type="dcterms:W3CDTF">2025-04-22T10:05:00Z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