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5.3.0 -->
  <w:body>
    <w:bookmarkStart w:id="0" w:name="_Toc349122061"/>
    <w:bookmarkStart w:id="1" w:name="_Toc349136480"/>
    <w:bookmarkStart w:id="2" w:name="_Toc352831083"/>
    <w:bookmarkStart w:id="3" w:name="_Toc354324568"/>
    <w:bookmarkStart w:id="4" w:name="_Toc354661923"/>
    <w:p w:rsidR="00E077B7" w:rsidRPr="00590929" w:rsidP="003323CD" w14:paraId="44EF2C79" w14:textId="4D2D2D5B">
      <w:pPr>
        <w:spacing w:line="240" w:lineRule="exact"/>
        <w:jc w:val="both"/>
        <w:rPr>
          <w:rFonts w:ascii="Tahoma" w:hAnsi="Tahoma" w:cs="Tahoma"/>
          <w:sz w:val="17"/>
          <w:szCs w:val="18"/>
          <w:rtl/>
        </w:rPr>
      </w:pPr>
      <w:r>
        <w:rPr>
          <w:noProof/>
          <w:szCs w:val="18"/>
        </w:rPr>
        <mc:AlternateContent>
          <mc:Choice Requires="wps">
            <w:drawing>
              <wp:anchor distT="0" distB="0" distL="114300" distR="114300" simplePos="0" relativeHeight="251660288" behindDoc="0" locked="0" layoutInCell="1" allowOverlap="1">
                <wp:simplePos x="0" y="0"/>
                <wp:positionH relativeFrom="column">
                  <wp:posOffset>-314079</wp:posOffset>
                </wp:positionH>
                <wp:positionV relativeFrom="paragraph">
                  <wp:posOffset>-2140585</wp:posOffset>
                </wp:positionV>
                <wp:extent cx="6436840" cy="10836533"/>
                <wp:effectExtent l="12700" t="12700" r="15240" b="952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6436840" cy="10836533"/>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6" style="width:506.85pt;height:853.25pt;margin-top:-168.55pt;margin-left:-24.75pt;mso-height-percent:0;mso-height-relative:margin;mso-width-percent:0;mso-width-relative:margin;mso-wrap-distance-bottom:0;mso-wrap-distance-left:9pt;mso-wrap-distance-right:9pt;mso-wrap-distance-top:0;mso-wrap-style:square;position:absolute;visibility:visible;v-text-anchor:middle;z-index:251661312" fillcolor="#00305f" strokecolor="#073662" strokeweight="1.5pt">
                <v:stroke endcap="round"/>
              </v:rect>
            </w:pict>
          </mc:Fallback>
        </mc:AlternateContent>
      </w:r>
      <w:r w:rsidR="00316D38">
        <w:rPr>
          <w:rFonts w:ascii="Tahoma" w:hAnsi="Tahoma" w:cs="Tahoma"/>
          <w:noProof/>
          <w:sz w:val="17"/>
          <w:szCs w:val="18"/>
        </w:rPr>
        <mc:AlternateContent>
          <mc:Choice Requires="wps">
            <w:drawing>
              <wp:anchor distT="0" distB="0" distL="114300" distR="114300" simplePos="0" relativeHeight="251658240" behindDoc="0" locked="0" layoutInCell="1" allowOverlap="1">
                <wp:simplePos x="0" y="0"/>
                <wp:positionH relativeFrom="column">
                  <wp:posOffset>1550035</wp:posOffset>
                </wp:positionH>
                <wp:positionV relativeFrom="paragraph">
                  <wp:posOffset>1248410</wp:posOffset>
                </wp:positionV>
                <wp:extent cx="53975" cy="2734945"/>
                <wp:effectExtent l="0" t="0" r="0" b="0"/>
                <wp:wrapNone/>
                <wp:docPr id="1"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53975" cy="27349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1027" style="width:4.25pt;height:215.35pt;margin-top:98.3pt;margin-left:122.05pt;mso-height-percent:0;mso-height-relative:margin;mso-width-percent:0;mso-width-relative:margin;mso-wrap-distance-bottom:0;mso-wrap-distance-left:9pt;mso-wrap-distance-right:9pt;mso-wrap-distance-top:0;mso-wrap-style:square;position:absolute;visibility:visible;v-text-anchor:middle;z-index:251659264" fillcolor="white" stroked="f" strokeweight="1.5pt">
                <v:stroke endcap="round"/>
              </v:rect>
            </w:pict>
          </mc:Fallback>
        </mc:AlternateContent>
      </w:r>
      <w:r w:rsidR="00316D38">
        <w:rPr>
          <w:rFonts w:ascii="Tahoma" w:hAnsi="Tahoma" w:cs="Tahoma"/>
          <w:sz w:val="17"/>
          <w:szCs w:val="18"/>
          <w:rtl/>
        </w:rPr>
        <w:softHyphen/>
      </w:r>
      <w:r w:rsidR="00316D38">
        <w:rPr>
          <w:rFonts w:ascii="Tahoma" w:hAnsi="Tahoma" w:cs="Tahoma"/>
          <w:sz w:val="17"/>
          <w:szCs w:val="18"/>
          <w:rtl/>
        </w:rPr>
        <w:softHyphen/>
      </w:r>
    </w:p>
    <w:p w:rsidR="006C5F46" w:rsidRPr="00E077B7" w:rsidP="00E077B7" w14:paraId="268A03C9" w14:textId="26E41AEC">
      <w:pPr>
        <w:pStyle w:val="NAME"/>
        <w:rPr>
          <w:rtl/>
        </w:rPr>
        <w:sectPr w:rsidSect="00D05191">
          <w:headerReference w:type="even" r:id="rId7"/>
          <w:headerReference w:type="default" r:id="rId8"/>
          <w:footerReference w:type="even" r:id="rId9"/>
          <w:footerReference w:type="default" r:id="rId10"/>
          <w:headerReference w:type="first" r:id="rId11"/>
          <w:footerReference w:type="first" r:id="rId12"/>
          <w:pgSz w:w="11906" w:h="16838" w:code="9"/>
          <w:pgMar w:top="3119" w:right="2268" w:bottom="2268" w:left="2268" w:header="1985" w:footer="709" w:gutter="0"/>
          <w:pgNumType w:start="1"/>
          <w:cols w:space="708"/>
          <w:titlePg/>
          <w:bidi/>
          <w:rtlGutter/>
          <w:docGrid w:linePitch="360"/>
        </w:sectPr>
      </w:pPr>
      <w:r>
        <w:rPr>
          <w:noProof/>
          <w:sz w:val="22"/>
          <w:szCs w:val="22"/>
          <w:rtl/>
          <w:lang w:val="he-IL"/>
        </w:rPr>
        <mc:AlternateContent>
          <mc:Choice Requires="wps">
            <w:drawing>
              <wp:anchor distT="0" distB="0" distL="114300" distR="114300" simplePos="0" relativeHeight="251664384" behindDoc="0" locked="0" layoutInCell="1" allowOverlap="1">
                <wp:simplePos x="0" y="0"/>
                <wp:positionH relativeFrom="column">
                  <wp:posOffset>1586837</wp:posOffset>
                </wp:positionH>
                <wp:positionV relativeFrom="paragraph">
                  <wp:posOffset>1016635</wp:posOffset>
                </wp:positionV>
                <wp:extent cx="0" cy="3622261"/>
                <wp:effectExtent l="25400" t="25400" r="25400" b="35560"/>
                <wp:wrapNone/>
                <wp:docPr id="1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622261"/>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8" style="mso-height-percent:0;mso-height-relative:margin;mso-width-percent:0;mso-width-relative:margin;mso-wrap-distance-bottom:0;mso-wrap-distance-left:9pt;mso-wrap-distance-right:9pt;mso-wrap-distance-top:0;mso-wrap-style:square;position:absolute;visibility:visible;z-index:251665408" from="124.95pt,80.05pt" to="124.95pt,365.25pt" strokecolor="white" strokeweight="4pt">
                <v:stroke endcap="round"/>
              </v:line>
            </w:pict>
          </mc:Fallback>
        </mc:AlternateContent>
      </w:r>
      <w:r w:rsidRPr="00E539EA" w:rsidR="00191BA6">
        <w:rPr>
          <w:noProof/>
          <w:sz w:val="17"/>
          <w:szCs w:val="18"/>
        </w:rPr>
        <mc:AlternateContent>
          <mc:Choice Requires="wps">
            <w:drawing>
              <wp:anchor distT="0" distB="0" distL="114300" distR="114300" simplePos="0" relativeHeight="251669504" behindDoc="0" locked="0" layoutInCell="1" allowOverlap="1">
                <wp:simplePos x="0" y="0"/>
                <wp:positionH relativeFrom="column">
                  <wp:posOffset>1767205</wp:posOffset>
                </wp:positionH>
                <wp:positionV relativeFrom="paragraph">
                  <wp:posOffset>2602865</wp:posOffset>
                </wp:positionV>
                <wp:extent cx="3153410" cy="2560320"/>
                <wp:effectExtent l="0" t="0" r="0" b="0"/>
                <wp:wrapNone/>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53410" cy="2560320"/>
                        </a:xfrm>
                        <a:prstGeom prst="rect">
                          <a:avLst/>
                        </a:prstGeom>
                        <a:noFill/>
                        <a:ln w="9525">
                          <a:noFill/>
                          <a:miter lim="800000"/>
                          <a:headEnd/>
                          <a:tailEnd/>
                        </a:ln>
                      </wps:spPr>
                      <wps:txbx>
                        <w:txbxContent>
                          <w:p w:rsidR="00355057" w:rsidRPr="00DA6ED5" w:rsidP="00355057" w14:textId="6884C6EA">
                            <w:pPr>
                              <w:bidi w:val="0"/>
                              <w:spacing w:after="0" w:line="240" w:lineRule="auto"/>
                              <w:rPr>
                                <w:rFonts w:asciiTheme="majorBidi" w:hAnsiTheme="majorBidi" w:cstheme="majorBidi"/>
                                <w:b/>
                                <w:bCs/>
                                <w:sz w:val="28"/>
                                <w:szCs w:val="28"/>
                                <w:rtl/>
                              </w:rPr>
                            </w:pPr>
                            <w:r w:rsidRPr="00DA6ED5">
                              <w:rPr>
                                <w:rFonts w:ascii="Tahoma" w:hAnsi="Tahoma" w:cs="Tahoma"/>
                                <w:b/>
                                <w:bCs/>
                                <w:color w:val="FFFFFF" w:themeColor="background1"/>
                                <w:spacing w:val="6"/>
                                <w:sz w:val="40"/>
                                <w:szCs w:val="40"/>
                              </w:rPr>
                              <w:t>Activity of the Ministry for Regional Cooperation</w:t>
                            </w:r>
                          </w:p>
                          <w:p w:rsidR="00E16003" w:rsidRPr="00950E0A" w:rsidP="00E16003" w14:textId="7DF0ECB1">
                            <w:pPr>
                              <w:bidi w:val="0"/>
                              <w:spacing w:after="0" w:line="600" w:lineRule="exact"/>
                              <w:rPr>
                                <w:rFonts w:asciiTheme="majorBidi" w:hAnsiTheme="majorBidi" w:cstheme="majorBidi"/>
                                <w:b/>
                                <w:bCs/>
                                <w:sz w:val="28"/>
                                <w:szCs w:val="28"/>
                                <w:rtl/>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width:248.3pt;height:201.6pt;margin-top:204.95pt;margin-left:139.15pt;mso-height-percent:0;mso-height-relative:margin;mso-width-percent:0;mso-width-relative:margin;mso-wrap-distance-bottom:0;mso-wrap-distance-left:9pt;mso-wrap-distance-right:9pt;mso-wrap-distance-top:0;mso-wrap-style:square;position:absolute;visibility:visible;v-text-anchor:top;z-index:251670528" filled="f" stroked="f">
                <v:textbox>
                  <w:txbxContent>
                    <w:p w:rsidR="00355057" w:rsidRPr="00DA6ED5" w:rsidP="00355057" w14:paraId="59184F06" w14:textId="6884C6EA">
                      <w:pPr>
                        <w:bidi w:val="0"/>
                        <w:spacing w:after="0" w:line="240" w:lineRule="auto"/>
                        <w:rPr>
                          <w:rFonts w:asciiTheme="majorBidi" w:hAnsiTheme="majorBidi" w:cstheme="majorBidi"/>
                          <w:b/>
                          <w:bCs/>
                          <w:sz w:val="28"/>
                          <w:szCs w:val="28"/>
                          <w:rtl/>
                        </w:rPr>
                      </w:pPr>
                      <w:r w:rsidRPr="00DA6ED5">
                        <w:rPr>
                          <w:rFonts w:ascii="Tahoma" w:hAnsi="Tahoma" w:cs="Tahoma"/>
                          <w:b/>
                          <w:bCs/>
                          <w:color w:val="FFFFFF" w:themeColor="background1"/>
                          <w:spacing w:val="6"/>
                          <w:sz w:val="40"/>
                          <w:szCs w:val="40"/>
                        </w:rPr>
                        <w:t>Activity of the Ministry for Regional Cooperation</w:t>
                      </w:r>
                    </w:p>
                    <w:p w:rsidR="00E16003" w:rsidRPr="00950E0A" w:rsidP="00E16003" w14:paraId="28E63122" w14:textId="7DF0ECB1">
                      <w:pPr>
                        <w:bidi w:val="0"/>
                        <w:spacing w:after="0" w:line="600" w:lineRule="exact"/>
                        <w:rPr>
                          <w:rFonts w:asciiTheme="majorBidi" w:hAnsiTheme="majorBidi" w:cstheme="majorBidi"/>
                          <w:b/>
                          <w:bCs/>
                          <w:sz w:val="28"/>
                          <w:szCs w:val="28"/>
                          <w:rtl/>
                        </w:rPr>
                      </w:pPr>
                    </w:p>
                  </w:txbxContent>
                </v:textbox>
              </v:shape>
            </w:pict>
          </mc:Fallback>
        </mc:AlternateContent>
      </w:r>
      <w:r w:rsidRPr="00E539EA" w:rsidR="00191BA6">
        <w:rPr>
          <w:noProof/>
          <w:sz w:val="17"/>
          <w:szCs w:val="18"/>
        </w:rPr>
        <mc:AlternateContent>
          <mc:Choice Requires="wps">
            <w:drawing>
              <wp:anchor distT="0" distB="0" distL="114300" distR="114300" simplePos="0" relativeHeight="251667456" behindDoc="0" locked="0" layoutInCell="1" allowOverlap="1">
                <wp:simplePos x="0" y="0"/>
                <wp:positionH relativeFrom="column">
                  <wp:posOffset>1775460</wp:posOffset>
                </wp:positionH>
                <wp:positionV relativeFrom="paragraph">
                  <wp:posOffset>2166620</wp:posOffset>
                </wp:positionV>
                <wp:extent cx="3226435" cy="317500"/>
                <wp:effectExtent l="0" t="0" r="0" b="0"/>
                <wp:wrapNone/>
                <wp:docPr id="1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6435" cy="317500"/>
                        </a:xfrm>
                        <a:prstGeom prst="rect">
                          <a:avLst/>
                        </a:prstGeom>
                        <a:noFill/>
                        <a:ln w="9525">
                          <a:noFill/>
                          <a:miter lim="800000"/>
                          <a:headEnd/>
                          <a:tailEnd/>
                        </a:ln>
                      </wps:spPr>
                      <wps:txbx>
                        <w:txbxContent>
                          <w:p w:rsidR="00E16003" w:rsidRPr="00463924" w:rsidP="004736B8" w14:textId="7AB37928">
                            <w:pPr>
                              <w:bidi w:val="0"/>
                              <w:spacing w:line="276" w:lineRule="auto"/>
                              <w:rPr>
                                <w:rFonts w:ascii="Tahoma" w:hAnsi="Tahoma" w:cs="Tahoma"/>
                                <w:color w:val="FFFFFF" w:themeColor="background1"/>
                                <w:spacing w:val="6"/>
                                <w:sz w:val="28"/>
                                <w:szCs w:val="28"/>
                                <w:rtl/>
                                <w:lang w:val="en"/>
                              </w:rPr>
                            </w:pPr>
                            <w:r w:rsidRPr="00DA6ED5">
                              <w:rPr>
                                <w:rFonts w:ascii="Tahoma" w:hAnsi="Tahoma" w:cs="Tahoma"/>
                                <w:color w:val="FFFFFF" w:themeColor="background1"/>
                                <w:sz w:val="28"/>
                                <w:szCs w:val="28"/>
                                <w:lang w:val="en"/>
                              </w:rPr>
                              <w:t>The Ministry of Regional Cooperation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254.05pt;height:25pt;margin-top:170.6pt;margin-left:139.8pt;mso-height-percent:0;mso-height-relative:margin;mso-width-percent:0;mso-width-relative:margin;mso-wrap-distance-bottom:0;mso-wrap-distance-left:9pt;mso-wrap-distance-right:9pt;mso-wrap-distance-top:0;mso-wrap-style:square;position:absolute;visibility:visible;v-text-anchor:top;z-index:251668480" filled="f" stroked="f">
                <v:textbox>
                  <w:txbxContent>
                    <w:p w:rsidR="00E16003" w:rsidRPr="00463924" w:rsidP="004736B8" w14:paraId="5EE59732" w14:textId="7AB37928">
                      <w:pPr>
                        <w:bidi w:val="0"/>
                        <w:spacing w:line="276" w:lineRule="auto"/>
                        <w:rPr>
                          <w:rFonts w:ascii="Tahoma" w:hAnsi="Tahoma" w:cs="Tahoma"/>
                          <w:color w:val="FFFFFF" w:themeColor="background1"/>
                          <w:spacing w:val="6"/>
                          <w:sz w:val="28"/>
                          <w:szCs w:val="28"/>
                          <w:rtl/>
                          <w:lang w:val="en"/>
                        </w:rPr>
                      </w:pPr>
                      <w:r w:rsidRPr="00DA6ED5">
                        <w:rPr>
                          <w:rFonts w:ascii="Tahoma" w:hAnsi="Tahoma" w:cs="Tahoma"/>
                          <w:color w:val="FFFFFF" w:themeColor="background1"/>
                          <w:sz w:val="28"/>
                          <w:szCs w:val="28"/>
                          <w:lang w:val="en"/>
                        </w:rPr>
                        <w:t>The Ministry of Regional Cooperation</w:t>
                      </w:r>
                    </w:p>
                  </w:txbxContent>
                </v:textbox>
              </v:shape>
            </w:pict>
          </mc:Fallback>
        </mc:AlternateContent>
      </w:r>
      <w:r w:rsidR="00191BA6">
        <w:rPr>
          <w:noProof/>
          <w:sz w:val="22"/>
          <w:szCs w:val="22"/>
          <w:rtl/>
          <w:lang w:val="he-IL"/>
        </w:rPr>
        <mc:AlternateContent>
          <mc:Choice Requires="wps">
            <w:drawing>
              <wp:anchor distT="0" distB="0" distL="114300" distR="114300" simplePos="0" relativeHeight="251675648" behindDoc="0" locked="0" layoutInCell="1" allowOverlap="1">
                <wp:simplePos x="0" y="0"/>
                <wp:positionH relativeFrom="column">
                  <wp:posOffset>1849755</wp:posOffset>
                </wp:positionH>
                <wp:positionV relativeFrom="paragraph">
                  <wp:posOffset>2554070</wp:posOffset>
                </wp:positionV>
                <wp:extent cx="3074670" cy="0"/>
                <wp:effectExtent l="12700" t="12700" r="24130" b="12700"/>
                <wp:wrapNone/>
                <wp:docPr id="24"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307467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1" style="flip:x y;mso-height-percent:0;mso-height-relative:margin;mso-width-percent:0;mso-width-relative:margin;mso-wrap-distance-bottom:0;mso-wrap-distance-left:9pt;mso-wrap-distance-right:9pt;mso-wrap-distance-top:0;mso-wrap-style:square;position:absolute;visibility:visible;z-index:251676672" from="145.65pt,201.1pt" to="387.75pt,201.1pt" strokecolor="white" strokeweight="1.5pt">
                <v:stroke endcap="round"/>
              </v:line>
            </w:pict>
          </mc:Fallback>
        </mc:AlternateContent>
      </w:r>
      <w:r w:rsidRPr="00E539EA" w:rsidR="00191BA6">
        <w:rPr>
          <w:noProof/>
          <w:sz w:val="17"/>
          <w:szCs w:val="18"/>
        </w:rPr>
        <mc:AlternateContent>
          <mc:Choice Requires="wps">
            <w:drawing>
              <wp:anchor distT="0" distB="0" distL="114300" distR="114300" simplePos="0" relativeHeight="251671552" behindDoc="0" locked="0" layoutInCell="1" allowOverlap="1">
                <wp:simplePos x="0" y="0"/>
                <wp:positionH relativeFrom="column">
                  <wp:posOffset>1774658</wp:posOffset>
                </wp:positionH>
                <wp:positionV relativeFrom="paragraph">
                  <wp:posOffset>1371434</wp:posOffset>
                </wp:positionV>
                <wp:extent cx="3226435" cy="231006"/>
                <wp:effectExtent l="0" t="0" r="0" b="0"/>
                <wp:wrapNone/>
                <wp:docPr id="30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6435" cy="231006"/>
                        </a:xfrm>
                        <a:prstGeom prst="rect">
                          <a:avLst/>
                        </a:prstGeom>
                        <a:noFill/>
                        <a:ln w="9525">
                          <a:noFill/>
                          <a:miter lim="800000"/>
                          <a:headEnd/>
                          <a:tailEnd/>
                        </a:ln>
                      </wps:spPr>
                      <wps:txbx>
                        <w:txbxContent>
                          <w:p w:rsidR="00E16003" w:rsidRPr="00CE2FA5" w:rsidP="00D546FF" w14:textId="2FE7F268">
                            <w:pPr>
                              <w:bidi w:val="0"/>
                              <w:rPr>
                                <w:rFonts w:ascii="Tahoma" w:hAnsi="Tahoma" w:cs="Tahoma"/>
                                <w:color w:val="FFFFFF" w:themeColor="background1"/>
                                <w:spacing w:val="6"/>
                                <w:sz w:val="17"/>
                                <w:szCs w:val="17"/>
                              </w:rPr>
                            </w:pPr>
                            <w:r w:rsidRPr="00DB54AF">
                              <w:rPr>
                                <w:rFonts w:ascii="Tahoma" w:hAnsi="Tahoma" w:cs="Tahoma"/>
                                <w:color w:val="FFFFFF" w:themeColor="background1"/>
                                <w:spacing w:val="6"/>
                                <w:sz w:val="17"/>
                                <w:szCs w:val="17"/>
                              </w:rPr>
                              <w:t>Report of the State Comptroller of Israel</w:t>
                            </w:r>
                            <w:r w:rsidR="00627F7E">
                              <w:rPr>
                                <w:rFonts w:ascii="Tahoma" w:hAnsi="Tahoma" w:cs="Tahoma" w:hint="cs"/>
                                <w:color w:val="FFFFFF" w:themeColor="background1"/>
                                <w:spacing w:val="6"/>
                                <w:sz w:val="17"/>
                                <w:szCs w:val="17"/>
                                <w:rtl/>
                              </w:rPr>
                              <w:t xml:space="preserve"> </w:t>
                            </w:r>
                            <w:r w:rsidRPr="00DB54AF">
                              <w:rPr>
                                <w:rFonts w:ascii="Tahoma" w:hAnsi="Tahoma" w:cs="Tahoma"/>
                                <w:color w:val="FFFFFF" w:themeColor="background1"/>
                                <w:spacing w:val="6"/>
                                <w:sz w:val="17"/>
                                <w:szCs w:val="17"/>
                              </w:rPr>
                              <w:t>| November 2024</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254.05pt;height:18.2pt;margin-top:108pt;margin-left:139.75pt;mso-height-percent:0;mso-height-relative:margin;mso-width-percent:0;mso-width-relative:margin;mso-wrap-distance-bottom:0;mso-wrap-distance-left:9pt;mso-wrap-distance-right:9pt;mso-wrap-distance-top:0;mso-wrap-style:square;position:absolute;visibility:visible;v-text-anchor:top;z-index:251672576" filled="f" stroked="f">
                <v:textbox>
                  <w:txbxContent>
                    <w:p w:rsidR="00E16003" w:rsidRPr="00CE2FA5" w:rsidP="00D546FF" w14:paraId="5156A4BB" w14:textId="2FE7F268">
                      <w:pPr>
                        <w:bidi w:val="0"/>
                        <w:rPr>
                          <w:rFonts w:ascii="Tahoma" w:hAnsi="Tahoma" w:cs="Tahoma"/>
                          <w:color w:val="FFFFFF" w:themeColor="background1"/>
                          <w:spacing w:val="6"/>
                          <w:sz w:val="17"/>
                          <w:szCs w:val="17"/>
                        </w:rPr>
                      </w:pPr>
                      <w:r w:rsidRPr="00DB54AF">
                        <w:rPr>
                          <w:rFonts w:ascii="Tahoma" w:hAnsi="Tahoma" w:cs="Tahoma"/>
                          <w:color w:val="FFFFFF" w:themeColor="background1"/>
                          <w:spacing w:val="6"/>
                          <w:sz w:val="17"/>
                          <w:szCs w:val="17"/>
                        </w:rPr>
                        <w:t>Report of the State Comptroller of Israel</w:t>
                      </w:r>
                      <w:r w:rsidR="00627F7E">
                        <w:rPr>
                          <w:rFonts w:ascii="Tahoma" w:hAnsi="Tahoma" w:cs="Tahoma" w:hint="cs"/>
                          <w:color w:val="FFFFFF" w:themeColor="background1"/>
                          <w:spacing w:val="6"/>
                          <w:sz w:val="17"/>
                          <w:szCs w:val="17"/>
                          <w:rtl/>
                        </w:rPr>
                        <w:t xml:space="preserve"> </w:t>
                      </w:r>
                      <w:r w:rsidRPr="00DB54AF">
                        <w:rPr>
                          <w:rFonts w:ascii="Tahoma" w:hAnsi="Tahoma" w:cs="Tahoma"/>
                          <w:color w:val="FFFFFF" w:themeColor="background1"/>
                          <w:spacing w:val="6"/>
                          <w:sz w:val="17"/>
                          <w:szCs w:val="17"/>
                        </w:rPr>
                        <w:t>| November 2024</w:t>
                      </w:r>
                    </w:p>
                  </w:txbxContent>
                </v:textbox>
              </v:shape>
            </w:pict>
          </mc:Fallback>
        </mc:AlternateContent>
      </w:r>
      <w:r w:rsidR="00B650F8">
        <w:rPr>
          <w:noProof/>
          <w:sz w:val="22"/>
          <w:szCs w:val="22"/>
          <w:rtl/>
          <w:lang w:val="he-IL"/>
        </w:rPr>
        <w:drawing>
          <wp:anchor distT="0" distB="0" distL="114300" distR="114300" simplePos="0" relativeHeight="251666432" behindDoc="0" locked="0" layoutInCell="1" allowOverlap="1">
            <wp:simplePos x="0" y="0"/>
            <wp:positionH relativeFrom="column">
              <wp:posOffset>471805</wp:posOffset>
            </wp:positionH>
            <wp:positionV relativeFrom="paragraph">
              <wp:posOffset>1159510</wp:posOffset>
            </wp:positionV>
            <wp:extent cx="1010285" cy="707390"/>
            <wp:effectExtent l="0" t="0" r="0" b="0"/>
            <wp:wrapSquare wrapText="bothSides"/>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Pr>
          <w:noProof/>
          <w:sz w:val="22"/>
          <w:szCs w:val="22"/>
          <w:rtl/>
          <w:lang w:val="he-IL"/>
        </w:rPr>
        <mc:AlternateContent>
          <mc:Choice Requires="wps">
            <w:drawing>
              <wp:anchor distT="0" distB="0" distL="114300" distR="114300" simplePos="0" relativeHeight="251662336" behindDoc="0" locked="0" layoutInCell="1" allowOverlap="1">
                <wp:simplePos x="0" y="0"/>
                <wp:positionH relativeFrom="column">
                  <wp:posOffset>8342613</wp:posOffset>
                </wp:positionH>
                <wp:positionV relativeFrom="paragraph">
                  <wp:posOffset>748665</wp:posOffset>
                </wp:positionV>
                <wp:extent cx="0" cy="3448050"/>
                <wp:effectExtent l="25400" t="25400" r="25400" b="31750"/>
                <wp:wrapNone/>
                <wp:docPr id="13"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44805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33" style="mso-height-percent:0;mso-height-relative:margin;mso-wrap-distance-bottom:0;mso-wrap-distance-left:9pt;mso-wrap-distance-right:9pt;mso-wrap-distance-top:0;mso-wrap-style:square;position:absolute;visibility:visible;z-index:251663360" from="656.9pt,58.95pt" to="656.9pt,330.45pt" strokecolor="white" strokeweight="4pt">
                <v:stroke endcap="round"/>
              </v:line>
            </w:pict>
          </mc:Fallback>
        </mc:AlternateContent>
      </w:r>
    </w:p>
    <w:p w:rsidR="00F1368B" w:rsidRPr="00590929" w:rsidP="003323CD" w14:paraId="17C00A18" w14:textId="77777777">
      <w:pPr>
        <w:spacing w:line="240" w:lineRule="exact"/>
        <w:jc w:val="both"/>
        <w:rPr>
          <w:rFonts w:ascii="Tahoma" w:hAnsi="Tahoma" w:cs="Tahoma"/>
          <w:sz w:val="17"/>
          <w:szCs w:val="18"/>
          <w:rtl/>
        </w:rPr>
      </w:pPr>
    </w:p>
    <w:p w:rsidR="00327FBF" w:rsidRPr="0010599F" w:rsidP="003323CD" w14:paraId="3D4FE68D" w14:textId="77777777">
      <w:pPr>
        <w:spacing w:line="240" w:lineRule="exact"/>
        <w:jc w:val="both"/>
        <w:rPr>
          <w:rFonts w:ascii="Tahoma" w:hAnsi="Tahoma" w:cs="Tahoma"/>
          <w:sz w:val="17"/>
          <w:szCs w:val="17"/>
          <w:rtl/>
        </w:rPr>
        <w:sectPr w:rsidSect="00D05191">
          <w:headerReference w:type="even" r:id="rId14"/>
          <w:headerReference w:type="default" r:id="rId15"/>
          <w:headerReference w:type="first" r:id="rId16"/>
          <w:pgSz w:w="11906" w:h="16838" w:code="9"/>
          <w:pgMar w:top="3119" w:right="2268" w:bottom="2268" w:left="2268" w:header="1871" w:footer="709" w:gutter="0"/>
          <w:pgNumType w:start="2"/>
          <w:cols w:space="708"/>
          <w:titlePg/>
          <w:bidi/>
          <w:rtlGutter/>
          <w:docGrid w:linePitch="360"/>
        </w:sectPr>
      </w:pPr>
    </w:p>
    <w:bookmarkEnd w:id="0"/>
    <w:bookmarkEnd w:id="1"/>
    <w:bookmarkEnd w:id="2"/>
    <w:bookmarkEnd w:id="3"/>
    <w:bookmarkEnd w:id="4"/>
    <w:p w:rsidR="001D65CE" w:rsidRPr="00F052AC" w:rsidP="00191BA6" w14:paraId="647EBF7B" w14:textId="1068FD7E">
      <w:pPr>
        <w:pStyle w:val="7120"/>
        <w:bidi w:val="0"/>
        <w:spacing w:before="0" w:after="960"/>
        <w:ind w:right="-142"/>
        <w:rPr>
          <w:rFonts w:eastAsiaTheme="majorEastAsia"/>
          <w:sz w:val="34"/>
          <w:rtl/>
        </w:rPr>
      </w:pPr>
      <w:r>
        <w:rPr>
          <w:rFonts w:eastAsiaTheme="majorEastAsia" w:hint="cs"/>
          <w:noProof/>
          <w:sz w:val="34"/>
        </w:rPr>
        <mc:AlternateContent>
          <mc:Choice Requires="wps">
            <w:drawing>
              <wp:anchor distT="0" distB="0" distL="114300" distR="114300" simplePos="0" relativeHeight="251677696" behindDoc="0" locked="0" layoutInCell="1" allowOverlap="1">
                <wp:simplePos x="0" y="0"/>
                <wp:positionH relativeFrom="column">
                  <wp:posOffset>5069205</wp:posOffset>
                </wp:positionH>
                <wp:positionV relativeFrom="paragraph">
                  <wp:posOffset>199256</wp:posOffset>
                </wp:positionV>
                <wp:extent cx="192405" cy="6086475"/>
                <wp:effectExtent l="0" t="0" r="0" b="0"/>
                <wp:wrapNone/>
                <wp:docPr id="31" name="מלבן 31"/>
                <wp:cNvGraphicFramePr/>
                <a:graphic xmlns:a="http://schemas.openxmlformats.org/drawingml/2006/main">
                  <a:graphicData uri="http://schemas.microsoft.com/office/word/2010/wordprocessingShape">
                    <wps:wsp xmlns:wps="http://schemas.microsoft.com/office/word/2010/wordprocessingShape">
                      <wps:cNvSpPr/>
                      <wps:spPr>
                        <a:xfrm>
                          <a:off x="0" y="0"/>
                          <a:ext cx="192405" cy="6086475"/>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31" o:spid="_x0000_s1034" style="width:15.15pt;height:479.25pt;margin-top:15.7pt;margin-left:399.15pt;mso-height-percent:0;mso-height-relative:margin;mso-width-percent:0;mso-width-relative:margin;mso-wrap-distance-bottom:0;mso-wrap-distance-left:9pt;mso-wrap-distance-right:9pt;mso-wrap-distance-top:0;mso-wrap-style:square;position:absolute;visibility:visible;v-text-anchor:middle;z-index:251678720" fillcolor="#00305f" stroked="f" strokeweight="1.5pt">
                <v:stroke endcap="round"/>
              </v:rect>
            </w:pict>
          </mc:Fallback>
        </mc:AlternateContent>
      </w:r>
      <w:r w:rsidRPr="00DA6ED5" w:rsidR="00DA6ED5">
        <w:rPr>
          <w:rFonts w:eastAsiaTheme="majorEastAsia"/>
          <w:noProof/>
          <w:sz w:val="34"/>
        </w:rPr>
        <w:t>Activity of the Ministry for Regional Cooperation</w:t>
      </w:r>
    </w:p>
    <w:p w:rsidR="00605DF2" w:rsidP="00BB1479" w14:paraId="55A1FDE5" w14:textId="335E4CD7">
      <w:pPr>
        <w:bidi w:val="0"/>
        <w:spacing w:before="360" w:after="24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rPr>
        <w:drawing>
          <wp:inline distT="0" distB="0" distL="0" distR="0">
            <wp:extent cx="1335027" cy="320919"/>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35027" cy="320919"/>
                    </a:xfrm>
                    <a:prstGeom prst="rect">
                      <a:avLst/>
                    </a:prstGeom>
                  </pic:spPr>
                </pic:pic>
              </a:graphicData>
            </a:graphic>
          </wp:inline>
        </w:drawing>
      </w:r>
    </w:p>
    <w:p w:rsidR="00996051" w:rsidRPr="00512299" w:rsidP="00996051" w14:paraId="1254047A" w14:textId="77777777">
      <w:pPr>
        <w:pStyle w:val="719"/>
        <w:bidi w:val="0"/>
        <w:rPr>
          <w:rtl/>
        </w:rPr>
      </w:pPr>
      <w:r w:rsidRPr="00372A0E">
        <w:t>The Ministry for Regional Cooperation (MRC or the Ministry) was established in 1999 by a government decision but ceased operations in 2003. In 2009, the Ministry was re-established by another government decision (the establishment decision), which outlined its areas of responsibility. These include promoting economic cooperation with countries in the region and the Palestinian Authority, as well as implementing joint economic projects to foster economic welfare and stability in the region. Additionally, it was determined that the Ministry would collaborate with entities involved in regional development to mobilize resources and encourage investments aimed at fostering cooperation. The Ministry was also tasked with coordinating efforts among relevant government ministries in these areas.</w:t>
      </w:r>
    </w:p>
    <w:p w:rsidR="00996051" w:rsidRPr="00512299" w:rsidP="00996051" w14:paraId="3C3C7F15" w14:textId="77777777">
      <w:pPr>
        <w:pStyle w:val="719"/>
        <w:bidi w:val="0"/>
        <w:rPr>
          <w:rtl/>
        </w:rPr>
      </w:pPr>
      <w:r w:rsidRPr="00372A0E">
        <w:t xml:space="preserve">Shortly after the 2009 establishment decision, the government decided to transfer certain responsibilities of the </w:t>
      </w:r>
      <w:r w:rsidRPr="00372A0E">
        <w:t>Israeli-Palestinian</w:t>
      </w:r>
      <w:r w:rsidRPr="00372A0E">
        <w:t xml:space="preserve"> Joint Economic Committee (JEC) from the Ministry of Finance to the MRC. It was further decided that the Minister for Regional Cooperation would chair the JEC.</w:t>
      </w:r>
    </w:p>
    <w:p w:rsidR="002A18A0" w:rsidRPr="001D0B8C" w:rsidP="00996051" w14:paraId="446009E0" w14:textId="77E41C65">
      <w:pPr>
        <w:pStyle w:val="719"/>
        <w:bidi w:val="0"/>
      </w:pPr>
      <w:r w:rsidRPr="00372A0E">
        <w:t>The MRC furthers its objectives through several mechanisms: issuing calls for proposals, inviting local authorities and higher education institutions to undertake activity related to regional cooperation; providing grants to public institutions (such as non-profit organizations) under Section 3A of the Budget Foundations Law; engaging in tenders; and fostering inter-ministerial collaboration</w:t>
      </w:r>
      <w:r w:rsidRPr="001D0B8C">
        <w:t>.</w:t>
      </w:r>
    </w:p>
    <w:p w:rsidR="00C50F58" w14:paraId="732E4F63" w14:textId="601C6591">
      <w:pPr>
        <w:bidi w:val="0"/>
        <w:rPr>
          <w:rFonts w:ascii="Tahoma" w:hAnsi="Tahoma" w:eastAsiaTheme="minorHAnsi" w:cs="Tahoma"/>
          <w:color w:val="0D0D0D" w:themeColor="text1" w:themeTint="F2"/>
          <w:sz w:val="18"/>
          <w:szCs w:val="18"/>
        </w:rPr>
      </w:pPr>
      <w:r>
        <w:br w:type="page"/>
      </w:r>
    </w:p>
    <w:p w:rsidR="008A5E62" w:rsidRPr="00DA3862" w:rsidP="003E0EAA" w14:paraId="498BB033" w14:textId="0375C781">
      <w:pPr>
        <w:bidi w:val="0"/>
        <w:spacing w:before="240" w:after="180" w:line="240" w:lineRule="atLeast"/>
        <w:jc w:val="both"/>
        <w:rPr>
          <w:rtl/>
        </w:rPr>
      </w:pPr>
      <w:r>
        <w:rPr>
          <w:noProof/>
          <w:rtl/>
        </w:rPr>
        <w:drawing>
          <wp:inline distT="0" distB="0" distL="0" distR="0">
            <wp:extent cx="1328928" cy="319454"/>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28928" cy="319454"/>
                    </a:xfrm>
                    <a:prstGeom prst="rect">
                      <a:avLst/>
                    </a:prstGeom>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1709"/>
        <w:gridCol w:w="210"/>
        <w:gridCol w:w="1677"/>
        <w:gridCol w:w="209"/>
        <w:gridCol w:w="1679"/>
        <w:gridCol w:w="209"/>
        <w:gridCol w:w="1677"/>
      </w:tblGrid>
      <w:tr w14:paraId="5198069E" w14:textId="79DE7FA0" w:rsidTr="002A18A0">
        <w:tblPrEx>
          <w:tblW w:w="5000" w:type="pct"/>
          <w:tblLook w:val="04A0"/>
        </w:tblPrEx>
        <w:tc>
          <w:tcPr>
            <w:tcW w:w="1159" w:type="pct"/>
            <w:tcBorders>
              <w:bottom w:val="single" w:sz="8" w:space="0" w:color="auto"/>
            </w:tcBorders>
            <w:vAlign w:val="bottom"/>
          </w:tcPr>
          <w:p w:rsidR="00996051" w:rsidRPr="00996051" w:rsidP="00150473" w14:paraId="1FB37F5E" w14:textId="3DACBBB4">
            <w:pPr>
              <w:bidi w:val="0"/>
              <w:spacing w:after="60" w:line="240" w:lineRule="auto"/>
              <w:rPr>
                <w:rFonts w:ascii="Tahoma" w:hAnsi="Tahoma" w:cs="Tahoma"/>
                <w:b/>
                <w:bCs/>
                <w:color w:val="0D0D0D" w:themeColor="text1" w:themeTint="F2"/>
                <w:sz w:val="26"/>
                <w:szCs w:val="26"/>
                <w:rtl/>
              </w:rPr>
            </w:pPr>
            <w:r w:rsidRPr="00996051">
              <w:rPr>
                <w:rFonts w:ascii="Tahoma" w:hAnsi="Tahoma" w:cs="Tahoma"/>
                <w:b/>
                <w:bCs/>
                <w:color w:val="0D0D0D" w:themeColor="text1" w:themeTint="F2"/>
                <w:spacing w:val="-10"/>
                <w:sz w:val="26"/>
                <w:szCs w:val="26"/>
                <w:lang w:val="en"/>
              </w:rPr>
              <w:t xml:space="preserve">NIS </w:t>
            </w:r>
            <w:r w:rsidR="00150473">
              <w:rPr>
                <w:rFonts w:ascii="Tahoma" w:hAnsi="Tahoma" w:cs="Tahoma"/>
                <w:b/>
                <w:bCs/>
                <w:color w:val="0D0D0D" w:themeColor="text1" w:themeTint="F2"/>
                <w:spacing w:val="-10"/>
                <w:sz w:val="36"/>
                <w:szCs w:val="36"/>
                <w:rtl/>
                <w:lang w:val="en"/>
              </w:rPr>
              <w:br/>
            </w:r>
            <w:r w:rsidRPr="00996051">
              <w:rPr>
                <w:rFonts w:ascii="Tahoma" w:hAnsi="Tahoma" w:cs="Tahoma"/>
                <w:b/>
                <w:bCs/>
                <w:color w:val="0D0D0D" w:themeColor="text1" w:themeTint="F2"/>
                <w:spacing w:val="-10"/>
                <w:sz w:val="36"/>
                <w:szCs w:val="36"/>
                <w:lang w:val="en"/>
              </w:rPr>
              <w:t xml:space="preserve">39–74 </w:t>
            </w:r>
            <w:r w:rsidRPr="00996051">
              <w:rPr>
                <w:rFonts w:ascii="Tahoma" w:hAnsi="Tahoma" w:cs="Tahoma"/>
                <w:b/>
                <w:bCs/>
                <w:color w:val="0D0D0D" w:themeColor="text1" w:themeTint="F2"/>
                <w:spacing w:val="-10"/>
                <w:sz w:val="36"/>
                <w:szCs w:val="36"/>
                <w:lang w:val="en"/>
              </w:rPr>
              <w:br/>
            </w:r>
            <w:r w:rsidRPr="00996051">
              <w:rPr>
                <w:rFonts w:ascii="Tahoma" w:hAnsi="Tahoma" w:cs="Tahoma"/>
                <w:b/>
                <w:bCs/>
                <w:color w:val="0D0D0D" w:themeColor="text1" w:themeTint="F2"/>
                <w:spacing w:val="-10"/>
                <w:sz w:val="26"/>
                <w:szCs w:val="26"/>
                <w:lang w:val="en"/>
              </w:rPr>
              <w:t>million</w:t>
            </w:r>
          </w:p>
        </w:tc>
        <w:tc>
          <w:tcPr>
            <w:tcW w:w="142" w:type="pct"/>
            <w:vAlign w:val="bottom"/>
          </w:tcPr>
          <w:p w:rsidR="00996051" w:rsidRPr="00996051" w:rsidP="00996051" w14:paraId="4429F28B" w14:textId="77777777">
            <w:pPr>
              <w:bidi w:val="0"/>
              <w:spacing w:after="60" w:line="240" w:lineRule="auto"/>
              <w:rPr>
                <w:rFonts w:ascii="Tahoma" w:hAnsi="Tahoma" w:cs="Tahoma"/>
                <w:b/>
                <w:bCs/>
                <w:color w:val="0D0D0D" w:themeColor="text1" w:themeTint="F2"/>
                <w:sz w:val="26"/>
                <w:szCs w:val="26"/>
              </w:rPr>
            </w:pPr>
          </w:p>
        </w:tc>
        <w:tc>
          <w:tcPr>
            <w:tcW w:w="1138" w:type="pct"/>
            <w:tcBorders>
              <w:bottom w:val="single" w:sz="8" w:space="0" w:color="auto"/>
            </w:tcBorders>
            <w:vAlign w:val="bottom"/>
          </w:tcPr>
          <w:p w:rsidR="00996051" w:rsidRPr="00996051" w:rsidP="00996051" w14:paraId="018C23DE" w14:textId="66F621FD">
            <w:pPr>
              <w:bidi w:val="0"/>
              <w:spacing w:after="60" w:line="240" w:lineRule="auto"/>
              <w:rPr>
                <w:rFonts w:ascii="Tahoma" w:hAnsi="Tahoma" w:cs="Tahoma"/>
                <w:b/>
                <w:bCs/>
                <w:color w:val="0D0D0D" w:themeColor="text1" w:themeTint="F2"/>
                <w:sz w:val="26"/>
                <w:szCs w:val="26"/>
                <w:rtl/>
              </w:rPr>
            </w:pPr>
            <w:r w:rsidRPr="00996051">
              <w:rPr>
                <w:rFonts w:ascii="Tahoma" w:hAnsi="Tahoma" w:cs="Tahoma"/>
                <w:b/>
                <w:bCs/>
                <w:spacing w:val="-10"/>
                <w:sz w:val="36"/>
                <w:szCs w:val="36"/>
                <w:lang w:val="en"/>
              </w:rPr>
              <w:t>38%– 49%</w:t>
            </w:r>
            <w:r w:rsidRPr="00996051">
              <w:rPr>
                <w:rFonts w:ascii="Tahoma" w:hAnsi="Tahoma" w:cs="Tahoma"/>
                <w:b/>
                <w:bCs/>
                <w:spacing w:val="-10"/>
                <w:sz w:val="26"/>
                <w:szCs w:val="26"/>
                <w:lang w:val="en"/>
              </w:rPr>
              <w:t xml:space="preserve"> E</w:t>
            </w:r>
            <w:r w:rsidRPr="00996051">
              <w:rPr>
                <w:rFonts w:ascii="Tahoma" w:hAnsi="Tahoma" w:cs="Tahoma"/>
                <w:b/>
                <w:bCs/>
                <w:spacing w:val="-10"/>
                <w:sz w:val="26"/>
                <w:szCs w:val="26"/>
              </w:rPr>
              <w:t>xecut</w:t>
            </w:r>
            <w:r w:rsidRPr="00996051">
              <w:rPr>
                <w:rFonts w:ascii="Tahoma" w:hAnsi="Tahoma" w:cs="Tahoma"/>
                <w:b/>
                <w:bCs/>
                <w:spacing w:val="-10"/>
                <w:sz w:val="26"/>
                <w:szCs w:val="26"/>
                <w:lang w:val="en"/>
              </w:rPr>
              <w:t xml:space="preserve">ed Budget </w:t>
            </w:r>
          </w:p>
        </w:tc>
        <w:tc>
          <w:tcPr>
            <w:tcW w:w="142" w:type="pct"/>
            <w:vAlign w:val="bottom"/>
          </w:tcPr>
          <w:p w:rsidR="00996051" w:rsidRPr="00996051" w:rsidP="00996051" w14:paraId="78489ABE" w14:textId="77777777">
            <w:pPr>
              <w:bidi w:val="0"/>
              <w:spacing w:after="60" w:line="240" w:lineRule="auto"/>
              <w:rPr>
                <w:rFonts w:ascii="Tahoma" w:hAnsi="Tahoma" w:cs="Tahoma"/>
                <w:b/>
                <w:bCs/>
                <w:color w:val="0D0D0D" w:themeColor="text1" w:themeTint="F2"/>
                <w:sz w:val="26"/>
                <w:szCs w:val="26"/>
              </w:rPr>
            </w:pPr>
          </w:p>
        </w:tc>
        <w:tc>
          <w:tcPr>
            <w:tcW w:w="1139" w:type="pct"/>
            <w:tcBorders>
              <w:bottom w:val="single" w:sz="8" w:space="0" w:color="000000"/>
            </w:tcBorders>
            <w:vAlign w:val="bottom"/>
          </w:tcPr>
          <w:p w:rsidR="00996051" w:rsidRPr="00996051" w:rsidP="00996051" w14:paraId="1465537A" w14:textId="37C3B6E4">
            <w:pPr>
              <w:bidi w:val="0"/>
              <w:spacing w:after="60" w:line="240" w:lineRule="auto"/>
              <w:rPr>
                <w:rFonts w:ascii="Tahoma" w:hAnsi="Tahoma" w:cs="Tahoma"/>
                <w:b/>
                <w:bCs/>
                <w:color w:val="0D0D0D" w:themeColor="text1" w:themeTint="F2"/>
                <w:sz w:val="26"/>
                <w:szCs w:val="26"/>
              </w:rPr>
            </w:pPr>
            <w:r w:rsidRPr="00996051">
              <w:rPr>
                <w:rFonts w:ascii="Tahoma" w:hAnsi="Tahoma" w:cs="Tahoma"/>
                <w:b/>
                <w:bCs/>
                <w:spacing w:val="-10"/>
                <w:sz w:val="36"/>
                <w:szCs w:val="36"/>
                <w:lang w:val="en"/>
              </w:rPr>
              <w:t xml:space="preserve">58% </w:t>
            </w:r>
            <w:r w:rsidRPr="00996051">
              <w:rPr>
                <w:rFonts w:ascii="Tahoma" w:hAnsi="Tahoma" w:cs="Tahoma"/>
                <w:b/>
                <w:bCs/>
                <w:spacing w:val="-10"/>
                <w:sz w:val="36"/>
                <w:szCs w:val="36"/>
                <w:lang w:val="en"/>
              </w:rPr>
              <w:br/>
            </w:r>
            <w:r w:rsidRPr="00996051">
              <w:rPr>
                <w:rFonts w:ascii="Tahoma" w:hAnsi="Tahoma" w:cs="Tahoma"/>
                <w:b/>
                <w:bCs/>
                <w:spacing w:val="-10"/>
                <w:sz w:val="26"/>
                <w:szCs w:val="26"/>
                <w:lang w:val="en"/>
              </w:rPr>
              <w:t>of the Ministry's resources</w:t>
            </w:r>
          </w:p>
        </w:tc>
        <w:tc>
          <w:tcPr>
            <w:tcW w:w="142" w:type="pct"/>
            <w:vAlign w:val="bottom"/>
          </w:tcPr>
          <w:p w:rsidR="00996051" w:rsidRPr="00996051" w:rsidP="00996051" w14:paraId="67D30B0B" w14:textId="77777777">
            <w:pPr>
              <w:bidi w:val="0"/>
              <w:spacing w:after="60" w:line="240" w:lineRule="auto"/>
              <w:rPr>
                <w:rFonts w:ascii="Tahoma" w:hAnsi="Tahoma" w:cs="Tahoma"/>
                <w:b/>
                <w:bCs/>
                <w:color w:val="0D0D0D" w:themeColor="text1" w:themeTint="F2"/>
                <w:sz w:val="26"/>
                <w:szCs w:val="26"/>
                <w:rtl/>
              </w:rPr>
            </w:pPr>
          </w:p>
        </w:tc>
        <w:tc>
          <w:tcPr>
            <w:tcW w:w="1138" w:type="pct"/>
            <w:tcBorders>
              <w:bottom w:val="single" w:sz="8" w:space="0" w:color="000000"/>
            </w:tcBorders>
            <w:vAlign w:val="bottom"/>
          </w:tcPr>
          <w:p w:rsidR="00996051" w:rsidRPr="00996051" w:rsidP="00996051" w14:paraId="265B90D2" w14:textId="02515489">
            <w:pPr>
              <w:bidi w:val="0"/>
              <w:spacing w:after="60" w:line="240" w:lineRule="auto"/>
              <w:rPr>
                <w:rFonts w:ascii="Tahoma" w:hAnsi="Tahoma" w:cs="Tahoma"/>
                <w:b/>
                <w:bCs/>
                <w:color w:val="0D0D0D" w:themeColor="text1" w:themeTint="F2"/>
                <w:sz w:val="26"/>
                <w:szCs w:val="26"/>
                <w:rtl/>
              </w:rPr>
            </w:pPr>
            <w:r w:rsidRPr="00996051">
              <w:rPr>
                <w:rFonts w:ascii="Tahoma" w:hAnsi="Tahoma" w:cs="Tahoma"/>
                <w:b/>
                <w:bCs/>
                <w:spacing w:val="-10"/>
                <w:sz w:val="36"/>
                <w:szCs w:val="36"/>
                <w:lang w:val="en"/>
              </w:rPr>
              <w:t xml:space="preserve">40% </w:t>
            </w:r>
            <w:r w:rsidRPr="00996051">
              <w:rPr>
                <w:rFonts w:ascii="Tahoma" w:hAnsi="Tahoma" w:cs="Tahoma"/>
                <w:b/>
                <w:bCs/>
                <w:spacing w:val="-10"/>
                <w:sz w:val="36"/>
                <w:szCs w:val="36"/>
                <w:lang w:val="en"/>
              </w:rPr>
              <w:br/>
            </w:r>
            <w:r w:rsidRPr="00996051">
              <w:rPr>
                <w:rFonts w:ascii="Tahoma" w:hAnsi="Tahoma" w:cs="Tahoma"/>
                <w:b/>
                <w:bCs/>
                <w:spacing w:val="-10"/>
                <w:sz w:val="26"/>
                <w:szCs w:val="26"/>
                <w:lang w:val="en"/>
              </w:rPr>
              <w:t>of the success indicators</w:t>
            </w:r>
          </w:p>
        </w:tc>
      </w:tr>
      <w:tr w14:paraId="633F9A1A" w14:textId="21CF8A61" w:rsidTr="002A18A0">
        <w:tblPrEx>
          <w:tblW w:w="5000" w:type="pct"/>
          <w:tblLook w:val="04A0"/>
        </w:tblPrEx>
        <w:tc>
          <w:tcPr>
            <w:tcW w:w="1159" w:type="pct"/>
            <w:tcBorders>
              <w:top w:val="single" w:sz="8" w:space="0" w:color="auto"/>
            </w:tcBorders>
          </w:tcPr>
          <w:p w:rsidR="00996051" w:rsidRPr="00041AEB" w:rsidP="00996051" w14:paraId="5042BE4E" w14:textId="034F97FA">
            <w:pPr>
              <w:bidi w:val="0"/>
              <w:spacing w:after="0" w:line="240" w:lineRule="auto"/>
              <w:ind w:right="23"/>
              <w:rPr>
                <w:rFonts w:ascii="Tahoma" w:hAnsi="Tahoma" w:cs="Tahoma"/>
                <w:bCs/>
                <w:color w:val="0D0D0D" w:themeColor="text1" w:themeTint="F2"/>
                <w:w w:val="90"/>
                <w:sz w:val="18"/>
                <w:szCs w:val="18"/>
              </w:rPr>
            </w:pPr>
            <w:r w:rsidRPr="00372A0E">
              <w:rPr>
                <w:rFonts w:ascii="Tahoma" w:hAnsi="Tahoma" w:cs="Tahoma"/>
                <w:bCs/>
                <w:color w:val="0D0D0D" w:themeColor="text1" w:themeTint="F2"/>
                <w:w w:val="90"/>
                <w:sz w:val="18"/>
                <w:szCs w:val="18"/>
              </w:rPr>
              <w:t>The Ministry's annual budget in the years 2018–2023</w:t>
            </w:r>
          </w:p>
        </w:tc>
        <w:tc>
          <w:tcPr>
            <w:tcW w:w="142" w:type="pct"/>
          </w:tcPr>
          <w:p w:rsidR="00996051" w:rsidRPr="00041AEB" w:rsidP="00996051" w14:paraId="2B8B872F" w14:textId="77777777">
            <w:pPr>
              <w:bidi w:val="0"/>
              <w:spacing w:after="0" w:line="240" w:lineRule="auto"/>
              <w:rPr>
                <w:rFonts w:ascii="Tahoma" w:hAnsi="Tahoma" w:cs="Tahoma"/>
                <w:bCs/>
                <w:color w:val="0D0D0D" w:themeColor="text1" w:themeTint="F2"/>
                <w:w w:val="90"/>
                <w:sz w:val="18"/>
                <w:szCs w:val="18"/>
                <w:rtl/>
              </w:rPr>
            </w:pPr>
          </w:p>
        </w:tc>
        <w:tc>
          <w:tcPr>
            <w:tcW w:w="1138" w:type="pct"/>
            <w:tcBorders>
              <w:top w:val="single" w:sz="8" w:space="0" w:color="auto"/>
            </w:tcBorders>
          </w:tcPr>
          <w:p w:rsidR="00996051" w:rsidRPr="00A0699D" w:rsidP="00996051" w14:paraId="22CDEF8A" w14:textId="707D3130">
            <w:pPr>
              <w:bidi w:val="0"/>
              <w:spacing w:line="240" w:lineRule="auto"/>
              <w:ind w:right="23"/>
              <w:rPr>
                <w:bCs/>
                <w:rtl/>
              </w:rPr>
            </w:pPr>
            <w:r w:rsidRPr="00372A0E">
              <w:rPr>
                <w:rFonts w:ascii="Tahoma" w:hAnsi="Tahoma" w:cs="Tahoma"/>
                <w:bCs/>
                <w:color w:val="0D0D0D" w:themeColor="text1" w:themeTint="F2"/>
                <w:w w:val="90"/>
                <w:sz w:val="18"/>
                <w:szCs w:val="18"/>
              </w:rPr>
              <w:t>Of t</w:t>
            </w:r>
            <w:r w:rsidRPr="00372A0E">
              <w:rPr>
                <w:rFonts w:ascii="Tahoma" w:hAnsi="Tahoma" w:cs="Tahoma" w:hint="cs"/>
                <w:bCs/>
                <w:color w:val="0D0D0D" w:themeColor="text1" w:themeTint="F2"/>
                <w:w w:val="90"/>
                <w:sz w:val="18"/>
                <w:szCs w:val="18"/>
              </w:rPr>
              <w:t xml:space="preserve">he </w:t>
            </w:r>
            <w:r w:rsidRPr="00372A0E">
              <w:rPr>
                <w:rFonts w:ascii="Tahoma" w:hAnsi="Tahoma" w:cs="Tahoma"/>
                <w:bCs/>
                <w:color w:val="0D0D0D" w:themeColor="text1" w:themeTint="F2"/>
                <w:w w:val="90"/>
                <w:sz w:val="18"/>
                <w:szCs w:val="18"/>
              </w:rPr>
              <w:t>M</w:t>
            </w:r>
            <w:r w:rsidRPr="00372A0E">
              <w:rPr>
                <w:rFonts w:ascii="Tahoma" w:hAnsi="Tahoma" w:cs="Tahoma" w:hint="cs"/>
                <w:bCs/>
                <w:color w:val="0D0D0D" w:themeColor="text1" w:themeTint="F2"/>
                <w:w w:val="90"/>
                <w:sz w:val="18"/>
                <w:szCs w:val="18"/>
              </w:rPr>
              <w:t>inistry's budget in the years 2018</w:t>
            </w:r>
            <w:r w:rsidRPr="00372A0E">
              <w:rPr>
                <w:rFonts w:ascii="Tahoma" w:hAnsi="Tahoma" w:cs="Tahoma"/>
                <w:bCs/>
                <w:color w:val="0D0D0D" w:themeColor="text1" w:themeTint="F2"/>
                <w:w w:val="90"/>
                <w:sz w:val="18"/>
                <w:szCs w:val="18"/>
              </w:rPr>
              <w:t>–</w:t>
            </w:r>
            <w:r w:rsidRPr="00372A0E">
              <w:rPr>
                <w:rFonts w:ascii="Tahoma" w:hAnsi="Tahoma" w:cs="Tahoma" w:hint="cs"/>
                <w:bCs/>
                <w:color w:val="0D0D0D" w:themeColor="text1" w:themeTint="F2"/>
                <w:w w:val="90"/>
                <w:sz w:val="18"/>
                <w:szCs w:val="18"/>
              </w:rPr>
              <w:t>2023</w:t>
            </w:r>
          </w:p>
        </w:tc>
        <w:tc>
          <w:tcPr>
            <w:tcW w:w="142" w:type="pct"/>
          </w:tcPr>
          <w:p w:rsidR="00996051" w:rsidRPr="00041AEB" w:rsidP="00996051" w14:paraId="516B5653" w14:textId="77777777">
            <w:pPr>
              <w:bidi w:val="0"/>
              <w:spacing w:after="0" w:line="240" w:lineRule="auto"/>
              <w:rPr>
                <w:rFonts w:ascii="Tahoma" w:hAnsi="Tahoma" w:cs="Tahoma"/>
                <w:bCs/>
                <w:color w:val="0D0D0D" w:themeColor="text1" w:themeTint="F2"/>
                <w:w w:val="90"/>
                <w:sz w:val="18"/>
                <w:szCs w:val="18"/>
                <w:rtl/>
              </w:rPr>
            </w:pPr>
          </w:p>
        </w:tc>
        <w:tc>
          <w:tcPr>
            <w:tcW w:w="1139" w:type="pct"/>
            <w:tcBorders>
              <w:top w:val="single" w:sz="8" w:space="0" w:color="000000"/>
            </w:tcBorders>
          </w:tcPr>
          <w:p w:rsidR="00996051" w:rsidRPr="00041AEB" w:rsidP="00996051" w14:paraId="1DDB9C26" w14:textId="6086BB95">
            <w:pPr>
              <w:bidi w:val="0"/>
              <w:spacing w:after="0" w:line="240" w:lineRule="auto"/>
              <w:ind w:right="23"/>
              <w:rPr>
                <w:rFonts w:ascii="Tahoma" w:hAnsi="Tahoma" w:cs="Tahoma"/>
                <w:bCs/>
                <w:color w:val="0D0D0D" w:themeColor="text1" w:themeTint="F2"/>
                <w:w w:val="90"/>
                <w:sz w:val="18"/>
                <w:szCs w:val="18"/>
              </w:rPr>
            </w:pPr>
            <w:r w:rsidRPr="00372A0E">
              <w:rPr>
                <w:rFonts w:ascii="Tahoma" w:hAnsi="Tahoma" w:cs="Tahoma"/>
                <w:bCs/>
                <w:color w:val="0D0D0D" w:themeColor="text1" w:themeTint="F2"/>
                <w:w w:val="90"/>
                <w:sz w:val="18"/>
                <w:szCs w:val="18"/>
              </w:rPr>
              <w:t>in the years 2018–2023 (approximately NIS 91 million out of NIS 156 million) were spent on salaries and operational expenses</w:t>
            </w:r>
          </w:p>
        </w:tc>
        <w:tc>
          <w:tcPr>
            <w:tcW w:w="142" w:type="pct"/>
          </w:tcPr>
          <w:p w:rsidR="00996051" w:rsidRPr="00B662F5" w:rsidP="00996051" w14:paraId="31FC66A8" w14:textId="77777777">
            <w:pPr>
              <w:bidi w:val="0"/>
              <w:spacing w:after="0" w:line="240" w:lineRule="auto"/>
              <w:ind w:right="23"/>
              <w:rPr>
                <w:rFonts w:ascii="Tahoma" w:hAnsi="Tahoma" w:cs="Tahoma"/>
                <w:bCs/>
                <w:color w:val="0D0D0D" w:themeColor="text1" w:themeTint="F2"/>
                <w:w w:val="90"/>
                <w:sz w:val="18"/>
                <w:szCs w:val="18"/>
              </w:rPr>
            </w:pPr>
          </w:p>
        </w:tc>
        <w:tc>
          <w:tcPr>
            <w:tcW w:w="1138" w:type="pct"/>
            <w:tcBorders>
              <w:top w:val="single" w:sz="8" w:space="0" w:color="000000"/>
            </w:tcBorders>
          </w:tcPr>
          <w:p w:rsidR="00996051" w:rsidRPr="00B662F5" w:rsidP="00996051" w14:paraId="3AFB1672" w14:textId="6DEEDD7A">
            <w:pPr>
              <w:bidi w:val="0"/>
              <w:spacing w:after="0" w:line="240" w:lineRule="auto"/>
              <w:ind w:right="23"/>
              <w:rPr>
                <w:rFonts w:ascii="Tahoma" w:hAnsi="Tahoma" w:cs="Tahoma"/>
                <w:bCs/>
                <w:color w:val="0D0D0D" w:themeColor="text1" w:themeTint="F2"/>
                <w:w w:val="90"/>
                <w:sz w:val="18"/>
                <w:szCs w:val="18"/>
              </w:rPr>
            </w:pPr>
            <w:r w:rsidRPr="00372A0E">
              <w:rPr>
                <w:rFonts w:ascii="Tahoma" w:hAnsi="Tahoma" w:cs="Tahoma"/>
                <w:bCs/>
                <w:color w:val="0D0D0D" w:themeColor="text1" w:themeTint="F2"/>
                <w:w w:val="90"/>
                <w:sz w:val="18"/>
                <w:szCs w:val="18"/>
              </w:rPr>
              <w:t>in the work plans for 2019 and 2022 were not fully achieved</w:t>
            </w:r>
          </w:p>
        </w:tc>
      </w:tr>
      <w:tr w14:paraId="3A3B2768" w14:textId="4D98DDF8" w:rsidTr="002A18A0">
        <w:tblPrEx>
          <w:tblW w:w="5000" w:type="pct"/>
          <w:tblLook w:val="04A0"/>
        </w:tblPrEx>
        <w:trPr>
          <w:trHeight w:val="397"/>
        </w:trPr>
        <w:tc>
          <w:tcPr>
            <w:tcW w:w="1159" w:type="pct"/>
          </w:tcPr>
          <w:p w:rsidR="008771C5" w:rsidRPr="00B47903" w:rsidP="008771C5" w14:paraId="1A07D554" w14:textId="35E38359">
            <w:pPr>
              <w:bidi w:val="0"/>
              <w:spacing w:before="120" w:after="0" w:line="240" w:lineRule="auto"/>
              <w:rPr>
                <w:rFonts w:ascii="Tahoma" w:hAnsi="Tahoma" w:cs="Tahoma"/>
                <w:b/>
                <w:bCs/>
                <w:color w:val="0D0D0D" w:themeColor="text1" w:themeTint="F2"/>
                <w:sz w:val="14"/>
                <w:szCs w:val="14"/>
                <w:rtl/>
              </w:rPr>
            </w:pPr>
          </w:p>
        </w:tc>
        <w:tc>
          <w:tcPr>
            <w:tcW w:w="142" w:type="pct"/>
          </w:tcPr>
          <w:p w:rsidR="008771C5" w:rsidRPr="00B47903" w:rsidP="008771C5" w14:paraId="398FB0FD" w14:textId="77777777">
            <w:pPr>
              <w:bidi w:val="0"/>
              <w:spacing w:before="120" w:after="0" w:line="240" w:lineRule="auto"/>
              <w:rPr>
                <w:rFonts w:ascii="Tahoma" w:hAnsi="Tahoma" w:cs="Tahoma"/>
                <w:b/>
                <w:bCs/>
                <w:color w:val="0D0D0D" w:themeColor="text1" w:themeTint="F2"/>
                <w:sz w:val="14"/>
                <w:szCs w:val="14"/>
              </w:rPr>
            </w:pPr>
          </w:p>
        </w:tc>
        <w:tc>
          <w:tcPr>
            <w:tcW w:w="1138" w:type="pct"/>
          </w:tcPr>
          <w:p w:rsidR="008771C5" w:rsidRPr="00B47903" w:rsidP="008771C5" w14:paraId="58859999" w14:textId="77777777">
            <w:pPr>
              <w:bidi w:val="0"/>
              <w:spacing w:before="120" w:after="0" w:line="240" w:lineRule="auto"/>
              <w:rPr>
                <w:rFonts w:ascii="Tahoma" w:hAnsi="Tahoma" w:cs="Tahoma"/>
                <w:b/>
                <w:bCs/>
                <w:color w:val="0D0D0D" w:themeColor="text1" w:themeTint="F2"/>
                <w:sz w:val="14"/>
                <w:szCs w:val="14"/>
                <w:rtl/>
              </w:rPr>
            </w:pPr>
          </w:p>
        </w:tc>
        <w:tc>
          <w:tcPr>
            <w:tcW w:w="142" w:type="pct"/>
          </w:tcPr>
          <w:p w:rsidR="008771C5" w:rsidRPr="00B47903" w:rsidP="008771C5" w14:paraId="18626B8F" w14:textId="77777777">
            <w:pPr>
              <w:bidi w:val="0"/>
              <w:spacing w:before="120" w:after="0" w:line="240" w:lineRule="auto"/>
              <w:rPr>
                <w:rFonts w:ascii="Tahoma" w:hAnsi="Tahoma" w:cs="Tahoma"/>
                <w:b/>
                <w:bCs/>
                <w:color w:val="0D0D0D" w:themeColor="text1" w:themeTint="F2"/>
                <w:sz w:val="14"/>
                <w:szCs w:val="14"/>
              </w:rPr>
            </w:pPr>
          </w:p>
        </w:tc>
        <w:tc>
          <w:tcPr>
            <w:tcW w:w="1139" w:type="pct"/>
          </w:tcPr>
          <w:p w:rsidR="008771C5" w:rsidRPr="00B47903" w:rsidP="008771C5" w14:paraId="12C512C9" w14:textId="77777777">
            <w:pPr>
              <w:bidi w:val="0"/>
              <w:spacing w:before="120" w:after="0" w:line="240" w:lineRule="auto"/>
              <w:rPr>
                <w:rFonts w:ascii="Tahoma" w:hAnsi="Tahoma" w:cs="Tahoma"/>
                <w:b/>
                <w:bCs/>
                <w:color w:val="0D0D0D" w:themeColor="text1" w:themeTint="F2"/>
                <w:sz w:val="14"/>
                <w:szCs w:val="14"/>
                <w:rtl/>
              </w:rPr>
            </w:pPr>
          </w:p>
        </w:tc>
        <w:tc>
          <w:tcPr>
            <w:tcW w:w="142" w:type="pct"/>
          </w:tcPr>
          <w:p w:rsidR="008771C5" w:rsidRPr="00B47903" w:rsidP="008771C5" w14:paraId="7C8842AA" w14:textId="77777777">
            <w:pPr>
              <w:bidi w:val="0"/>
              <w:spacing w:before="120" w:after="0" w:line="240" w:lineRule="auto"/>
              <w:rPr>
                <w:rFonts w:ascii="Tahoma" w:hAnsi="Tahoma" w:cs="Tahoma"/>
                <w:b/>
                <w:bCs/>
                <w:color w:val="0D0D0D" w:themeColor="text1" w:themeTint="F2"/>
                <w:sz w:val="14"/>
                <w:szCs w:val="14"/>
                <w:rtl/>
              </w:rPr>
            </w:pPr>
          </w:p>
        </w:tc>
        <w:tc>
          <w:tcPr>
            <w:tcW w:w="1138" w:type="pct"/>
          </w:tcPr>
          <w:p w:rsidR="008771C5" w:rsidRPr="00B47903" w:rsidP="008771C5" w14:paraId="12727038" w14:textId="77777777">
            <w:pPr>
              <w:bidi w:val="0"/>
              <w:spacing w:before="120" w:after="0" w:line="240" w:lineRule="auto"/>
              <w:rPr>
                <w:rFonts w:ascii="Tahoma" w:hAnsi="Tahoma" w:cs="Tahoma"/>
                <w:b/>
                <w:bCs/>
                <w:color w:val="0D0D0D" w:themeColor="text1" w:themeTint="F2"/>
                <w:sz w:val="14"/>
                <w:szCs w:val="14"/>
                <w:rtl/>
              </w:rPr>
            </w:pPr>
          </w:p>
        </w:tc>
      </w:tr>
      <w:tr w14:paraId="69DAE9C2" w14:textId="4B47BC94" w:rsidTr="002A18A0">
        <w:tblPrEx>
          <w:tblW w:w="5000" w:type="pct"/>
          <w:tblLook w:val="04A0"/>
        </w:tblPrEx>
        <w:tc>
          <w:tcPr>
            <w:tcW w:w="1159" w:type="pct"/>
            <w:tcBorders>
              <w:bottom w:val="single" w:sz="8" w:space="0" w:color="auto"/>
            </w:tcBorders>
            <w:vAlign w:val="bottom"/>
          </w:tcPr>
          <w:p w:rsidR="00996051" w:rsidRPr="00996051" w:rsidP="00996051" w14:paraId="0A63A02B" w14:textId="1059E6E5">
            <w:pPr>
              <w:bidi w:val="0"/>
              <w:spacing w:after="60" w:line="240" w:lineRule="auto"/>
              <w:rPr>
                <w:rFonts w:ascii="Tahoma" w:hAnsi="Tahoma" w:cs="Tahoma"/>
                <w:b/>
                <w:bCs/>
                <w:color w:val="0D0D0D" w:themeColor="text1" w:themeTint="F2"/>
                <w:sz w:val="36"/>
                <w:szCs w:val="36"/>
              </w:rPr>
            </w:pPr>
            <w:r w:rsidRPr="00996051">
              <w:rPr>
                <w:rFonts w:ascii="Tahoma" w:hAnsi="Tahoma" w:cs="Tahoma"/>
                <w:b/>
                <w:bCs/>
                <w:color w:val="0D0D0D" w:themeColor="text1" w:themeTint="F2"/>
                <w:spacing w:val="-10"/>
                <w:sz w:val="26"/>
                <w:szCs w:val="26"/>
                <w:lang w:val="en"/>
              </w:rPr>
              <w:t xml:space="preserve">NIS </w:t>
            </w:r>
            <w:r w:rsidRPr="00996051">
              <w:rPr>
                <w:rFonts w:ascii="Tahoma" w:hAnsi="Tahoma" w:cs="Tahoma"/>
                <w:b/>
                <w:bCs/>
                <w:color w:val="0D0D0D" w:themeColor="text1" w:themeTint="F2"/>
                <w:spacing w:val="-10"/>
                <w:sz w:val="36"/>
                <w:szCs w:val="36"/>
                <w:lang w:val="en"/>
              </w:rPr>
              <w:t xml:space="preserve">8.3 </w:t>
            </w:r>
            <w:r w:rsidRPr="00996051">
              <w:rPr>
                <w:rFonts w:ascii="Tahoma" w:hAnsi="Tahoma" w:cs="Tahoma"/>
                <w:b/>
                <w:bCs/>
                <w:color w:val="0D0D0D" w:themeColor="text1" w:themeTint="F2"/>
                <w:spacing w:val="-10"/>
                <w:sz w:val="26"/>
                <w:szCs w:val="26"/>
                <w:lang w:val="en"/>
              </w:rPr>
              <w:t xml:space="preserve">million </w:t>
            </w:r>
          </w:p>
        </w:tc>
        <w:tc>
          <w:tcPr>
            <w:tcW w:w="142" w:type="pct"/>
            <w:tcBorders>
              <w:bottom w:val="single" w:sz="8" w:space="0" w:color="FFFFFF"/>
            </w:tcBorders>
            <w:vAlign w:val="bottom"/>
          </w:tcPr>
          <w:p w:rsidR="00996051" w:rsidRPr="00996051" w:rsidP="00996051" w14:paraId="2B044DDD" w14:textId="77777777">
            <w:pPr>
              <w:bidi w:val="0"/>
              <w:spacing w:after="60" w:line="240" w:lineRule="auto"/>
              <w:rPr>
                <w:rFonts w:ascii="Tahoma" w:hAnsi="Tahoma" w:cs="Tahoma"/>
                <w:b/>
                <w:bCs/>
                <w:color w:val="0D0D0D" w:themeColor="text1" w:themeTint="F2"/>
                <w:sz w:val="36"/>
                <w:szCs w:val="36"/>
              </w:rPr>
            </w:pPr>
          </w:p>
        </w:tc>
        <w:tc>
          <w:tcPr>
            <w:tcW w:w="1138" w:type="pct"/>
            <w:tcBorders>
              <w:bottom w:val="single" w:sz="8" w:space="0" w:color="auto"/>
            </w:tcBorders>
            <w:vAlign w:val="bottom"/>
          </w:tcPr>
          <w:p w:rsidR="00996051" w:rsidRPr="00996051" w:rsidP="00996051" w14:paraId="5F2BF29F" w14:textId="7B23F1BB">
            <w:pPr>
              <w:bidi w:val="0"/>
              <w:spacing w:after="60" w:line="240" w:lineRule="auto"/>
              <w:rPr>
                <w:rFonts w:ascii="Tahoma" w:hAnsi="Tahoma" w:cs="Tahoma"/>
                <w:b/>
                <w:bCs/>
                <w:color w:val="0D0D0D" w:themeColor="text1" w:themeTint="F2"/>
                <w:sz w:val="36"/>
                <w:szCs w:val="36"/>
              </w:rPr>
            </w:pPr>
            <w:r w:rsidRPr="00996051">
              <w:rPr>
                <w:rFonts w:ascii="Tahoma" w:hAnsi="Tahoma" w:cs="Tahoma"/>
                <w:b/>
                <w:bCs/>
                <w:spacing w:val="-10"/>
                <w:sz w:val="26"/>
                <w:szCs w:val="26"/>
                <w:lang w:val="en"/>
              </w:rPr>
              <w:t xml:space="preserve">NIS </w:t>
            </w:r>
            <w:r w:rsidRPr="00150473">
              <w:rPr>
                <w:rFonts w:ascii="Tahoma" w:hAnsi="Tahoma" w:cs="Tahoma"/>
                <w:b/>
                <w:bCs/>
                <w:spacing w:val="-10"/>
                <w:sz w:val="36"/>
                <w:szCs w:val="36"/>
                <w:lang w:val="en"/>
              </w:rPr>
              <w:t xml:space="preserve">60 </w:t>
            </w:r>
            <w:r w:rsidRPr="00996051">
              <w:rPr>
                <w:rFonts w:ascii="Tahoma" w:hAnsi="Tahoma" w:cs="Tahoma"/>
                <w:b/>
                <w:bCs/>
                <w:spacing w:val="-10"/>
                <w:sz w:val="26"/>
                <w:szCs w:val="26"/>
                <w:lang w:val="en"/>
              </w:rPr>
              <w:t>million</w:t>
            </w:r>
          </w:p>
        </w:tc>
        <w:tc>
          <w:tcPr>
            <w:tcW w:w="142" w:type="pct"/>
            <w:tcBorders>
              <w:bottom w:val="single" w:sz="8" w:space="0" w:color="FFFFFF"/>
            </w:tcBorders>
            <w:vAlign w:val="bottom"/>
          </w:tcPr>
          <w:p w:rsidR="00996051" w:rsidRPr="00996051" w:rsidP="00996051" w14:paraId="3407A7B6" w14:textId="77777777">
            <w:pPr>
              <w:bidi w:val="0"/>
              <w:spacing w:after="60" w:line="240" w:lineRule="auto"/>
              <w:rPr>
                <w:rFonts w:ascii="Tahoma" w:hAnsi="Tahoma" w:cs="Tahoma"/>
                <w:b/>
                <w:bCs/>
                <w:color w:val="0D0D0D" w:themeColor="text1" w:themeTint="F2"/>
                <w:sz w:val="36"/>
                <w:szCs w:val="36"/>
              </w:rPr>
            </w:pPr>
          </w:p>
        </w:tc>
        <w:tc>
          <w:tcPr>
            <w:tcW w:w="1139" w:type="pct"/>
            <w:tcBorders>
              <w:bottom w:val="single" w:sz="8" w:space="0" w:color="000000"/>
            </w:tcBorders>
            <w:vAlign w:val="bottom"/>
          </w:tcPr>
          <w:p w:rsidR="00996051" w:rsidRPr="00996051" w:rsidP="00996051" w14:paraId="24B9C4D0" w14:textId="14171917">
            <w:pPr>
              <w:bidi w:val="0"/>
              <w:spacing w:after="60" w:line="240" w:lineRule="auto"/>
              <w:rPr>
                <w:rFonts w:ascii="Tahoma" w:hAnsi="Tahoma" w:cs="Tahoma"/>
                <w:b/>
                <w:bCs/>
                <w:color w:val="0D0D0D" w:themeColor="text1" w:themeTint="F2"/>
                <w:sz w:val="36"/>
                <w:szCs w:val="36"/>
              </w:rPr>
            </w:pPr>
            <w:r w:rsidRPr="00996051">
              <w:rPr>
                <w:rFonts w:ascii="Tahoma" w:hAnsi="Tahoma" w:cs="Tahoma"/>
                <w:b/>
                <w:bCs/>
                <w:color w:val="0D0D0D" w:themeColor="text1" w:themeTint="F2"/>
                <w:spacing w:val="-10"/>
                <w:sz w:val="36"/>
                <w:szCs w:val="36"/>
                <w:lang w:val="en"/>
              </w:rPr>
              <w:t>26</w:t>
            </w:r>
            <w:r w:rsidRPr="00996051">
              <w:rPr>
                <w:rFonts w:ascii="Tahoma" w:hAnsi="Tahoma" w:cs="Tahoma"/>
                <w:b/>
                <w:bCs/>
                <w:color w:val="0D0D0D" w:themeColor="text1" w:themeTint="F2"/>
                <w:spacing w:val="-10"/>
                <w:sz w:val="26"/>
                <w:szCs w:val="26"/>
                <w:lang w:val="en"/>
              </w:rPr>
              <w:t xml:space="preserve"> years</w:t>
            </w:r>
          </w:p>
        </w:tc>
        <w:tc>
          <w:tcPr>
            <w:tcW w:w="142" w:type="pct"/>
            <w:vAlign w:val="bottom"/>
          </w:tcPr>
          <w:p w:rsidR="00996051" w:rsidRPr="00996051" w:rsidP="00996051" w14:paraId="1A1A685D" w14:textId="77777777">
            <w:pPr>
              <w:bidi w:val="0"/>
              <w:spacing w:after="60" w:line="240" w:lineRule="auto"/>
              <w:rPr>
                <w:rFonts w:ascii="Tahoma" w:hAnsi="Tahoma" w:cs="Tahoma"/>
                <w:b/>
                <w:bCs/>
                <w:color w:val="0D0D0D" w:themeColor="text1" w:themeTint="F2"/>
                <w:sz w:val="36"/>
                <w:szCs w:val="36"/>
              </w:rPr>
            </w:pPr>
          </w:p>
        </w:tc>
        <w:tc>
          <w:tcPr>
            <w:tcW w:w="1138" w:type="pct"/>
            <w:tcBorders>
              <w:bottom w:val="single" w:sz="8" w:space="0" w:color="000000"/>
            </w:tcBorders>
            <w:vAlign w:val="bottom"/>
          </w:tcPr>
          <w:p w:rsidR="00996051" w:rsidRPr="00996051" w:rsidP="00996051" w14:paraId="02226F29" w14:textId="50B26874">
            <w:pPr>
              <w:bidi w:val="0"/>
              <w:spacing w:after="60" w:line="240" w:lineRule="auto"/>
              <w:rPr>
                <w:rFonts w:ascii="Tahoma" w:hAnsi="Tahoma" w:cs="Tahoma"/>
                <w:b/>
                <w:bCs/>
                <w:color w:val="0D0D0D" w:themeColor="text1" w:themeTint="F2"/>
                <w:sz w:val="36"/>
                <w:szCs w:val="36"/>
              </w:rPr>
            </w:pPr>
            <w:r w:rsidRPr="00996051">
              <w:rPr>
                <w:rFonts w:ascii="Tahoma" w:hAnsi="Tahoma" w:cs="Tahoma"/>
                <w:b/>
                <w:bCs/>
                <w:color w:val="0D0D0D" w:themeColor="text1" w:themeTint="F2"/>
                <w:spacing w:val="-10"/>
                <w:sz w:val="36"/>
                <w:szCs w:val="36"/>
                <w:lang w:val="en"/>
              </w:rPr>
              <w:t>15</w:t>
            </w:r>
            <w:r w:rsidRPr="00996051">
              <w:rPr>
                <w:rFonts w:ascii="Tahoma" w:hAnsi="Tahoma" w:cs="Tahoma"/>
                <w:b/>
                <w:bCs/>
                <w:color w:val="0D0D0D" w:themeColor="text1" w:themeTint="F2"/>
                <w:spacing w:val="-10"/>
                <w:sz w:val="26"/>
                <w:szCs w:val="26"/>
                <w:lang w:val="en"/>
              </w:rPr>
              <w:t xml:space="preserve"> years</w:t>
            </w:r>
          </w:p>
        </w:tc>
      </w:tr>
      <w:tr w14:paraId="7FB01C39" w14:textId="7E0F3449" w:rsidTr="00941C35">
        <w:tblPrEx>
          <w:tblW w:w="5000" w:type="pct"/>
          <w:tblLook w:val="04A0"/>
        </w:tblPrEx>
        <w:tc>
          <w:tcPr>
            <w:tcW w:w="1159" w:type="pct"/>
            <w:tcBorders>
              <w:top w:val="single" w:sz="8" w:space="0" w:color="000000"/>
            </w:tcBorders>
          </w:tcPr>
          <w:p w:rsidR="00996051" w:rsidRPr="008A5E62" w:rsidP="00996051" w14:paraId="0E469777" w14:textId="477D4417">
            <w:pPr>
              <w:bidi w:val="0"/>
              <w:spacing w:after="100" w:line="240" w:lineRule="auto"/>
              <w:rPr>
                <w:rFonts w:ascii="Tahoma" w:hAnsi="Tahoma" w:cs="Tahoma"/>
                <w:bCs/>
                <w:color w:val="0D0D0D" w:themeColor="text1" w:themeTint="F2"/>
                <w:w w:val="90"/>
                <w:sz w:val="18"/>
                <w:szCs w:val="18"/>
                <w:rtl/>
              </w:rPr>
            </w:pPr>
            <w:r w:rsidRPr="00372A0E">
              <w:rPr>
                <w:rFonts w:ascii="Tahoma" w:hAnsi="Tahoma" w:cs="Tahoma"/>
                <w:bCs/>
                <w:color w:val="0D0D0D" w:themeColor="text1" w:themeTint="F2"/>
                <w:w w:val="90"/>
                <w:sz w:val="18"/>
                <w:szCs w:val="18"/>
              </w:rPr>
              <w:t xml:space="preserve">were invested in the business lounges at </w:t>
            </w:r>
            <w:r w:rsidRPr="00372A0E">
              <w:rPr>
                <w:rFonts w:ascii="Tahoma" w:hAnsi="Tahoma" w:cs="Tahoma"/>
                <w:bCs/>
                <w:color w:val="0D0D0D" w:themeColor="text1" w:themeTint="F2"/>
                <w:w w:val="90"/>
                <w:sz w:val="18"/>
                <w:szCs w:val="18"/>
              </w:rPr>
              <w:t>Sha'ar</w:t>
            </w:r>
            <w:r w:rsidRPr="00372A0E">
              <w:rPr>
                <w:rFonts w:ascii="Tahoma" w:hAnsi="Tahoma" w:cs="Tahoma"/>
                <w:bCs/>
                <w:color w:val="0D0D0D" w:themeColor="text1" w:themeTint="F2"/>
                <w:w w:val="90"/>
                <w:sz w:val="18"/>
                <w:szCs w:val="18"/>
              </w:rPr>
              <w:t xml:space="preserve"> Efraim and Gilboa. However, activity in the </w:t>
            </w:r>
            <w:r w:rsidRPr="00372A0E">
              <w:rPr>
                <w:rFonts w:ascii="Tahoma" w:hAnsi="Tahoma" w:cs="Tahoma"/>
                <w:bCs/>
                <w:color w:val="0D0D0D" w:themeColor="text1" w:themeTint="F2"/>
                <w:w w:val="90"/>
                <w:sz w:val="18"/>
                <w:szCs w:val="18"/>
              </w:rPr>
              <w:t>Sha'ar</w:t>
            </w:r>
            <w:r w:rsidRPr="00372A0E">
              <w:rPr>
                <w:rFonts w:ascii="Tahoma" w:hAnsi="Tahoma" w:cs="Tahoma"/>
                <w:bCs/>
                <w:color w:val="0D0D0D" w:themeColor="text1" w:themeTint="F2"/>
                <w:w w:val="90"/>
                <w:sz w:val="18"/>
                <w:szCs w:val="18"/>
              </w:rPr>
              <w:t xml:space="preserve"> Efraim lounge is minimal, and the establishment of the Gilboa lounge has not yet been completed</w:t>
            </w:r>
          </w:p>
        </w:tc>
        <w:tc>
          <w:tcPr>
            <w:tcW w:w="142" w:type="pct"/>
            <w:tcBorders>
              <w:top w:val="single" w:sz="8" w:space="0" w:color="FFFFFF"/>
            </w:tcBorders>
          </w:tcPr>
          <w:p w:rsidR="00996051" w:rsidRPr="008A5E62" w:rsidP="00996051" w14:paraId="452D577E" w14:textId="77777777">
            <w:pPr>
              <w:bidi w:val="0"/>
              <w:spacing w:after="100" w:line="240" w:lineRule="auto"/>
              <w:rPr>
                <w:rFonts w:ascii="Tahoma" w:hAnsi="Tahoma" w:cs="Tahoma"/>
                <w:bCs/>
                <w:color w:val="0D0D0D" w:themeColor="text1" w:themeTint="F2"/>
                <w:w w:val="90"/>
                <w:sz w:val="18"/>
                <w:szCs w:val="18"/>
                <w:rtl/>
              </w:rPr>
            </w:pPr>
          </w:p>
        </w:tc>
        <w:tc>
          <w:tcPr>
            <w:tcW w:w="1138" w:type="pct"/>
            <w:tcBorders>
              <w:top w:val="single" w:sz="8" w:space="0" w:color="000000"/>
            </w:tcBorders>
          </w:tcPr>
          <w:p w:rsidR="00996051" w:rsidRPr="0015187B" w:rsidP="00996051" w14:paraId="77825D81" w14:textId="5E839799">
            <w:pPr>
              <w:bidi w:val="0"/>
              <w:spacing w:after="100" w:line="240" w:lineRule="auto"/>
              <w:rPr>
                <w:rFonts w:ascii="Tahoma" w:hAnsi="Tahoma" w:cs="Tahoma"/>
                <w:bCs/>
                <w:color w:val="0D0D0D" w:themeColor="text1" w:themeTint="F2"/>
                <w:w w:val="90"/>
                <w:sz w:val="18"/>
                <w:szCs w:val="18"/>
                <w:rtl/>
              </w:rPr>
            </w:pPr>
            <w:r w:rsidRPr="00372A0E">
              <w:rPr>
                <w:rFonts w:ascii="Tahoma" w:hAnsi="Tahoma" w:cs="Tahoma"/>
                <w:bCs/>
                <w:color w:val="0D0D0D" w:themeColor="text1" w:themeTint="F2"/>
                <w:w w:val="90"/>
                <w:sz w:val="18"/>
                <w:szCs w:val="18"/>
              </w:rPr>
              <w:t xml:space="preserve">were invested in bridge construction as part of the Jordan Gateway project </w:t>
            </w:r>
          </w:p>
        </w:tc>
        <w:tc>
          <w:tcPr>
            <w:tcW w:w="142" w:type="pct"/>
            <w:tcBorders>
              <w:top w:val="single" w:sz="8" w:space="0" w:color="FFFFFF"/>
            </w:tcBorders>
          </w:tcPr>
          <w:p w:rsidR="00996051" w:rsidRPr="008A5E62" w:rsidP="00996051" w14:paraId="5F4A0ACF" w14:textId="77777777">
            <w:pPr>
              <w:bidi w:val="0"/>
              <w:spacing w:after="100" w:line="240" w:lineRule="auto"/>
              <w:rPr>
                <w:rFonts w:ascii="Tahoma" w:hAnsi="Tahoma" w:cs="Tahoma"/>
                <w:bCs/>
                <w:color w:val="0D0D0D" w:themeColor="text1" w:themeTint="F2"/>
                <w:w w:val="90"/>
                <w:sz w:val="18"/>
                <w:szCs w:val="18"/>
                <w:rtl/>
              </w:rPr>
            </w:pPr>
          </w:p>
        </w:tc>
        <w:tc>
          <w:tcPr>
            <w:tcW w:w="1139" w:type="pct"/>
            <w:tcBorders>
              <w:top w:val="single" w:sz="8" w:space="0" w:color="000000"/>
            </w:tcBorders>
          </w:tcPr>
          <w:p w:rsidR="00996051" w:rsidRPr="00353BAA" w:rsidP="00996051" w14:paraId="368D853C" w14:textId="7A591B67">
            <w:pPr>
              <w:bidi w:val="0"/>
              <w:spacing w:after="100" w:line="240" w:lineRule="auto"/>
              <w:ind w:right="23"/>
            </w:pPr>
            <w:r w:rsidRPr="00372A0E">
              <w:rPr>
                <w:rFonts w:ascii="Tahoma" w:hAnsi="Tahoma" w:cs="Tahoma"/>
                <w:bCs/>
                <w:color w:val="0D0D0D" w:themeColor="text1" w:themeTint="F2"/>
                <w:w w:val="90"/>
                <w:sz w:val="18"/>
                <w:szCs w:val="18"/>
              </w:rPr>
              <w:t>have passed since the signing of the agreement with the Kingdom of Jordan to establish the Jordan Gateway project. In practice, its construction has been halted</w:t>
            </w:r>
          </w:p>
        </w:tc>
        <w:tc>
          <w:tcPr>
            <w:tcW w:w="142" w:type="pct"/>
          </w:tcPr>
          <w:p w:rsidR="00996051" w:rsidRPr="00B662F5" w:rsidP="00996051" w14:paraId="2855BDCC" w14:textId="77777777">
            <w:pPr>
              <w:bidi w:val="0"/>
              <w:spacing w:after="100" w:line="240" w:lineRule="auto"/>
              <w:ind w:right="23"/>
              <w:rPr>
                <w:rFonts w:ascii="Tahoma" w:hAnsi="Tahoma" w:cs="Tahoma"/>
                <w:bCs/>
                <w:color w:val="0D0D0D" w:themeColor="text1" w:themeTint="F2"/>
                <w:w w:val="90"/>
                <w:sz w:val="18"/>
                <w:szCs w:val="18"/>
              </w:rPr>
            </w:pPr>
          </w:p>
        </w:tc>
        <w:tc>
          <w:tcPr>
            <w:tcW w:w="1138" w:type="pct"/>
            <w:tcBorders>
              <w:top w:val="single" w:sz="8" w:space="0" w:color="000000"/>
            </w:tcBorders>
          </w:tcPr>
          <w:p w:rsidR="00996051" w:rsidRPr="00B662F5" w:rsidP="00996051" w14:paraId="7C5F0D74" w14:textId="2BD736AB">
            <w:pPr>
              <w:bidi w:val="0"/>
              <w:spacing w:after="100" w:line="240" w:lineRule="auto"/>
              <w:ind w:right="23"/>
              <w:rPr>
                <w:rFonts w:ascii="Tahoma" w:hAnsi="Tahoma" w:cs="Tahoma"/>
                <w:bCs/>
                <w:color w:val="0D0D0D" w:themeColor="text1" w:themeTint="F2"/>
                <w:w w:val="90"/>
                <w:sz w:val="18"/>
                <w:szCs w:val="18"/>
              </w:rPr>
            </w:pPr>
            <w:r w:rsidRPr="00372A0E">
              <w:rPr>
                <w:rFonts w:ascii="Tahoma" w:hAnsi="Tahoma" w:cs="Tahoma"/>
                <w:bCs/>
                <w:color w:val="0D0D0D" w:themeColor="text1" w:themeTint="F2"/>
                <w:w w:val="90"/>
                <w:sz w:val="18"/>
                <w:szCs w:val="18"/>
              </w:rPr>
              <w:t>have passed since the government decision to establish a Ministerial Committee for Regional Cooperation, but the committee has not been formed</w:t>
            </w:r>
          </w:p>
        </w:tc>
      </w:tr>
    </w:tbl>
    <w:p w:rsidR="002A18A0" w14:paraId="5146DA0D" w14:textId="77777777">
      <w:pPr>
        <w:bidi w:val="0"/>
        <w:rPr>
          <w:rFonts w:ascii="Tahoma" w:hAnsi="Tahoma" w:cs="Tahoma"/>
          <w:b/>
          <w:bCs/>
          <w:color w:val="00305F"/>
          <w:sz w:val="32"/>
          <w:szCs w:val="32"/>
        </w:rPr>
      </w:pPr>
      <w:bookmarkStart w:id="6" w:name="_Hlk62029958"/>
      <w:r>
        <w:rPr>
          <w:rFonts w:ascii="Tahoma" w:hAnsi="Tahoma" w:cs="Tahoma"/>
          <w:b/>
          <w:bCs/>
          <w:color w:val="00305F"/>
          <w:sz w:val="32"/>
          <w:szCs w:val="32"/>
        </w:rPr>
        <w:br w:type="page"/>
      </w:r>
    </w:p>
    <w:p w:rsidR="001E44CF" w:rsidP="009661D6" w14:paraId="5BE35871" w14:textId="6DAAECAF">
      <w:pPr>
        <w:bidi w:val="0"/>
        <w:spacing w:before="120" w:after="180" w:line="240" w:lineRule="atLeast"/>
        <w:rPr>
          <w:rFonts w:ascii="Tahoma" w:hAnsi="Tahoma" w:cs="Tahoma"/>
          <w:b/>
          <w:bCs/>
          <w:color w:val="00305F"/>
          <w:sz w:val="32"/>
          <w:szCs w:val="32"/>
        </w:rPr>
      </w:pPr>
      <w:r>
        <w:rPr>
          <w:rFonts w:ascii="Tahoma" w:hAnsi="Tahoma" w:cs="Tahoma"/>
          <w:b/>
          <w:bCs/>
          <w:noProof/>
          <w:color w:val="003364"/>
          <w:w w:val="90"/>
          <w:sz w:val="32"/>
          <w:szCs w:val="32"/>
        </w:rPr>
        <w:drawing>
          <wp:inline distT="0" distB="0" distL="0" distR="0">
            <wp:extent cx="4679950" cy="45720"/>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9A341D" w:rsidRPr="00902625" w:rsidP="001E44CF" w14:paraId="62E9D9E2" w14:textId="3876BB59">
      <w:pPr>
        <w:bidi w:val="0"/>
        <w:spacing w:before="120" w:after="180" w:line="240" w:lineRule="atLeast"/>
        <w:rPr>
          <w:rFonts w:ascii="Tahoma" w:hAnsi="Tahoma" w:cs="Tahoma"/>
          <w:b/>
          <w:bCs/>
          <w:color w:val="00305F"/>
          <w:sz w:val="32"/>
          <w:szCs w:val="32"/>
        </w:rPr>
      </w:pPr>
      <w:r w:rsidRPr="00667F8D">
        <w:rPr>
          <w:noProof/>
        </w:rPr>
        <w:drawing>
          <wp:anchor distT="0" distB="0" distL="0" distR="0" simplePos="0" relativeHeight="251687936" behindDoc="1" locked="0" layoutInCell="1" allowOverlap="1">
            <wp:simplePos x="0" y="0"/>
            <wp:positionH relativeFrom="margin">
              <wp:posOffset>0</wp:posOffset>
            </wp:positionH>
            <wp:positionV relativeFrom="margin">
              <wp:posOffset>638810</wp:posOffset>
            </wp:positionV>
            <wp:extent cx="161925" cy="177800"/>
            <wp:effectExtent l="0" t="0" r="3175" b="0"/>
            <wp:wrapTight wrapText="bothSides">
              <wp:wrapPolygon>
                <wp:start x="0" y="0"/>
                <wp:lineTo x="0" y="16971"/>
                <wp:lineTo x="11859" y="20057"/>
                <wp:lineTo x="20329" y="20057"/>
                <wp:lineTo x="20329" y="10800"/>
                <wp:lineTo x="16941" y="0"/>
                <wp:lineTo x="0" y="0"/>
              </wp:wrapPolygon>
            </wp:wrapTight>
            <wp:docPr id="21" name="תמונה 33"/>
            <wp:cNvGraphicFramePr/>
            <a:graphic xmlns:a="http://schemas.openxmlformats.org/drawingml/2006/main">
              <a:graphicData uri="http://schemas.openxmlformats.org/drawingml/2006/picture">
                <pic:pic xmlns:pic="http://schemas.openxmlformats.org/drawingml/2006/picture">
                  <pic:nvPicPr>
                    <pic:cNvPr id="21" name="תמונה 33"/>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1925" cy="17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5F94" w:rsidR="008615A2">
        <w:rPr>
          <w:rFonts w:ascii="Tahoma" w:hAnsi="Tahoma" w:cs="Tahoma"/>
          <w:b/>
          <w:bCs/>
          <w:color w:val="00305F"/>
          <w:sz w:val="32"/>
          <w:szCs w:val="32"/>
        </w:rPr>
        <w:t xml:space="preserve">Audit </w:t>
      </w:r>
      <w:r w:rsidR="004806D7">
        <w:rPr>
          <w:rFonts w:ascii="Tahoma" w:hAnsi="Tahoma" w:cs="Tahoma"/>
          <w:b/>
          <w:bCs/>
          <w:color w:val="00305F"/>
          <w:sz w:val="32"/>
          <w:szCs w:val="32"/>
        </w:rPr>
        <w:t>A</w:t>
      </w:r>
      <w:r w:rsidRPr="00AE5F94" w:rsidR="008615A2">
        <w:rPr>
          <w:rFonts w:ascii="Tahoma" w:hAnsi="Tahoma" w:cs="Tahoma"/>
          <w:b/>
          <w:bCs/>
          <w:color w:val="00305F"/>
          <w:sz w:val="32"/>
          <w:szCs w:val="32"/>
        </w:rPr>
        <w:t>ctions</w:t>
      </w:r>
    </w:p>
    <w:bookmarkEnd w:id="6"/>
    <w:p w:rsidR="00A73A45" w:rsidRPr="00667F8D" w:rsidP="00667F8D" w14:paraId="602B8997" w14:textId="27642116">
      <w:pPr>
        <w:pStyle w:val="719"/>
        <w:bidi w:val="0"/>
        <w:ind w:left="397"/>
      </w:pPr>
      <w:r w:rsidRPr="00372A0E">
        <w:t xml:space="preserve">From August 2023 to January 2024, the State Comptroller's Office examined aspects of the Ministry for Regional Cooperation's activities. The audit was conducted primarily within the Ministry for Regional Cooperation, with additional </w:t>
      </w:r>
      <w:r w:rsidRPr="00372A0E">
        <w:t>examintions</w:t>
      </w:r>
      <w:r w:rsidRPr="00372A0E">
        <w:t xml:space="preserve"> carried out in the Budget Department of the Ministry of Finance and in the Ministry of Environmental Protection. In addition, information was sought from nonprofit organizations involved in promoting regional cooperation projects. These NPOs are not subject to oversight under the State Comptroller Law, 1958 (Consolidated Version</w:t>
      </w:r>
      <w:r>
        <w:t>)</w:t>
      </w:r>
      <w:r w:rsidRPr="00667F8D" w:rsidR="00FF2854">
        <w:t>.</w:t>
      </w:r>
    </w:p>
    <w:p w:rsidR="000A1D75" w:rsidP="00B56681" w14:paraId="44F553C6" w14:textId="6D5C69C9">
      <w:pPr>
        <w:keepNext/>
        <w:keepLines/>
        <w:bidi w:val="0"/>
        <w:spacing w:before="600"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0A1D75" w:rsidP="009661D6" w14:paraId="129BA907" w14:textId="147575D3">
      <w:pPr>
        <w:keepNext/>
        <w:keepLines/>
        <w:bidi w:val="0"/>
        <w:spacing w:before="120" w:after="180" w:line="240" w:lineRule="atLeast"/>
        <w:rPr>
          <w:rFonts w:ascii="Tahoma" w:hAnsi="Tahoma" w:cs="Tahoma"/>
          <w:b/>
          <w:bCs/>
          <w:color w:val="00305F"/>
          <w:sz w:val="32"/>
          <w:szCs w:val="32"/>
          <w:rtl/>
        </w:rPr>
      </w:pPr>
      <w:bookmarkStart w:id="7" w:name="_Hlk62030689"/>
      <w:r w:rsidRPr="00AE5F94">
        <w:rPr>
          <w:rFonts w:ascii="Tahoma" w:hAnsi="Tahoma" w:cs="Tahoma"/>
          <w:b/>
          <w:bCs/>
          <w:color w:val="00305F"/>
          <w:sz w:val="32"/>
          <w:szCs w:val="32"/>
        </w:rPr>
        <w:t xml:space="preserve">Key </w:t>
      </w:r>
      <w:r w:rsidR="004806D7">
        <w:rPr>
          <w:rFonts w:ascii="Tahoma" w:hAnsi="Tahoma" w:cs="Tahoma"/>
          <w:b/>
          <w:bCs/>
          <w:color w:val="00305F"/>
          <w:sz w:val="32"/>
          <w:szCs w:val="32"/>
        </w:rPr>
        <w:t>F</w:t>
      </w:r>
      <w:r w:rsidRPr="00AE5F94">
        <w:rPr>
          <w:rFonts w:ascii="Tahoma" w:hAnsi="Tahoma" w:cs="Tahoma"/>
          <w:b/>
          <w:bCs/>
          <w:color w:val="00305F"/>
          <w:sz w:val="32"/>
          <w:szCs w:val="32"/>
        </w:rPr>
        <w:t>indings</w:t>
      </w:r>
    </w:p>
    <w:p w:rsidR="00BD3044" w:rsidRPr="00BD3044" w:rsidP="00BD3044" w14:paraId="007359CF" w14:textId="2DF255FA">
      <w:pPr>
        <w:keepNext/>
        <w:keepLines/>
        <w:bidi w:val="0"/>
        <w:spacing w:after="180" w:line="240" w:lineRule="atLeast"/>
        <w:rPr>
          <w:rFonts w:ascii="Tahoma" w:hAnsi="Tahoma" w:cs="Tahoma"/>
          <w:b/>
          <w:bCs/>
          <w:color w:val="00305F"/>
          <w:sz w:val="4"/>
          <w:szCs w:val="4"/>
          <w:rtl/>
        </w:rPr>
      </w:pPr>
      <w:r>
        <w:rPr>
          <w:b/>
          <w:bCs/>
          <w:noProof/>
          <w:sz w:val="18"/>
        </w:rPr>
        <w:drawing>
          <wp:anchor distT="0" distB="0" distL="114300" distR="114300" simplePos="0" relativeHeight="251673600" behindDoc="1" locked="0" layoutInCell="1" allowOverlap="1">
            <wp:simplePos x="0" y="0"/>
            <wp:positionH relativeFrom="column">
              <wp:posOffset>1270</wp:posOffset>
            </wp:positionH>
            <wp:positionV relativeFrom="paragraph">
              <wp:posOffset>38295</wp:posOffset>
            </wp:positionV>
            <wp:extent cx="2879725" cy="158115"/>
            <wp:effectExtent l="0" t="0" r="0" b="0"/>
            <wp:wrapTight wrapText="bothSides">
              <wp:wrapPolygon>
                <wp:start x="4191" y="0"/>
                <wp:lineTo x="0" y="5205"/>
                <wp:lineTo x="0" y="8675"/>
                <wp:lineTo x="4191" y="19084"/>
                <wp:lineTo x="5906" y="19084"/>
                <wp:lineTo x="21433" y="8675"/>
                <wp:lineTo x="21433" y="5205"/>
                <wp:lineTo x="5906" y="0"/>
                <wp:lineTo x="4191"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bookmarkEnd w:id="7"/>
    <w:p w:rsidR="00EA3DAD" w:rsidP="00667F8D" w14:paraId="6867AAEC" w14:textId="61FDBEAE">
      <w:pPr>
        <w:pStyle w:val="7191"/>
        <w:bidi w:val="0"/>
        <w:spacing w:before="240"/>
        <w:ind w:left="397"/>
      </w:pPr>
      <w:r w:rsidRPr="00996051">
        <w:rPr>
          <w:rFonts w:hint="cs"/>
          <w:b/>
          <w:bCs/>
          <w:noProof/>
          <w:rtl/>
        </w:rPr>
        <w:drawing>
          <wp:anchor distT="0" distB="0" distL="0" distR="0" simplePos="0" relativeHeight="251674624"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96051" w:rsidR="00996051">
        <w:rPr>
          <w:b/>
          <w:bCs/>
          <w:noProof/>
        </w:rPr>
        <w:t>Government Decision to Establish the Ministry for Regional Cooperation –</w:t>
      </w:r>
      <w:r w:rsidRPr="00372A0E" w:rsidR="00996051">
        <w:rPr>
          <w:noProof/>
        </w:rPr>
        <w:t xml:space="preserve"> In the June 2009 government decision to establish the Ministry for Regional Cooperation (MRC), the Ministry's function was defined, but its authority was not. This contrasts with the Ministry for the Development of the Negev and Galilee, for which specific areas of authority were outlined in the relevant government decision, as well as the decision establishing the Authority for Economic and Social Development of the Druze and Circassian Sectors. The audit revealed that neither the government decision nor any other binding source clearly defined the responsibilities of the MRC. In order to advance and implement its key projects, the Ministry depends on the cooperation and goodwill of other government ministries and agencies. As a result, most of the Ministry's projects have been delayed for many years and have yet to materialize. For example, the completion of the Jordan Gateway project has been significantly delayed, despite 26 years having passed since the agreement to establish it was signed, and 12 years since the first government decision addressing the project</w:t>
      </w:r>
      <w:r w:rsidRPr="00D12832">
        <w:t>.</w:t>
      </w:r>
    </w:p>
    <w:p w:rsidR="00D12832" w:rsidRPr="00D12832" w:rsidP="00667F8D" w14:paraId="2E8C0936" w14:textId="773E5270">
      <w:pPr>
        <w:pStyle w:val="7191"/>
        <w:bidi w:val="0"/>
        <w:spacing w:before="240"/>
        <w:ind w:left="397"/>
      </w:pPr>
      <w:r w:rsidRPr="00996051">
        <w:rPr>
          <w:rFonts w:hint="cs"/>
          <w:b/>
          <w:bCs/>
          <w:noProof/>
          <w:rtl/>
        </w:rPr>
        <w:drawing>
          <wp:anchor distT="0" distB="0" distL="0" distR="0" simplePos="0" relativeHeight="251691008"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34168750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87503"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96051" w:rsidR="00996051">
        <w:rPr>
          <w:b/>
          <w:bCs/>
          <w:noProof/>
        </w:rPr>
        <w:t>The Ministerial Committee for Regional Cooperation –</w:t>
      </w:r>
      <w:r w:rsidRPr="00372A0E" w:rsidR="00996051">
        <w:rPr>
          <w:noProof/>
        </w:rPr>
        <w:t xml:space="preserve"> </w:t>
      </w:r>
      <w:r w:rsidRPr="00372A0E" w:rsidR="00996051">
        <w:rPr>
          <w:bCs/>
        </w:rPr>
        <w:t>The June 2009 government decision regarding the establishment of the Ministry for Regional Cooperation (MRC) stipulated that a Ministerial Committee for Regional Cooperation would be established, to be chaired by the Minister for Regional Cooperation. The decision also stated that the committee's composition and authority would be determined in a separate government decision. However, despite the 2009 government decision, the Ministerial Committee for Regional Cooperation was never established or convened</w:t>
      </w:r>
      <w:r w:rsidRPr="00D12832">
        <w:t>.</w:t>
      </w:r>
    </w:p>
    <w:p w:rsidR="00D12832" w:rsidRPr="00D12832" w:rsidP="00667F8D" w14:paraId="6748FEEA" w14:textId="5DF07B5E">
      <w:pPr>
        <w:pStyle w:val="7191"/>
        <w:bidi w:val="0"/>
        <w:spacing w:before="240"/>
        <w:ind w:left="397"/>
      </w:pPr>
      <w:r w:rsidRPr="00996051">
        <w:rPr>
          <w:rFonts w:hint="cs"/>
          <w:b/>
          <w:bCs/>
          <w:noProof/>
          <w:rtl/>
        </w:rPr>
        <w:drawing>
          <wp:anchor distT="0" distB="0" distL="0" distR="0" simplePos="0" relativeHeight="251692032"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5253067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0679"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96051" w:rsidR="00996051">
        <w:rPr>
          <w:b/>
          <w:bCs/>
          <w:noProof/>
        </w:rPr>
        <w:t>The Organizational Structure of the Ministry for Regional Cooperation –</w:t>
      </w:r>
      <w:r w:rsidRPr="00372A0E" w:rsidR="00996051">
        <w:rPr>
          <w:bCs/>
        </w:rPr>
        <w:t xml:space="preserve"> During the audited years, the Ministry's staffing level averaged 84% of its authorized positions, with 29 positions filled out of an average of 34.5 authorized positions. Furthermore, the </w:t>
      </w:r>
      <w:r w:rsidRPr="00372A0E" w:rsidR="00996051">
        <w:rPr>
          <w:bCs/>
        </w:rPr>
        <w:t>audit revealed that approximately 20 positions (out of an average of 34.5) were designated for political appointees in the offices of the Minister and the Director-General, leaving professional roles in the Ministry understaffed. As a result, the Ministry became heavily reliant on a single official: the Director of the Economics Division, who has served in the role since July 2017. Among the professional staff, he is one of the few who has remained with the Ministry for an extended period</w:t>
      </w:r>
      <w:r w:rsidRPr="00D12832">
        <w:t>.</w:t>
      </w:r>
    </w:p>
    <w:p w:rsidR="00D12832" w:rsidRPr="00D12832" w:rsidP="00667F8D" w14:paraId="2EE4E33B" w14:textId="0A99E201">
      <w:pPr>
        <w:pStyle w:val="7191"/>
        <w:bidi w:val="0"/>
        <w:spacing w:before="240"/>
        <w:ind w:left="397"/>
      </w:pPr>
      <w:r w:rsidRPr="00996051">
        <w:rPr>
          <w:rFonts w:hint="cs"/>
          <w:b/>
          <w:bCs/>
          <w:noProof/>
          <w:rtl/>
        </w:rPr>
        <w:drawing>
          <wp:anchor distT="0" distB="0" distL="0" distR="0" simplePos="0" relativeHeight="251693056"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35719256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192565"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96051" w:rsidR="00996051">
        <w:rPr>
          <w:b/>
          <w:bCs/>
          <w:noProof/>
        </w:rPr>
        <w:t>Internal Auditing in the Ministry for Regional Cooperation –</w:t>
      </w:r>
      <w:r w:rsidRPr="00372A0E" w:rsidR="00996051">
        <w:rPr>
          <w:bCs/>
        </w:rPr>
        <w:t xml:space="preserve"> Despite the significant importance of the Jordan Gateway and Red Sea</w:t>
      </w:r>
      <w:r w:rsidRPr="00372A0E" w:rsidR="00996051">
        <w:rPr>
          <w:noProof/>
        </w:rPr>
        <w:t>–</w:t>
      </w:r>
      <w:r w:rsidRPr="00372A0E" w:rsidR="00996051">
        <w:rPr>
          <w:bCs/>
        </w:rPr>
        <w:t xml:space="preserve">Dead Sea Canal projects, the activities carried out under the Ministry for Regional Cooperation's calls for proposals, and the grants provided under Section 3A of the Budget Law, no internal audits have been conducted to examine these projects and activities. The absence of internal audits to review the projects that the Ministry for Regional Cooperation </w:t>
      </w:r>
      <w:r w:rsidRPr="00372A0E" w:rsidR="00996051">
        <w:rPr>
          <w:bCs/>
        </w:rPr>
        <w:t>is in charge of</w:t>
      </w:r>
      <w:r w:rsidRPr="00372A0E" w:rsidR="00996051">
        <w:rPr>
          <w:bCs/>
        </w:rPr>
        <w:t xml:space="preserve"> (as well as its activity related to calls for proposals, grants, and various financial operations) hinders the ability to present the Ministry's leadership and relevant stakeholders with insights into the significant delays in implementing these projects. Furthermore, it prevents the drawing of lessons learned that could benefit other projects</w:t>
      </w:r>
      <w:r w:rsidRPr="00D12832">
        <w:t>.</w:t>
      </w:r>
    </w:p>
    <w:p w:rsidR="00D12832" w:rsidRPr="00D12832" w:rsidP="00667F8D" w14:paraId="17B4BF12" w14:textId="6A180A83">
      <w:pPr>
        <w:pStyle w:val="7191"/>
        <w:bidi w:val="0"/>
        <w:spacing w:before="240"/>
        <w:ind w:left="397"/>
      </w:pPr>
      <w:r w:rsidRPr="00996051">
        <w:rPr>
          <w:rFonts w:hint="cs"/>
          <w:b/>
          <w:bCs/>
          <w:noProof/>
          <w:rtl/>
        </w:rPr>
        <w:drawing>
          <wp:anchor distT="0" distB="0" distL="0" distR="0" simplePos="0" relativeHeight="251694080"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73685758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57582"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96051" w:rsidR="00996051">
        <w:rPr>
          <w:b/>
          <w:bCs/>
          <w:noProof/>
        </w:rPr>
        <w:t>The Jordan Gateway Project –</w:t>
      </w:r>
      <w:r w:rsidRPr="00372A0E" w:rsidR="00996051">
        <w:rPr>
          <w:bCs/>
        </w:rPr>
        <w:t xml:space="preserve"> The Jordan Gateway Project is an initiative for a joint industrial park between Israel and the Kingdom of Jordan. The Jordanian side of the project was intended to house Israeli and Jordanian factories, while the Israeli side was planned to serve as a logistics hub and a base for transporting goods to Israeli ports. Despite over NIS 60 million having been invested in the project and the approximately 26 years passed since the agreement to establish it was signed (along with 12 years since the first government decision addressing the project in practical terms), as of the conclusion of this audit construction of the Jordan Gateway project has been halted. In fact, since the bridge's construction in 2019, no further actions have been taken to build or establish additional infrastructure on the Israeli side to advance the project. The continued delay of the Jordan Gateway project jeopardizes the originally envisioned economic benefits and the investment exceeding NIS 60 million. Furthermore, it could undermine the trust between the Kingdom of Jordan and the State of Israel</w:t>
      </w:r>
      <w:r w:rsidRPr="00D12832">
        <w:t>.</w:t>
      </w:r>
    </w:p>
    <w:p w:rsidR="00D12832" w:rsidRPr="00D12832" w:rsidP="00667F8D" w14:paraId="18CA7A28" w14:textId="0B0A56C3">
      <w:pPr>
        <w:pStyle w:val="7191"/>
        <w:bidi w:val="0"/>
        <w:spacing w:before="240"/>
        <w:ind w:left="397"/>
      </w:pPr>
      <w:r w:rsidRPr="00996051">
        <w:rPr>
          <w:rFonts w:hint="cs"/>
          <w:b/>
          <w:bCs/>
          <w:noProof/>
          <w:rtl/>
        </w:rPr>
        <w:drawing>
          <wp:anchor distT="0" distB="0" distL="0" distR="0" simplePos="0" relativeHeight="251695104"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30015594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55946"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96051" w:rsidR="00996051">
        <w:rPr>
          <w:b/>
          <w:bCs/>
          <w:noProof/>
        </w:rPr>
        <w:t>Implementation of the Ministry's Work Plan Projects –</w:t>
      </w:r>
      <w:r w:rsidRPr="00372A0E" w:rsidR="00996051">
        <w:t xml:space="preserve"> </w:t>
      </w:r>
      <w:r w:rsidRPr="00372A0E" w:rsidR="00996051">
        <w:rPr>
          <w:bCs/>
        </w:rPr>
        <w:t>45% of the success indicators and approximately 40% of the Ministry's key indicators for 2019 and 2022, cumulatively, were not fully achieved. For example, it was found that the Ministry for Regional Cooperation failed to fully achieve 80% of the key indicators set in 2022 for the goals of "promoting economic and civil cooperation between Israelis and Palestinians for the mutual benefit of both societies and economies" and "establishing the Ministry as a knowledge hub for regional cooperation." The failure to achieve most of the Ministry's success indicators – among them the key indicators – may indicate poor planning of the annual work plan, as well as deficiencies in the formulation of the Ministry's goals and objectives. It also suggests inefficient and ineffective use of resources and difficulty adapting to changes and unforeseen events in its environment</w:t>
      </w:r>
      <w:r w:rsidRPr="00D12832">
        <w:t>.</w:t>
      </w:r>
    </w:p>
    <w:p w:rsidR="00D12832" w:rsidRPr="00D12832" w:rsidP="00667F8D" w14:paraId="57AD7108" w14:textId="65363581">
      <w:pPr>
        <w:pStyle w:val="7191"/>
        <w:bidi w:val="0"/>
        <w:spacing w:before="240"/>
        <w:ind w:left="397"/>
      </w:pPr>
      <w:r w:rsidRPr="005D4761">
        <w:rPr>
          <w:rFonts w:hint="cs"/>
          <w:b/>
          <w:bCs/>
          <w:noProof/>
          <w:rtl/>
        </w:rPr>
        <w:drawing>
          <wp:anchor distT="0" distB="0" distL="0" distR="0" simplePos="0" relativeHeight="251696128" behindDoc="0" locked="0" layoutInCell="1" allowOverlap="1">
            <wp:simplePos x="0" y="0"/>
            <wp:positionH relativeFrom="column">
              <wp:posOffset>15875</wp:posOffset>
            </wp:positionH>
            <wp:positionV relativeFrom="paragraph">
              <wp:posOffset>24221</wp:posOffset>
            </wp:positionV>
            <wp:extent cx="162000" cy="162000"/>
            <wp:effectExtent l="0" t="0" r="3175" b="3175"/>
            <wp:wrapSquare wrapText="bothSides"/>
            <wp:docPr id="114911004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10044"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D4761" w:rsidR="00996051">
        <w:rPr>
          <w:b/>
          <w:bCs/>
        </w:rPr>
        <w:t xml:space="preserve">Budget Execution Rates of the Ministry </w:t>
      </w:r>
      <w:r w:rsidRPr="005D4761" w:rsidR="00996051">
        <w:rPr>
          <w:b/>
          <w:bCs/>
          <w:noProof/>
        </w:rPr>
        <w:t>–</w:t>
      </w:r>
      <w:r w:rsidRPr="005D4761" w:rsidR="00996051">
        <w:t xml:space="preserve"> </w:t>
      </w:r>
      <w:r w:rsidRPr="005D4761" w:rsidR="00996051">
        <w:rPr>
          <w:noProof/>
        </w:rPr>
        <w:t>In the years 2018–2023, the Ministry was</w:t>
      </w:r>
      <w:r w:rsidRPr="00372A0E" w:rsidR="00996051">
        <w:rPr>
          <w:bCs/>
        </w:rPr>
        <w:t xml:space="preserve"> allocated an annual budget ranging from approximately NIS 39.3 million to NIS 73.7 million. Of this amount, the Ministry utilized up to 49% of its total approved budget, with only 12% to 41% of the budget designated for initiating projects and implementing its programs being executed. Additionally, on a cumulative basis in the years 2018–2023, the Ministry spent approximately 40% more on its operational costs than on activities aimed at fulfilling its mission. In the years 2018–2019, approximately 85% of the Ministry’s financial resources were spent on salaries and operational expenses</w:t>
      </w:r>
      <w:r w:rsidRPr="00D12832">
        <w:t>.</w:t>
      </w:r>
    </w:p>
    <w:p w:rsidR="00D12832" w:rsidRPr="00D12832" w:rsidP="00667F8D" w14:paraId="0C1A70B1" w14:textId="6C4AFE2D">
      <w:pPr>
        <w:pStyle w:val="7191"/>
        <w:bidi w:val="0"/>
        <w:spacing w:before="240"/>
        <w:ind w:left="397"/>
      </w:pPr>
      <w:r w:rsidRPr="00996051">
        <w:rPr>
          <w:rFonts w:hint="cs"/>
          <w:b/>
          <w:bCs/>
          <w:noProof/>
          <w:rtl/>
        </w:rPr>
        <w:drawing>
          <wp:anchor distT="0" distB="0" distL="0" distR="0" simplePos="0" relativeHeight="251697152"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76205747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5747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96051" w:rsidR="00996051">
        <w:rPr>
          <w:b/>
          <w:bCs/>
          <w:noProof/>
        </w:rPr>
        <w:t>Business Lounge Projects at Land Crossings from the Palestinian Authority –</w:t>
      </w:r>
      <w:r w:rsidRPr="00372A0E" w:rsidR="00996051">
        <w:rPr>
          <w:bCs/>
        </w:rPr>
        <w:t xml:space="preserve"> Over the years, there has been a downward trend in business activity at the </w:t>
      </w:r>
      <w:r w:rsidRPr="00372A0E" w:rsidR="00996051">
        <w:rPr>
          <w:bCs/>
        </w:rPr>
        <w:t>Sha'ar</w:t>
      </w:r>
      <w:r w:rsidRPr="00372A0E" w:rsidR="00996051">
        <w:rPr>
          <w:bCs/>
        </w:rPr>
        <w:t xml:space="preserve"> Efraim business lounge, which was constructed at a cost of approximately NIS 4 million. This decline is reflected both in the number of participants in business activity </w:t>
      </w:r>
      <w:r w:rsidRPr="00372A0E" w:rsidR="00996051">
        <w:rPr>
          <w:noProof/>
        </w:rPr>
        <w:t xml:space="preserve">– </w:t>
      </w:r>
      <w:r w:rsidRPr="00372A0E" w:rsidR="00996051">
        <w:rPr>
          <w:bCs/>
        </w:rPr>
        <w:t>which decreased from 609 in 2018 to 405 in 2023 and in the proportion of business activity for which the lounge was originally intended, dropping from 88% in 2018 to 60% in 2023. Although the lounge was initially designed to facilitate meetings between businesspeople, it lacks common support tools for such interactions, such as wireless internet access, printers, and computer stations. Additionally, the construction of the business lounge at the Gilboa Crossing, for which the Ministry for Regional Cooperation allocated NIS 3 million for planning and construction, remains incomplete and has yet to fulfill its original purpose</w:t>
      </w:r>
      <w:r w:rsidRPr="00D12832">
        <w:t>.</w:t>
      </w:r>
    </w:p>
    <w:p w:rsidR="00D12832" w:rsidRPr="00D12832" w:rsidP="00667F8D" w14:paraId="069B7160" w14:textId="3E7E92D8">
      <w:pPr>
        <w:pStyle w:val="7191"/>
        <w:bidi w:val="0"/>
        <w:spacing w:before="240"/>
        <w:ind w:left="397"/>
      </w:pPr>
      <w:r w:rsidRPr="00996051">
        <w:rPr>
          <w:rFonts w:hint="cs"/>
          <w:b/>
          <w:bCs/>
          <w:noProof/>
          <w:rtl/>
        </w:rPr>
        <w:drawing>
          <wp:anchor distT="0" distB="0" distL="0" distR="0" simplePos="0" relativeHeight="251698176"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48214290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42900"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96051" w:rsidR="00996051">
        <w:rPr>
          <w:b/>
          <w:bCs/>
          <w:noProof/>
        </w:rPr>
        <w:t>The Joint Economic Committee (JEC) for Israel and the Palestinians –</w:t>
      </w:r>
      <w:r w:rsidRPr="00372A0E" w:rsidR="00996051">
        <w:rPr>
          <w:bCs/>
        </w:rPr>
        <w:t xml:space="preserve"> Despite the importance attributed to the convening of the Joint Economic Committee (JEC) for Israel and the Palestinians, and despite its inclusion as one of the primary tasks in the Ministry's work plan, as of the conclusion of this audit the JEC has convened only once under the MRC, on September 2, 2009. It should be noted that a meeting of the JEC was scheduled for June 2023 but was postponed by the Palestinians. Another meeting was planned for September 13, 2023, but the Palestinians requested another postponement to October 26, 2023. However, due to the outbreak of the Swords of Iron War on October 7, 2023, the committee did not convene as planned, and at this stage, no future date has been set for its meeting</w:t>
      </w:r>
      <w:r w:rsidRPr="00D12832">
        <w:t>.</w:t>
      </w:r>
    </w:p>
    <w:p w:rsidR="00D12832" w:rsidRPr="00D12832" w:rsidP="00667F8D" w14:paraId="115A7031" w14:textId="4428D5B8">
      <w:pPr>
        <w:pStyle w:val="7191"/>
        <w:bidi w:val="0"/>
        <w:spacing w:before="240"/>
        <w:ind w:left="397"/>
      </w:pPr>
      <w:r w:rsidRPr="00996051">
        <w:rPr>
          <w:rFonts w:hint="cs"/>
          <w:b/>
          <w:bCs/>
          <w:noProof/>
          <w:rtl/>
        </w:rPr>
        <w:drawing>
          <wp:anchor distT="0" distB="0" distL="0" distR="0" simplePos="0" relativeHeight="251699200"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46430346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03464"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96051" w:rsidR="00996051">
        <w:rPr>
          <w:b/>
          <w:bCs/>
          <w:noProof/>
        </w:rPr>
        <w:t>Implementation of the Strategic Work Recommendations –</w:t>
      </w:r>
      <w:r w:rsidRPr="00372A0E" w:rsidR="00996051">
        <w:rPr>
          <w:bCs/>
        </w:rPr>
        <w:t xml:space="preserve"> It was found that although the MRC recognizes the strategic needs for regional development, it has not advanced the recommendations of its 2021 strategic work plan. These recommendations included exploring alternatives for improving food security, protection of the seas, and fostering collaboration among specialized entities to provide long-term direction for achieving the Ministry's goals</w:t>
      </w:r>
      <w:r w:rsidRPr="00D12832">
        <w:t>.</w:t>
      </w:r>
    </w:p>
    <w:p w:rsidR="003E0EAA" w:rsidRPr="008874F2" w:rsidP="003E0EAA" w14:paraId="13335FCD" w14:textId="3C836A42">
      <w:pPr>
        <w:pStyle w:val="719"/>
        <w:bidi w:val="0"/>
        <w:rPr>
          <w:rtl/>
        </w:rPr>
      </w:pPr>
      <w:r>
        <w:rPr>
          <w:noProof/>
          <w:sz w:val="19"/>
          <w:szCs w:val="19"/>
        </w:rPr>
        <w:drawing>
          <wp:anchor distT="0" distB="0" distL="114300" distR="114300" simplePos="0" relativeHeight="251679744" behindDoc="0" locked="0" layoutInCell="1" allowOverlap="1">
            <wp:simplePos x="0" y="0"/>
            <wp:positionH relativeFrom="column">
              <wp:posOffset>-3175</wp:posOffset>
            </wp:positionH>
            <wp:positionV relativeFrom="paragraph">
              <wp:posOffset>54787</wp:posOffset>
            </wp:positionV>
            <wp:extent cx="2879725" cy="158115"/>
            <wp:effectExtent l="0" t="0" r="0" b="0"/>
            <wp:wrapNone/>
            <wp:docPr id="14510666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2" name="Picture 2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p w:rsidR="00CF20CC" w:rsidRPr="00FF2854" w:rsidP="00CF20CC" w14:paraId="7D359DB3" w14:textId="56A3268C">
      <w:pPr>
        <w:pStyle w:val="7191"/>
        <w:bidi w:val="0"/>
        <w:spacing w:before="240"/>
        <w:ind w:left="397"/>
        <w:rPr>
          <w:bCs/>
          <w:noProof/>
        </w:rPr>
      </w:pPr>
      <w:r w:rsidRPr="005D4761">
        <w:rPr>
          <w:b/>
          <w:bCs/>
        </w:rPr>
        <w:t xml:space="preserve">Enhancing Cooperation with Morocco </w:t>
      </w:r>
      <w:r w:rsidRPr="005D4761">
        <w:rPr>
          <w:b/>
          <w:bCs/>
          <w:noProof/>
        </w:rPr>
        <w:t>–</w:t>
      </w:r>
      <w:r w:rsidRPr="00372A0E">
        <w:rPr>
          <w:bCs/>
        </w:rPr>
        <w:t xml:space="preserve"> The State Comptroller's Office commends the projects and various collaborations initiated by the Ministry with entities in Morocco. </w:t>
      </w:r>
      <w:r w:rsidRPr="00372A0E">
        <w:rPr>
          <w:bCs/>
        </w:rPr>
        <w:t>These initiatives include organizing delegations to Morocco, convening conferences on culture, sports, and academia, and hosting a delegation of influencers from Morocco in November 2022. Notably, the Ministry facilitated the signing of a memorandum of understanding between the bar associations of both countries in May 2022 and hosted a delegation of Moroccan business leaders in Israel in March 2022 as part of a joint initiative. At a total investment of approximately NIS 4 million, these activities have played a key role in strengthening ties, promoting mutual understanding, and deepening collaboration between the nations</w:t>
      </w:r>
      <w:r w:rsidRPr="00FF2854">
        <w:rPr>
          <w:bCs/>
          <w:noProof/>
        </w:rPr>
        <w:t>.</w:t>
      </w:r>
    </w:p>
    <w:p w:rsidR="00424CEB" w:rsidRPr="00FF2854" w:rsidP="008860A4" w14:paraId="23233861" w14:textId="50693F95">
      <w:pPr>
        <w:pStyle w:val="7191"/>
        <w:bidi w:val="0"/>
        <w:ind w:left="397"/>
        <w:rPr>
          <w:bCs/>
          <w:rtl/>
        </w:rPr>
      </w:pPr>
      <w:r w:rsidRPr="005D4761">
        <w:rPr>
          <w:b/>
          <w:bCs/>
          <w:noProof/>
        </w:rPr>
        <w:t xml:space="preserve">Investment in Innovation Centers and the MEHAMEM Project </w:t>
      </w:r>
      <w:bookmarkStart w:id="8" w:name="_Hlk194416322"/>
      <w:r w:rsidRPr="005D4761">
        <w:rPr>
          <w:b/>
          <w:bCs/>
          <w:noProof/>
        </w:rPr>
        <w:t>–</w:t>
      </w:r>
      <w:bookmarkEnd w:id="8"/>
      <w:r w:rsidRPr="00372A0E">
        <w:rPr>
          <w:noProof/>
        </w:rPr>
        <w:t xml:space="preserve"> The State Comptroller's Office also highlights the Ministry's commitment, in late 2023, to invest in innovation centers and initiate the MEHAMEM project</w:t>
      </w:r>
      <w:r>
        <w:rPr>
          <w:noProof/>
          <w:vertAlign w:val="superscript"/>
          <w:rtl/>
        </w:rPr>
        <w:footnoteReference w:id="2"/>
      </w:r>
      <w:r w:rsidRPr="00372A0E">
        <w:rPr>
          <w:noProof/>
        </w:rPr>
        <w:t xml:space="preserve"> (Training, Information, and</w:t>
      </w:r>
      <w:r w:rsidRPr="00372A0E">
        <w:rPr>
          <w:bCs/>
        </w:rPr>
        <w:t xml:space="preserve"> Research Center</w:t>
      </w:r>
      <w:r>
        <w:rPr>
          <w:bCs/>
        </w:rPr>
        <w:t>)</w:t>
      </w:r>
      <w:r w:rsidRPr="00FF2854">
        <w:rPr>
          <w:bCs/>
        </w:rPr>
        <w:t>.</w:t>
      </w:r>
      <w:r w:rsidRPr="00FF2854">
        <w:rPr>
          <w:bCs/>
          <w:rtl/>
        </w:rPr>
        <w:t xml:space="preserve"> </w:t>
      </w:r>
    </w:p>
    <w:p w:rsidR="004516D9" w:rsidP="004516D9" w14:paraId="3B611378" w14:textId="77777777">
      <w:pPr>
        <w:pStyle w:val="7191"/>
        <w:bidi w:val="0"/>
        <w:spacing w:after="0"/>
      </w:pPr>
    </w:p>
    <w:p w:rsidR="007E0204" w:rsidP="007E0204" w14:paraId="45D89D2D" w14:textId="50C37D57">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0"/>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7E0204" w:rsidRPr="00902625" w:rsidP="007E0204" w14:paraId="221294C0" w14:textId="2073DB49">
      <w:pPr>
        <w:bidi w:val="0"/>
        <w:spacing w:before="120" w:after="240" w:line="240" w:lineRule="atLeast"/>
        <w:rPr>
          <w:rFonts w:ascii="Tahoma" w:hAnsi="Tahoma" w:cs="Tahoma"/>
          <w:b/>
          <w:bCs/>
          <w:color w:val="00305F"/>
          <w:sz w:val="32"/>
          <w:szCs w:val="32"/>
          <w:rtl/>
        </w:rPr>
      </w:pPr>
      <w:r w:rsidRPr="00AE5F94">
        <w:rPr>
          <w:rFonts w:ascii="Tahoma" w:hAnsi="Tahoma" w:cs="Tahoma"/>
          <w:b/>
          <w:bCs/>
          <w:color w:val="00305F"/>
          <w:sz w:val="32"/>
          <w:szCs w:val="32"/>
        </w:rPr>
        <w:t xml:space="preserve">Key </w:t>
      </w:r>
      <w:r w:rsidR="004806D7">
        <w:rPr>
          <w:rFonts w:ascii="Tahoma" w:hAnsi="Tahoma" w:cs="Tahoma"/>
          <w:b/>
          <w:bCs/>
          <w:color w:val="00305F"/>
          <w:sz w:val="32"/>
          <w:szCs w:val="32"/>
        </w:rPr>
        <w:t>R</w:t>
      </w:r>
      <w:r w:rsidRPr="00AE5F94">
        <w:rPr>
          <w:rFonts w:ascii="Tahoma" w:hAnsi="Tahoma" w:cs="Tahoma"/>
          <w:b/>
          <w:bCs/>
          <w:color w:val="00305F"/>
          <w:sz w:val="32"/>
          <w:szCs w:val="32"/>
        </w:rPr>
        <w:t>ecommendations</w:t>
      </w:r>
    </w:p>
    <w:p w:rsidR="007E0204" w:rsidRPr="00C50F58" w:rsidP="00682C3F" w14:paraId="33D561A5" w14:textId="3967E012">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8588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9" name="תמונה 33"/>
            <wp:cNvGraphicFramePr/>
            <a:graphic xmlns:a="http://schemas.openxmlformats.org/drawingml/2006/main">
              <a:graphicData uri="http://schemas.openxmlformats.org/drawingml/2006/picture">
                <pic:pic xmlns:pic="http://schemas.openxmlformats.org/drawingml/2006/picture">
                  <pic:nvPicPr>
                    <pic:cNvPr id="49"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2A0E" w:rsidR="00996051">
        <w:rPr>
          <w:noProof/>
          <w:spacing w:val="-2"/>
          <w:sz w:val="18"/>
          <w:szCs w:val="18"/>
        </w:rPr>
        <w:t>In light of the findings in this audit report, it is recommended that the Prime Minister and the Minister for Regional Cooperation evaluate the need for the continued existence of the Ministry for Regional Cooperation as an independent entity. If it is determined that the Ministry’s activity is essential, a strategic plan should be promptly formulated, including tasks and objectives for the Ministry’s operations, and steps should be taken to implement it. Additionally, there should be a review to decide the necessary authority and resources for the Ministry, in order to enhance its functionality and enable the execution of large-scale infrastructure projects</w:t>
      </w:r>
      <w:r w:rsidRPr="00C50F58">
        <w:rPr>
          <w:rFonts w:hint="cs"/>
          <w:spacing w:val="-2"/>
          <w:sz w:val="18"/>
          <w:szCs w:val="18"/>
        </w:rPr>
        <w:t xml:space="preserve">. </w:t>
      </w:r>
    </w:p>
    <w:p w:rsidR="007E0204" w:rsidP="00682C3F" w14:paraId="1C0FBD87" w14:textId="10E224FB">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8691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7" name="תמונה 33"/>
            <wp:cNvGraphicFramePr/>
            <a:graphic xmlns:a="http://schemas.openxmlformats.org/drawingml/2006/main">
              <a:graphicData uri="http://schemas.openxmlformats.org/drawingml/2006/picture">
                <pic:pic xmlns:pic="http://schemas.openxmlformats.org/drawingml/2006/picture">
                  <pic:nvPicPr>
                    <pic:cNvPr id="47"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2A0E" w:rsidR="00996051">
        <w:rPr>
          <w:noProof/>
          <w:spacing w:val="-2"/>
          <w:sz w:val="18"/>
          <w:szCs w:val="18"/>
        </w:rPr>
        <w:t>It is further recommended that the Ministry, in collaboration with the Government Secretariat, define the responsibilities and authority of the Ministry for Regional Cooperation and align them with the roles assigned to it by the government. The Ministry should also work to establish the Ministerial Committee for Regional Cooperation, as stipulated in the 2009 government decision, and the Minister for Regional Cooperation should ensure that the committee convenes with the necessary frequency</w:t>
      </w:r>
      <w:r w:rsidRPr="00C50F58">
        <w:rPr>
          <w:rFonts w:hint="cs"/>
          <w:spacing w:val="-2"/>
          <w:sz w:val="18"/>
          <w:szCs w:val="18"/>
        </w:rPr>
        <w:t>.</w:t>
      </w:r>
    </w:p>
    <w:p w:rsidR="00D12832" w:rsidRPr="00C50F58" w:rsidP="00D12832" w14:paraId="275C7970" w14:textId="123A2C4D">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0224"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917672958" name="תמונה 33"/>
            <wp:cNvGraphicFramePr/>
            <a:graphic xmlns:a="http://schemas.openxmlformats.org/drawingml/2006/main">
              <a:graphicData uri="http://schemas.openxmlformats.org/drawingml/2006/picture">
                <pic:pic xmlns:pic="http://schemas.openxmlformats.org/drawingml/2006/picture">
                  <pic:nvPicPr>
                    <pic:cNvPr id="1917672958"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2A0E" w:rsidR="00996051">
        <w:rPr>
          <w:noProof/>
          <w:spacing w:val="-2"/>
          <w:sz w:val="18"/>
          <w:szCs w:val="18"/>
        </w:rPr>
        <w:t xml:space="preserve">The Ministry for Regional Cooperation should adapt to geopolitical developments and initiate cooperation projects in areas that are becoming increasingly critical to the region, such as food security and advanced agriculture, water desalination, green energy, and the creation of new and attractive trade routes. Additionally, it is recommended that the Ministry complete the strategic review process initiated in 2021 to develop actionable </w:t>
      </w:r>
      <w:r w:rsidRPr="00372A0E" w:rsidR="00996051">
        <w:rPr>
          <w:noProof/>
          <w:spacing w:val="-2"/>
          <w:sz w:val="18"/>
          <w:szCs w:val="18"/>
        </w:rPr>
        <w:t>decisions for more effectively advancing various regional development projects and work towards their implementation</w:t>
      </w:r>
      <w:r w:rsidRPr="00C50F58">
        <w:rPr>
          <w:rFonts w:hint="cs"/>
          <w:spacing w:val="-2"/>
          <w:sz w:val="18"/>
          <w:szCs w:val="18"/>
        </w:rPr>
        <w:t xml:space="preserve">. </w:t>
      </w:r>
    </w:p>
    <w:p w:rsidR="00D12832" w:rsidRPr="00C50F58" w:rsidP="00AF74DB" w14:paraId="60A330EC" w14:textId="3DAA2B2A">
      <w:pPr>
        <w:pStyle w:val="ListParagraph"/>
        <w:numPr>
          <w:ilvl w:val="0"/>
          <w:numId w:val="0"/>
        </w:numPr>
        <w:bidi w:val="0"/>
        <w:spacing w:after="840" w:line="260" w:lineRule="exact"/>
        <w:ind w:left="397"/>
        <w:rPr>
          <w:spacing w:val="-2"/>
          <w:sz w:val="18"/>
          <w:szCs w:val="18"/>
        </w:rPr>
      </w:pPr>
      <w:r w:rsidRPr="00474ED3">
        <w:rPr>
          <w:rFonts w:hint="eastAsia"/>
          <w:b/>
          <w:bCs/>
          <w:noProof/>
          <w:color w:val="FFFFFF" w:themeColor="background1"/>
          <w:sz w:val="22"/>
          <w:szCs w:val="22"/>
          <w:rtl/>
        </w:rPr>
        <w:drawing>
          <wp:anchor distT="0" distB="0" distL="114300" distR="114300" simplePos="0" relativeHeight="251682816" behindDoc="1" locked="0" layoutInCell="1" allowOverlap="1">
            <wp:simplePos x="0" y="0"/>
            <wp:positionH relativeFrom="column">
              <wp:posOffset>1270</wp:posOffset>
            </wp:positionH>
            <wp:positionV relativeFrom="paragraph">
              <wp:posOffset>1129120</wp:posOffset>
            </wp:positionV>
            <wp:extent cx="4698112" cy="824947"/>
            <wp:effectExtent l="0" t="0" r="1270" b="635"/>
            <wp:wrapNone/>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98112" cy="824947"/>
                    </a:xfrm>
                    <a:prstGeom prst="rect">
                      <a:avLst/>
                    </a:prstGeom>
                  </pic:spPr>
                </pic:pic>
              </a:graphicData>
            </a:graphic>
            <wp14:sizeRelH relativeFrom="margin">
              <wp14:pctWidth>0</wp14:pctWidth>
            </wp14:sizeRelH>
            <wp14:sizeRelV relativeFrom="margin">
              <wp14:pctHeight>0</wp14:pctHeight>
            </wp14:sizeRelV>
          </wp:anchor>
        </w:drawing>
      </w:r>
      <w:r w:rsidRPr="00C50F58">
        <w:rPr>
          <w:noProof/>
          <w:spacing w:val="-2"/>
          <w:sz w:val="18"/>
          <w:szCs w:val="18"/>
        </w:rPr>
        <w:drawing>
          <wp:anchor distT="0" distB="3600450" distL="114300" distR="114300" simplePos="0" relativeHeight="25170124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719082896" name="תמונה 33"/>
            <wp:cNvGraphicFramePr/>
            <a:graphic xmlns:a="http://schemas.openxmlformats.org/drawingml/2006/main">
              <a:graphicData uri="http://schemas.openxmlformats.org/drawingml/2006/picture">
                <pic:pic xmlns:pic="http://schemas.openxmlformats.org/drawingml/2006/picture">
                  <pic:nvPicPr>
                    <pic:cNvPr id="719082896"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2A0E">
        <w:rPr>
          <w:noProof/>
          <w:spacing w:val="-2"/>
          <w:sz w:val="18"/>
          <w:szCs w:val="18"/>
        </w:rPr>
        <w:t>The Ministry should implement a planning and resource allocation process for its various tasks and programs to ensure more efficient planning and execution of its work plans. It should also establish guidelines for adjusting work plans in response to unforeseen changes</w:t>
      </w:r>
      <w:r w:rsidRPr="00C50F58">
        <w:rPr>
          <w:rFonts w:hint="cs"/>
          <w:spacing w:val="-2"/>
          <w:sz w:val="18"/>
          <w:szCs w:val="18"/>
        </w:rPr>
        <w:t xml:space="preserve">. </w:t>
      </w:r>
    </w:p>
    <w:p w:rsidR="004B3772" w:rsidRPr="004C3206" w:rsidP="00667F8D" w14:paraId="65300AB3" w14:textId="2A11F770">
      <w:pPr>
        <w:bidi w:val="0"/>
        <w:spacing w:line="240" w:lineRule="auto"/>
        <w:ind w:left="170"/>
        <w:rPr>
          <w:rFonts w:ascii="Tahoma" w:hAnsi="Tahoma" w:cs="Tahoma"/>
          <w:b/>
          <w:bCs/>
          <w:color w:val="FFFFFF" w:themeColor="background1"/>
          <w:sz w:val="22"/>
          <w:szCs w:val="22"/>
        </w:rPr>
      </w:pPr>
      <w:r w:rsidRPr="00996051">
        <w:rPr>
          <w:rFonts w:ascii="Tahoma" w:hAnsi="Tahoma" w:cs="Tahoma"/>
          <w:b/>
          <w:bCs/>
          <w:noProof/>
          <w:color w:val="FFFFFF" w:themeColor="background1"/>
          <w:sz w:val="22"/>
          <w:szCs w:val="22"/>
        </w:rPr>
        <w:t>The Ratio Between the Ministry's Operational Budget Execution and Activity Budget Execution (Allocated for Projects and Programs) 2018–2023 (in NIS Thousands)</w:t>
      </w:r>
    </w:p>
    <w:p w:rsidR="004B58CE" w:rsidRPr="004B58CE" w:rsidP="00AF74DB" w14:paraId="3ADE1FD2" w14:textId="3C9707C0">
      <w:pPr>
        <w:spacing w:before="600"/>
        <w:rPr>
          <w:rtl/>
        </w:rPr>
      </w:pPr>
      <w:r>
        <w:rPr>
          <w:noProof/>
          <w:rtl/>
          <w:lang w:val="he-IL"/>
        </w:rPr>
        <w:drawing>
          <wp:inline distT="0" distB="0" distL="0" distR="0">
            <wp:extent cx="4685441" cy="2854977"/>
            <wp:effectExtent l="0" t="0" r="1270" b="0"/>
            <wp:docPr id="180261448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14487" name="תמונה 1"/>
                    <pic:cNvPicPr/>
                  </pic:nvPicPr>
                  <pic:blipFill>
                    <a:blip xmlns:r="http://schemas.openxmlformats.org/officeDocument/2006/relationships" r:embed="rId27"/>
                    <a:stretch>
                      <a:fillRect/>
                    </a:stretch>
                  </pic:blipFill>
                  <pic:spPr>
                    <a:xfrm>
                      <a:off x="0" y="0"/>
                      <a:ext cx="4695677" cy="2861214"/>
                    </a:xfrm>
                    <a:prstGeom prst="rect">
                      <a:avLst/>
                    </a:prstGeom>
                  </pic:spPr>
                </pic:pic>
              </a:graphicData>
            </a:graphic>
          </wp:inline>
        </w:drawing>
      </w:r>
    </w:p>
    <w:p w:rsidR="00804534" w:rsidRPr="002E2220" w:rsidP="002E2220" w14:paraId="6D6C7CB6" w14:textId="2B6E1483">
      <w:pPr>
        <w:pStyle w:val="711"/>
        <w:bidi w:val="0"/>
        <w:rPr>
          <w:rtl/>
        </w:rPr>
      </w:pPr>
      <w:r w:rsidRPr="002E2220">
        <w:t>According to data from the Accountant General, as processed by the State Comptroller's Office</w:t>
      </w:r>
      <w:r w:rsidRPr="002E2220" w:rsidR="00FF2854">
        <w:t>.</w:t>
      </w:r>
    </w:p>
    <w:p w:rsidR="001C27C2" w14:paraId="003A9204" w14:textId="6A4722E1">
      <w:pPr>
        <w:bidi w:val="0"/>
        <w:rPr>
          <w:rFonts w:ascii="Tahoma" w:hAnsi="Tahoma" w:cs="Tahoma"/>
          <w:spacing w:val="-2"/>
          <w:sz w:val="18"/>
          <w:szCs w:val="18"/>
        </w:rPr>
      </w:pPr>
      <w:r>
        <w:rPr>
          <w:rFonts w:ascii="Tahoma" w:hAnsi="Tahoma" w:cs="Tahoma"/>
          <w:spacing w:val="-2"/>
          <w:sz w:val="18"/>
          <w:szCs w:val="18"/>
        </w:rPr>
        <w:br w:type="page"/>
      </w:r>
    </w:p>
    <w:p w:rsidR="001C27C2" w:rsidRPr="004E3C71" w:rsidP="001C27C2" w14:paraId="62004DB7" w14:textId="4F5B1B81">
      <w:pPr>
        <w:bidi w:val="0"/>
        <w:spacing w:before="120" w:line="240" w:lineRule="auto"/>
        <w:ind w:left="283" w:right="283"/>
        <w:rPr>
          <w:rFonts w:ascii="Tahoma" w:hAnsi="Tahoma" w:cs="Tahoma"/>
          <w:b/>
          <w:bCs/>
          <w:color w:val="FFFFFF" w:themeColor="background1"/>
          <w:sz w:val="22"/>
          <w:szCs w:val="22"/>
        </w:rPr>
      </w:pPr>
      <w:r w:rsidRPr="00474ED3">
        <w:rPr>
          <w:rFonts w:ascii="Tahoma" w:hAnsi="Tahoma" w:cs="Tahoma" w:hint="eastAsia"/>
          <w:b/>
          <w:bCs/>
          <w:noProof/>
          <w:color w:val="FFFFFF" w:themeColor="background1"/>
          <w:sz w:val="22"/>
          <w:szCs w:val="22"/>
          <w:rtl/>
        </w:rPr>
        <w:drawing>
          <wp:anchor distT="0" distB="0" distL="114300" distR="114300" simplePos="0" relativeHeight="251702272" behindDoc="1" locked="0" layoutInCell="1" allowOverlap="1">
            <wp:simplePos x="0" y="0"/>
            <wp:positionH relativeFrom="column">
              <wp:posOffset>8230</wp:posOffset>
            </wp:positionH>
            <wp:positionV relativeFrom="paragraph">
              <wp:posOffset>-101829</wp:posOffset>
            </wp:positionV>
            <wp:extent cx="4699533" cy="658368"/>
            <wp:effectExtent l="0" t="0" r="0" b="2540"/>
            <wp:wrapNone/>
            <wp:docPr id="3" name="Picture 3" descr="תמונה שמכילה צילום מסך, אדום, מ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תמונה שמכילה צילום מסך, אדום, מלבן&#10;&#10;התיאור נוצר באופן אוטומטי"/>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2727" cy="668622"/>
                    </a:xfrm>
                    <a:prstGeom prst="rect">
                      <a:avLst/>
                    </a:prstGeom>
                  </pic:spPr>
                </pic:pic>
              </a:graphicData>
            </a:graphic>
            <wp14:sizeRelH relativeFrom="margin">
              <wp14:pctWidth>0</wp14:pctWidth>
            </wp14:sizeRelH>
            <wp14:sizeRelV relativeFrom="margin">
              <wp14:pctHeight>0</wp14:pctHeight>
            </wp14:sizeRelV>
          </wp:anchor>
        </w:drawing>
      </w:r>
      <w:r w:rsidRPr="002E2220" w:rsidR="002E2220">
        <w:rPr>
          <w:rFonts w:ascii="Tahoma" w:hAnsi="Tahoma" w:cs="Tahoma"/>
          <w:b/>
          <w:bCs/>
          <w:noProof/>
          <w:color w:val="FFFFFF" w:themeColor="background1"/>
          <w:sz w:val="22"/>
          <w:szCs w:val="22"/>
        </w:rPr>
        <w:t>The Jordan Gateway Project – the Bridge Connecting the Israeli and Jordanian Sides*</w:t>
      </w:r>
    </w:p>
    <w:p w:rsidR="001C27C2" w:rsidP="001C27C2" w14:paraId="40B2410A" w14:textId="0BE07CEA">
      <w:pPr>
        <w:spacing w:before="480" w:after="0" w:line="100" w:lineRule="exact"/>
        <w:ind w:left="1361" w:right="57"/>
        <w:jc w:val="right"/>
        <w:rPr>
          <w:rFonts w:ascii="Tahoma" w:hAnsi="Tahoma" w:cs="Tahoma"/>
          <w:b/>
          <w:bCs/>
          <w:noProof/>
          <w:color w:val="FFFFFF" w:themeColor="background1"/>
          <w:sz w:val="22"/>
          <w:szCs w:val="22"/>
        </w:rPr>
      </w:pPr>
    </w:p>
    <w:p w:rsidR="002E2220" w:rsidRPr="002E2220" w:rsidP="002E2220" w14:paraId="2AA9EA61" w14:textId="086D09A5">
      <w:r>
        <w:rPr>
          <w:noProof/>
        </w:rPr>
        <w:drawing>
          <wp:inline distT="0" distB="0" distL="0" distR="0">
            <wp:extent cx="4679950" cy="2482656"/>
            <wp:effectExtent l="0" t="0" r="0" b="0"/>
            <wp:docPr id="1692760770"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60770" name="תמונה 23"/>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2482656"/>
                    </a:xfrm>
                    <a:prstGeom prst="rect">
                      <a:avLst/>
                    </a:prstGeom>
                  </pic:spPr>
                </pic:pic>
              </a:graphicData>
            </a:graphic>
          </wp:inline>
        </w:drawing>
      </w:r>
    </w:p>
    <w:p w:rsidR="002E2220" w:rsidRPr="002E2220" w:rsidP="002E2220" w14:paraId="2A6FEEA4" w14:textId="57E975FC">
      <w:pPr>
        <w:pStyle w:val="732"/>
        <w:bidi w:val="0"/>
        <w:spacing w:after="0"/>
      </w:pPr>
      <w:r w:rsidRPr="002E2220">
        <w:t>Photographed by representatives of the State Comptroller</w:t>
      </w:r>
      <w:r w:rsidR="00150473">
        <w:t>'</w:t>
      </w:r>
      <w:r w:rsidRPr="002E2220">
        <w:t>s Office, December 2023.</w:t>
      </w:r>
    </w:p>
    <w:p w:rsidR="002E2220" w:rsidRPr="002E2220" w:rsidP="002E2220" w14:paraId="15800BB0" w14:textId="30576126">
      <w:pPr>
        <w:pStyle w:val="732"/>
        <w:bidi w:val="0"/>
        <w:spacing w:before="0"/>
        <w:ind w:left="426" w:hanging="426"/>
        <w:rPr>
          <w:rtl/>
        </w:rPr>
      </w:pPr>
      <w:r w:rsidRPr="002E2220">
        <w:t>*</w:t>
      </w:r>
      <w:r w:rsidRPr="002E2220">
        <w:tab/>
        <w:t>Approximately NIS 60 million from the Ministry of Transport</w:t>
      </w:r>
      <w:r w:rsidR="00150473">
        <w:t>'</w:t>
      </w:r>
      <w:r w:rsidRPr="002E2220">
        <w:t>s budget was invested in the construction of the bridge; it has never been opened and remains non-operational.</w:t>
      </w:r>
    </w:p>
    <w:p w:rsidR="002E2220" w14:paraId="772240FB" w14:textId="7B4054E6">
      <w:pPr>
        <w:bidi w:val="0"/>
        <w:rPr>
          <w:rFonts w:ascii="Tahoma" w:hAnsi="Tahoma" w:cs="Tahoma"/>
          <w:b/>
          <w:bCs/>
          <w:color w:val="003364"/>
          <w:w w:val="90"/>
          <w:sz w:val="32"/>
          <w:szCs w:val="32"/>
        </w:rPr>
      </w:pPr>
      <w:r>
        <w:rPr>
          <w:rFonts w:ascii="Tahoma" w:hAnsi="Tahoma" w:cs="Tahoma"/>
          <w:b/>
          <w:bCs/>
          <w:color w:val="003364"/>
          <w:w w:val="90"/>
          <w:sz w:val="32"/>
          <w:szCs w:val="32"/>
        </w:rPr>
        <w:br w:type="page"/>
      </w:r>
    </w:p>
    <w:p w:rsidR="00496CBE" w:rsidP="004B3772" w14:paraId="5C46C175" w14:textId="6CEEC138">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572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496CBE" w:rsidRPr="00902625" w:rsidP="009661D6" w14:paraId="21789D2B" w14:textId="045CFE37">
      <w:pPr>
        <w:bidi w:val="0"/>
        <w:spacing w:before="120" w:after="180" w:line="240" w:lineRule="atLeast"/>
        <w:rPr>
          <w:rFonts w:ascii="Tahoma" w:hAnsi="Tahoma" w:cs="Tahoma"/>
          <w:b/>
          <w:bCs/>
          <w:color w:val="00305F"/>
          <w:sz w:val="32"/>
          <w:szCs w:val="32"/>
        </w:rPr>
      </w:pPr>
      <w:r w:rsidRPr="00AE5F94">
        <w:rPr>
          <w:rFonts w:ascii="Tahoma" w:hAnsi="Tahoma" w:cs="Tahoma"/>
          <w:b/>
          <w:bCs/>
          <w:color w:val="00305F"/>
          <w:sz w:val="32"/>
          <w:szCs w:val="32"/>
        </w:rPr>
        <w:t>Summary</w:t>
      </w:r>
    </w:p>
    <w:p w:rsidR="002E2220" w:rsidRPr="00FE50FF" w:rsidP="002E2220" w14:paraId="2903B0B6" w14:textId="77777777">
      <w:pPr>
        <w:pStyle w:val="running-text"/>
        <w:spacing w:after="180" w:line="260" w:lineRule="exact"/>
        <w:ind w:right="0"/>
        <w:rPr>
          <w:color w:val="0D0D0D" w:themeColor="text1" w:themeTint="F2"/>
          <w:sz w:val="18"/>
          <w:rtl/>
        </w:rPr>
      </w:pPr>
      <w:r w:rsidRPr="00FE50FF">
        <w:rPr>
          <w:color w:val="0D0D0D" w:themeColor="text1" w:themeTint="F2"/>
          <w:sz w:val="18"/>
        </w:rPr>
        <w:t xml:space="preserve">Upon its establishment, the Ministry for Regional Cooperation was intended to play a substantive role, recognizing that activities in the realm of inter-state cooperation and the initiation of regional projects involving Israel and neighboring countries could significantly advance shared interests. Such activities were envisioned to naturally strengthen political, economic, and cultural ties with the citizens of these countries. </w:t>
      </w:r>
    </w:p>
    <w:p w:rsidR="002E2220" w:rsidRPr="00FE50FF" w:rsidP="002E2220" w14:paraId="0D9EF07D" w14:textId="77777777">
      <w:pPr>
        <w:pStyle w:val="running-text"/>
        <w:spacing w:after="180" w:line="260" w:lineRule="exact"/>
        <w:ind w:right="0"/>
        <w:rPr>
          <w:color w:val="0D0D0D" w:themeColor="text1" w:themeTint="F2"/>
          <w:sz w:val="18"/>
          <w:rtl/>
        </w:rPr>
      </w:pPr>
      <w:r w:rsidRPr="00FE50FF">
        <w:rPr>
          <w:color w:val="0D0D0D" w:themeColor="text1" w:themeTint="F2"/>
          <w:sz w:val="18"/>
        </w:rPr>
        <w:t xml:space="preserve">The Abraham Accords, signed in 2020 with several Gulf states, and the growing regional need for meaningful solutions in the fields of water, energy, food security, advanced agriculture, and medicine, further underscore the potential of fostering collaboration in these critical areas between Israel and neighboring countries. These solutions have the potential to become key drivers of Israel's growth, both economically and diplomatically. </w:t>
      </w:r>
    </w:p>
    <w:p w:rsidR="002E2220" w:rsidRPr="00FE50FF" w:rsidP="002E2220" w14:paraId="257CB1FF" w14:textId="77777777">
      <w:pPr>
        <w:pStyle w:val="running-text"/>
        <w:spacing w:after="180" w:line="260" w:lineRule="exact"/>
        <w:ind w:right="0"/>
        <w:rPr>
          <w:color w:val="0D0D0D" w:themeColor="text1" w:themeTint="F2"/>
          <w:sz w:val="18"/>
          <w:rtl/>
        </w:rPr>
      </w:pPr>
      <w:r w:rsidRPr="00FE50FF">
        <w:rPr>
          <w:color w:val="0D0D0D" w:themeColor="text1" w:themeTint="F2"/>
          <w:sz w:val="18"/>
        </w:rPr>
        <w:t>The audit report reveals that the Ministry for Regional Cooperation has neither adapted to the needs and changes occurring in the geographical region nor succeeded in capitalizing on the significant potential for cooperation with neighboring countries in relevant areas in recent years. Over a multi-year perspective, the ministry's outputs have been minimal, consistently showing budget execution rates below 41% for the allocated activity budget. In addition, deficiencies were identified in the Ministry’s operations and its management of the various projects under its responsibility over the years. The Ministry’s flagship project, the Jordan Gateway, has failed to materialize despite the many years since the Israeli government decided to launch it. Part of the Ministry's weakness can be attributed to its lack of authority vis-a-vis other government ministries and agencies.</w:t>
      </w:r>
    </w:p>
    <w:p w:rsidR="002E2220" w:rsidRPr="00FE50FF" w:rsidP="002E2220" w14:paraId="3BC53B29" w14:textId="77777777">
      <w:pPr>
        <w:pStyle w:val="running-text"/>
        <w:spacing w:after="180" w:line="260" w:lineRule="exact"/>
        <w:ind w:right="0"/>
        <w:rPr>
          <w:color w:val="0D0D0D" w:themeColor="text1" w:themeTint="F2"/>
          <w:sz w:val="18"/>
          <w:rtl/>
        </w:rPr>
      </w:pPr>
      <w:r w:rsidRPr="00FE50FF">
        <w:rPr>
          <w:color w:val="0D0D0D" w:themeColor="text1" w:themeTint="F2"/>
          <w:sz w:val="18"/>
        </w:rPr>
        <w:t>The findings in the audit report raise serious doubts about the Ministry’s ability to fulfill its mission, its effectiveness as a driving force for advancing regional cooperation, and the justification for its continued operation.</w:t>
      </w:r>
    </w:p>
    <w:p w:rsidR="002E2220" w:rsidRPr="00FE50FF" w:rsidP="002E2220" w14:paraId="187B5E3A" w14:textId="77777777">
      <w:pPr>
        <w:pStyle w:val="running-text"/>
        <w:spacing w:after="180" w:line="260" w:lineRule="exact"/>
        <w:ind w:right="0"/>
        <w:rPr>
          <w:color w:val="0D0D0D" w:themeColor="text1" w:themeTint="F2"/>
          <w:sz w:val="18"/>
          <w:rtl/>
        </w:rPr>
      </w:pPr>
      <w:r w:rsidRPr="00FE50FF">
        <w:rPr>
          <w:color w:val="0D0D0D" w:themeColor="text1" w:themeTint="F2"/>
          <w:sz w:val="18"/>
        </w:rPr>
        <w:t>In light of</w:t>
      </w:r>
      <w:r w:rsidRPr="00FE50FF">
        <w:rPr>
          <w:color w:val="0D0D0D" w:themeColor="text1" w:themeTint="F2"/>
          <w:sz w:val="18"/>
        </w:rPr>
        <w:t xml:space="preserve"> the findings in this audit report, is recommended that the Prime Minister and the Minister for Regional Cooperation evaluate the need for the continued existence of the Ministry for Regional Cooperation as an independent entity. Should it be determined that the Ministry’s independent operation is indeed necessary, its areas of responsibility and authority must be clearly defined, and a strategic plan outlining tasks and objectives for its activity should be promptly developed and implemented.</w:t>
      </w:r>
    </w:p>
    <w:p w:rsidR="006E013E" w14:paraId="506AD225" w14:textId="77777777">
      <w:pPr>
        <w:bidi w:val="0"/>
        <w:rPr>
          <w:rFonts w:ascii="Tahoma" w:hAnsi="Tahoma" w:cs="Tahoma"/>
          <w:color w:val="0D0D0D" w:themeColor="text1" w:themeTint="F2"/>
          <w:sz w:val="18"/>
          <w:szCs w:val="18"/>
          <w:rtl/>
        </w:rPr>
      </w:pPr>
      <w:r>
        <w:rPr>
          <w:color w:val="0D0D0D" w:themeColor="text1" w:themeTint="F2"/>
          <w:sz w:val="18"/>
          <w:rtl/>
        </w:rPr>
        <w:br w:type="page"/>
      </w:r>
    </w:p>
    <w:p w:rsidR="00C64FB4" w:rsidP="006E013E" w14:paraId="13263362" w14:textId="489AD5F9">
      <w:pPr>
        <w:pStyle w:val="running-text"/>
        <w:spacing w:after="180" w:line="260" w:lineRule="exact"/>
        <w:ind w:right="0"/>
        <w:rPr>
          <w:color w:val="0D0D0D" w:themeColor="text1" w:themeTint="F2"/>
          <w:sz w:val="18"/>
          <w:rtl/>
        </w:rPr>
      </w:pPr>
      <w:r>
        <w:rPr>
          <w:noProof/>
          <w:color w:val="0D0D0D" w:themeColor="text1" w:themeTint="F2"/>
          <w:sz w:val="18"/>
          <w:rtl/>
          <w:lang w:val="he-IL"/>
        </w:rPr>
        <mc:AlternateContent>
          <mc:Choice Requires="wps">
            <w:drawing>
              <wp:anchor distT="0" distB="0" distL="114300" distR="114300" simplePos="0" relativeHeight="251688960" behindDoc="0" locked="0" layoutInCell="1" allowOverlap="1">
                <wp:simplePos x="0" y="0"/>
                <wp:positionH relativeFrom="column">
                  <wp:posOffset>-211226</wp:posOffset>
                </wp:positionH>
                <wp:positionV relativeFrom="paragraph">
                  <wp:posOffset>-862609</wp:posOffset>
                </wp:positionV>
                <wp:extent cx="6108192" cy="877824"/>
                <wp:effectExtent l="12700" t="12700" r="13335" b="11430"/>
                <wp:wrapNone/>
                <wp:docPr id="760133681"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6108192" cy="877824"/>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 o:spid="_x0000_s1035" style="width:480.95pt;height:69.1pt;margin-top:-67.9pt;margin-left:-16.65pt;mso-wrap-distance-bottom:0;mso-wrap-distance-left:9pt;mso-wrap-distance-right:9pt;mso-wrap-distance-top:0;mso-wrap-style:square;position:absolute;visibility:visible;v-text-anchor:middle;z-index:251689984" fillcolor="white" strokecolor="white" strokeweight="1.5pt">
                <v:stroke endcap="round"/>
              </v:rect>
            </w:pict>
          </mc:Fallback>
        </mc:AlternateContent>
      </w:r>
    </w:p>
    <w:p w:rsidR="00C82866" w:rsidRPr="00485F83" w:rsidP="00D05191" w14:paraId="06F4B564" w14:textId="19DF3668">
      <w:pPr>
        <w:pStyle w:val="running-text"/>
        <w:spacing w:after="180" w:line="260" w:lineRule="exact"/>
        <w:ind w:right="0"/>
        <w:rPr>
          <w:color w:val="0D0D0D" w:themeColor="text1" w:themeTint="F2"/>
          <w:sz w:val="18"/>
          <w:rtl/>
        </w:rPr>
      </w:pPr>
      <w:r>
        <w:rPr>
          <w:noProof/>
          <w:color w:val="0D0D0D" w:themeColor="text1" w:themeTint="F2"/>
          <w:sz w:val="18"/>
          <w:rtl/>
          <w:lang w:val="he-IL"/>
        </w:rPr>
        <mc:AlternateContent>
          <mc:Choice Requires="wps">
            <w:drawing>
              <wp:anchor distT="0" distB="0" distL="114300" distR="114300" simplePos="0" relativeHeight="251683840" behindDoc="0" locked="0" layoutInCell="1" allowOverlap="1">
                <wp:simplePos x="0" y="0"/>
                <wp:positionH relativeFrom="column">
                  <wp:posOffset>-562701</wp:posOffset>
                </wp:positionH>
                <wp:positionV relativeFrom="paragraph">
                  <wp:posOffset>6555650</wp:posOffset>
                </wp:positionV>
                <wp:extent cx="6180364" cy="857250"/>
                <wp:effectExtent l="0" t="0" r="5080" b="6350"/>
                <wp:wrapNone/>
                <wp:docPr id="36" name="מלבן 36"/>
                <wp:cNvGraphicFramePr/>
                <a:graphic xmlns:a="http://schemas.openxmlformats.org/drawingml/2006/main">
                  <a:graphicData uri="http://schemas.microsoft.com/office/word/2010/wordprocessingShape">
                    <wps:wsp xmlns:wps="http://schemas.microsoft.com/office/word/2010/wordprocessingShape">
                      <wps:cNvSpPr/>
                      <wps:spPr>
                        <a:xfrm>
                          <a:off x="0" y="0"/>
                          <a:ext cx="6180364" cy="857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36" o:spid="_x0000_s1036" style="width:486.65pt;height:67.5pt;margin-top:516.2pt;margin-left:-44.3pt;mso-wrap-distance-bottom:0;mso-wrap-distance-left:9pt;mso-wrap-distance-right:9pt;mso-wrap-distance-top:0;mso-wrap-style:square;position:absolute;visibility:visible;v-text-anchor:middle;z-index:251684864" fillcolor="white" stroked="f" strokeweight="1.5pt">
                <v:stroke endcap="round"/>
              </v:rect>
            </w:pict>
          </mc:Fallback>
        </mc:AlternateContent>
      </w:r>
      <w:r w:rsidR="0076183F">
        <w:rPr>
          <w:noProof/>
          <w:color w:val="0D0D0D" w:themeColor="text1" w:themeTint="F2"/>
          <w:sz w:val="18"/>
          <w:rtl/>
          <w:lang w:val="he-IL"/>
        </w:rPr>
        <mc:AlternateContent>
          <mc:Choice Requires="wps">
            <w:drawing>
              <wp:anchor distT="0" distB="0" distL="114300" distR="114300" simplePos="0" relativeHeight="251680768" behindDoc="0" locked="0" layoutInCell="1" allowOverlap="1">
                <wp:simplePos x="0" y="0"/>
                <wp:positionH relativeFrom="column">
                  <wp:posOffset>-717369</wp:posOffset>
                </wp:positionH>
                <wp:positionV relativeFrom="paragraph">
                  <wp:posOffset>7240542</wp:posOffset>
                </wp:positionV>
                <wp:extent cx="1419498" cy="522514"/>
                <wp:effectExtent l="12700" t="12700" r="15875" b="11430"/>
                <wp:wrapNone/>
                <wp:docPr id="5" name="מלבן 5"/>
                <wp:cNvGraphicFramePr/>
                <a:graphic xmlns:a="http://schemas.openxmlformats.org/drawingml/2006/main">
                  <a:graphicData uri="http://schemas.microsoft.com/office/word/2010/wordprocessingShape">
                    <wps:wsp xmlns:wps="http://schemas.microsoft.com/office/word/2010/wordprocessingShape">
                      <wps:cNvSpPr/>
                      <wps:spPr>
                        <a:xfrm>
                          <a:off x="0" y="0"/>
                          <a:ext cx="1419498" cy="5225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5" o:spid="_x0000_s1037" style="width:111.75pt;height:41.15pt;margin-top:570.1pt;margin-left:-56.5pt;mso-wrap-distance-bottom:0;mso-wrap-distance-left:9pt;mso-wrap-distance-right:9pt;mso-wrap-distance-top:0;mso-wrap-style:square;position:absolute;visibility:visible;v-text-anchor:middle;z-index:251681792" fillcolor="white" strokecolor="white" strokeweight="1.5pt">
                <v:stroke endcap="round"/>
              </v:rect>
            </w:pict>
          </mc:Fallback>
        </mc:AlternateContent>
      </w:r>
    </w:p>
    <w:p w:rsidR="001C54F4" w:rsidRPr="00485F83" w14:paraId="1C1ADDB0" w14:textId="77777777">
      <w:pPr>
        <w:pStyle w:val="running-text"/>
        <w:spacing w:after="180" w:line="260" w:lineRule="exact"/>
        <w:ind w:right="0"/>
        <w:rPr>
          <w:color w:val="0D0D0D" w:themeColor="text1" w:themeTint="F2"/>
          <w:sz w:val="18"/>
        </w:rPr>
      </w:pPr>
    </w:p>
    <w:sectPr w:rsidSect="00FC6871">
      <w:headerReference w:type="even" r:id="rId29"/>
      <w:headerReference w:type="default" r:id="rId30"/>
      <w:headerReference w:type="first" r:id="rId31"/>
      <w:pgSz w:w="11906" w:h="16838" w:code="9"/>
      <w:pgMar w:top="2892" w:right="2268" w:bottom="2438" w:left="2268" w:header="1871" w:footer="1928" w:gutter="0"/>
      <w:pgNumType w:start="6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F27494" w14:paraId="45471B96" w14:textId="77777777">
      <w:pPr>
        <w:spacing w:after="0" w:line="240" w:lineRule="auto"/>
      </w:pPr>
      <w:r>
        <w:separator/>
      </w:r>
    </w:p>
  </w:endnote>
  <w:endnote w:type="continuationSeparator" w:id="1">
    <w:p w:rsidR="00F27494" w14:paraId="3D444FE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David">
    <w:panose1 w:val="020E0502060401010101"/>
    <w:charset w:val="B1"/>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Segoe MDL2 Assets">
    <w:altName w:val="Segoe UI"/>
    <w:panose1 w:val="020B0604020202020204"/>
    <w:charset w:val="00"/>
    <w:family w:val="roman"/>
    <w:pitch w:val="variable"/>
    <w:sig w:usb0="00000003" w:usb1="10000000" w:usb2="00000000" w:usb3="00000000" w:csb0="00000001" w:csb1="00000000"/>
  </w:font>
  <w:font w:name="FrankRuehl">
    <w:panose1 w:val="020E0503060101010101"/>
    <w:charset w:val="B1"/>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604020202020204"/>
    <w:charset w:val="00"/>
    <w:family w:val="roman"/>
    <w:notTrueType/>
    <w:pitch w:val="default"/>
  </w:font>
  <w:font w:name="Gisha">
    <w:panose1 w:val="020B0502040204020203"/>
    <w:charset w:val="B1"/>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9750A" w:rsidRPr="009507DB" w:rsidP="00440360" w14:paraId="0F4EB562" w14:textId="77777777">
    <w:pPr>
      <w:pStyle w:val="Footer"/>
      <w:tabs>
        <w:tab w:val="center" w:pos="-284"/>
        <w:tab w:val="right" w:pos="0"/>
        <w:tab w:val="clear" w:pos="4320"/>
        <w:tab w:val="clear" w:pos="8640"/>
      </w:tabs>
      <w:bidi w:val="0"/>
      <w:ind w:left="-1191" w:right="7314"/>
      <w:jc w:val="right"/>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B7022A">
      <w:rPr>
        <w:rFonts w:ascii="Tahoma" w:hAnsi="Tahoma" w:cs="Tahoma"/>
        <w:noProof/>
        <w:color w:val="231F20"/>
        <w:sz w:val="18"/>
        <w:szCs w:val="18"/>
      </w:rPr>
      <w:t>16</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8F2" w:rsidRPr="009507DB" w:rsidP="00440360" w14:paraId="2E4A7A26" w14:textId="77777777">
    <w:pPr>
      <w:pStyle w:val="Footer"/>
      <w:tabs>
        <w:tab w:val="clear" w:pos="4320"/>
        <w:tab w:val="center" w:pos="7654"/>
        <w:tab w:val="right" w:pos="7937"/>
        <w:tab w:val="clear" w:pos="8640"/>
      </w:tabs>
      <w:bidi w:val="0"/>
      <w:ind w:left="7343" w:right="-1247"/>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B7022A">
      <w:rPr>
        <w:rFonts w:ascii="Tahoma" w:hAnsi="Tahoma" w:cs="Tahoma"/>
        <w:noProof/>
        <w:color w:val="231F20"/>
        <w:sz w:val="18"/>
        <w:szCs w:val="18"/>
      </w:rPr>
      <w:t>15</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C6871" w14:paraId="4D36AEED"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F27494" w:rsidP="00BD3044" w14:paraId="2FAB389A" w14:textId="77777777">
      <w:pPr>
        <w:spacing w:after="0" w:line="240" w:lineRule="auto"/>
        <w:jc w:val="right"/>
      </w:pPr>
      <w:r>
        <w:separator/>
      </w:r>
    </w:p>
  </w:footnote>
  <w:footnote w:type="continuationSeparator" w:id="1">
    <w:p w:rsidR="00F27494" w14:paraId="665BADA9" w14:textId="77777777">
      <w:pPr>
        <w:spacing w:after="0" w:line="240" w:lineRule="auto"/>
      </w:pPr>
      <w:r>
        <w:continuationSeparator/>
      </w:r>
    </w:p>
  </w:footnote>
  <w:footnote w:id="2">
    <w:p w:rsidR="00996051" w:rsidRPr="00996051" w:rsidP="00996051" w14:paraId="6B81F32C" w14:textId="77777777">
      <w:pPr>
        <w:pStyle w:val="710"/>
        <w:bidi w:val="0"/>
      </w:pPr>
      <w:r w:rsidRPr="00996051">
        <w:rPr>
          <w:rStyle w:val="FootnoteReference1"/>
          <w:vertAlign w:val="baseline"/>
        </w:rPr>
        <w:footnoteRef/>
      </w:r>
      <w:r w:rsidRPr="00996051">
        <w:t xml:space="preserve"> </w:t>
      </w:r>
      <w:r w:rsidRPr="00996051">
        <w:tab/>
        <w:t>MEHAMEM – Training, Information, and Research Center. The purpose of the MEHAMEM Project is to consolidate existing knowledge in the field by establishing an online portal, developing metrics for successful cooperation, and conducting training sessions, written tutorials,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C6871" w14:paraId="1D444980"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C6871" w14:paraId="0E7B41CE"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bookmarkStart w:id="5" w:name="_Hlk63775048"/>
  <w:bookmarkEnd w:id="5"/>
  <w:p w:rsidR="00B650F8" w:rsidRPr="00B650F8" w:rsidP="00B650F8" w14:paraId="2F61E770" w14:textId="502FA0FF">
    <w:r>
      <w:rPr>
        <w:noProof/>
      </w:rPr>
      <mc:AlternateContent>
        <mc:Choice Requires="wps">
          <w:drawing>
            <wp:anchor distT="0" distB="0" distL="114300" distR="114300" simplePos="0" relativeHeight="251665408" behindDoc="1" locked="0" layoutInCell="1" allowOverlap="1">
              <wp:simplePos x="0" y="0"/>
              <wp:positionH relativeFrom="column">
                <wp:posOffset>-1464894</wp:posOffset>
              </wp:positionH>
              <wp:positionV relativeFrom="paragraph">
                <wp:posOffset>-247221</wp:posOffset>
              </wp:positionV>
              <wp:extent cx="7594686" cy="0"/>
              <wp:effectExtent l="0" t="0" r="12700"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7594686"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2049" style="flip:x;mso-height-percent:0;mso-height-relative:margin;mso-width-percent:0;mso-width-relative:margin;mso-wrap-distance-bottom:0;mso-wrap-distance-left:9pt;mso-wrap-distance-right:9pt;mso-wrap-distance-top:0;mso-wrap-style:square;position:absolute;visibility:visible;z-index:-251650048" from="-115.35pt,-19.45pt" to="482.65pt,-19.45pt">
              <v:stroke endcap="round"/>
            </v:line>
          </w:pict>
        </mc:Fallback>
      </mc:AlternateContent>
    </w:r>
    <w:r>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642E60" w:rsidP="00642E60" w14:paraId="09CB2EBE"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7F1A39" w:rsidP="007F1A39" w14:paraId="174E2EDE" w14:textId="77777777">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cs"/>
        <w:noProof/>
        <w:color w:val="0B5294" w:themeColor="accent1" w:themeShade="BF"/>
        <w:sz w:val="16"/>
        <w:szCs w:val="16"/>
        <w:rtl/>
      </w:rPr>
      <w:t>שם הגוף המבוקר</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hint="cs"/>
        <w:noProof/>
        <w:color w:val="0B5294" w:themeColor="accent1" w:themeShade="BF"/>
        <w:sz w:val="16"/>
        <w:szCs w:val="16"/>
        <w:rtl/>
      </w:rPr>
      <w:t>|</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3323CD">
      <w:rPr>
        <w:rFonts w:ascii="Tahoma" w:hAnsi="Tahoma" w:eastAsiaTheme="majorEastAsia" w:cs="Tahoma"/>
        <w:b/>
        <w:bCs/>
        <w:noProof/>
        <w:color w:val="0B5294" w:themeColor="accent1" w:themeShade="BF"/>
        <w:sz w:val="16"/>
        <w:szCs w:val="16"/>
        <w:rtl/>
      </w:rPr>
      <w:t>3</w:t>
    </w:r>
    <w:r w:rsidRPr="007F1A39">
      <w:rPr>
        <w:rFonts w:ascii="Tahoma" w:hAnsi="Tahoma" w:eastAsiaTheme="majorEastAsia" w:cs="Tahoma"/>
        <w:b/>
        <w:bCs/>
        <w:noProof/>
        <w:color w:val="0B5294" w:themeColor="accent1" w:themeShade="B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890ED9" w:rsidP="00890ED9" w14:paraId="24EF87A9"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C10CA" w:rsidRPr="007C10CA" w:rsidP="00086BC2" w14:paraId="3F4CF5A8" w14:textId="18C32CDC">
    <w:pPr>
      <w:bidi w:val="0"/>
      <w:spacing w:after="0" w:line="240" w:lineRule="auto"/>
      <w:rPr>
        <w:rFonts w:ascii="Tahoma" w:hAnsi="Tahoma" w:cs="Tahoma"/>
        <w:color w:val="0D0D0D" w:themeColor="text1" w:themeTint="F2"/>
        <w:sz w:val="16"/>
        <w:szCs w:val="16"/>
      </w:rPr>
    </w:pPr>
    <w:r w:rsidRPr="006637B9">
      <w:rPr>
        <w:rFonts w:ascii="Tahoma" w:hAnsi="Tahoma" w:cs="Tahoma"/>
        <w:noProof/>
        <w:color w:val="002060"/>
        <w:sz w:val="18"/>
        <w:szCs w:val="18"/>
      </w:rPr>
      <mc:AlternateContent>
        <mc:Choice Requires="wps">
          <w:drawing>
            <wp:anchor distT="0" distB="0" distL="114300" distR="114300" simplePos="0" relativeHeight="251667456" behindDoc="0" locked="0" layoutInCell="1" allowOverlap="1">
              <wp:simplePos x="0" y="0"/>
              <wp:positionH relativeFrom="column">
                <wp:posOffset>219075</wp:posOffset>
              </wp:positionH>
              <wp:positionV relativeFrom="paragraph">
                <wp:posOffset>179070</wp:posOffset>
              </wp:positionV>
              <wp:extent cx="4625340" cy="224790"/>
              <wp:effectExtent l="0" t="0" r="0" b="3810"/>
              <wp:wrapSquare wrapText="bothSides"/>
              <wp:docPr id="145106665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25340" cy="224790"/>
                      </a:xfrm>
                      <a:prstGeom prst="rect">
                        <a:avLst/>
                      </a:prstGeom>
                      <a:solidFill>
                        <a:srgbClr val="FFFFFF"/>
                      </a:solidFill>
                      <a:ln w="9525">
                        <a:noFill/>
                        <a:miter lim="800000"/>
                        <a:headEnd/>
                        <a:tailEnd/>
                      </a:ln>
                    </wps:spPr>
                    <wps:txbx>
                      <w:txbxContent>
                        <w:p w:rsidR="00086BC2" w:rsidRPr="00FC4CA4" w:rsidP="00086BC2" w14:textId="5A1FFAFA">
                          <w:pPr>
                            <w:bidi w:val="0"/>
                            <w:spacing w:after="0" w:line="240" w:lineRule="auto"/>
                            <w:rPr>
                              <w:rFonts w:ascii="Tahoma" w:hAnsi="Tahoma" w:cs="Tahoma"/>
                              <w:color w:val="0D0D0D" w:themeColor="text1" w:themeTint="F2"/>
                              <w:sz w:val="16"/>
                              <w:szCs w:val="16"/>
                              <w:lang w:val="en"/>
                            </w:rPr>
                          </w:pPr>
                          <w:r w:rsidRPr="00DA6ED5">
                            <w:rPr>
                              <w:rFonts w:ascii="Tahoma" w:hAnsi="Tahoma" w:cs="Tahoma"/>
                              <w:color w:val="0D0D0D" w:themeColor="text1" w:themeTint="F2"/>
                              <w:sz w:val="16"/>
                              <w:szCs w:val="16"/>
                              <w:lang w:val="en"/>
                            </w:rPr>
                            <w:t>Activity of the Ministry for Regional Cooperation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0" type="#_x0000_t202" style="width:364.2pt;height:17.7pt;margin-top:14.1pt;margin-left:17.25pt;mso-height-percent:0;mso-height-relative:margin;mso-width-percent:0;mso-width-relative:margin;mso-wrap-distance-bottom:0;mso-wrap-distance-left:9pt;mso-wrap-distance-right:9pt;mso-wrap-distance-top:0;mso-wrap-style:square;position:absolute;visibility:visible;v-text-anchor:top;z-index:251668480" stroked="f">
              <v:textbox>
                <w:txbxContent>
                  <w:p w:rsidR="00086BC2" w:rsidRPr="00FC4CA4" w:rsidP="00086BC2" w14:paraId="760267C9" w14:textId="5A1FFAFA">
                    <w:pPr>
                      <w:bidi w:val="0"/>
                      <w:spacing w:after="0" w:line="240" w:lineRule="auto"/>
                      <w:rPr>
                        <w:rFonts w:ascii="Tahoma" w:hAnsi="Tahoma" w:cs="Tahoma"/>
                        <w:color w:val="0D0D0D" w:themeColor="text1" w:themeTint="F2"/>
                        <w:sz w:val="16"/>
                        <w:szCs w:val="16"/>
                        <w:lang w:val="en"/>
                      </w:rPr>
                    </w:pPr>
                    <w:r w:rsidRPr="00DA6ED5">
                      <w:rPr>
                        <w:rFonts w:ascii="Tahoma" w:hAnsi="Tahoma" w:cs="Tahoma"/>
                        <w:color w:val="0D0D0D" w:themeColor="text1" w:themeTint="F2"/>
                        <w:sz w:val="16"/>
                        <w:szCs w:val="16"/>
                        <w:lang w:val="en"/>
                      </w:rPr>
                      <w:t>Activity of the Ministry for Regional Cooperation</w:t>
                    </w:r>
                  </w:p>
                </w:txbxContent>
              </v:textbox>
              <w10:wrap type="square"/>
            </v:shape>
          </w:pict>
        </mc:Fallback>
      </mc:AlternateContent>
    </w:r>
    <w:r w:rsidR="003340AD">
      <w:rPr>
        <w:noProof/>
        <w:rtl/>
        <w:lang w:val="he-IL"/>
      </w:rPr>
      <mc:AlternateContent>
        <mc:Choice Requires="wps">
          <w:drawing>
            <wp:anchor distT="0" distB="0" distL="114300" distR="114300" simplePos="0" relativeHeight="251669504" behindDoc="1" locked="0" layoutInCell="1" allowOverlap="1">
              <wp:simplePos x="0" y="0"/>
              <wp:positionH relativeFrom="margin">
                <wp:posOffset>-952500</wp:posOffset>
              </wp:positionH>
              <wp:positionV relativeFrom="margin">
                <wp:posOffset>-1054735</wp:posOffset>
              </wp:positionV>
              <wp:extent cx="6479540" cy="8999855"/>
              <wp:effectExtent l="0" t="0" r="10160" b="17145"/>
              <wp:wrapNone/>
              <wp:docPr id="1141261157"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3340AD" w:rsidRPr="00DE3ECA" w:rsidP="003340A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3" o:spid="_x0000_s2051" type="#_x0000_t202" style="width:510.2pt;height:708.65pt;margin-top:-83.05pt;margin-left:-7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5952" filled="f" strokecolor="#a5a5a5" strokeweight="0.25pt">
              <v:stroke dashstyle="longDash"/>
              <v:textbox>
                <w:txbxContent>
                  <w:p w:rsidR="003340AD" w:rsidRPr="00DE3ECA" w:rsidP="003340AD" w14:paraId="01679594"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sidRPr="007C10CA" w:rsidR="00086BC2">
      <w:rPr>
        <w:rFonts w:ascii="Tahoma" w:hAnsi="Tahoma" w:eastAsiaTheme="minorHAnsi" w:cs="Tahoma" w:hint="eastAsia"/>
        <w:color w:val="0D0D0D" w:themeColor="text1" w:themeTint="F2"/>
        <w:sz w:val="16"/>
        <w:szCs w:val="16"/>
        <w:rtl/>
        <w:lang w:val="en"/>
      </w:rPr>
      <w:t xml:space="preserve"> </w:t>
    </w:r>
    <w:r w:rsidRPr="007C10CA" w:rsidR="008615A2">
      <w:rPr>
        <w:rFonts w:ascii="Tahoma" w:hAnsi="Tahoma" w:eastAsiaTheme="minorHAnsi" w:cs="Tahoma" w:hint="eastAsia"/>
        <w:noProof/>
        <w:color w:val="0D0D0D" w:themeColor="text1" w:themeTint="F2"/>
        <w:sz w:val="16"/>
        <w:szCs w:val="16"/>
        <w:rtl/>
        <w:lang w:val="en"/>
      </w:rPr>
      <w:drawing>
        <wp:anchor distT="0" distB="0" distL="114300" distR="114300" simplePos="0" relativeHeight="251659264" behindDoc="1" locked="0" layoutInCell="1" allowOverlap="1">
          <wp:simplePos x="0" y="0"/>
          <wp:positionH relativeFrom="page">
            <wp:posOffset>5745</wp:posOffset>
          </wp:positionH>
          <wp:positionV relativeFrom="page">
            <wp:posOffset>65674</wp:posOffset>
          </wp:positionV>
          <wp:extent cx="7549200" cy="10670400"/>
          <wp:effectExtent l="0" t="0" r="0" b="0"/>
          <wp:wrapNone/>
          <wp:docPr id="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0"/>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p>
  <w:p w:rsidR="00C82866" w:rsidRPr="00950E0A" w:rsidP="008A4007" w14:paraId="74C5211B" w14:textId="01775043">
    <w:pPr>
      <w:pStyle w:val="Header"/>
      <w:bidi w:val="0"/>
      <w:spacing w:before="240" w:after="180"/>
      <w:rPr>
        <w:rFonts w:ascii="Tahoma" w:hAnsi="Tahoma" w:eastAsiaTheme="majorEastAsia" w:cs="Tahoma"/>
        <w:noProof/>
        <w:color w:val="0D0D0D" w:themeColor="text1" w:themeTint="F2"/>
        <w:sz w:val="16"/>
        <w:szCs w:val="16"/>
        <w:rt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82866" w:rsidRPr="00D05191" w:rsidP="005411EA" w14:paraId="50443D29" w14:textId="704B3C3F">
    <w:pPr>
      <w:pStyle w:val="Header"/>
      <w:bidi w:val="0"/>
      <w:spacing w:before="240" w:after="180"/>
      <w:ind w:right="567"/>
      <w:jc w:val="right"/>
      <w:rPr>
        <w:rFonts w:ascii="Tahoma" w:hAnsi="Tahoma" w:eastAsiaTheme="majorEastAsia" w:cs="Tahoma"/>
        <w:noProof/>
        <w:color w:val="231F20"/>
        <w:sz w:val="16"/>
        <w:szCs w:val="16"/>
      </w:rPr>
    </w:pPr>
    <w:r w:rsidRPr="00C86180">
      <w:rPr>
        <w:noProof/>
        <w:sz w:val="22"/>
        <w:szCs w:val="22"/>
        <w:rtl/>
        <w:lang w:val="he-IL"/>
      </w:rPr>
      <mc:AlternateContent>
        <mc:Choice Requires="wps">
          <w:drawing>
            <wp:anchor distT="0" distB="0" distL="114300" distR="114300" simplePos="0" relativeHeight="251660288" behindDoc="0" locked="0" layoutInCell="1" allowOverlap="1">
              <wp:simplePos x="0" y="0"/>
              <wp:positionH relativeFrom="column">
                <wp:posOffset>5037460</wp:posOffset>
              </wp:positionH>
              <wp:positionV relativeFrom="paragraph">
                <wp:posOffset>-1180402</wp:posOffset>
              </wp:positionV>
              <wp:extent cx="299085" cy="8437069"/>
              <wp:effectExtent l="0" t="0" r="5715" b="0"/>
              <wp:wrapNone/>
              <wp:docPr id="6"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299085" cy="8437069"/>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2052" style="width:23.55pt;height:664.35pt;margin-top:-92.95pt;margin-left:396.65pt;flip:y;mso-height-percent:0;mso-height-relative:margin;mso-width-percent:0;mso-width-relative:margin;mso-wrap-distance-bottom:0;mso-wrap-distance-left:9pt;mso-wrap-distance-right:9pt;mso-wrap-distance-top:0;mso-wrap-style:square;position:absolute;visibility:visible;v-text-anchor:middle;z-index:251661312" fillcolor="#00305f" stroked="f" strokeweight="1.5pt">
              <v:stroke endcap="round"/>
            </v:rect>
          </w:pict>
        </mc:Fallback>
      </mc:AlternateContent>
    </w:r>
    <w:r w:rsidR="003340AD">
      <w:rPr>
        <w:noProof/>
        <w:rtl/>
        <w:lang w:val="he-IL"/>
      </w:rPr>
      <mc:AlternateContent>
        <mc:Choice Requires="wps">
          <w:drawing>
            <wp:anchor distT="0" distB="0" distL="114300" distR="114300" simplePos="0" relativeHeight="251671552" behindDoc="1" locked="0" layoutInCell="1" allowOverlap="1">
              <wp:simplePos x="0" y="0"/>
              <wp:positionH relativeFrom="margin">
                <wp:posOffset>-957930</wp:posOffset>
              </wp:positionH>
              <wp:positionV relativeFrom="margin">
                <wp:posOffset>-903605</wp:posOffset>
              </wp:positionV>
              <wp:extent cx="6479540" cy="8999855"/>
              <wp:effectExtent l="0" t="0" r="10160" b="17145"/>
              <wp:wrapNone/>
              <wp:docPr id="545322748"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3340AD" w:rsidRPr="00DE3ECA" w:rsidP="003340A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3" type="#_x0000_t202" style="width:510.2pt;height:708.65pt;margin-top:-71.15pt;margin-left:-75.4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3904" filled="f" strokecolor="#a5a5a5" strokeweight="0.25pt">
              <v:stroke dashstyle="longDash"/>
              <v:textbox>
                <w:txbxContent>
                  <w:p w:rsidR="003340AD" w:rsidRPr="00DE3ECA" w:rsidP="003340AD" w14:paraId="5E74C7C1"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sidRPr="006061A9" w:rsidR="00555EDA">
      <w:rPr>
        <w:rFonts w:ascii="Tahoma" w:hAnsi="Tahoma" w:eastAsiaTheme="majorEastAsia" w:cs="Tahoma"/>
        <w:noProof/>
        <w:color w:val="0D0D0D" w:themeColor="text1" w:themeTint="F2"/>
        <w:sz w:val="16"/>
        <w:szCs w:val="16"/>
      </w:rPr>
      <mc:AlternateContent>
        <mc:Choice Requires="wps">
          <w:drawing>
            <wp:anchor distT="0" distB="0" distL="114300" distR="114300" simplePos="0" relativeHeight="251662336" behindDoc="0" locked="0" layoutInCell="1" allowOverlap="1">
              <wp:simplePos x="0" y="0"/>
              <wp:positionH relativeFrom="column">
                <wp:posOffset>4960620</wp:posOffset>
              </wp:positionH>
              <wp:positionV relativeFrom="paragraph">
                <wp:posOffset>-41077</wp:posOffset>
              </wp:positionV>
              <wp:extent cx="489585" cy="7483377"/>
              <wp:effectExtent l="0" t="0" r="0" b="0"/>
              <wp:wrapNone/>
              <wp:docPr id="2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 cy="7483377"/>
                      </a:xfrm>
                      <a:prstGeom prst="rect">
                        <a:avLst/>
                      </a:prstGeom>
                      <a:noFill/>
                      <a:ln w="9525">
                        <a:noFill/>
                        <a:miter lim="800000"/>
                        <a:headEnd/>
                        <a:tailEnd/>
                      </a:ln>
                    </wps:spPr>
                    <wps:txbx>
                      <w:txbxContent>
                        <w:p w:rsidR="00741C9B" w:rsidRPr="00941C35" w:rsidP="00DA6ED5" w14:textId="735EAA81">
                          <w:pPr>
                            <w:pStyle w:val="7120"/>
                            <w:bidi w:val="0"/>
                            <w:spacing w:before="0" w:after="0"/>
                            <w:ind w:left="284" w:right="-142"/>
                            <w:rPr>
                              <w:color w:val="FFFFFF" w:themeColor="background1"/>
                              <w:spacing w:val="-2"/>
                              <w:sz w:val="19"/>
                              <w:szCs w:val="19"/>
                            </w:rPr>
                          </w:pPr>
                          <w:r w:rsidRPr="00555EDA">
                            <w:rPr>
                              <w:b w:val="0"/>
                              <w:bCs w:val="0"/>
                              <w:color w:val="FFFFFF" w:themeColor="background1"/>
                              <w:sz w:val="20"/>
                              <w:szCs w:val="20"/>
                            </w:rPr>
                            <w:t xml:space="preserve">Abstract </w:t>
                          </w:r>
                          <w:r w:rsidRPr="00555EDA" w:rsidR="001B75AD">
                            <w:rPr>
                              <w:b w:val="0"/>
                              <w:bCs w:val="0"/>
                              <w:color w:val="FFFFFF" w:themeColor="background1"/>
                              <w:sz w:val="20"/>
                              <w:szCs w:val="20"/>
                            </w:rPr>
                            <w:t xml:space="preserve"> </w:t>
                          </w:r>
                          <w:r w:rsidRPr="00555EDA">
                            <w:rPr>
                              <w:rFonts w:hint="cs"/>
                              <w:b w:val="0"/>
                              <w:bCs w:val="0"/>
                              <w:color w:val="FFFFFF" w:themeColor="background1"/>
                              <w:sz w:val="20"/>
                              <w:szCs w:val="20"/>
                              <w:rtl/>
                            </w:rPr>
                            <w:t>|</w:t>
                          </w:r>
                          <w:r w:rsidRPr="00555EDA" w:rsidR="00690F71">
                            <w:rPr>
                              <w:b w:val="0"/>
                              <w:bCs w:val="0"/>
                              <w:color w:val="FFFFFF" w:themeColor="background1"/>
                              <w:sz w:val="18"/>
                              <w:szCs w:val="18"/>
                            </w:rPr>
                            <w:t xml:space="preserve"> </w:t>
                          </w:r>
                          <w:r w:rsidRPr="00555EDA" w:rsidR="001B75AD">
                            <w:rPr>
                              <w:b w:val="0"/>
                              <w:bCs w:val="0"/>
                              <w:color w:val="FFFFFF" w:themeColor="background1"/>
                              <w:sz w:val="19"/>
                              <w:szCs w:val="19"/>
                            </w:rPr>
                            <w:t xml:space="preserve"> </w:t>
                          </w:r>
                          <w:r w:rsidRPr="00DA6ED5" w:rsidR="00DA6ED5">
                            <w:rPr>
                              <w:rFonts w:eastAsiaTheme="minorEastAsia"/>
                              <w:color w:val="FFFFFF" w:themeColor="background1"/>
                              <w:spacing w:val="-2"/>
                              <w:sz w:val="20"/>
                              <w:szCs w:val="20"/>
                            </w:rPr>
                            <w:t>Activity of the Ministry for Regional Cooperation</w:t>
                          </w:r>
                        </w:p>
                      </w:txbxContent>
                    </wps:txbx>
                    <wps:bodyPr rot="0" vert="vert" wrap="square" anchor="t" anchorCtr="0"/>
                  </wps:wsp>
                </a:graphicData>
              </a:graphic>
              <wp14:sizeRelH relativeFrom="margin">
                <wp14:pctWidth>0</wp14:pctWidth>
              </wp14:sizeRelH>
              <wp14:sizeRelV relativeFrom="margin">
                <wp14:pctHeight>0</wp14:pctHeight>
              </wp14:sizeRelV>
            </wp:anchor>
          </w:drawing>
        </mc:Choice>
        <mc:Fallback>
          <w:pict>
            <v:shape id="_x0000_s2054" type="#_x0000_t202" style="width:38.55pt;height:589.25pt;margin-top:-3.25pt;margin-left:390.6pt;mso-height-percent:0;mso-height-relative:margin;mso-width-percent:0;mso-width-relative:margin;mso-wrap-distance-bottom:0;mso-wrap-distance-left:9pt;mso-wrap-distance-right:9pt;mso-wrap-distance-top:0;mso-wrap-style:square;position:absolute;visibility:visible;v-text-anchor:top;z-index:251663360" filled="f" stroked="f">
              <v:textbox style="layout-flow:vertical">
                <w:txbxContent>
                  <w:p w:rsidR="00741C9B" w:rsidRPr="00941C35" w:rsidP="00DA6ED5" w14:paraId="542790B6" w14:textId="735EAA81">
                    <w:pPr>
                      <w:pStyle w:val="7120"/>
                      <w:bidi w:val="0"/>
                      <w:spacing w:before="0" w:after="0"/>
                      <w:ind w:left="284" w:right="-142"/>
                      <w:rPr>
                        <w:color w:val="FFFFFF" w:themeColor="background1"/>
                        <w:spacing w:val="-2"/>
                        <w:sz w:val="19"/>
                        <w:szCs w:val="19"/>
                      </w:rPr>
                    </w:pPr>
                    <w:r w:rsidRPr="00555EDA">
                      <w:rPr>
                        <w:b w:val="0"/>
                        <w:bCs w:val="0"/>
                        <w:color w:val="FFFFFF" w:themeColor="background1"/>
                        <w:sz w:val="20"/>
                        <w:szCs w:val="20"/>
                      </w:rPr>
                      <w:t xml:space="preserve">Abstract </w:t>
                    </w:r>
                    <w:r w:rsidRPr="00555EDA" w:rsidR="001B75AD">
                      <w:rPr>
                        <w:b w:val="0"/>
                        <w:bCs w:val="0"/>
                        <w:color w:val="FFFFFF" w:themeColor="background1"/>
                        <w:sz w:val="20"/>
                        <w:szCs w:val="20"/>
                      </w:rPr>
                      <w:t xml:space="preserve"> </w:t>
                    </w:r>
                    <w:r w:rsidRPr="00555EDA">
                      <w:rPr>
                        <w:rFonts w:hint="cs"/>
                        <w:b w:val="0"/>
                        <w:bCs w:val="0"/>
                        <w:color w:val="FFFFFF" w:themeColor="background1"/>
                        <w:sz w:val="20"/>
                        <w:szCs w:val="20"/>
                        <w:rtl/>
                      </w:rPr>
                      <w:t>|</w:t>
                    </w:r>
                    <w:r w:rsidRPr="00555EDA" w:rsidR="00690F71">
                      <w:rPr>
                        <w:b w:val="0"/>
                        <w:bCs w:val="0"/>
                        <w:color w:val="FFFFFF" w:themeColor="background1"/>
                        <w:sz w:val="18"/>
                        <w:szCs w:val="18"/>
                      </w:rPr>
                      <w:t xml:space="preserve"> </w:t>
                    </w:r>
                    <w:r w:rsidRPr="00555EDA" w:rsidR="001B75AD">
                      <w:rPr>
                        <w:b w:val="0"/>
                        <w:bCs w:val="0"/>
                        <w:color w:val="FFFFFF" w:themeColor="background1"/>
                        <w:sz w:val="19"/>
                        <w:szCs w:val="19"/>
                      </w:rPr>
                      <w:t xml:space="preserve"> </w:t>
                    </w:r>
                    <w:r w:rsidRPr="00DA6ED5" w:rsidR="00DA6ED5">
                      <w:rPr>
                        <w:rFonts w:eastAsiaTheme="minorEastAsia"/>
                        <w:color w:val="FFFFFF" w:themeColor="background1"/>
                        <w:spacing w:val="-2"/>
                        <w:sz w:val="20"/>
                        <w:szCs w:val="20"/>
                      </w:rPr>
                      <w:t>Activity of the Ministry for Regional Cooperation</w:t>
                    </w:r>
                  </w:p>
                </w:txbxContent>
              </v:textbox>
            </v:shape>
          </w:pict>
        </mc:Fallback>
      </mc:AlternateContent>
    </w:r>
    <w:r w:rsidR="008615A2">
      <w:rPr>
        <w:rFonts w:ascii="Tahoma" w:hAnsi="Tahoma" w:eastAsiaTheme="majorEastAsia" w:cs="Tahoma"/>
        <w:noProof/>
        <w:color w:val="0D0D0D" w:themeColor="text1" w:themeTint="F2"/>
        <w:sz w:val="16"/>
        <w:szCs w:val="16"/>
      </w:rPr>
      <w:drawing>
        <wp:anchor distT="0" distB="0" distL="114300" distR="114300" simplePos="0" relativeHeight="251658240" behindDoc="1" locked="0" layoutInCell="1" allowOverlap="1">
          <wp:simplePos x="0" y="0"/>
          <wp:positionH relativeFrom="column">
            <wp:align>center</wp:align>
          </wp:positionH>
          <wp:positionV relativeFrom="page">
            <wp:align>center</wp:align>
          </wp:positionV>
          <wp:extent cx="7549200" cy="10670400"/>
          <wp:effectExtent l="0" t="0" r="0" b="0"/>
          <wp:wrapNone/>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D05191" w:rsidR="0038050A">
      <w:rPr>
        <w:rFonts w:ascii="Tahoma" w:hAnsi="Tahoma" w:eastAsiaTheme="majorEastAsia" w:cs="Tahoma"/>
        <w:noProof/>
        <w:color w:val="0D0D0D" w:themeColor="text1" w:themeTint="F2"/>
        <w:sz w:val="15"/>
        <w:szCs w:val="15"/>
      </w:rPr>
      <w:t xml:space="preserve"> </w:t>
    </w:r>
    <w:r w:rsidRPr="00DB54AF" w:rsidR="00DB54AF">
      <w:rPr>
        <w:rFonts w:ascii="Tahoma" w:hAnsi="Tahoma" w:eastAsiaTheme="majorEastAsia" w:cs="Tahoma"/>
        <w:noProof/>
        <w:color w:val="0D0D0D" w:themeColor="text1" w:themeTint="F2"/>
        <w:sz w:val="16"/>
        <w:szCs w:val="16"/>
      </w:rPr>
      <w:t>Report of the State Comptroller of Israel</w:t>
    </w:r>
    <w:r w:rsidR="00627F7E">
      <w:rPr>
        <w:rFonts w:ascii="Tahoma" w:hAnsi="Tahoma" w:eastAsiaTheme="majorEastAsia" w:cs="Tahoma" w:hint="cs"/>
        <w:noProof/>
        <w:color w:val="0D0D0D" w:themeColor="text1" w:themeTint="F2"/>
        <w:sz w:val="16"/>
        <w:szCs w:val="16"/>
        <w:rtl/>
      </w:rPr>
      <w:t xml:space="preserve"> </w:t>
    </w:r>
    <w:r w:rsidRPr="00DB54AF" w:rsidR="00DB54AF">
      <w:rPr>
        <w:rFonts w:ascii="Tahoma" w:hAnsi="Tahoma" w:eastAsiaTheme="majorEastAsia" w:cs="Tahoma"/>
        <w:noProof/>
        <w:color w:val="0D0D0D" w:themeColor="text1" w:themeTint="F2"/>
        <w:sz w:val="16"/>
        <w:szCs w:val="16"/>
      </w:rPr>
      <w:t>| November 2024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82866" w:rsidRPr="00890ED9" w:rsidP="00890ED9" w14:paraId="3011DE6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numPicBullet w:numPicBulletId="0">
    <mc:AlternateContent>
      <mc:Choice Requires="v">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366662674" o:spid="_x0000_i1025" type="#_x0000_t75" style="width:52.9pt;height:58.05pt" o:bullet="t">
            <v:imagedata r:id="rId1" o:title=""/>
          </v:shape>
        </w:pict>
      </mc:Choice>
      <mc:Fallback>
        <w:drawing>
          <wp:inline distT="0" distB="0" distL="0" distR="0">
            <wp:extent cx="671830" cy="737235"/>
            <wp:effectExtent l="0" t="0" r="0" b="0"/>
            <wp:docPr id="1366662674" name="תמונה 136666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671830" cy="737235"/>
                    </a:xfrm>
                    <a:prstGeom prst="rect">
                      <a:avLst/>
                    </a:prstGeom>
                    <a:noFill/>
                    <a:ln>
                      <a:noFill/>
                    </a:ln>
                  </pic:spPr>
                </pic:pic>
              </a:graphicData>
            </a:graphic>
          </wp:inline>
        </w:drawing>
      </mc:Fallback>
    </mc:AlternateContent>
  </w:numPicBullet>
  <w:abstractNum w:abstractNumId="0" w15:restartNumberingAfterBreak="0">
    <w:nsid w:val="FFFFFF89"/>
    <w:multiLevelType w:val="singleLevel"/>
    <w:tmpl w:val="3868518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EB68CF"/>
    <w:multiLevelType w:val="hybridMultilevel"/>
    <w:tmpl w:val="4DBA338A"/>
    <w:lvl w:ilvl="0">
      <w:start w:val="1"/>
      <w:numFmt w:val="bullet"/>
      <w:lvlText w:val=""/>
      <w:lvlJc w:val="left"/>
      <w:pPr>
        <w:ind w:left="1514"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2" w15:restartNumberingAfterBreak="0">
    <w:nsid w:val="07C54509"/>
    <w:multiLevelType w:val="multilevel"/>
    <w:tmpl w:val="3030E6FC"/>
    <w:lvl w:ilvl="0">
      <w:start w:val="1"/>
      <w:numFmt w:val="decimal"/>
      <w:pStyle w:val="71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15:restartNumberingAfterBreak="0">
    <w:nsid w:val="0D1C1A57"/>
    <w:multiLevelType w:val="hybridMultilevel"/>
    <w:tmpl w:val="79BA3268"/>
    <w:lvl w:ilvl="0">
      <w:start w:val="5"/>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15:restartNumberingAfterBreak="0">
    <w:nsid w:val="0EE176D6"/>
    <w:multiLevelType w:val="hybridMultilevel"/>
    <w:tmpl w:val="16842C8E"/>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15:restartNumberingAfterBreak="0">
    <w:nsid w:val="166C55F3"/>
    <w:multiLevelType w:val="multilevel"/>
    <w:tmpl w:val="767C0EC2"/>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15:restartNumberingAfterBreak="0">
    <w:nsid w:val="1A013EB0"/>
    <w:multiLevelType w:val="hybridMultilevel"/>
    <w:tmpl w:val="1662FF5E"/>
    <w:lvl w:ilvl="0">
      <w:start w:val="2"/>
      <w:numFmt w:val="decimal"/>
      <w:lvlText w:val="%1."/>
      <w:lvlJc w:val="left"/>
      <w:pPr>
        <w:ind w:left="720" w:hanging="360"/>
      </w:pPr>
      <w:rPr>
        <w:rFonts w:hint="default"/>
        <w:b/>
        <w:bCs/>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7" w15:restartNumberingAfterBreak="0">
    <w:nsid w:val="1D0C0DF6"/>
    <w:multiLevelType w:val="hybridMultilevel"/>
    <w:tmpl w:val="A1EC5E72"/>
    <w:lvl w:ilvl="0">
      <w:start w:val="1"/>
      <w:numFmt w:val="bullet"/>
      <w:lvlText w:val=""/>
      <w:lvlPicBulletId w:val="0"/>
      <w:lvlJc w:val="left"/>
      <w:pPr>
        <w:ind w:left="397" w:hanging="397"/>
      </w:pPr>
      <w:rPr>
        <w:rFonts w:ascii="Symbol" w:hAnsi="Symbol" w:hint="default"/>
        <w:color w:val="auto"/>
        <w:sz w:val="28"/>
        <w:szCs w:val="28"/>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15:restartNumberingAfterBreak="0">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9" w15:restartNumberingAfterBreak="0">
    <w:nsid w:val="235F1CDB"/>
    <w:multiLevelType w:val="hybridMultilevel"/>
    <w:tmpl w:val="8284614E"/>
    <w:lvl w:ilvl="0">
      <w:start w:val="1"/>
      <w:numFmt w:val="decimal"/>
      <w:pStyle w:val="ListParagraph"/>
      <w:lvlText w:val="%1."/>
      <w:lvlJc w:val="left"/>
      <w:pPr>
        <w:ind w:left="1080" w:hanging="360"/>
      </w:pPr>
      <w:rPr>
        <w:rFonts w:hint="default"/>
        <w:b w:val="0"/>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 w15:restartNumberingAfterBreak="0">
    <w:nsid w:val="273D0009"/>
    <w:multiLevelType w:val="hybridMultilevel"/>
    <w:tmpl w:val="3F6A506E"/>
    <w:lvl w:ilvl="0">
      <w:start w:val="1"/>
      <w:numFmt w:val="decimal"/>
      <w:lvlText w:val="%1."/>
      <w:lvlJc w:val="left"/>
      <w:pPr>
        <w:ind w:left="170" w:hanging="170"/>
      </w:pPr>
      <w:rPr>
        <w:rFonts w:hint="default"/>
        <w:b w:val="0"/>
        <w:bCs w:val="0"/>
        <w:color w:val="000000" w:themeColor="text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15:restartNumberingAfterBreak="0">
    <w:nsid w:val="30C40368"/>
    <w:multiLevelType w:val="hybridMultilevel"/>
    <w:tmpl w:val="A95E18E0"/>
    <w:lvl w:ilvl="0">
      <w:start w:val="1"/>
      <w:numFmt w:val="bullet"/>
      <w:lvlText w:val=""/>
      <w:lvlJc w:val="left"/>
      <w:pPr>
        <w:ind w:left="284" w:firstLine="1023"/>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15:restartNumberingAfterBreak="0">
    <w:nsid w:val="31DE49CA"/>
    <w:multiLevelType w:val="hybridMultilevel"/>
    <w:tmpl w:val="A488764C"/>
    <w:lvl w:ilvl="0">
      <w:start w:val="1"/>
      <w:numFmt w:val="decimal"/>
      <w:lvlText w:val="%1."/>
      <w:lvlJc w:val="left"/>
      <w:pPr>
        <w:ind w:left="1060" w:hanging="360"/>
      </w:pPr>
      <w:rPr>
        <w:rFonts w:hint="default"/>
        <w:b/>
        <w:bCs/>
        <w:color w:val="FFFFFF" w:themeColor="background1"/>
      </w:rPr>
    </w:lvl>
    <w:lvl w:ilvl="1" w:tentative="1">
      <w:start w:val="1"/>
      <w:numFmt w:val="lowerLetter"/>
      <w:lvlText w:val="%2."/>
      <w:lvlJc w:val="left"/>
      <w:pPr>
        <w:ind w:left="1780" w:hanging="360"/>
      </w:pPr>
    </w:lvl>
    <w:lvl w:ilvl="2" w:tentative="1">
      <w:start w:val="1"/>
      <w:numFmt w:val="lowerRoman"/>
      <w:lvlText w:val="%3."/>
      <w:lvlJc w:val="right"/>
      <w:pPr>
        <w:ind w:left="2500" w:hanging="180"/>
      </w:pPr>
    </w:lvl>
    <w:lvl w:ilvl="3" w:tentative="1">
      <w:start w:val="1"/>
      <w:numFmt w:val="decimal"/>
      <w:lvlText w:val="%4."/>
      <w:lvlJc w:val="left"/>
      <w:pPr>
        <w:ind w:left="3220" w:hanging="360"/>
      </w:pPr>
    </w:lvl>
    <w:lvl w:ilvl="4" w:tentative="1">
      <w:start w:val="1"/>
      <w:numFmt w:val="lowerLetter"/>
      <w:lvlText w:val="%5."/>
      <w:lvlJc w:val="left"/>
      <w:pPr>
        <w:ind w:left="3940" w:hanging="360"/>
      </w:pPr>
    </w:lvl>
    <w:lvl w:ilvl="5" w:tentative="1">
      <w:start w:val="1"/>
      <w:numFmt w:val="lowerRoman"/>
      <w:lvlText w:val="%6."/>
      <w:lvlJc w:val="right"/>
      <w:pPr>
        <w:ind w:left="4660" w:hanging="180"/>
      </w:pPr>
    </w:lvl>
    <w:lvl w:ilvl="6" w:tentative="1">
      <w:start w:val="1"/>
      <w:numFmt w:val="decimal"/>
      <w:lvlText w:val="%7."/>
      <w:lvlJc w:val="left"/>
      <w:pPr>
        <w:ind w:left="5380" w:hanging="360"/>
      </w:pPr>
    </w:lvl>
    <w:lvl w:ilvl="7" w:tentative="1">
      <w:start w:val="1"/>
      <w:numFmt w:val="lowerLetter"/>
      <w:lvlText w:val="%8."/>
      <w:lvlJc w:val="left"/>
      <w:pPr>
        <w:ind w:left="6100" w:hanging="360"/>
      </w:pPr>
    </w:lvl>
    <w:lvl w:ilvl="8" w:tentative="1">
      <w:start w:val="1"/>
      <w:numFmt w:val="lowerRoman"/>
      <w:lvlText w:val="%9."/>
      <w:lvlJc w:val="right"/>
      <w:pPr>
        <w:ind w:left="6820" w:hanging="180"/>
      </w:pPr>
    </w:lvl>
  </w:abstractNum>
  <w:abstractNum w:abstractNumId="13" w15:restartNumberingAfterBreak="0">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46765C41"/>
    <w:multiLevelType w:val="hybridMultilevel"/>
    <w:tmpl w:val="C504B200"/>
    <w:lvl w:ilvl="0">
      <w:start w:val="5"/>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15:restartNumberingAfterBreak="0">
    <w:nsid w:val="4FAE0F0F"/>
    <w:multiLevelType w:val="hybridMultilevel"/>
    <w:tmpl w:val="7C7897AA"/>
    <w:lvl w:ilvl="0">
      <w:start w:val="2"/>
      <w:numFmt w:val="decimal"/>
      <w:lvlText w:val="%1."/>
      <w:lvlJc w:val="left"/>
      <w:pPr>
        <w:ind w:left="1060" w:hanging="360"/>
      </w:pPr>
      <w:rPr>
        <w:rFonts w:hint="default"/>
        <w:b/>
        <w:bCs/>
        <w:color w:val="FFFFFF" w:themeColor="background1"/>
      </w:rPr>
    </w:lvl>
    <w:lvl w:ilvl="1" w:tentative="1">
      <w:start w:val="1"/>
      <w:numFmt w:val="lowerLetter"/>
      <w:lvlText w:val="%2."/>
      <w:lvlJc w:val="left"/>
      <w:pPr>
        <w:ind w:left="1648" w:hanging="360"/>
      </w:pPr>
    </w:lvl>
    <w:lvl w:ilvl="2" w:tentative="1">
      <w:start w:val="1"/>
      <w:numFmt w:val="lowerRoman"/>
      <w:lvlText w:val="%3."/>
      <w:lvlJc w:val="right"/>
      <w:pPr>
        <w:ind w:left="2368" w:hanging="180"/>
      </w:pPr>
    </w:lvl>
    <w:lvl w:ilvl="3" w:tentative="1">
      <w:start w:val="1"/>
      <w:numFmt w:val="decimal"/>
      <w:lvlText w:val="%4."/>
      <w:lvlJc w:val="left"/>
      <w:pPr>
        <w:ind w:left="3088" w:hanging="360"/>
      </w:pPr>
    </w:lvl>
    <w:lvl w:ilvl="4" w:tentative="1">
      <w:start w:val="1"/>
      <w:numFmt w:val="lowerLetter"/>
      <w:lvlText w:val="%5."/>
      <w:lvlJc w:val="left"/>
      <w:pPr>
        <w:ind w:left="3808" w:hanging="360"/>
      </w:pPr>
    </w:lvl>
    <w:lvl w:ilvl="5" w:tentative="1">
      <w:start w:val="1"/>
      <w:numFmt w:val="lowerRoman"/>
      <w:lvlText w:val="%6."/>
      <w:lvlJc w:val="right"/>
      <w:pPr>
        <w:ind w:left="4528" w:hanging="180"/>
      </w:pPr>
    </w:lvl>
    <w:lvl w:ilvl="6" w:tentative="1">
      <w:start w:val="1"/>
      <w:numFmt w:val="decimal"/>
      <w:lvlText w:val="%7."/>
      <w:lvlJc w:val="left"/>
      <w:pPr>
        <w:ind w:left="5248" w:hanging="360"/>
      </w:pPr>
    </w:lvl>
    <w:lvl w:ilvl="7" w:tentative="1">
      <w:start w:val="1"/>
      <w:numFmt w:val="lowerLetter"/>
      <w:lvlText w:val="%8."/>
      <w:lvlJc w:val="left"/>
      <w:pPr>
        <w:ind w:left="5968" w:hanging="360"/>
      </w:pPr>
    </w:lvl>
    <w:lvl w:ilvl="8" w:tentative="1">
      <w:start w:val="1"/>
      <w:numFmt w:val="lowerRoman"/>
      <w:lvlText w:val="%9."/>
      <w:lvlJc w:val="right"/>
      <w:pPr>
        <w:ind w:left="6688" w:hanging="180"/>
      </w:pPr>
    </w:lvl>
  </w:abstractNum>
  <w:abstractNum w:abstractNumId="16" w15:restartNumberingAfterBreak="0">
    <w:nsid w:val="55E326D5"/>
    <w:multiLevelType w:val="hybridMultilevel"/>
    <w:tmpl w:val="F03CDE30"/>
    <w:lvl w:ilvl="0">
      <w:start w:val="1"/>
      <w:numFmt w:val="bullet"/>
      <w:lvlText w:val=""/>
      <w:lvlJc w:val="left"/>
      <w:pPr>
        <w:ind w:left="1514"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17" w15:restartNumberingAfterBreak="0">
    <w:nsid w:val="5EDA18C9"/>
    <w:multiLevelType w:val="hybridMultilevel"/>
    <w:tmpl w:val="18F24D2E"/>
    <w:lvl w:ilvl="0">
      <w:start w:val="1"/>
      <w:numFmt w:val="decimal"/>
      <w:lvlText w:val="%1."/>
      <w:lvlJc w:val="left"/>
      <w:pPr>
        <w:ind w:left="700" w:hanging="360"/>
      </w:pPr>
      <w:rPr>
        <w:rFonts w:ascii="Tahoma" w:hAnsi="Tahoma" w:cs="Tahoma" w:hint="default"/>
        <w:b/>
        <w:color w:val="FFFFFF" w:themeColor="background1"/>
        <w:sz w:val="22"/>
      </w:rPr>
    </w:lvl>
    <w:lvl w:ilvl="1" w:tentative="1">
      <w:start w:val="1"/>
      <w:numFmt w:val="lowerLetter"/>
      <w:lvlText w:val="%2."/>
      <w:lvlJc w:val="left"/>
      <w:pPr>
        <w:ind w:left="1420" w:hanging="360"/>
      </w:pPr>
    </w:lvl>
    <w:lvl w:ilvl="2" w:tentative="1">
      <w:start w:val="1"/>
      <w:numFmt w:val="lowerRoman"/>
      <w:lvlText w:val="%3."/>
      <w:lvlJc w:val="right"/>
      <w:pPr>
        <w:ind w:left="2140" w:hanging="180"/>
      </w:pPr>
    </w:lvl>
    <w:lvl w:ilvl="3" w:tentative="1">
      <w:start w:val="1"/>
      <w:numFmt w:val="decimal"/>
      <w:lvlText w:val="%4."/>
      <w:lvlJc w:val="left"/>
      <w:pPr>
        <w:ind w:left="2860" w:hanging="360"/>
      </w:pPr>
    </w:lvl>
    <w:lvl w:ilvl="4" w:tentative="1">
      <w:start w:val="1"/>
      <w:numFmt w:val="lowerLetter"/>
      <w:lvlText w:val="%5."/>
      <w:lvlJc w:val="left"/>
      <w:pPr>
        <w:ind w:left="3580" w:hanging="360"/>
      </w:pPr>
    </w:lvl>
    <w:lvl w:ilvl="5" w:tentative="1">
      <w:start w:val="1"/>
      <w:numFmt w:val="lowerRoman"/>
      <w:lvlText w:val="%6."/>
      <w:lvlJc w:val="right"/>
      <w:pPr>
        <w:ind w:left="4300" w:hanging="180"/>
      </w:pPr>
    </w:lvl>
    <w:lvl w:ilvl="6" w:tentative="1">
      <w:start w:val="1"/>
      <w:numFmt w:val="decimal"/>
      <w:lvlText w:val="%7."/>
      <w:lvlJc w:val="left"/>
      <w:pPr>
        <w:ind w:left="5020" w:hanging="360"/>
      </w:pPr>
    </w:lvl>
    <w:lvl w:ilvl="7" w:tentative="1">
      <w:start w:val="1"/>
      <w:numFmt w:val="lowerLetter"/>
      <w:lvlText w:val="%8."/>
      <w:lvlJc w:val="left"/>
      <w:pPr>
        <w:ind w:left="5740" w:hanging="360"/>
      </w:pPr>
    </w:lvl>
    <w:lvl w:ilvl="8" w:tentative="1">
      <w:start w:val="1"/>
      <w:numFmt w:val="lowerRoman"/>
      <w:lvlText w:val="%9."/>
      <w:lvlJc w:val="right"/>
      <w:pPr>
        <w:ind w:left="6460" w:hanging="180"/>
      </w:pPr>
    </w:lvl>
  </w:abstractNum>
  <w:abstractNum w:abstractNumId="18" w15:restartNumberingAfterBreak="0">
    <w:nsid w:val="6079445E"/>
    <w:multiLevelType w:val="hybridMultilevel"/>
    <w:tmpl w:val="01E0535A"/>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9" w15:restartNumberingAfterBreak="0">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 w15:restartNumberingAfterBreak="0">
    <w:nsid w:val="67BF5139"/>
    <w:multiLevelType w:val="multilevel"/>
    <w:tmpl w:val="DC6C961C"/>
    <w:lvl w:ilvl="0">
      <w:start w:val="1"/>
      <w:numFmt w:val="decimal"/>
      <w:pStyle w:val="a1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1" w15:restartNumberingAfterBreak="0">
    <w:nsid w:val="68B7092F"/>
    <w:multiLevelType w:val="hybridMultilevel"/>
    <w:tmpl w:val="CD303DDE"/>
    <w:lvl w:ilvl="0">
      <w:start w:val="1"/>
      <w:numFmt w:val="bullet"/>
      <w:lvlText w:val=""/>
      <w:lvlPicBulletId w:val="0"/>
      <w:lvlJc w:val="left"/>
      <w:pPr>
        <w:ind w:left="397" w:hanging="397"/>
      </w:pPr>
      <w:rPr>
        <w:rFonts w:ascii="Symbol" w:hAnsi="Symbol" w:hint="default"/>
        <w:color w:val="auto"/>
        <w:sz w:val="28"/>
        <w:szCs w:val="28"/>
      </w:rPr>
    </w:lvl>
    <w:lvl w:ilvl="1">
      <w:start w:val="1"/>
      <w:numFmt w:val="bullet"/>
      <w:lvlText w:val="o"/>
      <w:lvlJc w:val="left"/>
      <w:pPr>
        <w:ind w:left="927"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15:restartNumberingAfterBreak="0">
    <w:nsid w:val="69F51C67"/>
    <w:multiLevelType w:val="hybridMultilevel"/>
    <w:tmpl w:val="1C706308"/>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15:restartNumberingAfterBreak="0">
    <w:nsid w:val="717B4C9C"/>
    <w:multiLevelType w:val="hybridMultilevel"/>
    <w:tmpl w:val="D1E844FC"/>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24" w15:restartNumberingAfterBreak="0">
    <w:nsid w:val="75BB59BB"/>
    <w:multiLevelType w:val="hybridMultilevel"/>
    <w:tmpl w:val="8DE4081E"/>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15:restartNumberingAfterBreak="0">
    <w:nsid w:val="7D365B29"/>
    <w:multiLevelType w:val="multilevel"/>
    <w:tmpl w:val="E3AA6D54"/>
    <w:lvl w:ilvl="0">
      <w:start w:val="1"/>
      <w:numFmt w:val="hebrew1"/>
      <w:pStyle w:val="715"/>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441336782">
    <w:abstractNumId w:val="13"/>
  </w:num>
  <w:num w:numId="2" w16cid:durableId="767771938">
    <w:abstractNumId w:val="20"/>
  </w:num>
  <w:num w:numId="3" w16cid:durableId="1533149807">
    <w:abstractNumId w:val="9"/>
  </w:num>
  <w:num w:numId="4" w16cid:durableId="1169364424">
    <w:abstractNumId w:val="8"/>
  </w:num>
  <w:num w:numId="5" w16cid:durableId="1531528138">
    <w:abstractNumId w:val="7"/>
  </w:num>
  <w:num w:numId="6" w16cid:durableId="378214401">
    <w:abstractNumId w:val="2"/>
  </w:num>
  <w:num w:numId="7" w16cid:durableId="1558588035">
    <w:abstractNumId w:val="3"/>
  </w:num>
  <w:num w:numId="8" w16cid:durableId="966810605">
    <w:abstractNumId w:val="25"/>
  </w:num>
  <w:num w:numId="9" w16cid:durableId="1709639913">
    <w:abstractNumId w:val="11"/>
  </w:num>
  <w:num w:numId="10" w16cid:durableId="2061510871">
    <w:abstractNumId w:val="9"/>
  </w:num>
  <w:num w:numId="11" w16cid:durableId="150566361">
    <w:abstractNumId w:val="14"/>
  </w:num>
  <w:num w:numId="12" w16cid:durableId="1884517408">
    <w:abstractNumId w:val="6"/>
  </w:num>
  <w:num w:numId="13" w16cid:durableId="1138574288">
    <w:abstractNumId w:val="15"/>
  </w:num>
  <w:num w:numId="14" w16cid:durableId="2021731970">
    <w:abstractNumId w:val="9"/>
  </w:num>
  <w:num w:numId="15" w16cid:durableId="294525774">
    <w:abstractNumId w:val="12"/>
  </w:num>
  <w:num w:numId="16" w16cid:durableId="1938829469">
    <w:abstractNumId w:val="17"/>
  </w:num>
  <w:num w:numId="17" w16cid:durableId="1870992102">
    <w:abstractNumId w:val="9"/>
  </w:num>
  <w:num w:numId="18" w16cid:durableId="875392425">
    <w:abstractNumId w:val="19"/>
  </w:num>
  <w:num w:numId="19" w16cid:durableId="1757364398">
    <w:abstractNumId w:val="9"/>
  </w:num>
  <w:num w:numId="20" w16cid:durableId="2080326639">
    <w:abstractNumId w:val="5"/>
  </w:num>
  <w:num w:numId="21" w16cid:durableId="1517109532">
    <w:abstractNumId w:val="18"/>
  </w:num>
  <w:num w:numId="22" w16cid:durableId="199829528">
    <w:abstractNumId w:val="21"/>
  </w:num>
  <w:num w:numId="23" w16cid:durableId="630592101">
    <w:abstractNumId w:val="9"/>
  </w:num>
  <w:num w:numId="24" w16cid:durableId="781344904">
    <w:abstractNumId w:val="9"/>
  </w:num>
  <w:num w:numId="25" w16cid:durableId="1029065817">
    <w:abstractNumId w:val="0"/>
  </w:num>
  <w:num w:numId="26" w16cid:durableId="1835028128">
    <w:abstractNumId w:val="10"/>
  </w:num>
  <w:num w:numId="27" w16cid:durableId="515264686">
    <w:abstractNumId w:val="9"/>
  </w:num>
  <w:num w:numId="28" w16cid:durableId="1118644431">
    <w:abstractNumId w:val="9"/>
  </w:num>
  <w:num w:numId="29" w16cid:durableId="495343087">
    <w:abstractNumId w:val="9"/>
  </w:num>
  <w:num w:numId="30" w16cid:durableId="93281274">
    <w:abstractNumId w:val="16"/>
  </w:num>
  <w:num w:numId="31" w16cid:durableId="575818460">
    <w:abstractNumId w:val="1"/>
  </w:num>
  <w:num w:numId="32" w16cid:durableId="871304304">
    <w:abstractNumId w:val="23"/>
  </w:num>
  <w:num w:numId="33" w16cid:durableId="1853570904">
    <w:abstractNumId w:val="4"/>
  </w:num>
  <w:num w:numId="34" w16cid:durableId="822430797">
    <w:abstractNumId w:val="24"/>
  </w:num>
  <w:num w:numId="35" w16cid:durableId="1334841248">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displayBackgroundShape/>
  <w:proofState w:spelling="clean" w:grammar="clean"/>
  <w:stylePaneFormatFilter w:val="1F08" w:allStyles="0" w:alternateStyleNames="0" w:clearFormatting="1" w:customStyles="0" w:directFormattingOnNumbering="1" w:directFormattingOnParagraphs="1" w:directFormattingOnRuns="1" w:directFormattingOnTables="1" w:headingStyles="0" w:latentStyles="0" w:numberingStyles="0" w:stylesInUse="1" w:tableStyles="0" w:top3HeadingStyles="0" w:visibleStyles="0"/>
  <w:defaultTabStop w:val="397"/>
  <w:evenAndOddHeaders/>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3AF"/>
    <w:rsid w:val="0000095B"/>
    <w:rsid w:val="00002000"/>
    <w:rsid w:val="000021BD"/>
    <w:rsid w:val="00002A6A"/>
    <w:rsid w:val="00002B48"/>
    <w:rsid w:val="000035C3"/>
    <w:rsid w:val="0000362C"/>
    <w:rsid w:val="0000373B"/>
    <w:rsid w:val="0000400F"/>
    <w:rsid w:val="000047FD"/>
    <w:rsid w:val="00005D49"/>
    <w:rsid w:val="00006C22"/>
    <w:rsid w:val="000073CC"/>
    <w:rsid w:val="000105AD"/>
    <w:rsid w:val="0001149A"/>
    <w:rsid w:val="000114F5"/>
    <w:rsid w:val="00011508"/>
    <w:rsid w:val="000123B5"/>
    <w:rsid w:val="00012511"/>
    <w:rsid w:val="00012E42"/>
    <w:rsid w:val="00012FC5"/>
    <w:rsid w:val="00013127"/>
    <w:rsid w:val="00015A73"/>
    <w:rsid w:val="00015D42"/>
    <w:rsid w:val="00017099"/>
    <w:rsid w:val="000174BC"/>
    <w:rsid w:val="00021662"/>
    <w:rsid w:val="000217C4"/>
    <w:rsid w:val="00021A89"/>
    <w:rsid w:val="000225D3"/>
    <w:rsid w:val="000249E2"/>
    <w:rsid w:val="00025440"/>
    <w:rsid w:val="00025650"/>
    <w:rsid w:val="0002681A"/>
    <w:rsid w:val="0002689B"/>
    <w:rsid w:val="00027245"/>
    <w:rsid w:val="000315F5"/>
    <w:rsid w:val="00031938"/>
    <w:rsid w:val="00032126"/>
    <w:rsid w:val="000331D3"/>
    <w:rsid w:val="0003392D"/>
    <w:rsid w:val="00033E04"/>
    <w:rsid w:val="0003470F"/>
    <w:rsid w:val="00034F3F"/>
    <w:rsid w:val="000350BF"/>
    <w:rsid w:val="000356A7"/>
    <w:rsid w:val="00035AA3"/>
    <w:rsid w:val="00035BD0"/>
    <w:rsid w:val="00036469"/>
    <w:rsid w:val="00036B1B"/>
    <w:rsid w:val="00036F3C"/>
    <w:rsid w:val="00037596"/>
    <w:rsid w:val="00040CFC"/>
    <w:rsid w:val="00041AEB"/>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567A"/>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14D"/>
    <w:rsid w:val="00072DC7"/>
    <w:rsid w:val="000760A4"/>
    <w:rsid w:val="00076160"/>
    <w:rsid w:val="000761E8"/>
    <w:rsid w:val="00076AD4"/>
    <w:rsid w:val="00076C3B"/>
    <w:rsid w:val="00076C6A"/>
    <w:rsid w:val="00076C94"/>
    <w:rsid w:val="000771FA"/>
    <w:rsid w:val="000772F2"/>
    <w:rsid w:val="000812BC"/>
    <w:rsid w:val="00082C54"/>
    <w:rsid w:val="0008321A"/>
    <w:rsid w:val="00083F4F"/>
    <w:rsid w:val="00084171"/>
    <w:rsid w:val="000841FE"/>
    <w:rsid w:val="000847F9"/>
    <w:rsid w:val="00084F1F"/>
    <w:rsid w:val="0008572D"/>
    <w:rsid w:val="000868BD"/>
    <w:rsid w:val="00086BC2"/>
    <w:rsid w:val="00090AB0"/>
    <w:rsid w:val="00092220"/>
    <w:rsid w:val="0009240F"/>
    <w:rsid w:val="00092F71"/>
    <w:rsid w:val="00093068"/>
    <w:rsid w:val="00093178"/>
    <w:rsid w:val="00095581"/>
    <w:rsid w:val="0009699F"/>
    <w:rsid w:val="000A0FC0"/>
    <w:rsid w:val="000A16EF"/>
    <w:rsid w:val="000A18FC"/>
    <w:rsid w:val="000A1D75"/>
    <w:rsid w:val="000A251B"/>
    <w:rsid w:val="000A2903"/>
    <w:rsid w:val="000A2BC9"/>
    <w:rsid w:val="000A34B5"/>
    <w:rsid w:val="000A3864"/>
    <w:rsid w:val="000A3CD0"/>
    <w:rsid w:val="000A3DC6"/>
    <w:rsid w:val="000A4798"/>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939"/>
    <w:rsid w:val="000B2D78"/>
    <w:rsid w:val="000B3659"/>
    <w:rsid w:val="000B3933"/>
    <w:rsid w:val="000B4E54"/>
    <w:rsid w:val="000B544F"/>
    <w:rsid w:val="000B565F"/>
    <w:rsid w:val="000B6085"/>
    <w:rsid w:val="000B62E6"/>
    <w:rsid w:val="000B6799"/>
    <w:rsid w:val="000B7227"/>
    <w:rsid w:val="000B73A9"/>
    <w:rsid w:val="000C0334"/>
    <w:rsid w:val="000C0F9D"/>
    <w:rsid w:val="000C19F9"/>
    <w:rsid w:val="000C1BB0"/>
    <w:rsid w:val="000C1DB1"/>
    <w:rsid w:val="000C1F02"/>
    <w:rsid w:val="000C2518"/>
    <w:rsid w:val="000C2E22"/>
    <w:rsid w:val="000C4DEF"/>
    <w:rsid w:val="000C5425"/>
    <w:rsid w:val="000C57FF"/>
    <w:rsid w:val="000C6595"/>
    <w:rsid w:val="000C6708"/>
    <w:rsid w:val="000C7018"/>
    <w:rsid w:val="000D1157"/>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4F0D"/>
    <w:rsid w:val="000E5597"/>
    <w:rsid w:val="000E5AF7"/>
    <w:rsid w:val="000E5B6C"/>
    <w:rsid w:val="000E5C35"/>
    <w:rsid w:val="000E642B"/>
    <w:rsid w:val="000E6B72"/>
    <w:rsid w:val="000E6D1A"/>
    <w:rsid w:val="000E761F"/>
    <w:rsid w:val="000E7743"/>
    <w:rsid w:val="000E7FC4"/>
    <w:rsid w:val="000F0117"/>
    <w:rsid w:val="000F0D79"/>
    <w:rsid w:val="000F311F"/>
    <w:rsid w:val="000F3B27"/>
    <w:rsid w:val="000F41D0"/>
    <w:rsid w:val="000F4951"/>
    <w:rsid w:val="000F4997"/>
    <w:rsid w:val="000F49B9"/>
    <w:rsid w:val="000F4C6C"/>
    <w:rsid w:val="000F4E31"/>
    <w:rsid w:val="000F4F2E"/>
    <w:rsid w:val="000F51B7"/>
    <w:rsid w:val="000F5901"/>
    <w:rsid w:val="000F68CD"/>
    <w:rsid w:val="000F69B0"/>
    <w:rsid w:val="000F6B40"/>
    <w:rsid w:val="000F722D"/>
    <w:rsid w:val="000F7E18"/>
    <w:rsid w:val="00100786"/>
    <w:rsid w:val="0010121F"/>
    <w:rsid w:val="001012CC"/>
    <w:rsid w:val="001017ED"/>
    <w:rsid w:val="00101DD5"/>
    <w:rsid w:val="0010229A"/>
    <w:rsid w:val="001024AF"/>
    <w:rsid w:val="001033B3"/>
    <w:rsid w:val="00103971"/>
    <w:rsid w:val="00103CED"/>
    <w:rsid w:val="00103D42"/>
    <w:rsid w:val="00103FBC"/>
    <w:rsid w:val="00104839"/>
    <w:rsid w:val="00104E94"/>
    <w:rsid w:val="0010564D"/>
    <w:rsid w:val="0010599F"/>
    <w:rsid w:val="00105A73"/>
    <w:rsid w:val="00105B88"/>
    <w:rsid w:val="00105ED4"/>
    <w:rsid w:val="00106FBF"/>
    <w:rsid w:val="00106FC5"/>
    <w:rsid w:val="00107938"/>
    <w:rsid w:val="00110E7D"/>
    <w:rsid w:val="00111817"/>
    <w:rsid w:val="00111D0B"/>
    <w:rsid w:val="00112B7B"/>
    <w:rsid w:val="00112D83"/>
    <w:rsid w:val="00113A65"/>
    <w:rsid w:val="00113BEC"/>
    <w:rsid w:val="0011400B"/>
    <w:rsid w:val="00114587"/>
    <w:rsid w:val="00114818"/>
    <w:rsid w:val="001156F5"/>
    <w:rsid w:val="00115F32"/>
    <w:rsid w:val="00116EC6"/>
    <w:rsid w:val="00117163"/>
    <w:rsid w:val="00117668"/>
    <w:rsid w:val="00120C15"/>
    <w:rsid w:val="00121460"/>
    <w:rsid w:val="001215F4"/>
    <w:rsid w:val="001221B2"/>
    <w:rsid w:val="00123BF9"/>
    <w:rsid w:val="00124D10"/>
    <w:rsid w:val="00125732"/>
    <w:rsid w:val="00126FB8"/>
    <w:rsid w:val="00127083"/>
    <w:rsid w:val="00127147"/>
    <w:rsid w:val="00127204"/>
    <w:rsid w:val="001275EC"/>
    <w:rsid w:val="00130912"/>
    <w:rsid w:val="00130ABF"/>
    <w:rsid w:val="00130E45"/>
    <w:rsid w:val="0013170A"/>
    <w:rsid w:val="00131A11"/>
    <w:rsid w:val="00131AAF"/>
    <w:rsid w:val="0013238E"/>
    <w:rsid w:val="00132921"/>
    <w:rsid w:val="00132FFC"/>
    <w:rsid w:val="00133E28"/>
    <w:rsid w:val="00134716"/>
    <w:rsid w:val="00135EB9"/>
    <w:rsid w:val="00136B9E"/>
    <w:rsid w:val="00141E28"/>
    <w:rsid w:val="00142877"/>
    <w:rsid w:val="001435CD"/>
    <w:rsid w:val="00143613"/>
    <w:rsid w:val="00144786"/>
    <w:rsid w:val="00144967"/>
    <w:rsid w:val="00145DAD"/>
    <w:rsid w:val="00146345"/>
    <w:rsid w:val="00150473"/>
    <w:rsid w:val="00150E90"/>
    <w:rsid w:val="001510CF"/>
    <w:rsid w:val="0015132E"/>
    <w:rsid w:val="0015187B"/>
    <w:rsid w:val="001519D2"/>
    <w:rsid w:val="00152684"/>
    <w:rsid w:val="00152C39"/>
    <w:rsid w:val="00153D39"/>
    <w:rsid w:val="00154886"/>
    <w:rsid w:val="00154C30"/>
    <w:rsid w:val="00154C71"/>
    <w:rsid w:val="001551EA"/>
    <w:rsid w:val="001553E4"/>
    <w:rsid w:val="00156292"/>
    <w:rsid w:val="001563D0"/>
    <w:rsid w:val="0015640A"/>
    <w:rsid w:val="0015686E"/>
    <w:rsid w:val="00156A81"/>
    <w:rsid w:val="001571C9"/>
    <w:rsid w:val="00160149"/>
    <w:rsid w:val="00160DE1"/>
    <w:rsid w:val="00161297"/>
    <w:rsid w:val="00161324"/>
    <w:rsid w:val="0016160F"/>
    <w:rsid w:val="00161CBD"/>
    <w:rsid w:val="0016215A"/>
    <w:rsid w:val="00162B28"/>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8EF"/>
    <w:rsid w:val="00176E39"/>
    <w:rsid w:val="00177295"/>
    <w:rsid w:val="001772DD"/>
    <w:rsid w:val="00177493"/>
    <w:rsid w:val="0018090E"/>
    <w:rsid w:val="00180C76"/>
    <w:rsid w:val="001816A1"/>
    <w:rsid w:val="00181B5A"/>
    <w:rsid w:val="001856B7"/>
    <w:rsid w:val="0018650A"/>
    <w:rsid w:val="001866EE"/>
    <w:rsid w:val="00186FA6"/>
    <w:rsid w:val="0018762D"/>
    <w:rsid w:val="001876BD"/>
    <w:rsid w:val="0018773C"/>
    <w:rsid w:val="001877CA"/>
    <w:rsid w:val="0019127D"/>
    <w:rsid w:val="00191BA6"/>
    <w:rsid w:val="001927CC"/>
    <w:rsid w:val="00192DC4"/>
    <w:rsid w:val="001933DD"/>
    <w:rsid w:val="0019373E"/>
    <w:rsid w:val="00193C51"/>
    <w:rsid w:val="00194AD1"/>
    <w:rsid w:val="00194E25"/>
    <w:rsid w:val="00194FE0"/>
    <w:rsid w:val="00195AB1"/>
    <w:rsid w:val="00196762"/>
    <w:rsid w:val="00196B27"/>
    <w:rsid w:val="00196D01"/>
    <w:rsid w:val="001A06FA"/>
    <w:rsid w:val="001A14B8"/>
    <w:rsid w:val="001A1832"/>
    <w:rsid w:val="001A1A35"/>
    <w:rsid w:val="001A1D8E"/>
    <w:rsid w:val="001A214C"/>
    <w:rsid w:val="001A2CAF"/>
    <w:rsid w:val="001A2E4B"/>
    <w:rsid w:val="001A2F80"/>
    <w:rsid w:val="001A39E5"/>
    <w:rsid w:val="001A3DA4"/>
    <w:rsid w:val="001A417A"/>
    <w:rsid w:val="001A4362"/>
    <w:rsid w:val="001A4C86"/>
    <w:rsid w:val="001A559D"/>
    <w:rsid w:val="001A56B7"/>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5590"/>
    <w:rsid w:val="001B5E86"/>
    <w:rsid w:val="001B75AD"/>
    <w:rsid w:val="001B7FC5"/>
    <w:rsid w:val="001C06B5"/>
    <w:rsid w:val="001C0ABC"/>
    <w:rsid w:val="001C125C"/>
    <w:rsid w:val="001C265D"/>
    <w:rsid w:val="001C27C2"/>
    <w:rsid w:val="001C29CD"/>
    <w:rsid w:val="001C3D63"/>
    <w:rsid w:val="001C3F29"/>
    <w:rsid w:val="001C4789"/>
    <w:rsid w:val="001C4FC8"/>
    <w:rsid w:val="001C54F4"/>
    <w:rsid w:val="001C5E08"/>
    <w:rsid w:val="001C6058"/>
    <w:rsid w:val="001C617B"/>
    <w:rsid w:val="001C65F5"/>
    <w:rsid w:val="001C7011"/>
    <w:rsid w:val="001C7644"/>
    <w:rsid w:val="001D0B8C"/>
    <w:rsid w:val="001D200A"/>
    <w:rsid w:val="001D220E"/>
    <w:rsid w:val="001D3B88"/>
    <w:rsid w:val="001D409D"/>
    <w:rsid w:val="001D4460"/>
    <w:rsid w:val="001D458D"/>
    <w:rsid w:val="001D5906"/>
    <w:rsid w:val="001D65CE"/>
    <w:rsid w:val="001D7F39"/>
    <w:rsid w:val="001E070A"/>
    <w:rsid w:val="001E179C"/>
    <w:rsid w:val="001E21EA"/>
    <w:rsid w:val="001E25A0"/>
    <w:rsid w:val="001E3273"/>
    <w:rsid w:val="001E3AD0"/>
    <w:rsid w:val="001E3D2B"/>
    <w:rsid w:val="001E44CF"/>
    <w:rsid w:val="001E5A0D"/>
    <w:rsid w:val="001E5BF1"/>
    <w:rsid w:val="001E5C22"/>
    <w:rsid w:val="001E7054"/>
    <w:rsid w:val="001E7248"/>
    <w:rsid w:val="001E732D"/>
    <w:rsid w:val="001E7790"/>
    <w:rsid w:val="001F03F5"/>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8F6"/>
    <w:rsid w:val="001F6D2B"/>
    <w:rsid w:val="001F7132"/>
    <w:rsid w:val="00201773"/>
    <w:rsid w:val="00201C60"/>
    <w:rsid w:val="002020AF"/>
    <w:rsid w:val="00202CDF"/>
    <w:rsid w:val="00203A69"/>
    <w:rsid w:val="0020423A"/>
    <w:rsid w:val="00204FD5"/>
    <w:rsid w:val="00206427"/>
    <w:rsid w:val="00206B50"/>
    <w:rsid w:val="00206E89"/>
    <w:rsid w:val="0020737B"/>
    <w:rsid w:val="002108C3"/>
    <w:rsid w:val="00211189"/>
    <w:rsid w:val="00211542"/>
    <w:rsid w:val="002115E2"/>
    <w:rsid w:val="00211890"/>
    <w:rsid w:val="00211AB3"/>
    <w:rsid w:val="00211BD2"/>
    <w:rsid w:val="00211CD5"/>
    <w:rsid w:val="00212C70"/>
    <w:rsid w:val="00212CC9"/>
    <w:rsid w:val="0021383C"/>
    <w:rsid w:val="002138DE"/>
    <w:rsid w:val="00213D63"/>
    <w:rsid w:val="00214667"/>
    <w:rsid w:val="002164D6"/>
    <w:rsid w:val="00216564"/>
    <w:rsid w:val="00216CE4"/>
    <w:rsid w:val="00216E18"/>
    <w:rsid w:val="00217002"/>
    <w:rsid w:val="00217D25"/>
    <w:rsid w:val="00220150"/>
    <w:rsid w:val="00220A56"/>
    <w:rsid w:val="00220B1E"/>
    <w:rsid w:val="00220D93"/>
    <w:rsid w:val="0022183F"/>
    <w:rsid w:val="0022195F"/>
    <w:rsid w:val="00221B6D"/>
    <w:rsid w:val="002229D0"/>
    <w:rsid w:val="00222EFD"/>
    <w:rsid w:val="00223498"/>
    <w:rsid w:val="00223E18"/>
    <w:rsid w:val="00224285"/>
    <w:rsid w:val="00225614"/>
    <w:rsid w:val="00225E4F"/>
    <w:rsid w:val="002262C7"/>
    <w:rsid w:val="00226BE5"/>
    <w:rsid w:val="00226D6C"/>
    <w:rsid w:val="0023014C"/>
    <w:rsid w:val="002303B8"/>
    <w:rsid w:val="00230D48"/>
    <w:rsid w:val="0023147E"/>
    <w:rsid w:val="002314C8"/>
    <w:rsid w:val="002330D7"/>
    <w:rsid w:val="00233EF1"/>
    <w:rsid w:val="002348BC"/>
    <w:rsid w:val="0023632E"/>
    <w:rsid w:val="00236CF1"/>
    <w:rsid w:val="0023718D"/>
    <w:rsid w:val="0023728A"/>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6DC7"/>
    <w:rsid w:val="002511A2"/>
    <w:rsid w:val="002518DB"/>
    <w:rsid w:val="002525CC"/>
    <w:rsid w:val="002529D6"/>
    <w:rsid w:val="002530C2"/>
    <w:rsid w:val="00253904"/>
    <w:rsid w:val="002557C3"/>
    <w:rsid w:val="00255959"/>
    <w:rsid w:val="00255CC3"/>
    <w:rsid w:val="00260172"/>
    <w:rsid w:val="002630E9"/>
    <w:rsid w:val="002634FC"/>
    <w:rsid w:val="00264588"/>
    <w:rsid w:val="002647FF"/>
    <w:rsid w:val="00264915"/>
    <w:rsid w:val="00265813"/>
    <w:rsid w:val="002665EC"/>
    <w:rsid w:val="00266740"/>
    <w:rsid w:val="00266785"/>
    <w:rsid w:val="0026692E"/>
    <w:rsid w:val="0027002F"/>
    <w:rsid w:val="00270AD8"/>
    <w:rsid w:val="00270B91"/>
    <w:rsid w:val="002712C2"/>
    <w:rsid w:val="002717B8"/>
    <w:rsid w:val="00271BBF"/>
    <w:rsid w:val="002722F1"/>
    <w:rsid w:val="00272DCB"/>
    <w:rsid w:val="00273409"/>
    <w:rsid w:val="002735DC"/>
    <w:rsid w:val="00273C82"/>
    <w:rsid w:val="00273E3E"/>
    <w:rsid w:val="00274CC2"/>
    <w:rsid w:val="00274D7E"/>
    <w:rsid w:val="0027512D"/>
    <w:rsid w:val="0027747C"/>
    <w:rsid w:val="00277717"/>
    <w:rsid w:val="00277BC2"/>
    <w:rsid w:val="00277E0B"/>
    <w:rsid w:val="002805E4"/>
    <w:rsid w:val="00280807"/>
    <w:rsid w:val="00280A33"/>
    <w:rsid w:val="00280F37"/>
    <w:rsid w:val="00281CA7"/>
    <w:rsid w:val="00281D26"/>
    <w:rsid w:val="00281E80"/>
    <w:rsid w:val="002821A4"/>
    <w:rsid w:val="0028253B"/>
    <w:rsid w:val="00282FD6"/>
    <w:rsid w:val="00283C5E"/>
    <w:rsid w:val="00284052"/>
    <w:rsid w:val="0028477B"/>
    <w:rsid w:val="00285214"/>
    <w:rsid w:val="002861DE"/>
    <w:rsid w:val="00286F9F"/>
    <w:rsid w:val="002870C0"/>
    <w:rsid w:val="00287413"/>
    <w:rsid w:val="0028785B"/>
    <w:rsid w:val="002908EC"/>
    <w:rsid w:val="002917D1"/>
    <w:rsid w:val="00293651"/>
    <w:rsid w:val="00293C1D"/>
    <w:rsid w:val="002943E4"/>
    <w:rsid w:val="00294765"/>
    <w:rsid w:val="0029606C"/>
    <w:rsid w:val="002963FC"/>
    <w:rsid w:val="0029657A"/>
    <w:rsid w:val="00296649"/>
    <w:rsid w:val="00296C96"/>
    <w:rsid w:val="0029750A"/>
    <w:rsid w:val="002975FB"/>
    <w:rsid w:val="00297F9D"/>
    <w:rsid w:val="002A049D"/>
    <w:rsid w:val="002A0F5E"/>
    <w:rsid w:val="002A11BD"/>
    <w:rsid w:val="002A122A"/>
    <w:rsid w:val="002A18A0"/>
    <w:rsid w:val="002A38DF"/>
    <w:rsid w:val="002A4062"/>
    <w:rsid w:val="002A4C50"/>
    <w:rsid w:val="002A51A3"/>
    <w:rsid w:val="002A6B27"/>
    <w:rsid w:val="002A7A49"/>
    <w:rsid w:val="002A7A4A"/>
    <w:rsid w:val="002A7C14"/>
    <w:rsid w:val="002B0204"/>
    <w:rsid w:val="002B064A"/>
    <w:rsid w:val="002B0758"/>
    <w:rsid w:val="002B07BA"/>
    <w:rsid w:val="002B0A10"/>
    <w:rsid w:val="002B146E"/>
    <w:rsid w:val="002B1D68"/>
    <w:rsid w:val="002B285B"/>
    <w:rsid w:val="002B3C5B"/>
    <w:rsid w:val="002B4623"/>
    <w:rsid w:val="002B5441"/>
    <w:rsid w:val="002B5517"/>
    <w:rsid w:val="002B5743"/>
    <w:rsid w:val="002B6920"/>
    <w:rsid w:val="002B6B84"/>
    <w:rsid w:val="002B701A"/>
    <w:rsid w:val="002C0374"/>
    <w:rsid w:val="002C0D01"/>
    <w:rsid w:val="002C167F"/>
    <w:rsid w:val="002C1805"/>
    <w:rsid w:val="002C3001"/>
    <w:rsid w:val="002C3A61"/>
    <w:rsid w:val="002C517F"/>
    <w:rsid w:val="002C53F1"/>
    <w:rsid w:val="002C5B2A"/>
    <w:rsid w:val="002C5D25"/>
    <w:rsid w:val="002C6165"/>
    <w:rsid w:val="002C6364"/>
    <w:rsid w:val="002C68CB"/>
    <w:rsid w:val="002C6F0A"/>
    <w:rsid w:val="002C796B"/>
    <w:rsid w:val="002D1462"/>
    <w:rsid w:val="002D173D"/>
    <w:rsid w:val="002D1F63"/>
    <w:rsid w:val="002D2002"/>
    <w:rsid w:val="002D238D"/>
    <w:rsid w:val="002D239D"/>
    <w:rsid w:val="002D2A02"/>
    <w:rsid w:val="002D2A09"/>
    <w:rsid w:val="002D2B39"/>
    <w:rsid w:val="002D30FC"/>
    <w:rsid w:val="002D41DC"/>
    <w:rsid w:val="002D4324"/>
    <w:rsid w:val="002D54F5"/>
    <w:rsid w:val="002D62C9"/>
    <w:rsid w:val="002D644D"/>
    <w:rsid w:val="002E19D0"/>
    <w:rsid w:val="002E2220"/>
    <w:rsid w:val="002E2762"/>
    <w:rsid w:val="002E317F"/>
    <w:rsid w:val="002E395E"/>
    <w:rsid w:val="002E4809"/>
    <w:rsid w:val="002E4AD0"/>
    <w:rsid w:val="002E4B6B"/>
    <w:rsid w:val="002E4D18"/>
    <w:rsid w:val="002E6C36"/>
    <w:rsid w:val="002E722A"/>
    <w:rsid w:val="002E7650"/>
    <w:rsid w:val="002E7F4E"/>
    <w:rsid w:val="002F0438"/>
    <w:rsid w:val="002F0B22"/>
    <w:rsid w:val="002F0C58"/>
    <w:rsid w:val="002F1280"/>
    <w:rsid w:val="002F165F"/>
    <w:rsid w:val="002F195C"/>
    <w:rsid w:val="002F1A0D"/>
    <w:rsid w:val="002F2133"/>
    <w:rsid w:val="002F2319"/>
    <w:rsid w:val="002F2754"/>
    <w:rsid w:val="002F3251"/>
    <w:rsid w:val="002F39BF"/>
    <w:rsid w:val="002F6D3A"/>
    <w:rsid w:val="003006EA"/>
    <w:rsid w:val="00300E9F"/>
    <w:rsid w:val="00301280"/>
    <w:rsid w:val="00302559"/>
    <w:rsid w:val="003027AA"/>
    <w:rsid w:val="00302CDA"/>
    <w:rsid w:val="00303F69"/>
    <w:rsid w:val="003044D4"/>
    <w:rsid w:val="00304A28"/>
    <w:rsid w:val="00305501"/>
    <w:rsid w:val="003057BE"/>
    <w:rsid w:val="00306333"/>
    <w:rsid w:val="00310CE8"/>
    <w:rsid w:val="00311D24"/>
    <w:rsid w:val="00312650"/>
    <w:rsid w:val="003133FC"/>
    <w:rsid w:val="00313EC4"/>
    <w:rsid w:val="00314CE5"/>
    <w:rsid w:val="003150B1"/>
    <w:rsid w:val="00316C90"/>
    <w:rsid w:val="00316D38"/>
    <w:rsid w:val="003173E0"/>
    <w:rsid w:val="00320159"/>
    <w:rsid w:val="00321D1B"/>
    <w:rsid w:val="0032364A"/>
    <w:rsid w:val="00323E46"/>
    <w:rsid w:val="003243AF"/>
    <w:rsid w:val="00325332"/>
    <w:rsid w:val="00325469"/>
    <w:rsid w:val="00327C2A"/>
    <w:rsid w:val="00327FBF"/>
    <w:rsid w:val="0033032D"/>
    <w:rsid w:val="00330465"/>
    <w:rsid w:val="00330697"/>
    <w:rsid w:val="00330FEC"/>
    <w:rsid w:val="0033100C"/>
    <w:rsid w:val="00331522"/>
    <w:rsid w:val="00331A56"/>
    <w:rsid w:val="00331DAB"/>
    <w:rsid w:val="003323CD"/>
    <w:rsid w:val="00333810"/>
    <w:rsid w:val="00333FB0"/>
    <w:rsid w:val="003340AD"/>
    <w:rsid w:val="00334BBC"/>
    <w:rsid w:val="00334E99"/>
    <w:rsid w:val="00335960"/>
    <w:rsid w:val="00335F65"/>
    <w:rsid w:val="00336334"/>
    <w:rsid w:val="00336A22"/>
    <w:rsid w:val="00336A9C"/>
    <w:rsid w:val="003408F2"/>
    <w:rsid w:val="00341EDA"/>
    <w:rsid w:val="00342E41"/>
    <w:rsid w:val="00342F9F"/>
    <w:rsid w:val="003437E8"/>
    <w:rsid w:val="00344900"/>
    <w:rsid w:val="00345A36"/>
    <w:rsid w:val="003464F7"/>
    <w:rsid w:val="003466C7"/>
    <w:rsid w:val="00346DF9"/>
    <w:rsid w:val="003478E2"/>
    <w:rsid w:val="003504AD"/>
    <w:rsid w:val="00350894"/>
    <w:rsid w:val="00350FCA"/>
    <w:rsid w:val="00351463"/>
    <w:rsid w:val="00352F48"/>
    <w:rsid w:val="00353326"/>
    <w:rsid w:val="0035361A"/>
    <w:rsid w:val="00353BAA"/>
    <w:rsid w:val="003541A3"/>
    <w:rsid w:val="0035442A"/>
    <w:rsid w:val="00354900"/>
    <w:rsid w:val="00355057"/>
    <w:rsid w:val="003572C8"/>
    <w:rsid w:val="00357D06"/>
    <w:rsid w:val="003609E2"/>
    <w:rsid w:val="00361B78"/>
    <w:rsid w:val="00361CD3"/>
    <w:rsid w:val="00362B2C"/>
    <w:rsid w:val="0036393B"/>
    <w:rsid w:val="00363C0F"/>
    <w:rsid w:val="00363C25"/>
    <w:rsid w:val="00363DBE"/>
    <w:rsid w:val="00364230"/>
    <w:rsid w:val="00364FDF"/>
    <w:rsid w:val="003651AA"/>
    <w:rsid w:val="00366DF1"/>
    <w:rsid w:val="00367BD8"/>
    <w:rsid w:val="00370725"/>
    <w:rsid w:val="003707D3"/>
    <w:rsid w:val="00370A28"/>
    <w:rsid w:val="00372A0E"/>
    <w:rsid w:val="00373C76"/>
    <w:rsid w:val="0037422E"/>
    <w:rsid w:val="0037507E"/>
    <w:rsid w:val="00375407"/>
    <w:rsid w:val="003757ED"/>
    <w:rsid w:val="00375D53"/>
    <w:rsid w:val="00377C93"/>
    <w:rsid w:val="0038050A"/>
    <w:rsid w:val="003807F4"/>
    <w:rsid w:val="00380913"/>
    <w:rsid w:val="00381451"/>
    <w:rsid w:val="00381B6E"/>
    <w:rsid w:val="00381C43"/>
    <w:rsid w:val="00381C86"/>
    <w:rsid w:val="00381F88"/>
    <w:rsid w:val="0038206D"/>
    <w:rsid w:val="00382431"/>
    <w:rsid w:val="00382614"/>
    <w:rsid w:val="00383BAA"/>
    <w:rsid w:val="00384065"/>
    <w:rsid w:val="00384B2A"/>
    <w:rsid w:val="003850F7"/>
    <w:rsid w:val="00385249"/>
    <w:rsid w:val="003859A8"/>
    <w:rsid w:val="00386540"/>
    <w:rsid w:val="00386671"/>
    <w:rsid w:val="003866F8"/>
    <w:rsid w:val="003875EE"/>
    <w:rsid w:val="00387A0C"/>
    <w:rsid w:val="00390616"/>
    <w:rsid w:val="00390F86"/>
    <w:rsid w:val="003923EB"/>
    <w:rsid w:val="00392980"/>
    <w:rsid w:val="00392AA4"/>
    <w:rsid w:val="00392AA6"/>
    <w:rsid w:val="0039302F"/>
    <w:rsid w:val="0039384A"/>
    <w:rsid w:val="00393B5E"/>
    <w:rsid w:val="00393B7D"/>
    <w:rsid w:val="00393D36"/>
    <w:rsid w:val="00394124"/>
    <w:rsid w:val="00394BB0"/>
    <w:rsid w:val="003954BF"/>
    <w:rsid w:val="00396C01"/>
    <w:rsid w:val="00397204"/>
    <w:rsid w:val="003976F4"/>
    <w:rsid w:val="003A082D"/>
    <w:rsid w:val="003A0B69"/>
    <w:rsid w:val="003A0F7A"/>
    <w:rsid w:val="003A10E7"/>
    <w:rsid w:val="003A16B7"/>
    <w:rsid w:val="003A1745"/>
    <w:rsid w:val="003A2E56"/>
    <w:rsid w:val="003A3862"/>
    <w:rsid w:val="003A4357"/>
    <w:rsid w:val="003A436D"/>
    <w:rsid w:val="003B0565"/>
    <w:rsid w:val="003B159D"/>
    <w:rsid w:val="003B19BE"/>
    <w:rsid w:val="003B1E8D"/>
    <w:rsid w:val="003B1FEC"/>
    <w:rsid w:val="003B348F"/>
    <w:rsid w:val="003B4927"/>
    <w:rsid w:val="003B4D44"/>
    <w:rsid w:val="003B5B95"/>
    <w:rsid w:val="003B69D2"/>
    <w:rsid w:val="003B6EA3"/>
    <w:rsid w:val="003B7DC9"/>
    <w:rsid w:val="003C0020"/>
    <w:rsid w:val="003C02EE"/>
    <w:rsid w:val="003C0AAE"/>
    <w:rsid w:val="003C1185"/>
    <w:rsid w:val="003C11B6"/>
    <w:rsid w:val="003C2223"/>
    <w:rsid w:val="003C317B"/>
    <w:rsid w:val="003C3AD5"/>
    <w:rsid w:val="003C4C2F"/>
    <w:rsid w:val="003C4D6C"/>
    <w:rsid w:val="003C57DC"/>
    <w:rsid w:val="003C5926"/>
    <w:rsid w:val="003C5929"/>
    <w:rsid w:val="003C67A4"/>
    <w:rsid w:val="003D04FC"/>
    <w:rsid w:val="003D0701"/>
    <w:rsid w:val="003D09D3"/>
    <w:rsid w:val="003D0B43"/>
    <w:rsid w:val="003D14AF"/>
    <w:rsid w:val="003D15EC"/>
    <w:rsid w:val="003D3AD8"/>
    <w:rsid w:val="003D4208"/>
    <w:rsid w:val="003D4441"/>
    <w:rsid w:val="003D4A2A"/>
    <w:rsid w:val="003D4DAC"/>
    <w:rsid w:val="003D4DE9"/>
    <w:rsid w:val="003D4FDE"/>
    <w:rsid w:val="003D5F15"/>
    <w:rsid w:val="003D7986"/>
    <w:rsid w:val="003E04AC"/>
    <w:rsid w:val="003E06C7"/>
    <w:rsid w:val="003E0C5E"/>
    <w:rsid w:val="003E0EAA"/>
    <w:rsid w:val="003E1352"/>
    <w:rsid w:val="003E1383"/>
    <w:rsid w:val="003E323C"/>
    <w:rsid w:val="003E5430"/>
    <w:rsid w:val="003E709A"/>
    <w:rsid w:val="003E79AE"/>
    <w:rsid w:val="003F0A5C"/>
    <w:rsid w:val="003F0C3A"/>
    <w:rsid w:val="003F112F"/>
    <w:rsid w:val="003F1906"/>
    <w:rsid w:val="003F2367"/>
    <w:rsid w:val="003F2902"/>
    <w:rsid w:val="003F2CA1"/>
    <w:rsid w:val="003F2E86"/>
    <w:rsid w:val="003F2FA6"/>
    <w:rsid w:val="003F35EC"/>
    <w:rsid w:val="003F3B10"/>
    <w:rsid w:val="003F4201"/>
    <w:rsid w:val="003F566D"/>
    <w:rsid w:val="003F5CC7"/>
    <w:rsid w:val="003F5E93"/>
    <w:rsid w:val="003F6C4B"/>
    <w:rsid w:val="003F6E1A"/>
    <w:rsid w:val="003F6FB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3FB8"/>
    <w:rsid w:val="004248CA"/>
    <w:rsid w:val="00424B82"/>
    <w:rsid w:val="00424CEB"/>
    <w:rsid w:val="0042536D"/>
    <w:rsid w:val="00425447"/>
    <w:rsid w:val="004255E3"/>
    <w:rsid w:val="00425D49"/>
    <w:rsid w:val="00426A12"/>
    <w:rsid w:val="00427615"/>
    <w:rsid w:val="004278E5"/>
    <w:rsid w:val="00427CBA"/>
    <w:rsid w:val="00427DE9"/>
    <w:rsid w:val="00430526"/>
    <w:rsid w:val="004309B3"/>
    <w:rsid w:val="004309C5"/>
    <w:rsid w:val="00430F36"/>
    <w:rsid w:val="00431864"/>
    <w:rsid w:val="00431E6E"/>
    <w:rsid w:val="00432DBC"/>
    <w:rsid w:val="004334FD"/>
    <w:rsid w:val="004335F4"/>
    <w:rsid w:val="00434573"/>
    <w:rsid w:val="00434710"/>
    <w:rsid w:val="00434979"/>
    <w:rsid w:val="00434B71"/>
    <w:rsid w:val="004359AD"/>
    <w:rsid w:val="00436570"/>
    <w:rsid w:val="00436B3D"/>
    <w:rsid w:val="00436DAE"/>
    <w:rsid w:val="00437A8F"/>
    <w:rsid w:val="00437CA8"/>
    <w:rsid w:val="00440360"/>
    <w:rsid w:val="00440A9C"/>
    <w:rsid w:val="00441319"/>
    <w:rsid w:val="00441A9F"/>
    <w:rsid w:val="00442153"/>
    <w:rsid w:val="00442D2E"/>
    <w:rsid w:val="00442E1F"/>
    <w:rsid w:val="00443C31"/>
    <w:rsid w:val="00444737"/>
    <w:rsid w:val="00445112"/>
    <w:rsid w:val="00445C07"/>
    <w:rsid w:val="00445CE5"/>
    <w:rsid w:val="00446104"/>
    <w:rsid w:val="0044687F"/>
    <w:rsid w:val="00446C74"/>
    <w:rsid w:val="00447EBD"/>
    <w:rsid w:val="0045028B"/>
    <w:rsid w:val="004505D6"/>
    <w:rsid w:val="00450E59"/>
    <w:rsid w:val="004516D9"/>
    <w:rsid w:val="00451F72"/>
    <w:rsid w:val="00451F8B"/>
    <w:rsid w:val="004535E7"/>
    <w:rsid w:val="00455350"/>
    <w:rsid w:val="004557A8"/>
    <w:rsid w:val="00456349"/>
    <w:rsid w:val="00456430"/>
    <w:rsid w:val="0045656B"/>
    <w:rsid w:val="0045684E"/>
    <w:rsid w:val="00456CEF"/>
    <w:rsid w:val="00457C4A"/>
    <w:rsid w:val="00460732"/>
    <w:rsid w:val="00460993"/>
    <w:rsid w:val="00460F53"/>
    <w:rsid w:val="004618B5"/>
    <w:rsid w:val="00461FDC"/>
    <w:rsid w:val="00462875"/>
    <w:rsid w:val="004638C4"/>
    <w:rsid w:val="00463924"/>
    <w:rsid w:val="00464628"/>
    <w:rsid w:val="004649FA"/>
    <w:rsid w:val="004660F8"/>
    <w:rsid w:val="00466196"/>
    <w:rsid w:val="0046631D"/>
    <w:rsid w:val="0046700E"/>
    <w:rsid w:val="00467F06"/>
    <w:rsid w:val="00470F05"/>
    <w:rsid w:val="004718D9"/>
    <w:rsid w:val="00472462"/>
    <w:rsid w:val="00472670"/>
    <w:rsid w:val="00472C02"/>
    <w:rsid w:val="00472DBD"/>
    <w:rsid w:val="00473314"/>
    <w:rsid w:val="0047349A"/>
    <w:rsid w:val="004736B8"/>
    <w:rsid w:val="004739CF"/>
    <w:rsid w:val="00473C08"/>
    <w:rsid w:val="0047493C"/>
    <w:rsid w:val="00474ED3"/>
    <w:rsid w:val="00475484"/>
    <w:rsid w:val="00475740"/>
    <w:rsid w:val="004768DA"/>
    <w:rsid w:val="004800D1"/>
    <w:rsid w:val="004806D7"/>
    <w:rsid w:val="0048083D"/>
    <w:rsid w:val="00480E15"/>
    <w:rsid w:val="00480F04"/>
    <w:rsid w:val="004813E6"/>
    <w:rsid w:val="0048191F"/>
    <w:rsid w:val="00484C76"/>
    <w:rsid w:val="00484D2D"/>
    <w:rsid w:val="004859FE"/>
    <w:rsid w:val="00485F83"/>
    <w:rsid w:val="004862E9"/>
    <w:rsid w:val="0048660B"/>
    <w:rsid w:val="00487C38"/>
    <w:rsid w:val="00487D38"/>
    <w:rsid w:val="00487D6F"/>
    <w:rsid w:val="0049073A"/>
    <w:rsid w:val="004912FC"/>
    <w:rsid w:val="00491500"/>
    <w:rsid w:val="00491894"/>
    <w:rsid w:val="00491D9E"/>
    <w:rsid w:val="00492046"/>
    <w:rsid w:val="0049260B"/>
    <w:rsid w:val="00492BEB"/>
    <w:rsid w:val="00492C38"/>
    <w:rsid w:val="004936A3"/>
    <w:rsid w:val="0049381F"/>
    <w:rsid w:val="00493A82"/>
    <w:rsid w:val="00493F55"/>
    <w:rsid w:val="00494463"/>
    <w:rsid w:val="00494D79"/>
    <w:rsid w:val="00494DFB"/>
    <w:rsid w:val="00494F20"/>
    <w:rsid w:val="00494FCB"/>
    <w:rsid w:val="0049571D"/>
    <w:rsid w:val="004957E6"/>
    <w:rsid w:val="004958EF"/>
    <w:rsid w:val="00496CBE"/>
    <w:rsid w:val="00497B53"/>
    <w:rsid w:val="004A0293"/>
    <w:rsid w:val="004A083D"/>
    <w:rsid w:val="004A1648"/>
    <w:rsid w:val="004A36ED"/>
    <w:rsid w:val="004A4AA6"/>
    <w:rsid w:val="004A4B65"/>
    <w:rsid w:val="004A5646"/>
    <w:rsid w:val="004A6733"/>
    <w:rsid w:val="004A7324"/>
    <w:rsid w:val="004A7AFD"/>
    <w:rsid w:val="004B02B5"/>
    <w:rsid w:val="004B1AC6"/>
    <w:rsid w:val="004B2AE7"/>
    <w:rsid w:val="004B2F00"/>
    <w:rsid w:val="004B3772"/>
    <w:rsid w:val="004B4F74"/>
    <w:rsid w:val="004B58CE"/>
    <w:rsid w:val="004B5BE6"/>
    <w:rsid w:val="004B6CE7"/>
    <w:rsid w:val="004B781B"/>
    <w:rsid w:val="004B7EE2"/>
    <w:rsid w:val="004C0DF9"/>
    <w:rsid w:val="004C1982"/>
    <w:rsid w:val="004C24BD"/>
    <w:rsid w:val="004C2BED"/>
    <w:rsid w:val="004C3206"/>
    <w:rsid w:val="004C41A4"/>
    <w:rsid w:val="004C5249"/>
    <w:rsid w:val="004C646D"/>
    <w:rsid w:val="004C777F"/>
    <w:rsid w:val="004D04A5"/>
    <w:rsid w:val="004D0789"/>
    <w:rsid w:val="004D2DF8"/>
    <w:rsid w:val="004D37E1"/>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3C71"/>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381"/>
    <w:rsid w:val="00501EBE"/>
    <w:rsid w:val="00503016"/>
    <w:rsid w:val="00503346"/>
    <w:rsid w:val="00503914"/>
    <w:rsid w:val="00505054"/>
    <w:rsid w:val="00505951"/>
    <w:rsid w:val="00505E67"/>
    <w:rsid w:val="00505EE4"/>
    <w:rsid w:val="00505EE7"/>
    <w:rsid w:val="00506823"/>
    <w:rsid w:val="00506896"/>
    <w:rsid w:val="00506FE2"/>
    <w:rsid w:val="005072C0"/>
    <w:rsid w:val="005073A4"/>
    <w:rsid w:val="00510C73"/>
    <w:rsid w:val="0051115F"/>
    <w:rsid w:val="00511771"/>
    <w:rsid w:val="00511D75"/>
    <w:rsid w:val="00512299"/>
    <w:rsid w:val="00512355"/>
    <w:rsid w:val="005124C7"/>
    <w:rsid w:val="00512C90"/>
    <w:rsid w:val="00512CF1"/>
    <w:rsid w:val="00513FBC"/>
    <w:rsid w:val="00514E43"/>
    <w:rsid w:val="00515123"/>
    <w:rsid w:val="0051556D"/>
    <w:rsid w:val="0052041C"/>
    <w:rsid w:val="00521E20"/>
    <w:rsid w:val="00522AB2"/>
    <w:rsid w:val="0052337C"/>
    <w:rsid w:val="00523A2E"/>
    <w:rsid w:val="0052427E"/>
    <w:rsid w:val="00524A5D"/>
    <w:rsid w:val="005256F3"/>
    <w:rsid w:val="00525E93"/>
    <w:rsid w:val="0052621D"/>
    <w:rsid w:val="00527462"/>
    <w:rsid w:val="005276C3"/>
    <w:rsid w:val="00527873"/>
    <w:rsid w:val="00530040"/>
    <w:rsid w:val="005302AB"/>
    <w:rsid w:val="00530806"/>
    <w:rsid w:val="00530A7F"/>
    <w:rsid w:val="00530F88"/>
    <w:rsid w:val="00531652"/>
    <w:rsid w:val="00531E87"/>
    <w:rsid w:val="00532AAB"/>
    <w:rsid w:val="00532B27"/>
    <w:rsid w:val="0053421A"/>
    <w:rsid w:val="00535208"/>
    <w:rsid w:val="00536356"/>
    <w:rsid w:val="00536463"/>
    <w:rsid w:val="0053710C"/>
    <w:rsid w:val="005377A6"/>
    <w:rsid w:val="00540FE0"/>
    <w:rsid w:val="005411EA"/>
    <w:rsid w:val="0054263B"/>
    <w:rsid w:val="0054264F"/>
    <w:rsid w:val="00542ACA"/>
    <w:rsid w:val="005437E8"/>
    <w:rsid w:val="005438E7"/>
    <w:rsid w:val="00543BD2"/>
    <w:rsid w:val="00543F87"/>
    <w:rsid w:val="00544C20"/>
    <w:rsid w:val="00544E40"/>
    <w:rsid w:val="00545D3C"/>
    <w:rsid w:val="00545FBB"/>
    <w:rsid w:val="005476ED"/>
    <w:rsid w:val="00551A41"/>
    <w:rsid w:val="00552038"/>
    <w:rsid w:val="00552145"/>
    <w:rsid w:val="005529D8"/>
    <w:rsid w:val="00553692"/>
    <w:rsid w:val="00554557"/>
    <w:rsid w:val="00554A39"/>
    <w:rsid w:val="00555B3E"/>
    <w:rsid w:val="00555EDA"/>
    <w:rsid w:val="005560EB"/>
    <w:rsid w:val="005562B3"/>
    <w:rsid w:val="0055660D"/>
    <w:rsid w:val="00556AFE"/>
    <w:rsid w:val="00557333"/>
    <w:rsid w:val="00557DD2"/>
    <w:rsid w:val="0056030C"/>
    <w:rsid w:val="00561B31"/>
    <w:rsid w:val="00562A5B"/>
    <w:rsid w:val="00562D71"/>
    <w:rsid w:val="00563438"/>
    <w:rsid w:val="005634A6"/>
    <w:rsid w:val="005638B0"/>
    <w:rsid w:val="00563A26"/>
    <w:rsid w:val="00563B11"/>
    <w:rsid w:val="005643A3"/>
    <w:rsid w:val="0056507A"/>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0C4"/>
    <w:rsid w:val="00580C39"/>
    <w:rsid w:val="005814FF"/>
    <w:rsid w:val="005818ED"/>
    <w:rsid w:val="00582EEE"/>
    <w:rsid w:val="00584ECC"/>
    <w:rsid w:val="00584FCC"/>
    <w:rsid w:val="0058546D"/>
    <w:rsid w:val="0058562D"/>
    <w:rsid w:val="005864CB"/>
    <w:rsid w:val="00586C76"/>
    <w:rsid w:val="0058797C"/>
    <w:rsid w:val="00590929"/>
    <w:rsid w:val="0059097C"/>
    <w:rsid w:val="00590AF8"/>
    <w:rsid w:val="00591657"/>
    <w:rsid w:val="00592124"/>
    <w:rsid w:val="00592176"/>
    <w:rsid w:val="0059367A"/>
    <w:rsid w:val="00593D11"/>
    <w:rsid w:val="005943AE"/>
    <w:rsid w:val="00595206"/>
    <w:rsid w:val="00595D31"/>
    <w:rsid w:val="00595EE3"/>
    <w:rsid w:val="005968D1"/>
    <w:rsid w:val="00597D43"/>
    <w:rsid w:val="00597F91"/>
    <w:rsid w:val="005A00A1"/>
    <w:rsid w:val="005A01C8"/>
    <w:rsid w:val="005A0264"/>
    <w:rsid w:val="005A02D4"/>
    <w:rsid w:val="005A15A4"/>
    <w:rsid w:val="005A169C"/>
    <w:rsid w:val="005A1CF1"/>
    <w:rsid w:val="005A1F68"/>
    <w:rsid w:val="005A2372"/>
    <w:rsid w:val="005A4DBF"/>
    <w:rsid w:val="005A720C"/>
    <w:rsid w:val="005B0219"/>
    <w:rsid w:val="005B07DE"/>
    <w:rsid w:val="005B0DFE"/>
    <w:rsid w:val="005B12E9"/>
    <w:rsid w:val="005B1713"/>
    <w:rsid w:val="005B2281"/>
    <w:rsid w:val="005B2537"/>
    <w:rsid w:val="005B3350"/>
    <w:rsid w:val="005B3874"/>
    <w:rsid w:val="005B426A"/>
    <w:rsid w:val="005B463B"/>
    <w:rsid w:val="005B515A"/>
    <w:rsid w:val="005B55EC"/>
    <w:rsid w:val="005B59FC"/>
    <w:rsid w:val="005B5C8A"/>
    <w:rsid w:val="005B622B"/>
    <w:rsid w:val="005B7B43"/>
    <w:rsid w:val="005B7EBA"/>
    <w:rsid w:val="005C0F41"/>
    <w:rsid w:val="005C33A1"/>
    <w:rsid w:val="005C3866"/>
    <w:rsid w:val="005C4646"/>
    <w:rsid w:val="005C593E"/>
    <w:rsid w:val="005C7407"/>
    <w:rsid w:val="005D0510"/>
    <w:rsid w:val="005D142B"/>
    <w:rsid w:val="005D198B"/>
    <w:rsid w:val="005D2DCD"/>
    <w:rsid w:val="005D2F13"/>
    <w:rsid w:val="005D4091"/>
    <w:rsid w:val="005D4105"/>
    <w:rsid w:val="005D42F8"/>
    <w:rsid w:val="005D4696"/>
    <w:rsid w:val="005D4761"/>
    <w:rsid w:val="005D4C93"/>
    <w:rsid w:val="005D4FBA"/>
    <w:rsid w:val="005D5D01"/>
    <w:rsid w:val="005D5EA2"/>
    <w:rsid w:val="005D6AA1"/>
    <w:rsid w:val="005D6EC7"/>
    <w:rsid w:val="005D713A"/>
    <w:rsid w:val="005D7B4E"/>
    <w:rsid w:val="005D7FE0"/>
    <w:rsid w:val="005E234F"/>
    <w:rsid w:val="005E2557"/>
    <w:rsid w:val="005E441D"/>
    <w:rsid w:val="005E4B81"/>
    <w:rsid w:val="005E50FE"/>
    <w:rsid w:val="005E539D"/>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5026"/>
    <w:rsid w:val="005F620B"/>
    <w:rsid w:val="005F665B"/>
    <w:rsid w:val="005F6FCA"/>
    <w:rsid w:val="0060059B"/>
    <w:rsid w:val="00601C39"/>
    <w:rsid w:val="00601FC8"/>
    <w:rsid w:val="00602B4F"/>
    <w:rsid w:val="0060384E"/>
    <w:rsid w:val="0060570A"/>
    <w:rsid w:val="00605DF2"/>
    <w:rsid w:val="00605EF8"/>
    <w:rsid w:val="006061A9"/>
    <w:rsid w:val="00606EC8"/>
    <w:rsid w:val="00607172"/>
    <w:rsid w:val="00607298"/>
    <w:rsid w:val="00610160"/>
    <w:rsid w:val="00611F89"/>
    <w:rsid w:val="0061200A"/>
    <w:rsid w:val="0061213D"/>
    <w:rsid w:val="00613A83"/>
    <w:rsid w:val="00613B94"/>
    <w:rsid w:val="00613C40"/>
    <w:rsid w:val="0061400C"/>
    <w:rsid w:val="00614331"/>
    <w:rsid w:val="006152BC"/>
    <w:rsid w:val="00615BC7"/>
    <w:rsid w:val="006162C2"/>
    <w:rsid w:val="00616A04"/>
    <w:rsid w:val="00622048"/>
    <w:rsid w:val="00622944"/>
    <w:rsid w:val="00624217"/>
    <w:rsid w:val="006243BF"/>
    <w:rsid w:val="00624795"/>
    <w:rsid w:val="00624B39"/>
    <w:rsid w:val="00624B91"/>
    <w:rsid w:val="006250CA"/>
    <w:rsid w:val="0062578F"/>
    <w:rsid w:val="00625EFD"/>
    <w:rsid w:val="00626741"/>
    <w:rsid w:val="006274AF"/>
    <w:rsid w:val="00627BBF"/>
    <w:rsid w:val="00627F7E"/>
    <w:rsid w:val="00630845"/>
    <w:rsid w:val="006339F3"/>
    <w:rsid w:val="00633BB2"/>
    <w:rsid w:val="00634119"/>
    <w:rsid w:val="0063470B"/>
    <w:rsid w:val="0063519E"/>
    <w:rsid w:val="0063628B"/>
    <w:rsid w:val="0063632E"/>
    <w:rsid w:val="00640298"/>
    <w:rsid w:val="00641FC6"/>
    <w:rsid w:val="006423C5"/>
    <w:rsid w:val="00642E60"/>
    <w:rsid w:val="0064502B"/>
    <w:rsid w:val="00645307"/>
    <w:rsid w:val="006453AA"/>
    <w:rsid w:val="006454C5"/>
    <w:rsid w:val="00646076"/>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DE9"/>
    <w:rsid w:val="00665F32"/>
    <w:rsid w:val="00667F8D"/>
    <w:rsid w:val="006706C3"/>
    <w:rsid w:val="006716C5"/>
    <w:rsid w:val="00672A57"/>
    <w:rsid w:val="0067322C"/>
    <w:rsid w:val="00674685"/>
    <w:rsid w:val="00674B39"/>
    <w:rsid w:val="00674CB4"/>
    <w:rsid w:val="00676370"/>
    <w:rsid w:val="006765F7"/>
    <w:rsid w:val="00676683"/>
    <w:rsid w:val="00677315"/>
    <w:rsid w:val="006779F2"/>
    <w:rsid w:val="00677C89"/>
    <w:rsid w:val="00680880"/>
    <w:rsid w:val="006820FB"/>
    <w:rsid w:val="00682C3F"/>
    <w:rsid w:val="0068493A"/>
    <w:rsid w:val="00685F36"/>
    <w:rsid w:val="006864D0"/>
    <w:rsid w:val="006869CE"/>
    <w:rsid w:val="006869E9"/>
    <w:rsid w:val="00686AC9"/>
    <w:rsid w:val="006879DE"/>
    <w:rsid w:val="00690F71"/>
    <w:rsid w:val="006915EC"/>
    <w:rsid w:val="006917A2"/>
    <w:rsid w:val="00692071"/>
    <w:rsid w:val="0069266B"/>
    <w:rsid w:val="00692787"/>
    <w:rsid w:val="006928C5"/>
    <w:rsid w:val="00692AB8"/>
    <w:rsid w:val="006949D7"/>
    <w:rsid w:val="006953FC"/>
    <w:rsid w:val="00696B9F"/>
    <w:rsid w:val="00696D29"/>
    <w:rsid w:val="006977B2"/>
    <w:rsid w:val="00697BF1"/>
    <w:rsid w:val="00697F56"/>
    <w:rsid w:val="006A019B"/>
    <w:rsid w:val="006A257A"/>
    <w:rsid w:val="006A2939"/>
    <w:rsid w:val="006A534E"/>
    <w:rsid w:val="006A639B"/>
    <w:rsid w:val="006A7554"/>
    <w:rsid w:val="006A77B5"/>
    <w:rsid w:val="006B0E6C"/>
    <w:rsid w:val="006B1191"/>
    <w:rsid w:val="006B1C39"/>
    <w:rsid w:val="006B3631"/>
    <w:rsid w:val="006B3684"/>
    <w:rsid w:val="006B3FDE"/>
    <w:rsid w:val="006B5117"/>
    <w:rsid w:val="006B5429"/>
    <w:rsid w:val="006B59CA"/>
    <w:rsid w:val="006B5D69"/>
    <w:rsid w:val="006B6A43"/>
    <w:rsid w:val="006B6B3C"/>
    <w:rsid w:val="006B6E97"/>
    <w:rsid w:val="006B77AC"/>
    <w:rsid w:val="006B78C5"/>
    <w:rsid w:val="006C085A"/>
    <w:rsid w:val="006C2067"/>
    <w:rsid w:val="006C314D"/>
    <w:rsid w:val="006C3610"/>
    <w:rsid w:val="006C3674"/>
    <w:rsid w:val="006C3E19"/>
    <w:rsid w:val="006C47F6"/>
    <w:rsid w:val="006C4AC5"/>
    <w:rsid w:val="006C5F46"/>
    <w:rsid w:val="006C6EFC"/>
    <w:rsid w:val="006C7D34"/>
    <w:rsid w:val="006D0320"/>
    <w:rsid w:val="006D07E5"/>
    <w:rsid w:val="006D0882"/>
    <w:rsid w:val="006D093A"/>
    <w:rsid w:val="006D278D"/>
    <w:rsid w:val="006D497F"/>
    <w:rsid w:val="006D50D8"/>
    <w:rsid w:val="006D5526"/>
    <w:rsid w:val="006D5D93"/>
    <w:rsid w:val="006D6574"/>
    <w:rsid w:val="006D6D82"/>
    <w:rsid w:val="006D738E"/>
    <w:rsid w:val="006D7F0F"/>
    <w:rsid w:val="006E013E"/>
    <w:rsid w:val="006E139E"/>
    <w:rsid w:val="006E1EA3"/>
    <w:rsid w:val="006E2471"/>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2F1B"/>
    <w:rsid w:val="007034C9"/>
    <w:rsid w:val="00703639"/>
    <w:rsid w:val="00703667"/>
    <w:rsid w:val="00703D4D"/>
    <w:rsid w:val="007046B8"/>
    <w:rsid w:val="007050EE"/>
    <w:rsid w:val="007052DE"/>
    <w:rsid w:val="0070658D"/>
    <w:rsid w:val="00706A5D"/>
    <w:rsid w:val="00706D86"/>
    <w:rsid w:val="00707B71"/>
    <w:rsid w:val="0071065C"/>
    <w:rsid w:val="00710A24"/>
    <w:rsid w:val="00710B0D"/>
    <w:rsid w:val="00710F9E"/>
    <w:rsid w:val="0071172E"/>
    <w:rsid w:val="00711A26"/>
    <w:rsid w:val="007121A5"/>
    <w:rsid w:val="007124F9"/>
    <w:rsid w:val="007126F8"/>
    <w:rsid w:val="00712AAD"/>
    <w:rsid w:val="0071362B"/>
    <w:rsid w:val="00714130"/>
    <w:rsid w:val="0071436C"/>
    <w:rsid w:val="007151B8"/>
    <w:rsid w:val="0071538E"/>
    <w:rsid w:val="00715C5C"/>
    <w:rsid w:val="00716502"/>
    <w:rsid w:val="00716E79"/>
    <w:rsid w:val="00717591"/>
    <w:rsid w:val="007177E4"/>
    <w:rsid w:val="00720F2C"/>
    <w:rsid w:val="007215EA"/>
    <w:rsid w:val="0072431C"/>
    <w:rsid w:val="007256CC"/>
    <w:rsid w:val="00725709"/>
    <w:rsid w:val="00726A8E"/>
    <w:rsid w:val="00726E7C"/>
    <w:rsid w:val="007310D1"/>
    <w:rsid w:val="007318CB"/>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1C9B"/>
    <w:rsid w:val="00741CCD"/>
    <w:rsid w:val="00742351"/>
    <w:rsid w:val="00742EB6"/>
    <w:rsid w:val="00742F52"/>
    <w:rsid w:val="007443E2"/>
    <w:rsid w:val="0074486F"/>
    <w:rsid w:val="00744AB2"/>
    <w:rsid w:val="00745414"/>
    <w:rsid w:val="007457FE"/>
    <w:rsid w:val="00745E61"/>
    <w:rsid w:val="00745EA3"/>
    <w:rsid w:val="00747605"/>
    <w:rsid w:val="007478C9"/>
    <w:rsid w:val="00747A16"/>
    <w:rsid w:val="00747C60"/>
    <w:rsid w:val="00747EEB"/>
    <w:rsid w:val="00747FE0"/>
    <w:rsid w:val="007508DF"/>
    <w:rsid w:val="007509FE"/>
    <w:rsid w:val="00750CA6"/>
    <w:rsid w:val="00751401"/>
    <w:rsid w:val="0075152D"/>
    <w:rsid w:val="00751A50"/>
    <w:rsid w:val="00751CE2"/>
    <w:rsid w:val="00752D9A"/>
    <w:rsid w:val="0075390C"/>
    <w:rsid w:val="00754C8A"/>
    <w:rsid w:val="00755065"/>
    <w:rsid w:val="00755174"/>
    <w:rsid w:val="00755361"/>
    <w:rsid w:val="0075563D"/>
    <w:rsid w:val="007568D6"/>
    <w:rsid w:val="00757121"/>
    <w:rsid w:val="007579EE"/>
    <w:rsid w:val="00757CAF"/>
    <w:rsid w:val="00760971"/>
    <w:rsid w:val="0076145B"/>
    <w:rsid w:val="0076183F"/>
    <w:rsid w:val="007621B6"/>
    <w:rsid w:val="00762B63"/>
    <w:rsid w:val="00763840"/>
    <w:rsid w:val="00763FE4"/>
    <w:rsid w:val="0076417E"/>
    <w:rsid w:val="00764C43"/>
    <w:rsid w:val="00764CDA"/>
    <w:rsid w:val="00766489"/>
    <w:rsid w:val="00766F23"/>
    <w:rsid w:val="00767790"/>
    <w:rsid w:val="00767C08"/>
    <w:rsid w:val="0077052B"/>
    <w:rsid w:val="00770607"/>
    <w:rsid w:val="00770C49"/>
    <w:rsid w:val="00770D17"/>
    <w:rsid w:val="00770FE5"/>
    <w:rsid w:val="00772204"/>
    <w:rsid w:val="0077271C"/>
    <w:rsid w:val="00772DF5"/>
    <w:rsid w:val="007763DB"/>
    <w:rsid w:val="00776637"/>
    <w:rsid w:val="00776BFC"/>
    <w:rsid w:val="007778F3"/>
    <w:rsid w:val="00777AED"/>
    <w:rsid w:val="00777D24"/>
    <w:rsid w:val="00781580"/>
    <w:rsid w:val="00781B8F"/>
    <w:rsid w:val="007825F8"/>
    <w:rsid w:val="007829F0"/>
    <w:rsid w:val="00783703"/>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14"/>
    <w:rsid w:val="00792257"/>
    <w:rsid w:val="00792932"/>
    <w:rsid w:val="00793681"/>
    <w:rsid w:val="0079422A"/>
    <w:rsid w:val="00795996"/>
    <w:rsid w:val="00796B9C"/>
    <w:rsid w:val="00796C2E"/>
    <w:rsid w:val="007A071F"/>
    <w:rsid w:val="007A1C50"/>
    <w:rsid w:val="007A2601"/>
    <w:rsid w:val="007A2DB8"/>
    <w:rsid w:val="007A3327"/>
    <w:rsid w:val="007A3601"/>
    <w:rsid w:val="007A55DD"/>
    <w:rsid w:val="007A6A91"/>
    <w:rsid w:val="007A6F7E"/>
    <w:rsid w:val="007A73F1"/>
    <w:rsid w:val="007A76BA"/>
    <w:rsid w:val="007A7AAB"/>
    <w:rsid w:val="007B1194"/>
    <w:rsid w:val="007B1532"/>
    <w:rsid w:val="007B17AF"/>
    <w:rsid w:val="007B24B1"/>
    <w:rsid w:val="007B2A3E"/>
    <w:rsid w:val="007B3E10"/>
    <w:rsid w:val="007B42B1"/>
    <w:rsid w:val="007B485B"/>
    <w:rsid w:val="007B4ADC"/>
    <w:rsid w:val="007B55B2"/>
    <w:rsid w:val="007B654B"/>
    <w:rsid w:val="007B6EC7"/>
    <w:rsid w:val="007B7880"/>
    <w:rsid w:val="007C08FF"/>
    <w:rsid w:val="007C10CA"/>
    <w:rsid w:val="007C1B63"/>
    <w:rsid w:val="007C206C"/>
    <w:rsid w:val="007C237A"/>
    <w:rsid w:val="007C270F"/>
    <w:rsid w:val="007C2833"/>
    <w:rsid w:val="007C2B52"/>
    <w:rsid w:val="007C375F"/>
    <w:rsid w:val="007C4083"/>
    <w:rsid w:val="007C438D"/>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AD6"/>
    <w:rsid w:val="007D5EA7"/>
    <w:rsid w:val="007D65FD"/>
    <w:rsid w:val="007D7362"/>
    <w:rsid w:val="007E0204"/>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3F5B"/>
    <w:rsid w:val="007F4D25"/>
    <w:rsid w:val="007F58F7"/>
    <w:rsid w:val="007F5F57"/>
    <w:rsid w:val="007F6279"/>
    <w:rsid w:val="007F6E0D"/>
    <w:rsid w:val="007F7121"/>
    <w:rsid w:val="007F7833"/>
    <w:rsid w:val="007F78FF"/>
    <w:rsid w:val="00800A36"/>
    <w:rsid w:val="008011FB"/>
    <w:rsid w:val="00801750"/>
    <w:rsid w:val="00801B26"/>
    <w:rsid w:val="00801D83"/>
    <w:rsid w:val="00804534"/>
    <w:rsid w:val="00805601"/>
    <w:rsid w:val="0081005B"/>
    <w:rsid w:val="00810C64"/>
    <w:rsid w:val="00810F32"/>
    <w:rsid w:val="008116BD"/>
    <w:rsid w:val="008120B2"/>
    <w:rsid w:val="00812495"/>
    <w:rsid w:val="00812889"/>
    <w:rsid w:val="008129CB"/>
    <w:rsid w:val="0081405F"/>
    <w:rsid w:val="0081431F"/>
    <w:rsid w:val="008145FF"/>
    <w:rsid w:val="008149D8"/>
    <w:rsid w:val="00814F32"/>
    <w:rsid w:val="00815050"/>
    <w:rsid w:val="00815294"/>
    <w:rsid w:val="0081575E"/>
    <w:rsid w:val="0081584B"/>
    <w:rsid w:val="00816193"/>
    <w:rsid w:val="00816EF0"/>
    <w:rsid w:val="008170D9"/>
    <w:rsid w:val="008173FC"/>
    <w:rsid w:val="00817431"/>
    <w:rsid w:val="00817709"/>
    <w:rsid w:val="00817DC4"/>
    <w:rsid w:val="00820812"/>
    <w:rsid w:val="00821549"/>
    <w:rsid w:val="00821CC7"/>
    <w:rsid w:val="00822AC6"/>
    <w:rsid w:val="008231DC"/>
    <w:rsid w:val="0082398B"/>
    <w:rsid w:val="00824815"/>
    <w:rsid w:val="00824E8B"/>
    <w:rsid w:val="00824F71"/>
    <w:rsid w:val="00825707"/>
    <w:rsid w:val="008266BB"/>
    <w:rsid w:val="008269D5"/>
    <w:rsid w:val="00827C3F"/>
    <w:rsid w:val="0083167E"/>
    <w:rsid w:val="00831834"/>
    <w:rsid w:val="00831F16"/>
    <w:rsid w:val="00832EA1"/>
    <w:rsid w:val="00833570"/>
    <w:rsid w:val="008341F0"/>
    <w:rsid w:val="008345DE"/>
    <w:rsid w:val="00835A31"/>
    <w:rsid w:val="00837A4C"/>
    <w:rsid w:val="00837D6E"/>
    <w:rsid w:val="008405E1"/>
    <w:rsid w:val="00840A50"/>
    <w:rsid w:val="00840ECB"/>
    <w:rsid w:val="00841411"/>
    <w:rsid w:val="00842D0F"/>
    <w:rsid w:val="008435D2"/>
    <w:rsid w:val="00843AF4"/>
    <w:rsid w:val="00843FC0"/>
    <w:rsid w:val="0084415B"/>
    <w:rsid w:val="008446DF"/>
    <w:rsid w:val="008460DC"/>
    <w:rsid w:val="00846205"/>
    <w:rsid w:val="00846236"/>
    <w:rsid w:val="00850CF8"/>
    <w:rsid w:val="00850D48"/>
    <w:rsid w:val="00850FF6"/>
    <w:rsid w:val="008510EB"/>
    <w:rsid w:val="00851C2F"/>
    <w:rsid w:val="00852B4D"/>
    <w:rsid w:val="008536FF"/>
    <w:rsid w:val="0085406D"/>
    <w:rsid w:val="008541DD"/>
    <w:rsid w:val="0085492B"/>
    <w:rsid w:val="00854FDC"/>
    <w:rsid w:val="00855126"/>
    <w:rsid w:val="00855AA6"/>
    <w:rsid w:val="008562A8"/>
    <w:rsid w:val="0085690A"/>
    <w:rsid w:val="00856FB0"/>
    <w:rsid w:val="008572A2"/>
    <w:rsid w:val="00857574"/>
    <w:rsid w:val="00857767"/>
    <w:rsid w:val="008577DA"/>
    <w:rsid w:val="00860D6C"/>
    <w:rsid w:val="008615A2"/>
    <w:rsid w:val="008617C9"/>
    <w:rsid w:val="00862168"/>
    <w:rsid w:val="0086284D"/>
    <w:rsid w:val="008635A7"/>
    <w:rsid w:val="008644E0"/>
    <w:rsid w:val="00865CCF"/>
    <w:rsid w:val="00865D67"/>
    <w:rsid w:val="00865F8B"/>
    <w:rsid w:val="00866E36"/>
    <w:rsid w:val="008672D0"/>
    <w:rsid w:val="00870102"/>
    <w:rsid w:val="0087179D"/>
    <w:rsid w:val="008723A0"/>
    <w:rsid w:val="00874CE4"/>
    <w:rsid w:val="00875335"/>
    <w:rsid w:val="0087623D"/>
    <w:rsid w:val="008769A8"/>
    <w:rsid w:val="008771C5"/>
    <w:rsid w:val="008809B1"/>
    <w:rsid w:val="00881ACD"/>
    <w:rsid w:val="00882BBF"/>
    <w:rsid w:val="00882DEC"/>
    <w:rsid w:val="00884819"/>
    <w:rsid w:val="00884846"/>
    <w:rsid w:val="008854C1"/>
    <w:rsid w:val="00885759"/>
    <w:rsid w:val="008860A4"/>
    <w:rsid w:val="008862D2"/>
    <w:rsid w:val="0088680D"/>
    <w:rsid w:val="00886893"/>
    <w:rsid w:val="008874F2"/>
    <w:rsid w:val="00890ED9"/>
    <w:rsid w:val="008917FE"/>
    <w:rsid w:val="00891992"/>
    <w:rsid w:val="00891FD5"/>
    <w:rsid w:val="0089389E"/>
    <w:rsid w:val="00893B2F"/>
    <w:rsid w:val="008947B7"/>
    <w:rsid w:val="0089480A"/>
    <w:rsid w:val="00894B47"/>
    <w:rsid w:val="008952A5"/>
    <w:rsid w:val="008960FE"/>
    <w:rsid w:val="008968F5"/>
    <w:rsid w:val="00896F60"/>
    <w:rsid w:val="00897663"/>
    <w:rsid w:val="00897B6A"/>
    <w:rsid w:val="008A007A"/>
    <w:rsid w:val="008A0E23"/>
    <w:rsid w:val="008A0E45"/>
    <w:rsid w:val="008A19E8"/>
    <w:rsid w:val="008A1C40"/>
    <w:rsid w:val="008A1DA2"/>
    <w:rsid w:val="008A281D"/>
    <w:rsid w:val="008A3686"/>
    <w:rsid w:val="008A3BB9"/>
    <w:rsid w:val="008A3FF2"/>
    <w:rsid w:val="008A4007"/>
    <w:rsid w:val="008A4077"/>
    <w:rsid w:val="008A4453"/>
    <w:rsid w:val="008A5932"/>
    <w:rsid w:val="008A5E62"/>
    <w:rsid w:val="008A6F4C"/>
    <w:rsid w:val="008A74DD"/>
    <w:rsid w:val="008A76FB"/>
    <w:rsid w:val="008B059F"/>
    <w:rsid w:val="008B1A71"/>
    <w:rsid w:val="008B3389"/>
    <w:rsid w:val="008B4CCE"/>
    <w:rsid w:val="008B5585"/>
    <w:rsid w:val="008B5613"/>
    <w:rsid w:val="008B5617"/>
    <w:rsid w:val="008B57E5"/>
    <w:rsid w:val="008B6FFC"/>
    <w:rsid w:val="008C03D1"/>
    <w:rsid w:val="008C15A5"/>
    <w:rsid w:val="008C1E66"/>
    <w:rsid w:val="008C25DE"/>
    <w:rsid w:val="008C26B7"/>
    <w:rsid w:val="008C3428"/>
    <w:rsid w:val="008C37DE"/>
    <w:rsid w:val="008C3BD6"/>
    <w:rsid w:val="008C438F"/>
    <w:rsid w:val="008C43F1"/>
    <w:rsid w:val="008C51A0"/>
    <w:rsid w:val="008C590F"/>
    <w:rsid w:val="008C6028"/>
    <w:rsid w:val="008C64A5"/>
    <w:rsid w:val="008C6B96"/>
    <w:rsid w:val="008C6DE4"/>
    <w:rsid w:val="008D0753"/>
    <w:rsid w:val="008D14B1"/>
    <w:rsid w:val="008D1C34"/>
    <w:rsid w:val="008D3AE9"/>
    <w:rsid w:val="008D405B"/>
    <w:rsid w:val="008D4FAC"/>
    <w:rsid w:val="008D629E"/>
    <w:rsid w:val="008D6F63"/>
    <w:rsid w:val="008D7A33"/>
    <w:rsid w:val="008E0524"/>
    <w:rsid w:val="008E0A00"/>
    <w:rsid w:val="008E1DB9"/>
    <w:rsid w:val="008E1EBA"/>
    <w:rsid w:val="008E20FC"/>
    <w:rsid w:val="008E3519"/>
    <w:rsid w:val="008E3AF7"/>
    <w:rsid w:val="008E405A"/>
    <w:rsid w:val="008E4957"/>
    <w:rsid w:val="008E6454"/>
    <w:rsid w:val="008E71D2"/>
    <w:rsid w:val="008E76BF"/>
    <w:rsid w:val="008F0135"/>
    <w:rsid w:val="008F1460"/>
    <w:rsid w:val="008F2459"/>
    <w:rsid w:val="008F2583"/>
    <w:rsid w:val="008F2C31"/>
    <w:rsid w:val="008F3566"/>
    <w:rsid w:val="008F459A"/>
    <w:rsid w:val="008F4DD2"/>
    <w:rsid w:val="008F4F78"/>
    <w:rsid w:val="008F5897"/>
    <w:rsid w:val="008F6EB4"/>
    <w:rsid w:val="008F6EFC"/>
    <w:rsid w:val="008F7A3A"/>
    <w:rsid w:val="00901329"/>
    <w:rsid w:val="009016E3"/>
    <w:rsid w:val="00902085"/>
    <w:rsid w:val="00902426"/>
    <w:rsid w:val="00902625"/>
    <w:rsid w:val="00903071"/>
    <w:rsid w:val="00903450"/>
    <w:rsid w:val="00903F84"/>
    <w:rsid w:val="009044F4"/>
    <w:rsid w:val="009053DA"/>
    <w:rsid w:val="009059FF"/>
    <w:rsid w:val="009060FE"/>
    <w:rsid w:val="009101A6"/>
    <w:rsid w:val="00910747"/>
    <w:rsid w:val="00910E3B"/>
    <w:rsid w:val="00911329"/>
    <w:rsid w:val="009122D0"/>
    <w:rsid w:val="009125B7"/>
    <w:rsid w:val="00912880"/>
    <w:rsid w:val="00912B57"/>
    <w:rsid w:val="00912CFB"/>
    <w:rsid w:val="009139E6"/>
    <w:rsid w:val="00913C98"/>
    <w:rsid w:val="009175E4"/>
    <w:rsid w:val="00917AF0"/>
    <w:rsid w:val="00917C5F"/>
    <w:rsid w:val="00920A37"/>
    <w:rsid w:val="00920ACC"/>
    <w:rsid w:val="00920F8A"/>
    <w:rsid w:val="00921FB5"/>
    <w:rsid w:val="00922D49"/>
    <w:rsid w:val="009243D2"/>
    <w:rsid w:val="0092481E"/>
    <w:rsid w:val="009250F2"/>
    <w:rsid w:val="00926506"/>
    <w:rsid w:val="0092688E"/>
    <w:rsid w:val="00927CFC"/>
    <w:rsid w:val="00927DF8"/>
    <w:rsid w:val="00930567"/>
    <w:rsid w:val="00930E5C"/>
    <w:rsid w:val="009313D4"/>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034"/>
    <w:rsid w:val="009403CE"/>
    <w:rsid w:val="0094087B"/>
    <w:rsid w:val="00941C35"/>
    <w:rsid w:val="00942A3D"/>
    <w:rsid w:val="0094352E"/>
    <w:rsid w:val="00944100"/>
    <w:rsid w:val="00944AE0"/>
    <w:rsid w:val="00945C1B"/>
    <w:rsid w:val="00946475"/>
    <w:rsid w:val="00946587"/>
    <w:rsid w:val="0094720D"/>
    <w:rsid w:val="0094772D"/>
    <w:rsid w:val="009507DB"/>
    <w:rsid w:val="00950E0A"/>
    <w:rsid w:val="009511E5"/>
    <w:rsid w:val="0095149D"/>
    <w:rsid w:val="009517F6"/>
    <w:rsid w:val="009521C1"/>
    <w:rsid w:val="00952A15"/>
    <w:rsid w:val="009534C9"/>
    <w:rsid w:val="00953EF6"/>
    <w:rsid w:val="0095402B"/>
    <w:rsid w:val="00954A6B"/>
    <w:rsid w:val="00955290"/>
    <w:rsid w:val="00955331"/>
    <w:rsid w:val="00955773"/>
    <w:rsid w:val="00955EBD"/>
    <w:rsid w:val="009568B5"/>
    <w:rsid w:val="00960237"/>
    <w:rsid w:val="00961752"/>
    <w:rsid w:val="00962F77"/>
    <w:rsid w:val="00963193"/>
    <w:rsid w:val="00964AA4"/>
    <w:rsid w:val="00964DE9"/>
    <w:rsid w:val="00965598"/>
    <w:rsid w:val="009661D6"/>
    <w:rsid w:val="00966367"/>
    <w:rsid w:val="009665B5"/>
    <w:rsid w:val="0096660F"/>
    <w:rsid w:val="009677C7"/>
    <w:rsid w:val="009712EA"/>
    <w:rsid w:val="009729A9"/>
    <w:rsid w:val="00972C6C"/>
    <w:rsid w:val="00973643"/>
    <w:rsid w:val="009752BE"/>
    <w:rsid w:val="009752D4"/>
    <w:rsid w:val="0097535C"/>
    <w:rsid w:val="00975710"/>
    <w:rsid w:val="00975A23"/>
    <w:rsid w:val="009761D3"/>
    <w:rsid w:val="009762F4"/>
    <w:rsid w:val="00976F28"/>
    <w:rsid w:val="009809B5"/>
    <w:rsid w:val="0098132E"/>
    <w:rsid w:val="009822AB"/>
    <w:rsid w:val="00982A00"/>
    <w:rsid w:val="00983048"/>
    <w:rsid w:val="0098318A"/>
    <w:rsid w:val="0098335A"/>
    <w:rsid w:val="00983B82"/>
    <w:rsid w:val="00986127"/>
    <w:rsid w:val="009864F0"/>
    <w:rsid w:val="00986603"/>
    <w:rsid w:val="00986D7B"/>
    <w:rsid w:val="00987481"/>
    <w:rsid w:val="009877D6"/>
    <w:rsid w:val="00987864"/>
    <w:rsid w:val="00987BF2"/>
    <w:rsid w:val="00990141"/>
    <w:rsid w:val="00993242"/>
    <w:rsid w:val="0099325E"/>
    <w:rsid w:val="00993CF6"/>
    <w:rsid w:val="009943FA"/>
    <w:rsid w:val="00996051"/>
    <w:rsid w:val="009960EE"/>
    <w:rsid w:val="00996ACF"/>
    <w:rsid w:val="00997F29"/>
    <w:rsid w:val="009A01B1"/>
    <w:rsid w:val="009A2106"/>
    <w:rsid w:val="009A29D8"/>
    <w:rsid w:val="009A29E9"/>
    <w:rsid w:val="009A2D45"/>
    <w:rsid w:val="009A341D"/>
    <w:rsid w:val="009A4540"/>
    <w:rsid w:val="009A56C0"/>
    <w:rsid w:val="009A6C25"/>
    <w:rsid w:val="009A6D2A"/>
    <w:rsid w:val="009A797B"/>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13C8"/>
    <w:rsid w:val="009C29DF"/>
    <w:rsid w:val="009C3181"/>
    <w:rsid w:val="009C555E"/>
    <w:rsid w:val="009C68C7"/>
    <w:rsid w:val="009C7936"/>
    <w:rsid w:val="009D0074"/>
    <w:rsid w:val="009D1A50"/>
    <w:rsid w:val="009D2E7D"/>
    <w:rsid w:val="009D3321"/>
    <w:rsid w:val="009D40F2"/>
    <w:rsid w:val="009D491B"/>
    <w:rsid w:val="009D557A"/>
    <w:rsid w:val="009D65BC"/>
    <w:rsid w:val="009D7C5D"/>
    <w:rsid w:val="009D7F07"/>
    <w:rsid w:val="009D7F36"/>
    <w:rsid w:val="009E124C"/>
    <w:rsid w:val="009E2122"/>
    <w:rsid w:val="009E2170"/>
    <w:rsid w:val="009E2628"/>
    <w:rsid w:val="009E2729"/>
    <w:rsid w:val="009E29EC"/>
    <w:rsid w:val="009E2E72"/>
    <w:rsid w:val="009E2FC5"/>
    <w:rsid w:val="009E343C"/>
    <w:rsid w:val="009E4190"/>
    <w:rsid w:val="009E4504"/>
    <w:rsid w:val="009E4F58"/>
    <w:rsid w:val="009E5242"/>
    <w:rsid w:val="009E71B8"/>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8AF"/>
    <w:rsid w:val="009F3D37"/>
    <w:rsid w:val="009F4DAB"/>
    <w:rsid w:val="009F580E"/>
    <w:rsid w:val="009F5C95"/>
    <w:rsid w:val="009F5F29"/>
    <w:rsid w:val="009F6428"/>
    <w:rsid w:val="009F64DC"/>
    <w:rsid w:val="00A0092D"/>
    <w:rsid w:val="00A00AB9"/>
    <w:rsid w:val="00A00FC6"/>
    <w:rsid w:val="00A014DF"/>
    <w:rsid w:val="00A018DB"/>
    <w:rsid w:val="00A018F9"/>
    <w:rsid w:val="00A01C8C"/>
    <w:rsid w:val="00A02A8E"/>
    <w:rsid w:val="00A02BE8"/>
    <w:rsid w:val="00A0304E"/>
    <w:rsid w:val="00A0323A"/>
    <w:rsid w:val="00A05E5D"/>
    <w:rsid w:val="00A068D1"/>
    <w:rsid w:val="00A0699D"/>
    <w:rsid w:val="00A069A8"/>
    <w:rsid w:val="00A079A4"/>
    <w:rsid w:val="00A1046C"/>
    <w:rsid w:val="00A11E5A"/>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AA"/>
    <w:rsid w:val="00A21ED8"/>
    <w:rsid w:val="00A22EA6"/>
    <w:rsid w:val="00A239BC"/>
    <w:rsid w:val="00A24167"/>
    <w:rsid w:val="00A25379"/>
    <w:rsid w:val="00A25895"/>
    <w:rsid w:val="00A26B14"/>
    <w:rsid w:val="00A27187"/>
    <w:rsid w:val="00A27B7B"/>
    <w:rsid w:val="00A3003D"/>
    <w:rsid w:val="00A30122"/>
    <w:rsid w:val="00A30FE4"/>
    <w:rsid w:val="00A31BFA"/>
    <w:rsid w:val="00A31F85"/>
    <w:rsid w:val="00A3593B"/>
    <w:rsid w:val="00A35A9D"/>
    <w:rsid w:val="00A36F15"/>
    <w:rsid w:val="00A371B5"/>
    <w:rsid w:val="00A40BC1"/>
    <w:rsid w:val="00A41377"/>
    <w:rsid w:val="00A413BE"/>
    <w:rsid w:val="00A428DD"/>
    <w:rsid w:val="00A43126"/>
    <w:rsid w:val="00A439BC"/>
    <w:rsid w:val="00A4464E"/>
    <w:rsid w:val="00A44AA1"/>
    <w:rsid w:val="00A44DE9"/>
    <w:rsid w:val="00A460E1"/>
    <w:rsid w:val="00A463D3"/>
    <w:rsid w:val="00A47580"/>
    <w:rsid w:val="00A479C4"/>
    <w:rsid w:val="00A50246"/>
    <w:rsid w:val="00A51691"/>
    <w:rsid w:val="00A51CAF"/>
    <w:rsid w:val="00A51EC8"/>
    <w:rsid w:val="00A52274"/>
    <w:rsid w:val="00A523F8"/>
    <w:rsid w:val="00A52DF0"/>
    <w:rsid w:val="00A52F64"/>
    <w:rsid w:val="00A53A47"/>
    <w:rsid w:val="00A548C5"/>
    <w:rsid w:val="00A54FBC"/>
    <w:rsid w:val="00A5509C"/>
    <w:rsid w:val="00A55649"/>
    <w:rsid w:val="00A557A7"/>
    <w:rsid w:val="00A56559"/>
    <w:rsid w:val="00A56B64"/>
    <w:rsid w:val="00A6114C"/>
    <w:rsid w:val="00A6230A"/>
    <w:rsid w:val="00A6310F"/>
    <w:rsid w:val="00A63741"/>
    <w:rsid w:val="00A63E2A"/>
    <w:rsid w:val="00A644A5"/>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A45"/>
    <w:rsid w:val="00A73EAD"/>
    <w:rsid w:val="00A740B1"/>
    <w:rsid w:val="00A74325"/>
    <w:rsid w:val="00A75949"/>
    <w:rsid w:val="00A76915"/>
    <w:rsid w:val="00A80991"/>
    <w:rsid w:val="00A8099A"/>
    <w:rsid w:val="00A8199B"/>
    <w:rsid w:val="00A82511"/>
    <w:rsid w:val="00A827F3"/>
    <w:rsid w:val="00A82A69"/>
    <w:rsid w:val="00A8379B"/>
    <w:rsid w:val="00A84A7A"/>
    <w:rsid w:val="00A8593C"/>
    <w:rsid w:val="00A863C1"/>
    <w:rsid w:val="00A8660E"/>
    <w:rsid w:val="00A879CC"/>
    <w:rsid w:val="00A9017C"/>
    <w:rsid w:val="00A90478"/>
    <w:rsid w:val="00A90540"/>
    <w:rsid w:val="00A90667"/>
    <w:rsid w:val="00A91319"/>
    <w:rsid w:val="00A913C6"/>
    <w:rsid w:val="00A914F9"/>
    <w:rsid w:val="00A9188B"/>
    <w:rsid w:val="00A92764"/>
    <w:rsid w:val="00A92AB8"/>
    <w:rsid w:val="00A92DE6"/>
    <w:rsid w:val="00A92E65"/>
    <w:rsid w:val="00A93164"/>
    <w:rsid w:val="00A93AA6"/>
    <w:rsid w:val="00A93E9A"/>
    <w:rsid w:val="00A95011"/>
    <w:rsid w:val="00A9575F"/>
    <w:rsid w:val="00A95783"/>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6AC"/>
    <w:rsid w:val="00AA3E65"/>
    <w:rsid w:val="00AA4691"/>
    <w:rsid w:val="00AA4DC0"/>
    <w:rsid w:val="00AA5779"/>
    <w:rsid w:val="00AA5C59"/>
    <w:rsid w:val="00AA5D8A"/>
    <w:rsid w:val="00AA673E"/>
    <w:rsid w:val="00AA69B7"/>
    <w:rsid w:val="00AA6EDE"/>
    <w:rsid w:val="00AA77AB"/>
    <w:rsid w:val="00AB180E"/>
    <w:rsid w:val="00AB1B9B"/>
    <w:rsid w:val="00AB1DEE"/>
    <w:rsid w:val="00AB211A"/>
    <w:rsid w:val="00AB37FE"/>
    <w:rsid w:val="00AB3B26"/>
    <w:rsid w:val="00AB4D98"/>
    <w:rsid w:val="00AB51DF"/>
    <w:rsid w:val="00AB54B2"/>
    <w:rsid w:val="00AB598D"/>
    <w:rsid w:val="00AB598E"/>
    <w:rsid w:val="00AB59EB"/>
    <w:rsid w:val="00AB62DA"/>
    <w:rsid w:val="00AB6EB2"/>
    <w:rsid w:val="00AB753D"/>
    <w:rsid w:val="00AB7EB3"/>
    <w:rsid w:val="00AC0359"/>
    <w:rsid w:val="00AC0DBD"/>
    <w:rsid w:val="00AC296D"/>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AEF"/>
    <w:rsid w:val="00AD1C51"/>
    <w:rsid w:val="00AD1CB2"/>
    <w:rsid w:val="00AD262A"/>
    <w:rsid w:val="00AD2BA6"/>
    <w:rsid w:val="00AD380D"/>
    <w:rsid w:val="00AD38D9"/>
    <w:rsid w:val="00AD39BA"/>
    <w:rsid w:val="00AD3D04"/>
    <w:rsid w:val="00AD4FCA"/>
    <w:rsid w:val="00AD57B5"/>
    <w:rsid w:val="00AD6429"/>
    <w:rsid w:val="00AD6A86"/>
    <w:rsid w:val="00AD7241"/>
    <w:rsid w:val="00AE0583"/>
    <w:rsid w:val="00AE1C4C"/>
    <w:rsid w:val="00AE1E4E"/>
    <w:rsid w:val="00AE2012"/>
    <w:rsid w:val="00AE387A"/>
    <w:rsid w:val="00AE3E83"/>
    <w:rsid w:val="00AE473B"/>
    <w:rsid w:val="00AE547B"/>
    <w:rsid w:val="00AE5987"/>
    <w:rsid w:val="00AE5ABB"/>
    <w:rsid w:val="00AE5B9F"/>
    <w:rsid w:val="00AE5F94"/>
    <w:rsid w:val="00AE627E"/>
    <w:rsid w:val="00AE67E3"/>
    <w:rsid w:val="00AE6B27"/>
    <w:rsid w:val="00AE6B76"/>
    <w:rsid w:val="00AE712D"/>
    <w:rsid w:val="00AE7B89"/>
    <w:rsid w:val="00AF0C95"/>
    <w:rsid w:val="00AF1D04"/>
    <w:rsid w:val="00AF21F0"/>
    <w:rsid w:val="00AF2CFE"/>
    <w:rsid w:val="00AF2F84"/>
    <w:rsid w:val="00AF31C6"/>
    <w:rsid w:val="00AF3B28"/>
    <w:rsid w:val="00AF4BB2"/>
    <w:rsid w:val="00AF4D00"/>
    <w:rsid w:val="00AF74DB"/>
    <w:rsid w:val="00AF7C38"/>
    <w:rsid w:val="00B00474"/>
    <w:rsid w:val="00B00878"/>
    <w:rsid w:val="00B0276C"/>
    <w:rsid w:val="00B0286F"/>
    <w:rsid w:val="00B030C8"/>
    <w:rsid w:val="00B043D6"/>
    <w:rsid w:val="00B050C4"/>
    <w:rsid w:val="00B05327"/>
    <w:rsid w:val="00B05B8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1DD"/>
    <w:rsid w:val="00B12DE1"/>
    <w:rsid w:val="00B12E08"/>
    <w:rsid w:val="00B130FD"/>
    <w:rsid w:val="00B13320"/>
    <w:rsid w:val="00B13D0A"/>
    <w:rsid w:val="00B13D36"/>
    <w:rsid w:val="00B1464A"/>
    <w:rsid w:val="00B1480F"/>
    <w:rsid w:val="00B14D75"/>
    <w:rsid w:val="00B15605"/>
    <w:rsid w:val="00B160CB"/>
    <w:rsid w:val="00B165D6"/>
    <w:rsid w:val="00B172F9"/>
    <w:rsid w:val="00B174F2"/>
    <w:rsid w:val="00B20507"/>
    <w:rsid w:val="00B21049"/>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04"/>
    <w:rsid w:val="00B35CE3"/>
    <w:rsid w:val="00B367CB"/>
    <w:rsid w:val="00B3765C"/>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903"/>
    <w:rsid w:val="00B47EDD"/>
    <w:rsid w:val="00B5059C"/>
    <w:rsid w:val="00B50AB6"/>
    <w:rsid w:val="00B50C14"/>
    <w:rsid w:val="00B51222"/>
    <w:rsid w:val="00B514C6"/>
    <w:rsid w:val="00B51761"/>
    <w:rsid w:val="00B51829"/>
    <w:rsid w:val="00B51968"/>
    <w:rsid w:val="00B52936"/>
    <w:rsid w:val="00B529B9"/>
    <w:rsid w:val="00B52D6D"/>
    <w:rsid w:val="00B52F79"/>
    <w:rsid w:val="00B54E91"/>
    <w:rsid w:val="00B55203"/>
    <w:rsid w:val="00B55C79"/>
    <w:rsid w:val="00B56002"/>
    <w:rsid w:val="00B56681"/>
    <w:rsid w:val="00B570C1"/>
    <w:rsid w:val="00B572E8"/>
    <w:rsid w:val="00B57514"/>
    <w:rsid w:val="00B57CE4"/>
    <w:rsid w:val="00B6077E"/>
    <w:rsid w:val="00B616D3"/>
    <w:rsid w:val="00B6296B"/>
    <w:rsid w:val="00B634DD"/>
    <w:rsid w:val="00B638B6"/>
    <w:rsid w:val="00B6458A"/>
    <w:rsid w:val="00B650F8"/>
    <w:rsid w:val="00B658C4"/>
    <w:rsid w:val="00B662F5"/>
    <w:rsid w:val="00B66841"/>
    <w:rsid w:val="00B670B3"/>
    <w:rsid w:val="00B671C2"/>
    <w:rsid w:val="00B67321"/>
    <w:rsid w:val="00B7022A"/>
    <w:rsid w:val="00B70706"/>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85F0B"/>
    <w:rsid w:val="00B8653F"/>
    <w:rsid w:val="00B90C3E"/>
    <w:rsid w:val="00B90E79"/>
    <w:rsid w:val="00B914C7"/>
    <w:rsid w:val="00B9160E"/>
    <w:rsid w:val="00B9248D"/>
    <w:rsid w:val="00B92AC7"/>
    <w:rsid w:val="00B947EE"/>
    <w:rsid w:val="00B95615"/>
    <w:rsid w:val="00B96064"/>
    <w:rsid w:val="00B96F64"/>
    <w:rsid w:val="00B972EE"/>
    <w:rsid w:val="00B97379"/>
    <w:rsid w:val="00B97A74"/>
    <w:rsid w:val="00BA051B"/>
    <w:rsid w:val="00BA08DC"/>
    <w:rsid w:val="00BA0B98"/>
    <w:rsid w:val="00BA18EC"/>
    <w:rsid w:val="00BA26BF"/>
    <w:rsid w:val="00BA2C23"/>
    <w:rsid w:val="00BA3299"/>
    <w:rsid w:val="00BA358D"/>
    <w:rsid w:val="00BA4104"/>
    <w:rsid w:val="00BA482A"/>
    <w:rsid w:val="00BA4CF3"/>
    <w:rsid w:val="00BA5F0A"/>
    <w:rsid w:val="00BA6595"/>
    <w:rsid w:val="00BA6B90"/>
    <w:rsid w:val="00BA6DE9"/>
    <w:rsid w:val="00BA74E6"/>
    <w:rsid w:val="00BA76BF"/>
    <w:rsid w:val="00BA797C"/>
    <w:rsid w:val="00BA7C7A"/>
    <w:rsid w:val="00BB04B9"/>
    <w:rsid w:val="00BB0D0A"/>
    <w:rsid w:val="00BB0DD3"/>
    <w:rsid w:val="00BB143A"/>
    <w:rsid w:val="00BB1479"/>
    <w:rsid w:val="00BB162C"/>
    <w:rsid w:val="00BB3047"/>
    <w:rsid w:val="00BB4C24"/>
    <w:rsid w:val="00BB4C95"/>
    <w:rsid w:val="00BB58FC"/>
    <w:rsid w:val="00BB6D1C"/>
    <w:rsid w:val="00BB6D74"/>
    <w:rsid w:val="00BC0FC9"/>
    <w:rsid w:val="00BC4504"/>
    <w:rsid w:val="00BC54FE"/>
    <w:rsid w:val="00BC6C3B"/>
    <w:rsid w:val="00BC6F81"/>
    <w:rsid w:val="00BC7E86"/>
    <w:rsid w:val="00BD0182"/>
    <w:rsid w:val="00BD01FC"/>
    <w:rsid w:val="00BD0E50"/>
    <w:rsid w:val="00BD1505"/>
    <w:rsid w:val="00BD178B"/>
    <w:rsid w:val="00BD296C"/>
    <w:rsid w:val="00BD2B58"/>
    <w:rsid w:val="00BD3044"/>
    <w:rsid w:val="00BD38C5"/>
    <w:rsid w:val="00BD436E"/>
    <w:rsid w:val="00BD43BF"/>
    <w:rsid w:val="00BD675C"/>
    <w:rsid w:val="00BD6C42"/>
    <w:rsid w:val="00BD704C"/>
    <w:rsid w:val="00BD71E6"/>
    <w:rsid w:val="00BE03E9"/>
    <w:rsid w:val="00BE0988"/>
    <w:rsid w:val="00BE110D"/>
    <w:rsid w:val="00BE237A"/>
    <w:rsid w:val="00BE37E0"/>
    <w:rsid w:val="00BE3F2F"/>
    <w:rsid w:val="00BE475F"/>
    <w:rsid w:val="00BE531E"/>
    <w:rsid w:val="00BE5EA7"/>
    <w:rsid w:val="00BE630D"/>
    <w:rsid w:val="00BE6D46"/>
    <w:rsid w:val="00BE6D7B"/>
    <w:rsid w:val="00BF044F"/>
    <w:rsid w:val="00BF071E"/>
    <w:rsid w:val="00BF1F74"/>
    <w:rsid w:val="00BF3588"/>
    <w:rsid w:val="00BF3CC5"/>
    <w:rsid w:val="00BF42A4"/>
    <w:rsid w:val="00BF5C04"/>
    <w:rsid w:val="00BF6CCE"/>
    <w:rsid w:val="00BF7116"/>
    <w:rsid w:val="00BF7CA8"/>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3F4"/>
    <w:rsid w:val="00C41706"/>
    <w:rsid w:val="00C43668"/>
    <w:rsid w:val="00C43CDD"/>
    <w:rsid w:val="00C443B1"/>
    <w:rsid w:val="00C45109"/>
    <w:rsid w:val="00C45621"/>
    <w:rsid w:val="00C4624B"/>
    <w:rsid w:val="00C46382"/>
    <w:rsid w:val="00C46854"/>
    <w:rsid w:val="00C47F61"/>
    <w:rsid w:val="00C47FB9"/>
    <w:rsid w:val="00C5074B"/>
    <w:rsid w:val="00C508EA"/>
    <w:rsid w:val="00C50F58"/>
    <w:rsid w:val="00C51E75"/>
    <w:rsid w:val="00C524A1"/>
    <w:rsid w:val="00C52CB1"/>
    <w:rsid w:val="00C54AF8"/>
    <w:rsid w:val="00C564D6"/>
    <w:rsid w:val="00C57862"/>
    <w:rsid w:val="00C5799C"/>
    <w:rsid w:val="00C60040"/>
    <w:rsid w:val="00C6028A"/>
    <w:rsid w:val="00C61068"/>
    <w:rsid w:val="00C61174"/>
    <w:rsid w:val="00C61467"/>
    <w:rsid w:val="00C62529"/>
    <w:rsid w:val="00C63553"/>
    <w:rsid w:val="00C64599"/>
    <w:rsid w:val="00C64FB4"/>
    <w:rsid w:val="00C654B2"/>
    <w:rsid w:val="00C658F0"/>
    <w:rsid w:val="00C65C4E"/>
    <w:rsid w:val="00C663C1"/>
    <w:rsid w:val="00C66A56"/>
    <w:rsid w:val="00C66B15"/>
    <w:rsid w:val="00C709C7"/>
    <w:rsid w:val="00C7227D"/>
    <w:rsid w:val="00C72405"/>
    <w:rsid w:val="00C73D25"/>
    <w:rsid w:val="00C755DA"/>
    <w:rsid w:val="00C7701F"/>
    <w:rsid w:val="00C80CDA"/>
    <w:rsid w:val="00C8105B"/>
    <w:rsid w:val="00C81E8F"/>
    <w:rsid w:val="00C8274E"/>
    <w:rsid w:val="00C82866"/>
    <w:rsid w:val="00C830F4"/>
    <w:rsid w:val="00C83C29"/>
    <w:rsid w:val="00C83EC4"/>
    <w:rsid w:val="00C84EB4"/>
    <w:rsid w:val="00C85E9F"/>
    <w:rsid w:val="00C86438"/>
    <w:rsid w:val="00C86D14"/>
    <w:rsid w:val="00C86E09"/>
    <w:rsid w:val="00C86FBB"/>
    <w:rsid w:val="00C873AE"/>
    <w:rsid w:val="00C90B47"/>
    <w:rsid w:val="00C9124C"/>
    <w:rsid w:val="00C92423"/>
    <w:rsid w:val="00C92E91"/>
    <w:rsid w:val="00C95789"/>
    <w:rsid w:val="00C95D08"/>
    <w:rsid w:val="00C96091"/>
    <w:rsid w:val="00C969A5"/>
    <w:rsid w:val="00C96B43"/>
    <w:rsid w:val="00C97642"/>
    <w:rsid w:val="00C97EE5"/>
    <w:rsid w:val="00CA02EF"/>
    <w:rsid w:val="00CA07ED"/>
    <w:rsid w:val="00CA1595"/>
    <w:rsid w:val="00CA1A7A"/>
    <w:rsid w:val="00CA2809"/>
    <w:rsid w:val="00CA2E35"/>
    <w:rsid w:val="00CA39BF"/>
    <w:rsid w:val="00CA3AD1"/>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567"/>
    <w:rsid w:val="00CD183A"/>
    <w:rsid w:val="00CD1B85"/>
    <w:rsid w:val="00CD2727"/>
    <w:rsid w:val="00CD293F"/>
    <w:rsid w:val="00CD3559"/>
    <w:rsid w:val="00CD3FC9"/>
    <w:rsid w:val="00CD632A"/>
    <w:rsid w:val="00CD63F0"/>
    <w:rsid w:val="00CD7551"/>
    <w:rsid w:val="00CE0511"/>
    <w:rsid w:val="00CE0A90"/>
    <w:rsid w:val="00CE1025"/>
    <w:rsid w:val="00CE172B"/>
    <w:rsid w:val="00CE1CCD"/>
    <w:rsid w:val="00CE28D6"/>
    <w:rsid w:val="00CE2FA5"/>
    <w:rsid w:val="00CE3019"/>
    <w:rsid w:val="00CE30E3"/>
    <w:rsid w:val="00CE312E"/>
    <w:rsid w:val="00CE3522"/>
    <w:rsid w:val="00CE3D12"/>
    <w:rsid w:val="00CE3D6F"/>
    <w:rsid w:val="00CE3E1D"/>
    <w:rsid w:val="00CE3E46"/>
    <w:rsid w:val="00CE4847"/>
    <w:rsid w:val="00CE5877"/>
    <w:rsid w:val="00CE7203"/>
    <w:rsid w:val="00CE7948"/>
    <w:rsid w:val="00CF0094"/>
    <w:rsid w:val="00CF2005"/>
    <w:rsid w:val="00CF20CC"/>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2C6D"/>
    <w:rsid w:val="00D02D97"/>
    <w:rsid w:val="00D03561"/>
    <w:rsid w:val="00D03764"/>
    <w:rsid w:val="00D03998"/>
    <w:rsid w:val="00D0513D"/>
    <w:rsid w:val="00D05191"/>
    <w:rsid w:val="00D074AE"/>
    <w:rsid w:val="00D0792B"/>
    <w:rsid w:val="00D10410"/>
    <w:rsid w:val="00D10817"/>
    <w:rsid w:val="00D108DB"/>
    <w:rsid w:val="00D114FE"/>
    <w:rsid w:val="00D119AC"/>
    <w:rsid w:val="00D11AF0"/>
    <w:rsid w:val="00D12832"/>
    <w:rsid w:val="00D13727"/>
    <w:rsid w:val="00D147D7"/>
    <w:rsid w:val="00D15224"/>
    <w:rsid w:val="00D17D22"/>
    <w:rsid w:val="00D20DDF"/>
    <w:rsid w:val="00D21745"/>
    <w:rsid w:val="00D228C5"/>
    <w:rsid w:val="00D228EE"/>
    <w:rsid w:val="00D2438E"/>
    <w:rsid w:val="00D255A3"/>
    <w:rsid w:val="00D25F82"/>
    <w:rsid w:val="00D27368"/>
    <w:rsid w:val="00D3198F"/>
    <w:rsid w:val="00D31CB3"/>
    <w:rsid w:val="00D3342D"/>
    <w:rsid w:val="00D3355B"/>
    <w:rsid w:val="00D33781"/>
    <w:rsid w:val="00D33C49"/>
    <w:rsid w:val="00D33D8A"/>
    <w:rsid w:val="00D343EC"/>
    <w:rsid w:val="00D35654"/>
    <w:rsid w:val="00D3573F"/>
    <w:rsid w:val="00D36781"/>
    <w:rsid w:val="00D36866"/>
    <w:rsid w:val="00D373E5"/>
    <w:rsid w:val="00D37527"/>
    <w:rsid w:val="00D3772C"/>
    <w:rsid w:val="00D40268"/>
    <w:rsid w:val="00D40382"/>
    <w:rsid w:val="00D40B22"/>
    <w:rsid w:val="00D40DD4"/>
    <w:rsid w:val="00D4121F"/>
    <w:rsid w:val="00D41CF8"/>
    <w:rsid w:val="00D42A82"/>
    <w:rsid w:val="00D4381E"/>
    <w:rsid w:val="00D43BAD"/>
    <w:rsid w:val="00D452E5"/>
    <w:rsid w:val="00D45FC0"/>
    <w:rsid w:val="00D46617"/>
    <w:rsid w:val="00D4689F"/>
    <w:rsid w:val="00D46996"/>
    <w:rsid w:val="00D46ECB"/>
    <w:rsid w:val="00D47438"/>
    <w:rsid w:val="00D47996"/>
    <w:rsid w:val="00D47B16"/>
    <w:rsid w:val="00D47D8C"/>
    <w:rsid w:val="00D50466"/>
    <w:rsid w:val="00D527BD"/>
    <w:rsid w:val="00D5367E"/>
    <w:rsid w:val="00D5428E"/>
    <w:rsid w:val="00D54395"/>
    <w:rsid w:val="00D546FF"/>
    <w:rsid w:val="00D54DF6"/>
    <w:rsid w:val="00D5644A"/>
    <w:rsid w:val="00D56955"/>
    <w:rsid w:val="00D56993"/>
    <w:rsid w:val="00D5717C"/>
    <w:rsid w:val="00D5730E"/>
    <w:rsid w:val="00D57418"/>
    <w:rsid w:val="00D575ED"/>
    <w:rsid w:val="00D57DA6"/>
    <w:rsid w:val="00D6123D"/>
    <w:rsid w:val="00D6153D"/>
    <w:rsid w:val="00D615BB"/>
    <w:rsid w:val="00D61C87"/>
    <w:rsid w:val="00D61CAC"/>
    <w:rsid w:val="00D62DB8"/>
    <w:rsid w:val="00D631C3"/>
    <w:rsid w:val="00D63803"/>
    <w:rsid w:val="00D63A85"/>
    <w:rsid w:val="00D63A93"/>
    <w:rsid w:val="00D6487C"/>
    <w:rsid w:val="00D64BAB"/>
    <w:rsid w:val="00D6685C"/>
    <w:rsid w:val="00D70430"/>
    <w:rsid w:val="00D707E1"/>
    <w:rsid w:val="00D714D0"/>
    <w:rsid w:val="00D7180F"/>
    <w:rsid w:val="00D719EC"/>
    <w:rsid w:val="00D71DD0"/>
    <w:rsid w:val="00D7309D"/>
    <w:rsid w:val="00D7311C"/>
    <w:rsid w:val="00D7331D"/>
    <w:rsid w:val="00D73FED"/>
    <w:rsid w:val="00D74906"/>
    <w:rsid w:val="00D74C73"/>
    <w:rsid w:val="00D74F71"/>
    <w:rsid w:val="00D75313"/>
    <w:rsid w:val="00D762C2"/>
    <w:rsid w:val="00D770B2"/>
    <w:rsid w:val="00D77E06"/>
    <w:rsid w:val="00D80113"/>
    <w:rsid w:val="00D80DC8"/>
    <w:rsid w:val="00D814E6"/>
    <w:rsid w:val="00D81C35"/>
    <w:rsid w:val="00D81DDF"/>
    <w:rsid w:val="00D824AE"/>
    <w:rsid w:val="00D82742"/>
    <w:rsid w:val="00D82986"/>
    <w:rsid w:val="00D82A10"/>
    <w:rsid w:val="00D82BD3"/>
    <w:rsid w:val="00D8333F"/>
    <w:rsid w:val="00D83408"/>
    <w:rsid w:val="00D83AE7"/>
    <w:rsid w:val="00D84096"/>
    <w:rsid w:val="00D84D68"/>
    <w:rsid w:val="00D864F9"/>
    <w:rsid w:val="00D86A15"/>
    <w:rsid w:val="00D86B3D"/>
    <w:rsid w:val="00D86FC5"/>
    <w:rsid w:val="00D87793"/>
    <w:rsid w:val="00D9086E"/>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CB6"/>
    <w:rsid w:val="00DA1E5D"/>
    <w:rsid w:val="00DA35D6"/>
    <w:rsid w:val="00DA3862"/>
    <w:rsid w:val="00DA4F09"/>
    <w:rsid w:val="00DA52E3"/>
    <w:rsid w:val="00DA5A48"/>
    <w:rsid w:val="00DA5AB2"/>
    <w:rsid w:val="00DA607F"/>
    <w:rsid w:val="00DA6850"/>
    <w:rsid w:val="00DA6C5B"/>
    <w:rsid w:val="00DA6ED5"/>
    <w:rsid w:val="00DB1106"/>
    <w:rsid w:val="00DB12CA"/>
    <w:rsid w:val="00DB19C5"/>
    <w:rsid w:val="00DB1D55"/>
    <w:rsid w:val="00DB212F"/>
    <w:rsid w:val="00DB348A"/>
    <w:rsid w:val="00DB48E2"/>
    <w:rsid w:val="00DB4D24"/>
    <w:rsid w:val="00DB514B"/>
    <w:rsid w:val="00DB54AF"/>
    <w:rsid w:val="00DB553B"/>
    <w:rsid w:val="00DB6C5A"/>
    <w:rsid w:val="00DB7611"/>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1C36"/>
    <w:rsid w:val="00DD29E9"/>
    <w:rsid w:val="00DD31F3"/>
    <w:rsid w:val="00DD3938"/>
    <w:rsid w:val="00DD3AE5"/>
    <w:rsid w:val="00DD5506"/>
    <w:rsid w:val="00DD5587"/>
    <w:rsid w:val="00DD5D7C"/>
    <w:rsid w:val="00DD733B"/>
    <w:rsid w:val="00DD7E98"/>
    <w:rsid w:val="00DD7F36"/>
    <w:rsid w:val="00DD7F4E"/>
    <w:rsid w:val="00DE0589"/>
    <w:rsid w:val="00DE1685"/>
    <w:rsid w:val="00DE1AE0"/>
    <w:rsid w:val="00DE1C0C"/>
    <w:rsid w:val="00DE1F98"/>
    <w:rsid w:val="00DE3984"/>
    <w:rsid w:val="00DE3B4A"/>
    <w:rsid w:val="00DE3C4A"/>
    <w:rsid w:val="00DE3ECA"/>
    <w:rsid w:val="00DE4168"/>
    <w:rsid w:val="00DE447F"/>
    <w:rsid w:val="00DE575A"/>
    <w:rsid w:val="00DE5E8E"/>
    <w:rsid w:val="00DE63CA"/>
    <w:rsid w:val="00DE7757"/>
    <w:rsid w:val="00DE7947"/>
    <w:rsid w:val="00DF009A"/>
    <w:rsid w:val="00DF0608"/>
    <w:rsid w:val="00DF090C"/>
    <w:rsid w:val="00DF0A38"/>
    <w:rsid w:val="00DF0FE3"/>
    <w:rsid w:val="00DF13A8"/>
    <w:rsid w:val="00DF1DBA"/>
    <w:rsid w:val="00DF21D0"/>
    <w:rsid w:val="00DF34C1"/>
    <w:rsid w:val="00DF4141"/>
    <w:rsid w:val="00DF41D1"/>
    <w:rsid w:val="00DF6172"/>
    <w:rsid w:val="00DF77EF"/>
    <w:rsid w:val="00DF7D2F"/>
    <w:rsid w:val="00E00145"/>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6EA7"/>
    <w:rsid w:val="00E077B7"/>
    <w:rsid w:val="00E10234"/>
    <w:rsid w:val="00E10A13"/>
    <w:rsid w:val="00E11DD7"/>
    <w:rsid w:val="00E11F05"/>
    <w:rsid w:val="00E12809"/>
    <w:rsid w:val="00E12EE0"/>
    <w:rsid w:val="00E12F4E"/>
    <w:rsid w:val="00E12FFB"/>
    <w:rsid w:val="00E13798"/>
    <w:rsid w:val="00E138C6"/>
    <w:rsid w:val="00E13CEF"/>
    <w:rsid w:val="00E14358"/>
    <w:rsid w:val="00E14804"/>
    <w:rsid w:val="00E15AE5"/>
    <w:rsid w:val="00E16003"/>
    <w:rsid w:val="00E167E6"/>
    <w:rsid w:val="00E170B7"/>
    <w:rsid w:val="00E1723C"/>
    <w:rsid w:val="00E1774A"/>
    <w:rsid w:val="00E2018D"/>
    <w:rsid w:val="00E205EB"/>
    <w:rsid w:val="00E2089B"/>
    <w:rsid w:val="00E21918"/>
    <w:rsid w:val="00E21F2E"/>
    <w:rsid w:val="00E220A2"/>
    <w:rsid w:val="00E23066"/>
    <w:rsid w:val="00E250CE"/>
    <w:rsid w:val="00E25CAE"/>
    <w:rsid w:val="00E26BCB"/>
    <w:rsid w:val="00E270D3"/>
    <w:rsid w:val="00E27274"/>
    <w:rsid w:val="00E2744B"/>
    <w:rsid w:val="00E27572"/>
    <w:rsid w:val="00E27A76"/>
    <w:rsid w:val="00E27F7E"/>
    <w:rsid w:val="00E3002F"/>
    <w:rsid w:val="00E306E0"/>
    <w:rsid w:val="00E309D7"/>
    <w:rsid w:val="00E30DEE"/>
    <w:rsid w:val="00E317B9"/>
    <w:rsid w:val="00E31F1E"/>
    <w:rsid w:val="00E321AA"/>
    <w:rsid w:val="00E32B95"/>
    <w:rsid w:val="00E3316F"/>
    <w:rsid w:val="00E335E0"/>
    <w:rsid w:val="00E33AFB"/>
    <w:rsid w:val="00E343D4"/>
    <w:rsid w:val="00E358D2"/>
    <w:rsid w:val="00E36E76"/>
    <w:rsid w:val="00E3779D"/>
    <w:rsid w:val="00E40305"/>
    <w:rsid w:val="00E40973"/>
    <w:rsid w:val="00E40ADE"/>
    <w:rsid w:val="00E40F44"/>
    <w:rsid w:val="00E41D67"/>
    <w:rsid w:val="00E43F01"/>
    <w:rsid w:val="00E46189"/>
    <w:rsid w:val="00E46878"/>
    <w:rsid w:val="00E46C28"/>
    <w:rsid w:val="00E50BA5"/>
    <w:rsid w:val="00E5284F"/>
    <w:rsid w:val="00E53108"/>
    <w:rsid w:val="00E53841"/>
    <w:rsid w:val="00E539EA"/>
    <w:rsid w:val="00E53BBE"/>
    <w:rsid w:val="00E54965"/>
    <w:rsid w:val="00E549F2"/>
    <w:rsid w:val="00E54EB6"/>
    <w:rsid w:val="00E5529E"/>
    <w:rsid w:val="00E56791"/>
    <w:rsid w:val="00E56EA4"/>
    <w:rsid w:val="00E57291"/>
    <w:rsid w:val="00E61369"/>
    <w:rsid w:val="00E6240F"/>
    <w:rsid w:val="00E62CC8"/>
    <w:rsid w:val="00E64F58"/>
    <w:rsid w:val="00E657A9"/>
    <w:rsid w:val="00E665E9"/>
    <w:rsid w:val="00E66603"/>
    <w:rsid w:val="00E66DCA"/>
    <w:rsid w:val="00E67056"/>
    <w:rsid w:val="00E677DE"/>
    <w:rsid w:val="00E67E7C"/>
    <w:rsid w:val="00E710A4"/>
    <w:rsid w:val="00E721AF"/>
    <w:rsid w:val="00E72DE0"/>
    <w:rsid w:val="00E7492C"/>
    <w:rsid w:val="00E74E55"/>
    <w:rsid w:val="00E76C73"/>
    <w:rsid w:val="00E77874"/>
    <w:rsid w:val="00E81429"/>
    <w:rsid w:val="00E81824"/>
    <w:rsid w:val="00E819E5"/>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3DAD"/>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9F5"/>
    <w:rsid w:val="00EB5C46"/>
    <w:rsid w:val="00EB5E88"/>
    <w:rsid w:val="00EB6CAF"/>
    <w:rsid w:val="00EB7BDE"/>
    <w:rsid w:val="00EB7D56"/>
    <w:rsid w:val="00EB7D7A"/>
    <w:rsid w:val="00EC0238"/>
    <w:rsid w:val="00EC106E"/>
    <w:rsid w:val="00EC38E4"/>
    <w:rsid w:val="00EC411D"/>
    <w:rsid w:val="00EC42A5"/>
    <w:rsid w:val="00EC4B5F"/>
    <w:rsid w:val="00EC6320"/>
    <w:rsid w:val="00EC6340"/>
    <w:rsid w:val="00EC6FC1"/>
    <w:rsid w:val="00ED00B0"/>
    <w:rsid w:val="00ED01F1"/>
    <w:rsid w:val="00ED07DF"/>
    <w:rsid w:val="00ED091A"/>
    <w:rsid w:val="00ED0E81"/>
    <w:rsid w:val="00ED1385"/>
    <w:rsid w:val="00ED15C2"/>
    <w:rsid w:val="00ED2CB6"/>
    <w:rsid w:val="00ED347F"/>
    <w:rsid w:val="00ED37A2"/>
    <w:rsid w:val="00ED4067"/>
    <w:rsid w:val="00ED4BB5"/>
    <w:rsid w:val="00ED5E40"/>
    <w:rsid w:val="00ED6E15"/>
    <w:rsid w:val="00ED7639"/>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7CC"/>
    <w:rsid w:val="00EE7D3F"/>
    <w:rsid w:val="00EF020B"/>
    <w:rsid w:val="00EF2B60"/>
    <w:rsid w:val="00EF2C79"/>
    <w:rsid w:val="00EF3241"/>
    <w:rsid w:val="00EF41CD"/>
    <w:rsid w:val="00EF524B"/>
    <w:rsid w:val="00EF58D8"/>
    <w:rsid w:val="00EF6212"/>
    <w:rsid w:val="00F00459"/>
    <w:rsid w:val="00F00FDE"/>
    <w:rsid w:val="00F01D75"/>
    <w:rsid w:val="00F0213D"/>
    <w:rsid w:val="00F03432"/>
    <w:rsid w:val="00F03DA1"/>
    <w:rsid w:val="00F03DBB"/>
    <w:rsid w:val="00F03FDB"/>
    <w:rsid w:val="00F047CB"/>
    <w:rsid w:val="00F04852"/>
    <w:rsid w:val="00F052AC"/>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5CD2"/>
    <w:rsid w:val="00F16057"/>
    <w:rsid w:val="00F17776"/>
    <w:rsid w:val="00F17B6C"/>
    <w:rsid w:val="00F209E9"/>
    <w:rsid w:val="00F20BD8"/>
    <w:rsid w:val="00F20EBB"/>
    <w:rsid w:val="00F2229D"/>
    <w:rsid w:val="00F22B38"/>
    <w:rsid w:val="00F22C95"/>
    <w:rsid w:val="00F23538"/>
    <w:rsid w:val="00F2356D"/>
    <w:rsid w:val="00F24631"/>
    <w:rsid w:val="00F2504F"/>
    <w:rsid w:val="00F2553B"/>
    <w:rsid w:val="00F25B9A"/>
    <w:rsid w:val="00F268B5"/>
    <w:rsid w:val="00F27446"/>
    <w:rsid w:val="00F27494"/>
    <w:rsid w:val="00F30688"/>
    <w:rsid w:val="00F30756"/>
    <w:rsid w:val="00F308C8"/>
    <w:rsid w:val="00F30D7F"/>
    <w:rsid w:val="00F313AE"/>
    <w:rsid w:val="00F314F5"/>
    <w:rsid w:val="00F32AFF"/>
    <w:rsid w:val="00F32B41"/>
    <w:rsid w:val="00F33AD2"/>
    <w:rsid w:val="00F340BA"/>
    <w:rsid w:val="00F34506"/>
    <w:rsid w:val="00F34FA4"/>
    <w:rsid w:val="00F3514E"/>
    <w:rsid w:val="00F3577A"/>
    <w:rsid w:val="00F3666B"/>
    <w:rsid w:val="00F36A56"/>
    <w:rsid w:val="00F3702E"/>
    <w:rsid w:val="00F379A8"/>
    <w:rsid w:val="00F404B0"/>
    <w:rsid w:val="00F40685"/>
    <w:rsid w:val="00F40C61"/>
    <w:rsid w:val="00F413CE"/>
    <w:rsid w:val="00F42536"/>
    <w:rsid w:val="00F42F16"/>
    <w:rsid w:val="00F43906"/>
    <w:rsid w:val="00F44A9E"/>
    <w:rsid w:val="00F44AFB"/>
    <w:rsid w:val="00F46152"/>
    <w:rsid w:val="00F46AFB"/>
    <w:rsid w:val="00F46BF5"/>
    <w:rsid w:val="00F47170"/>
    <w:rsid w:val="00F47BD3"/>
    <w:rsid w:val="00F47FF3"/>
    <w:rsid w:val="00F50B37"/>
    <w:rsid w:val="00F514E1"/>
    <w:rsid w:val="00F521FE"/>
    <w:rsid w:val="00F52D85"/>
    <w:rsid w:val="00F52E56"/>
    <w:rsid w:val="00F535ED"/>
    <w:rsid w:val="00F5471B"/>
    <w:rsid w:val="00F55B59"/>
    <w:rsid w:val="00F566D4"/>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123"/>
    <w:rsid w:val="00F72A6B"/>
    <w:rsid w:val="00F73DC1"/>
    <w:rsid w:val="00F744C3"/>
    <w:rsid w:val="00F75043"/>
    <w:rsid w:val="00F7554E"/>
    <w:rsid w:val="00F76CF7"/>
    <w:rsid w:val="00F77502"/>
    <w:rsid w:val="00F77CE9"/>
    <w:rsid w:val="00F80159"/>
    <w:rsid w:val="00F8029A"/>
    <w:rsid w:val="00F80A42"/>
    <w:rsid w:val="00F829DA"/>
    <w:rsid w:val="00F8432A"/>
    <w:rsid w:val="00F8705E"/>
    <w:rsid w:val="00F870DE"/>
    <w:rsid w:val="00F87698"/>
    <w:rsid w:val="00F87ED6"/>
    <w:rsid w:val="00F9001F"/>
    <w:rsid w:val="00F901E3"/>
    <w:rsid w:val="00F90409"/>
    <w:rsid w:val="00F90411"/>
    <w:rsid w:val="00F90FEF"/>
    <w:rsid w:val="00F9180A"/>
    <w:rsid w:val="00F91AD7"/>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0C07"/>
    <w:rsid w:val="00FA2663"/>
    <w:rsid w:val="00FA296C"/>
    <w:rsid w:val="00FA2A0F"/>
    <w:rsid w:val="00FA3478"/>
    <w:rsid w:val="00FA409F"/>
    <w:rsid w:val="00FA5231"/>
    <w:rsid w:val="00FA5E8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CE7"/>
    <w:rsid w:val="00FC2E4B"/>
    <w:rsid w:val="00FC35E0"/>
    <w:rsid w:val="00FC4CA4"/>
    <w:rsid w:val="00FC4D11"/>
    <w:rsid w:val="00FC5175"/>
    <w:rsid w:val="00FC6871"/>
    <w:rsid w:val="00FC6B5B"/>
    <w:rsid w:val="00FC6C0B"/>
    <w:rsid w:val="00FC778C"/>
    <w:rsid w:val="00FC7EC0"/>
    <w:rsid w:val="00FD0A22"/>
    <w:rsid w:val="00FD0CA5"/>
    <w:rsid w:val="00FD10C3"/>
    <w:rsid w:val="00FD15E8"/>
    <w:rsid w:val="00FD32D1"/>
    <w:rsid w:val="00FD3317"/>
    <w:rsid w:val="00FD3AAE"/>
    <w:rsid w:val="00FD3D4B"/>
    <w:rsid w:val="00FD3E67"/>
    <w:rsid w:val="00FD3F95"/>
    <w:rsid w:val="00FD4271"/>
    <w:rsid w:val="00FE0AD4"/>
    <w:rsid w:val="00FE1FB9"/>
    <w:rsid w:val="00FE22AD"/>
    <w:rsid w:val="00FE2588"/>
    <w:rsid w:val="00FE28E3"/>
    <w:rsid w:val="00FE31DC"/>
    <w:rsid w:val="00FE50EC"/>
    <w:rsid w:val="00FE50FF"/>
    <w:rsid w:val="00FE5CC4"/>
    <w:rsid w:val="00FE6451"/>
    <w:rsid w:val="00FE7022"/>
    <w:rsid w:val="00FE745F"/>
    <w:rsid w:val="00FE761A"/>
    <w:rsid w:val="00FE7AF1"/>
    <w:rsid w:val="00FE7B7D"/>
    <w:rsid w:val="00FF08E1"/>
    <w:rsid w:val="00FF092B"/>
    <w:rsid w:val="00FF191A"/>
    <w:rsid w:val="00FF2854"/>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14:docId w14:val="537A6EB2"/>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68C7"/>
    <w:pPr>
      <w:bidi/>
    </w:pPr>
  </w:style>
  <w:style w:type="paragraph" w:styleId="Heading1">
    <w:name w:val="heading 1"/>
    <w:basedOn w:val="Normal"/>
    <w:next w:val="Normal"/>
    <w:link w:val="11"/>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21"/>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31"/>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41"/>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53"/>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62"/>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73"/>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81"/>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91"/>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21">
    <w:name w:val="כותרת 2 תו1"/>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31">
    <w:name w:val="כותרת 3 תו1"/>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41">
    <w:name w:val="כותרת 4 תו1"/>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53">
    <w:name w:val="כותרת 5 תו3"/>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62">
    <w:name w:val="כותרת 6 תו2"/>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73">
    <w:name w:val="כותרת 7 תו3"/>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81">
    <w:name w:val="כותרת 8 תו1"/>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91">
    <w:name w:val="כותרת 9 תו1"/>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aliases w:val="Bullet List,FooterText,LP1,List Paragraph1,List Paragraph_0,List Paragraph_1,List Paragraph_2,Paragraphe de liste1,lp1,numbered,style 2,פיסקת bullets"/>
    <w:basedOn w:val="Normal"/>
    <w:link w:val="a"/>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a">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1"/>
    <w:uiPriority w:val="99"/>
    <w:unhideWhenUsed/>
    <w:rsid w:val="00CB3322"/>
    <w:pPr>
      <w:tabs>
        <w:tab w:val="center" w:pos="4320"/>
        <w:tab w:val="right" w:pos="8640"/>
      </w:tabs>
      <w:spacing w:after="0" w:line="240" w:lineRule="auto"/>
    </w:pPr>
  </w:style>
  <w:style w:type="character" w:customStyle="1" w:styleId="1">
    <w:name w:val="כותרת עליונה תו1"/>
    <w:basedOn w:val="DefaultParagraphFont"/>
    <w:link w:val="Header"/>
    <w:uiPriority w:val="99"/>
    <w:rsid w:val="00CB3322"/>
    <w:rPr>
      <w:rFonts w:cs="David"/>
      <w:sz w:val="24"/>
      <w:szCs w:val="24"/>
    </w:rPr>
  </w:style>
  <w:style w:type="paragraph" w:styleId="Footer">
    <w:name w:val="footer"/>
    <w:basedOn w:val="Normal"/>
    <w:link w:val="10"/>
    <w:uiPriority w:val="99"/>
    <w:unhideWhenUsed/>
    <w:qFormat/>
    <w:rsid w:val="00CB3322"/>
    <w:pPr>
      <w:tabs>
        <w:tab w:val="center" w:pos="4320"/>
        <w:tab w:val="right" w:pos="8640"/>
      </w:tabs>
      <w:spacing w:after="0" w:line="240" w:lineRule="auto"/>
    </w:pPr>
  </w:style>
  <w:style w:type="character" w:customStyle="1" w:styleId="10">
    <w:name w:val="כותרת תחתונה תו1"/>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a0"/>
    <w:uiPriority w:val="99"/>
    <w:unhideWhenUsed/>
    <w:rsid w:val="00702D9F"/>
    <w:pPr>
      <w:spacing w:line="240" w:lineRule="auto"/>
    </w:pPr>
    <w:rPr>
      <w:sz w:val="20"/>
      <w:szCs w:val="20"/>
    </w:rPr>
  </w:style>
  <w:style w:type="character" w:customStyle="1" w:styleId="a0">
    <w:name w:val="טקסט הערה תו"/>
    <w:basedOn w:val="DefaultParagraphFont"/>
    <w:link w:val="CommentText"/>
    <w:uiPriority w:val="99"/>
    <w:rsid w:val="00702D9F"/>
    <w:rPr>
      <w:rFonts w:cs="David"/>
    </w:rPr>
  </w:style>
  <w:style w:type="paragraph" w:styleId="CommentSubject">
    <w:name w:val="annotation subject"/>
    <w:basedOn w:val="CommentText"/>
    <w:next w:val="CommentText"/>
    <w:link w:val="a1"/>
    <w:uiPriority w:val="99"/>
    <w:semiHidden/>
    <w:unhideWhenUsed/>
    <w:rsid w:val="00702D9F"/>
    <w:rPr>
      <w:b/>
      <w:bCs/>
    </w:rPr>
  </w:style>
  <w:style w:type="character" w:customStyle="1" w:styleId="a1">
    <w:name w:val="נושא הערה תו"/>
    <w:basedOn w:val="a0"/>
    <w:link w:val="CommentSubject"/>
    <w:uiPriority w:val="99"/>
    <w:semiHidden/>
    <w:rsid w:val="00702D9F"/>
    <w:rPr>
      <w:rFonts w:cs="David"/>
      <w:b/>
      <w:bCs/>
    </w:rPr>
  </w:style>
  <w:style w:type="paragraph" w:styleId="BalloonText">
    <w:name w:val="Balloon Text"/>
    <w:basedOn w:val="Normal"/>
    <w:link w:val="a2"/>
    <w:uiPriority w:val="99"/>
    <w:semiHidden/>
    <w:unhideWhenUsed/>
    <w:rsid w:val="00702D9F"/>
    <w:pPr>
      <w:spacing w:after="0" w:line="240" w:lineRule="auto"/>
    </w:pPr>
    <w:rPr>
      <w:rFonts w:ascii="Segoe UI" w:hAnsi="Segoe UI" w:cs="Segoe UI"/>
      <w:sz w:val="18"/>
      <w:szCs w:val="18"/>
    </w:rPr>
  </w:style>
  <w:style w:type="character" w:customStyle="1" w:styleId="a2">
    <w:name w:val="טקסט בלונים תו"/>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aliases w:val="ללא"/>
    <w:basedOn w:val="TableNormal"/>
    <w:uiPriority w:val="3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Char,FOOTNOTES,Footnote Text - Sharp,Footnote Text - Sharp Char,Footnote Text - Sharp Char Char,Footnote Text Char Char Char Char Char,Footnote reference,Sharp - Footnote Text,Sharp - Footnote Text1 Char,fn,footnote text,single space,F"/>
    <w:basedOn w:val="Normal"/>
    <w:link w:val="12"/>
    <w:uiPriority w:val="99"/>
    <w:unhideWhenUsed/>
    <w:qFormat/>
    <w:rsid w:val="00D36781"/>
    <w:pPr>
      <w:keepLines/>
      <w:spacing w:after="40" w:line="200" w:lineRule="exact"/>
      <w:ind w:left="397" w:right="2268" w:hanging="397"/>
      <w:jc w:val="both"/>
    </w:pPr>
    <w:rPr>
      <w:rFonts w:ascii="Tahoma" w:hAnsi="Tahoma" w:cs="Tahoma"/>
      <w:sz w:val="14"/>
      <w:szCs w:val="14"/>
    </w:rPr>
  </w:style>
  <w:style w:type="character" w:customStyle="1" w:styleId="12">
    <w:name w:val="טקסט הערת שוליים תו1"/>
    <w:aliases w:val="Char תו,FOOTNOTES תו,Footnote Text - Sharp תו,Footnote Text - Sharp Char תו,Footnote Text - Sharp Char Char תו,Footnote Text Char Char Char Char Char תו,Footnote reference תו,Sharp - Footnote Text תו,Sharp - Footnote Text1 Char תו"/>
    <w:basedOn w:val="DefaultParagraphFont"/>
    <w:link w:val="FootnoteText"/>
    <w:uiPriority w:val="99"/>
    <w:rsid w:val="00D36781"/>
    <w:rPr>
      <w:rFonts w:ascii="Tahoma" w:hAnsi="Tahoma" w:cs="Tahoma"/>
      <w:sz w:val="14"/>
      <w:szCs w:val="14"/>
    </w:rPr>
  </w:style>
  <w:style w:type="character" w:styleId="FootnoteReference1">
    <w:name w:val="footnote reference"/>
    <w:aliases w:val="Footnote Reference_0,Footnote Reference_0_0,Footnote Reference_0_0_0,Footnote Reference_0_0_0_0,Footnote Reference_1,Footnote Reference_1_0,Footnote Reference_2,Footnote Reference_3,Footnote Reference_4,Footnote Reference_4_0,מ,Style"/>
    <w:basedOn w:val="DefaultParagraphFont"/>
    <w:uiPriority w:val="99"/>
    <w:unhideWhenUsed/>
    <w:qFormat/>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13"/>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13">
    <w:name w:val="כותרת טקסט תו1"/>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a3"/>
    <w:uiPriority w:val="11"/>
    <w:qFormat/>
    <w:rsid w:val="005C0F41"/>
    <w:pPr>
      <w:numPr>
        <w:ilvl w:val="1"/>
      </w:numPr>
      <w:bidi w:val="0"/>
      <w:spacing w:after="240"/>
    </w:pPr>
    <w:rPr>
      <w:caps/>
      <w:color w:val="404040" w:themeColor="text1" w:themeTint="BF"/>
      <w:spacing w:val="20"/>
      <w:sz w:val="28"/>
      <w:szCs w:val="28"/>
    </w:rPr>
  </w:style>
  <w:style w:type="character" w:customStyle="1" w:styleId="a3">
    <w:name w:val="כותרת משנה תו"/>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a4"/>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4">
    <w:name w:val="ציטוט תו"/>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a5"/>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5">
    <w:name w:val="ציטוט חזק תו"/>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a6"/>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a6">
    <w:name w:val="גוף טקסט תו"/>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2"/>
    <w:unhideWhenUsed/>
    <w:rsid w:val="00DB1D55"/>
    <w:pPr>
      <w:tabs>
        <w:tab w:val="left" w:pos="340"/>
      </w:tabs>
      <w:spacing w:line="360" w:lineRule="exact"/>
      <w:jc w:val="both"/>
    </w:pPr>
    <w:rPr>
      <w:rFonts w:ascii="Tahoma" w:hAnsi="Tahoma" w:cs="Tahoma"/>
      <w:sz w:val="22"/>
      <w:szCs w:val="22"/>
    </w:rPr>
  </w:style>
  <w:style w:type="character" w:customStyle="1" w:styleId="2">
    <w:name w:val="גוף טקסט 2 תו"/>
    <w:basedOn w:val="DefaultParagraphFont"/>
    <w:link w:val="BodyText2"/>
    <w:uiPriority w:val="99"/>
    <w:rsid w:val="00DB1D55"/>
    <w:rPr>
      <w:rFonts w:ascii="Tahoma" w:hAnsi="Tahoma" w:cs="Tahoma"/>
      <w:sz w:val="22"/>
      <w:szCs w:val="22"/>
    </w:rPr>
  </w:style>
  <w:style w:type="character" w:customStyle="1" w:styleId="14">
    <w:name w:val="כותרת 1 תו"/>
    <w:locked/>
    <w:rsid w:val="00F1368B"/>
    <w:rPr>
      <w:rFonts w:ascii="Cambria" w:hAnsi="Cambria" w:cs="Times New Roman"/>
      <w:b/>
      <w:bCs/>
      <w:kern w:val="32"/>
      <w:sz w:val="32"/>
      <w:szCs w:val="32"/>
    </w:rPr>
  </w:style>
  <w:style w:type="character" w:customStyle="1" w:styleId="20">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7">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8">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9">
    <w:name w:val="כותרת עליונה תו"/>
    <w:uiPriority w:val="99"/>
    <w:locked/>
    <w:rsid w:val="00F1368B"/>
    <w:rPr>
      <w:rFonts w:cs="David"/>
      <w:sz w:val="24"/>
      <w:szCs w:val="24"/>
      <w:lang w:bidi="he-IL"/>
    </w:rPr>
  </w:style>
  <w:style w:type="character" w:customStyle="1" w:styleId="a10">
    <w:name w:val="כותרת תחתונה תו"/>
    <w:locked/>
    <w:rsid w:val="00F1368B"/>
    <w:rPr>
      <w:rFonts w:cs="David"/>
      <w:sz w:val="24"/>
      <w:szCs w:val="24"/>
      <w:lang w:bidi="he-IL"/>
    </w:rPr>
  </w:style>
  <w:style w:type="character" w:customStyle="1" w:styleId="a11">
    <w:name w:val="טקסט הערת סיום תו"/>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a11"/>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32">
    <w:name w:val="גוף טקסט 3 תו"/>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32"/>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a12"/>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a12">
    <w:name w:val="טקסט רגיל תו"/>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1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1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5">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22">
    <w:name w:val="כניסה בגוף טקסט 2 תו"/>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22"/>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15">
    <w:name w:val="טקסט הערות שוליים תו"/>
    <w:rsid w:val="00F1368B"/>
    <w:rPr>
      <w:lang w:val="en-US" w:eastAsia="en-US"/>
    </w:rPr>
  </w:style>
  <w:style w:type="character" w:customStyle="1" w:styleId="a16">
    <w:name w:val="טקסט הערת שוליים תו"/>
    <w:aliases w:val="FT תו,FT Char Char תו,FT Char Char1 Char Char תו,Footnote Text Char Char תו,Footnote Text Char Char1 Char Char תו,Footnote Text Char1 Char Char תו,Footnote Text1 תו,f תו,fn תו,fn Char תו,fn Char Char תו,fn Char Char Char Char תו"/>
    <w:uiPriority w:val="99"/>
    <w:locked/>
    <w:rsid w:val="00F1368B"/>
    <w:rPr>
      <w:lang w:val="en-US" w:eastAsia="en-US"/>
    </w:rPr>
  </w:style>
  <w:style w:type="character" w:customStyle="1" w:styleId="33">
    <w:name w:val="כניסה בגוף טקסט 3 תו"/>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33"/>
    <w:semiHidden/>
    <w:rsid w:val="00F1368B"/>
    <w:pPr>
      <w:spacing w:line="240" w:lineRule="exact"/>
      <w:ind w:left="283"/>
    </w:pPr>
    <w:rPr>
      <w:rFonts w:ascii="Times New Roman" w:eastAsia="Times New Roman" w:hAnsi="Times New Roman" w:cs="David"/>
      <w:sz w:val="16"/>
      <w:szCs w:val="16"/>
    </w:rPr>
  </w:style>
  <w:style w:type="paragraph" w:customStyle="1" w:styleId="16">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a17">
    <w:name w:val="כניסה בגוף טקסט תו"/>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a17"/>
    <w:semiHidden/>
    <w:rsid w:val="00F1368B"/>
    <w:pPr>
      <w:spacing w:line="240" w:lineRule="exact"/>
      <w:ind w:left="283"/>
    </w:pPr>
    <w:rPr>
      <w:rFonts w:ascii="Times New Roman" w:eastAsia="Times New Roman" w:hAnsi="Times New Roman" w:cs="David"/>
      <w:sz w:val="24"/>
      <w:szCs w:val="24"/>
    </w:rPr>
  </w:style>
  <w:style w:type="paragraph" w:customStyle="1" w:styleId="310">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0">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3">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0">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1">
    <w:name w:val="כותרת 41 תו"/>
    <w:rsid w:val="00F1368B"/>
    <w:rPr>
      <w:rFonts w:cs="David"/>
      <w:b/>
      <w:bCs/>
      <w:sz w:val="22"/>
      <w:szCs w:val="26"/>
    </w:rPr>
  </w:style>
  <w:style w:type="character" w:customStyle="1" w:styleId="a18">
    <w:name w:val="מפת מסמך תו"/>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a18"/>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19">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20">
    <w:name w:val="נבנצאל תו"/>
    <w:uiPriority w:val="99"/>
    <w:locked/>
    <w:rsid w:val="00F1368B"/>
    <w:rPr>
      <w:rFonts w:ascii="Rockwell" w:eastAsia="Rockwell" w:hAnsi="Rockwell" w:cs="David"/>
      <w:sz w:val="22"/>
    </w:rPr>
  </w:style>
  <w:style w:type="paragraph" w:styleId="Date">
    <w:name w:val="Date"/>
    <w:basedOn w:val="Normal"/>
    <w:next w:val="Normal"/>
    <w:link w:val="17"/>
    <w:uiPriority w:val="99"/>
    <w:rsid w:val="00F1368B"/>
    <w:pPr>
      <w:spacing w:before="120" w:after="200" w:line="240" w:lineRule="auto"/>
    </w:pPr>
    <w:rPr>
      <w:rFonts w:ascii="Rockwell" w:eastAsia="Rockwell" w:hAnsi="Rockwell" w:cs="David"/>
      <w:sz w:val="22"/>
      <w:szCs w:val="22"/>
    </w:rPr>
  </w:style>
  <w:style w:type="character" w:customStyle="1" w:styleId="17">
    <w:name w:val="תאריך תו1"/>
    <w:basedOn w:val="DefaultParagraphFont"/>
    <w:link w:val="Date"/>
    <w:uiPriority w:val="99"/>
    <w:rsid w:val="00F1368B"/>
    <w:rPr>
      <w:rFonts w:ascii="Rockwell" w:eastAsia="Rockwell" w:hAnsi="Rockwell" w:cs="David"/>
      <w:sz w:val="22"/>
      <w:szCs w:val="22"/>
    </w:rPr>
  </w:style>
  <w:style w:type="character" w:customStyle="1" w:styleId="a21">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8">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hAnsi="Arial Bold" w:eastAsiaTheme="majorEastAsia" w:cs="Tahoma"/>
      <w:b/>
      <w:bCs/>
      <w:color w:val="00305F"/>
      <w:sz w:val="34"/>
      <w:szCs w:val="34"/>
    </w:rPr>
  </w:style>
  <w:style w:type="paragraph" w:customStyle="1" w:styleId="KOT2N">
    <w:name w:val="KOT2N"/>
    <w:basedOn w:val="KOT2"/>
    <w:qFormat/>
    <w:rsid w:val="008723A0"/>
    <w:pPr>
      <w:pageBreakBefore w:val="0"/>
      <w:spacing w:line="440" w:lineRule="exact"/>
      <w:ind w:right="0"/>
      <w:outlineLvl w:val="1"/>
    </w:pPr>
    <w:rPr>
      <w:b/>
      <w:bCs/>
      <w:color w:val="00305F"/>
      <w:sz w:val="34"/>
      <w:szCs w:val="34"/>
    </w:rPr>
  </w:style>
  <w:style w:type="paragraph" w:customStyle="1" w:styleId="KOT3N">
    <w:name w:val="KOT3N"/>
    <w:basedOn w:val="Normal"/>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Normal"/>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Normal"/>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Normal"/>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DefaultParagraphFont"/>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Normal"/>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Normal"/>
    <w:qFormat/>
    <w:rsid w:val="00AC58AC"/>
    <w:pPr>
      <w:tabs>
        <w:tab w:val="left" w:pos="424"/>
      </w:tabs>
      <w:spacing w:after="240" w:line="260" w:lineRule="exact"/>
      <w:jc w:val="both"/>
    </w:pPr>
    <w:rPr>
      <w:rFonts w:ascii="Tahoma" w:hAnsi="Tahoma" w:cs="Tahoma"/>
      <w:color w:val="0D0D0D" w:themeColor="text1" w:themeTint="F2"/>
      <w:sz w:val="16"/>
      <w:szCs w:val="16"/>
    </w:rPr>
  </w:style>
  <w:style w:type="paragraph" w:customStyle="1" w:styleId="7195">
    <w:name w:val="71ג בולד 9.5 בתוך שורה"/>
    <w:basedOn w:val="Normal"/>
    <w:link w:val="7195Char"/>
    <w:qFormat/>
    <w:rsid w:val="00770D17"/>
    <w:pPr>
      <w:spacing w:after="180" w:line="260" w:lineRule="exact"/>
      <w:ind w:left="397"/>
      <w:jc w:val="both"/>
      <w:outlineLvl w:val="3"/>
    </w:pPr>
    <w:rPr>
      <w:rFonts w:ascii="Tahoma" w:hAnsi="Tahoma" w:eastAsiaTheme="minorHAnsi" w:cs="Tahoma"/>
      <w:bCs/>
      <w:noProof/>
      <w:color w:val="0D0D0D" w:themeColor="text1" w:themeTint="F2"/>
      <w:sz w:val="18"/>
      <w:szCs w:val="19"/>
      <w:lang w:val="he-IL"/>
    </w:rPr>
  </w:style>
  <w:style w:type="character" w:customStyle="1" w:styleId="7195Char">
    <w:name w:val="71ג בולד 9.5 בתוך שורה Char"/>
    <w:basedOn w:val="DefaultParagraphFont"/>
    <w:link w:val="7195"/>
    <w:rsid w:val="00770D17"/>
    <w:rPr>
      <w:rFonts w:ascii="Tahoma" w:hAnsi="Tahoma" w:eastAsiaTheme="minorHAnsi" w:cs="Tahoma"/>
      <w:bCs/>
      <w:noProof/>
      <w:color w:val="0D0D0D" w:themeColor="text1" w:themeTint="F2"/>
      <w:sz w:val="18"/>
      <w:szCs w:val="19"/>
      <w:lang w:val="he-IL"/>
    </w:rPr>
  </w:style>
  <w:style w:type="table" w:customStyle="1" w:styleId="BlueTable">
    <w:name w:val="Blue Table"/>
    <w:basedOn w:val="GridTable4Accent1"/>
    <w:uiPriority w:val="99"/>
    <w:rsid w:val="00770D17"/>
    <w:pPr>
      <w:spacing w:before="120"/>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0F6FC6"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C7E2FA"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styleId="GridTable4Accent1">
    <w:name w:val="Grid Table 4 Accent 1"/>
    <w:basedOn w:val="TableNormal"/>
    <w:uiPriority w:val="49"/>
    <w:rsid w:val="00770D17"/>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customStyle="1" w:styleId="a22">
    <w:name w:val="הערות שוליים דוח קורונה"/>
    <w:basedOn w:val="FootnoteText"/>
    <w:qFormat/>
    <w:rsid w:val="00B70706"/>
    <w:pPr>
      <w:bidi w:val="0"/>
      <w:spacing w:after="120"/>
      <w:ind w:left="0" w:right="0" w:firstLine="0"/>
    </w:pPr>
  </w:style>
  <w:style w:type="paragraph" w:customStyle="1" w:styleId="719">
    <w:name w:val="71ג׳ טקסט רץ 9"/>
    <w:basedOn w:val="Normal"/>
    <w:link w:val="7190"/>
    <w:qFormat/>
    <w:rsid w:val="00BD3044"/>
    <w:pPr>
      <w:spacing w:after="180" w:line="260" w:lineRule="exact"/>
      <w:jc w:val="both"/>
    </w:pPr>
    <w:rPr>
      <w:rFonts w:ascii="Tahoma" w:hAnsi="Tahoma" w:eastAsiaTheme="minorHAnsi" w:cs="Tahoma"/>
      <w:color w:val="0D0D0D" w:themeColor="text1" w:themeTint="F2"/>
      <w:sz w:val="18"/>
      <w:szCs w:val="18"/>
    </w:rPr>
  </w:style>
  <w:style w:type="character" w:customStyle="1" w:styleId="7190">
    <w:name w:val="71ג׳ טקסט רץ 9 תו"/>
    <w:basedOn w:val="DefaultParagraphFont"/>
    <w:link w:val="719"/>
    <w:rsid w:val="00BD3044"/>
    <w:rPr>
      <w:rFonts w:ascii="Tahoma" w:hAnsi="Tahoma" w:eastAsiaTheme="minorHAnsi" w:cs="Tahoma"/>
      <w:color w:val="0D0D0D" w:themeColor="text1" w:themeTint="F2"/>
      <w:sz w:val="18"/>
      <w:szCs w:val="18"/>
    </w:rPr>
  </w:style>
  <w:style w:type="paragraph" w:customStyle="1" w:styleId="710">
    <w:name w:val="71ג הערות שוליים"/>
    <w:basedOn w:val="FootnoteText"/>
    <w:link w:val="71Char"/>
    <w:qFormat/>
    <w:rsid w:val="00493F55"/>
    <w:pPr>
      <w:keepLines w:val="0"/>
      <w:spacing w:after="60"/>
      <w:ind w:right="0"/>
    </w:pPr>
    <w:rPr>
      <w:rFonts w:eastAsiaTheme="minorHAnsi"/>
      <w:color w:val="0D0D0D" w:themeColor="text1" w:themeTint="F2"/>
    </w:rPr>
  </w:style>
  <w:style w:type="paragraph" w:customStyle="1" w:styleId="711">
    <w:name w:val="71ג מקרא+הערות לתרשים/לוח/תמונה"/>
    <w:basedOn w:val="710"/>
    <w:link w:val="71Char0"/>
    <w:qFormat/>
    <w:rsid w:val="00A52F64"/>
    <w:pPr>
      <w:spacing w:before="120" w:after="240" w:line="260" w:lineRule="exact"/>
    </w:pPr>
    <w:rPr>
      <w:sz w:val="16"/>
      <w:szCs w:val="16"/>
    </w:rPr>
  </w:style>
  <w:style w:type="character" w:customStyle="1" w:styleId="71Char">
    <w:name w:val="71ג הערות שוליים Char"/>
    <w:basedOn w:val="DefaultParagraphFont"/>
    <w:link w:val="710"/>
    <w:rsid w:val="00493F55"/>
    <w:rPr>
      <w:rFonts w:ascii="Tahoma" w:hAnsi="Tahoma" w:eastAsiaTheme="minorHAnsi" w:cs="Tahoma"/>
      <w:color w:val="0D0D0D" w:themeColor="text1" w:themeTint="F2"/>
      <w:sz w:val="14"/>
      <w:szCs w:val="14"/>
    </w:rPr>
  </w:style>
  <w:style w:type="character" w:customStyle="1" w:styleId="71Char0">
    <w:name w:val="71ג מקרא+הערות לתרשים/לוח/תמונה Char"/>
    <w:basedOn w:val="71Char"/>
    <w:link w:val="711"/>
    <w:rsid w:val="00A52F64"/>
    <w:rPr>
      <w:rFonts w:ascii="Tahoma" w:hAnsi="Tahoma" w:eastAsiaTheme="minorHAnsi" w:cs="Tahoma"/>
      <w:color w:val="0D0D0D" w:themeColor="text1" w:themeTint="F2"/>
      <w:sz w:val="16"/>
      <w:szCs w:val="16"/>
    </w:rPr>
  </w:style>
  <w:style w:type="paragraph" w:customStyle="1" w:styleId="712">
    <w:name w:val="71ג היפרלינק"/>
    <w:basedOn w:val="710"/>
    <w:link w:val="71Char1"/>
    <w:qFormat/>
    <w:rsid w:val="00A52F64"/>
    <w:pPr>
      <w:bidi w:val="0"/>
    </w:pPr>
    <w:rPr>
      <w:color w:val="0000FF"/>
      <w:u w:val="single"/>
    </w:rPr>
  </w:style>
  <w:style w:type="character" w:customStyle="1" w:styleId="71Char1">
    <w:name w:val="71ג היפרלינק Char"/>
    <w:basedOn w:val="71Char"/>
    <w:link w:val="712"/>
    <w:rsid w:val="00A52F64"/>
    <w:rPr>
      <w:rFonts w:ascii="Tahoma" w:hAnsi="Tahoma" w:eastAsiaTheme="minorHAnsi" w:cs="Tahoma"/>
      <w:color w:val="0000FF"/>
      <w:sz w:val="14"/>
      <w:szCs w:val="14"/>
      <w:u w:val="single"/>
    </w:rPr>
  </w:style>
  <w:style w:type="paragraph" w:customStyle="1" w:styleId="7120">
    <w:name w:val="71ג כותרת 2"/>
    <w:basedOn w:val="Normal"/>
    <w:link w:val="712Char"/>
    <w:qFormat/>
    <w:rsid w:val="001D65CE"/>
    <w:pPr>
      <w:keepNext/>
      <w:spacing w:before="360" w:after="240" w:line="440" w:lineRule="exact"/>
      <w:outlineLvl w:val="1"/>
    </w:pPr>
    <w:rPr>
      <w:rFonts w:ascii="Tahoma" w:hAnsi="Tahoma" w:eastAsiaTheme="minorHAnsi" w:cs="Tahoma"/>
      <w:b/>
      <w:bCs/>
      <w:color w:val="00305F"/>
      <w:sz w:val="40"/>
      <w:szCs w:val="34"/>
    </w:rPr>
  </w:style>
  <w:style w:type="character" w:customStyle="1" w:styleId="712Char">
    <w:name w:val="71ג כותרת 2 Char"/>
    <w:basedOn w:val="DefaultParagraphFont"/>
    <w:link w:val="7120"/>
    <w:rsid w:val="001D65CE"/>
    <w:rPr>
      <w:rFonts w:ascii="Tahoma" w:hAnsi="Tahoma" w:eastAsiaTheme="minorHAnsi" w:cs="Tahoma"/>
      <w:b/>
      <w:bCs/>
      <w:color w:val="00305F"/>
      <w:sz w:val="40"/>
      <w:szCs w:val="34"/>
    </w:rPr>
  </w:style>
  <w:style w:type="paragraph" w:customStyle="1" w:styleId="713">
    <w:name w:val="71ג מספור הערות שוליים"/>
    <w:basedOn w:val="710"/>
    <w:qFormat/>
    <w:rsid w:val="001E44CF"/>
  </w:style>
  <w:style w:type="paragraph" w:customStyle="1" w:styleId="7191">
    <w:name w:val="71ג טקסט רץ 9"/>
    <w:basedOn w:val="Normal"/>
    <w:link w:val="719Char"/>
    <w:qFormat/>
    <w:rsid w:val="0010564D"/>
    <w:pPr>
      <w:spacing w:after="180" w:line="260" w:lineRule="exact"/>
      <w:jc w:val="both"/>
      <w:outlineLvl w:val="3"/>
    </w:pPr>
    <w:rPr>
      <w:rFonts w:ascii="Tahoma" w:hAnsi="Tahoma" w:eastAsiaTheme="minorHAnsi" w:cs="Tahoma"/>
      <w:color w:val="0D0D0D" w:themeColor="text1" w:themeTint="F2"/>
      <w:sz w:val="18"/>
      <w:szCs w:val="18"/>
    </w:rPr>
  </w:style>
  <w:style w:type="character" w:customStyle="1" w:styleId="719Char">
    <w:name w:val="71ג טקסט רץ 9 Char"/>
    <w:basedOn w:val="DefaultParagraphFont"/>
    <w:link w:val="7191"/>
    <w:rsid w:val="0010564D"/>
    <w:rPr>
      <w:rFonts w:ascii="Tahoma" w:hAnsi="Tahoma" w:eastAsiaTheme="minorHAnsi" w:cs="Tahoma"/>
      <w:color w:val="0D0D0D" w:themeColor="text1" w:themeTint="F2"/>
      <w:sz w:val="18"/>
      <w:szCs w:val="18"/>
    </w:rPr>
  </w:style>
  <w:style w:type="paragraph" w:customStyle="1" w:styleId="71612">
    <w:name w:val="71ג כותרת 6_12"/>
    <w:basedOn w:val="Normal"/>
    <w:link w:val="716120"/>
    <w:qFormat/>
    <w:rsid w:val="0010564D"/>
    <w:pPr>
      <w:spacing w:before="240" w:after="180" w:line="240" w:lineRule="atLeast"/>
    </w:pPr>
    <w:rPr>
      <w:rFonts w:ascii="Tahoma" w:hAnsi="Tahoma" w:eastAsiaTheme="minorHAnsi" w:cs="Tahoma"/>
      <w:color w:val="00305F"/>
      <w:sz w:val="24"/>
      <w:szCs w:val="24"/>
    </w:rPr>
  </w:style>
  <w:style w:type="character" w:customStyle="1" w:styleId="716120">
    <w:name w:val="71ג כותרת 6_12 תו"/>
    <w:basedOn w:val="DefaultParagraphFont"/>
    <w:link w:val="71612"/>
    <w:rsid w:val="0010564D"/>
    <w:rPr>
      <w:rFonts w:ascii="Tahoma" w:hAnsi="Tahoma" w:eastAsiaTheme="minorHAnsi" w:cs="Tahoma"/>
      <w:color w:val="00305F"/>
      <w:sz w:val="24"/>
      <w:szCs w:val="24"/>
    </w:rPr>
  </w:style>
  <w:style w:type="paragraph" w:customStyle="1" w:styleId="714">
    <w:name w:val="71ג מספור בתוך קוביה"/>
    <w:basedOn w:val="ListParagraph"/>
    <w:qFormat/>
    <w:rsid w:val="00463924"/>
    <w:pPr>
      <w:numPr>
        <w:numId w:val="6"/>
      </w:numPr>
      <w:pBdr>
        <w:top w:val="single" w:sz="18" w:space="4" w:color="EDF1FA"/>
        <w:left w:val="single" w:sz="18" w:space="11" w:color="EDF1FA"/>
        <w:bottom w:val="single" w:sz="18" w:space="6" w:color="EDF1FA"/>
        <w:right w:val="single" w:sz="18" w:space="11" w:color="EDF1FA"/>
      </w:pBdr>
      <w:shd w:val="solid" w:color="EDF1FA" w:fill="CEEAF5"/>
      <w:autoSpaceDE/>
      <w:autoSpaceDN/>
      <w:adjustRightInd/>
      <w:spacing w:after="180" w:line="260" w:lineRule="exact"/>
      <w:ind w:left="397" w:right="227" w:hanging="397"/>
    </w:pPr>
    <w:rPr>
      <w:rFonts w:eastAsiaTheme="minorHAnsi"/>
      <w:color w:val="0D0D0D" w:themeColor="text1" w:themeTint="F2"/>
      <w:sz w:val="18"/>
      <w:szCs w:val="18"/>
    </w:rPr>
  </w:style>
  <w:style w:type="paragraph" w:customStyle="1" w:styleId="2021">
    <w:name w:val="כיתוב בתוך טבלת תקציר 2021"/>
    <w:basedOn w:val="Normal"/>
    <w:link w:val="2021Char"/>
    <w:qFormat/>
    <w:rsid w:val="00041AEB"/>
    <w:pPr>
      <w:spacing w:after="180" w:line="240" w:lineRule="auto"/>
      <w:outlineLvl w:val="0"/>
    </w:pPr>
    <w:rPr>
      <w:rFonts w:ascii="Tahoma" w:hAnsi="Tahoma" w:cs="Tahoma"/>
      <w:color w:val="0D0D0D" w:themeColor="text1" w:themeTint="F2"/>
      <w:w w:val="90"/>
      <w:sz w:val="18"/>
      <w:szCs w:val="18"/>
    </w:rPr>
  </w:style>
  <w:style w:type="character" w:customStyle="1" w:styleId="2021Char">
    <w:name w:val="כיתוב בתוך טבלת תקציר 2021 Char"/>
    <w:basedOn w:val="DefaultParagraphFont"/>
    <w:link w:val="2021"/>
    <w:rsid w:val="00041AEB"/>
    <w:rPr>
      <w:rFonts w:ascii="Tahoma" w:hAnsi="Tahoma" w:cs="Tahoma"/>
      <w:color w:val="0D0D0D" w:themeColor="text1" w:themeTint="F2"/>
      <w:w w:val="90"/>
      <w:sz w:val="18"/>
      <w:szCs w:val="18"/>
    </w:rPr>
  </w:style>
  <w:style w:type="character" w:customStyle="1" w:styleId="24">
    <w:name w:val="כותרת תחתונה תו2"/>
    <w:basedOn w:val="DefaultParagraphFont"/>
    <w:uiPriority w:val="99"/>
    <w:rsid w:val="00B56681"/>
  </w:style>
  <w:style w:type="paragraph" w:customStyle="1" w:styleId="715">
    <w:name w:val="71ג הזחה אותיות"/>
    <w:basedOn w:val="ListParagraph"/>
    <w:qFormat/>
    <w:rsid w:val="007E0204"/>
    <w:pPr>
      <w:numPr>
        <w:numId w:val="8"/>
      </w:numPr>
      <w:autoSpaceDE/>
      <w:autoSpaceDN/>
      <w:adjustRightInd/>
      <w:spacing w:after="180" w:line="260" w:lineRule="exact"/>
      <w:ind w:left="794" w:hanging="397"/>
      <w:contextualSpacing/>
    </w:pPr>
    <w:rPr>
      <w:rFonts w:eastAsiaTheme="minorHAnsi"/>
      <w:color w:val="0D0D0D" w:themeColor="text1" w:themeTint="F2"/>
      <w:sz w:val="18"/>
      <w:szCs w:val="18"/>
    </w:rPr>
  </w:style>
  <w:style w:type="paragraph" w:customStyle="1" w:styleId="font2">
    <w:name w:val="font_2"/>
    <w:basedOn w:val="Normal"/>
    <w:rsid w:val="007E020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17Char">
    <w:name w:val="71 ג כותרת 7 הדגשת קטע בטקסט רץ Char"/>
    <w:basedOn w:val="7190"/>
    <w:link w:val="717"/>
    <w:rsid w:val="00A8593C"/>
    <w:rPr>
      <w:rFonts w:ascii="Tahoma" w:hAnsi="Tahoma" w:eastAsiaTheme="minorHAnsi" w:cs="Tahoma"/>
      <w:bCs/>
      <w:color w:val="0D0D0D" w:themeColor="text1" w:themeTint="F2"/>
      <w:sz w:val="18"/>
      <w:szCs w:val="18"/>
    </w:rPr>
  </w:style>
  <w:style w:type="paragraph" w:customStyle="1" w:styleId="717">
    <w:name w:val="71 ג כותרת 7 הדגשת קטע בטקסט רץ"/>
    <w:basedOn w:val="719"/>
    <w:link w:val="717Char"/>
    <w:qFormat/>
    <w:rsid w:val="00A8593C"/>
    <w:rPr>
      <w:rFonts w:eastAsiaTheme="minorEastAsia"/>
      <w:bCs/>
    </w:rPr>
  </w:style>
  <w:style w:type="paragraph" w:customStyle="1" w:styleId="716">
    <w:name w:val="71ג הזחה ראשונה ללא מספר"/>
    <w:basedOn w:val="Normal"/>
    <w:qFormat/>
    <w:rsid w:val="008874F2"/>
    <w:pPr>
      <w:spacing w:after="180" w:line="260" w:lineRule="exact"/>
      <w:ind w:left="397"/>
      <w:jc w:val="both"/>
    </w:pPr>
    <w:rPr>
      <w:rFonts w:ascii="Tahoma" w:hAnsi="Tahoma" w:eastAsiaTheme="minorHAnsi" w:cs="Tahoma"/>
      <w:color w:val="0D0D0D" w:themeColor="text1" w:themeTint="F2"/>
      <w:sz w:val="18"/>
      <w:szCs w:val="18"/>
    </w:rPr>
  </w:style>
  <w:style w:type="paragraph" w:styleId="ListBullet">
    <w:name w:val="List Bullet"/>
    <w:basedOn w:val="Normal"/>
    <w:uiPriority w:val="99"/>
    <w:unhideWhenUsed/>
    <w:rsid w:val="00424CEB"/>
    <w:pPr>
      <w:numPr>
        <w:numId w:val="25"/>
      </w:numPr>
      <w:bidi w:val="0"/>
      <w:spacing w:after="0" w:line="259" w:lineRule="auto"/>
      <w:contextualSpacing/>
      <w:jc w:val="both"/>
    </w:pPr>
    <w:rPr>
      <w:rFonts w:ascii="Times New Roman" w:hAnsi="Times New Roman" w:eastAsiaTheme="minorHAnsi" w:cs="David"/>
      <w:sz w:val="24"/>
      <w:szCs w:val="28"/>
    </w:rPr>
  </w:style>
  <w:style w:type="paragraph" w:customStyle="1" w:styleId="73R">
    <w:name w:val="73א טבלה טקסט R"/>
    <w:basedOn w:val="Normal"/>
    <w:qFormat/>
    <w:rsid w:val="00493F55"/>
    <w:pPr>
      <w:keepLines/>
      <w:spacing w:before="120" w:line="200" w:lineRule="exact"/>
    </w:pPr>
    <w:rPr>
      <w:rFonts w:ascii="Tahoma" w:hAnsi="Tahoma" w:cs="Tahoma"/>
      <w:sz w:val="16"/>
      <w:szCs w:val="16"/>
    </w:rPr>
  </w:style>
  <w:style w:type="paragraph" w:customStyle="1" w:styleId="a23">
    <w:name w:val="טקסט טבלה"/>
    <w:basedOn w:val="Normal"/>
    <w:qFormat/>
    <w:rsid w:val="00921FB5"/>
    <w:pPr>
      <w:keepLines/>
      <w:bidi w:val="0"/>
      <w:spacing w:before="120" w:line="240" w:lineRule="auto"/>
    </w:pPr>
    <w:rPr>
      <w:rFonts w:ascii="Tahoma" w:hAnsi="Tahoma" w:cs="Tahoma"/>
      <w:sz w:val="16"/>
      <w:szCs w:val="16"/>
    </w:rPr>
  </w:style>
  <w:style w:type="paragraph" w:customStyle="1" w:styleId="730">
    <w:name w:val="73א הערות שוליים"/>
    <w:basedOn w:val="FootnoteText"/>
    <w:link w:val="731"/>
    <w:qFormat/>
    <w:rsid w:val="00434B71"/>
    <w:pPr>
      <w:keepLines w:val="0"/>
      <w:spacing w:after="60" w:line="220" w:lineRule="exact"/>
      <w:ind w:right="0"/>
    </w:pPr>
    <w:rPr>
      <w:rFonts w:eastAsiaTheme="minorHAnsi"/>
      <w:color w:val="0D0D0D" w:themeColor="text1" w:themeTint="F2"/>
    </w:rPr>
  </w:style>
  <w:style w:type="character" w:customStyle="1" w:styleId="731">
    <w:name w:val="73א הערות שוליים תו"/>
    <w:basedOn w:val="DefaultParagraphFont"/>
    <w:link w:val="730"/>
    <w:rsid w:val="00434B71"/>
    <w:rPr>
      <w:rFonts w:ascii="Tahoma" w:hAnsi="Tahoma" w:eastAsiaTheme="minorHAnsi" w:cs="Tahoma"/>
      <w:color w:val="0D0D0D" w:themeColor="text1" w:themeTint="F2"/>
      <w:sz w:val="14"/>
      <w:szCs w:val="14"/>
    </w:rPr>
  </w:style>
  <w:style w:type="character" w:customStyle="1" w:styleId="34">
    <w:name w:val="טקסט הערת שוליים תו3"/>
    <w:aliases w:val=" Char תו1,F תו,FOOTNOTES תו1,Footnote Text - Sharp תו1,Footnote Text - Sharp Char תו1,Footnote Text - Sharp Char Char תו1,Footnote Text Char Char Char Char Char תו1,Footnote reference תו1,Sharp - Footnote Text תו1,fn תו1"/>
    <w:basedOn w:val="DefaultParagraphFont"/>
    <w:uiPriority w:val="99"/>
    <w:rsid w:val="002A18A0"/>
    <w:rPr>
      <w:szCs w:val="20"/>
    </w:rPr>
  </w:style>
  <w:style w:type="table" w:customStyle="1" w:styleId="4-11">
    <w:name w:val="טבלת רשת 4 - הדגשה 11"/>
    <w:basedOn w:val="TableNormal"/>
    <w:uiPriority w:val="49"/>
    <w:rsid w:val="006E013E"/>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311">
    <w:name w:val="טבלת רשת 31"/>
    <w:basedOn w:val="TableNormal"/>
    <w:uiPriority w:val="48"/>
    <w:rsid w:val="00996051"/>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732">
    <w:name w:val="73א מקרא+הערות לתרשים/לוח/תמונה"/>
    <w:basedOn w:val="730"/>
    <w:link w:val="733"/>
    <w:qFormat/>
    <w:rsid w:val="002E2220"/>
    <w:pPr>
      <w:spacing w:before="120" w:after="240" w:line="260" w:lineRule="exact"/>
      <w:ind w:left="0" w:firstLine="0"/>
    </w:pPr>
    <w:rPr>
      <w:sz w:val="16"/>
      <w:szCs w:val="16"/>
    </w:rPr>
  </w:style>
  <w:style w:type="table" w:customStyle="1" w:styleId="6-31">
    <w:name w:val="טבלת רשת 6 צבעונית - הדגשה 31"/>
    <w:basedOn w:val="TableNormal"/>
    <w:uiPriority w:val="51"/>
    <w:rsid w:val="002E2220"/>
    <w:pPr>
      <w:spacing w:after="0" w:line="240" w:lineRule="auto"/>
      <w:jc w:val="both"/>
    </w:pPr>
    <w:rPr>
      <w:rFonts w:ascii="Times New Roman" w:hAnsi="Times New Roman" w:eastAsiaTheme="minorHAnsi" w:cs="David"/>
      <w:color w:val="089BA2" w:themeColor="accent3" w:themeShade="BF"/>
      <w:sz w:val="20"/>
      <w:szCs w:val="24"/>
    </w:r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rPr>
      <w:tblPr/>
      <w:tcPr>
        <w:tcBorders>
          <w:bottom w:val="single" w:sz="12" w:space="0" w:color="5DEFF6" w:themeColor="accent3" w:themeTint="99"/>
        </w:tcBorders>
      </w:tcPr>
    </w:tblStylePr>
    <w:tblStylePr w:type="lastRow">
      <w:rPr>
        <w:b/>
        <w:bCs/>
      </w:rPr>
      <w:tblPr/>
      <w:tcPr>
        <w:tcBorders>
          <w:top w:val="doub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character" w:customStyle="1" w:styleId="733">
    <w:name w:val="73א מקרא+הערות לתרשים/לוח/תמונה תו"/>
    <w:basedOn w:val="731"/>
    <w:link w:val="732"/>
    <w:rsid w:val="002E2220"/>
    <w:rPr>
      <w:rFonts w:ascii="Tahoma" w:hAnsi="Tahoma" w:eastAsiaTheme="minorHAnsi" w:cs="Tahoma"/>
      <w:color w:val="0D0D0D" w:themeColor="text1" w:themeTint="F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image" Target="media/image12.jpeg"/><Relationship Id="rId21" Type="http://schemas.openxmlformats.org/officeDocument/2006/relationships/image" Target="media/image7.jpeg"/><Relationship Id="rId34"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numbering" Target="numbering.xml"/><Relationship Id="rId7" Type="http://schemas.openxmlformats.org/officeDocument/2006/relationships/header" Target="header1.xml"/><Relationship Id="rId16" Type="http://schemas.openxmlformats.org/officeDocument/2006/relationships/header" Target="header6.xml"/><Relationship Id="rId2" Type="http://schemas.openxmlformats.org/officeDocument/2006/relationships/endnotes" Target="endnotes.xml"/><Relationship Id="rId20" Type="http://schemas.openxmlformats.org/officeDocument/2006/relationships/image" Target="media/image6.jpeg"/><Relationship Id="rId29" Type="http://schemas.openxmlformats.org/officeDocument/2006/relationships/header" Target="header7.xml"/><Relationship Id="rId1"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0.jpeg"/><Relationship Id="rId32" Type="http://schemas.openxmlformats.org/officeDocument/2006/relationships/theme" Target="theme/theme1.xml"/><Relationship Id="rId6" Type="http://schemas.openxmlformats.org/officeDocument/2006/relationships/customXml" Target="../customXml/item1.xml"/><Relationship Id="rId37" Type="http://schemas.openxmlformats.org/officeDocument/2006/relationships/customXml" Target="../customXml/item4.xml"/><Relationship Id="rId15" Type="http://schemas.openxmlformats.org/officeDocument/2006/relationships/header" Target="header5.xml"/><Relationship Id="rId23" Type="http://schemas.openxmlformats.org/officeDocument/2006/relationships/image" Target="media/image9.jpeg"/><Relationship Id="rId28" Type="http://schemas.openxmlformats.org/officeDocument/2006/relationships/image" Target="media/image14.jpeg"/><Relationship Id="rId5" Type="http://schemas.openxmlformats.org/officeDocument/2006/relationships/fontTable" Target="fontTable.xml"/><Relationship Id="rId36" Type="http://schemas.openxmlformats.org/officeDocument/2006/relationships/customXml" Target="../customXml/item3.xml"/><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header" Target="header9.xml"/><Relationship Id="rId14" Type="http://schemas.openxmlformats.org/officeDocument/2006/relationships/header" Target="header4.xml"/><Relationship Id="rId22" Type="http://schemas.openxmlformats.org/officeDocument/2006/relationships/image" Target="media/image8.jpeg"/><Relationship Id="rId27" Type="http://schemas.openxmlformats.org/officeDocument/2006/relationships/image" Target="media/image13.emf"/><Relationship Id="rId30"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footer" Target="footer1.xml"/><Relationship Id="rId35" Type="http://schemas.openxmlformats.org/officeDocument/2006/relationships/customXml" Target="../customXml/item2.xml"/><Relationship Id="rId8" Type="http://schemas.openxmlformats.org/officeDocument/2006/relationships/header" Target="header2.xml"/><Relationship Id="rId3" Type="http://schemas.openxmlformats.org/officeDocument/2006/relationships/settings" Target="settings.xml"/></Relationships>
</file>

<file path=word/_rels/header3.xml.rels><?xml version="1.0" encoding="utf-8" standalone="yes"?><Relationships xmlns="http://schemas.openxmlformats.org/package/2006/relationships"><Relationship Id="rId1" Type="http://schemas.openxmlformats.org/officeDocument/2006/relationships/image" Target="media/image1.jpeg" /></Relationships>
</file>

<file path=word/_rels/header7.xml.rels><?xml version="1.0" encoding="utf-8" standalone="yes"?><Relationships xmlns="http://schemas.openxmlformats.org/package/2006/relationships"><Relationship Id="rId1" Type="http://schemas.openxmlformats.org/officeDocument/2006/relationships/image" Target="media/image15.jpeg" /></Relationships>
</file>

<file path=word/_rels/header8.xml.rels><?xml version="1.0" encoding="utf-8" standalone="yes"?><Relationships xmlns="http://schemas.openxmlformats.org/package/2006/relationships"><Relationship Id="rId1" Type="http://schemas.openxmlformats.org/officeDocument/2006/relationships/image" Target="media/image16.jpeg" /></Relationships>
</file>

<file path=word/_rels/numbering.xml.rels><?xml version="1.0" encoding="utf-8" standalone="yes"?><Relationships xmlns="http://schemas.openxmlformats.org/package/2006/relationships"><Relationship Id="rId1" Type="http://schemas.openxmlformats.org/officeDocument/2006/relationships/image" Target="media/image17.png" /></Relationships>
</file>

<file path=word/theme/_rels/theme1.xml.rels><?xml version="1.0" encoding="utf-8" standalone="yes"?><Relationships xmlns="http://schemas.openxmlformats.org/package/2006/relationships"><Relationship Id="rId1" Type="http://schemas.openxmlformats.org/officeDocument/2006/relationships/image" Target="../media/image19.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A1DF395-4A6D-4BC0-978A-D3BFA99824FB}">
  <ds:schemaRefs>
    <ds:schemaRef ds:uri="http://schemas.openxmlformats.org/officeDocument/2006/bibliography"/>
  </ds:schemaRefs>
</ds:datastoreItem>
</file>

<file path=customXml/itemProps2.xml><?xml version="1.0" encoding="utf-8"?>
<ds:datastoreItem xmlns:ds="http://schemas.openxmlformats.org/officeDocument/2006/customXml" ds:itemID="{FC7E054D-2388-4049-8C83-4B44AF73C5E6}"/>
</file>

<file path=customXml/itemProps3.xml><?xml version="1.0" encoding="utf-8"?>
<ds:datastoreItem xmlns:ds="http://schemas.openxmlformats.org/officeDocument/2006/customXml" ds:itemID="{5C29E92C-11FE-49A8-AA8B-DB1EB95CB026}"/>
</file>

<file path=customXml/itemProps4.xml><?xml version="1.0" encoding="utf-8"?>
<ds:datastoreItem xmlns:ds="http://schemas.openxmlformats.org/officeDocument/2006/customXml" ds:itemID="{73B2FA3C-B676-4826-AB8C-09585E36EAC3}"/>
</file>

<file path=docProps/app.xml><?xml version="1.0" encoding="utf-8"?>
<Properties xmlns="http://schemas.openxmlformats.org/officeDocument/2006/extended-properties" xmlns:vt="http://schemas.openxmlformats.org/officeDocument/2006/docPropsVTypes">
  <Template>Normal.dotm</Template>
  <TotalTime>4</TotalTime>
  <Pages>12</Pages>
  <Words>2949</Words>
  <Characters>14746</Characters>
  <Application>Microsoft Office Word</Application>
  <DocSecurity>0</DocSecurity>
  <Lines>122</Lines>
  <Paragraphs>35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17660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of the Ministry for Regional Cooperation</dc:title>
  <cp:lastModifiedBy>studio er</cp:lastModifiedBy>
  <cp:revision>8</cp:revision>
  <cp:lastPrinted>2022-08-30T09:23:00Z</cp:lastPrinted>
  <dcterms:created xsi:type="dcterms:W3CDTF">2025-04-06T13:16:00Z</dcterms:created>
  <dcterms:modified xsi:type="dcterms:W3CDTF">2025-04-22T10:58:00Z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