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3.0 -->
  <w:body>
    <w:bookmarkStart w:id="0" w:name="_Toc349122061"/>
    <w:bookmarkStart w:id="1" w:name="_Toc349136480"/>
    <w:bookmarkStart w:id="2" w:name="_Toc352831083"/>
    <w:bookmarkStart w:id="3" w:name="_Toc354324568"/>
    <w:bookmarkStart w:id="4" w:name="_Toc354661923"/>
    <w:p w:rsidR="00E077B7" w:rsidRPr="00590929" w:rsidP="003323CD" w14:paraId="44EF2C79" w14:textId="4D2D2D5B">
      <w:pPr>
        <w:spacing w:line="240" w:lineRule="exact"/>
        <w:jc w:val="both"/>
        <w:rPr>
          <w:rFonts w:ascii="Tahoma" w:hAnsi="Tahoma" w:cs="Tahoma"/>
          <w:sz w:val="17"/>
          <w:szCs w:val="18"/>
          <w:rtl/>
        </w:rPr>
      </w:pPr>
      <w:r>
        <w:rPr>
          <w:noProof/>
          <w:szCs w:val="18"/>
        </w:rPr>
        <mc:AlternateContent>
          <mc:Choice Requires="wps">
            <w:drawing>
              <wp:anchor distT="0" distB="0" distL="114300" distR="114300" simplePos="0" relativeHeight="251660288" behindDoc="0" locked="0" layoutInCell="1" allowOverlap="1">
                <wp:simplePos x="0" y="0"/>
                <wp:positionH relativeFrom="column">
                  <wp:posOffset>-314079</wp:posOffset>
                </wp:positionH>
                <wp:positionV relativeFrom="paragraph">
                  <wp:posOffset>-2140585</wp:posOffset>
                </wp:positionV>
                <wp:extent cx="6436840" cy="10836533"/>
                <wp:effectExtent l="12700" t="12700" r="15240" b="952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6436840" cy="10836533"/>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6" style="width:506.85pt;height:853.25pt;margin-top:-168.55pt;margin-left:-24.75pt;mso-height-percent:0;mso-height-relative:margin;mso-width-percent:0;mso-width-relative:margin;mso-wrap-distance-bottom:0;mso-wrap-distance-left:9pt;mso-wrap-distance-right:9pt;mso-wrap-distance-top:0;mso-wrap-style:square;position:absolute;visibility:visible;v-text-anchor:middle;z-index:251661312" fillcolor="#00305f" strokecolor="#073662" strokeweight="1.5pt">
                <v:stroke endcap="round"/>
              </v:rect>
            </w:pict>
          </mc:Fallback>
        </mc:AlternateContent>
      </w:r>
      <w:r w:rsidR="00316D38">
        <w:rPr>
          <w:rFonts w:ascii="Tahoma" w:hAnsi="Tahoma" w:cs="Tahoma"/>
          <w:noProof/>
          <w:sz w:val="17"/>
          <w:szCs w:val="18"/>
        </w:rPr>
        <mc:AlternateContent>
          <mc:Choice Requires="wps">
            <w:drawing>
              <wp:anchor distT="0" distB="0" distL="114300" distR="114300" simplePos="0" relativeHeight="251658240" behindDoc="0" locked="0" layoutInCell="1" allowOverlap="1">
                <wp:simplePos x="0" y="0"/>
                <wp:positionH relativeFrom="column">
                  <wp:posOffset>1550035</wp:posOffset>
                </wp:positionH>
                <wp:positionV relativeFrom="paragraph">
                  <wp:posOffset>1248410</wp:posOffset>
                </wp:positionV>
                <wp:extent cx="53975" cy="2734945"/>
                <wp:effectExtent l="0" t="0" r="0" b="0"/>
                <wp:wrapNone/>
                <wp:docPr id="1" name="Rectangle 1"/>
                <wp:cNvGraphicFramePr/>
                <a:graphic xmlns:a="http://schemas.openxmlformats.org/drawingml/2006/main">
                  <a:graphicData uri="http://schemas.microsoft.com/office/word/2010/wordprocessingShape">
                    <wps:wsp xmlns:wps="http://schemas.microsoft.com/office/word/2010/wordprocessingShape">
                      <wps:cNvSpPr/>
                      <wps:spPr>
                        <a:xfrm>
                          <a:off x="0" y="0"/>
                          <a:ext cx="53975" cy="27349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 o:spid="_x0000_s1027" style="width:4.25pt;height:215.35pt;margin-top:98.3pt;margin-left:122.05pt;mso-height-percent:0;mso-height-relative:margin;mso-width-percent:0;mso-width-relative:margin;mso-wrap-distance-bottom:0;mso-wrap-distance-left:9pt;mso-wrap-distance-right:9pt;mso-wrap-distance-top:0;mso-wrap-style:square;position:absolute;visibility:visible;v-text-anchor:middle;z-index:251659264" fillcolor="white" stroked="f" strokeweight="1.5pt">
                <v:stroke endcap="round"/>
              </v:rect>
            </w:pict>
          </mc:Fallback>
        </mc:AlternateContent>
      </w:r>
      <w:r w:rsidR="00316D38">
        <w:rPr>
          <w:rFonts w:ascii="Tahoma" w:hAnsi="Tahoma" w:cs="Tahoma"/>
          <w:sz w:val="17"/>
          <w:szCs w:val="18"/>
          <w:rtl/>
        </w:rPr>
        <w:softHyphen/>
      </w:r>
      <w:r w:rsidR="00316D38">
        <w:rPr>
          <w:rFonts w:ascii="Tahoma" w:hAnsi="Tahoma" w:cs="Tahoma"/>
          <w:sz w:val="17"/>
          <w:szCs w:val="18"/>
          <w:rtl/>
        </w:rPr>
        <w:softHyphen/>
      </w:r>
    </w:p>
    <w:p w:rsidR="006C5F46" w:rsidRPr="00E077B7" w:rsidP="00E077B7" w14:paraId="268A03C9" w14:textId="53A025F4">
      <w:pPr>
        <w:pStyle w:val="NAME"/>
        <w:rPr>
          <w:rtl/>
        </w:rPr>
        <w:sectPr w:rsidSect="00D05191">
          <w:headerReference w:type="even" r:id="rId7"/>
          <w:headerReference w:type="default" r:id="rId8"/>
          <w:footerReference w:type="even" r:id="rId9"/>
          <w:footerReference w:type="default" r:id="rId10"/>
          <w:headerReference w:type="first" r:id="rId11"/>
          <w:footerReference w:type="first" r:id="rId12"/>
          <w:pgSz w:w="11906" w:h="16838" w:code="9"/>
          <w:pgMar w:top="3119" w:right="2268" w:bottom="2268" w:left="2268" w:header="1985" w:footer="709" w:gutter="0"/>
          <w:pgNumType w:start="1"/>
          <w:cols w:space="708"/>
          <w:titlePg/>
          <w:bidi/>
          <w:rtlGutter/>
          <w:docGrid w:linePitch="360"/>
        </w:sectPr>
      </w:pPr>
      <w:r w:rsidRPr="00E539EA">
        <w:rPr>
          <w:noProof/>
          <w:sz w:val="17"/>
          <w:szCs w:val="18"/>
        </w:rPr>
        <mc:AlternateContent>
          <mc:Choice Requires="wps">
            <w:drawing>
              <wp:anchor distT="0" distB="0" distL="114300" distR="114300" simplePos="0" relativeHeight="251669504" behindDoc="0" locked="0" layoutInCell="1" allowOverlap="1">
                <wp:simplePos x="0" y="0"/>
                <wp:positionH relativeFrom="column">
                  <wp:posOffset>1767205</wp:posOffset>
                </wp:positionH>
                <wp:positionV relativeFrom="paragraph">
                  <wp:posOffset>2788376</wp:posOffset>
                </wp:positionV>
                <wp:extent cx="3153410" cy="2560320"/>
                <wp:effectExtent l="0" t="0" r="0" b="0"/>
                <wp:wrapNone/>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153410" cy="2560320"/>
                        </a:xfrm>
                        <a:prstGeom prst="rect">
                          <a:avLst/>
                        </a:prstGeom>
                        <a:noFill/>
                        <a:ln w="9525">
                          <a:noFill/>
                          <a:miter lim="800000"/>
                          <a:headEnd/>
                          <a:tailEnd/>
                        </a:ln>
                      </wps:spPr>
                      <wps:txbx>
                        <w:txbxContent>
                          <w:p w:rsidR="00E16003" w:rsidRPr="00950E0A" w:rsidP="00E16003" w14:textId="388BC46E">
                            <w:pPr>
                              <w:bidi w:val="0"/>
                              <w:spacing w:after="0" w:line="600" w:lineRule="exact"/>
                              <w:rPr>
                                <w:rFonts w:asciiTheme="majorBidi" w:hAnsiTheme="majorBidi" w:cstheme="majorBidi"/>
                                <w:b/>
                                <w:bCs/>
                                <w:sz w:val="28"/>
                                <w:szCs w:val="28"/>
                                <w:rtl/>
                              </w:rPr>
                            </w:pPr>
                            <w:r w:rsidRPr="00D3096D">
                              <w:rPr>
                                <w:rFonts w:ascii="Tahoma" w:hAnsi="Tahoma" w:cs="Tahoma"/>
                                <w:b/>
                                <w:bCs/>
                                <w:color w:val="FFFFFF" w:themeColor="background1"/>
                                <w:spacing w:val="6"/>
                                <w:sz w:val="40"/>
                                <w:szCs w:val="40"/>
                              </w:rPr>
                              <w:t>Operation of Toll Roads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width:248.3pt;height:201.6pt;margin-top:219.55pt;margin-left:139.15pt;mso-height-percent:0;mso-height-relative:margin;mso-width-percent:0;mso-width-relative:margin;mso-wrap-distance-bottom:0;mso-wrap-distance-left:9pt;mso-wrap-distance-right:9pt;mso-wrap-distance-top:0;mso-wrap-style:square;position:absolute;visibility:visible;v-text-anchor:top;z-index:251670528" filled="f" stroked="f">
                <v:textbox>
                  <w:txbxContent>
                    <w:p w:rsidR="00E16003" w:rsidRPr="00950E0A" w:rsidP="00E16003" w14:paraId="28E63122" w14:textId="388BC46E">
                      <w:pPr>
                        <w:bidi w:val="0"/>
                        <w:spacing w:after="0" w:line="600" w:lineRule="exact"/>
                        <w:rPr>
                          <w:rFonts w:asciiTheme="majorBidi" w:hAnsiTheme="majorBidi" w:cstheme="majorBidi"/>
                          <w:b/>
                          <w:bCs/>
                          <w:sz w:val="28"/>
                          <w:szCs w:val="28"/>
                          <w:rtl/>
                        </w:rPr>
                      </w:pPr>
                      <w:r w:rsidRPr="00D3096D">
                        <w:rPr>
                          <w:rFonts w:ascii="Tahoma" w:hAnsi="Tahoma" w:cs="Tahoma"/>
                          <w:b/>
                          <w:bCs/>
                          <w:color w:val="FFFFFF" w:themeColor="background1"/>
                          <w:spacing w:val="6"/>
                          <w:sz w:val="40"/>
                          <w:szCs w:val="40"/>
                        </w:rPr>
                        <w:t>Operation of Toll Roads</w:t>
                      </w:r>
                    </w:p>
                  </w:txbxContent>
                </v:textbox>
              </v:shape>
            </w:pict>
          </mc:Fallback>
        </mc:AlternateContent>
      </w:r>
      <w:r w:rsidR="00D3096D">
        <w:rPr>
          <w:noProof/>
          <w:sz w:val="22"/>
          <w:szCs w:val="22"/>
          <w:rtl/>
          <w:lang w:val="he-IL"/>
        </w:rPr>
        <mc:AlternateContent>
          <mc:Choice Requires="wps">
            <w:drawing>
              <wp:anchor distT="0" distB="0" distL="114300" distR="114300" simplePos="0" relativeHeight="251664384" behindDoc="0" locked="0" layoutInCell="1" allowOverlap="1">
                <wp:simplePos x="0" y="0"/>
                <wp:positionH relativeFrom="column">
                  <wp:posOffset>1589677</wp:posOffset>
                </wp:positionH>
                <wp:positionV relativeFrom="paragraph">
                  <wp:posOffset>1016635</wp:posOffset>
                </wp:positionV>
                <wp:extent cx="0" cy="3722007"/>
                <wp:effectExtent l="25400" t="25400" r="25400" b="37465"/>
                <wp:wrapNone/>
                <wp:docPr id="1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722007"/>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5408" from="125.15pt,80.05pt" to="125.15pt,373.1pt" strokecolor="white" strokeweight="4pt">
                <v:stroke endcap="round"/>
              </v:line>
            </w:pict>
          </mc:Fallback>
        </mc:AlternateContent>
      </w:r>
      <w:r w:rsidR="00D3096D">
        <w:rPr>
          <w:noProof/>
          <w:sz w:val="22"/>
          <w:szCs w:val="22"/>
          <w:rtl/>
          <w:lang w:val="he-IL"/>
        </w:rPr>
        <mc:AlternateContent>
          <mc:Choice Requires="wps">
            <w:drawing>
              <wp:anchor distT="0" distB="0" distL="114300" distR="114300" simplePos="0" relativeHeight="251675648" behindDoc="0" locked="0" layoutInCell="1" allowOverlap="1">
                <wp:simplePos x="0" y="0"/>
                <wp:positionH relativeFrom="column">
                  <wp:posOffset>1849755</wp:posOffset>
                </wp:positionH>
                <wp:positionV relativeFrom="paragraph">
                  <wp:posOffset>2755900</wp:posOffset>
                </wp:positionV>
                <wp:extent cx="3074670" cy="0"/>
                <wp:effectExtent l="12700" t="12700" r="24130" b="12700"/>
                <wp:wrapNone/>
                <wp:docPr id="24"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307467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 y;mso-height-percent:0;mso-height-relative:margin;mso-width-percent:0;mso-width-relative:margin;mso-wrap-distance-bottom:0;mso-wrap-distance-left:9pt;mso-wrap-distance-right:9pt;mso-wrap-distance-top:0;mso-wrap-style:square;position:absolute;visibility:visible;z-index:251676672" from="145.65pt,217pt" to="387.75pt,217pt" strokecolor="white" strokeweight="1.5pt">
                <v:stroke endcap="round"/>
              </v:line>
            </w:pict>
          </mc:Fallback>
        </mc:AlternateContent>
      </w:r>
      <w:r w:rsidRPr="00E539EA" w:rsidR="00D3096D">
        <w:rPr>
          <w:noProof/>
          <w:sz w:val="17"/>
          <w:szCs w:val="18"/>
        </w:rPr>
        <mc:AlternateContent>
          <mc:Choice Requires="wps">
            <w:drawing>
              <wp:anchor distT="0" distB="0" distL="114300" distR="114300" simplePos="0" relativeHeight="251667456" behindDoc="0" locked="0" layoutInCell="1" allowOverlap="1">
                <wp:simplePos x="0" y="0"/>
                <wp:positionH relativeFrom="column">
                  <wp:posOffset>1776549</wp:posOffset>
                </wp:positionH>
                <wp:positionV relativeFrom="paragraph">
                  <wp:posOffset>2166892</wp:posOffset>
                </wp:positionV>
                <wp:extent cx="3226435" cy="571500"/>
                <wp:effectExtent l="0" t="0" r="0" b="0"/>
                <wp:wrapNone/>
                <wp:docPr id="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571500"/>
                        </a:xfrm>
                        <a:prstGeom prst="rect">
                          <a:avLst/>
                        </a:prstGeom>
                        <a:noFill/>
                        <a:ln w="9525">
                          <a:noFill/>
                          <a:miter lim="800000"/>
                          <a:headEnd/>
                          <a:tailEnd/>
                        </a:ln>
                      </wps:spPr>
                      <wps:txbx>
                        <w:txbxContent>
                          <w:p w:rsidR="00E16003" w:rsidRPr="00D3096D" w:rsidP="004736B8" w14:textId="0B2657CE">
                            <w:pPr>
                              <w:bidi w:val="0"/>
                              <w:spacing w:line="276" w:lineRule="auto"/>
                              <w:rPr>
                                <w:rFonts w:ascii="Tahoma" w:hAnsi="Tahoma" w:cs="Tahoma"/>
                                <w:color w:val="FFFFFF" w:themeColor="background1"/>
                                <w:spacing w:val="6"/>
                                <w:sz w:val="28"/>
                                <w:szCs w:val="28"/>
                                <w:rtl/>
                                <w:lang w:val="en"/>
                              </w:rPr>
                            </w:pPr>
                            <w:r w:rsidRPr="00D3096D">
                              <w:rPr>
                                <w:rFonts w:ascii="Tahoma" w:hAnsi="Tahoma" w:cs="Tahoma"/>
                                <w:color w:val="FFFFFF" w:themeColor="background1"/>
                                <w:sz w:val="28"/>
                                <w:szCs w:val="28"/>
                                <w:lang w:val="en"/>
                              </w:rPr>
                              <w:t xml:space="preserve">Ministry of Transportation and </w:t>
                            </w:r>
                            <w:r w:rsidR="008E1CAF">
                              <w:rPr>
                                <w:rFonts w:ascii="Tahoma" w:hAnsi="Tahoma" w:cs="Tahoma"/>
                                <w:color w:val="FFFFFF" w:themeColor="background1"/>
                                <w:sz w:val="28"/>
                                <w:szCs w:val="28"/>
                                <w:lang w:val="en"/>
                              </w:rPr>
                              <w:br/>
                            </w:r>
                            <w:r w:rsidRPr="00D3096D">
                              <w:rPr>
                                <w:rFonts w:ascii="Tahoma" w:hAnsi="Tahoma" w:cs="Tahoma"/>
                                <w:color w:val="FFFFFF" w:themeColor="background1"/>
                                <w:sz w:val="28"/>
                                <w:szCs w:val="28"/>
                                <w:lang w:val="en"/>
                              </w:rPr>
                              <w:t>Road Safety</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254.05pt;height:45pt;margin-top:170.6pt;margin-left:139.9pt;mso-height-percent:0;mso-height-relative:margin;mso-width-percent:0;mso-width-relative:margin;mso-wrap-distance-bottom:0;mso-wrap-distance-left:9pt;mso-wrap-distance-right:9pt;mso-wrap-distance-top:0;mso-wrap-style:square;position:absolute;visibility:visible;v-text-anchor:top;z-index:251668480" filled="f" stroked="f">
                <v:textbox>
                  <w:txbxContent>
                    <w:p w:rsidR="00E16003" w:rsidRPr="00D3096D" w:rsidP="004736B8" w14:paraId="5EE59732" w14:textId="0B2657CE">
                      <w:pPr>
                        <w:bidi w:val="0"/>
                        <w:spacing w:line="276" w:lineRule="auto"/>
                        <w:rPr>
                          <w:rFonts w:ascii="Tahoma" w:hAnsi="Tahoma" w:cs="Tahoma"/>
                          <w:color w:val="FFFFFF" w:themeColor="background1"/>
                          <w:spacing w:val="6"/>
                          <w:sz w:val="28"/>
                          <w:szCs w:val="28"/>
                          <w:rtl/>
                          <w:lang w:val="en"/>
                        </w:rPr>
                      </w:pPr>
                      <w:r w:rsidRPr="00D3096D">
                        <w:rPr>
                          <w:rFonts w:ascii="Tahoma" w:hAnsi="Tahoma" w:cs="Tahoma"/>
                          <w:color w:val="FFFFFF" w:themeColor="background1"/>
                          <w:sz w:val="28"/>
                          <w:szCs w:val="28"/>
                          <w:lang w:val="en"/>
                        </w:rPr>
                        <w:t xml:space="preserve">Ministry of Transportation and </w:t>
                      </w:r>
                      <w:r w:rsidR="008E1CAF">
                        <w:rPr>
                          <w:rFonts w:ascii="Tahoma" w:hAnsi="Tahoma" w:cs="Tahoma"/>
                          <w:color w:val="FFFFFF" w:themeColor="background1"/>
                          <w:sz w:val="28"/>
                          <w:szCs w:val="28"/>
                          <w:lang w:val="en"/>
                        </w:rPr>
                        <w:br/>
                      </w:r>
                      <w:r w:rsidRPr="00D3096D">
                        <w:rPr>
                          <w:rFonts w:ascii="Tahoma" w:hAnsi="Tahoma" w:cs="Tahoma"/>
                          <w:color w:val="FFFFFF" w:themeColor="background1"/>
                          <w:sz w:val="28"/>
                          <w:szCs w:val="28"/>
                          <w:lang w:val="en"/>
                        </w:rPr>
                        <w:t>Road Safety</w:t>
                      </w:r>
                    </w:p>
                  </w:txbxContent>
                </v:textbox>
              </v:shape>
            </w:pict>
          </mc:Fallback>
        </mc:AlternateContent>
      </w:r>
      <w:r w:rsidRPr="00E539EA" w:rsidR="00191BA6">
        <w:rPr>
          <w:noProof/>
          <w:sz w:val="17"/>
          <w:szCs w:val="18"/>
        </w:rPr>
        <mc:AlternateContent>
          <mc:Choice Requires="wps">
            <w:drawing>
              <wp:anchor distT="0" distB="0" distL="114300" distR="114300" simplePos="0" relativeHeight="251671552" behindDoc="0" locked="0" layoutInCell="1" allowOverlap="1">
                <wp:simplePos x="0" y="0"/>
                <wp:positionH relativeFrom="column">
                  <wp:posOffset>1774658</wp:posOffset>
                </wp:positionH>
                <wp:positionV relativeFrom="paragraph">
                  <wp:posOffset>1371434</wp:posOffset>
                </wp:positionV>
                <wp:extent cx="3226435" cy="231006"/>
                <wp:effectExtent l="0" t="0" r="0" b="0"/>
                <wp:wrapNone/>
                <wp:docPr id="3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6435" cy="231006"/>
                        </a:xfrm>
                        <a:prstGeom prst="rect">
                          <a:avLst/>
                        </a:prstGeom>
                        <a:noFill/>
                        <a:ln w="9525">
                          <a:noFill/>
                          <a:miter lim="800000"/>
                          <a:headEnd/>
                          <a:tailEnd/>
                        </a:ln>
                      </wps:spPr>
                      <wps:txbx>
                        <w:txbxContent>
                          <w:p w:rsidR="00E16003" w:rsidRPr="00CE2FA5" w:rsidP="00D546FF" w14:textId="2FE7F268">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627F7E">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November 2024</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254.05pt;height:18.2pt;margin-top:108pt;margin-left:139.75pt;mso-height-percent:0;mso-height-relative:margin;mso-width-percent:0;mso-width-relative:margin;mso-wrap-distance-bottom:0;mso-wrap-distance-left:9pt;mso-wrap-distance-right:9pt;mso-wrap-distance-top:0;mso-wrap-style:square;position:absolute;visibility:visible;v-text-anchor:top;z-index:251672576" filled="f" stroked="f">
                <v:textbox>
                  <w:txbxContent>
                    <w:p w:rsidR="00E16003" w:rsidRPr="00CE2FA5" w:rsidP="00D546FF" w14:paraId="5156A4BB" w14:textId="2FE7F268">
                      <w:pPr>
                        <w:bidi w:val="0"/>
                        <w:rPr>
                          <w:rFonts w:ascii="Tahoma" w:hAnsi="Tahoma" w:cs="Tahoma"/>
                          <w:color w:val="FFFFFF" w:themeColor="background1"/>
                          <w:spacing w:val="6"/>
                          <w:sz w:val="17"/>
                          <w:szCs w:val="17"/>
                        </w:rPr>
                      </w:pPr>
                      <w:r w:rsidRPr="00DB54AF">
                        <w:rPr>
                          <w:rFonts w:ascii="Tahoma" w:hAnsi="Tahoma" w:cs="Tahoma"/>
                          <w:color w:val="FFFFFF" w:themeColor="background1"/>
                          <w:spacing w:val="6"/>
                          <w:sz w:val="17"/>
                          <w:szCs w:val="17"/>
                        </w:rPr>
                        <w:t>Report of the State Comptroller of Israel</w:t>
                      </w:r>
                      <w:r w:rsidR="00627F7E">
                        <w:rPr>
                          <w:rFonts w:ascii="Tahoma" w:hAnsi="Tahoma" w:cs="Tahoma" w:hint="cs"/>
                          <w:color w:val="FFFFFF" w:themeColor="background1"/>
                          <w:spacing w:val="6"/>
                          <w:sz w:val="17"/>
                          <w:szCs w:val="17"/>
                          <w:rtl/>
                        </w:rPr>
                        <w:t xml:space="preserve"> </w:t>
                      </w:r>
                      <w:r w:rsidRPr="00DB54AF">
                        <w:rPr>
                          <w:rFonts w:ascii="Tahoma" w:hAnsi="Tahoma" w:cs="Tahoma"/>
                          <w:color w:val="FFFFFF" w:themeColor="background1"/>
                          <w:spacing w:val="6"/>
                          <w:sz w:val="17"/>
                          <w:szCs w:val="17"/>
                        </w:rPr>
                        <w:t>| November 2024</w:t>
                      </w:r>
                    </w:p>
                  </w:txbxContent>
                </v:textbox>
              </v:shape>
            </w:pict>
          </mc:Fallback>
        </mc:AlternateContent>
      </w:r>
      <w:r w:rsidR="00B650F8">
        <w:rPr>
          <w:noProof/>
          <w:sz w:val="22"/>
          <w:szCs w:val="22"/>
          <w:rtl/>
          <w:lang w:val="he-IL"/>
        </w:rPr>
        <w:drawing>
          <wp:anchor distT="0" distB="0" distL="114300" distR="114300" simplePos="0" relativeHeight="251666432" behindDoc="0" locked="0" layoutInCell="1" allowOverlap="1">
            <wp:simplePos x="0" y="0"/>
            <wp:positionH relativeFrom="column">
              <wp:posOffset>471805</wp:posOffset>
            </wp:positionH>
            <wp:positionV relativeFrom="paragraph">
              <wp:posOffset>1159510</wp:posOffset>
            </wp:positionV>
            <wp:extent cx="1010285" cy="70739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Pr>
          <w:noProof/>
          <w:sz w:val="22"/>
          <w:szCs w:val="22"/>
          <w:rtl/>
          <w:lang w:val="he-IL"/>
        </w:rPr>
        <mc:AlternateContent>
          <mc:Choice Requires="wps">
            <w:drawing>
              <wp:anchor distT="0" distB="0" distL="114300" distR="114300" simplePos="0" relativeHeight="251662336" behindDoc="0" locked="0" layoutInCell="1" allowOverlap="1">
                <wp:simplePos x="0" y="0"/>
                <wp:positionH relativeFrom="column">
                  <wp:posOffset>8342613</wp:posOffset>
                </wp:positionH>
                <wp:positionV relativeFrom="paragraph">
                  <wp:posOffset>748665</wp:posOffset>
                </wp:positionV>
                <wp:extent cx="0" cy="3448050"/>
                <wp:effectExtent l="25400" t="25400" r="25400" b="31750"/>
                <wp:wrapNone/>
                <wp:docPr id="13"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4480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33" style="mso-height-percent:0;mso-height-relative:margin;mso-wrap-distance-bottom:0;mso-wrap-distance-left:9pt;mso-wrap-distance-right:9pt;mso-wrap-distance-top:0;mso-wrap-style:square;position:absolute;visibility:visible;z-index:251663360" from="656.9pt,58.95pt" to="656.9pt,330.45pt" strokecolor="white" strokeweight="4pt">
                <v:stroke endcap="round"/>
              </v:line>
            </w:pict>
          </mc:Fallback>
        </mc:AlternateContent>
      </w:r>
    </w:p>
    <w:p w:rsidR="00F1368B" w:rsidRPr="00590929" w:rsidP="003323CD" w14:paraId="17C00A18" w14:textId="77777777">
      <w:pPr>
        <w:spacing w:line="240" w:lineRule="exact"/>
        <w:jc w:val="both"/>
        <w:rPr>
          <w:rFonts w:ascii="Tahoma" w:hAnsi="Tahoma" w:cs="Tahoma"/>
          <w:sz w:val="17"/>
          <w:szCs w:val="18"/>
          <w:rtl/>
        </w:rPr>
      </w:pPr>
    </w:p>
    <w:p w:rsidR="00327FBF" w:rsidRPr="0010599F" w:rsidP="003323CD" w14:paraId="3D4FE68D" w14:textId="77777777">
      <w:pPr>
        <w:spacing w:line="240" w:lineRule="exact"/>
        <w:jc w:val="both"/>
        <w:rPr>
          <w:rFonts w:ascii="Tahoma" w:hAnsi="Tahoma" w:cs="Tahoma"/>
          <w:sz w:val="17"/>
          <w:szCs w:val="17"/>
          <w:rtl/>
        </w:rPr>
        <w:sectPr w:rsidSect="00D05191">
          <w:headerReference w:type="even" r:id="rId14"/>
          <w:headerReference w:type="default" r:id="rId15"/>
          <w:headerReference w:type="first" r:id="rId16"/>
          <w:pgSz w:w="11906" w:h="16838" w:code="9"/>
          <w:pgMar w:top="3119" w:right="2268" w:bottom="2268" w:left="2268" w:header="1871" w:footer="709" w:gutter="0"/>
          <w:pgNumType w:start="2"/>
          <w:cols w:space="708"/>
          <w:titlePg/>
          <w:bidi/>
          <w:rtlGutter/>
          <w:docGrid w:linePitch="360"/>
        </w:sectPr>
      </w:pPr>
    </w:p>
    <w:bookmarkEnd w:id="0"/>
    <w:bookmarkEnd w:id="1"/>
    <w:bookmarkEnd w:id="2"/>
    <w:bookmarkEnd w:id="3"/>
    <w:bookmarkEnd w:id="4"/>
    <w:p w:rsidR="001D65CE" w:rsidRPr="00F052AC" w:rsidP="00191BA6" w14:paraId="647EBF7B" w14:textId="3741D6B9">
      <w:pPr>
        <w:pStyle w:val="7120"/>
        <w:bidi w:val="0"/>
        <w:spacing w:before="0" w:after="960"/>
        <w:ind w:right="-142"/>
        <w:rPr>
          <w:rFonts w:eastAsiaTheme="majorEastAsia"/>
          <w:sz w:val="34"/>
          <w:rtl/>
        </w:rPr>
      </w:pPr>
      <w:r>
        <w:rPr>
          <w:rFonts w:eastAsiaTheme="majorEastAsia" w:hint="cs"/>
          <w:noProof/>
          <w:sz w:val="34"/>
        </w:rPr>
        <mc:AlternateContent>
          <mc:Choice Requires="wps">
            <w:drawing>
              <wp:anchor distT="0" distB="0" distL="114300" distR="114300" simplePos="0" relativeHeight="251677696" behindDoc="0" locked="0" layoutInCell="1" allowOverlap="1">
                <wp:simplePos x="0" y="0"/>
                <wp:positionH relativeFrom="column">
                  <wp:posOffset>5069205</wp:posOffset>
                </wp:positionH>
                <wp:positionV relativeFrom="paragraph">
                  <wp:posOffset>199256</wp:posOffset>
                </wp:positionV>
                <wp:extent cx="192405" cy="6086475"/>
                <wp:effectExtent l="0" t="0" r="0" b="0"/>
                <wp:wrapNone/>
                <wp:docPr id="31" name="מלבן 31"/>
                <wp:cNvGraphicFramePr/>
                <a:graphic xmlns:a="http://schemas.openxmlformats.org/drawingml/2006/main">
                  <a:graphicData uri="http://schemas.microsoft.com/office/word/2010/wordprocessingShape">
                    <wps:wsp xmlns:wps="http://schemas.microsoft.com/office/word/2010/wordprocessingShape">
                      <wps:cNvSpPr/>
                      <wps:spPr>
                        <a:xfrm>
                          <a:off x="0" y="0"/>
                          <a:ext cx="192405" cy="6086475"/>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מלבן 31" o:spid="_x0000_s1034" style="width:15.15pt;height:479.25pt;margin-top:15.7pt;margin-left:399.15pt;mso-height-percent:0;mso-height-relative:margin;mso-width-percent:0;mso-width-relative:margin;mso-wrap-distance-bottom:0;mso-wrap-distance-left:9pt;mso-wrap-distance-right:9pt;mso-wrap-distance-top:0;mso-wrap-style:square;position:absolute;visibility:visible;v-text-anchor:middle;z-index:251678720" fillcolor="#00305f" stroked="f" strokeweight="1.5pt">
                <v:stroke endcap="round"/>
              </v:rect>
            </w:pict>
          </mc:Fallback>
        </mc:AlternateContent>
      </w:r>
      <w:r w:rsidRPr="00561A02" w:rsidR="00561A02">
        <w:rPr>
          <w:rFonts w:eastAsiaTheme="majorEastAsia"/>
          <w:noProof/>
          <w:sz w:val="34"/>
        </w:rPr>
        <w:t>Operation of Toll Roads</w:t>
      </w:r>
    </w:p>
    <w:p w:rsidR="00605DF2" w:rsidP="00BB1479" w14:paraId="55A1FDE5" w14:textId="335E4CD7">
      <w:pPr>
        <w:bidi w:val="0"/>
        <w:spacing w:before="360" w:after="240" w:line="240" w:lineRule="atLeast"/>
        <w:jc w:val="both"/>
        <w:rPr>
          <w:rFonts w:ascii="Tahoma" w:hAnsi="Tahoma" w:cs="Tahoma"/>
          <w:color w:val="0D0D0D" w:themeColor="text1" w:themeTint="F2"/>
          <w:sz w:val="24"/>
          <w:szCs w:val="18"/>
          <w:rtl/>
        </w:rPr>
      </w:pPr>
      <w:r>
        <w:rPr>
          <w:rFonts w:ascii="Tahoma" w:hAnsi="Tahoma" w:cs="Tahoma"/>
          <w:noProof/>
          <w:color w:val="0D0D0D" w:themeColor="text1" w:themeTint="F2"/>
          <w:sz w:val="24"/>
          <w:szCs w:val="18"/>
          <w:rtl/>
        </w:rPr>
        <w:drawing>
          <wp:inline distT="0" distB="0" distL="0" distR="0">
            <wp:extent cx="1335027" cy="320919"/>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35027" cy="320919"/>
                    </a:xfrm>
                    <a:prstGeom prst="rect">
                      <a:avLst/>
                    </a:prstGeom>
                  </pic:spPr>
                </pic:pic>
              </a:graphicData>
            </a:graphic>
          </wp:inline>
        </w:drawing>
      </w:r>
    </w:p>
    <w:p w:rsidR="00EB7C40" w:rsidRPr="00273DF4" w:rsidP="00EB7C40" w14:paraId="7A859A9A" w14:textId="77777777">
      <w:pPr>
        <w:pStyle w:val="719"/>
        <w:bidi w:val="0"/>
        <w:rPr>
          <w:rtl/>
        </w:rPr>
      </w:pPr>
      <w:r w:rsidRPr="00C23C90">
        <w:t xml:space="preserve">The transportation sector is one of the key economic sectors in the economy, and its development is essential for the efficient functioning of a modern and growing economy. Therefore, its advancement and improvement serve as a critical lever for economic growth, urban and regional development, enhancement of safety standards, improvement of citizens' quality of life, amelioration of environmental conditions, and even reduction of economic and social disparities. </w:t>
      </w:r>
    </w:p>
    <w:p w:rsidR="00EB7C40" w:rsidRPr="00273DF4" w:rsidP="00EB7C40" w14:paraId="7288EF11" w14:textId="77777777">
      <w:pPr>
        <w:pStyle w:val="719"/>
        <w:bidi w:val="0"/>
        <w:rPr>
          <w:rtl/>
        </w:rPr>
      </w:pPr>
      <w:r w:rsidRPr="00C23C90">
        <w:t xml:space="preserve">The investment required for establishing transportation infrastructure is substantial and competes with numerous other needs funded by the state budget. One method of addressing budgetary limitations in the development of transportation infrastructure is the Public-Private Partnership (PPP) model. This approach involves various models of collaboration between the public and private sectors </w:t>
      </w:r>
      <w:r w:rsidRPr="00C23C90">
        <w:t>in order to</w:t>
      </w:r>
      <w:r w:rsidRPr="00C23C90">
        <w:t xml:space="preserve"> carry out public projects. </w:t>
      </w:r>
    </w:p>
    <w:p w:rsidR="00474923" w:rsidP="00EB7C40" w14:paraId="6BB91303" w14:textId="77777777">
      <w:pPr>
        <w:pStyle w:val="719"/>
        <w:bidi w:val="0"/>
      </w:pPr>
      <w:r w:rsidRPr="00C23C90">
        <w:t>One such model under PPP is the BOT model (Build-Operate-Transfer). According to this model, a public entity enters into a long-term concession agreement with a private sector operator who assumes responsibility for financing, designing, constructing, operating, and maintaining the public infrastructure. In return, the private operator is granted the right to collect fees from the facility's users. At the end of the agreement period, the facility is transferred to the public entity at no cost.</w:t>
      </w:r>
      <w:r w:rsidR="008E1CAF">
        <w:t xml:space="preserve"> </w:t>
      </w:r>
    </w:p>
    <w:p w:rsidR="002A18A0" w:rsidRPr="001D0B8C" w:rsidP="00474923" w14:paraId="446009E0" w14:textId="21F5BF50">
      <w:pPr>
        <w:pStyle w:val="719"/>
        <w:bidi w:val="0"/>
      </w:pPr>
      <w:r w:rsidRPr="00C23C90">
        <w:rPr>
          <w:rFonts w:hint="cs"/>
        </w:rPr>
        <w:t>In Israel, there are three toll roads developed under the BOT model: the Carmel Tunnels, Highway 6, and the Fast Lane</w:t>
      </w:r>
      <w:r w:rsidRPr="001D0B8C">
        <w:t>.</w:t>
      </w:r>
    </w:p>
    <w:p w:rsidR="00C50F58" w14:paraId="732E4F63" w14:textId="601C6591">
      <w:pPr>
        <w:bidi w:val="0"/>
        <w:rPr>
          <w:rFonts w:ascii="Tahoma" w:hAnsi="Tahoma" w:eastAsiaTheme="minorHAnsi" w:cs="Tahoma"/>
          <w:color w:val="0D0D0D" w:themeColor="text1" w:themeTint="F2"/>
          <w:sz w:val="18"/>
          <w:szCs w:val="18"/>
        </w:rPr>
      </w:pPr>
      <w:r>
        <w:br w:type="page"/>
      </w:r>
    </w:p>
    <w:p w:rsidR="008A5E62" w:rsidRPr="00DA3862" w:rsidP="003E0EAA" w14:paraId="498BB033" w14:textId="0375C781">
      <w:pPr>
        <w:bidi w:val="0"/>
        <w:spacing w:before="240" w:after="180" w:line="240" w:lineRule="atLeast"/>
        <w:jc w:val="both"/>
        <w:rPr>
          <w:rtl/>
        </w:rPr>
      </w:pPr>
      <w:r>
        <w:rPr>
          <w:noProof/>
          <w:rtl/>
        </w:rPr>
        <w:drawing>
          <wp:inline distT="0" distB="0" distL="0" distR="0">
            <wp:extent cx="1328928" cy="319454"/>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28928" cy="319454"/>
                    </a:xfrm>
                    <a:prstGeom prst="rect">
                      <a:avLst/>
                    </a:prstGeom>
                  </pic:spPr>
                </pic:pic>
              </a:graphicData>
            </a:graphic>
          </wp:inline>
        </w:drawing>
      </w:r>
    </w:p>
    <w:tbl>
      <w:tblPr>
        <w:tblStyle w:val="TableGrid"/>
        <w:tblW w:w="51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2035"/>
        <w:gridCol w:w="156"/>
        <w:gridCol w:w="1757"/>
        <w:gridCol w:w="157"/>
        <w:gridCol w:w="1531"/>
        <w:gridCol w:w="154"/>
        <w:gridCol w:w="1817"/>
      </w:tblGrid>
      <w:tr w14:paraId="5198069E" w14:textId="79DE7FA0" w:rsidTr="006B212E">
        <w:tblPrEx>
          <w:tblW w:w="5161" w:type="pct"/>
          <w:tblLook w:val="04A0"/>
        </w:tblPrEx>
        <w:tc>
          <w:tcPr>
            <w:tcW w:w="1338" w:type="pct"/>
            <w:tcBorders>
              <w:bottom w:val="single" w:sz="8" w:space="0" w:color="auto"/>
            </w:tcBorders>
            <w:vAlign w:val="bottom"/>
          </w:tcPr>
          <w:p w:rsidR="00EB7C40" w:rsidRPr="00EB7C40" w:rsidP="00EB7C40" w14:paraId="1FB37F5E" w14:textId="084F051B">
            <w:pPr>
              <w:bidi w:val="0"/>
              <w:spacing w:after="60" w:line="240" w:lineRule="auto"/>
              <w:rPr>
                <w:rFonts w:ascii="Tahoma" w:hAnsi="Tahoma" w:cs="Tahoma"/>
                <w:b/>
                <w:bCs/>
                <w:color w:val="0D0D0D" w:themeColor="text1" w:themeTint="F2"/>
                <w:sz w:val="26"/>
                <w:szCs w:val="26"/>
                <w:rtl/>
              </w:rPr>
            </w:pPr>
            <w:r w:rsidRPr="00EB7C40">
              <w:rPr>
                <w:rFonts w:ascii="Tahoma" w:hAnsi="Tahoma" w:cs="Tahoma"/>
                <w:b/>
                <w:bCs/>
                <w:color w:val="0D0D0D" w:themeColor="text1" w:themeTint="F2"/>
                <w:spacing w:val="-10"/>
                <w:sz w:val="36"/>
                <w:szCs w:val="36"/>
                <w:lang w:val="en"/>
              </w:rPr>
              <w:t>4</w:t>
            </w:r>
            <w:r w:rsidRPr="00EB7C40">
              <w:rPr>
                <w:rFonts w:ascii="Tahoma" w:hAnsi="Tahoma" w:cs="Tahoma"/>
                <w:b/>
                <w:bCs/>
                <w:color w:val="0D0D0D" w:themeColor="text1" w:themeTint="F2"/>
                <w:spacing w:val="-10"/>
                <w:sz w:val="26"/>
                <w:szCs w:val="26"/>
                <w:lang w:val="en"/>
              </w:rPr>
              <w:t xml:space="preserve"> private concessionaires</w:t>
            </w:r>
          </w:p>
        </w:tc>
        <w:tc>
          <w:tcPr>
            <w:tcW w:w="103" w:type="pct"/>
            <w:vAlign w:val="bottom"/>
          </w:tcPr>
          <w:p w:rsidR="00EB7C40" w:rsidRPr="00EB7C40" w:rsidP="00EB7C40" w14:paraId="4429F28B" w14:textId="77777777">
            <w:pPr>
              <w:bidi w:val="0"/>
              <w:spacing w:after="60" w:line="240" w:lineRule="auto"/>
              <w:rPr>
                <w:rFonts w:ascii="Tahoma" w:hAnsi="Tahoma" w:cs="Tahoma"/>
                <w:b/>
                <w:bCs/>
                <w:color w:val="0D0D0D" w:themeColor="text1" w:themeTint="F2"/>
                <w:sz w:val="26"/>
                <w:szCs w:val="26"/>
              </w:rPr>
            </w:pPr>
          </w:p>
        </w:tc>
        <w:tc>
          <w:tcPr>
            <w:tcW w:w="1155" w:type="pct"/>
            <w:tcBorders>
              <w:bottom w:val="single" w:sz="8" w:space="0" w:color="auto"/>
            </w:tcBorders>
            <w:vAlign w:val="bottom"/>
          </w:tcPr>
          <w:p w:rsidR="00EB7C40" w:rsidRPr="00EB7C40" w:rsidP="00EB7C40" w14:paraId="018C23DE" w14:textId="7C030EE5">
            <w:pPr>
              <w:bidi w:val="0"/>
              <w:spacing w:after="60" w:line="240" w:lineRule="auto"/>
              <w:rPr>
                <w:rFonts w:ascii="Tahoma" w:hAnsi="Tahoma" w:cs="Tahoma"/>
                <w:b/>
                <w:bCs/>
                <w:color w:val="0D0D0D" w:themeColor="text1" w:themeTint="F2"/>
                <w:sz w:val="26"/>
                <w:szCs w:val="26"/>
                <w:rtl/>
              </w:rPr>
            </w:pPr>
            <w:r w:rsidRPr="00EB7C40">
              <w:rPr>
                <w:rFonts w:ascii="Tahoma" w:hAnsi="Tahoma" w:cs="Tahoma"/>
                <w:b/>
                <w:bCs/>
                <w:spacing w:val="-10"/>
                <w:sz w:val="26"/>
                <w:szCs w:val="26"/>
                <w:lang w:val="en"/>
              </w:rPr>
              <w:t xml:space="preserve">NIS </w:t>
            </w:r>
            <w:r w:rsidRPr="00EB7C40">
              <w:rPr>
                <w:rFonts w:ascii="Tahoma" w:hAnsi="Tahoma" w:cs="Tahoma"/>
                <w:b/>
                <w:bCs/>
                <w:color w:val="0D0D0D" w:themeColor="text1" w:themeTint="F2"/>
                <w:spacing w:val="-10"/>
                <w:sz w:val="36"/>
                <w:szCs w:val="36"/>
                <w:lang w:val="en"/>
              </w:rPr>
              <w:t>9.75</w:t>
            </w:r>
            <w:r w:rsidRPr="00EB7C40">
              <w:rPr>
                <w:rFonts w:ascii="Tahoma" w:hAnsi="Tahoma" w:cs="Tahoma"/>
                <w:b/>
                <w:bCs/>
                <w:spacing w:val="-10"/>
                <w:sz w:val="26"/>
                <w:szCs w:val="26"/>
                <w:lang w:val="en"/>
              </w:rPr>
              <w:t xml:space="preserve"> billion</w:t>
            </w:r>
          </w:p>
        </w:tc>
        <w:tc>
          <w:tcPr>
            <w:tcW w:w="103" w:type="pct"/>
            <w:vAlign w:val="bottom"/>
          </w:tcPr>
          <w:p w:rsidR="00EB7C40" w:rsidRPr="00EB7C40" w:rsidP="00EB7C40" w14:paraId="78489ABE" w14:textId="77777777">
            <w:pPr>
              <w:bidi w:val="0"/>
              <w:spacing w:after="60" w:line="240" w:lineRule="auto"/>
              <w:rPr>
                <w:rFonts w:ascii="Tahoma" w:hAnsi="Tahoma" w:cs="Tahoma"/>
                <w:b/>
                <w:bCs/>
                <w:color w:val="0D0D0D" w:themeColor="text1" w:themeTint="F2"/>
                <w:sz w:val="26"/>
                <w:szCs w:val="26"/>
              </w:rPr>
            </w:pPr>
          </w:p>
        </w:tc>
        <w:tc>
          <w:tcPr>
            <w:tcW w:w="1006" w:type="pct"/>
            <w:tcBorders>
              <w:bottom w:val="single" w:sz="8" w:space="0" w:color="000000"/>
            </w:tcBorders>
            <w:vAlign w:val="bottom"/>
          </w:tcPr>
          <w:p w:rsidR="00EB7C40" w:rsidRPr="00EB7C40" w:rsidP="00EB7C40" w14:paraId="1465537A" w14:textId="0F7C4891">
            <w:pPr>
              <w:bidi w:val="0"/>
              <w:spacing w:after="60" w:line="240" w:lineRule="auto"/>
              <w:rPr>
                <w:rFonts w:ascii="Tahoma" w:hAnsi="Tahoma" w:cs="Tahoma"/>
                <w:b/>
                <w:bCs/>
                <w:color w:val="0D0D0D" w:themeColor="text1" w:themeTint="F2"/>
                <w:sz w:val="26"/>
                <w:szCs w:val="26"/>
              </w:rPr>
            </w:pPr>
            <w:r w:rsidRPr="00EB7C40">
              <w:rPr>
                <w:rFonts w:ascii="Tahoma" w:hAnsi="Tahoma" w:cs="Tahoma"/>
                <w:b/>
                <w:bCs/>
                <w:color w:val="0D0D0D" w:themeColor="text1" w:themeTint="F2"/>
                <w:spacing w:val="-10"/>
                <w:sz w:val="26"/>
                <w:szCs w:val="26"/>
                <w:lang w:val="en"/>
              </w:rPr>
              <w:t xml:space="preserve">Approx. </w:t>
            </w:r>
            <w:r w:rsidRPr="00EB7C40">
              <w:rPr>
                <w:rFonts w:ascii="Tahoma" w:hAnsi="Tahoma" w:cs="Tahoma"/>
                <w:b/>
                <w:bCs/>
                <w:color w:val="0D0D0D" w:themeColor="text1" w:themeTint="F2"/>
                <w:spacing w:val="-10"/>
                <w:sz w:val="36"/>
                <w:szCs w:val="36"/>
                <w:lang w:val="en"/>
              </w:rPr>
              <w:t>207.5</w:t>
            </w:r>
            <w:r w:rsidRPr="00EB7C40">
              <w:rPr>
                <w:rFonts w:ascii="Tahoma" w:hAnsi="Tahoma" w:cs="Tahoma"/>
                <w:b/>
                <w:bCs/>
                <w:color w:val="0D0D0D" w:themeColor="text1" w:themeTint="F2"/>
                <w:spacing w:val="-10"/>
                <w:sz w:val="26"/>
                <w:szCs w:val="26"/>
                <w:lang w:val="en"/>
              </w:rPr>
              <w:t xml:space="preserve"> km</w:t>
            </w:r>
          </w:p>
        </w:tc>
        <w:tc>
          <w:tcPr>
            <w:tcW w:w="101" w:type="pct"/>
            <w:vAlign w:val="bottom"/>
          </w:tcPr>
          <w:p w:rsidR="00EB7C40" w:rsidRPr="00EB7C40" w:rsidP="00EB7C40" w14:paraId="67D30B0B" w14:textId="77777777">
            <w:pPr>
              <w:bidi w:val="0"/>
              <w:spacing w:after="60" w:line="240" w:lineRule="auto"/>
              <w:rPr>
                <w:rFonts w:ascii="Tahoma" w:hAnsi="Tahoma" w:cs="Tahoma"/>
                <w:b/>
                <w:bCs/>
                <w:color w:val="0D0D0D" w:themeColor="text1" w:themeTint="F2"/>
                <w:sz w:val="26"/>
                <w:szCs w:val="26"/>
                <w:rtl/>
              </w:rPr>
            </w:pPr>
          </w:p>
        </w:tc>
        <w:tc>
          <w:tcPr>
            <w:tcW w:w="1195" w:type="pct"/>
            <w:tcBorders>
              <w:bottom w:val="single" w:sz="8" w:space="0" w:color="000000"/>
            </w:tcBorders>
            <w:vAlign w:val="bottom"/>
          </w:tcPr>
          <w:p w:rsidR="00EB7C40" w:rsidRPr="00EB7C40" w:rsidP="00EB7C40" w14:paraId="265B90D2" w14:textId="368AF1FC">
            <w:pPr>
              <w:bidi w:val="0"/>
              <w:spacing w:after="60" w:line="240" w:lineRule="auto"/>
              <w:rPr>
                <w:rFonts w:ascii="Tahoma" w:hAnsi="Tahoma" w:cs="Tahoma"/>
                <w:b/>
                <w:bCs/>
                <w:color w:val="0D0D0D" w:themeColor="text1" w:themeTint="F2"/>
                <w:sz w:val="26"/>
                <w:szCs w:val="26"/>
                <w:rtl/>
              </w:rPr>
            </w:pPr>
            <w:r w:rsidRPr="00EB7C40">
              <w:rPr>
                <w:rFonts w:ascii="Tahoma" w:hAnsi="Tahoma" w:cs="Tahoma"/>
                <w:b/>
                <w:bCs/>
                <w:color w:val="0D0D0D" w:themeColor="text1" w:themeTint="F2"/>
                <w:spacing w:val="-10"/>
                <w:sz w:val="36"/>
                <w:szCs w:val="36"/>
                <w:lang w:val="en"/>
              </w:rPr>
              <w:t>36</w:t>
            </w:r>
            <w:bookmarkStart w:id="6" w:name="_Hlk194416322"/>
            <w:r w:rsidRPr="00EB7C40">
              <w:rPr>
                <w:rFonts w:ascii="Tahoma" w:hAnsi="Tahoma" w:cs="Tahoma"/>
                <w:b/>
                <w:bCs/>
                <w:color w:val="0D0D0D" w:themeColor="text1" w:themeTint="F2"/>
                <w:spacing w:val="-10"/>
                <w:sz w:val="36"/>
                <w:szCs w:val="36"/>
                <w:lang w:val="en"/>
              </w:rPr>
              <w:t>–</w:t>
            </w:r>
            <w:bookmarkEnd w:id="6"/>
            <w:r w:rsidRPr="00EB7C40">
              <w:rPr>
                <w:rFonts w:ascii="Tahoma" w:hAnsi="Tahoma" w:cs="Tahoma"/>
                <w:b/>
                <w:bCs/>
                <w:color w:val="0D0D0D" w:themeColor="text1" w:themeTint="F2"/>
                <w:spacing w:val="-10"/>
                <w:sz w:val="36"/>
                <w:szCs w:val="36"/>
                <w:lang w:val="en"/>
              </w:rPr>
              <w:t>50</w:t>
            </w:r>
            <w:r w:rsidRPr="00EB7C40">
              <w:rPr>
                <w:rFonts w:ascii="Tahoma" w:hAnsi="Tahoma" w:cs="Tahoma"/>
                <w:b/>
                <w:bCs/>
                <w:spacing w:val="-12"/>
                <w:sz w:val="26"/>
                <w:szCs w:val="26"/>
                <w:lang w:val="en"/>
              </w:rPr>
              <w:t xml:space="preserve"> km/h </w:t>
            </w:r>
          </w:p>
        </w:tc>
      </w:tr>
      <w:tr w14:paraId="633F9A1A" w14:textId="21CF8A61" w:rsidTr="006B212E">
        <w:tblPrEx>
          <w:tblW w:w="5161" w:type="pct"/>
          <w:tblLook w:val="04A0"/>
        </w:tblPrEx>
        <w:tc>
          <w:tcPr>
            <w:tcW w:w="1338" w:type="pct"/>
            <w:tcBorders>
              <w:top w:val="single" w:sz="8" w:space="0" w:color="auto"/>
            </w:tcBorders>
          </w:tcPr>
          <w:p w:rsidR="00EB7C40" w:rsidRPr="00041AEB" w:rsidP="00EB7C40" w14:paraId="5042BE4E" w14:textId="14FCFDB5">
            <w:pPr>
              <w:bidi w:val="0"/>
              <w:spacing w:after="0" w:line="240" w:lineRule="auto"/>
              <w:ind w:right="23"/>
              <w:rPr>
                <w:rFonts w:ascii="Tahoma" w:hAnsi="Tahoma" w:cs="Tahoma"/>
                <w:bCs/>
                <w:color w:val="0D0D0D" w:themeColor="text1" w:themeTint="F2"/>
                <w:w w:val="90"/>
                <w:sz w:val="18"/>
                <w:szCs w:val="18"/>
              </w:rPr>
            </w:pPr>
            <w:r w:rsidRPr="00C23C90">
              <w:rPr>
                <w:rFonts w:ascii="Tahoma" w:hAnsi="Tahoma" w:cs="Tahoma" w:hint="cs"/>
                <w:bCs/>
                <w:color w:val="0D0D0D" w:themeColor="text1" w:themeTint="F2"/>
                <w:w w:val="90"/>
                <w:sz w:val="18"/>
                <w:szCs w:val="18"/>
              </w:rPr>
              <w:t>operate the three toll roads. Two concessionaires operate Highway 6 – one for the central section and the other for the northern section; a single concessionaire operates the Carmel Tunnels, while another manages the Fast Lane</w:t>
            </w:r>
          </w:p>
        </w:tc>
        <w:tc>
          <w:tcPr>
            <w:tcW w:w="103" w:type="pct"/>
          </w:tcPr>
          <w:p w:rsidR="00EB7C40" w:rsidRPr="00041AEB" w:rsidP="00EB7C40" w14:paraId="2B8B872F" w14:textId="77777777">
            <w:pPr>
              <w:bidi w:val="0"/>
              <w:spacing w:after="0" w:line="240" w:lineRule="auto"/>
              <w:rPr>
                <w:rFonts w:ascii="Tahoma" w:hAnsi="Tahoma" w:cs="Tahoma"/>
                <w:bCs/>
                <w:color w:val="0D0D0D" w:themeColor="text1" w:themeTint="F2"/>
                <w:w w:val="90"/>
                <w:sz w:val="18"/>
                <w:szCs w:val="18"/>
                <w:rtl/>
              </w:rPr>
            </w:pPr>
          </w:p>
        </w:tc>
        <w:tc>
          <w:tcPr>
            <w:tcW w:w="1155" w:type="pct"/>
            <w:tcBorders>
              <w:top w:val="single" w:sz="8" w:space="0" w:color="auto"/>
            </w:tcBorders>
          </w:tcPr>
          <w:p w:rsidR="00EB7C40" w:rsidRPr="00EB7C40" w:rsidP="00EB7C40" w14:paraId="22CDEF8A" w14:textId="1679773E">
            <w:pPr>
              <w:bidi w:val="0"/>
              <w:spacing w:line="240" w:lineRule="auto"/>
              <w:ind w:right="23"/>
              <w:rPr>
                <w:bCs/>
                <w:spacing w:val="-4"/>
                <w:rtl/>
              </w:rPr>
            </w:pPr>
            <w:r w:rsidRPr="00EB7C40">
              <w:rPr>
                <w:rFonts w:ascii="Tahoma" w:hAnsi="Tahoma" w:cs="Tahoma" w:hint="cs"/>
                <w:bCs/>
                <w:color w:val="0D0D0D" w:themeColor="text1" w:themeTint="F2"/>
                <w:spacing w:val="-4"/>
                <w:w w:val="90"/>
                <w:sz w:val="18"/>
                <w:szCs w:val="18"/>
              </w:rPr>
              <w:t xml:space="preserve">Construction costs of the toll roads by the private </w:t>
            </w:r>
            <w:r w:rsidRPr="00EB7C40">
              <w:rPr>
                <w:rFonts w:ascii="Tahoma" w:hAnsi="Tahoma" w:cs="Tahoma" w:hint="cs"/>
                <w:bCs/>
                <w:color w:val="0D0D0D" w:themeColor="text1" w:themeTint="F2"/>
                <w:spacing w:val="-4"/>
                <w:w w:val="90"/>
                <w:sz w:val="18"/>
                <w:szCs w:val="18"/>
              </w:rPr>
              <w:t>consessionaires</w:t>
            </w:r>
            <w:r w:rsidRPr="00EB7C40">
              <w:rPr>
                <w:rFonts w:ascii="Tahoma" w:hAnsi="Tahoma" w:cs="Tahoma" w:hint="cs"/>
                <w:bCs/>
                <w:color w:val="0D0D0D" w:themeColor="text1" w:themeTint="F2"/>
                <w:spacing w:val="-4"/>
                <w:w w:val="90"/>
                <w:sz w:val="18"/>
                <w:szCs w:val="18"/>
              </w:rPr>
              <w:t>. According to data from the Accountant General's Office, the construction costs for the toll roads are as follows: Highway 6 (central section) – NIS 5.5 billion; Highway 6 (northern section) – NIS 2.5 billion; Carmel Tunnels – NIS 1.25 billion; Fast Lane – NIS 0.5 billion</w:t>
            </w:r>
          </w:p>
        </w:tc>
        <w:tc>
          <w:tcPr>
            <w:tcW w:w="103" w:type="pct"/>
          </w:tcPr>
          <w:p w:rsidR="00EB7C40" w:rsidRPr="00041AEB" w:rsidP="00EB7C40" w14:paraId="516B5653" w14:textId="77777777">
            <w:pPr>
              <w:bidi w:val="0"/>
              <w:spacing w:after="0" w:line="240" w:lineRule="auto"/>
              <w:rPr>
                <w:rFonts w:ascii="Tahoma" w:hAnsi="Tahoma" w:cs="Tahoma"/>
                <w:bCs/>
                <w:color w:val="0D0D0D" w:themeColor="text1" w:themeTint="F2"/>
                <w:w w:val="90"/>
                <w:sz w:val="18"/>
                <w:szCs w:val="18"/>
                <w:rtl/>
              </w:rPr>
            </w:pPr>
          </w:p>
        </w:tc>
        <w:tc>
          <w:tcPr>
            <w:tcW w:w="1006" w:type="pct"/>
            <w:tcBorders>
              <w:top w:val="single" w:sz="8" w:space="0" w:color="000000"/>
            </w:tcBorders>
          </w:tcPr>
          <w:p w:rsidR="00EB7C40" w:rsidRPr="00041AEB" w:rsidP="00EB7C40" w14:paraId="1DDB9C26" w14:textId="6246DCC9">
            <w:pPr>
              <w:bidi w:val="0"/>
              <w:spacing w:after="0" w:line="240" w:lineRule="auto"/>
              <w:ind w:right="23"/>
              <w:rPr>
                <w:rFonts w:ascii="Tahoma" w:hAnsi="Tahoma" w:cs="Tahoma"/>
                <w:bCs/>
                <w:color w:val="0D0D0D" w:themeColor="text1" w:themeTint="F2"/>
                <w:w w:val="90"/>
                <w:sz w:val="18"/>
                <w:szCs w:val="18"/>
              </w:rPr>
            </w:pPr>
            <w:bookmarkStart w:id="7" w:name="_Hlk170277360"/>
            <w:r w:rsidRPr="00C23C90">
              <w:rPr>
                <w:rFonts w:ascii="Tahoma" w:hAnsi="Tahoma" w:cs="Tahoma" w:hint="cs"/>
                <w:bCs/>
                <w:color w:val="0D0D0D" w:themeColor="text1" w:themeTint="F2"/>
                <w:w w:val="90"/>
                <w:sz w:val="18"/>
                <w:szCs w:val="18"/>
              </w:rPr>
              <w:t xml:space="preserve">The total length of toll roads in Israel out of more than 8,500 km of roads in Israel: </w:t>
            </w:r>
            <w:bookmarkEnd w:id="7"/>
            <w:r w:rsidRPr="00C23C90">
              <w:rPr>
                <w:rFonts w:ascii="Tahoma" w:hAnsi="Tahoma" w:cs="Tahoma" w:hint="cs"/>
                <w:bCs/>
                <w:color w:val="0D0D0D" w:themeColor="text1" w:themeTint="F2"/>
                <w:w w:val="90"/>
                <w:sz w:val="18"/>
                <w:szCs w:val="18"/>
              </w:rPr>
              <w:t xml:space="preserve">Highway 6 (northern, central, and </w:t>
            </w:r>
            <w:r w:rsidRPr="00C23C90">
              <w:rPr>
                <w:rFonts w:ascii="Tahoma" w:hAnsi="Tahoma" w:cs="Tahoma"/>
                <w:bCs/>
                <w:color w:val="0D0D0D" w:themeColor="text1" w:themeTint="F2"/>
                <w:w w:val="90"/>
                <w:sz w:val="18"/>
                <w:szCs w:val="18"/>
              </w:rPr>
              <w:t xml:space="preserve">(non-toll) </w:t>
            </w:r>
            <w:r w:rsidRPr="00C23C90">
              <w:rPr>
                <w:rFonts w:ascii="Tahoma" w:hAnsi="Tahoma" w:cs="Tahoma" w:hint="cs"/>
                <w:bCs/>
                <w:color w:val="0D0D0D" w:themeColor="text1" w:themeTint="F2"/>
                <w:w w:val="90"/>
                <w:sz w:val="18"/>
                <w:szCs w:val="18"/>
              </w:rPr>
              <w:t>southern</w:t>
            </w:r>
            <w:r w:rsidRPr="00C23C90">
              <w:rPr>
                <w:rFonts w:ascii="Tahoma" w:hAnsi="Tahoma" w:cs="Tahoma"/>
                <w:bCs/>
                <w:color w:val="0D0D0D" w:themeColor="text1" w:themeTint="F2"/>
                <w:w w:val="90"/>
                <w:sz w:val="18"/>
                <w:szCs w:val="18"/>
              </w:rPr>
              <w:t>)</w:t>
            </w:r>
            <w:r w:rsidRPr="00C23C90">
              <w:rPr>
                <w:rFonts w:ascii="Tahoma" w:hAnsi="Tahoma" w:cs="Tahoma" w:hint="cs"/>
                <w:bCs/>
                <w:color w:val="0D0D0D" w:themeColor="text1" w:themeTint="F2"/>
                <w:w w:val="90"/>
                <w:sz w:val="18"/>
                <w:szCs w:val="18"/>
              </w:rPr>
              <w:t xml:space="preserve"> – 188 km; Carmel Tunnels – 6.5 km; Fast Lane – 13 km</w:t>
            </w:r>
          </w:p>
        </w:tc>
        <w:tc>
          <w:tcPr>
            <w:tcW w:w="101" w:type="pct"/>
          </w:tcPr>
          <w:p w:rsidR="00EB7C40" w:rsidRPr="00B662F5" w:rsidP="00EB7C40" w14:paraId="31FC66A8" w14:textId="77777777">
            <w:pPr>
              <w:bidi w:val="0"/>
              <w:spacing w:after="0" w:line="240" w:lineRule="auto"/>
              <w:ind w:right="23"/>
              <w:rPr>
                <w:rFonts w:ascii="Tahoma" w:hAnsi="Tahoma" w:cs="Tahoma"/>
                <w:bCs/>
                <w:color w:val="0D0D0D" w:themeColor="text1" w:themeTint="F2"/>
                <w:w w:val="90"/>
                <w:sz w:val="18"/>
                <w:szCs w:val="18"/>
              </w:rPr>
            </w:pPr>
          </w:p>
        </w:tc>
        <w:tc>
          <w:tcPr>
            <w:tcW w:w="1195" w:type="pct"/>
            <w:tcBorders>
              <w:top w:val="single" w:sz="8" w:space="0" w:color="000000"/>
            </w:tcBorders>
          </w:tcPr>
          <w:p w:rsidR="00EB7C40" w:rsidRPr="00B662F5" w:rsidP="00EB7C40" w14:paraId="3AFB1672" w14:textId="7C1DF5C2">
            <w:pPr>
              <w:bidi w:val="0"/>
              <w:spacing w:after="0" w:line="240" w:lineRule="auto"/>
              <w:ind w:right="23"/>
              <w:rPr>
                <w:rFonts w:ascii="Tahoma" w:hAnsi="Tahoma" w:cs="Tahoma"/>
                <w:bCs/>
                <w:color w:val="0D0D0D" w:themeColor="text1" w:themeTint="F2"/>
                <w:w w:val="90"/>
                <w:sz w:val="18"/>
                <w:szCs w:val="18"/>
              </w:rPr>
            </w:pPr>
            <w:r w:rsidRPr="00C23C90">
              <w:rPr>
                <w:rFonts w:ascii="Tahoma" w:hAnsi="Tahoma" w:cs="Tahoma" w:hint="cs"/>
                <w:bCs/>
                <w:color w:val="0D0D0D" w:themeColor="text1" w:themeTint="F2"/>
                <w:w w:val="90"/>
                <w:sz w:val="18"/>
                <w:szCs w:val="18"/>
              </w:rPr>
              <w:t>The average speed measured on certain sections of Highway 6 during peak morning hours, and 47 km/h in the afternoon, where the maximum speed</w:t>
            </w:r>
            <w:r w:rsidRPr="00C23C90">
              <w:rPr>
                <w:rFonts w:ascii="Tahoma" w:hAnsi="Tahoma" w:cs="Tahoma"/>
                <w:bCs/>
                <w:color w:val="0D0D0D" w:themeColor="text1" w:themeTint="F2"/>
                <w:w w:val="90"/>
                <w:sz w:val="18"/>
                <w:szCs w:val="18"/>
              </w:rPr>
              <w:t xml:space="preserve"> permitted</w:t>
            </w:r>
            <w:r w:rsidRPr="00C23C90">
              <w:rPr>
                <w:rFonts w:ascii="Tahoma" w:hAnsi="Tahoma" w:cs="Tahoma" w:hint="cs"/>
                <w:bCs/>
                <w:color w:val="0D0D0D" w:themeColor="text1" w:themeTint="F2"/>
                <w:w w:val="90"/>
                <w:sz w:val="18"/>
                <w:szCs w:val="18"/>
              </w:rPr>
              <w:t xml:space="preserve"> is 120 km/h</w:t>
            </w:r>
          </w:p>
        </w:tc>
      </w:tr>
      <w:tr w14:paraId="3A3B2768" w14:textId="4D98DDF8" w:rsidTr="006B212E">
        <w:tblPrEx>
          <w:tblW w:w="5161" w:type="pct"/>
          <w:tblLook w:val="04A0"/>
        </w:tblPrEx>
        <w:trPr>
          <w:trHeight w:val="170"/>
        </w:trPr>
        <w:tc>
          <w:tcPr>
            <w:tcW w:w="1338" w:type="pct"/>
          </w:tcPr>
          <w:p w:rsidR="008771C5" w:rsidRPr="00B47903" w:rsidP="00EB7C40" w14:paraId="1A07D554" w14:textId="35E38359">
            <w:pPr>
              <w:bidi w:val="0"/>
              <w:spacing w:after="0" w:line="240" w:lineRule="auto"/>
              <w:rPr>
                <w:rFonts w:ascii="Tahoma" w:hAnsi="Tahoma" w:cs="Tahoma"/>
                <w:b/>
                <w:bCs/>
                <w:color w:val="0D0D0D" w:themeColor="text1" w:themeTint="F2"/>
                <w:sz w:val="14"/>
                <w:szCs w:val="14"/>
                <w:rtl/>
              </w:rPr>
            </w:pPr>
          </w:p>
        </w:tc>
        <w:tc>
          <w:tcPr>
            <w:tcW w:w="103" w:type="pct"/>
          </w:tcPr>
          <w:p w:rsidR="008771C5" w:rsidRPr="00B47903" w:rsidP="00EB7C40" w14:paraId="398FB0FD" w14:textId="77777777">
            <w:pPr>
              <w:bidi w:val="0"/>
              <w:spacing w:after="0" w:line="240" w:lineRule="auto"/>
              <w:rPr>
                <w:rFonts w:ascii="Tahoma" w:hAnsi="Tahoma" w:cs="Tahoma"/>
                <w:b/>
                <w:bCs/>
                <w:color w:val="0D0D0D" w:themeColor="text1" w:themeTint="F2"/>
                <w:sz w:val="14"/>
                <w:szCs w:val="14"/>
              </w:rPr>
            </w:pPr>
          </w:p>
        </w:tc>
        <w:tc>
          <w:tcPr>
            <w:tcW w:w="1155" w:type="pct"/>
          </w:tcPr>
          <w:p w:rsidR="008771C5" w:rsidRPr="00B47903" w:rsidP="00EB7C40" w14:paraId="58859999" w14:textId="77777777">
            <w:pPr>
              <w:bidi w:val="0"/>
              <w:spacing w:after="0" w:line="240" w:lineRule="auto"/>
              <w:rPr>
                <w:rFonts w:ascii="Tahoma" w:hAnsi="Tahoma" w:cs="Tahoma"/>
                <w:b/>
                <w:bCs/>
                <w:color w:val="0D0D0D" w:themeColor="text1" w:themeTint="F2"/>
                <w:sz w:val="14"/>
                <w:szCs w:val="14"/>
                <w:rtl/>
              </w:rPr>
            </w:pPr>
          </w:p>
        </w:tc>
        <w:tc>
          <w:tcPr>
            <w:tcW w:w="103" w:type="pct"/>
          </w:tcPr>
          <w:p w:rsidR="008771C5" w:rsidRPr="00B47903" w:rsidP="00EB7C40" w14:paraId="18626B8F" w14:textId="77777777">
            <w:pPr>
              <w:bidi w:val="0"/>
              <w:spacing w:after="0" w:line="240" w:lineRule="auto"/>
              <w:rPr>
                <w:rFonts w:ascii="Tahoma" w:hAnsi="Tahoma" w:cs="Tahoma"/>
                <w:b/>
                <w:bCs/>
                <w:color w:val="0D0D0D" w:themeColor="text1" w:themeTint="F2"/>
                <w:sz w:val="14"/>
                <w:szCs w:val="14"/>
              </w:rPr>
            </w:pPr>
          </w:p>
        </w:tc>
        <w:tc>
          <w:tcPr>
            <w:tcW w:w="1006" w:type="pct"/>
          </w:tcPr>
          <w:p w:rsidR="008771C5" w:rsidRPr="00B47903" w:rsidP="00EB7C40" w14:paraId="12C512C9" w14:textId="77777777">
            <w:pPr>
              <w:bidi w:val="0"/>
              <w:spacing w:after="0" w:line="240" w:lineRule="auto"/>
              <w:rPr>
                <w:rFonts w:ascii="Tahoma" w:hAnsi="Tahoma" w:cs="Tahoma"/>
                <w:b/>
                <w:bCs/>
                <w:color w:val="0D0D0D" w:themeColor="text1" w:themeTint="F2"/>
                <w:sz w:val="14"/>
                <w:szCs w:val="14"/>
                <w:rtl/>
              </w:rPr>
            </w:pPr>
          </w:p>
        </w:tc>
        <w:tc>
          <w:tcPr>
            <w:tcW w:w="101" w:type="pct"/>
          </w:tcPr>
          <w:p w:rsidR="008771C5" w:rsidRPr="00B47903" w:rsidP="00EB7C40" w14:paraId="7C8842AA" w14:textId="77777777">
            <w:pPr>
              <w:bidi w:val="0"/>
              <w:spacing w:after="0" w:line="240" w:lineRule="auto"/>
              <w:rPr>
                <w:rFonts w:ascii="Tahoma" w:hAnsi="Tahoma" w:cs="Tahoma"/>
                <w:b/>
                <w:bCs/>
                <w:color w:val="0D0D0D" w:themeColor="text1" w:themeTint="F2"/>
                <w:sz w:val="14"/>
                <w:szCs w:val="14"/>
                <w:rtl/>
              </w:rPr>
            </w:pPr>
          </w:p>
        </w:tc>
        <w:tc>
          <w:tcPr>
            <w:tcW w:w="1195" w:type="pct"/>
          </w:tcPr>
          <w:p w:rsidR="008771C5" w:rsidRPr="00B47903" w:rsidP="00EB7C40" w14:paraId="12727038" w14:textId="77777777">
            <w:pPr>
              <w:bidi w:val="0"/>
              <w:spacing w:after="0" w:line="240" w:lineRule="auto"/>
              <w:rPr>
                <w:rFonts w:ascii="Tahoma" w:hAnsi="Tahoma" w:cs="Tahoma"/>
                <w:b/>
                <w:bCs/>
                <w:color w:val="0D0D0D" w:themeColor="text1" w:themeTint="F2"/>
                <w:sz w:val="14"/>
                <w:szCs w:val="14"/>
                <w:rtl/>
              </w:rPr>
            </w:pPr>
          </w:p>
        </w:tc>
      </w:tr>
      <w:tr w14:paraId="69DAE9C2" w14:textId="4B47BC94" w:rsidTr="006B212E">
        <w:tblPrEx>
          <w:tblW w:w="5161" w:type="pct"/>
          <w:tblLook w:val="04A0"/>
        </w:tblPrEx>
        <w:tc>
          <w:tcPr>
            <w:tcW w:w="1338" w:type="pct"/>
            <w:tcBorders>
              <w:bottom w:val="single" w:sz="8" w:space="0" w:color="auto"/>
            </w:tcBorders>
            <w:vAlign w:val="bottom"/>
          </w:tcPr>
          <w:p w:rsidR="00EB7C40" w:rsidRPr="00EB7C40" w:rsidP="00EB7C40" w14:paraId="0A63A02B" w14:textId="3F90722C">
            <w:pPr>
              <w:bidi w:val="0"/>
              <w:spacing w:after="60" w:line="240" w:lineRule="auto"/>
              <w:rPr>
                <w:rFonts w:ascii="Tahoma" w:hAnsi="Tahoma" w:cs="Tahoma"/>
                <w:b/>
                <w:bCs/>
                <w:color w:val="0D0D0D" w:themeColor="text1" w:themeTint="F2"/>
                <w:spacing w:val="-10"/>
                <w:sz w:val="36"/>
                <w:szCs w:val="36"/>
                <w:lang w:val="en"/>
              </w:rPr>
            </w:pPr>
            <w:r w:rsidRPr="00EB7C40">
              <w:rPr>
                <w:rFonts w:ascii="Tahoma" w:hAnsi="Tahoma" w:cs="Tahoma"/>
                <w:b/>
                <w:bCs/>
                <w:color w:val="0D0D0D" w:themeColor="text1" w:themeTint="F2"/>
                <w:spacing w:val="-10"/>
                <w:sz w:val="26"/>
                <w:szCs w:val="26"/>
                <w:lang w:val="en"/>
              </w:rPr>
              <w:t>Approx.</w:t>
            </w:r>
            <w:r w:rsidRPr="00EB7C40">
              <w:rPr>
                <w:rFonts w:ascii="Tahoma" w:hAnsi="Tahoma" w:cs="Tahoma"/>
                <w:b/>
                <w:bCs/>
                <w:color w:val="0D0D0D" w:themeColor="text1" w:themeTint="F2"/>
                <w:spacing w:val="-10"/>
                <w:sz w:val="36"/>
                <w:szCs w:val="36"/>
                <w:lang w:val="en"/>
              </w:rPr>
              <w:t xml:space="preserve"> 273%</w:t>
            </w:r>
          </w:p>
        </w:tc>
        <w:tc>
          <w:tcPr>
            <w:tcW w:w="103" w:type="pct"/>
            <w:tcBorders>
              <w:bottom w:val="single" w:sz="8" w:space="0" w:color="FFFFFF"/>
            </w:tcBorders>
            <w:vAlign w:val="bottom"/>
          </w:tcPr>
          <w:p w:rsidR="00EB7C40" w:rsidRPr="00EB7C40" w:rsidP="00EB7C40" w14:paraId="2B044DDD" w14:textId="77777777">
            <w:pPr>
              <w:bidi w:val="0"/>
              <w:spacing w:after="60" w:line="240" w:lineRule="auto"/>
              <w:rPr>
                <w:rFonts w:ascii="Tahoma" w:hAnsi="Tahoma" w:cs="Tahoma"/>
                <w:b/>
                <w:bCs/>
                <w:color w:val="0D0D0D" w:themeColor="text1" w:themeTint="F2"/>
                <w:sz w:val="26"/>
                <w:szCs w:val="26"/>
              </w:rPr>
            </w:pPr>
          </w:p>
        </w:tc>
        <w:tc>
          <w:tcPr>
            <w:tcW w:w="1155" w:type="pct"/>
            <w:tcBorders>
              <w:bottom w:val="single" w:sz="8" w:space="0" w:color="auto"/>
            </w:tcBorders>
            <w:vAlign w:val="bottom"/>
          </w:tcPr>
          <w:p w:rsidR="00EB7C40" w:rsidRPr="00EB7C40" w:rsidP="00EB7C40" w14:paraId="5F2BF29F" w14:textId="1F9B55BE">
            <w:pPr>
              <w:bidi w:val="0"/>
              <w:spacing w:after="60" w:line="240" w:lineRule="auto"/>
              <w:rPr>
                <w:rFonts w:ascii="Tahoma" w:hAnsi="Tahoma" w:cs="Tahoma"/>
                <w:b/>
                <w:bCs/>
                <w:color w:val="0D0D0D" w:themeColor="text1" w:themeTint="F2"/>
                <w:sz w:val="26"/>
                <w:szCs w:val="26"/>
              </w:rPr>
            </w:pPr>
            <w:r w:rsidRPr="00EB7C40">
              <w:rPr>
                <w:rFonts w:ascii="Tahoma" w:hAnsi="Tahoma" w:cs="Tahoma"/>
                <w:b/>
                <w:bCs/>
                <w:color w:val="0D0D0D" w:themeColor="text1" w:themeTint="F2"/>
                <w:spacing w:val="-10"/>
                <w:sz w:val="36"/>
                <w:szCs w:val="36"/>
                <w:lang w:val="en"/>
              </w:rPr>
              <w:t>70%</w:t>
            </w:r>
            <w:r w:rsidRPr="00EB7C40">
              <w:rPr>
                <w:rFonts w:ascii="Tahoma" w:hAnsi="Tahoma" w:cs="Tahoma"/>
                <w:b/>
                <w:bCs/>
                <w:spacing w:val="-10"/>
                <w:sz w:val="26"/>
                <w:szCs w:val="26"/>
                <w:lang w:val="en"/>
              </w:rPr>
              <w:t xml:space="preserve"> decrease in average travel speed</w:t>
            </w:r>
          </w:p>
        </w:tc>
        <w:tc>
          <w:tcPr>
            <w:tcW w:w="103" w:type="pct"/>
            <w:tcBorders>
              <w:bottom w:val="single" w:sz="8" w:space="0" w:color="FFFFFF"/>
            </w:tcBorders>
            <w:vAlign w:val="bottom"/>
          </w:tcPr>
          <w:p w:rsidR="00EB7C40" w:rsidRPr="00EB7C40" w:rsidP="00EB7C40" w14:paraId="3407A7B6" w14:textId="77777777">
            <w:pPr>
              <w:bidi w:val="0"/>
              <w:spacing w:after="60" w:line="240" w:lineRule="auto"/>
              <w:rPr>
                <w:rFonts w:ascii="Tahoma" w:hAnsi="Tahoma" w:cs="Tahoma"/>
                <w:b/>
                <w:bCs/>
                <w:color w:val="0D0D0D" w:themeColor="text1" w:themeTint="F2"/>
                <w:sz w:val="26"/>
                <w:szCs w:val="26"/>
              </w:rPr>
            </w:pPr>
          </w:p>
        </w:tc>
        <w:tc>
          <w:tcPr>
            <w:tcW w:w="1006" w:type="pct"/>
            <w:tcBorders>
              <w:bottom w:val="single" w:sz="8" w:space="0" w:color="000000"/>
            </w:tcBorders>
            <w:vAlign w:val="bottom"/>
          </w:tcPr>
          <w:p w:rsidR="00EB7C40" w:rsidRPr="00EB7C40" w:rsidP="00EB7C40" w14:paraId="24B9C4D0" w14:textId="57561795">
            <w:pPr>
              <w:bidi w:val="0"/>
              <w:spacing w:after="60" w:line="240" w:lineRule="auto"/>
              <w:rPr>
                <w:rFonts w:ascii="Tahoma" w:hAnsi="Tahoma" w:cs="Tahoma"/>
                <w:b/>
                <w:bCs/>
                <w:color w:val="0D0D0D" w:themeColor="text1" w:themeTint="F2"/>
                <w:sz w:val="26"/>
                <w:szCs w:val="26"/>
              </w:rPr>
            </w:pPr>
            <w:r w:rsidRPr="00EB7C40">
              <w:rPr>
                <w:rFonts w:ascii="Tahoma" w:hAnsi="Tahoma" w:cs="Tahoma"/>
                <w:b/>
                <w:bCs/>
                <w:color w:val="0D0D0D" w:themeColor="text1" w:themeTint="F2"/>
                <w:spacing w:val="-10"/>
                <w:sz w:val="36"/>
                <w:szCs w:val="36"/>
                <w:lang w:val="en"/>
              </w:rPr>
              <w:t>390</w:t>
            </w:r>
            <w:r w:rsidRPr="00EB7C40">
              <w:rPr>
                <w:rFonts w:ascii="Tahoma" w:hAnsi="Tahoma" w:cs="Tahoma"/>
                <w:b/>
                <w:bCs/>
                <w:color w:val="0D0D0D" w:themeColor="text1" w:themeTint="F2"/>
                <w:spacing w:val="-10"/>
                <w:sz w:val="26"/>
                <w:szCs w:val="26"/>
                <w:lang w:val="en"/>
              </w:rPr>
              <w:t xml:space="preserve"> </w:t>
            </w:r>
            <w:r>
              <w:rPr>
                <w:rFonts w:ascii="Tahoma" w:hAnsi="Tahoma" w:cs="Tahoma"/>
                <w:b/>
                <w:bCs/>
                <w:color w:val="0D0D0D" w:themeColor="text1" w:themeTint="F2"/>
                <w:spacing w:val="-10"/>
                <w:sz w:val="26"/>
                <w:szCs w:val="26"/>
                <w:lang w:val="en"/>
              </w:rPr>
              <w:br/>
            </w:r>
            <w:r w:rsidRPr="00EB7C40">
              <w:rPr>
                <w:rFonts w:ascii="Tahoma" w:hAnsi="Tahoma" w:cs="Tahoma"/>
                <w:b/>
                <w:bCs/>
                <w:color w:val="0D0D0D" w:themeColor="text1" w:themeTint="F2"/>
                <w:spacing w:val="-10"/>
                <w:sz w:val="26"/>
                <w:szCs w:val="26"/>
                <w:lang w:val="en"/>
              </w:rPr>
              <w:t>NIS million</w:t>
            </w:r>
          </w:p>
        </w:tc>
        <w:tc>
          <w:tcPr>
            <w:tcW w:w="101" w:type="pct"/>
            <w:vAlign w:val="bottom"/>
          </w:tcPr>
          <w:p w:rsidR="00EB7C40" w:rsidRPr="00EB7C40" w:rsidP="00EB7C40" w14:paraId="1A1A685D" w14:textId="77777777">
            <w:pPr>
              <w:bidi w:val="0"/>
              <w:spacing w:after="60" w:line="240" w:lineRule="auto"/>
              <w:rPr>
                <w:rFonts w:ascii="Tahoma" w:hAnsi="Tahoma" w:cs="Tahoma"/>
                <w:b/>
                <w:bCs/>
                <w:color w:val="0D0D0D" w:themeColor="text1" w:themeTint="F2"/>
                <w:sz w:val="26"/>
                <w:szCs w:val="26"/>
              </w:rPr>
            </w:pPr>
          </w:p>
        </w:tc>
        <w:tc>
          <w:tcPr>
            <w:tcW w:w="1195" w:type="pct"/>
            <w:tcBorders>
              <w:bottom w:val="single" w:sz="8" w:space="0" w:color="000000"/>
            </w:tcBorders>
            <w:vAlign w:val="bottom"/>
          </w:tcPr>
          <w:p w:rsidR="00EB7C40" w:rsidRPr="00EB7C40" w:rsidP="00EB7C40" w14:paraId="02226F29" w14:textId="1CD381C7">
            <w:pPr>
              <w:bidi w:val="0"/>
              <w:spacing w:after="60" w:line="240" w:lineRule="auto"/>
              <w:rPr>
                <w:rFonts w:ascii="Tahoma" w:hAnsi="Tahoma" w:cs="Tahoma"/>
                <w:b/>
                <w:bCs/>
                <w:color w:val="0D0D0D" w:themeColor="text1" w:themeTint="F2"/>
                <w:sz w:val="26"/>
                <w:szCs w:val="26"/>
              </w:rPr>
            </w:pPr>
            <w:r w:rsidRPr="00EB7C40">
              <w:rPr>
                <w:rFonts w:ascii="Tahoma" w:hAnsi="Tahoma" w:cs="Tahoma"/>
                <w:b/>
                <w:bCs/>
                <w:color w:val="0D0D0D" w:themeColor="text1" w:themeTint="F2"/>
                <w:spacing w:val="-10"/>
                <w:sz w:val="26"/>
                <w:szCs w:val="26"/>
                <w:lang w:val="en"/>
              </w:rPr>
              <w:t xml:space="preserve">NIS </w:t>
            </w:r>
            <w:r w:rsidRPr="00EB7C40">
              <w:rPr>
                <w:rFonts w:ascii="Tahoma" w:hAnsi="Tahoma" w:cs="Tahoma"/>
                <w:b/>
                <w:bCs/>
                <w:color w:val="0D0D0D" w:themeColor="text1" w:themeTint="F2"/>
                <w:spacing w:val="-10"/>
                <w:sz w:val="36"/>
                <w:szCs w:val="36"/>
                <w:lang w:val="en"/>
              </w:rPr>
              <w:t>15.22</w:t>
            </w:r>
            <w:r w:rsidRPr="00EB7C40">
              <w:rPr>
                <w:rFonts w:ascii="Tahoma" w:hAnsi="Tahoma" w:cs="Tahoma"/>
                <w:b/>
                <w:bCs/>
                <w:color w:val="0D0D0D" w:themeColor="text1" w:themeTint="F2"/>
                <w:spacing w:val="-10"/>
                <w:sz w:val="26"/>
                <w:szCs w:val="26"/>
                <w:lang w:val="en"/>
              </w:rPr>
              <w:t xml:space="preserve"> </w:t>
            </w:r>
            <w:r>
              <w:rPr>
                <w:rFonts w:ascii="Tahoma" w:hAnsi="Tahoma" w:cs="Tahoma"/>
                <w:b/>
                <w:bCs/>
                <w:color w:val="0D0D0D" w:themeColor="text1" w:themeTint="F2"/>
                <w:spacing w:val="-10"/>
                <w:sz w:val="26"/>
                <w:szCs w:val="26"/>
                <w:lang w:val="en"/>
              </w:rPr>
              <w:br/>
            </w:r>
            <w:r w:rsidRPr="00EB7C40">
              <w:rPr>
                <w:rFonts w:ascii="Tahoma" w:hAnsi="Tahoma" w:cs="Tahoma"/>
                <w:b/>
                <w:bCs/>
                <w:color w:val="0D0D0D" w:themeColor="text1" w:themeTint="F2"/>
                <w:spacing w:val="-10"/>
                <w:sz w:val="26"/>
                <w:szCs w:val="26"/>
                <w:lang w:val="en"/>
              </w:rPr>
              <w:t xml:space="preserve">and NIS </w:t>
            </w:r>
            <w:r w:rsidRPr="00EB7C40">
              <w:rPr>
                <w:rFonts w:ascii="Tahoma" w:hAnsi="Tahoma" w:cs="Tahoma"/>
                <w:b/>
                <w:bCs/>
                <w:color w:val="0D0D0D" w:themeColor="text1" w:themeTint="F2"/>
                <w:spacing w:val="-10"/>
                <w:sz w:val="36"/>
                <w:szCs w:val="36"/>
                <w:lang w:val="en"/>
              </w:rPr>
              <w:t>11.01</w:t>
            </w:r>
          </w:p>
        </w:tc>
      </w:tr>
      <w:tr w14:paraId="7FB01C39" w14:textId="7E0F3449" w:rsidTr="006B212E">
        <w:tblPrEx>
          <w:tblW w:w="5161" w:type="pct"/>
          <w:tblLook w:val="04A0"/>
        </w:tblPrEx>
        <w:tc>
          <w:tcPr>
            <w:tcW w:w="1338" w:type="pct"/>
            <w:tcBorders>
              <w:top w:val="single" w:sz="8" w:space="0" w:color="000000"/>
            </w:tcBorders>
          </w:tcPr>
          <w:p w:rsidR="00EB7C40" w:rsidRPr="00EB7C40" w:rsidP="00EB7C40" w14:paraId="0E469777" w14:textId="03807940">
            <w:pPr>
              <w:bidi w:val="0"/>
              <w:spacing w:after="100" w:line="240" w:lineRule="auto"/>
              <w:rPr>
                <w:rFonts w:ascii="Tahoma" w:hAnsi="Tahoma" w:cs="Tahoma"/>
                <w:bCs/>
                <w:color w:val="0D0D0D" w:themeColor="text1" w:themeTint="F2"/>
                <w:spacing w:val="-4"/>
                <w:w w:val="90"/>
                <w:sz w:val="18"/>
                <w:szCs w:val="18"/>
                <w:rtl/>
              </w:rPr>
            </w:pPr>
            <w:r w:rsidRPr="00EB7C40">
              <w:rPr>
                <w:rFonts w:ascii="Tahoma" w:hAnsi="Tahoma" w:cs="Tahoma"/>
                <w:bCs/>
                <w:color w:val="0D0D0D" w:themeColor="text1" w:themeTint="F2"/>
                <w:spacing w:val="-4"/>
                <w:w w:val="90"/>
                <w:sz w:val="18"/>
                <w:szCs w:val="18"/>
              </w:rPr>
              <w:t xml:space="preserve">The cumulative growth rate of traffic on the central section of Highway 6 between 2003 and 2019. Until 2017, the annual average growth rate was approximately 8.8%, but it decreased to 4.6% starting in 2017, primarily due to drivers shifting to off-peak hours </w:t>
            </w:r>
            <w:r w:rsidRPr="00EB7C40">
              <w:rPr>
                <w:rFonts w:ascii="Tahoma" w:hAnsi="Tahoma" w:cs="Tahoma"/>
                <w:bCs/>
                <w:color w:val="0D0D0D" w:themeColor="text1" w:themeTint="F2"/>
                <w:spacing w:val="-4"/>
                <w:w w:val="90"/>
                <w:sz w:val="18"/>
                <w:szCs w:val="18"/>
              </w:rPr>
              <w:t>as a result of</w:t>
            </w:r>
            <w:r w:rsidRPr="00EB7C40">
              <w:rPr>
                <w:rFonts w:ascii="Tahoma" w:hAnsi="Tahoma" w:cs="Tahoma"/>
                <w:bCs/>
                <w:color w:val="0D0D0D" w:themeColor="text1" w:themeTint="F2"/>
                <w:spacing w:val="-4"/>
                <w:w w:val="90"/>
                <w:sz w:val="18"/>
                <w:szCs w:val="18"/>
              </w:rPr>
              <w:t xml:space="preserve"> the increasing number of hours during the day with traffic congestion and the decline in average travel speeds</w:t>
            </w:r>
          </w:p>
        </w:tc>
        <w:tc>
          <w:tcPr>
            <w:tcW w:w="103" w:type="pct"/>
            <w:tcBorders>
              <w:top w:val="single" w:sz="8" w:space="0" w:color="FFFFFF"/>
            </w:tcBorders>
          </w:tcPr>
          <w:p w:rsidR="00EB7C40" w:rsidRPr="008A5E62" w:rsidP="00EB7C40" w14:paraId="452D577E" w14:textId="77777777">
            <w:pPr>
              <w:bidi w:val="0"/>
              <w:spacing w:after="100" w:line="240" w:lineRule="auto"/>
              <w:rPr>
                <w:rFonts w:ascii="Tahoma" w:hAnsi="Tahoma" w:cs="Tahoma"/>
                <w:bCs/>
                <w:color w:val="0D0D0D" w:themeColor="text1" w:themeTint="F2"/>
                <w:w w:val="90"/>
                <w:sz w:val="18"/>
                <w:szCs w:val="18"/>
                <w:rtl/>
              </w:rPr>
            </w:pPr>
          </w:p>
        </w:tc>
        <w:tc>
          <w:tcPr>
            <w:tcW w:w="1155" w:type="pct"/>
            <w:tcBorders>
              <w:top w:val="single" w:sz="8" w:space="0" w:color="000000"/>
            </w:tcBorders>
          </w:tcPr>
          <w:p w:rsidR="00EB7C40" w:rsidRPr="00EB7C40" w:rsidP="00EB7C40" w14:paraId="77825D81" w14:textId="65D3D67F">
            <w:pPr>
              <w:bidi w:val="0"/>
              <w:spacing w:after="100" w:line="240" w:lineRule="auto"/>
              <w:rPr>
                <w:rFonts w:ascii="Tahoma" w:hAnsi="Tahoma" w:cs="Tahoma"/>
                <w:bCs/>
                <w:color w:val="0D0D0D" w:themeColor="text1" w:themeTint="F2"/>
                <w:spacing w:val="-4"/>
                <w:w w:val="90"/>
                <w:sz w:val="18"/>
                <w:szCs w:val="18"/>
                <w:rtl/>
              </w:rPr>
            </w:pPr>
            <w:r w:rsidRPr="00EB7C40">
              <w:rPr>
                <w:rFonts w:ascii="Tahoma" w:hAnsi="Tahoma" w:cs="Tahoma" w:hint="cs"/>
                <w:bCs/>
                <w:color w:val="0D0D0D" w:themeColor="text1" w:themeTint="F2"/>
                <w:spacing w:val="-4"/>
                <w:w w:val="90"/>
                <w:sz w:val="18"/>
                <w:szCs w:val="18"/>
              </w:rPr>
              <w:t xml:space="preserve">The expected change in 2030 on Highway 6 in the section between Baka and </w:t>
            </w:r>
            <w:r w:rsidRPr="00EB7C40">
              <w:rPr>
                <w:rFonts w:ascii="Tahoma" w:hAnsi="Tahoma" w:cs="Tahoma" w:hint="cs"/>
                <w:bCs/>
                <w:color w:val="0D0D0D" w:themeColor="text1" w:themeTint="F2"/>
                <w:spacing w:val="-4"/>
                <w:w w:val="90"/>
                <w:sz w:val="18"/>
                <w:szCs w:val="18"/>
              </w:rPr>
              <w:t>Nitzanei</w:t>
            </w:r>
            <w:r w:rsidRPr="00EB7C40">
              <w:rPr>
                <w:rFonts w:ascii="Tahoma" w:hAnsi="Tahoma" w:cs="Tahoma" w:hint="cs"/>
                <w:bCs/>
                <w:color w:val="0D0D0D" w:themeColor="text1" w:themeTint="F2"/>
                <w:spacing w:val="-4"/>
                <w:w w:val="90"/>
                <w:sz w:val="18"/>
                <w:szCs w:val="18"/>
              </w:rPr>
              <w:t xml:space="preserve"> Oz compared to the current situation without the expansion of Highway 6. Across other examined sections of Highway 6, the expected reductions in average speed vary, ranging from 70% to 51% in three segments, and from 72% to 45% in three others</w:t>
            </w:r>
          </w:p>
        </w:tc>
        <w:tc>
          <w:tcPr>
            <w:tcW w:w="103" w:type="pct"/>
            <w:tcBorders>
              <w:top w:val="single" w:sz="8" w:space="0" w:color="FFFFFF"/>
            </w:tcBorders>
          </w:tcPr>
          <w:p w:rsidR="00EB7C40" w:rsidRPr="00EB7C40" w:rsidP="00EB7C40" w14:paraId="5F4A0ACF" w14:textId="77777777">
            <w:pPr>
              <w:bidi w:val="0"/>
              <w:spacing w:after="100" w:line="240" w:lineRule="auto"/>
              <w:rPr>
                <w:rFonts w:ascii="Tahoma" w:hAnsi="Tahoma" w:cs="Tahoma"/>
                <w:bCs/>
                <w:color w:val="0D0D0D" w:themeColor="text1" w:themeTint="F2"/>
                <w:spacing w:val="-4"/>
                <w:w w:val="90"/>
                <w:sz w:val="18"/>
                <w:szCs w:val="18"/>
                <w:rtl/>
              </w:rPr>
            </w:pPr>
          </w:p>
        </w:tc>
        <w:tc>
          <w:tcPr>
            <w:tcW w:w="1006" w:type="pct"/>
            <w:tcBorders>
              <w:top w:val="single" w:sz="8" w:space="0" w:color="000000"/>
            </w:tcBorders>
          </w:tcPr>
          <w:p w:rsidR="00EB7C40" w:rsidRPr="00EB7C40" w:rsidP="00EB7C40" w14:paraId="368D853C" w14:textId="37BF7A7A">
            <w:pPr>
              <w:bidi w:val="0"/>
              <w:spacing w:after="100" w:line="240" w:lineRule="auto"/>
              <w:ind w:right="23"/>
              <w:rPr>
                <w:spacing w:val="-4"/>
              </w:rPr>
            </w:pPr>
            <w:r w:rsidRPr="00EB7C40">
              <w:rPr>
                <w:rFonts w:ascii="Tahoma" w:hAnsi="Tahoma" w:cs="Tahoma" w:hint="cs"/>
                <w:bCs/>
                <w:color w:val="0D0D0D" w:themeColor="text1" w:themeTint="F2"/>
                <w:spacing w:val="-4"/>
                <w:w w:val="90"/>
                <w:sz w:val="18"/>
                <w:szCs w:val="18"/>
              </w:rPr>
              <w:t>The estimated national economic benefit in 2030 from expanding Highway 6 and building the Beit Nehemia interchange as a regular road amounts to NIS 260 million when operated as a high-occupancy lane (HO</w:t>
            </w:r>
            <w:r w:rsidRPr="00EB7C40">
              <w:rPr>
                <w:rFonts w:ascii="Tahoma" w:hAnsi="Tahoma" w:cs="Tahoma"/>
                <w:bCs/>
                <w:color w:val="0D0D0D" w:themeColor="text1" w:themeTint="F2"/>
                <w:spacing w:val="-4"/>
                <w:w w:val="90"/>
                <w:sz w:val="18"/>
                <w:szCs w:val="18"/>
              </w:rPr>
              <w:t>V</w:t>
            </w:r>
            <w:r w:rsidRPr="00EB7C40">
              <w:rPr>
                <w:rFonts w:ascii="Tahoma" w:hAnsi="Tahoma" w:cs="Tahoma" w:hint="cs"/>
                <w:bCs/>
                <w:color w:val="0D0D0D" w:themeColor="text1" w:themeTint="F2"/>
                <w:spacing w:val="-4"/>
                <w:w w:val="90"/>
                <w:sz w:val="18"/>
                <w:szCs w:val="18"/>
              </w:rPr>
              <w:t>)</w:t>
            </w:r>
          </w:p>
        </w:tc>
        <w:tc>
          <w:tcPr>
            <w:tcW w:w="101" w:type="pct"/>
          </w:tcPr>
          <w:p w:rsidR="00EB7C40" w:rsidRPr="00EB7C40" w:rsidP="00EB7C40" w14:paraId="2855BDCC" w14:textId="77777777">
            <w:pPr>
              <w:bidi w:val="0"/>
              <w:spacing w:after="100" w:line="240" w:lineRule="auto"/>
              <w:ind w:right="23"/>
              <w:rPr>
                <w:rFonts w:ascii="Tahoma" w:hAnsi="Tahoma" w:cs="Tahoma"/>
                <w:bCs/>
                <w:color w:val="0D0D0D" w:themeColor="text1" w:themeTint="F2"/>
                <w:spacing w:val="-4"/>
                <w:w w:val="90"/>
                <w:sz w:val="18"/>
                <w:szCs w:val="18"/>
              </w:rPr>
            </w:pPr>
          </w:p>
        </w:tc>
        <w:tc>
          <w:tcPr>
            <w:tcW w:w="1195" w:type="pct"/>
            <w:tcBorders>
              <w:top w:val="single" w:sz="8" w:space="0" w:color="000000"/>
            </w:tcBorders>
          </w:tcPr>
          <w:p w:rsidR="00EB7C40" w:rsidRPr="00EB7C40" w:rsidP="00EB7C40" w14:paraId="7C5F0D74" w14:textId="3E6C6855">
            <w:pPr>
              <w:bidi w:val="0"/>
              <w:spacing w:after="100" w:line="240" w:lineRule="auto"/>
              <w:ind w:right="23"/>
              <w:rPr>
                <w:rFonts w:ascii="Tahoma" w:hAnsi="Tahoma" w:cs="Tahoma"/>
                <w:bCs/>
                <w:color w:val="0D0D0D" w:themeColor="text1" w:themeTint="F2"/>
                <w:spacing w:val="-4"/>
                <w:w w:val="90"/>
                <w:sz w:val="18"/>
                <w:szCs w:val="18"/>
              </w:rPr>
            </w:pPr>
            <w:r w:rsidRPr="00EB7C40">
              <w:rPr>
                <w:rFonts w:ascii="Tahoma" w:hAnsi="Tahoma" w:cs="Tahoma" w:hint="cs"/>
                <w:bCs/>
                <w:color w:val="0D0D0D" w:themeColor="text1" w:themeTint="F2"/>
                <w:spacing w:val="-4"/>
                <w:w w:val="90"/>
                <w:sz w:val="18"/>
                <w:szCs w:val="18"/>
              </w:rPr>
              <w:t>The toll rates in Section 18 of Highway 6 in the central section, for occasional users and video subscribers respectively, compared to 9.27 and 7.94 NIS in Highway 6 North for occasional users and video subscribers respectively – a difference of 64.2% and 38.6% for occasional users and video subscribers respectively, despite the geographical proximity and similar topography</w:t>
            </w:r>
          </w:p>
        </w:tc>
      </w:tr>
    </w:tbl>
    <w:p w:rsidR="001E44CF" w:rsidP="009661D6" w14:paraId="5BE35871" w14:textId="6DAAECAF">
      <w:pPr>
        <w:bidi w:val="0"/>
        <w:spacing w:before="120" w:after="180" w:line="240" w:lineRule="atLeast"/>
        <w:rPr>
          <w:rFonts w:ascii="Tahoma" w:hAnsi="Tahoma" w:cs="Tahoma"/>
          <w:b/>
          <w:bCs/>
          <w:color w:val="00305F"/>
          <w:sz w:val="32"/>
          <w:szCs w:val="32"/>
        </w:rPr>
      </w:pPr>
      <w:bookmarkStart w:id="8" w:name="_Hlk62029958"/>
      <w:r>
        <w:rPr>
          <w:rFonts w:ascii="Tahoma" w:hAnsi="Tahoma" w:cs="Tahoma"/>
          <w:b/>
          <w:bCs/>
          <w:noProof/>
          <w:color w:val="003364"/>
          <w:w w:val="90"/>
          <w:sz w:val="32"/>
          <w:szCs w:val="32"/>
        </w:rPr>
        <w:drawing>
          <wp:inline distT="0" distB="0" distL="0" distR="0">
            <wp:extent cx="4679950" cy="45720"/>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9A341D" w:rsidRPr="00902625" w:rsidP="001E44CF" w14:paraId="62E9D9E2" w14:textId="3876BB59">
      <w:pPr>
        <w:bidi w:val="0"/>
        <w:spacing w:before="120" w:after="180" w:line="240" w:lineRule="atLeast"/>
        <w:rPr>
          <w:rFonts w:ascii="Tahoma" w:hAnsi="Tahoma" w:cs="Tahoma"/>
          <w:b/>
          <w:bCs/>
          <w:color w:val="00305F"/>
          <w:sz w:val="32"/>
          <w:szCs w:val="32"/>
        </w:rPr>
      </w:pPr>
      <w:r w:rsidRPr="00667F8D">
        <w:rPr>
          <w:noProof/>
        </w:rPr>
        <w:drawing>
          <wp:anchor distT="0" distB="0" distL="0" distR="0" simplePos="0" relativeHeight="251687936" behindDoc="1" locked="0" layoutInCell="1" allowOverlap="1">
            <wp:simplePos x="0" y="0"/>
            <wp:positionH relativeFrom="margin">
              <wp:posOffset>0</wp:posOffset>
            </wp:positionH>
            <wp:positionV relativeFrom="margin">
              <wp:posOffset>638810</wp:posOffset>
            </wp:positionV>
            <wp:extent cx="161925" cy="177800"/>
            <wp:effectExtent l="0" t="0" r="3175" b="0"/>
            <wp:wrapTight wrapText="bothSides">
              <wp:wrapPolygon>
                <wp:start x="0" y="0"/>
                <wp:lineTo x="0" y="16971"/>
                <wp:lineTo x="11859" y="20057"/>
                <wp:lineTo x="20329" y="20057"/>
                <wp:lineTo x="20329" y="10800"/>
                <wp:lineTo x="16941" y="0"/>
                <wp:lineTo x="0" y="0"/>
              </wp:wrapPolygon>
            </wp:wrapTight>
            <wp:docPr id="21" name="תמונה 33"/>
            <wp:cNvGraphicFramePr/>
            <a:graphic xmlns:a="http://schemas.openxmlformats.org/drawingml/2006/main">
              <a:graphicData uri="http://schemas.openxmlformats.org/drawingml/2006/picture">
                <pic:pic xmlns:pic="http://schemas.openxmlformats.org/drawingml/2006/picture">
                  <pic:nvPicPr>
                    <pic:cNvPr id="21" name="תמונה 33"/>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7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5F94" w:rsidR="008615A2">
        <w:rPr>
          <w:rFonts w:ascii="Tahoma" w:hAnsi="Tahoma" w:cs="Tahoma"/>
          <w:b/>
          <w:bCs/>
          <w:color w:val="00305F"/>
          <w:sz w:val="32"/>
          <w:szCs w:val="32"/>
        </w:rPr>
        <w:t xml:space="preserve">Audit </w:t>
      </w:r>
      <w:r w:rsidR="004806D7">
        <w:rPr>
          <w:rFonts w:ascii="Tahoma" w:hAnsi="Tahoma" w:cs="Tahoma"/>
          <w:b/>
          <w:bCs/>
          <w:color w:val="00305F"/>
          <w:sz w:val="32"/>
          <w:szCs w:val="32"/>
        </w:rPr>
        <w:t>A</w:t>
      </w:r>
      <w:r w:rsidRPr="00AE5F94" w:rsidR="008615A2">
        <w:rPr>
          <w:rFonts w:ascii="Tahoma" w:hAnsi="Tahoma" w:cs="Tahoma"/>
          <w:b/>
          <w:bCs/>
          <w:color w:val="00305F"/>
          <w:sz w:val="32"/>
          <w:szCs w:val="32"/>
        </w:rPr>
        <w:t>ctions</w:t>
      </w:r>
    </w:p>
    <w:bookmarkEnd w:id="8"/>
    <w:p w:rsidR="00A73A45" w:rsidRPr="00667F8D" w:rsidP="00667F8D" w14:paraId="602B8997" w14:textId="73FC4B36">
      <w:pPr>
        <w:pStyle w:val="719"/>
        <w:bidi w:val="0"/>
        <w:ind w:left="397"/>
      </w:pPr>
      <w:r w:rsidRPr="00C23C90">
        <w:t>From August 2023 to April 2024, the State Comptroller's Office examined the operation of toll roads in Israel, the level of service provided on these roads, oversight by the Trans-Israel Highway Company as the regulatory authority over concessionaires, and the actions taken by the Trans-Israel Highway Company and the state regarding the Highway 6 expansion project. The audit was conducted at the Trans-Israel Highway Company, the Ministry of Transportation and Road Safety, and the Ministry of Finance</w:t>
      </w:r>
      <w:r w:rsidRPr="00667F8D" w:rsidR="00FF2854">
        <w:t>.</w:t>
      </w:r>
    </w:p>
    <w:p w:rsidR="000A1D75" w:rsidP="00B56681" w14:paraId="44F553C6" w14:textId="6D5C69C9">
      <w:pPr>
        <w:keepNext/>
        <w:keepLines/>
        <w:bidi w:val="0"/>
        <w:spacing w:before="600"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0A1D75" w:rsidP="009661D6" w14:paraId="129BA907" w14:textId="147575D3">
      <w:pPr>
        <w:keepNext/>
        <w:keepLines/>
        <w:bidi w:val="0"/>
        <w:spacing w:before="120" w:after="180" w:line="240" w:lineRule="atLeast"/>
        <w:rPr>
          <w:rFonts w:ascii="Tahoma" w:hAnsi="Tahoma" w:cs="Tahoma"/>
          <w:b/>
          <w:bCs/>
          <w:color w:val="00305F"/>
          <w:sz w:val="32"/>
          <w:szCs w:val="32"/>
          <w:rtl/>
        </w:rPr>
      </w:pPr>
      <w:bookmarkStart w:id="9" w:name="_Hlk62030689"/>
      <w:r w:rsidRPr="00AE5F94">
        <w:rPr>
          <w:rFonts w:ascii="Tahoma" w:hAnsi="Tahoma" w:cs="Tahoma"/>
          <w:b/>
          <w:bCs/>
          <w:color w:val="00305F"/>
          <w:sz w:val="32"/>
          <w:szCs w:val="32"/>
        </w:rPr>
        <w:t xml:space="preserve">Key </w:t>
      </w:r>
      <w:r w:rsidR="004806D7">
        <w:rPr>
          <w:rFonts w:ascii="Tahoma" w:hAnsi="Tahoma" w:cs="Tahoma"/>
          <w:b/>
          <w:bCs/>
          <w:color w:val="00305F"/>
          <w:sz w:val="32"/>
          <w:szCs w:val="32"/>
        </w:rPr>
        <w:t>F</w:t>
      </w:r>
      <w:r w:rsidRPr="00AE5F94">
        <w:rPr>
          <w:rFonts w:ascii="Tahoma" w:hAnsi="Tahoma" w:cs="Tahoma"/>
          <w:b/>
          <w:bCs/>
          <w:color w:val="00305F"/>
          <w:sz w:val="32"/>
          <w:szCs w:val="32"/>
        </w:rPr>
        <w:t>indings</w:t>
      </w:r>
    </w:p>
    <w:p w:rsidR="00BD3044" w:rsidRPr="00BD3044" w:rsidP="00BD3044" w14:paraId="007359CF" w14:textId="2DF255FA">
      <w:pPr>
        <w:keepNext/>
        <w:keepLines/>
        <w:bidi w:val="0"/>
        <w:spacing w:after="180" w:line="240" w:lineRule="atLeast"/>
        <w:rPr>
          <w:rFonts w:ascii="Tahoma" w:hAnsi="Tahoma" w:cs="Tahoma"/>
          <w:b/>
          <w:bCs/>
          <w:color w:val="00305F"/>
          <w:sz w:val="4"/>
          <w:szCs w:val="4"/>
          <w:rtl/>
        </w:rPr>
      </w:pPr>
      <w:r>
        <w:rPr>
          <w:b/>
          <w:bCs/>
          <w:noProof/>
          <w:sz w:val="18"/>
        </w:rPr>
        <w:drawing>
          <wp:anchor distT="0" distB="0" distL="114300" distR="114300" simplePos="0" relativeHeight="251673600" behindDoc="1" locked="0" layoutInCell="1" allowOverlap="1">
            <wp:simplePos x="0" y="0"/>
            <wp:positionH relativeFrom="column">
              <wp:posOffset>1270</wp:posOffset>
            </wp:positionH>
            <wp:positionV relativeFrom="paragraph">
              <wp:posOffset>38295</wp:posOffset>
            </wp:positionV>
            <wp:extent cx="2879725" cy="158115"/>
            <wp:effectExtent l="0" t="0" r="0" b="0"/>
            <wp:wrapTight wrapText="bothSides">
              <wp:wrapPolygon>
                <wp:start x="4191" y="0"/>
                <wp:lineTo x="0" y="5205"/>
                <wp:lineTo x="0" y="8675"/>
                <wp:lineTo x="4191" y="19084"/>
                <wp:lineTo x="5906" y="19084"/>
                <wp:lineTo x="21433" y="8675"/>
                <wp:lineTo x="21433" y="5205"/>
                <wp:lineTo x="5906" y="0"/>
                <wp:lineTo x="419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bookmarkEnd w:id="9"/>
    <w:p w:rsidR="00EA3DAD" w:rsidP="00667F8D" w14:paraId="6867AAEC" w14:textId="5431FDDB">
      <w:pPr>
        <w:pStyle w:val="7191"/>
        <w:bidi w:val="0"/>
        <w:spacing w:before="240"/>
        <w:ind w:left="397"/>
      </w:pPr>
      <w:r w:rsidRPr="00C34355">
        <w:rPr>
          <w:rFonts w:hint="cs"/>
          <w:b/>
          <w:bCs/>
          <w:noProof/>
          <w:rtl/>
        </w:rPr>
        <w:drawing>
          <wp:anchor distT="0" distB="0" distL="0" distR="0" simplePos="0" relativeHeight="25167462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34355" w:rsidR="006B212E">
        <w:rPr>
          <w:rFonts w:hint="cs"/>
          <w:b/>
          <w:bCs/>
        </w:rPr>
        <w:t xml:space="preserve">Examining the </w:t>
      </w:r>
      <w:r w:rsidRPr="00C34355" w:rsidR="006B212E">
        <w:rPr>
          <w:b/>
          <w:bCs/>
        </w:rPr>
        <w:t xml:space="preserve">Desirability </w:t>
      </w:r>
      <w:r w:rsidRPr="00C34355" w:rsidR="006B212E">
        <w:rPr>
          <w:rFonts w:hint="cs"/>
          <w:b/>
          <w:bCs/>
        </w:rPr>
        <w:t xml:space="preserve">of the </w:t>
      </w:r>
      <w:r w:rsidRPr="00C34355" w:rsidR="006B212E">
        <w:rPr>
          <w:b/>
          <w:bCs/>
        </w:rPr>
        <w:t>PPP Model Versus Government</w:t>
      </w:r>
      <w:r w:rsidRPr="00C34355" w:rsidR="006B212E">
        <w:rPr>
          <w:rFonts w:hint="cs"/>
          <w:b/>
          <w:bCs/>
        </w:rPr>
        <w:t>-</w:t>
      </w:r>
      <w:r w:rsidRPr="00C34355" w:rsidR="006B212E">
        <w:rPr>
          <w:b/>
          <w:bCs/>
        </w:rPr>
        <w:t>Funded Road Construction –</w:t>
      </w:r>
      <w:r w:rsidRPr="00C23C90" w:rsidR="006B212E">
        <w:rPr>
          <w:rFonts w:hint="cs"/>
        </w:rPr>
        <w:t xml:space="preserve"> </w:t>
      </w:r>
      <w:r w:rsidRPr="00C23C90" w:rsidR="006B212E">
        <w:t>A</w:t>
      </w:r>
      <w:r w:rsidRPr="00C23C90" w:rsidR="006B212E">
        <w:rPr>
          <w:rFonts w:hint="cs"/>
        </w:rPr>
        <w:t>s of 2024, there are three toll roads in Israel, with a total length of approximately 207.5 km, out of about 8,500 km of roads nationwide. In the years 2019</w:t>
      </w:r>
      <w:r w:rsidRPr="00C23C90" w:rsidR="006B212E">
        <w:t>–</w:t>
      </w:r>
      <w:r w:rsidRPr="00C23C90" w:rsidR="006B212E">
        <w:rPr>
          <w:rFonts w:hint="cs"/>
        </w:rPr>
        <w:t xml:space="preserve">2023, under the </w:t>
      </w:r>
      <w:r w:rsidRPr="00C23C90" w:rsidR="006B212E">
        <w:t xml:space="preserve">contractual </w:t>
      </w:r>
      <w:r w:rsidRPr="00C23C90" w:rsidR="006B212E">
        <w:rPr>
          <w:rFonts w:hint="cs"/>
        </w:rPr>
        <w:t xml:space="preserve">safety net arrangements, </w:t>
      </w:r>
      <w:r w:rsidRPr="00C23C90" w:rsidR="006B212E">
        <w:t xml:space="preserve">while </w:t>
      </w:r>
      <w:r w:rsidRPr="00C23C90" w:rsidR="006B212E">
        <w:rPr>
          <w:rFonts w:hint="cs"/>
        </w:rPr>
        <w:t xml:space="preserve">the state received NIS 111 million and NIS 85 million from the central section concessionaire of Highway 6 and the Carmel Tunnels concessionaire, respectively, </w:t>
      </w:r>
      <w:r w:rsidRPr="00C23C90" w:rsidR="006B212E">
        <w:t>it paid out</w:t>
      </w:r>
      <w:r w:rsidRPr="00C23C90" w:rsidR="006B212E">
        <w:rPr>
          <w:rFonts w:hint="cs"/>
        </w:rPr>
        <w:t xml:space="preserve"> NIS 390 million and NIS 170 million to the northern section concessionaire of Highway 6 and the Fast Lane concessionaire. After offsetting the revenues, the state </w:t>
      </w:r>
      <w:r w:rsidRPr="00C23C90" w:rsidR="006B212E">
        <w:t>ended up paying out</w:t>
      </w:r>
      <w:r w:rsidRPr="00C23C90" w:rsidR="006B212E">
        <w:rPr>
          <w:rFonts w:hint="cs"/>
        </w:rPr>
        <w:t xml:space="preserve"> approximately NIS 363 million to the concessionaires </w:t>
      </w:r>
      <w:r w:rsidRPr="00C23C90" w:rsidR="006B212E">
        <w:t>under</w:t>
      </w:r>
      <w:r w:rsidRPr="00C23C90" w:rsidR="006B212E">
        <w:rPr>
          <w:rFonts w:hint="cs"/>
        </w:rPr>
        <w:t xml:space="preserve"> the safety net</w:t>
      </w:r>
      <w:r w:rsidRPr="00C23C90" w:rsidR="006B212E">
        <w:t xml:space="preserve"> criteria</w:t>
      </w:r>
      <w:r w:rsidRPr="00C23C90" w:rsidR="006B212E">
        <w:rPr>
          <w:rFonts w:hint="cs"/>
        </w:rPr>
        <w:t xml:space="preserve"> over these years. However, the audit revealed that the Ministry of Transportation and the Ministry of Finance did not </w:t>
      </w:r>
      <w:r w:rsidRPr="00C23C90" w:rsidR="006B212E">
        <w:t xml:space="preserve">conduct a </w:t>
      </w:r>
      <w:r w:rsidRPr="00C23C90" w:rsidR="006B212E">
        <w:rPr>
          <w:rFonts w:hint="cs"/>
        </w:rPr>
        <w:t>retrospective analy</w:t>
      </w:r>
      <w:r w:rsidRPr="00C23C90" w:rsidR="006B212E">
        <w:t>sis of</w:t>
      </w:r>
      <w:r w:rsidRPr="00C23C90" w:rsidR="006B212E">
        <w:rPr>
          <w:rFonts w:hint="cs"/>
        </w:rPr>
        <w:t xml:space="preserve"> the overall economic </w:t>
      </w:r>
      <w:r w:rsidRPr="00C23C90" w:rsidR="006B212E">
        <w:t>desira</w:t>
      </w:r>
      <w:r w:rsidRPr="00C23C90" w:rsidR="006B212E">
        <w:rPr>
          <w:rFonts w:hint="cs"/>
        </w:rPr>
        <w:t xml:space="preserve">bility of the PPP road construction model compared to state-funded road construction. Nor did they evaluate the benefits of the toll road projects or assess whether their intended goals in terms of overall </w:t>
      </w:r>
      <w:r w:rsidRPr="00C23C90" w:rsidR="006B212E">
        <w:t>profita</w:t>
      </w:r>
      <w:r w:rsidRPr="00C23C90" w:rsidR="006B212E">
        <w:rPr>
          <w:rFonts w:hint="cs"/>
        </w:rPr>
        <w:t xml:space="preserve">bility and service quality were achieved. This analysis would include comparing the initially estimated economic desirability at the time of decision-making to the actual results, while taking into account changes to the original concession agreements, financial compensation required by the state to ensure project continuation, state payments to concessionaires under the </w:t>
      </w:r>
      <w:r w:rsidRPr="00C23C90" w:rsidR="006B212E">
        <w:t xml:space="preserve">contractual </w:t>
      </w:r>
      <w:r w:rsidRPr="00C23C90" w:rsidR="006B212E">
        <w:rPr>
          <w:rFonts w:hint="cs"/>
        </w:rPr>
        <w:t xml:space="preserve">safety net mechanism, toll rates set for users, and other payments stipulated </w:t>
      </w:r>
      <w:r w:rsidRPr="00C23C90" w:rsidR="006B212E">
        <w:t>within the context of</w:t>
      </w:r>
      <w:r w:rsidRPr="00C23C90" w:rsidR="006B212E">
        <w:rPr>
          <w:rFonts w:hint="cs"/>
        </w:rPr>
        <w:t xml:space="preserve"> add</w:t>
      </w:r>
      <w:r w:rsidRPr="00C23C90" w:rsidR="006B212E">
        <w:t>endums made</w:t>
      </w:r>
      <w:r w:rsidRPr="00C23C90" w:rsidR="006B212E">
        <w:rPr>
          <w:rFonts w:hint="cs"/>
        </w:rPr>
        <w:t xml:space="preserve"> to the concession agreements</w:t>
      </w:r>
      <w:r w:rsidRPr="00D12832">
        <w:t>.</w:t>
      </w:r>
    </w:p>
    <w:p w:rsidR="00D12832" w:rsidRPr="00D12832" w:rsidP="00667F8D" w14:paraId="2E8C0936" w14:textId="30F8BD24">
      <w:pPr>
        <w:pStyle w:val="7191"/>
        <w:bidi w:val="0"/>
        <w:spacing w:before="240"/>
        <w:ind w:left="397"/>
      </w:pPr>
      <w:r w:rsidRPr="00C34355">
        <w:rPr>
          <w:rFonts w:hint="cs"/>
          <w:b/>
          <w:bCs/>
          <w:noProof/>
          <w:rtl/>
        </w:rPr>
        <w:drawing>
          <wp:anchor distT="0" distB="0" distL="0" distR="0" simplePos="0" relativeHeight="25169100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34168750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750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34355" w:rsidR="006B212E">
        <w:rPr>
          <w:rFonts w:hint="cs"/>
          <w:b/>
          <w:bCs/>
        </w:rPr>
        <w:t xml:space="preserve">Traffic </w:t>
      </w:r>
      <w:r w:rsidRPr="00C34355" w:rsidR="006B212E">
        <w:rPr>
          <w:b/>
          <w:bCs/>
        </w:rPr>
        <w:t xml:space="preserve">Congestion </w:t>
      </w:r>
      <w:r w:rsidRPr="00C34355" w:rsidR="006B212E">
        <w:rPr>
          <w:rFonts w:hint="cs"/>
          <w:b/>
          <w:bCs/>
        </w:rPr>
        <w:t xml:space="preserve">on Highway 6 in the </w:t>
      </w:r>
      <w:r w:rsidRPr="00C34355" w:rsidR="006B212E">
        <w:rPr>
          <w:b/>
          <w:bCs/>
        </w:rPr>
        <w:t>Central Section –</w:t>
      </w:r>
      <w:r w:rsidRPr="00C23C90" w:rsidR="006B212E">
        <w:rPr>
          <w:rFonts w:hint="cs"/>
          <w:bCs/>
        </w:rPr>
        <w:t xml:space="preserve"> </w:t>
      </w:r>
      <w:r w:rsidRPr="00C23C90" w:rsidR="006B212E">
        <w:rPr>
          <w:bCs/>
        </w:rPr>
        <w:t>D</w:t>
      </w:r>
      <w:r w:rsidRPr="00C23C90" w:rsidR="006B212E">
        <w:rPr>
          <w:rFonts w:hint="cs"/>
          <w:bCs/>
        </w:rPr>
        <w:t xml:space="preserve">ata from the transportation consultant for the Ministry of Transportation and Trans-Israel Highway Company revealed that, in November 2019, there was moderate-to-high traffic congestion southbound from 5:00 to 9:00 AM between the Iron Interchange and </w:t>
      </w:r>
      <w:r w:rsidRPr="00C23C90" w:rsidR="006B212E">
        <w:rPr>
          <w:rFonts w:hint="cs"/>
          <w:bCs/>
        </w:rPr>
        <w:t>Nachshonim</w:t>
      </w:r>
      <w:r w:rsidRPr="00C23C90" w:rsidR="006B212E">
        <w:rPr>
          <w:rFonts w:hint="cs"/>
          <w:bCs/>
        </w:rPr>
        <w:t xml:space="preserve">, and from 2:00 to 7:00 PM between the </w:t>
      </w:r>
      <w:r w:rsidRPr="00C23C90" w:rsidR="006B212E">
        <w:rPr>
          <w:rFonts w:hint="cs"/>
          <w:bCs/>
        </w:rPr>
        <w:t>Horshim</w:t>
      </w:r>
      <w:r w:rsidRPr="00C23C90" w:rsidR="006B212E">
        <w:rPr>
          <w:rFonts w:hint="cs"/>
          <w:bCs/>
        </w:rPr>
        <w:t xml:space="preserve"> Interchange and </w:t>
      </w:r>
      <w:r w:rsidRPr="00C23C90" w:rsidR="006B212E">
        <w:rPr>
          <w:rFonts w:hint="cs"/>
          <w:bCs/>
        </w:rPr>
        <w:t>Nachshonim</w:t>
      </w:r>
      <w:r w:rsidRPr="00C23C90" w:rsidR="006B212E">
        <w:rPr>
          <w:rFonts w:hint="cs"/>
          <w:bCs/>
        </w:rPr>
        <w:t xml:space="preserve">. Northbound congestion occurred from 7:00 to 9:00 AM between the Ben </w:t>
      </w:r>
      <w:r w:rsidRPr="00C23C90" w:rsidR="006B212E">
        <w:rPr>
          <w:rFonts w:hint="cs"/>
          <w:bCs/>
        </w:rPr>
        <w:t>Shemen</w:t>
      </w:r>
      <w:r w:rsidRPr="00C23C90" w:rsidR="006B212E">
        <w:rPr>
          <w:rFonts w:hint="cs"/>
          <w:bCs/>
        </w:rPr>
        <w:t xml:space="preserve"> Interchange and the Kesem Interchange and from 2:00 to 7:00 PM between the Ben </w:t>
      </w:r>
      <w:r w:rsidRPr="00C23C90" w:rsidR="006B212E">
        <w:rPr>
          <w:rFonts w:hint="cs"/>
          <w:bCs/>
        </w:rPr>
        <w:t>Shemen</w:t>
      </w:r>
      <w:r w:rsidRPr="00C23C90" w:rsidR="006B212E">
        <w:rPr>
          <w:rFonts w:hint="cs"/>
          <w:bCs/>
        </w:rPr>
        <w:t xml:space="preserve"> Interchange and </w:t>
      </w:r>
      <w:r w:rsidRPr="00C23C90" w:rsidR="006B212E">
        <w:rPr>
          <w:rFonts w:hint="cs"/>
          <w:bCs/>
        </w:rPr>
        <w:t>Nitzanei</w:t>
      </w:r>
      <w:r w:rsidRPr="00C23C90" w:rsidR="006B212E">
        <w:rPr>
          <w:rFonts w:hint="cs"/>
          <w:bCs/>
        </w:rPr>
        <w:t xml:space="preserve"> Oz. The transportation consultant's data indicated that, without expanding Highway 6, the average travel speed on the road would steeply decline relative to current conditions. By 2030, the average speed in three segments from Iron to </w:t>
      </w:r>
      <w:r w:rsidRPr="00C23C90" w:rsidR="006B212E">
        <w:rPr>
          <w:rFonts w:hint="cs"/>
          <w:bCs/>
        </w:rPr>
        <w:t>Nitzanei</w:t>
      </w:r>
      <w:r w:rsidRPr="00C23C90" w:rsidR="006B212E">
        <w:rPr>
          <w:rFonts w:hint="cs"/>
          <w:bCs/>
        </w:rPr>
        <w:t xml:space="preserve"> Oz is projected to drop </w:t>
      </w:r>
      <w:r w:rsidRPr="00C23C90" w:rsidR="006B212E">
        <w:rPr>
          <w:bCs/>
        </w:rPr>
        <w:t>between</w:t>
      </w:r>
      <w:r w:rsidRPr="00C23C90" w:rsidR="006B212E">
        <w:rPr>
          <w:rFonts w:hint="cs"/>
          <w:bCs/>
        </w:rPr>
        <w:t xml:space="preserve"> </w:t>
      </w:r>
      <w:r w:rsidRPr="00C23C90" w:rsidR="006B212E">
        <w:rPr>
          <w:bCs/>
        </w:rPr>
        <w:t>30</w:t>
      </w:r>
      <w:r w:rsidRPr="00C23C90" w:rsidR="006B212E">
        <w:rPr>
          <w:noProof/>
        </w:rPr>
        <w:t>–</w:t>
      </w:r>
      <w:r w:rsidRPr="00C23C90" w:rsidR="006B212E">
        <w:rPr>
          <w:bCs/>
        </w:rPr>
        <w:t>45</w:t>
      </w:r>
      <w:r w:rsidRPr="00C23C90" w:rsidR="006B212E">
        <w:rPr>
          <w:rFonts w:hint="cs"/>
          <w:bCs/>
        </w:rPr>
        <w:t xml:space="preserve"> km/h, a decrease of 51</w:t>
      </w:r>
      <w:r w:rsidRPr="00C23C90" w:rsidR="006B212E">
        <w:rPr>
          <w:noProof/>
        </w:rPr>
        <w:t>–</w:t>
      </w:r>
      <w:r w:rsidRPr="00C23C90" w:rsidR="006B212E">
        <w:rPr>
          <w:rFonts w:hint="cs"/>
          <w:bCs/>
        </w:rPr>
        <w:t xml:space="preserve">70%, while in the three segments from </w:t>
      </w:r>
      <w:r w:rsidRPr="00C23C90" w:rsidR="006B212E">
        <w:rPr>
          <w:rFonts w:hint="cs"/>
          <w:bCs/>
        </w:rPr>
        <w:t>Nitzanei</w:t>
      </w:r>
      <w:r w:rsidRPr="00C23C90" w:rsidR="006B212E">
        <w:rPr>
          <w:rFonts w:hint="cs"/>
          <w:bCs/>
        </w:rPr>
        <w:t xml:space="preserve"> Oz to </w:t>
      </w:r>
      <w:r w:rsidRPr="00C23C90" w:rsidR="006B212E">
        <w:rPr>
          <w:rFonts w:hint="cs"/>
          <w:bCs/>
        </w:rPr>
        <w:t>Horshim</w:t>
      </w:r>
      <w:r w:rsidRPr="00C23C90" w:rsidR="006B212E">
        <w:rPr>
          <w:rFonts w:hint="cs"/>
          <w:bCs/>
        </w:rPr>
        <w:t xml:space="preserve">, the speed is expected to fall </w:t>
      </w:r>
      <w:r w:rsidRPr="00C23C90" w:rsidR="006B212E">
        <w:rPr>
          <w:bCs/>
        </w:rPr>
        <w:t>between 14</w:t>
      </w:r>
      <w:r w:rsidRPr="00C23C90" w:rsidR="006B212E">
        <w:rPr>
          <w:noProof/>
        </w:rPr>
        <w:t>–</w:t>
      </w:r>
      <w:r w:rsidRPr="00C23C90" w:rsidR="006B212E">
        <w:rPr>
          <w:rFonts w:hint="cs"/>
          <w:bCs/>
        </w:rPr>
        <w:t>30 km/h, a decline of 18</w:t>
      </w:r>
      <w:r w:rsidRPr="00C23C90" w:rsidR="006B212E">
        <w:rPr>
          <w:noProof/>
        </w:rPr>
        <w:t>–</w:t>
      </w:r>
      <w:r w:rsidRPr="00C23C90" w:rsidR="006B212E">
        <w:rPr>
          <w:rFonts w:hint="cs"/>
          <w:bCs/>
        </w:rPr>
        <w:t xml:space="preserve">57%. Further projections show that by 2040, the average speed in the segments from Iron to </w:t>
      </w:r>
      <w:r w:rsidRPr="00C23C90" w:rsidR="006B212E">
        <w:rPr>
          <w:rFonts w:hint="cs"/>
          <w:bCs/>
        </w:rPr>
        <w:t>Nitzanei</w:t>
      </w:r>
      <w:r w:rsidRPr="00C23C90" w:rsidR="006B212E">
        <w:rPr>
          <w:rFonts w:hint="cs"/>
          <w:bCs/>
        </w:rPr>
        <w:t xml:space="preserve"> Oz would drop </w:t>
      </w:r>
      <w:r w:rsidRPr="00C23C90" w:rsidR="006B212E">
        <w:rPr>
          <w:bCs/>
        </w:rPr>
        <w:t>between</w:t>
      </w:r>
      <w:r w:rsidRPr="00C23C90" w:rsidR="006B212E">
        <w:rPr>
          <w:rFonts w:hint="cs"/>
          <w:bCs/>
        </w:rPr>
        <w:t xml:space="preserve"> </w:t>
      </w:r>
      <w:r w:rsidRPr="00C23C90" w:rsidR="006B212E">
        <w:rPr>
          <w:bCs/>
        </w:rPr>
        <w:t>30</w:t>
      </w:r>
      <w:r w:rsidRPr="00C23C90" w:rsidR="006B212E">
        <w:rPr>
          <w:noProof/>
        </w:rPr>
        <w:t>–</w:t>
      </w:r>
      <w:r w:rsidRPr="00C23C90" w:rsidR="006B212E">
        <w:rPr>
          <w:rFonts w:hint="cs"/>
          <w:bCs/>
        </w:rPr>
        <w:t xml:space="preserve">63 km/h, a decrease of </w:t>
      </w:r>
      <w:r w:rsidRPr="00C23C90" w:rsidR="006B212E">
        <w:rPr>
          <w:bCs/>
        </w:rPr>
        <w:t>70</w:t>
      </w:r>
      <w:r w:rsidRPr="00C23C90" w:rsidR="006B212E">
        <w:rPr>
          <w:noProof/>
        </w:rPr>
        <w:t>–</w:t>
      </w:r>
      <w:r w:rsidRPr="00C23C90" w:rsidR="006B212E">
        <w:rPr>
          <w:rFonts w:hint="cs"/>
          <w:bCs/>
        </w:rPr>
        <w:t xml:space="preserve">72%, and in the remaining three segments </w:t>
      </w:r>
      <w:r w:rsidRPr="00C23C90" w:rsidR="006B212E">
        <w:rPr>
          <w:bCs/>
        </w:rPr>
        <w:t>between 35</w:t>
      </w:r>
      <w:r w:rsidRPr="00C23C90" w:rsidR="006B212E">
        <w:rPr>
          <w:noProof/>
        </w:rPr>
        <w:t>–</w:t>
      </w:r>
      <w:r w:rsidRPr="00C23C90" w:rsidR="006B212E">
        <w:rPr>
          <w:rFonts w:hint="cs"/>
          <w:bCs/>
        </w:rPr>
        <w:t xml:space="preserve">38 km/h, a decrease of </w:t>
      </w:r>
      <w:r w:rsidRPr="00C23C90" w:rsidR="006B212E">
        <w:rPr>
          <w:bCs/>
        </w:rPr>
        <w:t>45</w:t>
      </w:r>
      <w:r w:rsidRPr="00C23C90" w:rsidR="006B212E">
        <w:rPr>
          <w:noProof/>
        </w:rPr>
        <w:t>–</w:t>
      </w:r>
      <w:r w:rsidRPr="00C23C90" w:rsidR="006B212E">
        <w:rPr>
          <w:rFonts w:hint="cs"/>
          <w:bCs/>
        </w:rPr>
        <w:t>72%. These findings, presented to the Inter-Ministerial Tender Committe</w:t>
      </w:r>
      <w:r w:rsidRPr="00C23C90" w:rsidR="006B212E">
        <w:rPr>
          <w:bCs/>
        </w:rPr>
        <w:t>e for Transportation Concession Projects</w:t>
      </w:r>
      <w:r>
        <w:rPr>
          <w:noProof/>
          <w:rtl/>
        </w:rPr>
        <w:footnoteReference w:id="2"/>
      </w:r>
      <w:r w:rsidRPr="00C23C90" w:rsidR="006B212E">
        <w:rPr>
          <w:rFonts w:hint="cs"/>
          <w:bCs/>
        </w:rPr>
        <w:t>, highlighted that during morning peak hours, speeds in certain segments drop to 50 km/h and even 36 km/h, while in the afternoon, speeds fall to 47 km/h, significantly below the maximum speed limit of 120 km/h. The road fails to perform as expected for a highway designed for high service levels. According to Trans-Israel Highway</w:t>
      </w:r>
      <w:r w:rsidRPr="00C23C90" w:rsidR="006B212E">
        <w:rPr>
          <w:bCs/>
        </w:rPr>
        <w:t xml:space="preserve"> Company</w:t>
      </w:r>
      <w:r w:rsidRPr="00C23C90" w:rsidR="006B212E">
        <w:rPr>
          <w:rFonts w:hint="cs"/>
          <w:bCs/>
        </w:rPr>
        <w:t xml:space="preserve"> calculations presented to the Tender Committee, the annual loss from not implementing the expansion by 2030 is estimated at approximately NIS 390 million without a high-occupancy vehicle lane</w:t>
      </w:r>
      <w:r>
        <w:rPr>
          <w:noProof/>
          <w:rtl/>
        </w:rPr>
        <w:footnoteReference w:id="3"/>
      </w:r>
      <w:r w:rsidRPr="00C23C90" w:rsidR="006B212E">
        <w:rPr>
          <w:rFonts w:hint="cs"/>
          <w:bCs/>
        </w:rPr>
        <w:t xml:space="preserve"> (HOV lane) and NIS 260 million with an HOV lane. It was found that studies and discussions within the Tender Committee regarding the Highway 6 expansion, which culminated in August 2022 in a third amendment to the concession agreement to extend the highway by 2028, only began in 2020 despite the heavy congestion that started years earlier. The State Comptroller had already warned the Ministry of Transportation, the Ministry of Finance, and the Trans-Israel Highway Company about the congestion</w:t>
      </w:r>
      <w:r w:rsidRPr="00D12832">
        <w:t>.</w:t>
      </w:r>
    </w:p>
    <w:p w:rsidR="00D12832" w:rsidRPr="00D12832" w:rsidP="00667F8D" w14:paraId="6748FEEA" w14:textId="462B7D70">
      <w:pPr>
        <w:pStyle w:val="7191"/>
        <w:bidi w:val="0"/>
        <w:spacing w:before="240"/>
        <w:ind w:left="397"/>
      </w:pPr>
      <w:r w:rsidRPr="00C34355">
        <w:rPr>
          <w:rFonts w:hint="cs"/>
          <w:b/>
          <w:bCs/>
          <w:noProof/>
          <w:rtl/>
        </w:rPr>
        <w:drawing>
          <wp:anchor distT="0" distB="0" distL="0" distR="0" simplePos="0" relativeHeight="25169203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525306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0679"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34355" w:rsidR="006B212E">
        <w:rPr>
          <w:rFonts w:hint="cs"/>
          <w:b/>
          <w:bCs/>
        </w:rPr>
        <w:t xml:space="preserve">The </w:t>
      </w:r>
      <w:r w:rsidRPr="00C34355" w:rsidR="006B212E">
        <w:rPr>
          <w:b/>
          <w:bCs/>
        </w:rPr>
        <w:t xml:space="preserve">Disparity </w:t>
      </w:r>
      <w:r w:rsidRPr="00C34355" w:rsidR="006B212E">
        <w:rPr>
          <w:rFonts w:hint="cs"/>
          <w:b/>
          <w:bCs/>
        </w:rPr>
        <w:t xml:space="preserve">in </w:t>
      </w:r>
      <w:r w:rsidRPr="00C34355" w:rsidR="006B212E">
        <w:rPr>
          <w:b/>
          <w:bCs/>
        </w:rPr>
        <w:t xml:space="preserve">Toll Rates Between </w:t>
      </w:r>
      <w:r w:rsidRPr="00C34355" w:rsidR="006B212E">
        <w:rPr>
          <w:rFonts w:hint="cs"/>
          <w:b/>
          <w:bCs/>
        </w:rPr>
        <w:t xml:space="preserve">the </w:t>
      </w:r>
      <w:r w:rsidRPr="00C34355" w:rsidR="006B212E">
        <w:rPr>
          <w:b/>
          <w:bCs/>
        </w:rPr>
        <w:t xml:space="preserve">Central </w:t>
      </w:r>
      <w:r w:rsidRPr="00C34355" w:rsidR="006B212E">
        <w:rPr>
          <w:rFonts w:hint="cs"/>
          <w:b/>
          <w:bCs/>
        </w:rPr>
        <w:t xml:space="preserve">and </w:t>
      </w:r>
      <w:r w:rsidRPr="00C34355" w:rsidR="006B212E">
        <w:rPr>
          <w:b/>
          <w:bCs/>
        </w:rPr>
        <w:t xml:space="preserve">Northern Sections </w:t>
      </w:r>
      <w:r w:rsidRPr="00C34355" w:rsidR="006B212E">
        <w:rPr>
          <w:rFonts w:hint="cs"/>
          <w:b/>
          <w:bCs/>
        </w:rPr>
        <w:t>of Highway 6</w:t>
      </w:r>
      <w:r w:rsidRPr="00C34355" w:rsidR="006B212E">
        <w:rPr>
          <w:b/>
          <w:bCs/>
        </w:rPr>
        <w:t xml:space="preserve"> –</w:t>
      </w:r>
      <w:r w:rsidRPr="00C23C90" w:rsidR="006B212E">
        <w:rPr>
          <w:rFonts w:hint="cs"/>
          <w:bCs/>
        </w:rPr>
        <w:t xml:space="preserve"> toll rates on toll roads are determined, among other things, by the cost of construction, operation, and maintenance of the projects, as well as the level of state funding invested in them. According to the law, regulations, and concession agreement, and with the approval of the regulatory authority, the toll for private vehicles with a </w:t>
      </w:r>
      <w:r w:rsidRPr="00C23C90" w:rsidR="006B212E">
        <w:rPr>
          <w:rFonts w:hint="cs"/>
          <w:bCs/>
        </w:rPr>
        <w:t>PassCal</w:t>
      </w:r>
      <w:r w:rsidRPr="00C23C90" w:rsidR="006B212E">
        <w:rPr>
          <w:rFonts w:hint="cs"/>
          <w:bCs/>
        </w:rPr>
        <w:t xml:space="preserve"> subscription on the central section of Highway 6 (for three or more segments, excluding Segment 18 (between the Iron Interchange and Ein Tut Interchange) ranges from NIS 13.97 to NIS 23.8. For occasional users, the toll ranges from NIS 22.39 to NIS 31.71 (62.4% to 73.4% of the toll for occasional users). Including Segment 18, the toll for </w:t>
      </w:r>
      <w:r w:rsidRPr="00C23C90" w:rsidR="006B212E">
        <w:rPr>
          <w:rFonts w:hint="cs"/>
          <w:bCs/>
        </w:rPr>
        <w:t>PassCal</w:t>
      </w:r>
      <w:r w:rsidRPr="00C23C90" w:rsidR="006B212E">
        <w:rPr>
          <w:rFonts w:hint="cs"/>
          <w:bCs/>
        </w:rPr>
        <w:t xml:space="preserve"> subscribers ranges from NIS 20.77 to NIS 30.08, compared to NIS 29.19 to NIS 38.50 for occasional users (71.2% to 78.1% of the occasional user rate). In contrast, subscribers to Highway 6 North do not receive a discount on the base toll compared to </w:t>
      </w:r>
      <w:r w:rsidRPr="00C23C90" w:rsidR="006B212E">
        <w:rPr>
          <w:rFonts w:hint="cs"/>
          <w:bCs/>
        </w:rPr>
        <w:t>occasional users.</w:t>
      </w:r>
      <w:r w:rsidRPr="00C23C90" w:rsidR="006B212E">
        <w:rPr>
          <w:bCs/>
        </w:rPr>
        <w:t xml:space="preserve"> </w:t>
      </w:r>
      <w:r w:rsidRPr="00C23C90" w:rsidR="006B212E">
        <w:rPr>
          <w:rFonts w:hint="cs"/>
          <w:bCs/>
        </w:rPr>
        <w:t>The average toll per segment in the central section of Highway 6 is significantly higher than that of Highway 6 North: for private vehicles, the toll is NIS 2.82 and NIS 2.30 higher for occasional users and video subscribers, respectively (60.1% and 57.9%, respectively). Segment 18 tolls in the central section of Highway 6 are NIS 5.95 and NIS 3.07 higher for occasional users and video subscribers, respectively, compared to the tolls on Highway 6 North (64.2% and 38.6%, respectively), despite the geographical proximity and similar topography of these road segments. This variability in toll rates between Highway 6 North and Segment 18, as well as between the average toll per segment in the northern and central sections of Highway 6, and their lack of clarity, may cause confusion among users, particularly occasional users, making it difficult for them to decide whether using the various road segments is worthwhile. The audit found that the Ministry of Transportation and the Ministry of Finance had not considered the possibility of standardizing and simplifying toll rates on toll roads, including by adjusting state funding levels for the different projects</w:t>
      </w:r>
      <w:r w:rsidRPr="00D12832">
        <w:t>.</w:t>
      </w:r>
    </w:p>
    <w:p w:rsidR="00D12832" w:rsidRPr="00D12832" w:rsidP="00667F8D" w14:paraId="2EE4E33B" w14:textId="743FBEFC">
      <w:pPr>
        <w:pStyle w:val="7191"/>
        <w:bidi w:val="0"/>
        <w:spacing w:before="240"/>
        <w:ind w:left="397"/>
      </w:pPr>
      <w:r w:rsidRPr="00C34355">
        <w:rPr>
          <w:rFonts w:hint="cs"/>
          <w:b/>
          <w:bCs/>
          <w:noProof/>
          <w:rtl/>
        </w:rPr>
        <w:drawing>
          <wp:anchor distT="0" distB="0" distL="0" distR="0" simplePos="0" relativeHeight="25169305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35719256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19256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34355" w:rsidR="006B212E">
        <w:rPr>
          <w:rFonts w:hint="eastAsia"/>
          <w:b/>
          <w:bCs/>
        </w:rPr>
        <w:t xml:space="preserve">Toll </w:t>
      </w:r>
      <w:r w:rsidRPr="00C34355" w:rsidR="006B212E">
        <w:rPr>
          <w:b/>
          <w:bCs/>
        </w:rPr>
        <w:t xml:space="preserve">Structure </w:t>
      </w:r>
      <w:r w:rsidRPr="00C34355" w:rsidR="006B212E">
        <w:rPr>
          <w:rFonts w:hint="eastAsia"/>
          <w:b/>
          <w:bCs/>
        </w:rPr>
        <w:t xml:space="preserve">on the </w:t>
      </w:r>
      <w:r w:rsidRPr="00C34355" w:rsidR="006B212E">
        <w:rPr>
          <w:b/>
          <w:bCs/>
        </w:rPr>
        <w:t xml:space="preserve">Central Section </w:t>
      </w:r>
      <w:r w:rsidRPr="00C34355" w:rsidR="006B212E">
        <w:rPr>
          <w:rFonts w:hint="eastAsia"/>
          <w:b/>
          <w:bCs/>
        </w:rPr>
        <w:t>of Highway 6</w:t>
      </w:r>
      <w:r w:rsidRPr="00C34355" w:rsidR="006B212E">
        <w:rPr>
          <w:b/>
          <w:bCs/>
        </w:rPr>
        <w:t xml:space="preserve"> –</w:t>
      </w:r>
      <w:r w:rsidRPr="00C23C90" w:rsidR="006B212E">
        <w:rPr>
          <w:rFonts w:hint="eastAsia"/>
          <w:bCs/>
        </w:rPr>
        <w:t xml:space="preserve"> despite increasing congestion on the road, the Ministry of Transportation, the Ministry of Finance, and Trans-Israel Highway Ltd. have not collaborated with the concessionaire to modify the toll structure for private vehicles on the central section of Highway 6, as stipulated in the original concession agreement. A revised toll structure could establish a link between toll rates and service levels by implementing a differential tolling system. Such a system would encourage drivers to shift travel from peak hours to off-peak hours and incentivize the concessionaire to maintain service levels consistent with those expected of a highway. This approach could reduce congestion and improve service quality, </w:t>
      </w:r>
      <w:r w:rsidRPr="00C23C90" w:rsidR="006B212E">
        <w:rPr>
          <w:rFonts w:hint="eastAsia"/>
          <w:bCs/>
        </w:rPr>
        <w:t>similar to</w:t>
      </w:r>
      <w:r w:rsidRPr="00C23C90" w:rsidR="006B212E">
        <w:rPr>
          <w:rFonts w:hint="eastAsia"/>
          <w:bCs/>
        </w:rPr>
        <w:t xml:space="preserve"> the model employed on the Fast Lane, where dynamic pricing increases as congestion rises, ensuring an average speed of 70 km/h</w:t>
      </w:r>
      <w:r w:rsidRPr="00D12832">
        <w:t>.</w:t>
      </w:r>
    </w:p>
    <w:p w:rsidR="00D12832" w:rsidRPr="00D12832" w:rsidP="00667F8D" w14:paraId="17B4BF12" w14:textId="746EFED8">
      <w:pPr>
        <w:pStyle w:val="7191"/>
        <w:bidi w:val="0"/>
        <w:spacing w:before="240"/>
        <w:ind w:left="397"/>
      </w:pPr>
      <w:r w:rsidRPr="00C34355">
        <w:rPr>
          <w:rFonts w:hint="cs"/>
          <w:b/>
          <w:bCs/>
          <w:noProof/>
          <w:rtl/>
        </w:rPr>
        <w:drawing>
          <wp:anchor distT="0" distB="0" distL="0" distR="0" simplePos="0" relativeHeight="25169408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73685758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5758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34355" w:rsidR="006B212E">
        <w:rPr>
          <w:rFonts w:hint="cs"/>
          <w:b/>
          <w:bCs/>
        </w:rPr>
        <w:t xml:space="preserve">Expansion of Highway 6 in the </w:t>
      </w:r>
      <w:r w:rsidRPr="00C34355" w:rsidR="006B212E">
        <w:rPr>
          <w:b/>
          <w:bCs/>
        </w:rPr>
        <w:t>Central Section –</w:t>
      </w:r>
      <w:r w:rsidRPr="00C23C90" w:rsidR="006B212E">
        <w:rPr>
          <w:rFonts w:hint="cs"/>
          <w:bCs/>
        </w:rPr>
        <w:t xml:space="preserve"> following the last expansion in 2014, the concessionaire fulfilled its obligations regarding road expansion. However, the concessionaire has no commitment to future expansions under the concession agreement unless implemented through a change directive. Consequently, any additional expansion is not part of the original concession agreement signed in 1998 and requires specific planning and preparations. These include designing the expansion and determining its scope, estimating the costs of the expansion project, deciding on the implementing party, and setting a timeline</w:t>
      </w:r>
      <w:r w:rsidRPr="00D12832">
        <w:t>.</w:t>
      </w:r>
    </w:p>
    <w:p w:rsidR="00D12832" w:rsidRPr="00D12832" w:rsidP="00667F8D" w14:paraId="18CA7A28" w14:textId="4ACD82F0">
      <w:pPr>
        <w:pStyle w:val="7191"/>
        <w:bidi w:val="0"/>
        <w:spacing w:before="240"/>
        <w:ind w:left="397"/>
      </w:pPr>
      <w:r w:rsidRPr="00C34355">
        <w:rPr>
          <w:rFonts w:hint="cs"/>
          <w:b/>
          <w:bCs/>
          <w:noProof/>
          <w:rtl/>
        </w:rPr>
        <w:drawing>
          <wp:anchor distT="0" distB="0" distL="0" distR="0" simplePos="0" relativeHeight="25169510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30015594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5594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34355" w:rsidR="006B212E">
        <w:rPr>
          <w:rFonts w:hint="cs"/>
          <w:b/>
          <w:bCs/>
        </w:rPr>
        <w:t>Maintenance of Highway 6 South</w:t>
      </w:r>
      <w:r w:rsidRPr="00C34355" w:rsidR="006B212E">
        <w:rPr>
          <w:b/>
          <w:bCs/>
        </w:rPr>
        <w:t xml:space="preserve"> –</w:t>
      </w:r>
      <w:r w:rsidRPr="00C23C90" w:rsidR="006B212E">
        <w:rPr>
          <w:rFonts w:hint="cs"/>
          <w:bCs/>
        </w:rPr>
        <w:t xml:space="preserve"> unlike other sections of Highway 6 maintained by concessionaires, maintenance work on Highway 6 South is carried out by </w:t>
      </w:r>
      <w:r w:rsidRPr="00C23C90" w:rsidR="006B212E">
        <w:rPr>
          <w:rFonts w:hint="cs"/>
          <w:bCs/>
        </w:rPr>
        <w:t>Netivei</w:t>
      </w:r>
      <w:r w:rsidRPr="00C23C90" w:rsidR="006B212E">
        <w:rPr>
          <w:rFonts w:hint="cs"/>
          <w:bCs/>
        </w:rPr>
        <w:t xml:space="preserve"> Israel (NATI) according to a maintenance plan and prioritization based on a government-approved budget. A discrepancy was identified between the required funding, calculated according to the maintenance model developed by NATI (NIS 2.4 billion annually), and the actual allocated and executed budget – NIS 1.4 billion as of 2023. As a result, some of the road maintenance is not performed at the required standard defined by </w:t>
      </w:r>
      <w:r w:rsidRPr="00C23C90" w:rsidR="006B212E">
        <w:rPr>
          <w:rFonts w:hint="cs"/>
          <w:bCs/>
        </w:rPr>
        <w:t>Netivei’s</w:t>
      </w:r>
      <w:r w:rsidRPr="00C23C90" w:rsidR="006B212E">
        <w:rPr>
          <w:rFonts w:hint="cs"/>
          <w:bCs/>
        </w:rPr>
        <w:t xml:space="preserve"> </w:t>
      </w:r>
      <w:r w:rsidRPr="00C23C90" w:rsidR="006B212E">
        <w:rPr>
          <w:rFonts w:hint="cs"/>
          <w:bCs/>
        </w:rPr>
        <w:t>maintenance model. Consequently, Highway 6 South is not maintained at the same level as the central section of Highway 6, where a toll is charged</w:t>
      </w:r>
      <w:r w:rsidRPr="00D12832">
        <w:t>.</w:t>
      </w:r>
    </w:p>
    <w:p w:rsidR="00D12832" w:rsidRPr="00D12832" w:rsidP="00667F8D" w14:paraId="57AD7108" w14:textId="67B94EC4">
      <w:pPr>
        <w:pStyle w:val="7191"/>
        <w:bidi w:val="0"/>
        <w:spacing w:before="240"/>
        <w:ind w:left="397"/>
      </w:pPr>
      <w:r w:rsidRPr="00C34355">
        <w:rPr>
          <w:rFonts w:hint="cs"/>
          <w:b/>
          <w:bCs/>
          <w:noProof/>
          <w:rtl/>
        </w:rPr>
        <w:drawing>
          <wp:anchor distT="0" distB="0" distL="0" distR="0" simplePos="0" relativeHeight="25169612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14911004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004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34355" w:rsidR="006B212E">
        <w:rPr>
          <w:rFonts w:hint="cs"/>
          <w:b/>
          <w:bCs/>
        </w:rPr>
        <w:t xml:space="preserve">Economic </w:t>
      </w:r>
      <w:r w:rsidRPr="00C34355" w:rsidR="006B212E">
        <w:rPr>
          <w:b/>
          <w:bCs/>
        </w:rPr>
        <w:t xml:space="preserve">Desirability </w:t>
      </w:r>
      <w:r w:rsidRPr="00C34355" w:rsidR="006B212E">
        <w:rPr>
          <w:rFonts w:hint="cs"/>
          <w:b/>
          <w:bCs/>
        </w:rPr>
        <w:t xml:space="preserve">of </w:t>
      </w:r>
      <w:r w:rsidRPr="00C34355" w:rsidR="006B212E">
        <w:rPr>
          <w:b/>
          <w:bCs/>
        </w:rPr>
        <w:t xml:space="preserve">Operating </w:t>
      </w:r>
      <w:r w:rsidRPr="00C34355" w:rsidR="006B212E">
        <w:rPr>
          <w:rFonts w:hint="cs"/>
          <w:b/>
          <w:bCs/>
        </w:rPr>
        <w:t xml:space="preserve">the </w:t>
      </w:r>
      <w:r w:rsidRPr="00C34355" w:rsidR="006B212E">
        <w:rPr>
          <w:b/>
          <w:bCs/>
        </w:rPr>
        <w:t xml:space="preserve">Expansion Lane </w:t>
      </w:r>
      <w:r w:rsidRPr="00C34355" w:rsidR="006B212E">
        <w:rPr>
          <w:rFonts w:hint="cs"/>
          <w:b/>
          <w:bCs/>
        </w:rPr>
        <w:t xml:space="preserve">as a </w:t>
      </w:r>
      <w:r w:rsidRPr="00C34355" w:rsidR="006B212E">
        <w:rPr>
          <w:b/>
          <w:bCs/>
        </w:rPr>
        <w:t>High</w:t>
      </w:r>
      <w:r w:rsidRPr="00C34355" w:rsidR="006B212E">
        <w:rPr>
          <w:rFonts w:hint="cs"/>
          <w:b/>
          <w:bCs/>
        </w:rPr>
        <w:t>-</w:t>
      </w:r>
      <w:r w:rsidRPr="00C34355" w:rsidR="006B212E">
        <w:rPr>
          <w:b/>
          <w:bCs/>
        </w:rPr>
        <w:t xml:space="preserve">Occupancy Vehicle Lane </w:t>
      </w:r>
      <w:r w:rsidRPr="00C34355" w:rsidR="006B212E">
        <w:rPr>
          <w:rFonts w:hint="cs"/>
          <w:b/>
          <w:bCs/>
        </w:rPr>
        <w:t xml:space="preserve">(HOV </w:t>
      </w:r>
      <w:r w:rsidRPr="00C34355" w:rsidR="006B212E">
        <w:rPr>
          <w:b/>
          <w:bCs/>
        </w:rPr>
        <w:t>Lane</w:t>
      </w:r>
      <w:r w:rsidRPr="00C34355" w:rsidR="006B212E">
        <w:rPr>
          <w:rFonts w:hint="cs"/>
          <w:b/>
          <w:bCs/>
        </w:rPr>
        <w:t>)</w:t>
      </w:r>
      <w:r w:rsidRPr="00C34355" w:rsidR="006B212E">
        <w:rPr>
          <w:b/>
          <w:bCs/>
        </w:rPr>
        <w:t xml:space="preserve"> –</w:t>
      </w:r>
      <w:r w:rsidRPr="00C23C90" w:rsidR="006B212E">
        <w:rPr>
          <w:rFonts w:hint="cs"/>
        </w:rPr>
        <w:t xml:space="preserve"> </w:t>
      </w:r>
      <w:r w:rsidRPr="00C23C90" w:rsidR="006B212E">
        <w:rPr>
          <w:rFonts w:hint="cs"/>
          <w:bCs/>
        </w:rPr>
        <w:t>the Highway 6 expansion project includes adding a fourth lane in both directions between the Kesem Interchange and the Iron Interchange, adding a third lane in both directions between the Iron Interchange and the Ein Tut Interchange, and upgrading the Beit Nehemia Interchange. The decision by the Inter-Ministerial Tender Committee in March 2021 to designate the new lane as an HOV lane from the day it opens was found to lack economic desirability. Based on data from the traffic consultant, the national economic benefit in 2030 without the HOV lane is estimated at NIS 390 million, compared to NIS 260 million with the HOV lane – a difference of NIS 130 million. The data also indicates that operating the lane as an HOV lane would only become economically viable starting in 2040. A technological risk related to the implementation of the HOV lane was identified, as no technological system capable of distinguishing between HOV lane users exempt from tolls and those required to pay had been developed at the time of the committee's discussion. Additionally, the discussion highlighted uncertainty about how the new lane would be operated if the passenger-counting system failed to meet its targets. Specifically, there is no clear plan for whether the lane would immediately be converted into a standard lane, which would increase the concessionaire’s revenue and could affect the concession period. Leaving the issue of the HOV lane’s passenger-counting system unresolved with the concessionaire creates a potential for disputes that could delay project progress, jeopardize public service, and diminish the benefits expected by the state from the project</w:t>
      </w:r>
      <w:r w:rsidRPr="00D12832">
        <w:t>.</w:t>
      </w:r>
    </w:p>
    <w:p w:rsidR="00D12832" w:rsidRPr="00D12832" w:rsidP="00667F8D" w14:paraId="0C1A70B1" w14:textId="3C617FA4">
      <w:pPr>
        <w:pStyle w:val="7191"/>
        <w:bidi w:val="0"/>
        <w:spacing w:before="240"/>
        <w:ind w:left="397"/>
      </w:pPr>
      <w:r w:rsidRPr="00C34355">
        <w:rPr>
          <w:rFonts w:hint="cs"/>
          <w:b/>
          <w:bCs/>
          <w:noProof/>
          <w:rtl/>
        </w:rPr>
        <w:drawing>
          <wp:anchor distT="0" distB="0" distL="0" distR="0" simplePos="0" relativeHeight="25169715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7620574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57477"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34355" w:rsidR="006B212E">
        <w:rPr>
          <w:rFonts w:hint="eastAsia"/>
          <w:b/>
          <w:bCs/>
        </w:rPr>
        <w:t xml:space="preserve">Examination of Highway 6 </w:t>
      </w:r>
      <w:r w:rsidRPr="00C34355" w:rsidR="006B212E">
        <w:rPr>
          <w:b/>
          <w:bCs/>
        </w:rPr>
        <w:t xml:space="preserve">Operation After </w:t>
      </w:r>
      <w:r w:rsidRPr="00C34355" w:rsidR="006B212E">
        <w:rPr>
          <w:rFonts w:hint="eastAsia"/>
          <w:b/>
          <w:bCs/>
        </w:rPr>
        <w:t xml:space="preserve">the </w:t>
      </w:r>
      <w:r w:rsidRPr="00C34355" w:rsidR="006B212E">
        <w:rPr>
          <w:b/>
          <w:bCs/>
        </w:rPr>
        <w:t>Concession Period –</w:t>
      </w:r>
      <w:r w:rsidRPr="00C23C90" w:rsidR="006B212E">
        <w:rPr>
          <w:rFonts w:hint="eastAsia"/>
          <w:bCs/>
        </w:rPr>
        <w:t xml:space="preserve"> </w:t>
      </w:r>
      <w:r w:rsidRPr="00C23C90" w:rsidR="006B212E">
        <w:rPr>
          <w:bCs/>
        </w:rPr>
        <w:t>T</w:t>
      </w:r>
      <w:r w:rsidRPr="00C23C90" w:rsidR="006B212E">
        <w:rPr>
          <w:rFonts w:hint="eastAsia"/>
          <w:bCs/>
        </w:rPr>
        <w:t>he concession period for Derech Eretz is expected to be extended by three additional years, until 2032, due to the Highway 6 expansion project. It was found that despite a statement by a representative of the Budget Department in the Tender Committee in March 2021 that toll collection would cease at the end of the concession period in 2032, as of the beginning of the audit in August 2023, no discussions had taken place within Trans-Israel, the Ministry of Transportation, or the Ministry of Finance regarding the operation of Highway 6 after the concession period ends. Only after the audit began did Trans-Israel and the Ministry of Transportation start examining four alternatives for the operation of Highway 6 after the concession period: operation and maintenance by the state, toll-free; maintenance by a concessionaire for a periodic fee, toll-free; operation and maintenance by a concessionaire with differential toll collection to regulate traffic; operation and maintenance by a concessionaire with toll collection for developing projects aimed at improving user benefits</w:t>
      </w:r>
      <w:r w:rsidRPr="00D12832">
        <w:t>.</w:t>
      </w:r>
    </w:p>
    <w:p w:rsidR="00D12832" w:rsidRPr="00D12832" w:rsidP="00C34355" w14:paraId="115A7031" w14:textId="1351CECB">
      <w:pPr>
        <w:pStyle w:val="7191"/>
        <w:bidi w:val="0"/>
        <w:spacing w:before="240"/>
        <w:ind w:left="397"/>
      </w:pPr>
      <w:r w:rsidRPr="00C34355">
        <w:rPr>
          <w:rFonts w:hint="cs"/>
          <w:b/>
          <w:bCs/>
          <w:noProof/>
          <w:rtl/>
        </w:rPr>
        <w:drawing>
          <wp:anchor distT="0" distB="0" distL="0" distR="0" simplePos="0" relativeHeight="251698176"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48214290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42900"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34355" w:rsidR="006B212E">
        <w:rPr>
          <w:rFonts w:hint="eastAsia"/>
          <w:b/>
          <w:bCs/>
        </w:rPr>
        <w:t xml:space="preserve">Base </w:t>
      </w:r>
      <w:r w:rsidRPr="00C34355" w:rsidR="006B212E">
        <w:rPr>
          <w:b/>
          <w:bCs/>
        </w:rPr>
        <w:t xml:space="preserve">Fare </w:t>
      </w:r>
      <w:r w:rsidRPr="00C34355" w:rsidR="006B212E">
        <w:rPr>
          <w:rFonts w:hint="eastAsia"/>
          <w:b/>
          <w:bCs/>
        </w:rPr>
        <w:t xml:space="preserve">for </w:t>
      </w:r>
      <w:r w:rsidRPr="00C34355" w:rsidR="006B212E">
        <w:rPr>
          <w:b/>
          <w:bCs/>
        </w:rPr>
        <w:t xml:space="preserve">Travel </w:t>
      </w:r>
      <w:r w:rsidRPr="00C34355" w:rsidR="006B212E">
        <w:rPr>
          <w:rFonts w:hint="eastAsia"/>
          <w:b/>
          <w:bCs/>
        </w:rPr>
        <w:t>in the Carmel Tunnels</w:t>
      </w:r>
      <w:r w:rsidRPr="00C34355" w:rsidR="006B212E">
        <w:rPr>
          <w:b/>
          <w:bCs/>
        </w:rPr>
        <w:t xml:space="preserve"> –</w:t>
      </w:r>
      <w:r w:rsidRPr="00C23C90" w:rsidR="006B212E">
        <w:rPr>
          <w:rFonts w:hint="eastAsia"/>
          <w:bCs/>
        </w:rPr>
        <w:t xml:space="preserve"> </w:t>
      </w:r>
      <w:r w:rsidRPr="00C23C90" w:rsidR="006B212E">
        <w:rPr>
          <w:bCs/>
        </w:rPr>
        <w:t>T</w:t>
      </w:r>
      <w:r w:rsidRPr="00C23C90" w:rsidR="006B212E">
        <w:rPr>
          <w:rFonts w:hint="eastAsia"/>
          <w:bCs/>
        </w:rPr>
        <w:t xml:space="preserve">he base fare for the Carmel Tunnels has increased in real terms since their opening in December 2010 </w:t>
      </w:r>
      <w:r w:rsidRPr="00C23C90" w:rsidR="006B212E">
        <w:rPr>
          <w:rFonts w:hint="eastAsia"/>
          <w:bCs/>
        </w:rPr>
        <w:t>–</w:t>
      </w:r>
      <w:r w:rsidRPr="00C23C90" w:rsidR="006B212E">
        <w:rPr>
          <w:rFonts w:hint="eastAsia"/>
          <w:bCs/>
        </w:rPr>
        <w:t xml:space="preserve"> private vehicles by NIS 4.39 (a 65.3% increase); public transportation vehicles by NIS 13.29 (a 66.3% </w:t>
      </w:r>
      <w:r w:rsidRPr="00C23C90" w:rsidR="006B212E">
        <w:rPr>
          <w:rFonts w:hint="eastAsia"/>
          <w:bCs/>
        </w:rPr>
        <w:t xml:space="preserve">increase); trucks by NIS 21.95 (a 65.3% increase). This is despite the reduction in the toll rate and the implementation of the discount stipulated in the December 2017 addendum to the concession agreement, which was funded by the state in the </w:t>
      </w:r>
      <w:r w:rsidRPr="00C23C90" w:rsidR="006B212E">
        <w:rPr>
          <w:rFonts w:hint="eastAsia"/>
          <w:bCs/>
        </w:rPr>
        <w:t>amount</w:t>
      </w:r>
      <w:r w:rsidRPr="00C23C90" w:rsidR="006B212E">
        <w:rPr>
          <w:rFonts w:hint="eastAsia"/>
          <w:bCs/>
        </w:rPr>
        <w:t xml:space="preserve"> of hundreds of millions of shekels. The real increase stems from adjustments tied to the Consumer Price Index (CPI) and three fare updates during the first eight years of tunnel operation, which raised the base fare from NIS 5 to NIS 8 (a 60% increase). Combined with CPI adjustments, the total increase exceeded the fare reduction and discounts introduced in 2017 by approximately 65%. Data from Trans-Israel indicate that more than 95% of tunnel users drive private vehicles, with around 11% being occasional users. Round-trip users pay NIS 40.60 per day for two segments and NIS 893.32 per month (based on 22 days at the subscriber rate), representing a significant expense that may deter potential users from using the tunnels. According to Trans-Israel, peak-hour capacity utilization in the tunnels ranges between 70% and 77%, leaving an unused capacity of 23% to 30% during peak hours. This surplus capacity may be attributable to the real increase in toll fares. In a September 2015 report by a traffic consultant for Trans-Israel, it was recommended to modify the toll structure </w:t>
      </w:r>
      <w:r w:rsidRPr="00C23C90" w:rsidR="006B212E">
        <w:rPr>
          <w:rFonts w:hint="eastAsia"/>
          <w:bCs/>
        </w:rPr>
        <w:t>in order to</w:t>
      </w:r>
      <w:r w:rsidRPr="00C23C90" w:rsidR="006B212E">
        <w:rPr>
          <w:rFonts w:hint="eastAsia"/>
          <w:bCs/>
        </w:rPr>
        <w:t xml:space="preserve"> regulate tunnel traffic between peak and off-peak hours, enable better utilization of the tunnels, provide advantages for regular users, and increase trips by</w:t>
      </w:r>
      <w:r w:rsidR="00C34355">
        <w:t xml:space="preserve"> </w:t>
      </w:r>
      <w:r w:rsidRPr="00C23C90" w:rsidR="006B212E">
        <w:rPr>
          <w:rFonts w:hint="eastAsia"/>
          <w:bCs/>
        </w:rPr>
        <w:t xml:space="preserve">medium-frequency users by 30%. A more recent study from January 2023 confirmed that the toll remains a major barrier to increased tunnel use. The fare of NIS 3.2 per kilometer for subscribers is perceived as expensive, even when compared to other toll roads in Israel: Trans North </w:t>
      </w:r>
      <w:r w:rsidRPr="00C23C90" w:rsidR="006B212E">
        <w:rPr>
          <w:rFonts w:hint="eastAsia"/>
          <w:bCs/>
        </w:rPr>
        <w:t>–</w:t>
      </w:r>
      <w:r w:rsidRPr="00C23C90" w:rsidR="006B212E">
        <w:rPr>
          <w:rFonts w:hint="eastAsia"/>
          <w:bCs/>
        </w:rPr>
        <w:t xml:space="preserve"> NIS 0.4</w:t>
      </w:r>
      <w:r w:rsidRPr="00C23C90" w:rsidR="006B212E">
        <w:rPr>
          <w:noProof/>
        </w:rPr>
        <w:t>–</w:t>
      </w:r>
      <w:r w:rsidRPr="00C23C90" w:rsidR="006B212E">
        <w:rPr>
          <w:rFonts w:hint="eastAsia"/>
          <w:bCs/>
        </w:rPr>
        <w:t xml:space="preserve">1.2 per kilometer; segment 18 of Highway 6 </w:t>
      </w:r>
      <w:r w:rsidRPr="00C23C90" w:rsidR="006B212E">
        <w:rPr>
          <w:rFonts w:hint="eastAsia"/>
          <w:bCs/>
        </w:rPr>
        <w:t>–</w:t>
      </w:r>
      <w:r w:rsidRPr="00C23C90" w:rsidR="006B212E">
        <w:rPr>
          <w:rFonts w:hint="eastAsia"/>
          <w:bCs/>
        </w:rPr>
        <w:t xml:space="preserve"> NIS 0.44 per kilometer; Highway 6 overall </w:t>
      </w:r>
      <w:r w:rsidRPr="00C23C90" w:rsidR="006B212E">
        <w:rPr>
          <w:rFonts w:hint="eastAsia"/>
          <w:bCs/>
        </w:rPr>
        <w:t>–</w:t>
      </w:r>
      <w:r w:rsidRPr="00C23C90" w:rsidR="006B212E">
        <w:rPr>
          <w:rFonts w:hint="eastAsia"/>
          <w:bCs/>
        </w:rPr>
        <w:t xml:space="preserve"> up to NIS 0.7 per kilometer</w:t>
      </w:r>
      <w:r w:rsidRPr="00D12832">
        <w:t>.</w:t>
      </w:r>
    </w:p>
    <w:p w:rsidR="00D12832" w:rsidRPr="00D12832" w:rsidP="00667F8D" w14:paraId="3348C3C7" w14:textId="58248844">
      <w:pPr>
        <w:pStyle w:val="7191"/>
        <w:bidi w:val="0"/>
        <w:spacing w:before="240"/>
        <w:ind w:left="397"/>
      </w:pPr>
      <w:r w:rsidRPr="00C34355">
        <w:rPr>
          <w:rFonts w:hint="cs"/>
          <w:b/>
          <w:bCs/>
          <w:noProof/>
          <w:rtl/>
        </w:rPr>
        <w:drawing>
          <wp:anchor distT="0" distB="0" distL="0" distR="0" simplePos="0" relativeHeight="251699200"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143537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374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34355" w:rsidR="006B212E">
        <w:rPr>
          <w:rFonts w:hint="eastAsia"/>
          <w:b/>
          <w:bCs/>
        </w:rPr>
        <w:t xml:space="preserve">Assessment of the </w:t>
      </w:r>
      <w:r w:rsidRPr="00C34355" w:rsidR="006B212E">
        <w:rPr>
          <w:b/>
          <w:bCs/>
        </w:rPr>
        <w:t xml:space="preserve">Necessity </w:t>
      </w:r>
      <w:r w:rsidRPr="00C34355" w:rsidR="006B212E">
        <w:rPr>
          <w:rFonts w:hint="eastAsia"/>
          <w:b/>
          <w:bCs/>
        </w:rPr>
        <w:t xml:space="preserve">for </w:t>
      </w:r>
      <w:r w:rsidRPr="00C34355" w:rsidR="006B212E">
        <w:rPr>
          <w:b/>
          <w:bCs/>
        </w:rPr>
        <w:t xml:space="preserve">Additional Shuttle Routes </w:t>
      </w:r>
      <w:r w:rsidRPr="00C34355" w:rsidR="006B212E">
        <w:rPr>
          <w:rFonts w:hint="eastAsia"/>
          <w:b/>
          <w:bCs/>
        </w:rPr>
        <w:t xml:space="preserve">in </w:t>
      </w:r>
      <w:r w:rsidRPr="00C34355" w:rsidR="006B212E">
        <w:rPr>
          <w:b/>
          <w:bCs/>
        </w:rPr>
        <w:t xml:space="preserve">Employment Hubs Within </w:t>
      </w:r>
      <w:r w:rsidRPr="00C34355" w:rsidR="006B212E">
        <w:rPr>
          <w:rFonts w:hint="eastAsia"/>
          <w:b/>
          <w:bCs/>
        </w:rPr>
        <w:t xml:space="preserve">the Tel Aviv </w:t>
      </w:r>
      <w:r w:rsidRPr="00C34355" w:rsidR="006B212E">
        <w:rPr>
          <w:b/>
          <w:bCs/>
        </w:rPr>
        <w:t xml:space="preserve">Metropolitan Area </w:t>
      </w:r>
      <w:r w:rsidRPr="00C34355" w:rsidR="006B212E">
        <w:rPr>
          <w:b/>
          <w:bCs/>
          <w:noProof/>
        </w:rPr>
        <w:t>–</w:t>
      </w:r>
      <w:r w:rsidRPr="00C23C90" w:rsidR="006B212E">
        <w:rPr>
          <w:rFonts w:hint="eastAsia"/>
          <w:bCs/>
        </w:rPr>
        <w:t xml:space="preserve"> </w:t>
      </w:r>
      <w:r w:rsidRPr="00C23C90" w:rsidR="006B212E">
        <w:rPr>
          <w:bCs/>
        </w:rPr>
        <w:t>I</w:t>
      </w:r>
      <w:r w:rsidRPr="00C23C90" w:rsidR="006B212E">
        <w:rPr>
          <w:rFonts w:hint="eastAsia"/>
          <w:bCs/>
        </w:rPr>
        <w:t xml:space="preserve">t was found that the additional shuttle route from the Fast Lane parking lot to the Rothschild area in Tel Aviv was determined by Trans-Israel based on a survey conducted in February 2018 by a traffic and survey consultant. However, </w:t>
      </w:r>
      <w:bookmarkStart w:id="10" w:name="_Hlk175481537"/>
      <w:r w:rsidRPr="00C23C90" w:rsidR="006B212E">
        <w:rPr>
          <w:rFonts w:hint="eastAsia"/>
          <w:bCs/>
        </w:rPr>
        <w:t>no further systematic surveys have been conducted as of April 2024</w:t>
      </w:r>
      <w:bookmarkEnd w:id="10"/>
      <w:r w:rsidRPr="00C23C90" w:rsidR="006B212E">
        <w:rPr>
          <w:rFonts w:hint="eastAsia"/>
          <w:bCs/>
        </w:rPr>
        <w:t xml:space="preserve">. Additionally, Trans-Israel is not specialized in conducting surveys or determining routes and destinations for bus and shuttle lines, and the examination focused solely on the Rothschild shuttle without assessing the necessity of additional shuttle routes to other employment hubs within the Tel Aviv metropolitan area. It was also found that the concession agreement stipulated that the concessionaire is required to add only one additional shuttle route. The possibility of needing to operate additional routes in the future, considering developments, future needs, population growth, the operation of the light rail, and other factors, was not accounted for, except through a </w:t>
      </w:r>
      <w:r w:rsidRPr="00C23C90" w:rsidR="006B212E">
        <w:rPr>
          <w:bCs/>
        </w:rPr>
        <w:t xml:space="preserve">potential </w:t>
      </w:r>
      <w:r w:rsidRPr="00C23C90" w:rsidR="006B212E">
        <w:rPr>
          <w:rFonts w:hint="eastAsia"/>
          <w:bCs/>
        </w:rPr>
        <w:t xml:space="preserve">modification to the existing concession agreement, which </w:t>
      </w:r>
      <w:r w:rsidRPr="00C23C90" w:rsidR="006B212E">
        <w:rPr>
          <w:bCs/>
        </w:rPr>
        <w:t>would require</w:t>
      </w:r>
      <w:r w:rsidRPr="00C23C90" w:rsidR="006B212E">
        <w:rPr>
          <w:rFonts w:hint="eastAsia"/>
          <w:bCs/>
        </w:rPr>
        <w:t xml:space="preserve"> negotiations with the concessionaire. Moreover, as of June 2024, Trans-Israel lacks ongoing information regarding the occupancy rates of the shuttles</w:t>
      </w:r>
      <w:r w:rsidRPr="00D12832">
        <w:t>.</w:t>
      </w:r>
    </w:p>
    <w:p w:rsidR="006B212E" w:rsidRPr="00273DF4" w:rsidP="006B212E" w14:paraId="6B4B590F" w14:textId="5F380F44">
      <w:pPr>
        <w:pStyle w:val="7191"/>
        <w:bidi w:val="0"/>
        <w:spacing w:before="240"/>
        <w:ind w:left="397"/>
        <w:rPr>
          <w:noProof/>
        </w:rPr>
      </w:pPr>
      <w:r w:rsidRPr="00C34355">
        <w:rPr>
          <w:rFonts w:hint="cs"/>
          <w:b/>
          <w:bCs/>
          <w:noProof/>
          <w:rtl/>
        </w:rPr>
        <w:drawing>
          <wp:anchor distT="0" distB="0" distL="0" distR="0" simplePos="0" relativeHeight="251700224"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53674347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4347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34355">
        <w:rPr>
          <w:rFonts w:hint="cs"/>
          <w:b/>
          <w:bCs/>
        </w:rPr>
        <w:t xml:space="preserve">The </w:t>
      </w:r>
      <w:r w:rsidRPr="00C34355">
        <w:rPr>
          <w:b/>
          <w:bCs/>
        </w:rPr>
        <w:t xml:space="preserve">Level </w:t>
      </w:r>
      <w:r w:rsidRPr="00C34355">
        <w:rPr>
          <w:rFonts w:hint="cs"/>
          <w:b/>
          <w:bCs/>
        </w:rPr>
        <w:t xml:space="preserve">of </w:t>
      </w:r>
      <w:r w:rsidRPr="00C34355">
        <w:rPr>
          <w:b/>
          <w:bCs/>
        </w:rPr>
        <w:t xml:space="preserve">Service Provided </w:t>
      </w:r>
      <w:r w:rsidRPr="00C34355">
        <w:rPr>
          <w:rFonts w:hint="cs"/>
          <w:b/>
          <w:bCs/>
        </w:rPr>
        <w:t xml:space="preserve">to the </w:t>
      </w:r>
      <w:r w:rsidRPr="00C34355">
        <w:rPr>
          <w:b/>
          <w:bCs/>
        </w:rPr>
        <w:t xml:space="preserve">Public </w:t>
      </w:r>
      <w:r w:rsidRPr="00C34355">
        <w:rPr>
          <w:rFonts w:hint="cs"/>
          <w:b/>
          <w:bCs/>
        </w:rPr>
        <w:t xml:space="preserve">by the </w:t>
      </w:r>
      <w:r w:rsidRPr="00C34355">
        <w:rPr>
          <w:b/>
          <w:bCs/>
        </w:rPr>
        <w:t xml:space="preserve">Concessionaires </w:t>
      </w:r>
      <w:r w:rsidRPr="00C34355">
        <w:rPr>
          <w:b/>
          <w:bCs/>
          <w:noProof/>
        </w:rPr>
        <w:t>–</w:t>
      </w:r>
      <w:r w:rsidRPr="00C23C90">
        <w:rPr>
          <w:rFonts w:hint="cs"/>
          <w:bCs/>
        </w:rPr>
        <w:t xml:space="preserve"> Trans-Israel Highway Company, as the supervising authority, conducted </w:t>
      </w:r>
      <w:r w:rsidRPr="00C23C90">
        <w:rPr>
          <w:bCs/>
        </w:rPr>
        <w:t>covert user</w:t>
      </w:r>
      <w:r w:rsidRPr="00C23C90">
        <w:rPr>
          <w:rFonts w:hint="cs"/>
          <w:bCs/>
        </w:rPr>
        <w:t xml:space="preserve"> surveys at the customer service centers of the concessionaires for the central section of Highway </w:t>
      </w:r>
      <w:r w:rsidRPr="00C23C90">
        <w:rPr>
          <w:rFonts w:hint="cs"/>
          <w:bCs/>
        </w:rPr>
        <w:t>6, Highway 6 North, and the Carmel Tunnels.</w:t>
      </w:r>
      <w:r w:rsidRPr="00C23C90">
        <w:rPr>
          <w:bCs/>
        </w:rPr>
        <w:t xml:space="preserve"> </w:t>
      </w:r>
      <w:r w:rsidRPr="00C23C90">
        <w:rPr>
          <w:rFonts w:hint="cs"/>
          <w:bCs/>
        </w:rPr>
        <w:t>Additionally, the Trans-Israel Highway Company conducted a passenger survey among users of the shuttles on the Fast Lane. The following are findings from the surveys conducted by Trans-Israel Highway Company:</w:t>
      </w:r>
    </w:p>
    <w:p w:rsidR="006B212E" w:rsidRPr="00273DF4" w:rsidP="006B212E" w14:paraId="44A49254" w14:textId="77777777">
      <w:pPr>
        <w:pStyle w:val="7191"/>
        <w:numPr>
          <w:ilvl w:val="0"/>
          <w:numId w:val="36"/>
        </w:numPr>
        <w:bidi w:val="0"/>
        <w:spacing w:before="240"/>
        <w:rPr>
          <w:noProof/>
        </w:rPr>
      </w:pPr>
      <w:bookmarkStart w:id="11" w:name="_Hlk169784359"/>
      <w:r w:rsidRPr="00C34355">
        <w:rPr>
          <w:rFonts w:hint="cs"/>
          <w:b/>
          <w:bCs/>
        </w:rPr>
        <w:t xml:space="preserve">Customer </w:t>
      </w:r>
      <w:r w:rsidRPr="00C34355">
        <w:rPr>
          <w:b/>
          <w:bCs/>
        </w:rPr>
        <w:t xml:space="preserve">Service </w:t>
      </w:r>
      <w:r w:rsidRPr="00C34355">
        <w:rPr>
          <w:rFonts w:hint="cs"/>
          <w:b/>
          <w:bCs/>
        </w:rPr>
        <w:t xml:space="preserve">for the </w:t>
      </w:r>
      <w:r w:rsidRPr="00C34355">
        <w:rPr>
          <w:b/>
          <w:bCs/>
        </w:rPr>
        <w:t xml:space="preserve">Central Section </w:t>
      </w:r>
      <w:r w:rsidRPr="00C34355">
        <w:rPr>
          <w:rFonts w:hint="cs"/>
          <w:b/>
          <w:bCs/>
        </w:rPr>
        <w:t>of Highway 6</w:t>
      </w:r>
      <w:bookmarkEnd w:id="11"/>
      <w:r w:rsidRPr="00C34355">
        <w:rPr>
          <w:b/>
          <w:bCs/>
        </w:rPr>
        <w:t xml:space="preserve"> </w:t>
      </w:r>
      <w:r w:rsidRPr="00C34355">
        <w:rPr>
          <w:b/>
          <w:bCs/>
          <w:noProof/>
        </w:rPr>
        <w:t>–</w:t>
      </w:r>
      <w:r w:rsidRPr="00C23C90">
        <w:rPr>
          <w:rFonts w:hint="cs"/>
          <w:bCs/>
        </w:rPr>
        <w:t xml:space="preserve"> </w:t>
      </w:r>
      <w:r w:rsidRPr="00C23C90">
        <w:rPr>
          <w:bCs/>
        </w:rPr>
        <w:t>A</w:t>
      </w:r>
      <w:r w:rsidRPr="00C23C90">
        <w:rPr>
          <w:rFonts w:hint="cs"/>
          <w:bCs/>
        </w:rPr>
        <w:t xml:space="preserve">ccording to a </w:t>
      </w:r>
      <w:r w:rsidRPr="00C23C90">
        <w:rPr>
          <w:bCs/>
        </w:rPr>
        <w:t>covert user</w:t>
      </w:r>
      <w:r w:rsidRPr="00C23C90">
        <w:rPr>
          <w:rFonts w:hint="cs"/>
          <w:bCs/>
        </w:rPr>
        <w:t xml:space="preserve"> survey conducted by Trans-Israel </w:t>
      </w:r>
      <w:r w:rsidRPr="00C23C90">
        <w:rPr>
          <w:rFonts w:hint="cs"/>
        </w:rPr>
        <w:t>from</w:t>
      </w:r>
      <w:r w:rsidRPr="00C23C90">
        <w:rPr>
          <w:rFonts w:hint="cs"/>
          <w:bCs/>
        </w:rPr>
        <w:t xml:space="preserve"> May to July 2022, the average and median wait times for a customer service representative at the call center of Derech Eretz, which operates the central section of Highway 6, were 3:40 minutes and 3:11 minutes, respectively. In 15 cases, the wait time exceeded seven minutes. In a letter sent in October 2022 to the concessionaire's CEO, the average wait times for each day of the week (Sunday through Friday) were presented. However, the distribution of wait times for the 200 calls made during the survey was not included. Such data could indicate how many calls had wait times exceeding seven minutes, how many had wait times between six and seven minutes, etc., which would allow for the calculation of the percentage of calls with the longest wait times. Additionally, the letter did not specify the maximum acceptable wait time required of the concessionaire to reach a human representative. It was also found that the concession agreement between the state and the concessionaire does not define a maximum wait time.</w:t>
      </w:r>
    </w:p>
    <w:p w:rsidR="006B212E" w:rsidRPr="00273DF4" w:rsidP="006B212E" w14:paraId="788E8059" w14:textId="77777777">
      <w:pPr>
        <w:pStyle w:val="7191"/>
        <w:numPr>
          <w:ilvl w:val="0"/>
          <w:numId w:val="36"/>
        </w:numPr>
        <w:bidi w:val="0"/>
        <w:spacing w:before="240"/>
        <w:rPr>
          <w:noProof/>
        </w:rPr>
      </w:pPr>
      <w:r w:rsidRPr="00C34355">
        <w:rPr>
          <w:rFonts w:hint="cs"/>
          <w:b/>
          <w:bCs/>
        </w:rPr>
        <w:t xml:space="preserve">Customer </w:t>
      </w:r>
      <w:r w:rsidRPr="00C34355">
        <w:rPr>
          <w:b/>
          <w:bCs/>
        </w:rPr>
        <w:t xml:space="preserve">Service </w:t>
      </w:r>
      <w:r w:rsidRPr="00C34355">
        <w:rPr>
          <w:rFonts w:hint="cs"/>
          <w:b/>
          <w:bCs/>
        </w:rPr>
        <w:t>at the Carmel Tunnels</w:t>
      </w:r>
      <w:r w:rsidRPr="00C34355">
        <w:rPr>
          <w:b/>
          <w:bCs/>
        </w:rPr>
        <w:t xml:space="preserve"> </w:t>
      </w:r>
      <w:r w:rsidRPr="00C34355">
        <w:rPr>
          <w:b/>
          <w:bCs/>
          <w:noProof/>
        </w:rPr>
        <w:t>–</w:t>
      </w:r>
      <w:r w:rsidRPr="00C23C90">
        <w:rPr>
          <w:rFonts w:hint="cs"/>
          <w:bCs/>
        </w:rPr>
        <w:t xml:space="preserve"> </w:t>
      </w:r>
      <w:r w:rsidRPr="00C23C90">
        <w:rPr>
          <w:bCs/>
        </w:rPr>
        <w:t>A</w:t>
      </w:r>
      <w:r w:rsidRPr="00C23C90">
        <w:rPr>
          <w:rFonts w:hint="cs"/>
          <w:bCs/>
        </w:rPr>
        <w:t xml:space="preserve"> survey found that in 2023, the average response time for a service representative increased by 44 seconds compared to 2018, from 1:26 minutes to 2:10 minutes, and by 48 seconds compared to 2021, from 1:22 minutes to 2:10 minutes.</w:t>
      </w:r>
      <w:r w:rsidRPr="00C23C90">
        <w:rPr>
          <w:bCs/>
        </w:rPr>
        <w:t xml:space="preserve"> </w:t>
      </w:r>
      <w:r w:rsidRPr="00C23C90">
        <w:rPr>
          <w:rFonts w:hint="cs"/>
          <w:bCs/>
        </w:rPr>
        <w:t xml:space="preserve">Additionally, in 2023, the percentage of callers waiting for a response for more than two minutes was approximately 69%, compared to 16% in 2018 </w:t>
      </w:r>
      <w:r w:rsidRPr="00C23C90">
        <w:rPr>
          <w:rFonts w:hint="cs"/>
        </w:rPr>
        <w:t>and</w:t>
      </w:r>
      <w:r w:rsidRPr="00C23C90">
        <w:rPr>
          <w:rFonts w:hint="cs"/>
          <w:bCs/>
        </w:rPr>
        <w:t xml:space="preserve"> 4% in 2021, respectively. The findings indicate that in 2023, the level of service declined compared to 2018, as evidenced by a 51% increase in the average response time and a significant rise in the percentage of callers waiting for more than two minutes, from 16% in 2018 to 69% in 2023. </w:t>
      </w:r>
    </w:p>
    <w:p w:rsidR="00D12832" w:rsidRPr="00D12832" w:rsidP="006B212E" w14:paraId="0FAC454E" w14:textId="0DDEBC63">
      <w:pPr>
        <w:pStyle w:val="7191"/>
        <w:numPr>
          <w:ilvl w:val="0"/>
          <w:numId w:val="36"/>
        </w:numPr>
        <w:bidi w:val="0"/>
        <w:spacing w:before="240"/>
      </w:pPr>
      <w:r w:rsidRPr="00C34355">
        <w:rPr>
          <w:rFonts w:hint="cs"/>
          <w:b/>
          <w:bCs/>
        </w:rPr>
        <w:t xml:space="preserve">Shuttle </w:t>
      </w:r>
      <w:r w:rsidRPr="00C34355">
        <w:rPr>
          <w:b/>
          <w:bCs/>
        </w:rPr>
        <w:t xml:space="preserve">Service </w:t>
      </w:r>
      <w:r w:rsidRPr="00C34355">
        <w:rPr>
          <w:rFonts w:hint="cs"/>
          <w:b/>
          <w:bCs/>
        </w:rPr>
        <w:t xml:space="preserve">from the Fast Lane </w:t>
      </w:r>
      <w:r w:rsidRPr="00C34355">
        <w:rPr>
          <w:b/>
          <w:bCs/>
        </w:rPr>
        <w:t xml:space="preserve">Parking Lot </w:t>
      </w:r>
      <w:r w:rsidRPr="00C34355">
        <w:rPr>
          <w:b/>
          <w:bCs/>
          <w:noProof/>
        </w:rPr>
        <w:t>–</w:t>
      </w:r>
      <w:r w:rsidRPr="00C23C90">
        <w:rPr>
          <w:rFonts w:hint="cs"/>
          <w:bCs/>
        </w:rPr>
        <w:t xml:space="preserve"> </w:t>
      </w:r>
      <w:r w:rsidRPr="00C23C90">
        <w:rPr>
          <w:bCs/>
        </w:rPr>
        <w:t>A</w:t>
      </w:r>
      <w:r w:rsidRPr="00C23C90">
        <w:rPr>
          <w:rFonts w:hint="cs"/>
          <w:bCs/>
        </w:rPr>
        <w:t xml:space="preserve">ccording to a passenger survey conducted by the Trans-Israel Company in 2023 among shuttle users from the Fast Lane parking lot, it was found that the daily passenger rate had significantly decreased compared to previous years. There was a 34% decline in the average daily number of passengers compared to 2016, </w:t>
      </w:r>
      <w:r w:rsidRPr="006B212E">
        <w:rPr>
          <w:rFonts w:hint="cs"/>
        </w:rPr>
        <w:t>and</w:t>
      </w:r>
      <w:r w:rsidRPr="00C23C90">
        <w:rPr>
          <w:rFonts w:hint="cs"/>
          <w:bCs/>
        </w:rPr>
        <w:t xml:space="preserve"> the percentage of users utilizing the service daily dropped by over 50% to 14%. Since 2015, a downward trend in shuttle usage has been observed, particularly on the shuttle line to the Kirya in Tel Aviv, where daily usage declined from 1,239 to 760 passengers between 6:30 AM and 9:30 AM (a decrease of approximately 39%). On the shuttle line to the Diamond Exchange District (Bursa), usage declined from 823 passengers per day in 2015 to 327 passengers per day in 2020 during the same hours (a decrease of </w:t>
      </w:r>
      <w:r w:rsidRPr="00C23C90">
        <w:rPr>
          <w:rFonts w:hint="cs"/>
          <w:bCs/>
        </w:rPr>
        <w:t xml:space="preserve">approximately 60%). However, from 2020 to 2023, usage on this line increased from 327 to 525 passengers per day (an increase of approximately 61%). Despite this growth, the current usage level is still 298 passengers lower (approximately 36%) than in 2015, during the hours of 6:30 AM to 9:30 AM. In the survey, approximately half of the passengers provided general comments, mainly emphasizing the need to add stops (particularly due to the temporary closure of the </w:t>
      </w:r>
      <w:r w:rsidRPr="00C23C90">
        <w:rPr>
          <w:rFonts w:hint="cs"/>
          <w:bCs/>
        </w:rPr>
        <w:t>HaShalom</w:t>
      </w:r>
      <w:r w:rsidRPr="00C23C90">
        <w:rPr>
          <w:rFonts w:hint="cs"/>
          <w:bCs/>
        </w:rPr>
        <w:t xml:space="preserve"> Station for construction) and to include real-time shuttle location and arrival time updates in the mobile application.</w:t>
      </w:r>
    </w:p>
    <w:p w:rsidR="006B212E" w:rsidRPr="00C34355" w:rsidP="006B212E" w14:paraId="38BA2BEE" w14:textId="4E1CAEB0">
      <w:pPr>
        <w:pStyle w:val="7191"/>
        <w:bidi w:val="0"/>
        <w:spacing w:before="240"/>
        <w:ind w:left="397"/>
        <w:rPr>
          <w:b/>
          <w:bCs/>
          <w:noProof/>
        </w:rPr>
      </w:pPr>
      <w:r w:rsidRPr="00C34355">
        <w:rPr>
          <w:rFonts w:hint="cs"/>
          <w:b/>
          <w:bCs/>
          <w:noProof/>
          <w:rtl/>
        </w:rPr>
        <w:drawing>
          <wp:anchor distT="0" distB="0" distL="0" distR="0" simplePos="0" relativeHeight="251701248"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79795734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95734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34355">
        <w:rPr>
          <w:rFonts w:hint="eastAsia"/>
          <w:b/>
          <w:bCs/>
          <w:noProof/>
        </w:rPr>
        <w:t>Handling</w:t>
      </w:r>
      <w:r w:rsidRPr="00C34355">
        <w:rPr>
          <w:b/>
          <w:bCs/>
          <w:noProof/>
        </w:rPr>
        <w:t xml:space="preserve"> Claims of</w:t>
      </w:r>
      <w:r w:rsidRPr="00C34355">
        <w:rPr>
          <w:rFonts w:hint="eastAsia"/>
          <w:b/>
          <w:bCs/>
          <w:noProof/>
        </w:rPr>
        <w:t xml:space="preserve"> </w:t>
      </w:r>
      <w:r w:rsidRPr="00C34355">
        <w:rPr>
          <w:b/>
          <w:bCs/>
          <w:noProof/>
        </w:rPr>
        <w:t xml:space="preserve">Drivers </w:t>
      </w:r>
      <w:r w:rsidRPr="00C34355">
        <w:rPr>
          <w:rFonts w:hint="eastAsia"/>
          <w:b/>
          <w:bCs/>
          <w:noProof/>
        </w:rPr>
        <w:t xml:space="preserve">who </w:t>
      </w:r>
      <w:r w:rsidRPr="00C34355">
        <w:rPr>
          <w:b/>
          <w:bCs/>
          <w:noProof/>
        </w:rPr>
        <w:t xml:space="preserve">Filed Appeals Against Billing Notices </w:t>
      </w:r>
    </w:p>
    <w:p w:rsidR="006B212E" w:rsidRPr="00273DF4" w:rsidP="006B212E" w14:paraId="59342BFE" w14:textId="77777777">
      <w:pPr>
        <w:pStyle w:val="7191"/>
        <w:numPr>
          <w:ilvl w:val="0"/>
          <w:numId w:val="36"/>
        </w:numPr>
        <w:bidi w:val="0"/>
        <w:spacing w:before="240"/>
        <w:rPr>
          <w:noProof/>
        </w:rPr>
      </w:pPr>
      <w:r w:rsidRPr="00C34355">
        <w:rPr>
          <w:rFonts w:hint="eastAsia"/>
          <w:b/>
          <w:bCs/>
        </w:rPr>
        <w:t xml:space="preserve">Claims of </w:t>
      </w:r>
      <w:r w:rsidRPr="00C34355">
        <w:rPr>
          <w:b/>
          <w:bCs/>
        </w:rPr>
        <w:t>Non</w:t>
      </w:r>
      <w:r w:rsidRPr="00C34355">
        <w:rPr>
          <w:rFonts w:hint="eastAsia"/>
          <w:b/>
          <w:bCs/>
        </w:rPr>
        <w:t>-</w:t>
      </w:r>
      <w:r w:rsidRPr="00C34355">
        <w:rPr>
          <w:b/>
          <w:bCs/>
        </w:rPr>
        <w:t xml:space="preserve">Receipt </w:t>
      </w:r>
      <w:r w:rsidRPr="00C34355">
        <w:rPr>
          <w:rFonts w:hint="eastAsia"/>
          <w:b/>
          <w:bCs/>
        </w:rPr>
        <w:t xml:space="preserve">of </w:t>
      </w:r>
      <w:r w:rsidRPr="00C34355">
        <w:rPr>
          <w:b/>
          <w:bCs/>
        </w:rPr>
        <w:t xml:space="preserve">Billing Notices </w:t>
      </w:r>
      <w:r w:rsidRPr="00C34355">
        <w:rPr>
          <w:rFonts w:hint="eastAsia"/>
          <w:b/>
          <w:bCs/>
        </w:rPr>
        <w:t xml:space="preserve">by </w:t>
      </w:r>
      <w:r w:rsidRPr="00C34355">
        <w:rPr>
          <w:b/>
          <w:bCs/>
        </w:rPr>
        <w:t>Mail –</w:t>
      </w:r>
      <w:r w:rsidRPr="00C23C90">
        <w:rPr>
          <w:rFonts w:hint="eastAsia"/>
          <w:bCs/>
        </w:rPr>
        <w:t xml:space="preserve"> </w:t>
      </w:r>
      <w:r w:rsidRPr="00C23C90">
        <w:rPr>
          <w:bCs/>
        </w:rPr>
        <w:t>M</w:t>
      </w:r>
      <w:r w:rsidRPr="00C23C90">
        <w:rPr>
          <w:rFonts w:hint="eastAsia"/>
          <w:bCs/>
        </w:rPr>
        <w:t xml:space="preserve">ost appellants argued before the appeals committees that they had not received the billing notice by mail. On the central section of Highway 6, the number of such claims increased from 399 in 2020 to 500 in 2023 (a rise of approximately 25.3%), and their proportion of total appeals grew from approximately 60.2% in 2020 to approximately 77.9% in 2023. On the northern section of Highway 6, the number of appeals tripled between 2020 and 2022, rising from 296 to 896 appeals (an increase of approximately 203%). However, in 2023, the number of appeals decreased to 595 (a drop of approximately 33.5%), though this still represents an increase of approximately 101% compared </w:t>
      </w:r>
      <w:r w:rsidRPr="006B212E">
        <w:rPr>
          <w:rFonts w:hint="eastAsia"/>
          <w:noProof/>
        </w:rPr>
        <w:t xml:space="preserve">to 2020. </w:t>
      </w:r>
    </w:p>
    <w:p w:rsidR="00D12832" w:rsidRPr="00D12832" w:rsidP="006B212E" w14:paraId="58F0CAD2" w14:textId="418883A5">
      <w:pPr>
        <w:pStyle w:val="7191"/>
        <w:numPr>
          <w:ilvl w:val="0"/>
          <w:numId w:val="36"/>
        </w:numPr>
        <w:bidi w:val="0"/>
        <w:spacing w:before="240"/>
      </w:pPr>
      <w:r w:rsidRPr="00C34355">
        <w:rPr>
          <w:rFonts w:hint="eastAsia"/>
          <w:b/>
          <w:bCs/>
        </w:rPr>
        <w:t xml:space="preserve">Unresolved </w:t>
      </w:r>
      <w:r w:rsidRPr="00C34355">
        <w:rPr>
          <w:b/>
          <w:bCs/>
        </w:rPr>
        <w:t>Appeals –</w:t>
      </w:r>
      <w:r w:rsidRPr="00C23C90">
        <w:rPr>
          <w:rFonts w:hint="eastAsia"/>
          <w:bCs/>
        </w:rPr>
        <w:t xml:space="preserve"> </w:t>
      </w:r>
      <w:r w:rsidRPr="00C23C90">
        <w:rPr>
          <w:bCs/>
        </w:rPr>
        <w:t>I</w:t>
      </w:r>
      <w:r w:rsidRPr="00C23C90">
        <w:rPr>
          <w:rFonts w:hint="eastAsia"/>
          <w:bCs/>
        </w:rPr>
        <w:t xml:space="preserve">t was found that since 2021, the number of unresolved open appeals for each toll road has been on the rise, increasing from 88 cases to 475 cases </w:t>
      </w:r>
      <w:r w:rsidRPr="00C23C90">
        <w:rPr>
          <w:rFonts w:hint="eastAsia"/>
          <w:bCs/>
        </w:rPr>
        <w:t>–</w:t>
      </w:r>
      <w:r w:rsidRPr="00C23C90">
        <w:rPr>
          <w:rFonts w:hint="eastAsia"/>
          <w:bCs/>
        </w:rPr>
        <w:t xml:space="preserve"> an increase of approximately 440% (more than fivefold). Additionally, according to the records of the Appeals Committees Secretariat managed by the supervising authority, the Appeals Committee for the Fast Lane has not operated since March 2021 due to the lack of appointment of a chairperson and a public representative. The Appeals Committee for the Carmel Tunnels has not operated since July 2023 due to the absence of a chairperson, while the Appeals Committee for Highway 6 North did not operate for about eight months in 2022 for the same reason.</w:t>
      </w:r>
      <w:r>
        <w:t xml:space="preserve"> </w:t>
      </w:r>
    </w:p>
    <w:p w:rsidR="00D12832" w:rsidRPr="00D12832" w:rsidP="00667F8D" w14:paraId="792C7BDC" w14:textId="27DB6827">
      <w:pPr>
        <w:pStyle w:val="7191"/>
        <w:bidi w:val="0"/>
        <w:spacing w:before="240"/>
        <w:ind w:left="397"/>
      </w:pPr>
      <w:r w:rsidRPr="00C34355">
        <w:rPr>
          <w:rFonts w:hint="cs"/>
          <w:b/>
          <w:bCs/>
          <w:noProof/>
          <w:rtl/>
        </w:rPr>
        <w:drawing>
          <wp:anchor distT="0" distB="0" distL="0" distR="0" simplePos="0" relativeHeight="251702272" behindDoc="0" locked="0" layoutInCell="1" allowOverlap="1">
            <wp:simplePos x="0" y="0"/>
            <wp:positionH relativeFrom="column">
              <wp:posOffset>15875</wp:posOffset>
            </wp:positionH>
            <wp:positionV relativeFrom="paragraph">
              <wp:posOffset>65881</wp:posOffset>
            </wp:positionV>
            <wp:extent cx="162000" cy="162000"/>
            <wp:effectExtent l="0" t="0" r="3175" b="3175"/>
            <wp:wrapSquare wrapText="bothSides"/>
            <wp:docPr id="19311120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1202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34355" w:rsidR="006B212E">
        <w:rPr>
          <w:rFonts w:hint="eastAsia"/>
          <w:b/>
          <w:bCs/>
        </w:rPr>
        <w:t xml:space="preserve">Debt </w:t>
      </w:r>
      <w:r w:rsidRPr="00C34355" w:rsidR="006B212E">
        <w:rPr>
          <w:b/>
          <w:bCs/>
        </w:rPr>
        <w:t>Collection –</w:t>
      </w:r>
      <w:r w:rsidRPr="00C23C90" w:rsidR="006B212E">
        <w:rPr>
          <w:bCs/>
        </w:rPr>
        <w:t xml:space="preserve"> T</w:t>
      </w:r>
      <w:r w:rsidRPr="00C23C90" w:rsidR="006B212E">
        <w:rPr>
          <w:rFonts w:hint="eastAsia"/>
          <w:bCs/>
        </w:rPr>
        <w:t>he concessionaires employed various methods to collect debts from drivers, including opening legal enforcement cases for debts of only a few shekels, which could swell to hundreds of shekels. In August 2022, a relief agreement was signed between the state and the Highway 6 central section concessionaire. Under this agreement, for low debts, the concessionaire may open enforcement cases only 30 days after notifying the debtors and only upon receiving confirmation that the debtor received the billing notice. However, this relief agreement applies exclusively to debtors of the Highway 6 central section concessionaire and not to other toll road concessionaires, where a small debt of 10 NIS can grow to 500 or even 600 NIS</w:t>
      </w:r>
      <w:r w:rsidRPr="00D12832">
        <w:t>.</w:t>
      </w:r>
    </w:p>
    <w:p w:rsidR="00D12832" w:rsidRPr="00D12832" w:rsidP="00667F8D" w14:paraId="2B31DC35" w14:textId="3697A17D">
      <w:pPr>
        <w:pStyle w:val="7191"/>
        <w:bidi w:val="0"/>
        <w:spacing w:before="240"/>
        <w:ind w:left="397"/>
      </w:pPr>
      <w:r w:rsidRPr="00C34355">
        <w:rPr>
          <w:rFonts w:hint="cs"/>
          <w:b/>
          <w:bCs/>
          <w:noProof/>
          <w:rtl/>
        </w:rPr>
        <w:drawing>
          <wp:anchor distT="0" distB="0" distL="0" distR="0" simplePos="0" relativeHeight="251703296" behindDoc="0" locked="0" layoutInCell="1" allowOverlap="1">
            <wp:simplePos x="0" y="0"/>
            <wp:positionH relativeFrom="column">
              <wp:posOffset>15875</wp:posOffset>
            </wp:positionH>
            <wp:positionV relativeFrom="paragraph">
              <wp:posOffset>15966</wp:posOffset>
            </wp:positionV>
            <wp:extent cx="162000" cy="162000"/>
            <wp:effectExtent l="0" t="0" r="3175" b="3175"/>
            <wp:wrapSquare wrapText="bothSides"/>
            <wp:docPr id="11786202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20242"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C34355" w:rsidR="006B212E">
        <w:rPr>
          <w:rFonts w:hint="cs"/>
          <w:b/>
          <w:bCs/>
        </w:rPr>
        <w:t>E</w:t>
      </w:r>
      <w:r w:rsidRPr="00C34355" w:rsidR="006B212E">
        <w:rPr>
          <w:b/>
          <w:bCs/>
        </w:rPr>
        <w:t>valuating Lessons Learned –</w:t>
      </w:r>
      <w:r w:rsidRPr="00C23C90" w:rsidR="006B212E">
        <w:rPr>
          <w:bCs/>
        </w:rPr>
        <w:t xml:space="preserve"> Evaluating the suitability of infrastructure projects, including toll roads, for the PPP model requires significant experience and knowledge from state decision-makers across numerous fields. Due to the complexity of these projects, as well as their operation and ongoing management, decision-makers must undertake thorough and structured processes </w:t>
      </w:r>
      <w:r w:rsidRPr="00C23C90" w:rsidR="006B212E">
        <w:rPr>
          <w:bCs/>
        </w:rPr>
        <w:t>in order to</w:t>
      </w:r>
      <w:r w:rsidRPr="00C23C90" w:rsidR="006B212E">
        <w:rPr>
          <w:bCs/>
        </w:rPr>
        <w:t xml:space="preserve"> draw lessons, formulate actionable recommendations, and implement them in future projects. This is essential for improving the tender preparation process and ensuring effective project execution. The audit found no documentation at the Ministry of Finance or the Ministry of Transportation indicating that lessons learned sessions or drawing of conclusions were conducted from existing projects </w:t>
      </w:r>
      <w:r w:rsidRPr="00C23C90" w:rsidR="006B212E">
        <w:rPr>
          <w:bCs/>
        </w:rPr>
        <w:t>in order to</w:t>
      </w:r>
      <w:r w:rsidRPr="00C23C90" w:rsidR="006B212E">
        <w:rPr>
          <w:bCs/>
        </w:rPr>
        <w:t xml:space="preserve"> inform future endeavors</w:t>
      </w:r>
      <w:r w:rsidRPr="00D12832">
        <w:t>.</w:t>
      </w:r>
    </w:p>
    <w:p w:rsidR="003E0EAA" w:rsidRPr="008874F2" w:rsidP="003E0EAA" w14:paraId="13335FCD" w14:textId="3C836A42">
      <w:pPr>
        <w:pStyle w:val="719"/>
        <w:bidi w:val="0"/>
        <w:rPr>
          <w:rtl/>
        </w:rPr>
      </w:pPr>
      <w:r>
        <w:rPr>
          <w:noProof/>
          <w:sz w:val="19"/>
          <w:szCs w:val="19"/>
        </w:rPr>
        <w:drawing>
          <wp:anchor distT="0" distB="0" distL="114300" distR="114300" simplePos="0" relativeHeight="251679744" behindDoc="0" locked="0" layoutInCell="1" allowOverlap="1">
            <wp:simplePos x="0" y="0"/>
            <wp:positionH relativeFrom="column">
              <wp:posOffset>-3175</wp:posOffset>
            </wp:positionH>
            <wp:positionV relativeFrom="paragraph">
              <wp:posOffset>54787</wp:posOffset>
            </wp:positionV>
            <wp:extent cx="2879725" cy="158115"/>
            <wp:effectExtent l="0" t="0" r="0" b="0"/>
            <wp:wrapNone/>
            <wp:docPr id="14510666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Picture 2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2879725" cy="158115"/>
                    </a:xfrm>
                    <a:prstGeom prst="rect">
                      <a:avLst/>
                    </a:prstGeom>
                  </pic:spPr>
                </pic:pic>
              </a:graphicData>
            </a:graphic>
            <wp14:sizeRelH relativeFrom="page">
              <wp14:pctWidth>0</wp14:pctWidth>
            </wp14:sizeRelH>
            <wp14:sizeRelV relativeFrom="page">
              <wp14:pctHeight>0</wp14:pctHeight>
            </wp14:sizeRelV>
          </wp:anchor>
        </w:drawing>
      </w:r>
    </w:p>
    <w:p w:rsidR="00424CEB" w:rsidRPr="00FF2854" w:rsidP="008860A4" w14:paraId="23233861" w14:textId="2401AB47">
      <w:pPr>
        <w:pStyle w:val="7191"/>
        <w:bidi w:val="0"/>
        <w:ind w:left="397"/>
        <w:rPr>
          <w:bCs/>
          <w:rtl/>
        </w:rPr>
      </w:pPr>
      <w:r w:rsidRPr="00C34355">
        <w:rPr>
          <w:rFonts w:hint="cs"/>
          <w:b/>
          <w:bCs/>
        </w:rPr>
        <w:t xml:space="preserve">Risk </w:t>
      </w:r>
      <w:r w:rsidRPr="00C34355">
        <w:rPr>
          <w:b/>
          <w:bCs/>
        </w:rPr>
        <w:t xml:space="preserve">Allocation </w:t>
      </w:r>
      <w:r w:rsidRPr="00C34355">
        <w:rPr>
          <w:rFonts w:hint="cs"/>
          <w:b/>
          <w:bCs/>
        </w:rPr>
        <w:t xml:space="preserve">in the Highway 6 </w:t>
      </w:r>
      <w:r w:rsidRPr="00C34355">
        <w:rPr>
          <w:b/>
          <w:bCs/>
        </w:rPr>
        <w:t xml:space="preserve">Expansion </w:t>
      </w:r>
      <w:r w:rsidRPr="00C34355">
        <w:rPr>
          <w:rFonts w:hint="cs"/>
          <w:b/>
          <w:bCs/>
        </w:rPr>
        <w:t>(</w:t>
      </w:r>
      <w:r w:rsidRPr="00C34355">
        <w:rPr>
          <w:b/>
          <w:bCs/>
        </w:rPr>
        <w:t xml:space="preserve">Sections </w:t>
      </w:r>
      <w:r w:rsidRPr="00C34355">
        <w:rPr>
          <w:rFonts w:hint="cs"/>
          <w:b/>
          <w:bCs/>
        </w:rPr>
        <w:t>14–18)</w:t>
      </w:r>
      <w:r w:rsidRPr="00C34355">
        <w:rPr>
          <w:b/>
          <w:bCs/>
        </w:rPr>
        <w:t xml:space="preserve"> –</w:t>
      </w:r>
      <w:r w:rsidRPr="00C23C90">
        <w:rPr>
          <w:rFonts w:hint="cs"/>
          <w:bCs/>
        </w:rPr>
        <w:t xml:space="preserve"> </w:t>
      </w:r>
      <w:r w:rsidRPr="00C23C90">
        <w:rPr>
          <w:bCs/>
        </w:rPr>
        <w:t>T</w:t>
      </w:r>
      <w:r w:rsidRPr="00C23C90">
        <w:rPr>
          <w:rFonts w:hint="cs"/>
          <w:bCs/>
        </w:rPr>
        <w:t>he State Comptroller commends the proper risk allocation between the concessionaire and the state, as well as the risk mitigation measures employed in the Highway 6 expansion project for sections 14–18. These achievements are attributed, in part, to the extensive experience of Trans-Israel as the supervising authority in managing such projects and to its stable and experienced management team, which underscores the importance of managerial continuity and institutional memory</w:t>
      </w:r>
      <w:r w:rsidRPr="00FF2854">
        <w:rPr>
          <w:bCs/>
        </w:rPr>
        <w:t>.</w:t>
      </w:r>
      <w:r w:rsidRPr="00FF2854">
        <w:rPr>
          <w:bCs/>
          <w:rtl/>
        </w:rPr>
        <w:t xml:space="preserve"> </w:t>
      </w:r>
    </w:p>
    <w:p w:rsidR="004516D9" w:rsidP="004516D9" w14:paraId="3B611378" w14:textId="77777777">
      <w:pPr>
        <w:pStyle w:val="7191"/>
        <w:bidi w:val="0"/>
        <w:spacing w:after="0"/>
      </w:pPr>
    </w:p>
    <w:p w:rsidR="00EB59F5" w14:paraId="76AC50DD" w14:textId="77777777">
      <w:pPr>
        <w:bidi w:val="0"/>
        <w:rPr>
          <w:rFonts w:ascii="Tahoma" w:hAnsi="Tahoma" w:cs="Tahoma"/>
          <w:b/>
          <w:bCs/>
          <w:color w:val="003364"/>
          <w:w w:val="90"/>
          <w:sz w:val="32"/>
          <w:szCs w:val="32"/>
        </w:rPr>
      </w:pPr>
      <w:r>
        <w:rPr>
          <w:rFonts w:ascii="Tahoma" w:hAnsi="Tahoma" w:cs="Tahoma"/>
          <w:b/>
          <w:bCs/>
          <w:color w:val="003364"/>
          <w:w w:val="90"/>
          <w:sz w:val="32"/>
          <w:szCs w:val="32"/>
        </w:rPr>
        <w:br w:type="page"/>
      </w:r>
    </w:p>
    <w:p w:rsidR="007E0204" w:rsidP="007E0204" w14:paraId="45D89D2D" w14:textId="50C37D57">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2545"/>
            <wp:effectExtent l="0" t="0" r="6350" b="0"/>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2545"/>
                    </a:xfrm>
                    <a:prstGeom prst="rect">
                      <a:avLst/>
                    </a:prstGeom>
                  </pic:spPr>
                </pic:pic>
              </a:graphicData>
            </a:graphic>
          </wp:inline>
        </w:drawing>
      </w:r>
    </w:p>
    <w:p w:rsidR="007E0204" w:rsidRPr="00902625" w:rsidP="007E0204" w14:paraId="221294C0" w14:textId="2073DB49">
      <w:pPr>
        <w:bidi w:val="0"/>
        <w:spacing w:before="120" w:after="240" w:line="240" w:lineRule="atLeast"/>
        <w:rPr>
          <w:rFonts w:ascii="Tahoma" w:hAnsi="Tahoma" w:cs="Tahoma"/>
          <w:b/>
          <w:bCs/>
          <w:color w:val="00305F"/>
          <w:sz w:val="32"/>
          <w:szCs w:val="32"/>
          <w:rtl/>
        </w:rPr>
      </w:pPr>
      <w:r w:rsidRPr="00AE5F94">
        <w:rPr>
          <w:rFonts w:ascii="Tahoma" w:hAnsi="Tahoma" w:cs="Tahoma"/>
          <w:b/>
          <w:bCs/>
          <w:color w:val="00305F"/>
          <w:sz w:val="32"/>
          <w:szCs w:val="32"/>
        </w:rPr>
        <w:t xml:space="preserve">Key </w:t>
      </w:r>
      <w:r w:rsidR="004806D7">
        <w:rPr>
          <w:rFonts w:ascii="Tahoma" w:hAnsi="Tahoma" w:cs="Tahoma"/>
          <w:b/>
          <w:bCs/>
          <w:color w:val="00305F"/>
          <w:sz w:val="32"/>
          <w:szCs w:val="32"/>
        </w:rPr>
        <w:t>R</w:t>
      </w:r>
      <w:r w:rsidRPr="00AE5F94">
        <w:rPr>
          <w:rFonts w:ascii="Tahoma" w:hAnsi="Tahoma" w:cs="Tahoma"/>
          <w:b/>
          <w:bCs/>
          <w:color w:val="00305F"/>
          <w:sz w:val="32"/>
          <w:szCs w:val="32"/>
        </w:rPr>
        <w:t>ecommendations</w:t>
      </w:r>
    </w:p>
    <w:p w:rsidR="007E0204" w:rsidRPr="00C50F58" w:rsidP="00682C3F" w14:paraId="33D561A5" w14:textId="1610ECE8">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588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9" name="תמונה 33"/>
            <wp:cNvGraphicFramePr/>
            <a:graphic xmlns:a="http://schemas.openxmlformats.org/drawingml/2006/main">
              <a:graphicData uri="http://schemas.openxmlformats.org/drawingml/2006/picture">
                <pic:pic xmlns:pic="http://schemas.openxmlformats.org/drawingml/2006/picture">
                  <pic:nvPicPr>
                    <pic:cNvPr id="49"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6AC4" w:rsidR="00C34355">
        <w:rPr>
          <w:rFonts w:hint="cs"/>
          <w:noProof/>
          <w:spacing w:val="-2"/>
          <w:sz w:val="18"/>
          <w:szCs w:val="18"/>
        </w:rPr>
        <w:t xml:space="preserve">It is recommended that the </w:t>
      </w:r>
      <w:bookmarkStart w:id="12" w:name="_Hlk174429112"/>
      <w:r w:rsidRPr="00656AC4" w:rsidR="00C34355">
        <w:rPr>
          <w:rFonts w:hint="cs"/>
          <w:noProof/>
          <w:spacing w:val="-2"/>
          <w:sz w:val="18"/>
          <w:szCs w:val="18"/>
        </w:rPr>
        <w:t xml:space="preserve">Ministry of Transportation and the Ministry of Finance, in collaboration with Trans-Israel, analyze the actual economic </w:t>
      </w:r>
      <w:r w:rsidRPr="00656AC4" w:rsidR="00C34355">
        <w:rPr>
          <w:noProof/>
          <w:spacing w:val="-2"/>
          <w:sz w:val="18"/>
          <w:szCs w:val="18"/>
        </w:rPr>
        <w:t>benefit</w:t>
      </w:r>
      <w:r w:rsidRPr="00656AC4" w:rsidR="00C34355">
        <w:rPr>
          <w:rFonts w:hint="cs"/>
          <w:noProof/>
          <w:spacing w:val="-2"/>
          <w:sz w:val="18"/>
          <w:szCs w:val="18"/>
        </w:rPr>
        <w:t xml:space="preserve"> of roads previously constructed using the PPP model compared to roads funded through the </w:t>
      </w:r>
      <w:bookmarkEnd w:id="12"/>
      <w:r w:rsidRPr="00656AC4" w:rsidR="00C34355">
        <w:rPr>
          <w:rFonts w:hint="cs"/>
          <w:noProof/>
          <w:spacing w:val="-2"/>
          <w:sz w:val="18"/>
          <w:szCs w:val="18"/>
        </w:rPr>
        <w:t>state budget. This analysis should take into account eight transportation projects currently in various stages of development under the PPP model and aim to organize and consolidate knowledge in this field within government ministries and Trans-Israel to better prepare for similar projects in the future. It is also recommended that Trans-Israel, the Ministry of Transportation, and the Ministry of Finance document lessons learned sessions in order to preserve institutional knowledge and ensure continuity among state entities managing these projects. This documentation should support improved preparation for similar tenders</w:t>
      </w:r>
      <w:r w:rsidRPr="00656AC4" w:rsidR="00C34355">
        <w:rPr>
          <w:noProof/>
          <w:spacing w:val="-2"/>
          <w:sz w:val="18"/>
          <w:szCs w:val="18"/>
        </w:rPr>
        <w:t xml:space="preserve"> in the future</w:t>
      </w:r>
      <w:r w:rsidRPr="00656AC4" w:rsidR="00C34355">
        <w:rPr>
          <w:rFonts w:hint="cs"/>
          <w:noProof/>
          <w:spacing w:val="-2"/>
          <w:sz w:val="18"/>
          <w:szCs w:val="18"/>
        </w:rPr>
        <w:t xml:space="preserve"> and ensure that correctable lessons are implemented during the execution of ongoing projects</w:t>
      </w:r>
      <w:r w:rsidRPr="00C50F58">
        <w:rPr>
          <w:rFonts w:hint="cs"/>
          <w:spacing w:val="-2"/>
          <w:sz w:val="18"/>
          <w:szCs w:val="18"/>
        </w:rPr>
        <w:t xml:space="preserve">. </w:t>
      </w:r>
    </w:p>
    <w:p w:rsidR="007E0204" w:rsidP="00682C3F" w14:paraId="1C0FBD87" w14:textId="166CBCEE">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68691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47" name="תמונה 33"/>
            <wp:cNvGraphicFramePr/>
            <a:graphic xmlns:a="http://schemas.openxmlformats.org/drawingml/2006/main">
              <a:graphicData uri="http://schemas.openxmlformats.org/drawingml/2006/picture">
                <pic:pic xmlns:pic="http://schemas.openxmlformats.org/drawingml/2006/picture">
                  <pic:nvPicPr>
                    <pic:cNvPr id="47"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6AC4" w:rsidR="00C34355">
        <w:rPr>
          <w:rFonts w:hint="cs"/>
          <w:noProof/>
          <w:spacing w:val="-2"/>
          <w:sz w:val="18"/>
          <w:szCs w:val="18"/>
        </w:rPr>
        <w:t>Given the increasing traffic congestion and declining service levels on the road, it is recommended that the Ministry of Transportation, the Ministry of Finance, and Trans-Israel continuously monitor vehicle traffic, travel speeds, and other parameters in order to identify vulnerabilities affecting service levels. These entities should work to implement optimal solutions to these issues as quickly as possible</w:t>
      </w:r>
      <w:r w:rsidRPr="00C50F58">
        <w:rPr>
          <w:rFonts w:hint="cs"/>
          <w:spacing w:val="-2"/>
          <w:sz w:val="18"/>
          <w:szCs w:val="18"/>
        </w:rPr>
        <w:t>.</w:t>
      </w:r>
    </w:p>
    <w:p w:rsidR="00D12832" w:rsidRPr="00C50F58" w:rsidP="00D12832" w14:paraId="275C7970" w14:textId="6E1E45D1">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4320"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917672958" name="תמונה 33"/>
            <wp:cNvGraphicFramePr/>
            <a:graphic xmlns:a="http://schemas.openxmlformats.org/drawingml/2006/main">
              <a:graphicData uri="http://schemas.openxmlformats.org/drawingml/2006/picture">
                <pic:pic xmlns:pic="http://schemas.openxmlformats.org/drawingml/2006/picture">
                  <pic:nvPicPr>
                    <pic:cNvPr id="1917672958"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6AC4" w:rsidR="00C34355">
        <w:rPr>
          <w:noProof/>
          <w:spacing w:val="-2"/>
          <w:sz w:val="18"/>
          <w:szCs w:val="18"/>
        </w:rPr>
        <w:t>It is recommended that Trans-Israel, the Ministry of Transportation, and the Ministry of Finance work to complete the expansion of Highway 6 by the set deadline in order to prevent ongoing harm to commuters and the national economy. They should rigorously monitor the completion of the competitive process for selecting contractors and ensure that the execution of construction work adheres to established quality standards</w:t>
      </w:r>
      <w:r w:rsidR="00C34355">
        <w:rPr>
          <w:spacing w:val="-2"/>
          <w:sz w:val="18"/>
          <w:szCs w:val="18"/>
        </w:rPr>
        <w:t>.</w:t>
      </w:r>
      <w:r w:rsidRPr="00C50F58">
        <w:rPr>
          <w:rFonts w:hint="cs"/>
          <w:spacing w:val="-2"/>
          <w:sz w:val="18"/>
          <w:szCs w:val="18"/>
        </w:rPr>
        <w:t xml:space="preserve"> </w:t>
      </w:r>
    </w:p>
    <w:p w:rsidR="008E1CAF" w:rsidP="00D12832" w14:paraId="0861E76B" w14:textId="77777777">
      <w:pPr>
        <w:pStyle w:val="ListParagraph"/>
        <w:numPr>
          <w:ilvl w:val="0"/>
          <w:numId w:val="0"/>
        </w:numPr>
        <w:bidi w:val="0"/>
        <w:spacing w:after="180" w:line="260" w:lineRule="exact"/>
        <w:ind w:left="397"/>
        <w:rPr>
          <w:noProof/>
          <w:spacing w:val="-2"/>
          <w:sz w:val="18"/>
          <w:szCs w:val="18"/>
        </w:rPr>
      </w:pPr>
      <w:r w:rsidRPr="00C50F58">
        <w:rPr>
          <w:noProof/>
          <w:spacing w:val="-2"/>
          <w:sz w:val="18"/>
          <w:szCs w:val="18"/>
        </w:rPr>
        <w:drawing>
          <wp:anchor distT="0" distB="3600450" distL="114300" distR="114300" simplePos="0" relativeHeight="251705344"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719082896" name="תמונה 33"/>
            <wp:cNvGraphicFramePr/>
            <a:graphic xmlns:a="http://schemas.openxmlformats.org/drawingml/2006/main">
              <a:graphicData uri="http://schemas.openxmlformats.org/drawingml/2006/picture">
                <pic:pic xmlns:pic="http://schemas.openxmlformats.org/drawingml/2006/picture">
                  <pic:nvPicPr>
                    <pic:cNvPr id="719082896"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6AC4" w:rsidR="00C34355">
        <w:rPr>
          <w:rFonts w:hint="cs"/>
          <w:noProof/>
          <w:spacing w:val="-2"/>
          <w:sz w:val="18"/>
          <w:szCs w:val="18"/>
        </w:rPr>
        <w:t>It is further recommended that the Ministry of Transportation, the Ministry of Finance, and Trans-Israel thoroughly examine the issue of HOV (High-Occupancy Vehicle) lanes, taking into account all related aspects, including the effectiveness of HOV lanes and their impact on traffic; the desirability and timelines for implementing an HOV network; and extension of the concession period.</w:t>
      </w:r>
    </w:p>
    <w:p w:rsidR="00D12832" w:rsidRPr="00C50F58" w:rsidP="008E1CAF" w14:paraId="60A330EC" w14:textId="72119615">
      <w:pPr>
        <w:pStyle w:val="ListParagraph"/>
        <w:numPr>
          <w:ilvl w:val="0"/>
          <w:numId w:val="0"/>
        </w:numPr>
        <w:bidi w:val="0"/>
        <w:spacing w:after="180" w:line="260" w:lineRule="exact"/>
        <w:ind w:left="397"/>
        <w:rPr>
          <w:spacing w:val="-2"/>
          <w:sz w:val="18"/>
          <w:szCs w:val="18"/>
        </w:rPr>
      </w:pPr>
      <w:r w:rsidRPr="00C50F58">
        <w:rPr>
          <w:noProof/>
          <w:spacing w:val="-2"/>
          <w:sz w:val="18"/>
          <w:szCs w:val="18"/>
        </w:rPr>
        <w:drawing>
          <wp:anchor distT="0" distB="3600450" distL="114300" distR="114300" simplePos="0" relativeHeight="251707392"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720850736" name="תמונה 33"/>
            <wp:cNvGraphicFramePr/>
            <a:graphic xmlns:a="http://schemas.openxmlformats.org/drawingml/2006/main">
              <a:graphicData uri="http://schemas.openxmlformats.org/drawingml/2006/picture">
                <pic:pic xmlns:pic="http://schemas.openxmlformats.org/drawingml/2006/picture">
                  <pic:nvPicPr>
                    <pic:cNvPr id="1720850736"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6AC4" w:rsidR="00C34355">
        <w:rPr>
          <w:rFonts w:hint="eastAsia"/>
          <w:noProof/>
          <w:spacing w:val="-2"/>
          <w:sz w:val="18"/>
          <w:szCs w:val="18"/>
        </w:rPr>
        <w:t>Additionally, it is recommended that Trans-Israel, the Ministry of Transportation, and the Ministry of Finance explore the possibility of unifying and simplifying the</w:t>
      </w:r>
      <w:r w:rsidRPr="00656AC4" w:rsidR="00C34355">
        <w:rPr>
          <w:noProof/>
          <w:spacing w:val="-2"/>
          <w:sz w:val="18"/>
          <w:szCs w:val="18"/>
        </w:rPr>
        <w:t xml:space="preserve"> method for setting</w:t>
      </w:r>
      <w:r w:rsidRPr="00656AC4" w:rsidR="00C34355">
        <w:rPr>
          <w:rFonts w:hint="eastAsia"/>
          <w:noProof/>
          <w:spacing w:val="-2"/>
          <w:sz w:val="18"/>
          <w:szCs w:val="18"/>
        </w:rPr>
        <w:t xml:space="preserve"> toll rates. This would prevent significant discrepancies in toll rates across different road sections, enhance transparency, and enable drivers to make better-informed decisions. This recommendation is particularly relevant in anticipation of the addition of new concessionaires with the planned extensions of Highway 6</w:t>
      </w:r>
      <w:r w:rsidRPr="00C50F58">
        <w:rPr>
          <w:rFonts w:hint="cs"/>
          <w:spacing w:val="-2"/>
          <w:sz w:val="18"/>
          <w:szCs w:val="18"/>
        </w:rPr>
        <w:t xml:space="preserve">. </w:t>
      </w:r>
    </w:p>
    <w:p w:rsidR="00D12832" w:rsidRPr="00C50F58" w:rsidP="00C34355" w14:paraId="195EE1A5" w14:textId="561B133D">
      <w:pPr>
        <w:pStyle w:val="ListParagraph"/>
        <w:numPr>
          <w:ilvl w:val="0"/>
          <w:numId w:val="0"/>
        </w:numPr>
        <w:bidi w:val="0"/>
        <w:spacing w:after="720" w:line="260" w:lineRule="exact"/>
        <w:ind w:left="397"/>
        <w:rPr>
          <w:spacing w:val="-2"/>
          <w:sz w:val="18"/>
          <w:szCs w:val="18"/>
        </w:rPr>
      </w:pPr>
      <w:r w:rsidRPr="00C50F58">
        <w:rPr>
          <w:noProof/>
          <w:spacing w:val="-2"/>
          <w:sz w:val="18"/>
          <w:szCs w:val="18"/>
        </w:rPr>
        <w:drawing>
          <wp:anchor distT="0" distB="3600450" distL="114300" distR="114300" simplePos="0" relativeHeight="251706368" behindDoc="0" locked="0" layoutInCell="1" allowOverlap="1">
            <wp:simplePos x="0" y="0"/>
            <wp:positionH relativeFrom="margin">
              <wp:posOffset>0</wp:posOffset>
            </wp:positionH>
            <wp:positionV relativeFrom="paragraph">
              <wp:posOffset>0</wp:posOffset>
            </wp:positionV>
            <wp:extent cx="140335" cy="161925"/>
            <wp:effectExtent l="0" t="0" r="0" b="3175"/>
            <wp:wrapNone/>
            <wp:docPr id="1474628561" name="תמונה 33"/>
            <wp:cNvGraphicFramePr/>
            <a:graphic xmlns:a="http://schemas.openxmlformats.org/drawingml/2006/main">
              <a:graphicData uri="http://schemas.openxmlformats.org/drawingml/2006/picture">
                <pic:pic xmlns:pic="http://schemas.openxmlformats.org/drawingml/2006/picture">
                  <pic:nvPicPr>
                    <pic:cNvPr id="1474628561"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6AC4" w:rsidR="00C34355">
        <w:rPr>
          <w:noProof/>
          <w:spacing w:val="-2"/>
          <w:sz w:val="18"/>
          <w:szCs w:val="18"/>
        </w:rPr>
        <w:t xml:space="preserve">It is recommended that the Ministry of Transportation, Trans-Israel, and the Ministry of Finance work to formulate a differential toll structure for private vehicles that aligns with the level of service provided on Highway 6 and reduces traffic congestion. An agreement with the concessionaire should be reached in advance, prior to the completion of the </w:t>
      </w:r>
      <w:r w:rsidRPr="00656AC4" w:rsidR="00C34355">
        <w:rPr>
          <w:noProof/>
          <w:spacing w:val="-2"/>
          <w:sz w:val="18"/>
          <w:szCs w:val="18"/>
        </w:rPr>
        <w:t xml:space="preserve">expansion, so that a differential toll structure aligned with the level of service can be implemented immediately upon the project's completion. Additionally, it is recommended to establish a unified toll collection system that facilitates ease of use for drivers, while taking into account various considerations, including an oversight mechanism to prevent monopolistic practices and avoid confusion among users, especially regarding Highway 6, </w:t>
      </w:r>
      <w:r w:rsidRPr="00474ED3" w:rsidR="00C34355">
        <w:rPr>
          <w:rFonts w:hint="eastAsia"/>
          <w:b/>
          <w:bCs/>
          <w:noProof/>
          <w:color w:val="FFFFFF" w:themeColor="background1"/>
          <w:sz w:val="22"/>
          <w:szCs w:val="22"/>
          <w:rtl/>
        </w:rPr>
        <w:drawing>
          <wp:anchor distT="0" distB="0" distL="114300" distR="114300" simplePos="0" relativeHeight="251682816" behindDoc="1" locked="0" layoutInCell="1" allowOverlap="1">
            <wp:simplePos x="0" y="0"/>
            <wp:positionH relativeFrom="column">
              <wp:posOffset>-19050</wp:posOffset>
            </wp:positionH>
            <wp:positionV relativeFrom="paragraph">
              <wp:posOffset>1320074</wp:posOffset>
            </wp:positionV>
            <wp:extent cx="4701971" cy="676195"/>
            <wp:effectExtent l="0" t="0" r="0" b="0"/>
            <wp:wrapNone/>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1971" cy="676195"/>
                    </a:xfrm>
                    <a:prstGeom prst="rect">
                      <a:avLst/>
                    </a:prstGeom>
                  </pic:spPr>
                </pic:pic>
              </a:graphicData>
            </a:graphic>
            <wp14:sizeRelH relativeFrom="margin">
              <wp14:pctWidth>0</wp14:pctWidth>
            </wp14:sizeRelH>
            <wp14:sizeRelV relativeFrom="margin">
              <wp14:pctHeight>0</wp14:pctHeight>
            </wp14:sizeRelV>
          </wp:anchor>
        </w:drawing>
      </w:r>
      <w:r w:rsidRPr="00656AC4" w:rsidR="00C34355">
        <w:rPr>
          <w:noProof/>
          <w:spacing w:val="-2"/>
          <w:sz w:val="18"/>
          <w:szCs w:val="18"/>
        </w:rPr>
        <w:t>in light of the potential for multiple concessionaires in the future</w:t>
      </w:r>
      <w:r w:rsidRPr="00C50F58">
        <w:rPr>
          <w:rFonts w:hint="cs"/>
          <w:spacing w:val="-2"/>
          <w:sz w:val="18"/>
          <w:szCs w:val="18"/>
        </w:rPr>
        <w:t xml:space="preserve">. </w:t>
      </w:r>
    </w:p>
    <w:p w:rsidR="004B3772" w:rsidRPr="004C3206" w:rsidP="00667F8D" w14:paraId="65300AB3" w14:textId="50A14684">
      <w:pPr>
        <w:bidi w:val="0"/>
        <w:spacing w:line="240" w:lineRule="auto"/>
        <w:ind w:left="170"/>
        <w:rPr>
          <w:rFonts w:ascii="Tahoma" w:hAnsi="Tahoma" w:cs="Tahoma"/>
          <w:b/>
          <w:bCs/>
          <w:color w:val="FFFFFF" w:themeColor="background1"/>
          <w:sz w:val="22"/>
          <w:szCs w:val="22"/>
        </w:rPr>
      </w:pPr>
      <w:r w:rsidRPr="00C34355">
        <w:rPr>
          <w:rFonts w:ascii="Tahoma" w:hAnsi="Tahoma" w:cs="Tahoma"/>
          <w:b/>
          <w:bCs/>
          <w:noProof/>
          <w:color w:val="FFFFFF" w:themeColor="background1"/>
          <w:sz w:val="22"/>
          <w:szCs w:val="22"/>
        </w:rPr>
        <w:t>The Average Travel Speed on Highway 6 During Peak Morning Hours Heading South in a No-Expansion Scenario</w:t>
      </w:r>
    </w:p>
    <w:p w:rsidR="004B58CE" w:rsidRPr="004B58CE" w:rsidP="008E1CAF" w14:paraId="3ADE1FD2" w14:textId="3C9707C0">
      <w:pPr>
        <w:spacing w:before="600"/>
        <w:rPr>
          <w:rtl/>
        </w:rPr>
      </w:pPr>
      <w:r>
        <w:rPr>
          <w:noProof/>
          <w:rtl/>
          <w:lang w:val="he-IL"/>
        </w:rPr>
        <w:drawing>
          <wp:inline distT="0" distB="0" distL="0" distR="0">
            <wp:extent cx="4717363" cy="2646325"/>
            <wp:effectExtent l="0" t="0" r="0" b="0"/>
            <wp:docPr id="180261448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614487" name="תמונה 1"/>
                    <pic:cNvPicPr/>
                  </pic:nvPicPr>
                  <pic:blipFill>
                    <a:blip xmlns:r="http://schemas.openxmlformats.org/officeDocument/2006/relationships" r:embed="rId27"/>
                    <a:stretch>
                      <a:fillRect/>
                    </a:stretch>
                  </pic:blipFill>
                  <pic:spPr>
                    <a:xfrm>
                      <a:off x="0" y="0"/>
                      <a:ext cx="4717363" cy="2646325"/>
                    </a:xfrm>
                    <a:prstGeom prst="rect">
                      <a:avLst/>
                    </a:prstGeom>
                  </pic:spPr>
                </pic:pic>
              </a:graphicData>
            </a:graphic>
          </wp:inline>
        </w:drawing>
      </w:r>
    </w:p>
    <w:p w:rsidR="00804534" w:rsidRPr="00433B20" w:rsidP="006E013E" w14:paraId="6D6C7CB6" w14:textId="2DA2A243">
      <w:pPr>
        <w:pStyle w:val="711"/>
        <w:bidi w:val="0"/>
        <w:spacing w:after="0"/>
        <w:ind w:left="0" w:firstLine="0"/>
        <w:jc w:val="left"/>
        <w:rPr>
          <w:rtl/>
        </w:rPr>
      </w:pPr>
      <w:r w:rsidRPr="00E147E6">
        <w:rPr>
          <w:shd w:val="clear" w:color="auto" w:fill="FFFFFF"/>
          <w:lang w:val="en"/>
        </w:rPr>
        <w:t>Source: Trans-Israel Ltd</w:t>
      </w:r>
      <w:r w:rsidRPr="00FF2854" w:rsidR="00FF2854">
        <w:t>.</w:t>
      </w:r>
    </w:p>
    <w:p w:rsidR="001C27C2" w14:paraId="003A9204" w14:textId="6A4722E1">
      <w:pPr>
        <w:bidi w:val="0"/>
        <w:rPr>
          <w:rFonts w:ascii="Tahoma" w:hAnsi="Tahoma" w:cs="Tahoma"/>
          <w:spacing w:val="-2"/>
          <w:sz w:val="18"/>
          <w:szCs w:val="18"/>
        </w:rPr>
      </w:pPr>
      <w:r>
        <w:rPr>
          <w:rFonts w:ascii="Tahoma" w:hAnsi="Tahoma" w:cs="Tahoma"/>
          <w:spacing w:val="-2"/>
          <w:sz w:val="18"/>
          <w:szCs w:val="18"/>
        </w:rPr>
        <w:br w:type="page"/>
      </w:r>
    </w:p>
    <w:p w:rsidR="00496CBE" w:rsidP="004B3772" w14:paraId="5C46C175" w14:textId="6CEEC138">
      <w:pPr>
        <w:bidi w:val="0"/>
        <w:spacing w:after="0" w:line="200" w:lineRule="exact"/>
        <w:rPr>
          <w:rFonts w:ascii="Tahoma" w:hAnsi="Tahoma" w:cs="Tahoma"/>
          <w:b/>
          <w:bCs/>
          <w:color w:val="003364"/>
          <w:w w:val="90"/>
          <w:sz w:val="32"/>
          <w:szCs w:val="32"/>
        </w:rPr>
      </w:pPr>
      <w:r>
        <w:rPr>
          <w:rFonts w:ascii="Tahoma" w:hAnsi="Tahoma" w:cs="Tahoma"/>
          <w:b/>
          <w:bCs/>
          <w:noProof/>
          <w:color w:val="003364"/>
          <w:w w:val="90"/>
          <w:sz w:val="32"/>
          <w:szCs w:val="32"/>
        </w:rPr>
        <w:drawing>
          <wp:inline distT="0" distB="0" distL="0" distR="0">
            <wp:extent cx="4679950" cy="4572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45720"/>
                    </a:xfrm>
                    <a:prstGeom prst="rect">
                      <a:avLst/>
                    </a:prstGeom>
                  </pic:spPr>
                </pic:pic>
              </a:graphicData>
            </a:graphic>
          </wp:inline>
        </w:drawing>
      </w:r>
    </w:p>
    <w:p w:rsidR="00496CBE" w:rsidRPr="00902625" w:rsidP="009661D6" w14:paraId="21789D2B" w14:textId="045CFE37">
      <w:pPr>
        <w:bidi w:val="0"/>
        <w:spacing w:before="120" w:after="180" w:line="240" w:lineRule="atLeast"/>
        <w:rPr>
          <w:rFonts w:ascii="Tahoma" w:hAnsi="Tahoma" w:cs="Tahoma"/>
          <w:b/>
          <w:bCs/>
          <w:color w:val="00305F"/>
          <w:sz w:val="32"/>
          <w:szCs w:val="32"/>
        </w:rPr>
      </w:pPr>
      <w:r w:rsidRPr="00AE5F94">
        <w:rPr>
          <w:rFonts w:ascii="Tahoma" w:hAnsi="Tahoma" w:cs="Tahoma"/>
          <w:b/>
          <w:bCs/>
          <w:color w:val="00305F"/>
          <w:sz w:val="32"/>
          <w:szCs w:val="32"/>
        </w:rPr>
        <w:t>Summary</w:t>
      </w:r>
    </w:p>
    <w:p w:rsidR="00C34355" w:rsidRPr="00656AC4" w:rsidP="00C34355" w14:paraId="4D8AAEC3" w14:textId="77777777">
      <w:pPr>
        <w:pStyle w:val="running-text"/>
        <w:spacing w:after="180" w:line="260" w:lineRule="exact"/>
        <w:ind w:right="0"/>
        <w:rPr>
          <w:color w:val="0D0D0D" w:themeColor="text1" w:themeTint="F2"/>
          <w:sz w:val="18"/>
        </w:rPr>
      </w:pPr>
      <w:r w:rsidRPr="00656AC4">
        <w:rPr>
          <w:color w:val="0D0D0D" w:themeColor="text1" w:themeTint="F2"/>
          <w:sz w:val="18"/>
        </w:rPr>
        <w:t xml:space="preserve">The transportation sector is one of the key economic sectors in the economy, closely interconnected with other industries. Therefore, its development and improvement serve as a critical lever for economic growth, urban and regional development, and enhancing safety, benefiting the country's citizens. One way to address state budget constraints in the development of transportation infrastructure is through public-private partnerships in implementing public projects under the BOT (Build-Operate-Transfer) model. Trans-Israel Ltd. is a </w:t>
      </w:r>
      <w:r w:rsidRPr="00656AC4">
        <w:rPr>
          <w:color w:val="0D0D0D" w:themeColor="text1" w:themeTint="F2"/>
          <w:sz w:val="18"/>
        </w:rPr>
        <w:t>wholly-owned</w:t>
      </w:r>
      <w:r w:rsidRPr="00656AC4">
        <w:rPr>
          <w:color w:val="0D0D0D" w:themeColor="text1" w:themeTint="F2"/>
          <w:sz w:val="18"/>
        </w:rPr>
        <w:t xml:space="preserve"> government company established in March 1993 to promote the construction of Highway 6 using the BOT method. It serves as the oversight authority for Highway 6, which is operated by two private concessionaires, as well as for the Carmel Tunnels and the Fast Lane, both of which were also developed under the BOT model. </w:t>
      </w:r>
    </w:p>
    <w:p w:rsidR="006E013E" w:rsidP="00C34355" w14:paraId="7B09B54F" w14:textId="5C5F4215">
      <w:pPr>
        <w:pStyle w:val="running-text"/>
        <w:spacing w:after="180" w:line="260" w:lineRule="exact"/>
        <w:ind w:right="0"/>
        <w:rPr>
          <w:color w:val="0D0D0D" w:themeColor="text1" w:themeTint="F2"/>
          <w:sz w:val="18"/>
          <w:rtl/>
        </w:rPr>
      </w:pPr>
      <w:r w:rsidRPr="00656AC4">
        <w:rPr>
          <w:color w:val="0D0D0D" w:themeColor="text1" w:themeTint="F2"/>
          <w:sz w:val="18"/>
        </w:rPr>
        <w:t xml:space="preserve">The State Comptroller's Office recommends that the Ministry of Transportation, the Ministry of Finance, and Trans-Israel Ltd. evaluate and draw lessons-learned and document such deliberations to preserve organizational knowledge. Additionally, they should analyze the actual economic desirability and benefit of roads previously constructed using the PPP method compared to roads funded by the state budget, </w:t>
      </w:r>
      <w:r w:rsidRPr="00656AC4">
        <w:rPr>
          <w:color w:val="0D0D0D" w:themeColor="text1" w:themeTint="F2"/>
          <w:sz w:val="18"/>
        </w:rPr>
        <w:t>in order to</w:t>
      </w:r>
      <w:r w:rsidRPr="00656AC4">
        <w:rPr>
          <w:color w:val="0D0D0D" w:themeColor="text1" w:themeTint="F2"/>
          <w:sz w:val="18"/>
        </w:rPr>
        <w:t xml:space="preserve"> prepare appropriately for similar projects in the future. It is further recommended to continuously monitor traffic congestion, vehicle movement, travel speed, and other parameters, and implement optimal solutions to address these issues as quickly as possible. The State Comptroller's Office also recommends completing the expansion of Highway 6 within the set timeline </w:t>
      </w:r>
      <w:r w:rsidRPr="00656AC4">
        <w:rPr>
          <w:color w:val="0D0D0D" w:themeColor="text1" w:themeTint="F2"/>
          <w:sz w:val="18"/>
        </w:rPr>
        <w:t>in order to</w:t>
      </w:r>
      <w:r w:rsidRPr="00656AC4">
        <w:rPr>
          <w:color w:val="0D0D0D" w:themeColor="text1" w:themeTint="F2"/>
          <w:sz w:val="18"/>
        </w:rPr>
        <w:t xml:space="preserve"> prevent ongoing harm to passengers and the national economy, as well as examining the HOV (High-Occupancy Vehicle) lanes, including their effectiveness, impact on traffic, economic benefit, and timeline for establishing an HOV network, as well as extending the concession period. Moreover, it is recommended to evaluate the claim that the Integrated Transportation Projects Procedure </w:t>
      </w:r>
      <w:r w:rsidRPr="00656AC4">
        <w:rPr>
          <w:color w:val="0D0D0D" w:themeColor="text1" w:themeTint="F2"/>
          <w:sz w:val="18"/>
        </w:rPr>
        <w:t>procedure</w:t>
      </w:r>
      <w:r w:rsidRPr="00656AC4">
        <w:rPr>
          <w:color w:val="0D0D0D" w:themeColor="text1" w:themeTint="F2"/>
          <w:sz w:val="18"/>
        </w:rPr>
        <w:t xml:space="preserve"> does not fully assess the economic benefits of public transportation lanes compared to private vehicle </w:t>
      </w:r>
      <w:r w:rsidRPr="00656AC4">
        <w:rPr>
          <w:color w:val="0D0D0D" w:themeColor="text1" w:themeTint="F2"/>
          <w:sz w:val="18"/>
        </w:rPr>
        <w:t>lanes, and</w:t>
      </w:r>
      <w:r w:rsidRPr="00656AC4">
        <w:rPr>
          <w:color w:val="0D0D0D" w:themeColor="text1" w:themeTint="F2"/>
          <w:sz w:val="18"/>
        </w:rPr>
        <w:t xml:space="preserve"> update it if necessary. The State Comptroller's Office further recommends that Trans-Israel Ltd., the Ministry of Transportation, and the Ministry of Finance consider establishing a uniform, consistent, and stable fare structure linked to vehicle type, subscription type, and travel distance to prevent significant fare discrepancies and provide passengers with transparency for better decision-making. This is especially important given the anticipated addition of concessionaires following Highway 6 extensions. Finally, they should develop a differential fare structure for private vehicles aligned with the level of service provided on Highway 6, thereby reducing congestion. An agreement with the concessionaire should be reached in advance, prior to the completion of the expansion, and thus ensure the implementation of a service-based differential fare structure once the expansion is complete</w:t>
      </w:r>
      <w:r w:rsidRPr="00FF2854" w:rsidR="00FF2854">
        <w:rPr>
          <w:color w:val="0D0D0D" w:themeColor="text1" w:themeTint="F2"/>
          <w:sz w:val="18"/>
        </w:rPr>
        <w:t>.</w:t>
      </w:r>
    </w:p>
    <w:p w:rsidR="006E013E" w14:paraId="506AD225" w14:textId="77777777">
      <w:pPr>
        <w:bidi w:val="0"/>
        <w:rPr>
          <w:rFonts w:ascii="Tahoma" w:hAnsi="Tahoma" w:cs="Tahoma"/>
          <w:color w:val="0D0D0D" w:themeColor="text1" w:themeTint="F2"/>
          <w:sz w:val="18"/>
          <w:szCs w:val="18"/>
          <w:rtl/>
        </w:rPr>
      </w:pPr>
      <w:r>
        <w:rPr>
          <w:color w:val="0D0D0D" w:themeColor="text1" w:themeTint="F2"/>
          <w:sz w:val="18"/>
          <w:rtl/>
        </w:rPr>
        <w:br w:type="page"/>
      </w:r>
    </w:p>
    <w:p w:rsidR="00C64FB4" w:rsidP="006E013E" w14:paraId="13263362" w14:textId="489AD5F9">
      <w:pPr>
        <w:pStyle w:val="running-text"/>
        <w:spacing w:after="180" w:line="260" w:lineRule="exact"/>
        <w:ind w:right="0"/>
        <w:rPr>
          <w:color w:val="0D0D0D" w:themeColor="text1" w:themeTint="F2"/>
          <w:sz w:val="18"/>
          <w:rtl/>
        </w:rPr>
      </w:pPr>
      <w:r>
        <w:rPr>
          <w:noProof/>
          <w:color w:val="0D0D0D" w:themeColor="text1" w:themeTint="F2"/>
          <w:sz w:val="18"/>
          <w:rtl/>
          <w:lang w:val="he-IL"/>
        </w:rPr>
        <mc:AlternateContent>
          <mc:Choice Requires="wps">
            <w:drawing>
              <wp:anchor distT="0" distB="0" distL="114300" distR="114300" simplePos="0" relativeHeight="251688960" behindDoc="0" locked="0" layoutInCell="1" allowOverlap="1">
                <wp:simplePos x="0" y="0"/>
                <wp:positionH relativeFrom="column">
                  <wp:posOffset>-211226</wp:posOffset>
                </wp:positionH>
                <wp:positionV relativeFrom="paragraph">
                  <wp:posOffset>-862609</wp:posOffset>
                </wp:positionV>
                <wp:extent cx="6108192" cy="877824"/>
                <wp:effectExtent l="12700" t="12700" r="13335" b="11430"/>
                <wp:wrapNone/>
                <wp:docPr id="760133681"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108192" cy="87782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35" style="width:480.95pt;height:69.1pt;margin-top:-67.9pt;margin-left:-16.65pt;mso-wrap-distance-bottom:0;mso-wrap-distance-left:9pt;mso-wrap-distance-right:9pt;mso-wrap-distance-top:0;mso-wrap-style:square;position:absolute;visibility:visible;v-text-anchor:middle;z-index:251689984" fillcolor="white" strokecolor="white" strokeweight="1.5pt">
                <v:stroke endcap="round"/>
              </v:rect>
            </w:pict>
          </mc:Fallback>
        </mc:AlternateContent>
      </w:r>
    </w:p>
    <w:p w:rsidR="00C82866" w:rsidRPr="00485F83" w:rsidP="00D05191" w14:paraId="06F4B564" w14:textId="19DF3668">
      <w:pPr>
        <w:pStyle w:val="running-text"/>
        <w:spacing w:after="180" w:line="260" w:lineRule="exact"/>
        <w:ind w:right="0"/>
        <w:rPr>
          <w:color w:val="0D0D0D" w:themeColor="text1" w:themeTint="F2"/>
          <w:sz w:val="18"/>
          <w:rtl/>
        </w:rPr>
      </w:pPr>
      <w:r>
        <w:rPr>
          <w:noProof/>
          <w:color w:val="0D0D0D" w:themeColor="text1" w:themeTint="F2"/>
          <w:sz w:val="18"/>
          <w:rtl/>
          <w:lang w:val="he-IL"/>
        </w:rPr>
        <mc:AlternateContent>
          <mc:Choice Requires="wps">
            <w:drawing>
              <wp:anchor distT="0" distB="0" distL="114300" distR="114300" simplePos="0" relativeHeight="251683840" behindDoc="0" locked="0" layoutInCell="1" allowOverlap="1">
                <wp:simplePos x="0" y="0"/>
                <wp:positionH relativeFrom="column">
                  <wp:posOffset>-562701</wp:posOffset>
                </wp:positionH>
                <wp:positionV relativeFrom="paragraph">
                  <wp:posOffset>6555650</wp:posOffset>
                </wp:positionV>
                <wp:extent cx="6180364" cy="857250"/>
                <wp:effectExtent l="0" t="0" r="5080" b="6350"/>
                <wp:wrapNone/>
                <wp:docPr id="36" name="מלבן 36"/>
                <wp:cNvGraphicFramePr/>
                <a:graphic xmlns:a="http://schemas.openxmlformats.org/drawingml/2006/main">
                  <a:graphicData uri="http://schemas.microsoft.com/office/word/2010/wordprocessingShape">
                    <wps:wsp xmlns:wps="http://schemas.microsoft.com/office/word/2010/wordprocessingShape">
                      <wps:cNvSpPr/>
                      <wps:spPr>
                        <a:xfrm>
                          <a:off x="0" y="0"/>
                          <a:ext cx="6180364" cy="857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36" o:spid="_x0000_s1036" style="width:486.65pt;height:67.5pt;margin-top:516.2pt;margin-left:-44.3pt;mso-wrap-distance-bottom:0;mso-wrap-distance-left:9pt;mso-wrap-distance-right:9pt;mso-wrap-distance-top:0;mso-wrap-style:square;position:absolute;visibility:visible;v-text-anchor:middle;z-index:251684864" fillcolor="white" stroked="f" strokeweight="1.5pt">
                <v:stroke endcap="round"/>
              </v:rect>
            </w:pict>
          </mc:Fallback>
        </mc:AlternateContent>
      </w:r>
      <w:r w:rsidR="0076183F">
        <w:rPr>
          <w:noProof/>
          <w:color w:val="0D0D0D" w:themeColor="text1" w:themeTint="F2"/>
          <w:sz w:val="18"/>
          <w:rtl/>
          <w:lang w:val="he-IL"/>
        </w:rPr>
        <mc:AlternateContent>
          <mc:Choice Requires="wps">
            <w:drawing>
              <wp:anchor distT="0" distB="0" distL="114300" distR="114300" simplePos="0" relativeHeight="251680768" behindDoc="0" locked="0" layoutInCell="1" allowOverlap="1">
                <wp:simplePos x="0" y="0"/>
                <wp:positionH relativeFrom="column">
                  <wp:posOffset>-717369</wp:posOffset>
                </wp:positionH>
                <wp:positionV relativeFrom="paragraph">
                  <wp:posOffset>7240542</wp:posOffset>
                </wp:positionV>
                <wp:extent cx="1419498" cy="522514"/>
                <wp:effectExtent l="12700" t="12700" r="15875" b="11430"/>
                <wp:wrapNone/>
                <wp:docPr id="5" name="מלבן 5"/>
                <wp:cNvGraphicFramePr/>
                <a:graphic xmlns:a="http://schemas.openxmlformats.org/drawingml/2006/main">
                  <a:graphicData uri="http://schemas.microsoft.com/office/word/2010/wordprocessingShape">
                    <wps:wsp xmlns:wps="http://schemas.microsoft.com/office/word/2010/wordprocessingShape">
                      <wps:cNvSpPr/>
                      <wps:spPr>
                        <a:xfrm>
                          <a:off x="0" y="0"/>
                          <a:ext cx="1419498" cy="5225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5" o:spid="_x0000_s1037" style="width:111.75pt;height:41.15pt;margin-top:570.1pt;margin-left:-56.5pt;mso-wrap-distance-bottom:0;mso-wrap-distance-left:9pt;mso-wrap-distance-right:9pt;mso-wrap-distance-top:0;mso-wrap-style:square;position:absolute;visibility:visible;v-text-anchor:middle;z-index:251681792" fillcolor="white" strokecolor="white" strokeweight="1.5pt">
                <v:stroke endcap="round"/>
              </v:rect>
            </w:pict>
          </mc:Fallback>
        </mc:AlternateContent>
      </w:r>
    </w:p>
    <w:p w:rsidR="001C54F4" w:rsidRPr="00485F83" w14:paraId="1C1ADDB0" w14:textId="77777777">
      <w:pPr>
        <w:pStyle w:val="running-text"/>
        <w:spacing w:after="180" w:line="260" w:lineRule="exact"/>
        <w:ind w:right="0"/>
        <w:rPr>
          <w:color w:val="0D0D0D" w:themeColor="text1" w:themeTint="F2"/>
          <w:sz w:val="18"/>
        </w:rPr>
      </w:pPr>
    </w:p>
    <w:sectPr w:rsidSect="00D239F9">
      <w:headerReference w:type="even" r:id="rId28"/>
      <w:headerReference w:type="default" r:id="rId29"/>
      <w:headerReference w:type="first" r:id="rId30"/>
      <w:pgSz w:w="11906" w:h="16838" w:code="9"/>
      <w:pgMar w:top="2892" w:right="2268" w:bottom="2438" w:left="2268" w:header="1871" w:footer="1928" w:gutter="0"/>
      <w:pgNumType w:start="127"/>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endnote w:type="separator" w:id="0">
    <w:p w:rsidR="00B26986" w14:paraId="6998B671" w14:textId="77777777">
      <w:pPr>
        <w:spacing w:after="0" w:line="240" w:lineRule="auto"/>
      </w:pPr>
      <w:r>
        <w:separator/>
      </w:r>
    </w:p>
  </w:endnote>
  <w:endnote w:type="continuationSeparator" w:id="1">
    <w:p w:rsidR="00B26986" w14:paraId="571CEF2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FrankRuehl">
    <w:panose1 w:val="020E0503060101010101"/>
    <w:charset w:val="B1"/>
    <w:family w:val="swiss"/>
    <w:pitch w:val="variable"/>
    <w:sig w:usb0="00000803" w:usb1="00000000" w:usb2="00000000" w:usb3="00000000" w:csb0="0000002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font>
  <w:font w:name="Gisha">
    <w:panose1 w:val="020B0502040204020203"/>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750A" w:rsidRPr="009507DB" w:rsidP="00440360" w14:paraId="0F4EB562" w14:textId="77777777">
    <w:pPr>
      <w:pStyle w:val="Footer"/>
      <w:tabs>
        <w:tab w:val="center" w:pos="-284"/>
        <w:tab w:val="right" w:pos="0"/>
        <w:tab w:val="clear" w:pos="4320"/>
        <w:tab w:val="clear" w:pos="8640"/>
      </w:tabs>
      <w:bidi w:val="0"/>
      <w:ind w:left="-1191" w:right="7314"/>
      <w:jc w:val="right"/>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16</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8F2" w:rsidRPr="009507DB" w:rsidP="00440360" w14:paraId="2E4A7A26" w14:textId="77777777">
    <w:pPr>
      <w:pStyle w:val="Footer"/>
      <w:tabs>
        <w:tab w:val="clear" w:pos="4320"/>
        <w:tab w:val="center" w:pos="7654"/>
        <w:tab w:val="right" w:pos="7937"/>
        <w:tab w:val="clear" w:pos="8640"/>
      </w:tabs>
      <w:bidi w:val="0"/>
      <w:ind w:left="7343" w:right="-1247"/>
      <w:rPr>
        <w:rFonts w:ascii="Tahoma" w:hAnsi="Tahoma" w:cs="Tahoma"/>
        <w:sz w:val="18"/>
        <w:szCs w:val="18"/>
      </w:rPr>
    </w:pPr>
    <w:r w:rsidRPr="009507DB">
      <w:rPr>
        <w:rFonts w:ascii="Tahoma" w:hAnsi="Tahoma" w:cs="Tahoma"/>
        <w:sz w:val="18"/>
        <w:szCs w:val="18"/>
        <w:rtl/>
      </w:rPr>
      <w:t xml:space="preserve">| </w:t>
    </w:r>
    <w:r w:rsidR="008E1EBA">
      <w:rPr>
        <w:rFonts w:ascii="Tahoma" w:hAnsi="Tahoma" w:cs="Tahoma" w:hint="cs"/>
        <w:sz w:val="18"/>
        <w:szCs w:val="18"/>
        <w:rtl/>
      </w:rPr>
      <w:t xml:space="preserve"> </w:t>
    </w:r>
    <w:r w:rsidR="00975710">
      <w:rPr>
        <w:rFonts w:ascii="Tahoma" w:hAnsi="Tahoma" w:cs="Tahoma" w:hint="cs"/>
        <w:sz w:val="18"/>
        <w:szCs w:val="18"/>
        <w:rtl/>
      </w:rPr>
      <w:t xml:space="preserve"> </w:t>
    </w:r>
    <w:r w:rsidRPr="009507DB">
      <w:rPr>
        <w:rFonts w:ascii="Tahoma" w:hAnsi="Tahoma" w:cs="Tahoma"/>
        <w:color w:val="231F20"/>
        <w:sz w:val="18"/>
        <w:szCs w:val="18"/>
      </w:rPr>
      <w:fldChar w:fldCharType="begin"/>
    </w:r>
    <w:r w:rsidRPr="009507DB">
      <w:rPr>
        <w:rFonts w:ascii="Tahoma" w:hAnsi="Tahoma" w:cs="Tahoma"/>
        <w:color w:val="231F20"/>
        <w:sz w:val="18"/>
        <w:szCs w:val="18"/>
      </w:rPr>
      <w:instrText xml:space="preserve"> PAGE   \* MERGEFORMAT </w:instrText>
    </w:r>
    <w:r w:rsidRPr="009507DB">
      <w:rPr>
        <w:rFonts w:ascii="Tahoma" w:hAnsi="Tahoma" w:cs="Tahoma"/>
        <w:color w:val="231F20"/>
        <w:sz w:val="18"/>
        <w:szCs w:val="18"/>
      </w:rPr>
      <w:fldChar w:fldCharType="separate"/>
    </w:r>
    <w:r w:rsidR="00B7022A">
      <w:rPr>
        <w:rFonts w:ascii="Tahoma" w:hAnsi="Tahoma" w:cs="Tahoma"/>
        <w:noProof/>
        <w:color w:val="231F20"/>
        <w:sz w:val="18"/>
        <w:szCs w:val="18"/>
      </w:rPr>
      <w:t>15</w:t>
    </w:r>
    <w:r w:rsidRPr="009507DB">
      <w:rPr>
        <w:rFonts w:ascii="Tahoma" w:hAnsi="Tahoma" w:cs="Tahoma"/>
        <w:noProof/>
        <w:color w:val="231F20"/>
        <w:sz w:val="18"/>
        <w:szCs w:val="18"/>
      </w:rPr>
      <w:fldChar w:fldCharType="end"/>
    </w:r>
    <w:r w:rsidR="00975710">
      <w:rPr>
        <w:rFonts w:ascii="Tahoma" w:hAnsi="Tahoma" w:cs="Tahoma" w:hint="cs"/>
        <w:noProof/>
        <w:color w:val="231F20"/>
        <w:sz w:val="18"/>
        <w:szCs w:val="18"/>
        <w:rtl/>
      </w:rPr>
      <w:t xml:space="preserve"> </w:t>
    </w:r>
    <w:r w:rsidR="008E1EBA">
      <w:rPr>
        <w:rFonts w:ascii="Tahoma" w:hAnsi="Tahoma" w:cs="Tahoma" w:hint="cs"/>
        <w:noProof/>
        <w:color w:val="231F20"/>
        <w:sz w:val="18"/>
        <w:szCs w:val="18"/>
        <w:rtl/>
      </w:rPr>
      <w:t xml:space="preserve"> </w:t>
    </w:r>
    <w:r w:rsidR="00975710">
      <w:rPr>
        <w:rFonts w:ascii="Tahoma" w:hAnsi="Tahoma" w:cs="Tahoma" w:hint="cs"/>
        <w:noProof/>
        <w:color w:val="231F20"/>
        <w:sz w:val="18"/>
        <w:szCs w:val="18"/>
        <w:rtl/>
      </w:rPr>
      <w:t xml:space="preserve"> </w:t>
    </w:r>
    <w:r w:rsidRPr="009507DB">
      <w:rPr>
        <w:rFonts w:ascii="Tahoma" w:hAnsi="Tahoma" w:cs="Tahoma"/>
        <w:sz w:val="18"/>
        <w:szCs w:val="18"/>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239F9" w14:paraId="26B9228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B26986" w:rsidP="00BD3044" w14:paraId="136B257E" w14:textId="77777777">
      <w:pPr>
        <w:spacing w:after="0" w:line="240" w:lineRule="auto"/>
        <w:jc w:val="right"/>
      </w:pPr>
      <w:r>
        <w:separator/>
      </w:r>
    </w:p>
  </w:footnote>
  <w:footnote w:type="continuationSeparator" w:id="1">
    <w:p w:rsidR="00B26986" w14:paraId="1C889B1F" w14:textId="77777777">
      <w:pPr>
        <w:spacing w:after="0" w:line="240" w:lineRule="auto"/>
      </w:pPr>
      <w:r>
        <w:continuationSeparator/>
      </w:r>
    </w:p>
  </w:footnote>
  <w:footnote w:id="2">
    <w:p w:rsidR="006B212E" w:rsidRPr="001B667C" w:rsidP="006B212E" w14:paraId="65AD7852" w14:textId="77777777">
      <w:pPr>
        <w:pStyle w:val="710"/>
        <w:bidi w:val="0"/>
      </w:pPr>
      <w:r w:rsidRPr="001B667C">
        <w:rPr>
          <w:rStyle w:val="FootnoteReference1"/>
        </w:rPr>
        <w:footnoteRef/>
      </w:r>
      <w:r w:rsidRPr="001B667C">
        <w:rPr>
          <w:lang w:val="en"/>
        </w:rPr>
        <w:t xml:space="preserve"> </w:t>
      </w:r>
      <w:r w:rsidRPr="001B667C">
        <w:rPr>
          <w:lang w:val="en"/>
        </w:rPr>
        <w:tab/>
        <w:t>An inter-ministerial committee chaired by a senior deputy to the Accountant General, including representatives from the Accountant General's Office, the Budget Department, the Ministry of Transportation, Inbal Insurance Company, and the Trans-Israel Highway Company.</w:t>
      </w:r>
    </w:p>
  </w:footnote>
  <w:footnote w:id="3">
    <w:p w:rsidR="006B212E" w:rsidP="006B212E" w14:paraId="4AEDBF73" w14:textId="77777777">
      <w:pPr>
        <w:pStyle w:val="710"/>
        <w:bidi w:val="0"/>
        <w:rPr>
          <w:rtl/>
        </w:rPr>
      </w:pPr>
      <w:r w:rsidRPr="001B667C">
        <w:rPr>
          <w:rStyle w:val="FootnoteReference1"/>
        </w:rPr>
        <w:footnoteRef/>
      </w:r>
      <w:r w:rsidRPr="001B667C">
        <w:rPr>
          <w:lang w:val="en"/>
        </w:rPr>
        <w:t xml:space="preserve"> </w:t>
      </w:r>
      <w:r w:rsidRPr="001B667C">
        <w:rPr>
          <w:lang w:val="en"/>
        </w:rPr>
        <w:tab/>
        <w:t xml:space="preserve">A lane permitting, according to the Ministry of Transportation’s policy, the travel of private vehicles only if a minimum number of passengers (including the driver) is present. The minimum number can range from 2+ (driver and one passenger), 3+ (driver and two passengers), or even 4+ passengers or more.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239F9" w14:paraId="40AFF91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239F9" w14:paraId="781C72AF"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bookmarkStart w:id="5" w:name="_Hlk63775048"/>
  <w:bookmarkEnd w:id="5"/>
  <w:p w:rsidR="00B650F8" w:rsidRPr="00B650F8" w:rsidP="00B650F8" w14:paraId="2F61E770" w14:textId="502FA0FF">
    <w:r>
      <w:rPr>
        <w:noProof/>
      </w:rPr>
      <mc:AlternateContent>
        <mc:Choice Requires="wps">
          <w:drawing>
            <wp:anchor distT="0" distB="0" distL="114300" distR="114300" simplePos="0" relativeHeight="251665408" behindDoc="1" locked="0" layoutInCell="1" allowOverlap="1">
              <wp:simplePos x="0" y="0"/>
              <wp:positionH relativeFrom="column">
                <wp:posOffset>-1464894</wp:posOffset>
              </wp:positionH>
              <wp:positionV relativeFrom="paragraph">
                <wp:posOffset>-247221</wp:posOffset>
              </wp:positionV>
              <wp:extent cx="7594686" cy="0"/>
              <wp:effectExtent l="0" t="0" r="12700"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7594686" cy="0"/>
                      </a:xfrm>
                      <a:prstGeom prst="line">
                        <a:avLst/>
                      </a:prstGeom>
                      <a:ln>
                        <a:gradFill rotWithShape="1">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2049" style="flip:x;mso-height-percent:0;mso-height-relative:margin;mso-width-percent:0;mso-width-relative:margin;mso-wrap-distance-bottom:0;mso-wrap-distance-left:9pt;mso-wrap-distance-right:9pt;mso-wrap-distance-top:0;mso-wrap-style:square;position:absolute;visibility:visible;z-index:-251650048" from="-115.35pt,-19.45pt" to="482.65pt,-19.45pt">
              <v:stroke endcap="round"/>
            </v:line>
          </w:pict>
        </mc:Fallback>
      </mc:AlternateContent>
    </w:r>
    <w:r>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642E60" w:rsidP="00642E60" w14:paraId="09CB2EBE"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7F1A39" w:rsidP="007F1A39" w14:paraId="174E2EDE" w14:textId="77777777">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cs"/>
        <w:noProof/>
        <w:color w:val="0B5294" w:themeColor="accent1" w:themeShade="BF"/>
        <w:sz w:val="16"/>
        <w:szCs w:val="16"/>
        <w:rtl/>
      </w:rPr>
      <w:t>שם הגוף המבוקר</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hint="cs"/>
        <w:noProof/>
        <w:color w:val="0B5294" w:themeColor="accent1" w:themeShade="BF"/>
        <w:sz w:val="16"/>
        <w:szCs w:val="16"/>
        <w:rtl/>
      </w:rPr>
      <w:t>|</w:t>
    </w:r>
    <w:r w:rsidR="00767790">
      <w:rPr>
        <w:rFonts w:ascii="Tahoma" w:hAnsi="Tahoma" w:eastAsiaTheme="majorEastAsia" w:cs="Tahoma" w:hint="cs"/>
        <w:noProof/>
        <w:color w:val="0B5294" w:themeColor="accent1" w:themeShade="BF"/>
        <w:sz w:val="16"/>
        <w:szCs w:val="16"/>
        <w:rtl/>
      </w:rPr>
      <w:t xml:space="preserve">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3323CD">
      <w:rPr>
        <w:rFonts w:ascii="Tahoma" w:hAnsi="Tahoma" w:eastAsiaTheme="majorEastAsia" w:cs="Tahoma"/>
        <w:b/>
        <w:bCs/>
        <w:noProof/>
        <w:color w:val="0B5294" w:themeColor="accent1" w:themeShade="BF"/>
        <w:sz w:val="16"/>
        <w:szCs w:val="16"/>
        <w:rtl/>
      </w:rPr>
      <w:t>3</w:t>
    </w:r>
    <w:r w:rsidRPr="007F1A39">
      <w:rPr>
        <w:rFonts w:ascii="Tahoma" w:hAnsi="Tahoma" w:eastAsiaTheme="majorEastAsia" w:cs="Tahoma"/>
        <w:b/>
        <w:bCs/>
        <w:noProof/>
        <w:color w:val="0B5294" w:themeColor="accent1" w:themeShade="B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12E08" w:rsidRPr="00890ED9" w:rsidP="00890ED9" w14:paraId="24EF87A9"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C10CA" w:rsidRPr="007C10CA" w:rsidP="00086BC2" w14:paraId="3F4CF5A8" w14:textId="18C32CDC">
    <w:pPr>
      <w:bidi w:val="0"/>
      <w:spacing w:after="0" w:line="240" w:lineRule="auto"/>
      <w:rPr>
        <w:rFonts w:ascii="Tahoma" w:hAnsi="Tahoma" w:cs="Tahoma"/>
        <w:color w:val="0D0D0D" w:themeColor="text1" w:themeTint="F2"/>
        <w:sz w:val="16"/>
        <w:szCs w:val="16"/>
      </w:rPr>
    </w:pPr>
    <w:r w:rsidRPr="006637B9">
      <w:rPr>
        <w:rFonts w:ascii="Tahoma" w:hAnsi="Tahoma" w:cs="Tahoma"/>
        <w:noProof/>
        <w:color w:val="002060"/>
        <w:sz w:val="18"/>
        <w:szCs w:val="18"/>
      </w:rPr>
      <mc:AlternateContent>
        <mc:Choice Requires="wps">
          <w:drawing>
            <wp:anchor distT="0" distB="0" distL="114300" distR="114300" simplePos="0" relativeHeight="251667456" behindDoc="0" locked="0" layoutInCell="1" allowOverlap="1">
              <wp:simplePos x="0" y="0"/>
              <wp:positionH relativeFrom="column">
                <wp:posOffset>219075</wp:posOffset>
              </wp:positionH>
              <wp:positionV relativeFrom="paragraph">
                <wp:posOffset>179070</wp:posOffset>
              </wp:positionV>
              <wp:extent cx="4625340" cy="224790"/>
              <wp:effectExtent l="0" t="0" r="0" b="3810"/>
              <wp:wrapSquare wrapText="bothSides"/>
              <wp:docPr id="14510666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25340" cy="224790"/>
                      </a:xfrm>
                      <a:prstGeom prst="rect">
                        <a:avLst/>
                      </a:prstGeom>
                      <a:solidFill>
                        <a:srgbClr val="FFFFFF"/>
                      </a:solidFill>
                      <a:ln w="9525">
                        <a:noFill/>
                        <a:miter lim="800000"/>
                        <a:headEnd/>
                        <a:tailEnd/>
                      </a:ln>
                    </wps:spPr>
                    <wps:txbx>
                      <w:txbxContent>
                        <w:p w:rsidR="00086BC2" w:rsidRPr="00FC4CA4" w:rsidP="00086BC2" w14:textId="142E3852">
                          <w:pPr>
                            <w:bidi w:val="0"/>
                            <w:spacing w:after="0" w:line="240" w:lineRule="auto"/>
                            <w:rPr>
                              <w:rFonts w:ascii="Tahoma" w:hAnsi="Tahoma" w:cs="Tahoma"/>
                              <w:color w:val="0D0D0D" w:themeColor="text1" w:themeTint="F2"/>
                              <w:sz w:val="16"/>
                              <w:szCs w:val="16"/>
                              <w:lang w:val="en"/>
                            </w:rPr>
                          </w:pPr>
                          <w:r w:rsidRPr="00561A02">
                            <w:rPr>
                              <w:rFonts w:ascii="Tahoma" w:hAnsi="Tahoma" w:cs="Tahoma"/>
                              <w:color w:val="0D0D0D" w:themeColor="text1" w:themeTint="F2"/>
                              <w:sz w:val="16"/>
                              <w:szCs w:val="16"/>
                              <w:lang w:val="en"/>
                            </w:rPr>
                            <w:t>Operation of Toll Roads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0" type="#_x0000_t202" style="width:364.2pt;height:17.7pt;margin-top:14.1pt;margin-left:17.25pt;mso-height-percent:0;mso-height-relative:margin;mso-width-percent:0;mso-width-relative:margin;mso-wrap-distance-bottom:0;mso-wrap-distance-left:9pt;mso-wrap-distance-right:9pt;mso-wrap-distance-top:0;mso-wrap-style:square;position:absolute;visibility:visible;v-text-anchor:top;z-index:251668480" stroked="f">
              <v:textbox>
                <w:txbxContent>
                  <w:p w:rsidR="00086BC2" w:rsidRPr="00FC4CA4" w:rsidP="00086BC2" w14:paraId="760267C9" w14:textId="142E3852">
                    <w:pPr>
                      <w:bidi w:val="0"/>
                      <w:spacing w:after="0" w:line="240" w:lineRule="auto"/>
                      <w:rPr>
                        <w:rFonts w:ascii="Tahoma" w:hAnsi="Tahoma" w:cs="Tahoma"/>
                        <w:color w:val="0D0D0D" w:themeColor="text1" w:themeTint="F2"/>
                        <w:sz w:val="16"/>
                        <w:szCs w:val="16"/>
                        <w:lang w:val="en"/>
                      </w:rPr>
                    </w:pPr>
                    <w:r w:rsidRPr="00561A02">
                      <w:rPr>
                        <w:rFonts w:ascii="Tahoma" w:hAnsi="Tahoma" w:cs="Tahoma"/>
                        <w:color w:val="0D0D0D" w:themeColor="text1" w:themeTint="F2"/>
                        <w:sz w:val="16"/>
                        <w:szCs w:val="16"/>
                        <w:lang w:val="en"/>
                      </w:rPr>
                      <w:t>Operation of Toll Roads</w:t>
                    </w:r>
                  </w:p>
                </w:txbxContent>
              </v:textbox>
              <w10:wrap type="square"/>
            </v:shape>
          </w:pict>
        </mc:Fallback>
      </mc:AlternateContent>
    </w:r>
    <w:r w:rsidR="003340AD">
      <w:rPr>
        <w:noProof/>
        <w:rtl/>
        <w:lang w:val="he-IL"/>
      </w:rPr>
      <mc:AlternateContent>
        <mc:Choice Requires="wps">
          <w:drawing>
            <wp:anchor distT="0" distB="0" distL="114300" distR="114300" simplePos="0" relativeHeight="251669504" behindDoc="1" locked="0" layoutInCell="1" allowOverlap="1">
              <wp:simplePos x="0" y="0"/>
              <wp:positionH relativeFrom="margin">
                <wp:posOffset>-952500</wp:posOffset>
              </wp:positionH>
              <wp:positionV relativeFrom="margin">
                <wp:posOffset>-1054735</wp:posOffset>
              </wp:positionV>
              <wp:extent cx="6479540" cy="8999855"/>
              <wp:effectExtent l="0" t="0" r="10160" b="17145"/>
              <wp:wrapNone/>
              <wp:docPr id="1141261157"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1" type="#_x0000_t202" style="width:510.2pt;height:708.65pt;margin-top:-83.05pt;margin-left:-7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5952" filled="f" strokecolor="#a5a5a5" strokeweight="0.25pt">
              <v:stroke dashstyle="longDash"/>
              <v:textbox>
                <w:txbxContent>
                  <w:p w:rsidR="003340AD" w:rsidRPr="00DE3ECA" w:rsidP="003340AD" w14:paraId="01679594"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7C10CA" w:rsidR="00086BC2">
      <w:rPr>
        <w:rFonts w:ascii="Tahoma" w:hAnsi="Tahoma" w:eastAsiaTheme="minorHAnsi" w:cs="Tahoma" w:hint="eastAsia"/>
        <w:color w:val="0D0D0D" w:themeColor="text1" w:themeTint="F2"/>
        <w:sz w:val="16"/>
        <w:szCs w:val="16"/>
        <w:rtl/>
        <w:lang w:val="en"/>
      </w:rPr>
      <w:t xml:space="preserve"> </w:t>
    </w:r>
    <w:r w:rsidRPr="007C10CA" w:rsidR="008615A2">
      <w:rPr>
        <w:rFonts w:ascii="Tahoma" w:hAnsi="Tahoma" w:eastAsiaTheme="minorHAnsi" w:cs="Tahoma" w:hint="eastAsia"/>
        <w:noProof/>
        <w:color w:val="0D0D0D" w:themeColor="text1" w:themeTint="F2"/>
        <w:sz w:val="16"/>
        <w:szCs w:val="16"/>
        <w:rtl/>
        <w:lang w:val="en"/>
      </w:rPr>
      <w:drawing>
        <wp:anchor distT="0" distB="0" distL="114300" distR="114300" simplePos="0" relativeHeight="251659264" behindDoc="1" locked="0" layoutInCell="1" allowOverlap="1">
          <wp:simplePos x="0" y="0"/>
          <wp:positionH relativeFrom="page">
            <wp:posOffset>5745</wp:posOffset>
          </wp:positionH>
          <wp:positionV relativeFrom="page">
            <wp:posOffset>65674</wp:posOffset>
          </wp:positionV>
          <wp:extent cx="7549200" cy="10670400"/>
          <wp:effectExtent l="0" t="0" r="0" b="0"/>
          <wp:wrapNone/>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p>
  <w:p w:rsidR="00C82866" w:rsidRPr="00950E0A" w:rsidP="008A4007" w14:paraId="74C5211B" w14:textId="01775043">
    <w:pPr>
      <w:pStyle w:val="Header"/>
      <w:bidi w:val="0"/>
      <w:spacing w:before="240" w:after="180"/>
      <w:rPr>
        <w:rFonts w:ascii="Tahoma" w:hAnsi="Tahoma" w:eastAsiaTheme="majorEastAsia" w:cs="Tahoma"/>
        <w:noProof/>
        <w:color w:val="0D0D0D" w:themeColor="text1" w:themeTint="F2"/>
        <w:sz w:val="16"/>
        <w:szCs w:val="16"/>
        <w:rt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D05191" w:rsidP="005411EA" w14:paraId="50443D29" w14:textId="704B3C3F">
    <w:pPr>
      <w:pStyle w:val="Header"/>
      <w:bidi w:val="0"/>
      <w:spacing w:before="240" w:after="180"/>
      <w:ind w:right="567"/>
      <w:jc w:val="right"/>
      <w:rPr>
        <w:rFonts w:ascii="Tahoma" w:hAnsi="Tahoma" w:eastAsiaTheme="majorEastAsia" w:cs="Tahoma"/>
        <w:noProof/>
        <w:color w:val="231F20"/>
        <w:sz w:val="16"/>
        <w:szCs w:val="16"/>
      </w:rPr>
    </w:pPr>
    <w:r w:rsidRPr="00C86180">
      <w:rPr>
        <w:noProof/>
        <w:sz w:val="22"/>
        <w:szCs w:val="22"/>
        <w:rtl/>
        <w:lang w:val="he-IL"/>
      </w:rPr>
      <mc:AlternateContent>
        <mc:Choice Requires="wps">
          <w:drawing>
            <wp:anchor distT="0" distB="0" distL="114300" distR="114300" simplePos="0" relativeHeight="251660288" behindDoc="0" locked="0" layoutInCell="1" allowOverlap="1">
              <wp:simplePos x="0" y="0"/>
              <wp:positionH relativeFrom="column">
                <wp:posOffset>5037460</wp:posOffset>
              </wp:positionH>
              <wp:positionV relativeFrom="paragraph">
                <wp:posOffset>-1180402</wp:posOffset>
              </wp:positionV>
              <wp:extent cx="299085" cy="8437069"/>
              <wp:effectExtent l="0" t="0" r="5715" b="0"/>
              <wp:wrapNone/>
              <wp:docPr id="6"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299085" cy="8437069"/>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2052" style="width:23.55pt;height:664.35pt;margin-top:-92.95pt;margin-left:396.65pt;flip:y;mso-height-percent:0;mso-height-relative:margin;mso-width-percent:0;mso-width-relative:margin;mso-wrap-distance-bottom:0;mso-wrap-distance-left:9pt;mso-wrap-distance-right:9pt;mso-wrap-distance-top:0;mso-wrap-style:square;position:absolute;visibility:visible;v-text-anchor:middle;z-index:251661312" fillcolor="#00305f" stroked="f" strokeweight="1.5pt">
              <v:stroke endcap="round"/>
            </v:rect>
          </w:pict>
        </mc:Fallback>
      </mc:AlternateContent>
    </w:r>
    <w:r w:rsidR="003340AD">
      <w:rPr>
        <w:noProof/>
        <w:rtl/>
        <w:lang w:val="he-IL"/>
      </w:rPr>
      <mc:AlternateContent>
        <mc:Choice Requires="wps">
          <w:drawing>
            <wp:anchor distT="0" distB="0" distL="114300" distR="114300" simplePos="0" relativeHeight="251671552" behindDoc="1" locked="0" layoutInCell="1" allowOverlap="1">
              <wp:simplePos x="0" y="0"/>
              <wp:positionH relativeFrom="margin">
                <wp:posOffset>-957930</wp:posOffset>
              </wp:positionH>
              <wp:positionV relativeFrom="margin">
                <wp:posOffset>-903605</wp:posOffset>
              </wp:positionV>
              <wp:extent cx="6479540" cy="8999855"/>
              <wp:effectExtent l="0" t="0" r="10160" b="17145"/>
              <wp:wrapNone/>
              <wp:docPr id="545322748"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79540" cy="8999855"/>
                      </a:xfrm>
                      <a:prstGeom prst="rect">
                        <a:avLst/>
                      </a:prstGeom>
                      <a:noFill/>
                      <a:ln w="3175">
                        <a:solidFill>
                          <a:schemeClr val="bg1">
                            <a:lumMod val="65000"/>
                          </a:schemeClr>
                        </a:solidFill>
                        <a:prstDash val="lgDash"/>
                      </a:ln>
                    </wps:spPr>
                    <wps:txbx>
                      <w:txbxContent>
                        <w:p w:rsidR="003340AD" w:rsidRPr="00DE3ECA" w:rsidP="003340A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3" type="#_x0000_t202" style="width:510.2pt;height:708.65pt;margin-top:-71.15pt;margin-left:-75.4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3904" filled="f" strokecolor="#a5a5a5" strokeweight="0.25pt">
              <v:stroke dashstyle="longDash"/>
              <v:textbox>
                <w:txbxContent>
                  <w:p w:rsidR="003340AD" w:rsidRPr="00DE3ECA" w:rsidP="003340AD" w14:paraId="5E74C7C1"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sidRPr="006061A9" w:rsidR="00555EDA">
      <w:rPr>
        <w:rFonts w:ascii="Tahoma" w:hAnsi="Tahoma" w:eastAsiaTheme="majorEastAsia" w:cs="Tahoma"/>
        <w:noProof/>
        <w:color w:val="0D0D0D" w:themeColor="text1" w:themeTint="F2"/>
        <w:sz w:val="16"/>
        <w:szCs w:val="16"/>
      </w:rPr>
      <mc:AlternateContent>
        <mc:Choice Requires="wps">
          <w:drawing>
            <wp:anchor distT="0" distB="0" distL="114300" distR="114300" simplePos="0" relativeHeight="251662336" behindDoc="0" locked="0" layoutInCell="1" allowOverlap="1">
              <wp:simplePos x="0" y="0"/>
              <wp:positionH relativeFrom="column">
                <wp:posOffset>4960620</wp:posOffset>
              </wp:positionH>
              <wp:positionV relativeFrom="paragraph">
                <wp:posOffset>-41077</wp:posOffset>
              </wp:positionV>
              <wp:extent cx="489585" cy="7483377"/>
              <wp:effectExtent l="0" t="0" r="0" b="0"/>
              <wp:wrapNone/>
              <wp:docPr id="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 cy="7483377"/>
                      </a:xfrm>
                      <a:prstGeom prst="rect">
                        <a:avLst/>
                      </a:prstGeom>
                      <a:noFill/>
                      <a:ln w="9525">
                        <a:noFill/>
                        <a:miter lim="800000"/>
                        <a:headEnd/>
                        <a:tailEnd/>
                      </a:ln>
                    </wps:spPr>
                    <wps:txbx>
                      <w:txbxContent>
                        <w:p w:rsidR="00741C9B" w:rsidRPr="00941C35" w:rsidP="00561A02" w14:textId="5A26A4BF">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561A02" w:rsidR="00561A02">
                            <w:rPr>
                              <w:rFonts w:eastAsiaTheme="minorEastAsia"/>
                              <w:color w:val="FFFFFF" w:themeColor="background1"/>
                              <w:spacing w:val="-2"/>
                              <w:sz w:val="20"/>
                              <w:szCs w:val="20"/>
                            </w:rPr>
                            <w:t>Operation of Toll Roads</w:t>
                          </w:r>
                        </w:p>
                      </w:txbxContent>
                    </wps:txbx>
                    <wps:bodyPr rot="0" vert="vert" wrap="square" anchor="t" anchorCtr="0"/>
                  </wps:wsp>
                </a:graphicData>
              </a:graphic>
              <wp14:sizeRelH relativeFrom="margin">
                <wp14:pctWidth>0</wp14:pctWidth>
              </wp14:sizeRelH>
              <wp14:sizeRelV relativeFrom="margin">
                <wp14:pctHeight>0</wp14:pctHeight>
              </wp14:sizeRelV>
            </wp:anchor>
          </w:drawing>
        </mc:Choice>
        <mc:Fallback>
          <w:pict>
            <v:shape id="_x0000_s2054" type="#_x0000_t202" style="width:38.55pt;height:589.25pt;margin-top:-3.25pt;margin-left:390.6pt;mso-height-percent:0;mso-height-relative:margin;mso-width-percent:0;mso-width-relative:margin;mso-wrap-distance-bottom:0;mso-wrap-distance-left:9pt;mso-wrap-distance-right:9pt;mso-wrap-distance-top:0;mso-wrap-style:square;position:absolute;visibility:visible;v-text-anchor:top;z-index:251663360" filled="f" stroked="f">
              <v:textbox style="layout-flow:vertical">
                <w:txbxContent>
                  <w:p w:rsidR="00741C9B" w:rsidRPr="00941C35" w:rsidP="00561A02" w14:paraId="542790B6" w14:textId="5A26A4BF">
                    <w:pPr>
                      <w:pStyle w:val="7120"/>
                      <w:bidi w:val="0"/>
                      <w:spacing w:before="0" w:after="0"/>
                      <w:ind w:left="284" w:right="-142"/>
                      <w:rPr>
                        <w:color w:val="FFFFFF" w:themeColor="background1"/>
                        <w:spacing w:val="-2"/>
                        <w:sz w:val="19"/>
                        <w:szCs w:val="19"/>
                      </w:rPr>
                    </w:pPr>
                    <w:r w:rsidRPr="00555EDA">
                      <w:rPr>
                        <w:b w:val="0"/>
                        <w:bCs w:val="0"/>
                        <w:color w:val="FFFFFF" w:themeColor="background1"/>
                        <w:sz w:val="20"/>
                        <w:szCs w:val="20"/>
                      </w:rPr>
                      <w:t xml:space="preserve">Abstract </w:t>
                    </w:r>
                    <w:r w:rsidRPr="00555EDA" w:rsidR="001B75AD">
                      <w:rPr>
                        <w:b w:val="0"/>
                        <w:bCs w:val="0"/>
                        <w:color w:val="FFFFFF" w:themeColor="background1"/>
                        <w:sz w:val="20"/>
                        <w:szCs w:val="20"/>
                      </w:rPr>
                      <w:t xml:space="preserve"> </w:t>
                    </w:r>
                    <w:r w:rsidRPr="00555EDA">
                      <w:rPr>
                        <w:rFonts w:hint="cs"/>
                        <w:b w:val="0"/>
                        <w:bCs w:val="0"/>
                        <w:color w:val="FFFFFF" w:themeColor="background1"/>
                        <w:sz w:val="20"/>
                        <w:szCs w:val="20"/>
                        <w:rtl/>
                      </w:rPr>
                      <w:t>|</w:t>
                    </w:r>
                    <w:r w:rsidRPr="00555EDA" w:rsidR="00690F71">
                      <w:rPr>
                        <w:b w:val="0"/>
                        <w:bCs w:val="0"/>
                        <w:color w:val="FFFFFF" w:themeColor="background1"/>
                        <w:sz w:val="18"/>
                        <w:szCs w:val="18"/>
                      </w:rPr>
                      <w:t xml:space="preserve"> </w:t>
                    </w:r>
                    <w:r w:rsidRPr="00555EDA" w:rsidR="001B75AD">
                      <w:rPr>
                        <w:b w:val="0"/>
                        <w:bCs w:val="0"/>
                        <w:color w:val="FFFFFF" w:themeColor="background1"/>
                        <w:sz w:val="19"/>
                        <w:szCs w:val="19"/>
                      </w:rPr>
                      <w:t xml:space="preserve"> </w:t>
                    </w:r>
                    <w:r w:rsidRPr="00561A02" w:rsidR="00561A02">
                      <w:rPr>
                        <w:rFonts w:eastAsiaTheme="minorEastAsia"/>
                        <w:color w:val="FFFFFF" w:themeColor="background1"/>
                        <w:spacing w:val="-2"/>
                        <w:sz w:val="20"/>
                        <w:szCs w:val="20"/>
                      </w:rPr>
                      <w:t>Operation of Toll Roads</w:t>
                    </w:r>
                  </w:p>
                </w:txbxContent>
              </v:textbox>
            </v:shape>
          </w:pict>
        </mc:Fallback>
      </mc:AlternateContent>
    </w:r>
    <w:r w:rsidR="008615A2">
      <w:rPr>
        <w:rFonts w:ascii="Tahoma" w:hAnsi="Tahoma" w:eastAsiaTheme="majorEastAsia" w:cs="Tahoma"/>
        <w:noProof/>
        <w:color w:val="0D0D0D" w:themeColor="text1" w:themeTint="F2"/>
        <w:sz w:val="16"/>
        <w:szCs w:val="16"/>
      </w:rPr>
      <w:drawing>
        <wp:anchor distT="0" distB="0" distL="114300" distR="114300" simplePos="0" relativeHeight="251658240" behindDoc="1" locked="0" layoutInCell="1" allowOverlap="1">
          <wp:simplePos x="0" y="0"/>
          <wp:positionH relativeFrom="column">
            <wp:align>center</wp:align>
          </wp:positionH>
          <wp:positionV relativeFrom="page">
            <wp:align>center</wp:align>
          </wp:positionV>
          <wp:extent cx="7549200" cy="10670400"/>
          <wp:effectExtent l="0" t="0" r="0" b="0"/>
          <wp:wrapNone/>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49200" cy="10670400"/>
                  </a:xfrm>
                  <a:prstGeom prst="rect">
                    <a:avLst/>
                  </a:prstGeom>
                </pic:spPr>
              </pic:pic>
            </a:graphicData>
          </a:graphic>
          <wp14:sizeRelH relativeFrom="margin">
            <wp14:pctWidth>0</wp14:pctWidth>
          </wp14:sizeRelH>
          <wp14:sizeRelV relativeFrom="margin">
            <wp14:pctHeight>0</wp14:pctHeight>
          </wp14:sizeRelV>
        </wp:anchor>
      </w:drawing>
    </w:r>
    <w:r w:rsidRPr="00D05191" w:rsidR="0038050A">
      <w:rPr>
        <w:rFonts w:ascii="Tahoma" w:hAnsi="Tahoma" w:eastAsiaTheme="majorEastAsia" w:cs="Tahoma"/>
        <w:noProof/>
        <w:color w:val="0D0D0D" w:themeColor="text1" w:themeTint="F2"/>
        <w:sz w:val="15"/>
        <w:szCs w:val="15"/>
      </w:rPr>
      <w:t xml:space="preserve"> </w:t>
    </w:r>
    <w:r w:rsidRPr="00DB54AF" w:rsidR="00DB54AF">
      <w:rPr>
        <w:rFonts w:ascii="Tahoma" w:hAnsi="Tahoma" w:eastAsiaTheme="majorEastAsia" w:cs="Tahoma"/>
        <w:noProof/>
        <w:color w:val="0D0D0D" w:themeColor="text1" w:themeTint="F2"/>
        <w:sz w:val="16"/>
        <w:szCs w:val="16"/>
      </w:rPr>
      <w:t>Report of the State Comptroller of Israel</w:t>
    </w:r>
    <w:r w:rsidR="00627F7E">
      <w:rPr>
        <w:rFonts w:ascii="Tahoma" w:hAnsi="Tahoma" w:eastAsiaTheme="majorEastAsia" w:cs="Tahoma" w:hint="cs"/>
        <w:noProof/>
        <w:color w:val="0D0D0D" w:themeColor="text1" w:themeTint="F2"/>
        <w:sz w:val="16"/>
        <w:szCs w:val="16"/>
        <w:rtl/>
      </w:rPr>
      <w:t xml:space="preserve"> </w:t>
    </w:r>
    <w:r w:rsidRPr="00DB54AF" w:rsidR="00DB54AF">
      <w:rPr>
        <w:rFonts w:ascii="Tahoma" w:hAnsi="Tahoma" w:eastAsiaTheme="majorEastAsia" w:cs="Tahoma"/>
        <w:noProof/>
        <w:color w:val="0D0D0D" w:themeColor="text1" w:themeTint="F2"/>
        <w:sz w:val="16"/>
        <w:szCs w:val="16"/>
      </w:rPr>
      <w:t>| November 2024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82866" w:rsidRPr="00890ED9" w:rsidP="00890ED9" w14:paraId="3011DE6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mc:AlternateContent>
      <mc:Choice Requires="v">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914448227" o:spid="_x0000_i1025" type="#_x0000_t75" style="width:52.9pt;height:58.05pt" o:bullet="t">
            <v:imagedata r:id="rId1" o:title=""/>
          </v:shape>
        </w:pict>
      </mc:Choice>
      <mc:Fallback>
        <w:drawing>
          <wp:inline distT="0" distB="0" distL="0" distR="0">
            <wp:extent cx="671830" cy="737235"/>
            <wp:effectExtent l="0" t="0" r="0" b="0"/>
            <wp:docPr id="1914448227" name="תמונה 191444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671830" cy="737235"/>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386851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EB68CF"/>
    <w:multiLevelType w:val="hybridMultilevel"/>
    <w:tmpl w:val="4DBA338A"/>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 w15:restartNumberingAfterBreak="0">
    <w:nsid w:val="07C54509"/>
    <w:multiLevelType w:val="multilevel"/>
    <w:tmpl w:val="3030E6FC"/>
    <w:lvl w:ilvl="0">
      <w:start w:val="1"/>
      <w:numFmt w:val="decimal"/>
      <w:pStyle w:val="71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D1C1A57"/>
    <w:multiLevelType w:val="hybridMultilevel"/>
    <w:tmpl w:val="79BA3268"/>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15:restartNumberingAfterBreak="0">
    <w:nsid w:val="0EE176D6"/>
    <w:multiLevelType w:val="hybridMultilevel"/>
    <w:tmpl w:val="16842C8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15:restartNumberingAfterBreak="0">
    <w:nsid w:val="166C55F3"/>
    <w:multiLevelType w:val="multilevel"/>
    <w:tmpl w:val="767C0EC2"/>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1A013EB0"/>
    <w:multiLevelType w:val="hybridMultilevel"/>
    <w:tmpl w:val="1662FF5E"/>
    <w:lvl w:ilvl="0">
      <w:start w:val="2"/>
      <w:numFmt w:val="decimal"/>
      <w:lvlText w:val="%1."/>
      <w:lvlJc w:val="left"/>
      <w:pPr>
        <w:ind w:left="720" w:hanging="360"/>
      </w:pPr>
      <w:rPr>
        <w:rFonts w:hint="default"/>
        <w:b/>
        <w:bCs/>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7" w15:restartNumberingAfterBreak="0">
    <w:nsid w:val="1D0C0DF6"/>
    <w:multiLevelType w:val="hybridMultilevel"/>
    <w:tmpl w:val="A1EC5E72"/>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9" w15:restartNumberingAfterBreak="0">
    <w:nsid w:val="235F1CDB"/>
    <w:multiLevelType w:val="hybridMultilevel"/>
    <w:tmpl w:val="8284614E"/>
    <w:lvl w:ilvl="0">
      <w:start w:val="1"/>
      <w:numFmt w:val="decimal"/>
      <w:pStyle w:val="ListParagraph"/>
      <w:lvlText w:val="%1."/>
      <w:lvlJc w:val="left"/>
      <w:pPr>
        <w:ind w:left="1080" w:hanging="360"/>
      </w:pPr>
      <w:rPr>
        <w:rFonts w:hint="default"/>
        <w:b w:val="0"/>
        <w:b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15:restartNumberingAfterBreak="0">
    <w:nsid w:val="273D0009"/>
    <w:multiLevelType w:val="hybridMultilevel"/>
    <w:tmpl w:val="3F6A506E"/>
    <w:lvl w:ilvl="0">
      <w:start w:val="1"/>
      <w:numFmt w:val="decimal"/>
      <w:lvlText w:val="%1."/>
      <w:lvlJc w:val="left"/>
      <w:pPr>
        <w:ind w:left="170" w:hanging="170"/>
      </w:pPr>
      <w:rPr>
        <w:rFonts w:hint="default"/>
        <w:b w:val="0"/>
        <w:bCs w:val="0"/>
        <w:color w:val="000000" w:themeColor="text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15:restartNumberingAfterBreak="0">
    <w:nsid w:val="30C40368"/>
    <w:multiLevelType w:val="hybridMultilevel"/>
    <w:tmpl w:val="A95E18E0"/>
    <w:lvl w:ilvl="0">
      <w:start w:val="1"/>
      <w:numFmt w:val="bullet"/>
      <w:lvlText w:val=""/>
      <w:lvlJc w:val="left"/>
      <w:pPr>
        <w:ind w:left="284" w:firstLine="1023"/>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15:restartNumberingAfterBreak="0">
    <w:nsid w:val="31DE49CA"/>
    <w:multiLevelType w:val="hybridMultilevel"/>
    <w:tmpl w:val="A488764C"/>
    <w:lvl w:ilvl="0">
      <w:start w:val="1"/>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780" w:hanging="360"/>
      </w:pPr>
    </w:lvl>
    <w:lvl w:ilvl="2" w:tentative="1">
      <w:start w:val="1"/>
      <w:numFmt w:val="lowerRoman"/>
      <w:lvlText w:val="%3."/>
      <w:lvlJc w:val="right"/>
      <w:pPr>
        <w:ind w:left="2500" w:hanging="180"/>
      </w:pPr>
    </w:lvl>
    <w:lvl w:ilvl="3" w:tentative="1">
      <w:start w:val="1"/>
      <w:numFmt w:val="decimal"/>
      <w:lvlText w:val="%4."/>
      <w:lvlJc w:val="left"/>
      <w:pPr>
        <w:ind w:left="3220" w:hanging="360"/>
      </w:pPr>
    </w:lvl>
    <w:lvl w:ilvl="4" w:tentative="1">
      <w:start w:val="1"/>
      <w:numFmt w:val="lowerLetter"/>
      <w:lvlText w:val="%5."/>
      <w:lvlJc w:val="left"/>
      <w:pPr>
        <w:ind w:left="3940" w:hanging="360"/>
      </w:pPr>
    </w:lvl>
    <w:lvl w:ilvl="5" w:tentative="1">
      <w:start w:val="1"/>
      <w:numFmt w:val="lowerRoman"/>
      <w:lvlText w:val="%6."/>
      <w:lvlJc w:val="right"/>
      <w:pPr>
        <w:ind w:left="4660" w:hanging="180"/>
      </w:pPr>
    </w:lvl>
    <w:lvl w:ilvl="6" w:tentative="1">
      <w:start w:val="1"/>
      <w:numFmt w:val="decimal"/>
      <w:lvlText w:val="%7."/>
      <w:lvlJc w:val="left"/>
      <w:pPr>
        <w:ind w:left="5380" w:hanging="360"/>
      </w:pPr>
    </w:lvl>
    <w:lvl w:ilvl="7" w:tentative="1">
      <w:start w:val="1"/>
      <w:numFmt w:val="lowerLetter"/>
      <w:lvlText w:val="%8."/>
      <w:lvlJc w:val="left"/>
      <w:pPr>
        <w:ind w:left="6100" w:hanging="360"/>
      </w:pPr>
    </w:lvl>
    <w:lvl w:ilvl="8" w:tentative="1">
      <w:start w:val="1"/>
      <w:numFmt w:val="lowerRoman"/>
      <w:lvlText w:val="%9."/>
      <w:lvlJc w:val="right"/>
      <w:pPr>
        <w:ind w:left="6820" w:hanging="180"/>
      </w:pPr>
    </w:lvl>
  </w:abstractNum>
  <w:abstractNum w:abstractNumId="13" w15:restartNumberingAfterBreak="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6765C41"/>
    <w:multiLevelType w:val="hybridMultilevel"/>
    <w:tmpl w:val="C504B200"/>
    <w:lvl w:ilvl="0">
      <w:start w:val="5"/>
      <w:numFmt w:val="bullet"/>
      <w:lvlText w:val=""/>
      <w:lvlJc w:val="left"/>
      <w:pPr>
        <w:ind w:left="720" w:hanging="360"/>
      </w:pPr>
      <w:rPr>
        <w:rFonts w:ascii="Symbol" w:eastAsia="Calibri" w:hAnsi="Symbol" w:cs="David"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15:restartNumberingAfterBreak="0">
    <w:nsid w:val="4C5B10B4"/>
    <w:multiLevelType w:val="hybridMultilevel"/>
    <w:tmpl w:val="00367FD6"/>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tentative="1">
      <w:start w:val="1"/>
      <w:numFmt w:val="bullet"/>
      <w:lvlText w:val="o"/>
      <w:lvlJc w:val="left"/>
      <w:pPr>
        <w:ind w:left="1837" w:hanging="360"/>
      </w:pPr>
      <w:rPr>
        <w:rFonts w:ascii="Courier New" w:hAnsi="Courier New" w:cs="Courier New" w:hint="default"/>
      </w:rPr>
    </w:lvl>
    <w:lvl w:ilvl="2" w:tentative="1">
      <w:start w:val="1"/>
      <w:numFmt w:val="bullet"/>
      <w:lvlText w:val=""/>
      <w:lvlJc w:val="left"/>
      <w:pPr>
        <w:ind w:left="2557" w:hanging="360"/>
      </w:pPr>
      <w:rPr>
        <w:rFonts w:ascii="Wingdings" w:hAnsi="Wingdings" w:hint="default"/>
      </w:rPr>
    </w:lvl>
    <w:lvl w:ilvl="3" w:tentative="1">
      <w:start w:val="1"/>
      <w:numFmt w:val="bullet"/>
      <w:lvlText w:val=""/>
      <w:lvlJc w:val="left"/>
      <w:pPr>
        <w:ind w:left="3277" w:hanging="360"/>
      </w:pPr>
      <w:rPr>
        <w:rFonts w:ascii="Symbol" w:hAnsi="Symbol" w:hint="default"/>
      </w:rPr>
    </w:lvl>
    <w:lvl w:ilvl="4" w:tentative="1">
      <w:start w:val="1"/>
      <w:numFmt w:val="bullet"/>
      <w:lvlText w:val="o"/>
      <w:lvlJc w:val="left"/>
      <w:pPr>
        <w:ind w:left="3997" w:hanging="360"/>
      </w:pPr>
      <w:rPr>
        <w:rFonts w:ascii="Courier New" w:hAnsi="Courier New" w:cs="Courier New" w:hint="default"/>
      </w:rPr>
    </w:lvl>
    <w:lvl w:ilvl="5" w:tentative="1">
      <w:start w:val="1"/>
      <w:numFmt w:val="bullet"/>
      <w:lvlText w:val=""/>
      <w:lvlJc w:val="left"/>
      <w:pPr>
        <w:ind w:left="4717" w:hanging="360"/>
      </w:pPr>
      <w:rPr>
        <w:rFonts w:ascii="Wingdings" w:hAnsi="Wingdings" w:hint="default"/>
      </w:rPr>
    </w:lvl>
    <w:lvl w:ilvl="6" w:tentative="1">
      <w:start w:val="1"/>
      <w:numFmt w:val="bullet"/>
      <w:lvlText w:val=""/>
      <w:lvlJc w:val="left"/>
      <w:pPr>
        <w:ind w:left="5437" w:hanging="360"/>
      </w:pPr>
      <w:rPr>
        <w:rFonts w:ascii="Symbol" w:hAnsi="Symbol" w:hint="default"/>
      </w:rPr>
    </w:lvl>
    <w:lvl w:ilvl="7" w:tentative="1">
      <w:start w:val="1"/>
      <w:numFmt w:val="bullet"/>
      <w:lvlText w:val="o"/>
      <w:lvlJc w:val="left"/>
      <w:pPr>
        <w:ind w:left="6157" w:hanging="360"/>
      </w:pPr>
      <w:rPr>
        <w:rFonts w:ascii="Courier New" w:hAnsi="Courier New" w:cs="Courier New" w:hint="default"/>
      </w:rPr>
    </w:lvl>
    <w:lvl w:ilvl="8" w:tentative="1">
      <w:start w:val="1"/>
      <w:numFmt w:val="bullet"/>
      <w:lvlText w:val=""/>
      <w:lvlJc w:val="left"/>
      <w:pPr>
        <w:ind w:left="6877" w:hanging="360"/>
      </w:pPr>
      <w:rPr>
        <w:rFonts w:ascii="Wingdings" w:hAnsi="Wingdings" w:hint="default"/>
      </w:rPr>
    </w:lvl>
  </w:abstractNum>
  <w:abstractNum w:abstractNumId="16" w15:restartNumberingAfterBreak="0">
    <w:nsid w:val="4FAE0F0F"/>
    <w:multiLevelType w:val="hybridMultilevel"/>
    <w:tmpl w:val="7C7897AA"/>
    <w:lvl w:ilvl="0">
      <w:start w:val="2"/>
      <w:numFmt w:val="decimal"/>
      <w:lvlText w:val="%1."/>
      <w:lvlJc w:val="left"/>
      <w:pPr>
        <w:ind w:left="1060" w:hanging="360"/>
      </w:pPr>
      <w:rPr>
        <w:rFonts w:hint="default"/>
        <w:b/>
        <w:bCs/>
        <w:color w:val="FFFFFF" w:themeColor="background1"/>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17" w15:restartNumberingAfterBreak="0">
    <w:nsid w:val="55E326D5"/>
    <w:multiLevelType w:val="hybridMultilevel"/>
    <w:tmpl w:val="F03CDE30"/>
    <w:lvl w:ilvl="0">
      <w:start w:val="1"/>
      <w:numFmt w:val="bullet"/>
      <w:lvlText w:val=""/>
      <w:lvlJc w:val="left"/>
      <w:pPr>
        <w:ind w:left="1514" w:hanging="360"/>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18" w15:restartNumberingAfterBreak="0">
    <w:nsid w:val="5EDA18C9"/>
    <w:multiLevelType w:val="hybridMultilevel"/>
    <w:tmpl w:val="18F24D2E"/>
    <w:lvl w:ilvl="0">
      <w:start w:val="1"/>
      <w:numFmt w:val="decimal"/>
      <w:lvlText w:val="%1."/>
      <w:lvlJc w:val="left"/>
      <w:pPr>
        <w:ind w:left="700" w:hanging="360"/>
      </w:pPr>
      <w:rPr>
        <w:rFonts w:ascii="Tahoma" w:hAnsi="Tahoma" w:cs="Tahoma" w:hint="default"/>
        <w:b/>
        <w:color w:val="FFFFFF" w:themeColor="background1"/>
        <w:sz w:val="22"/>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19" w15:restartNumberingAfterBreak="0">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 w15:restartNumberingAfterBreak="0">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 w15:restartNumberingAfterBreak="0">
    <w:nsid w:val="67BF5139"/>
    <w:multiLevelType w:val="multilevel"/>
    <w:tmpl w:val="DC6C961C"/>
    <w:lvl w:ilvl="0">
      <w:start w:val="1"/>
      <w:numFmt w:val="decimal"/>
      <w:pStyle w:val="a1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2" w15:restartNumberingAfterBreak="0">
    <w:nsid w:val="68B7092F"/>
    <w:multiLevelType w:val="hybridMultilevel"/>
    <w:tmpl w:val="CD303DDE"/>
    <w:lvl w:ilvl="0">
      <w:start w:val="1"/>
      <w:numFmt w:val="bullet"/>
      <w:lvlText w:val=""/>
      <w:lvlPicBulletId w:val="0"/>
      <w:lvlJc w:val="left"/>
      <w:pPr>
        <w:ind w:left="397" w:hanging="397"/>
      </w:pPr>
      <w:rPr>
        <w:rFonts w:ascii="Symbol" w:hAnsi="Symbol" w:hint="default"/>
        <w:color w:val="auto"/>
        <w:sz w:val="28"/>
        <w:szCs w:val="28"/>
      </w:rPr>
    </w:lvl>
    <w:lvl w:ilvl="1">
      <w:start w:val="1"/>
      <w:numFmt w:val="bullet"/>
      <w:lvlText w:val="o"/>
      <w:lvlJc w:val="left"/>
      <w:pPr>
        <w:ind w:left="927"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15:restartNumberingAfterBreak="0">
    <w:nsid w:val="69F51C67"/>
    <w:multiLevelType w:val="hybridMultilevel"/>
    <w:tmpl w:val="1C706308"/>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717B4C9C"/>
    <w:multiLevelType w:val="hybridMultilevel"/>
    <w:tmpl w:val="D1E844FC"/>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2234" w:hanging="360"/>
      </w:pPr>
      <w:rPr>
        <w:rFonts w:ascii="Courier New" w:hAnsi="Courier New" w:cs="Courier New" w:hint="default"/>
      </w:rPr>
    </w:lvl>
    <w:lvl w:ilvl="2" w:tentative="1">
      <w:start w:val="1"/>
      <w:numFmt w:val="bullet"/>
      <w:lvlText w:val=""/>
      <w:lvlJc w:val="left"/>
      <w:pPr>
        <w:ind w:left="2954" w:hanging="360"/>
      </w:pPr>
      <w:rPr>
        <w:rFonts w:ascii="Wingdings" w:hAnsi="Wingdings" w:hint="default"/>
      </w:rPr>
    </w:lvl>
    <w:lvl w:ilvl="3" w:tentative="1">
      <w:start w:val="1"/>
      <w:numFmt w:val="bullet"/>
      <w:lvlText w:val=""/>
      <w:lvlJc w:val="left"/>
      <w:pPr>
        <w:ind w:left="3674" w:hanging="360"/>
      </w:pPr>
      <w:rPr>
        <w:rFonts w:ascii="Symbol" w:hAnsi="Symbol" w:hint="default"/>
      </w:rPr>
    </w:lvl>
    <w:lvl w:ilvl="4" w:tentative="1">
      <w:start w:val="1"/>
      <w:numFmt w:val="bullet"/>
      <w:lvlText w:val="o"/>
      <w:lvlJc w:val="left"/>
      <w:pPr>
        <w:ind w:left="4394" w:hanging="360"/>
      </w:pPr>
      <w:rPr>
        <w:rFonts w:ascii="Courier New" w:hAnsi="Courier New" w:cs="Courier New" w:hint="default"/>
      </w:rPr>
    </w:lvl>
    <w:lvl w:ilvl="5" w:tentative="1">
      <w:start w:val="1"/>
      <w:numFmt w:val="bullet"/>
      <w:lvlText w:val=""/>
      <w:lvlJc w:val="left"/>
      <w:pPr>
        <w:ind w:left="5114" w:hanging="360"/>
      </w:pPr>
      <w:rPr>
        <w:rFonts w:ascii="Wingdings" w:hAnsi="Wingdings" w:hint="default"/>
      </w:rPr>
    </w:lvl>
    <w:lvl w:ilvl="6" w:tentative="1">
      <w:start w:val="1"/>
      <w:numFmt w:val="bullet"/>
      <w:lvlText w:val=""/>
      <w:lvlJc w:val="left"/>
      <w:pPr>
        <w:ind w:left="5834" w:hanging="360"/>
      </w:pPr>
      <w:rPr>
        <w:rFonts w:ascii="Symbol" w:hAnsi="Symbol" w:hint="default"/>
      </w:rPr>
    </w:lvl>
    <w:lvl w:ilvl="7" w:tentative="1">
      <w:start w:val="1"/>
      <w:numFmt w:val="bullet"/>
      <w:lvlText w:val="o"/>
      <w:lvlJc w:val="left"/>
      <w:pPr>
        <w:ind w:left="6554" w:hanging="360"/>
      </w:pPr>
      <w:rPr>
        <w:rFonts w:ascii="Courier New" w:hAnsi="Courier New" w:cs="Courier New" w:hint="default"/>
      </w:rPr>
    </w:lvl>
    <w:lvl w:ilvl="8" w:tentative="1">
      <w:start w:val="1"/>
      <w:numFmt w:val="bullet"/>
      <w:lvlText w:val=""/>
      <w:lvlJc w:val="left"/>
      <w:pPr>
        <w:ind w:left="7274" w:hanging="360"/>
      </w:pPr>
      <w:rPr>
        <w:rFonts w:ascii="Wingdings" w:hAnsi="Wingdings" w:hint="default"/>
      </w:rPr>
    </w:lvl>
  </w:abstractNum>
  <w:abstractNum w:abstractNumId="25" w15:restartNumberingAfterBreak="0">
    <w:nsid w:val="75BB59BB"/>
    <w:multiLevelType w:val="hybridMultilevel"/>
    <w:tmpl w:val="8DE4081E"/>
    <w:lvl w:ilvl="0">
      <w:start w:val="1"/>
      <w:numFmt w:val="bullet"/>
      <w:lvlText w:val=""/>
      <w:lvlJc w:val="left"/>
      <w:pPr>
        <w:ind w:left="794" w:hanging="397"/>
      </w:pPr>
      <w:rPr>
        <w:rFonts w:ascii="Symbol" w:hAnsi="Symbol" w:cs="Symbol" w:hint="default"/>
        <w:b/>
        <w:i w:val="0"/>
        <w:caps w:val="0"/>
        <w:strike w:val="0"/>
        <w:dstrike w:val="0"/>
        <w:vanish w:val="0"/>
        <w:color w:val="E41E2A"/>
        <w:sz w:val="28"/>
        <w:szCs w:val="28"/>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15:restartNumberingAfterBreak="0">
    <w:nsid w:val="7D365B29"/>
    <w:multiLevelType w:val="multilevel"/>
    <w:tmpl w:val="E3AA6D54"/>
    <w:lvl w:ilvl="0">
      <w:start w:val="1"/>
      <w:numFmt w:val="hebrew1"/>
      <w:pStyle w:val="715"/>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16cid:durableId="1441336782">
    <w:abstractNumId w:val="13"/>
  </w:num>
  <w:num w:numId="2" w16cid:durableId="767771938">
    <w:abstractNumId w:val="21"/>
  </w:num>
  <w:num w:numId="3" w16cid:durableId="1533149807">
    <w:abstractNumId w:val="9"/>
  </w:num>
  <w:num w:numId="4" w16cid:durableId="1169364424">
    <w:abstractNumId w:val="8"/>
  </w:num>
  <w:num w:numId="5" w16cid:durableId="1531528138">
    <w:abstractNumId w:val="7"/>
  </w:num>
  <w:num w:numId="6" w16cid:durableId="378214401">
    <w:abstractNumId w:val="2"/>
  </w:num>
  <w:num w:numId="7" w16cid:durableId="1558588035">
    <w:abstractNumId w:val="3"/>
  </w:num>
  <w:num w:numId="8" w16cid:durableId="966810605">
    <w:abstractNumId w:val="26"/>
  </w:num>
  <w:num w:numId="9" w16cid:durableId="1709639913">
    <w:abstractNumId w:val="11"/>
  </w:num>
  <w:num w:numId="10" w16cid:durableId="2061510871">
    <w:abstractNumId w:val="9"/>
  </w:num>
  <w:num w:numId="11" w16cid:durableId="150566361">
    <w:abstractNumId w:val="14"/>
  </w:num>
  <w:num w:numId="12" w16cid:durableId="1884517408">
    <w:abstractNumId w:val="6"/>
  </w:num>
  <w:num w:numId="13" w16cid:durableId="1138574288">
    <w:abstractNumId w:val="16"/>
  </w:num>
  <w:num w:numId="14" w16cid:durableId="2021731970">
    <w:abstractNumId w:val="9"/>
  </w:num>
  <w:num w:numId="15" w16cid:durableId="294525774">
    <w:abstractNumId w:val="12"/>
  </w:num>
  <w:num w:numId="16" w16cid:durableId="1938829469">
    <w:abstractNumId w:val="18"/>
  </w:num>
  <w:num w:numId="17" w16cid:durableId="1870992102">
    <w:abstractNumId w:val="9"/>
  </w:num>
  <w:num w:numId="18" w16cid:durableId="875392425">
    <w:abstractNumId w:val="20"/>
  </w:num>
  <w:num w:numId="19" w16cid:durableId="1757364398">
    <w:abstractNumId w:val="9"/>
  </w:num>
  <w:num w:numId="20" w16cid:durableId="2080326639">
    <w:abstractNumId w:val="5"/>
  </w:num>
  <w:num w:numId="21" w16cid:durableId="1517109532">
    <w:abstractNumId w:val="19"/>
  </w:num>
  <w:num w:numId="22" w16cid:durableId="199829528">
    <w:abstractNumId w:val="22"/>
  </w:num>
  <w:num w:numId="23" w16cid:durableId="630592101">
    <w:abstractNumId w:val="9"/>
  </w:num>
  <w:num w:numId="24" w16cid:durableId="781344904">
    <w:abstractNumId w:val="9"/>
  </w:num>
  <w:num w:numId="25" w16cid:durableId="1029065817">
    <w:abstractNumId w:val="0"/>
  </w:num>
  <w:num w:numId="26" w16cid:durableId="1835028128">
    <w:abstractNumId w:val="10"/>
  </w:num>
  <w:num w:numId="27" w16cid:durableId="515264686">
    <w:abstractNumId w:val="9"/>
  </w:num>
  <w:num w:numId="28" w16cid:durableId="1118644431">
    <w:abstractNumId w:val="9"/>
  </w:num>
  <w:num w:numId="29" w16cid:durableId="495343087">
    <w:abstractNumId w:val="9"/>
  </w:num>
  <w:num w:numId="30" w16cid:durableId="93281274">
    <w:abstractNumId w:val="17"/>
  </w:num>
  <w:num w:numId="31" w16cid:durableId="575818460">
    <w:abstractNumId w:val="1"/>
  </w:num>
  <w:num w:numId="32" w16cid:durableId="871304304">
    <w:abstractNumId w:val="24"/>
  </w:num>
  <w:num w:numId="33" w16cid:durableId="1853570904">
    <w:abstractNumId w:val="4"/>
  </w:num>
  <w:num w:numId="34" w16cid:durableId="822430797">
    <w:abstractNumId w:val="25"/>
  </w:num>
  <w:num w:numId="35" w16cid:durableId="1334841248">
    <w:abstractNumId w:val="23"/>
  </w:num>
  <w:num w:numId="36" w16cid:durableId="1552114343">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7"/>
  <w:displayBackgroundShape/>
  <w:proofState w:spelling="clean" w:grammar="clean"/>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397"/>
  <w:evenAndOddHeaders/>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3AF"/>
    <w:rsid w:val="0000095B"/>
    <w:rsid w:val="00002000"/>
    <w:rsid w:val="000021BD"/>
    <w:rsid w:val="00002A6A"/>
    <w:rsid w:val="00002B48"/>
    <w:rsid w:val="000035C3"/>
    <w:rsid w:val="0000362C"/>
    <w:rsid w:val="0000373B"/>
    <w:rsid w:val="0000400F"/>
    <w:rsid w:val="000047FD"/>
    <w:rsid w:val="00005D49"/>
    <w:rsid w:val="00006C22"/>
    <w:rsid w:val="000073CC"/>
    <w:rsid w:val="000105AD"/>
    <w:rsid w:val="0001149A"/>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392D"/>
    <w:rsid w:val="00033E04"/>
    <w:rsid w:val="0003470F"/>
    <w:rsid w:val="00034F3F"/>
    <w:rsid w:val="000350BF"/>
    <w:rsid w:val="000356A7"/>
    <w:rsid w:val="00035AA3"/>
    <w:rsid w:val="00035BD0"/>
    <w:rsid w:val="00036469"/>
    <w:rsid w:val="00036B1B"/>
    <w:rsid w:val="00036F3C"/>
    <w:rsid w:val="00037596"/>
    <w:rsid w:val="00040CFC"/>
    <w:rsid w:val="00041AEB"/>
    <w:rsid w:val="00044478"/>
    <w:rsid w:val="00044647"/>
    <w:rsid w:val="00044A44"/>
    <w:rsid w:val="00045345"/>
    <w:rsid w:val="000461F4"/>
    <w:rsid w:val="0004650A"/>
    <w:rsid w:val="00046B8C"/>
    <w:rsid w:val="00046DDB"/>
    <w:rsid w:val="00046F96"/>
    <w:rsid w:val="000473A2"/>
    <w:rsid w:val="0004763A"/>
    <w:rsid w:val="000504A0"/>
    <w:rsid w:val="00051008"/>
    <w:rsid w:val="000523CB"/>
    <w:rsid w:val="0005567A"/>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14D"/>
    <w:rsid w:val="00072DC7"/>
    <w:rsid w:val="000760A4"/>
    <w:rsid w:val="00076160"/>
    <w:rsid w:val="000761E8"/>
    <w:rsid w:val="00076AD4"/>
    <w:rsid w:val="00076C3B"/>
    <w:rsid w:val="00076C6A"/>
    <w:rsid w:val="00076C94"/>
    <w:rsid w:val="000771FA"/>
    <w:rsid w:val="000772F2"/>
    <w:rsid w:val="000812BC"/>
    <w:rsid w:val="00082C54"/>
    <w:rsid w:val="0008321A"/>
    <w:rsid w:val="00083F4F"/>
    <w:rsid w:val="00084171"/>
    <w:rsid w:val="000841FE"/>
    <w:rsid w:val="000847F9"/>
    <w:rsid w:val="00084F1F"/>
    <w:rsid w:val="0008572D"/>
    <w:rsid w:val="000868BD"/>
    <w:rsid w:val="00086BC2"/>
    <w:rsid w:val="00090AB0"/>
    <w:rsid w:val="00092220"/>
    <w:rsid w:val="0009240F"/>
    <w:rsid w:val="00092F71"/>
    <w:rsid w:val="00093068"/>
    <w:rsid w:val="00093178"/>
    <w:rsid w:val="00095581"/>
    <w:rsid w:val="0009699F"/>
    <w:rsid w:val="000A0FC0"/>
    <w:rsid w:val="000A16EF"/>
    <w:rsid w:val="000A18FC"/>
    <w:rsid w:val="000A1D75"/>
    <w:rsid w:val="000A251B"/>
    <w:rsid w:val="000A2903"/>
    <w:rsid w:val="000A2BC9"/>
    <w:rsid w:val="000A34B5"/>
    <w:rsid w:val="000A3864"/>
    <w:rsid w:val="000A3CD0"/>
    <w:rsid w:val="000A3DC6"/>
    <w:rsid w:val="000A4798"/>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939"/>
    <w:rsid w:val="000B2D78"/>
    <w:rsid w:val="000B3659"/>
    <w:rsid w:val="000B3933"/>
    <w:rsid w:val="000B4E54"/>
    <w:rsid w:val="000B544F"/>
    <w:rsid w:val="000B565F"/>
    <w:rsid w:val="000B6085"/>
    <w:rsid w:val="000B62E6"/>
    <w:rsid w:val="000B6799"/>
    <w:rsid w:val="000B7227"/>
    <w:rsid w:val="000B73A9"/>
    <w:rsid w:val="000C0334"/>
    <w:rsid w:val="000C0F9D"/>
    <w:rsid w:val="000C19F9"/>
    <w:rsid w:val="000C1BB0"/>
    <w:rsid w:val="000C1DB1"/>
    <w:rsid w:val="000C1F02"/>
    <w:rsid w:val="000C2518"/>
    <w:rsid w:val="000C2E22"/>
    <w:rsid w:val="000C4DEF"/>
    <w:rsid w:val="000C5425"/>
    <w:rsid w:val="000C57FF"/>
    <w:rsid w:val="000C6595"/>
    <w:rsid w:val="000C6708"/>
    <w:rsid w:val="000C7018"/>
    <w:rsid w:val="000D1157"/>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4F0D"/>
    <w:rsid w:val="000E5AF7"/>
    <w:rsid w:val="000E5B6C"/>
    <w:rsid w:val="000E5C35"/>
    <w:rsid w:val="000E642B"/>
    <w:rsid w:val="000E6B72"/>
    <w:rsid w:val="000E6D1A"/>
    <w:rsid w:val="000E761F"/>
    <w:rsid w:val="000E7743"/>
    <w:rsid w:val="000E7FC4"/>
    <w:rsid w:val="000F0117"/>
    <w:rsid w:val="000F0D79"/>
    <w:rsid w:val="000F311F"/>
    <w:rsid w:val="000F3B27"/>
    <w:rsid w:val="000F41D0"/>
    <w:rsid w:val="000F4951"/>
    <w:rsid w:val="000F4997"/>
    <w:rsid w:val="000F49B9"/>
    <w:rsid w:val="000F4C6C"/>
    <w:rsid w:val="000F4E31"/>
    <w:rsid w:val="000F4F2E"/>
    <w:rsid w:val="000F51B7"/>
    <w:rsid w:val="000F5901"/>
    <w:rsid w:val="000F68CD"/>
    <w:rsid w:val="000F69B0"/>
    <w:rsid w:val="000F6B40"/>
    <w:rsid w:val="000F722D"/>
    <w:rsid w:val="000F7E18"/>
    <w:rsid w:val="00100786"/>
    <w:rsid w:val="0010121F"/>
    <w:rsid w:val="001012CC"/>
    <w:rsid w:val="001017ED"/>
    <w:rsid w:val="00101DD5"/>
    <w:rsid w:val="0010229A"/>
    <w:rsid w:val="001024AF"/>
    <w:rsid w:val="001033B3"/>
    <w:rsid w:val="00103971"/>
    <w:rsid w:val="00103CED"/>
    <w:rsid w:val="00103D42"/>
    <w:rsid w:val="00103FBC"/>
    <w:rsid w:val="00104839"/>
    <w:rsid w:val="00104E94"/>
    <w:rsid w:val="0010564D"/>
    <w:rsid w:val="0010599F"/>
    <w:rsid w:val="00105A73"/>
    <w:rsid w:val="00105B88"/>
    <w:rsid w:val="00105ED4"/>
    <w:rsid w:val="00106FBF"/>
    <w:rsid w:val="00106FC5"/>
    <w:rsid w:val="00107938"/>
    <w:rsid w:val="00110E7D"/>
    <w:rsid w:val="00111817"/>
    <w:rsid w:val="00111D0B"/>
    <w:rsid w:val="00112B7B"/>
    <w:rsid w:val="00112D83"/>
    <w:rsid w:val="00113A65"/>
    <w:rsid w:val="00113BEC"/>
    <w:rsid w:val="0011400B"/>
    <w:rsid w:val="00114587"/>
    <w:rsid w:val="00114818"/>
    <w:rsid w:val="001156F5"/>
    <w:rsid w:val="00115F32"/>
    <w:rsid w:val="00116EC6"/>
    <w:rsid w:val="00117163"/>
    <w:rsid w:val="00117668"/>
    <w:rsid w:val="00120C15"/>
    <w:rsid w:val="00121460"/>
    <w:rsid w:val="001215F4"/>
    <w:rsid w:val="001221B2"/>
    <w:rsid w:val="00123BF9"/>
    <w:rsid w:val="00124D10"/>
    <w:rsid w:val="00125732"/>
    <w:rsid w:val="00126FB8"/>
    <w:rsid w:val="00127083"/>
    <w:rsid w:val="00127147"/>
    <w:rsid w:val="00127204"/>
    <w:rsid w:val="001275EC"/>
    <w:rsid w:val="00130912"/>
    <w:rsid w:val="00130ABF"/>
    <w:rsid w:val="00130E45"/>
    <w:rsid w:val="0013170A"/>
    <w:rsid w:val="00131A11"/>
    <w:rsid w:val="00131AAF"/>
    <w:rsid w:val="0013238E"/>
    <w:rsid w:val="00132921"/>
    <w:rsid w:val="00132FFC"/>
    <w:rsid w:val="00133E28"/>
    <w:rsid w:val="00134716"/>
    <w:rsid w:val="00135EB9"/>
    <w:rsid w:val="00136B9E"/>
    <w:rsid w:val="00141E28"/>
    <w:rsid w:val="00142877"/>
    <w:rsid w:val="001435CD"/>
    <w:rsid w:val="00143613"/>
    <w:rsid w:val="00144786"/>
    <w:rsid w:val="00144967"/>
    <w:rsid w:val="00145DAD"/>
    <w:rsid w:val="00146345"/>
    <w:rsid w:val="00150E90"/>
    <w:rsid w:val="001510CF"/>
    <w:rsid w:val="0015132E"/>
    <w:rsid w:val="0015187B"/>
    <w:rsid w:val="001519D2"/>
    <w:rsid w:val="00152684"/>
    <w:rsid w:val="00152C39"/>
    <w:rsid w:val="00153D39"/>
    <w:rsid w:val="00154886"/>
    <w:rsid w:val="00154C30"/>
    <w:rsid w:val="00154C71"/>
    <w:rsid w:val="001551EA"/>
    <w:rsid w:val="001553E4"/>
    <w:rsid w:val="00156292"/>
    <w:rsid w:val="001563D0"/>
    <w:rsid w:val="0015640A"/>
    <w:rsid w:val="0015686E"/>
    <w:rsid w:val="00156A81"/>
    <w:rsid w:val="001571C9"/>
    <w:rsid w:val="00160149"/>
    <w:rsid w:val="00160DE1"/>
    <w:rsid w:val="00161297"/>
    <w:rsid w:val="00161324"/>
    <w:rsid w:val="0016160F"/>
    <w:rsid w:val="00161CBD"/>
    <w:rsid w:val="0016215A"/>
    <w:rsid w:val="00162B28"/>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8EF"/>
    <w:rsid w:val="00176E39"/>
    <w:rsid w:val="00177295"/>
    <w:rsid w:val="001772DD"/>
    <w:rsid w:val="00177493"/>
    <w:rsid w:val="0018090E"/>
    <w:rsid w:val="00180C76"/>
    <w:rsid w:val="001816A1"/>
    <w:rsid w:val="00181B5A"/>
    <w:rsid w:val="001856B7"/>
    <w:rsid w:val="0018650A"/>
    <w:rsid w:val="001866EE"/>
    <w:rsid w:val="00186FA6"/>
    <w:rsid w:val="0018762D"/>
    <w:rsid w:val="001876BD"/>
    <w:rsid w:val="0018773C"/>
    <w:rsid w:val="001877CA"/>
    <w:rsid w:val="0019127D"/>
    <w:rsid w:val="00191BA6"/>
    <w:rsid w:val="001927CC"/>
    <w:rsid w:val="00192DC4"/>
    <w:rsid w:val="001933DD"/>
    <w:rsid w:val="0019373E"/>
    <w:rsid w:val="00193C51"/>
    <w:rsid w:val="00194AD1"/>
    <w:rsid w:val="00194E25"/>
    <w:rsid w:val="00194FE0"/>
    <w:rsid w:val="00195AB1"/>
    <w:rsid w:val="00196762"/>
    <w:rsid w:val="00196B27"/>
    <w:rsid w:val="00196D01"/>
    <w:rsid w:val="001A06FA"/>
    <w:rsid w:val="001A14B8"/>
    <w:rsid w:val="001A1832"/>
    <w:rsid w:val="001A1A35"/>
    <w:rsid w:val="001A1D8E"/>
    <w:rsid w:val="001A214C"/>
    <w:rsid w:val="001A2CAF"/>
    <w:rsid w:val="001A2E4B"/>
    <w:rsid w:val="001A2F80"/>
    <w:rsid w:val="001A39E5"/>
    <w:rsid w:val="001A3DA4"/>
    <w:rsid w:val="001A417A"/>
    <w:rsid w:val="001A4362"/>
    <w:rsid w:val="001A4C86"/>
    <w:rsid w:val="001A559D"/>
    <w:rsid w:val="001A56B7"/>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5590"/>
    <w:rsid w:val="001B5E86"/>
    <w:rsid w:val="001B667C"/>
    <w:rsid w:val="001B75AD"/>
    <w:rsid w:val="001B7FC5"/>
    <w:rsid w:val="001C06B5"/>
    <w:rsid w:val="001C0ABC"/>
    <w:rsid w:val="001C125C"/>
    <w:rsid w:val="001C265D"/>
    <w:rsid w:val="001C27C2"/>
    <w:rsid w:val="001C29CD"/>
    <w:rsid w:val="001C3D63"/>
    <w:rsid w:val="001C3F29"/>
    <w:rsid w:val="001C4789"/>
    <w:rsid w:val="001C4FC8"/>
    <w:rsid w:val="001C54F4"/>
    <w:rsid w:val="001C5E08"/>
    <w:rsid w:val="001C6058"/>
    <w:rsid w:val="001C617B"/>
    <w:rsid w:val="001C65F5"/>
    <w:rsid w:val="001C7011"/>
    <w:rsid w:val="001C7644"/>
    <w:rsid w:val="001D0B8C"/>
    <w:rsid w:val="001D200A"/>
    <w:rsid w:val="001D220E"/>
    <w:rsid w:val="001D3B88"/>
    <w:rsid w:val="001D409D"/>
    <w:rsid w:val="001D4460"/>
    <w:rsid w:val="001D458D"/>
    <w:rsid w:val="001D5906"/>
    <w:rsid w:val="001D65CE"/>
    <w:rsid w:val="001D7F39"/>
    <w:rsid w:val="001E070A"/>
    <w:rsid w:val="001E179C"/>
    <w:rsid w:val="001E21EA"/>
    <w:rsid w:val="001E25A0"/>
    <w:rsid w:val="001E3273"/>
    <w:rsid w:val="001E3AD0"/>
    <w:rsid w:val="001E3D2B"/>
    <w:rsid w:val="001E44CF"/>
    <w:rsid w:val="001E5A0D"/>
    <w:rsid w:val="001E5BF1"/>
    <w:rsid w:val="001E5C22"/>
    <w:rsid w:val="001E7054"/>
    <w:rsid w:val="001E7248"/>
    <w:rsid w:val="001E732D"/>
    <w:rsid w:val="001E7790"/>
    <w:rsid w:val="001F03F5"/>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8F6"/>
    <w:rsid w:val="001F6D2B"/>
    <w:rsid w:val="001F7132"/>
    <w:rsid w:val="00201773"/>
    <w:rsid w:val="00201C60"/>
    <w:rsid w:val="002020AF"/>
    <w:rsid w:val="00202CDF"/>
    <w:rsid w:val="00203A69"/>
    <w:rsid w:val="0020423A"/>
    <w:rsid w:val="00204FD5"/>
    <w:rsid w:val="00206427"/>
    <w:rsid w:val="00206B50"/>
    <w:rsid w:val="00206E89"/>
    <w:rsid w:val="0020737B"/>
    <w:rsid w:val="002108C3"/>
    <w:rsid w:val="00211189"/>
    <w:rsid w:val="00211542"/>
    <w:rsid w:val="002115E2"/>
    <w:rsid w:val="00211890"/>
    <w:rsid w:val="00211AB3"/>
    <w:rsid w:val="00211BD2"/>
    <w:rsid w:val="00211CD5"/>
    <w:rsid w:val="00212C70"/>
    <w:rsid w:val="00212CC9"/>
    <w:rsid w:val="0021383C"/>
    <w:rsid w:val="002138DE"/>
    <w:rsid w:val="00213D63"/>
    <w:rsid w:val="00214667"/>
    <w:rsid w:val="002164D6"/>
    <w:rsid w:val="00216564"/>
    <w:rsid w:val="00216CE4"/>
    <w:rsid w:val="00216E18"/>
    <w:rsid w:val="00217002"/>
    <w:rsid w:val="00217D25"/>
    <w:rsid w:val="00220150"/>
    <w:rsid w:val="00220A56"/>
    <w:rsid w:val="00220B1E"/>
    <w:rsid w:val="00220D93"/>
    <w:rsid w:val="0022183F"/>
    <w:rsid w:val="0022195F"/>
    <w:rsid w:val="00221B6D"/>
    <w:rsid w:val="002229D0"/>
    <w:rsid w:val="00222EFD"/>
    <w:rsid w:val="00223498"/>
    <w:rsid w:val="00223E18"/>
    <w:rsid w:val="00224285"/>
    <w:rsid w:val="00225614"/>
    <w:rsid w:val="00225E4F"/>
    <w:rsid w:val="002262C7"/>
    <w:rsid w:val="00226BE5"/>
    <w:rsid w:val="00226D6C"/>
    <w:rsid w:val="0023014C"/>
    <w:rsid w:val="002303B8"/>
    <w:rsid w:val="00230D48"/>
    <w:rsid w:val="0023147E"/>
    <w:rsid w:val="002314C8"/>
    <w:rsid w:val="002330D7"/>
    <w:rsid w:val="00233EF1"/>
    <w:rsid w:val="002348BC"/>
    <w:rsid w:val="0023632E"/>
    <w:rsid w:val="00236CF1"/>
    <w:rsid w:val="0023718D"/>
    <w:rsid w:val="0023728A"/>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46DC7"/>
    <w:rsid w:val="002511A2"/>
    <w:rsid w:val="002518DB"/>
    <w:rsid w:val="002525CC"/>
    <w:rsid w:val="002529D6"/>
    <w:rsid w:val="002530C2"/>
    <w:rsid w:val="00253904"/>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0B91"/>
    <w:rsid w:val="002712C2"/>
    <w:rsid w:val="002717B8"/>
    <w:rsid w:val="00271BBF"/>
    <w:rsid w:val="002722F1"/>
    <w:rsid w:val="00272DCB"/>
    <w:rsid w:val="00273409"/>
    <w:rsid w:val="002735DC"/>
    <w:rsid w:val="00273C82"/>
    <w:rsid w:val="00273DF4"/>
    <w:rsid w:val="00273E3E"/>
    <w:rsid w:val="00274CC2"/>
    <w:rsid w:val="00274D7E"/>
    <w:rsid w:val="0027512D"/>
    <w:rsid w:val="0027747C"/>
    <w:rsid w:val="00277717"/>
    <w:rsid w:val="00277BC2"/>
    <w:rsid w:val="00277E0B"/>
    <w:rsid w:val="002805E4"/>
    <w:rsid w:val="00280807"/>
    <w:rsid w:val="00280A33"/>
    <w:rsid w:val="00280F37"/>
    <w:rsid w:val="00281CA7"/>
    <w:rsid w:val="00281D26"/>
    <w:rsid w:val="00281E80"/>
    <w:rsid w:val="002821A4"/>
    <w:rsid w:val="0028253B"/>
    <w:rsid w:val="00282FD6"/>
    <w:rsid w:val="00283C5E"/>
    <w:rsid w:val="00284052"/>
    <w:rsid w:val="0028477B"/>
    <w:rsid w:val="00285214"/>
    <w:rsid w:val="002861DE"/>
    <w:rsid w:val="00286F9F"/>
    <w:rsid w:val="002870C0"/>
    <w:rsid w:val="00287413"/>
    <w:rsid w:val="0028785B"/>
    <w:rsid w:val="002908EC"/>
    <w:rsid w:val="002917D1"/>
    <w:rsid w:val="00293651"/>
    <w:rsid w:val="00293C1D"/>
    <w:rsid w:val="002943E4"/>
    <w:rsid w:val="00294765"/>
    <w:rsid w:val="0029606C"/>
    <w:rsid w:val="002963FC"/>
    <w:rsid w:val="0029657A"/>
    <w:rsid w:val="00296649"/>
    <w:rsid w:val="00296C96"/>
    <w:rsid w:val="0029750A"/>
    <w:rsid w:val="002975FB"/>
    <w:rsid w:val="00297F9D"/>
    <w:rsid w:val="002A049D"/>
    <w:rsid w:val="002A0F5E"/>
    <w:rsid w:val="002A11BD"/>
    <w:rsid w:val="002A122A"/>
    <w:rsid w:val="002A18A0"/>
    <w:rsid w:val="002A38DF"/>
    <w:rsid w:val="002A4062"/>
    <w:rsid w:val="002A4C50"/>
    <w:rsid w:val="002A51A3"/>
    <w:rsid w:val="002A6B27"/>
    <w:rsid w:val="002A7A49"/>
    <w:rsid w:val="002A7A4A"/>
    <w:rsid w:val="002A7C14"/>
    <w:rsid w:val="002B0204"/>
    <w:rsid w:val="002B064A"/>
    <w:rsid w:val="002B0758"/>
    <w:rsid w:val="002B07BA"/>
    <w:rsid w:val="002B0A10"/>
    <w:rsid w:val="002B146E"/>
    <w:rsid w:val="002B1D68"/>
    <w:rsid w:val="002B285B"/>
    <w:rsid w:val="002B3C5B"/>
    <w:rsid w:val="002B4623"/>
    <w:rsid w:val="002B5441"/>
    <w:rsid w:val="002B5517"/>
    <w:rsid w:val="002B5743"/>
    <w:rsid w:val="002B6920"/>
    <w:rsid w:val="002B6B84"/>
    <w:rsid w:val="002B701A"/>
    <w:rsid w:val="002C0374"/>
    <w:rsid w:val="002C0D01"/>
    <w:rsid w:val="002C167F"/>
    <w:rsid w:val="002C1805"/>
    <w:rsid w:val="002C3001"/>
    <w:rsid w:val="002C3A61"/>
    <w:rsid w:val="002C517F"/>
    <w:rsid w:val="002C53F1"/>
    <w:rsid w:val="002C5B2A"/>
    <w:rsid w:val="002C5D25"/>
    <w:rsid w:val="002C6165"/>
    <w:rsid w:val="002C6364"/>
    <w:rsid w:val="002C68CB"/>
    <w:rsid w:val="002C6F0A"/>
    <w:rsid w:val="002C796B"/>
    <w:rsid w:val="002D1462"/>
    <w:rsid w:val="002D173D"/>
    <w:rsid w:val="002D1F63"/>
    <w:rsid w:val="002D2002"/>
    <w:rsid w:val="002D238D"/>
    <w:rsid w:val="002D239D"/>
    <w:rsid w:val="002D2A02"/>
    <w:rsid w:val="002D2A09"/>
    <w:rsid w:val="002D2B39"/>
    <w:rsid w:val="002D30FC"/>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22A"/>
    <w:rsid w:val="002E7650"/>
    <w:rsid w:val="002E7F4E"/>
    <w:rsid w:val="002F0438"/>
    <w:rsid w:val="002F0B22"/>
    <w:rsid w:val="002F0C58"/>
    <w:rsid w:val="002F1280"/>
    <w:rsid w:val="002F165F"/>
    <w:rsid w:val="002F195C"/>
    <w:rsid w:val="002F1A0D"/>
    <w:rsid w:val="002F2133"/>
    <w:rsid w:val="002F2319"/>
    <w:rsid w:val="002F2754"/>
    <w:rsid w:val="002F3251"/>
    <w:rsid w:val="002F6D3A"/>
    <w:rsid w:val="003006EA"/>
    <w:rsid w:val="00300E9F"/>
    <w:rsid w:val="00301280"/>
    <w:rsid w:val="00302559"/>
    <w:rsid w:val="003027AA"/>
    <w:rsid w:val="00302CDA"/>
    <w:rsid w:val="00303F69"/>
    <w:rsid w:val="003044D4"/>
    <w:rsid w:val="00304A28"/>
    <w:rsid w:val="00305501"/>
    <w:rsid w:val="003057BE"/>
    <w:rsid w:val="00306333"/>
    <w:rsid w:val="00310CE8"/>
    <w:rsid w:val="00311D24"/>
    <w:rsid w:val="00312650"/>
    <w:rsid w:val="003133FC"/>
    <w:rsid w:val="00313EC4"/>
    <w:rsid w:val="00314CE5"/>
    <w:rsid w:val="003150B1"/>
    <w:rsid w:val="00316C90"/>
    <w:rsid w:val="00316D38"/>
    <w:rsid w:val="003173E0"/>
    <w:rsid w:val="00320159"/>
    <w:rsid w:val="00321D1B"/>
    <w:rsid w:val="0032364A"/>
    <w:rsid w:val="00323E46"/>
    <w:rsid w:val="003243AF"/>
    <w:rsid w:val="00325332"/>
    <w:rsid w:val="00325469"/>
    <w:rsid w:val="00327C2A"/>
    <w:rsid w:val="00327FBF"/>
    <w:rsid w:val="0033032D"/>
    <w:rsid w:val="00330465"/>
    <w:rsid w:val="00330697"/>
    <w:rsid w:val="00330FEC"/>
    <w:rsid w:val="0033100C"/>
    <w:rsid w:val="00331522"/>
    <w:rsid w:val="00331A56"/>
    <w:rsid w:val="00331DAB"/>
    <w:rsid w:val="003323CD"/>
    <w:rsid w:val="00333810"/>
    <w:rsid w:val="00333FB0"/>
    <w:rsid w:val="003340AD"/>
    <w:rsid w:val="00334BBC"/>
    <w:rsid w:val="00334E99"/>
    <w:rsid w:val="00335960"/>
    <w:rsid w:val="00335F65"/>
    <w:rsid w:val="00336334"/>
    <w:rsid w:val="00336A22"/>
    <w:rsid w:val="00336A9C"/>
    <w:rsid w:val="003408F2"/>
    <w:rsid w:val="00341EDA"/>
    <w:rsid w:val="00342E41"/>
    <w:rsid w:val="00342F9F"/>
    <w:rsid w:val="003437E8"/>
    <w:rsid w:val="00344900"/>
    <w:rsid w:val="00345A36"/>
    <w:rsid w:val="003464F7"/>
    <w:rsid w:val="003466C7"/>
    <w:rsid w:val="00346DF9"/>
    <w:rsid w:val="003478E2"/>
    <w:rsid w:val="003504AD"/>
    <w:rsid w:val="00350894"/>
    <w:rsid w:val="00350FCA"/>
    <w:rsid w:val="00351463"/>
    <w:rsid w:val="00352F48"/>
    <w:rsid w:val="00353326"/>
    <w:rsid w:val="0035361A"/>
    <w:rsid w:val="00353BAA"/>
    <w:rsid w:val="003541A3"/>
    <w:rsid w:val="0035442A"/>
    <w:rsid w:val="00354900"/>
    <w:rsid w:val="00355057"/>
    <w:rsid w:val="003572C8"/>
    <w:rsid w:val="00357D06"/>
    <w:rsid w:val="003609E2"/>
    <w:rsid w:val="00361B78"/>
    <w:rsid w:val="00361CD3"/>
    <w:rsid w:val="00362B2C"/>
    <w:rsid w:val="0036393B"/>
    <w:rsid w:val="00363C0F"/>
    <w:rsid w:val="00363C25"/>
    <w:rsid w:val="00363DBE"/>
    <w:rsid w:val="00364230"/>
    <w:rsid w:val="00364FDF"/>
    <w:rsid w:val="003651AA"/>
    <w:rsid w:val="00366DF1"/>
    <w:rsid w:val="00367BD8"/>
    <w:rsid w:val="00370725"/>
    <w:rsid w:val="003707D3"/>
    <w:rsid w:val="00370A28"/>
    <w:rsid w:val="00373C76"/>
    <w:rsid w:val="0037422E"/>
    <w:rsid w:val="0037507E"/>
    <w:rsid w:val="00375407"/>
    <w:rsid w:val="003757ED"/>
    <w:rsid w:val="00375D53"/>
    <w:rsid w:val="00377C93"/>
    <w:rsid w:val="0038050A"/>
    <w:rsid w:val="003807F4"/>
    <w:rsid w:val="00380913"/>
    <w:rsid w:val="00381451"/>
    <w:rsid w:val="00381B6E"/>
    <w:rsid w:val="00381C43"/>
    <w:rsid w:val="00381C86"/>
    <w:rsid w:val="00381F88"/>
    <w:rsid w:val="0038206D"/>
    <w:rsid w:val="00382431"/>
    <w:rsid w:val="00382614"/>
    <w:rsid w:val="00383BAA"/>
    <w:rsid w:val="00384065"/>
    <w:rsid w:val="00384B2A"/>
    <w:rsid w:val="003850F7"/>
    <w:rsid w:val="00385249"/>
    <w:rsid w:val="003859A8"/>
    <w:rsid w:val="00386540"/>
    <w:rsid w:val="00386671"/>
    <w:rsid w:val="003866F8"/>
    <w:rsid w:val="003875EE"/>
    <w:rsid w:val="00387A0C"/>
    <w:rsid w:val="00390616"/>
    <w:rsid w:val="00390F86"/>
    <w:rsid w:val="003923EB"/>
    <w:rsid w:val="0039276F"/>
    <w:rsid w:val="00392980"/>
    <w:rsid w:val="00392AA4"/>
    <w:rsid w:val="00392AA6"/>
    <w:rsid w:val="0039302F"/>
    <w:rsid w:val="0039384A"/>
    <w:rsid w:val="00393B5E"/>
    <w:rsid w:val="00393B7D"/>
    <w:rsid w:val="00393D36"/>
    <w:rsid w:val="00394124"/>
    <w:rsid w:val="00394BB0"/>
    <w:rsid w:val="003954BF"/>
    <w:rsid w:val="00396C01"/>
    <w:rsid w:val="00397204"/>
    <w:rsid w:val="003976F4"/>
    <w:rsid w:val="003A082D"/>
    <w:rsid w:val="003A0B69"/>
    <w:rsid w:val="003A0F7A"/>
    <w:rsid w:val="003A10E7"/>
    <w:rsid w:val="003A16B7"/>
    <w:rsid w:val="003A1745"/>
    <w:rsid w:val="003A2E56"/>
    <w:rsid w:val="003A3862"/>
    <w:rsid w:val="003A4357"/>
    <w:rsid w:val="003A436D"/>
    <w:rsid w:val="003B0565"/>
    <w:rsid w:val="003B159D"/>
    <w:rsid w:val="003B19BE"/>
    <w:rsid w:val="003B1E8D"/>
    <w:rsid w:val="003B1FEC"/>
    <w:rsid w:val="003B348F"/>
    <w:rsid w:val="003B4927"/>
    <w:rsid w:val="003B4D44"/>
    <w:rsid w:val="003B5B95"/>
    <w:rsid w:val="003B69D2"/>
    <w:rsid w:val="003B6EA3"/>
    <w:rsid w:val="003B7DC9"/>
    <w:rsid w:val="003C0020"/>
    <w:rsid w:val="003C02EE"/>
    <w:rsid w:val="003C0AAE"/>
    <w:rsid w:val="003C1185"/>
    <w:rsid w:val="003C11B6"/>
    <w:rsid w:val="003C2223"/>
    <w:rsid w:val="003C317B"/>
    <w:rsid w:val="003C3AD5"/>
    <w:rsid w:val="003C4C2F"/>
    <w:rsid w:val="003C4D6C"/>
    <w:rsid w:val="003C57DC"/>
    <w:rsid w:val="003C5926"/>
    <w:rsid w:val="003C5929"/>
    <w:rsid w:val="003C67A4"/>
    <w:rsid w:val="003D04FC"/>
    <w:rsid w:val="003D0701"/>
    <w:rsid w:val="003D09D3"/>
    <w:rsid w:val="003D0B43"/>
    <w:rsid w:val="003D14AF"/>
    <w:rsid w:val="003D15EC"/>
    <w:rsid w:val="003D3AD8"/>
    <w:rsid w:val="003D4208"/>
    <w:rsid w:val="003D4441"/>
    <w:rsid w:val="003D4A2A"/>
    <w:rsid w:val="003D4DAC"/>
    <w:rsid w:val="003D4DE9"/>
    <w:rsid w:val="003D4FDE"/>
    <w:rsid w:val="003D5F15"/>
    <w:rsid w:val="003D7986"/>
    <w:rsid w:val="003E04AC"/>
    <w:rsid w:val="003E06C7"/>
    <w:rsid w:val="003E0C5E"/>
    <w:rsid w:val="003E0EAA"/>
    <w:rsid w:val="003E1352"/>
    <w:rsid w:val="003E1383"/>
    <w:rsid w:val="003E323C"/>
    <w:rsid w:val="003E5430"/>
    <w:rsid w:val="003E709A"/>
    <w:rsid w:val="003E79AE"/>
    <w:rsid w:val="003F0A5C"/>
    <w:rsid w:val="003F0C3A"/>
    <w:rsid w:val="003F112F"/>
    <w:rsid w:val="003F1906"/>
    <w:rsid w:val="003F2367"/>
    <w:rsid w:val="003F2902"/>
    <w:rsid w:val="003F2CA1"/>
    <w:rsid w:val="003F2E86"/>
    <w:rsid w:val="003F2FA6"/>
    <w:rsid w:val="003F35EC"/>
    <w:rsid w:val="003F3B10"/>
    <w:rsid w:val="003F4201"/>
    <w:rsid w:val="003F566D"/>
    <w:rsid w:val="003F5CC7"/>
    <w:rsid w:val="003F5E93"/>
    <w:rsid w:val="003F6C4B"/>
    <w:rsid w:val="003F6E1A"/>
    <w:rsid w:val="003F6FB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3FB8"/>
    <w:rsid w:val="004248CA"/>
    <w:rsid w:val="00424B82"/>
    <w:rsid w:val="00424CEB"/>
    <w:rsid w:val="0042536D"/>
    <w:rsid w:val="00425447"/>
    <w:rsid w:val="004255E3"/>
    <w:rsid w:val="00425D49"/>
    <w:rsid w:val="00426A12"/>
    <w:rsid w:val="00427615"/>
    <w:rsid w:val="004278E5"/>
    <w:rsid w:val="00427CBA"/>
    <w:rsid w:val="00427DE9"/>
    <w:rsid w:val="00430526"/>
    <w:rsid w:val="004309B3"/>
    <w:rsid w:val="004309C5"/>
    <w:rsid w:val="00430F36"/>
    <w:rsid w:val="00431864"/>
    <w:rsid w:val="00431E6E"/>
    <w:rsid w:val="00432DBC"/>
    <w:rsid w:val="004334FD"/>
    <w:rsid w:val="004335F4"/>
    <w:rsid w:val="00433B20"/>
    <w:rsid w:val="00434573"/>
    <w:rsid w:val="00434710"/>
    <w:rsid w:val="00434979"/>
    <w:rsid w:val="00434B71"/>
    <w:rsid w:val="004359AD"/>
    <w:rsid w:val="00436570"/>
    <w:rsid w:val="00436B3D"/>
    <w:rsid w:val="00436DAE"/>
    <w:rsid w:val="00437A8F"/>
    <w:rsid w:val="00437CA8"/>
    <w:rsid w:val="00440360"/>
    <w:rsid w:val="00440A9C"/>
    <w:rsid w:val="00441319"/>
    <w:rsid w:val="00441A9F"/>
    <w:rsid w:val="00442153"/>
    <w:rsid w:val="00442D2E"/>
    <w:rsid w:val="00442E1F"/>
    <w:rsid w:val="00443C31"/>
    <w:rsid w:val="00444737"/>
    <w:rsid w:val="00445112"/>
    <w:rsid w:val="00445C07"/>
    <w:rsid w:val="00445CE5"/>
    <w:rsid w:val="00446104"/>
    <w:rsid w:val="0044687F"/>
    <w:rsid w:val="00446C74"/>
    <w:rsid w:val="00447EBD"/>
    <w:rsid w:val="0045028B"/>
    <w:rsid w:val="004505D6"/>
    <w:rsid w:val="00450E59"/>
    <w:rsid w:val="004516D9"/>
    <w:rsid w:val="00451F72"/>
    <w:rsid w:val="00451F8B"/>
    <w:rsid w:val="004535E7"/>
    <w:rsid w:val="00455350"/>
    <w:rsid w:val="004557A8"/>
    <w:rsid w:val="00456349"/>
    <w:rsid w:val="00456430"/>
    <w:rsid w:val="0045656B"/>
    <w:rsid w:val="0045684E"/>
    <w:rsid w:val="00456CEF"/>
    <w:rsid w:val="00457C4A"/>
    <w:rsid w:val="00460732"/>
    <w:rsid w:val="00460993"/>
    <w:rsid w:val="00460F53"/>
    <w:rsid w:val="004618B5"/>
    <w:rsid w:val="00461FDC"/>
    <w:rsid w:val="00462875"/>
    <w:rsid w:val="004638C4"/>
    <w:rsid w:val="00463924"/>
    <w:rsid w:val="00464628"/>
    <w:rsid w:val="004649FA"/>
    <w:rsid w:val="004660F8"/>
    <w:rsid w:val="00466196"/>
    <w:rsid w:val="0046631D"/>
    <w:rsid w:val="0046700E"/>
    <w:rsid w:val="00467F06"/>
    <w:rsid w:val="00470F05"/>
    <w:rsid w:val="004718D9"/>
    <w:rsid w:val="00472462"/>
    <w:rsid w:val="00472670"/>
    <w:rsid w:val="00472C02"/>
    <w:rsid w:val="00472DBD"/>
    <w:rsid w:val="00473314"/>
    <w:rsid w:val="0047349A"/>
    <w:rsid w:val="004736B8"/>
    <w:rsid w:val="004739CF"/>
    <w:rsid w:val="00473C08"/>
    <w:rsid w:val="00474923"/>
    <w:rsid w:val="0047493C"/>
    <w:rsid w:val="00474ED3"/>
    <w:rsid w:val="00475484"/>
    <w:rsid w:val="00475740"/>
    <w:rsid w:val="004768DA"/>
    <w:rsid w:val="004800D1"/>
    <w:rsid w:val="004806D7"/>
    <w:rsid w:val="0048083D"/>
    <w:rsid w:val="00480E15"/>
    <w:rsid w:val="00480F04"/>
    <w:rsid w:val="004813E6"/>
    <w:rsid w:val="0048191F"/>
    <w:rsid w:val="00484C76"/>
    <w:rsid w:val="00484D2D"/>
    <w:rsid w:val="004859FE"/>
    <w:rsid w:val="00485F83"/>
    <w:rsid w:val="004862E9"/>
    <w:rsid w:val="0048660B"/>
    <w:rsid w:val="00487C38"/>
    <w:rsid w:val="00487D38"/>
    <w:rsid w:val="00487D6F"/>
    <w:rsid w:val="0049073A"/>
    <w:rsid w:val="004912FC"/>
    <w:rsid w:val="00491500"/>
    <w:rsid w:val="00491894"/>
    <w:rsid w:val="00491D9E"/>
    <w:rsid w:val="00492046"/>
    <w:rsid w:val="0049260B"/>
    <w:rsid w:val="00492BEB"/>
    <w:rsid w:val="00492C38"/>
    <w:rsid w:val="004936A3"/>
    <w:rsid w:val="0049381F"/>
    <w:rsid w:val="00493A82"/>
    <w:rsid w:val="00493F55"/>
    <w:rsid w:val="00494463"/>
    <w:rsid w:val="00494D79"/>
    <w:rsid w:val="00494DFB"/>
    <w:rsid w:val="00494F20"/>
    <w:rsid w:val="00494FCB"/>
    <w:rsid w:val="0049571D"/>
    <w:rsid w:val="004957E6"/>
    <w:rsid w:val="004958EF"/>
    <w:rsid w:val="00496CBE"/>
    <w:rsid w:val="00497B53"/>
    <w:rsid w:val="004A0293"/>
    <w:rsid w:val="004A083D"/>
    <w:rsid w:val="004A1648"/>
    <w:rsid w:val="004A36ED"/>
    <w:rsid w:val="004A4AA6"/>
    <w:rsid w:val="004A4B65"/>
    <w:rsid w:val="004A5646"/>
    <w:rsid w:val="004A6733"/>
    <w:rsid w:val="004A7324"/>
    <w:rsid w:val="004A7AFD"/>
    <w:rsid w:val="004B02B5"/>
    <w:rsid w:val="004B1AC6"/>
    <w:rsid w:val="004B2AE7"/>
    <w:rsid w:val="004B2F00"/>
    <w:rsid w:val="004B3772"/>
    <w:rsid w:val="004B4F74"/>
    <w:rsid w:val="004B58CE"/>
    <w:rsid w:val="004B5BE6"/>
    <w:rsid w:val="004B6CE7"/>
    <w:rsid w:val="004B781B"/>
    <w:rsid w:val="004B7EE2"/>
    <w:rsid w:val="004C0DF9"/>
    <w:rsid w:val="004C1982"/>
    <w:rsid w:val="004C24BD"/>
    <w:rsid w:val="004C2BED"/>
    <w:rsid w:val="004C3206"/>
    <w:rsid w:val="004C41A4"/>
    <w:rsid w:val="004C5249"/>
    <w:rsid w:val="004C646D"/>
    <w:rsid w:val="004C777F"/>
    <w:rsid w:val="004D04A5"/>
    <w:rsid w:val="004D0789"/>
    <w:rsid w:val="004D2DF8"/>
    <w:rsid w:val="004D37E1"/>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0381"/>
    <w:rsid w:val="00501EBE"/>
    <w:rsid w:val="00503016"/>
    <w:rsid w:val="00503346"/>
    <w:rsid w:val="00503914"/>
    <w:rsid w:val="00505054"/>
    <w:rsid w:val="00505951"/>
    <w:rsid w:val="00505E67"/>
    <w:rsid w:val="00505EE4"/>
    <w:rsid w:val="00505EE7"/>
    <w:rsid w:val="00506823"/>
    <w:rsid w:val="00506896"/>
    <w:rsid w:val="00506FE2"/>
    <w:rsid w:val="005072C0"/>
    <w:rsid w:val="005073A4"/>
    <w:rsid w:val="00510C73"/>
    <w:rsid w:val="0051115F"/>
    <w:rsid w:val="00511771"/>
    <w:rsid w:val="00511D75"/>
    <w:rsid w:val="00512355"/>
    <w:rsid w:val="005124C7"/>
    <w:rsid w:val="00512C90"/>
    <w:rsid w:val="00512CF1"/>
    <w:rsid w:val="00513FBC"/>
    <w:rsid w:val="00514E43"/>
    <w:rsid w:val="00515123"/>
    <w:rsid w:val="0051556D"/>
    <w:rsid w:val="0052041C"/>
    <w:rsid w:val="00521E20"/>
    <w:rsid w:val="00522AB2"/>
    <w:rsid w:val="0052337C"/>
    <w:rsid w:val="00523A2E"/>
    <w:rsid w:val="0052427E"/>
    <w:rsid w:val="00524A5D"/>
    <w:rsid w:val="005256F3"/>
    <w:rsid w:val="00525E93"/>
    <w:rsid w:val="0052621D"/>
    <w:rsid w:val="00527462"/>
    <w:rsid w:val="005276C3"/>
    <w:rsid w:val="00527873"/>
    <w:rsid w:val="00530040"/>
    <w:rsid w:val="005302AB"/>
    <w:rsid w:val="00530806"/>
    <w:rsid w:val="00530A7F"/>
    <w:rsid w:val="00530F88"/>
    <w:rsid w:val="00531652"/>
    <w:rsid w:val="00531E87"/>
    <w:rsid w:val="00532AAB"/>
    <w:rsid w:val="00532B27"/>
    <w:rsid w:val="0053421A"/>
    <w:rsid w:val="00535208"/>
    <w:rsid w:val="00536356"/>
    <w:rsid w:val="00536463"/>
    <w:rsid w:val="0053710C"/>
    <w:rsid w:val="005377A6"/>
    <w:rsid w:val="00540FE0"/>
    <w:rsid w:val="005411EA"/>
    <w:rsid w:val="0054263B"/>
    <w:rsid w:val="0054264F"/>
    <w:rsid w:val="00542ACA"/>
    <w:rsid w:val="005437E8"/>
    <w:rsid w:val="005438E7"/>
    <w:rsid w:val="00543BD2"/>
    <w:rsid w:val="00543F87"/>
    <w:rsid w:val="00544C20"/>
    <w:rsid w:val="00544E40"/>
    <w:rsid w:val="00545D3C"/>
    <w:rsid w:val="00545FBB"/>
    <w:rsid w:val="005476ED"/>
    <w:rsid w:val="00551A41"/>
    <w:rsid w:val="00552038"/>
    <w:rsid w:val="00552145"/>
    <w:rsid w:val="005529D8"/>
    <w:rsid w:val="00553692"/>
    <w:rsid w:val="00554557"/>
    <w:rsid w:val="00554A39"/>
    <w:rsid w:val="00555B3E"/>
    <w:rsid w:val="00555EDA"/>
    <w:rsid w:val="005560EB"/>
    <w:rsid w:val="005562B3"/>
    <w:rsid w:val="0055660D"/>
    <w:rsid w:val="00556AFE"/>
    <w:rsid w:val="00557333"/>
    <w:rsid w:val="00557DD2"/>
    <w:rsid w:val="0056030C"/>
    <w:rsid w:val="00561A02"/>
    <w:rsid w:val="00561B31"/>
    <w:rsid w:val="00562A5B"/>
    <w:rsid w:val="00562D71"/>
    <w:rsid w:val="00563438"/>
    <w:rsid w:val="005634A6"/>
    <w:rsid w:val="005638B0"/>
    <w:rsid w:val="00563A26"/>
    <w:rsid w:val="00563B11"/>
    <w:rsid w:val="005643A3"/>
    <w:rsid w:val="0056507A"/>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0C4"/>
    <w:rsid w:val="00580C39"/>
    <w:rsid w:val="005814FF"/>
    <w:rsid w:val="005818ED"/>
    <w:rsid w:val="00582EEE"/>
    <w:rsid w:val="00584ECC"/>
    <w:rsid w:val="00584FCC"/>
    <w:rsid w:val="0058546D"/>
    <w:rsid w:val="0058562D"/>
    <w:rsid w:val="005864CB"/>
    <w:rsid w:val="00586C76"/>
    <w:rsid w:val="0058797C"/>
    <w:rsid w:val="00590929"/>
    <w:rsid w:val="0059097C"/>
    <w:rsid w:val="00590AF8"/>
    <w:rsid w:val="00591657"/>
    <w:rsid w:val="00592124"/>
    <w:rsid w:val="00592176"/>
    <w:rsid w:val="0059367A"/>
    <w:rsid w:val="00593D11"/>
    <w:rsid w:val="005943AE"/>
    <w:rsid w:val="00595206"/>
    <w:rsid w:val="00595D31"/>
    <w:rsid w:val="00595EE3"/>
    <w:rsid w:val="005968D1"/>
    <w:rsid w:val="00597D43"/>
    <w:rsid w:val="00597F91"/>
    <w:rsid w:val="005A00A1"/>
    <w:rsid w:val="005A01C8"/>
    <w:rsid w:val="005A0264"/>
    <w:rsid w:val="005A02D4"/>
    <w:rsid w:val="005A15A4"/>
    <w:rsid w:val="005A169C"/>
    <w:rsid w:val="005A1CF1"/>
    <w:rsid w:val="005A1F68"/>
    <w:rsid w:val="005A2372"/>
    <w:rsid w:val="005A4DBF"/>
    <w:rsid w:val="005A720C"/>
    <w:rsid w:val="005B0219"/>
    <w:rsid w:val="005B07DE"/>
    <w:rsid w:val="005B0DFE"/>
    <w:rsid w:val="005B12E9"/>
    <w:rsid w:val="005B1713"/>
    <w:rsid w:val="005B2281"/>
    <w:rsid w:val="005B2537"/>
    <w:rsid w:val="005B3350"/>
    <w:rsid w:val="005B3874"/>
    <w:rsid w:val="005B426A"/>
    <w:rsid w:val="005B463B"/>
    <w:rsid w:val="005B515A"/>
    <w:rsid w:val="005B55EC"/>
    <w:rsid w:val="005B59FC"/>
    <w:rsid w:val="005B5C8A"/>
    <w:rsid w:val="005B622B"/>
    <w:rsid w:val="005B7B43"/>
    <w:rsid w:val="005B7EBA"/>
    <w:rsid w:val="005C0F41"/>
    <w:rsid w:val="005C33A1"/>
    <w:rsid w:val="005C3866"/>
    <w:rsid w:val="005C4646"/>
    <w:rsid w:val="005C593E"/>
    <w:rsid w:val="005C7407"/>
    <w:rsid w:val="005D0510"/>
    <w:rsid w:val="005D142B"/>
    <w:rsid w:val="005D198B"/>
    <w:rsid w:val="005D2DCD"/>
    <w:rsid w:val="005D2F13"/>
    <w:rsid w:val="005D4091"/>
    <w:rsid w:val="005D4105"/>
    <w:rsid w:val="005D42F8"/>
    <w:rsid w:val="005D4696"/>
    <w:rsid w:val="005D4C93"/>
    <w:rsid w:val="005D4FBA"/>
    <w:rsid w:val="005D5D01"/>
    <w:rsid w:val="005D5EA2"/>
    <w:rsid w:val="005D6AA1"/>
    <w:rsid w:val="005D6EC7"/>
    <w:rsid w:val="005D713A"/>
    <w:rsid w:val="005D7B4E"/>
    <w:rsid w:val="005D7FE0"/>
    <w:rsid w:val="005E234F"/>
    <w:rsid w:val="005E2557"/>
    <w:rsid w:val="005E441D"/>
    <w:rsid w:val="005E4B81"/>
    <w:rsid w:val="005E50FE"/>
    <w:rsid w:val="005E539D"/>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5026"/>
    <w:rsid w:val="005F620B"/>
    <w:rsid w:val="005F665B"/>
    <w:rsid w:val="005F6FCA"/>
    <w:rsid w:val="0060059B"/>
    <w:rsid w:val="00601C39"/>
    <w:rsid w:val="00601FC8"/>
    <w:rsid w:val="00602B4F"/>
    <w:rsid w:val="0060384E"/>
    <w:rsid w:val="0060570A"/>
    <w:rsid w:val="00605DF2"/>
    <w:rsid w:val="00605EF8"/>
    <w:rsid w:val="006061A9"/>
    <w:rsid w:val="00606EC8"/>
    <w:rsid w:val="00607172"/>
    <w:rsid w:val="00607298"/>
    <w:rsid w:val="00610160"/>
    <w:rsid w:val="00611F89"/>
    <w:rsid w:val="0061200A"/>
    <w:rsid w:val="0061213D"/>
    <w:rsid w:val="00613A83"/>
    <w:rsid w:val="00613B94"/>
    <w:rsid w:val="00613C40"/>
    <w:rsid w:val="0061400C"/>
    <w:rsid w:val="00614331"/>
    <w:rsid w:val="006152BC"/>
    <w:rsid w:val="00615BC7"/>
    <w:rsid w:val="006162C2"/>
    <w:rsid w:val="00616A04"/>
    <w:rsid w:val="00622048"/>
    <w:rsid w:val="00622944"/>
    <w:rsid w:val="00624217"/>
    <w:rsid w:val="006243BF"/>
    <w:rsid w:val="00624795"/>
    <w:rsid w:val="00624B39"/>
    <w:rsid w:val="00624B91"/>
    <w:rsid w:val="006250CA"/>
    <w:rsid w:val="0062578F"/>
    <w:rsid w:val="00625EFD"/>
    <w:rsid w:val="00626741"/>
    <w:rsid w:val="006274AF"/>
    <w:rsid w:val="00627BBF"/>
    <w:rsid w:val="00627F7E"/>
    <w:rsid w:val="00630845"/>
    <w:rsid w:val="006339F3"/>
    <w:rsid w:val="00633BB2"/>
    <w:rsid w:val="00634119"/>
    <w:rsid w:val="0063470B"/>
    <w:rsid w:val="0063519E"/>
    <w:rsid w:val="0063628B"/>
    <w:rsid w:val="0063632E"/>
    <w:rsid w:val="00640298"/>
    <w:rsid w:val="00641FC6"/>
    <w:rsid w:val="006423C5"/>
    <w:rsid w:val="00642E60"/>
    <w:rsid w:val="0064502B"/>
    <w:rsid w:val="00645307"/>
    <w:rsid w:val="006453AA"/>
    <w:rsid w:val="006454C5"/>
    <w:rsid w:val="00646076"/>
    <w:rsid w:val="00646CF4"/>
    <w:rsid w:val="006474EC"/>
    <w:rsid w:val="00650187"/>
    <w:rsid w:val="0065147A"/>
    <w:rsid w:val="00651AFD"/>
    <w:rsid w:val="00652312"/>
    <w:rsid w:val="00652A0E"/>
    <w:rsid w:val="00652ADF"/>
    <w:rsid w:val="006548CE"/>
    <w:rsid w:val="00655A3C"/>
    <w:rsid w:val="00655C9A"/>
    <w:rsid w:val="006562BE"/>
    <w:rsid w:val="00656936"/>
    <w:rsid w:val="00656AC4"/>
    <w:rsid w:val="00656EF1"/>
    <w:rsid w:val="006571FD"/>
    <w:rsid w:val="006600F0"/>
    <w:rsid w:val="00660683"/>
    <w:rsid w:val="006620DC"/>
    <w:rsid w:val="00662ED9"/>
    <w:rsid w:val="006638D7"/>
    <w:rsid w:val="00663E81"/>
    <w:rsid w:val="0066553D"/>
    <w:rsid w:val="006655A1"/>
    <w:rsid w:val="00665F32"/>
    <w:rsid w:val="00667F8D"/>
    <w:rsid w:val="006706C3"/>
    <w:rsid w:val="006716C5"/>
    <w:rsid w:val="00672A57"/>
    <w:rsid w:val="0067322C"/>
    <w:rsid w:val="00674685"/>
    <w:rsid w:val="00674B39"/>
    <w:rsid w:val="00674CB4"/>
    <w:rsid w:val="00676370"/>
    <w:rsid w:val="006765F7"/>
    <w:rsid w:val="00676683"/>
    <w:rsid w:val="00677315"/>
    <w:rsid w:val="006779F2"/>
    <w:rsid w:val="00677C89"/>
    <w:rsid w:val="00680880"/>
    <w:rsid w:val="00682C3F"/>
    <w:rsid w:val="0068493A"/>
    <w:rsid w:val="00685F36"/>
    <w:rsid w:val="006864D0"/>
    <w:rsid w:val="006869CE"/>
    <w:rsid w:val="006869E9"/>
    <w:rsid w:val="00686AC9"/>
    <w:rsid w:val="006879DE"/>
    <w:rsid w:val="00690F71"/>
    <w:rsid w:val="006915EC"/>
    <w:rsid w:val="006917A2"/>
    <w:rsid w:val="00692071"/>
    <w:rsid w:val="0069266B"/>
    <w:rsid w:val="00692787"/>
    <w:rsid w:val="006928C5"/>
    <w:rsid w:val="00692AB8"/>
    <w:rsid w:val="006949D7"/>
    <w:rsid w:val="006953FC"/>
    <w:rsid w:val="00696B9F"/>
    <w:rsid w:val="00696D29"/>
    <w:rsid w:val="006977B2"/>
    <w:rsid w:val="00697BF1"/>
    <w:rsid w:val="00697F56"/>
    <w:rsid w:val="006A019B"/>
    <w:rsid w:val="006A257A"/>
    <w:rsid w:val="006A2939"/>
    <w:rsid w:val="006A534E"/>
    <w:rsid w:val="006A639B"/>
    <w:rsid w:val="006A7554"/>
    <w:rsid w:val="006A77B5"/>
    <w:rsid w:val="006B0E6C"/>
    <w:rsid w:val="006B1191"/>
    <w:rsid w:val="006B1C39"/>
    <w:rsid w:val="006B212E"/>
    <w:rsid w:val="006B3631"/>
    <w:rsid w:val="006B3684"/>
    <w:rsid w:val="006B3FDE"/>
    <w:rsid w:val="006B5117"/>
    <w:rsid w:val="006B5429"/>
    <w:rsid w:val="006B59CA"/>
    <w:rsid w:val="006B5D69"/>
    <w:rsid w:val="006B6A43"/>
    <w:rsid w:val="006B6B3C"/>
    <w:rsid w:val="006B6E97"/>
    <w:rsid w:val="006B77AC"/>
    <w:rsid w:val="006B78C5"/>
    <w:rsid w:val="006C085A"/>
    <w:rsid w:val="006C2067"/>
    <w:rsid w:val="006C314D"/>
    <w:rsid w:val="006C3610"/>
    <w:rsid w:val="006C3674"/>
    <w:rsid w:val="006C3E19"/>
    <w:rsid w:val="006C47F6"/>
    <w:rsid w:val="006C4AC5"/>
    <w:rsid w:val="006C5F46"/>
    <w:rsid w:val="006C6EFC"/>
    <w:rsid w:val="006C7D34"/>
    <w:rsid w:val="006D0320"/>
    <w:rsid w:val="006D07E5"/>
    <w:rsid w:val="006D0882"/>
    <w:rsid w:val="006D093A"/>
    <w:rsid w:val="006D278D"/>
    <w:rsid w:val="006D497F"/>
    <w:rsid w:val="006D50D8"/>
    <w:rsid w:val="006D5526"/>
    <w:rsid w:val="006D5D93"/>
    <w:rsid w:val="006D6574"/>
    <w:rsid w:val="006D6D82"/>
    <w:rsid w:val="006D738E"/>
    <w:rsid w:val="006D7F0F"/>
    <w:rsid w:val="006E013E"/>
    <w:rsid w:val="006E139E"/>
    <w:rsid w:val="006E1EA3"/>
    <w:rsid w:val="006E2471"/>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2F1B"/>
    <w:rsid w:val="007034C9"/>
    <w:rsid w:val="00703639"/>
    <w:rsid w:val="00703667"/>
    <w:rsid w:val="00703D4D"/>
    <w:rsid w:val="007046B8"/>
    <w:rsid w:val="007050EE"/>
    <w:rsid w:val="007052DE"/>
    <w:rsid w:val="0070658D"/>
    <w:rsid w:val="00706A5D"/>
    <w:rsid w:val="00706D86"/>
    <w:rsid w:val="00707B71"/>
    <w:rsid w:val="0071065C"/>
    <w:rsid w:val="00710A24"/>
    <w:rsid w:val="00710B0D"/>
    <w:rsid w:val="00710F9E"/>
    <w:rsid w:val="0071172E"/>
    <w:rsid w:val="00711A26"/>
    <w:rsid w:val="007121A5"/>
    <w:rsid w:val="007124F9"/>
    <w:rsid w:val="007126F8"/>
    <w:rsid w:val="00712AAD"/>
    <w:rsid w:val="0071362B"/>
    <w:rsid w:val="00714130"/>
    <w:rsid w:val="0071436C"/>
    <w:rsid w:val="007151B8"/>
    <w:rsid w:val="0071538E"/>
    <w:rsid w:val="00715C5C"/>
    <w:rsid w:val="00716502"/>
    <w:rsid w:val="00716E79"/>
    <w:rsid w:val="00717591"/>
    <w:rsid w:val="007177E4"/>
    <w:rsid w:val="00720F2C"/>
    <w:rsid w:val="007215EA"/>
    <w:rsid w:val="0072431C"/>
    <w:rsid w:val="007256CC"/>
    <w:rsid w:val="00725709"/>
    <w:rsid w:val="00726A8E"/>
    <w:rsid w:val="00726E7C"/>
    <w:rsid w:val="007310D1"/>
    <w:rsid w:val="007318CB"/>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1C9B"/>
    <w:rsid w:val="00741CCD"/>
    <w:rsid w:val="00742351"/>
    <w:rsid w:val="00742EB6"/>
    <w:rsid w:val="00742F52"/>
    <w:rsid w:val="007443E2"/>
    <w:rsid w:val="0074486F"/>
    <w:rsid w:val="00744AB2"/>
    <w:rsid w:val="00745414"/>
    <w:rsid w:val="007457FE"/>
    <w:rsid w:val="00745E61"/>
    <w:rsid w:val="00745EA3"/>
    <w:rsid w:val="00747605"/>
    <w:rsid w:val="007478C9"/>
    <w:rsid w:val="00747A16"/>
    <w:rsid w:val="00747C60"/>
    <w:rsid w:val="00747EEB"/>
    <w:rsid w:val="00747FE0"/>
    <w:rsid w:val="007508DF"/>
    <w:rsid w:val="007509FE"/>
    <w:rsid w:val="00750CA6"/>
    <w:rsid w:val="00751401"/>
    <w:rsid w:val="0075152D"/>
    <w:rsid w:val="00751A50"/>
    <w:rsid w:val="00751CE2"/>
    <w:rsid w:val="00752D9A"/>
    <w:rsid w:val="0075390C"/>
    <w:rsid w:val="00754C8A"/>
    <w:rsid w:val="00755065"/>
    <w:rsid w:val="00755174"/>
    <w:rsid w:val="00755361"/>
    <w:rsid w:val="0075563D"/>
    <w:rsid w:val="007568D6"/>
    <w:rsid w:val="00757121"/>
    <w:rsid w:val="007579EE"/>
    <w:rsid w:val="00757CAF"/>
    <w:rsid w:val="00760971"/>
    <w:rsid w:val="0076145B"/>
    <w:rsid w:val="0076183F"/>
    <w:rsid w:val="007621B6"/>
    <w:rsid w:val="00762B63"/>
    <w:rsid w:val="00763840"/>
    <w:rsid w:val="00763FE4"/>
    <w:rsid w:val="0076417E"/>
    <w:rsid w:val="00764C43"/>
    <w:rsid w:val="00764CDA"/>
    <w:rsid w:val="00766489"/>
    <w:rsid w:val="00766F23"/>
    <w:rsid w:val="00767790"/>
    <w:rsid w:val="00767C08"/>
    <w:rsid w:val="0077052B"/>
    <w:rsid w:val="00770607"/>
    <w:rsid w:val="00770C49"/>
    <w:rsid w:val="00770D17"/>
    <w:rsid w:val="00770FE5"/>
    <w:rsid w:val="00772204"/>
    <w:rsid w:val="0077271C"/>
    <w:rsid w:val="00772DF5"/>
    <w:rsid w:val="007763DB"/>
    <w:rsid w:val="00776637"/>
    <w:rsid w:val="007778F3"/>
    <w:rsid w:val="00777AED"/>
    <w:rsid w:val="00777D24"/>
    <w:rsid w:val="00781580"/>
    <w:rsid w:val="00781B8F"/>
    <w:rsid w:val="007825F8"/>
    <w:rsid w:val="007829F0"/>
    <w:rsid w:val="00783703"/>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14"/>
    <w:rsid w:val="00792257"/>
    <w:rsid w:val="00792932"/>
    <w:rsid w:val="00793681"/>
    <w:rsid w:val="0079422A"/>
    <w:rsid w:val="00795996"/>
    <w:rsid w:val="00796B9C"/>
    <w:rsid w:val="00796C2E"/>
    <w:rsid w:val="007A071F"/>
    <w:rsid w:val="007A1C50"/>
    <w:rsid w:val="007A2601"/>
    <w:rsid w:val="007A2DB8"/>
    <w:rsid w:val="007A3327"/>
    <w:rsid w:val="007A3601"/>
    <w:rsid w:val="007A55DD"/>
    <w:rsid w:val="007A6A91"/>
    <w:rsid w:val="007A6F7E"/>
    <w:rsid w:val="007A73F1"/>
    <w:rsid w:val="007A76BA"/>
    <w:rsid w:val="007A7AAB"/>
    <w:rsid w:val="007B1194"/>
    <w:rsid w:val="007B1532"/>
    <w:rsid w:val="007B17AF"/>
    <w:rsid w:val="007B24B1"/>
    <w:rsid w:val="007B2A3E"/>
    <w:rsid w:val="007B3E10"/>
    <w:rsid w:val="007B42B1"/>
    <w:rsid w:val="007B485B"/>
    <w:rsid w:val="007B4ADC"/>
    <w:rsid w:val="007B55B2"/>
    <w:rsid w:val="007B654B"/>
    <w:rsid w:val="007B6EC7"/>
    <w:rsid w:val="007B7880"/>
    <w:rsid w:val="007C08FF"/>
    <w:rsid w:val="007C10CA"/>
    <w:rsid w:val="007C1B63"/>
    <w:rsid w:val="007C206C"/>
    <w:rsid w:val="007C237A"/>
    <w:rsid w:val="007C270F"/>
    <w:rsid w:val="007C2833"/>
    <w:rsid w:val="007C2B52"/>
    <w:rsid w:val="007C375F"/>
    <w:rsid w:val="007C4083"/>
    <w:rsid w:val="007C438D"/>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AD6"/>
    <w:rsid w:val="007D5EA7"/>
    <w:rsid w:val="007D65FD"/>
    <w:rsid w:val="007D7362"/>
    <w:rsid w:val="007E0204"/>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3F5B"/>
    <w:rsid w:val="007F4D25"/>
    <w:rsid w:val="007F58F7"/>
    <w:rsid w:val="007F5F57"/>
    <w:rsid w:val="007F6279"/>
    <w:rsid w:val="007F6E0D"/>
    <w:rsid w:val="007F7121"/>
    <w:rsid w:val="007F7833"/>
    <w:rsid w:val="007F78FF"/>
    <w:rsid w:val="00800A36"/>
    <w:rsid w:val="008011FB"/>
    <w:rsid w:val="00801750"/>
    <w:rsid w:val="00801B26"/>
    <w:rsid w:val="00801D83"/>
    <w:rsid w:val="00804534"/>
    <w:rsid w:val="00805601"/>
    <w:rsid w:val="0081005B"/>
    <w:rsid w:val="00810C64"/>
    <w:rsid w:val="00810F32"/>
    <w:rsid w:val="008116BD"/>
    <w:rsid w:val="008120B2"/>
    <w:rsid w:val="00812495"/>
    <w:rsid w:val="00812889"/>
    <w:rsid w:val="008129CB"/>
    <w:rsid w:val="0081405F"/>
    <w:rsid w:val="0081431F"/>
    <w:rsid w:val="008145FF"/>
    <w:rsid w:val="008149D8"/>
    <w:rsid w:val="00814F32"/>
    <w:rsid w:val="00815050"/>
    <w:rsid w:val="00815294"/>
    <w:rsid w:val="0081575E"/>
    <w:rsid w:val="0081584B"/>
    <w:rsid w:val="00816193"/>
    <w:rsid w:val="00816EF0"/>
    <w:rsid w:val="008170D9"/>
    <w:rsid w:val="008173FC"/>
    <w:rsid w:val="00817431"/>
    <w:rsid w:val="00817709"/>
    <w:rsid w:val="00817DC4"/>
    <w:rsid w:val="00820812"/>
    <w:rsid w:val="00821549"/>
    <w:rsid w:val="00821CC7"/>
    <w:rsid w:val="00822AC6"/>
    <w:rsid w:val="008231DC"/>
    <w:rsid w:val="0082398B"/>
    <w:rsid w:val="00824815"/>
    <w:rsid w:val="00824E8B"/>
    <w:rsid w:val="00824F71"/>
    <w:rsid w:val="00825707"/>
    <w:rsid w:val="008266BB"/>
    <w:rsid w:val="008269D5"/>
    <w:rsid w:val="00827C3F"/>
    <w:rsid w:val="0083167E"/>
    <w:rsid w:val="00831834"/>
    <w:rsid w:val="00831F16"/>
    <w:rsid w:val="00832EA1"/>
    <w:rsid w:val="00833570"/>
    <w:rsid w:val="008341F0"/>
    <w:rsid w:val="008345DE"/>
    <w:rsid w:val="00835A31"/>
    <w:rsid w:val="00837A4C"/>
    <w:rsid w:val="00837D6E"/>
    <w:rsid w:val="008405E1"/>
    <w:rsid w:val="00840A50"/>
    <w:rsid w:val="00840ECB"/>
    <w:rsid w:val="00841411"/>
    <w:rsid w:val="00842D0F"/>
    <w:rsid w:val="008435D2"/>
    <w:rsid w:val="00843AF4"/>
    <w:rsid w:val="00843FC0"/>
    <w:rsid w:val="0084415B"/>
    <w:rsid w:val="008446DF"/>
    <w:rsid w:val="008460DC"/>
    <w:rsid w:val="00846205"/>
    <w:rsid w:val="00846236"/>
    <w:rsid w:val="00850CF8"/>
    <w:rsid w:val="00850D48"/>
    <w:rsid w:val="00850FF6"/>
    <w:rsid w:val="008510EB"/>
    <w:rsid w:val="00851C2F"/>
    <w:rsid w:val="00852B4D"/>
    <w:rsid w:val="008536FF"/>
    <w:rsid w:val="0085406D"/>
    <w:rsid w:val="008541DD"/>
    <w:rsid w:val="0085492B"/>
    <w:rsid w:val="00854FDC"/>
    <w:rsid w:val="00855126"/>
    <w:rsid w:val="00855AA6"/>
    <w:rsid w:val="008562A8"/>
    <w:rsid w:val="0085690A"/>
    <w:rsid w:val="00856FB0"/>
    <w:rsid w:val="008572A2"/>
    <w:rsid w:val="00857574"/>
    <w:rsid w:val="00857767"/>
    <w:rsid w:val="008577DA"/>
    <w:rsid w:val="00860D6C"/>
    <w:rsid w:val="008615A2"/>
    <w:rsid w:val="008617C9"/>
    <w:rsid w:val="00862168"/>
    <w:rsid w:val="0086284D"/>
    <w:rsid w:val="008635A7"/>
    <w:rsid w:val="008644E0"/>
    <w:rsid w:val="00865CCF"/>
    <w:rsid w:val="00865D67"/>
    <w:rsid w:val="00865F8B"/>
    <w:rsid w:val="00866E36"/>
    <w:rsid w:val="008672D0"/>
    <w:rsid w:val="00870102"/>
    <w:rsid w:val="0087179D"/>
    <w:rsid w:val="008723A0"/>
    <w:rsid w:val="00874CE4"/>
    <w:rsid w:val="00875335"/>
    <w:rsid w:val="0087623D"/>
    <w:rsid w:val="008769A8"/>
    <w:rsid w:val="008771C5"/>
    <w:rsid w:val="008809B1"/>
    <w:rsid w:val="00881ACD"/>
    <w:rsid w:val="00882BBF"/>
    <w:rsid w:val="00882DEC"/>
    <w:rsid w:val="00884819"/>
    <w:rsid w:val="00884846"/>
    <w:rsid w:val="008854C1"/>
    <w:rsid w:val="00885759"/>
    <w:rsid w:val="008860A4"/>
    <w:rsid w:val="008862D2"/>
    <w:rsid w:val="0088680D"/>
    <w:rsid w:val="00886893"/>
    <w:rsid w:val="008874F2"/>
    <w:rsid w:val="00890ED9"/>
    <w:rsid w:val="008917FE"/>
    <w:rsid w:val="00891992"/>
    <w:rsid w:val="00891FD5"/>
    <w:rsid w:val="0089389E"/>
    <w:rsid w:val="00893B2F"/>
    <w:rsid w:val="008947B7"/>
    <w:rsid w:val="0089480A"/>
    <w:rsid w:val="00894B47"/>
    <w:rsid w:val="008952A5"/>
    <w:rsid w:val="008960FE"/>
    <w:rsid w:val="008968F5"/>
    <w:rsid w:val="00896F60"/>
    <w:rsid w:val="00897663"/>
    <w:rsid w:val="00897B6A"/>
    <w:rsid w:val="008A007A"/>
    <w:rsid w:val="008A0E23"/>
    <w:rsid w:val="008A0E45"/>
    <w:rsid w:val="008A19E8"/>
    <w:rsid w:val="008A1C40"/>
    <w:rsid w:val="008A1DA2"/>
    <w:rsid w:val="008A281D"/>
    <w:rsid w:val="008A3686"/>
    <w:rsid w:val="008A3BB9"/>
    <w:rsid w:val="008A3FF2"/>
    <w:rsid w:val="008A4007"/>
    <w:rsid w:val="008A4077"/>
    <w:rsid w:val="008A4453"/>
    <w:rsid w:val="008A5932"/>
    <w:rsid w:val="008A5E62"/>
    <w:rsid w:val="008A6F4C"/>
    <w:rsid w:val="008A74DD"/>
    <w:rsid w:val="008A76FB"/>
    <w:rsid w:val="008B059F"/>
    <w:rsid w:val="008B1A71"/>
    <w:rsid w:val="008B3389"/>
    <w:rsid w:val="008B4CCE"/>
    <w:rsid w:val="008B5585"/>
    <w:rsid w:val="008B5613"/>
    <w:rsid w:val="008B5617"/>
    <w:rsid w:val="008B57E5"/>
    <w:rsid w:val="008B6FFC"/>
    <w:rsid w:val="008C03D1"/>
    <w:rsid w:val="008C15A5"/>
    <w:rsid w:val="008C1E66"/>
    <w:rsid w:val="008C25DE"/>
    <w:rsid w:val="008C26B7"/>
    <w:rsid w:val="008C3428"/>
    <w:rsid w:val="008C37DE"/>
    <w:rsid w:val="008C3BD6"/>
    <w:rsid w:val="008C438F"/>
    <w:rsid w:val="008C43F1"/>
    <w:rsid w:val="008C489E"/>
    <w:rsid w:val="008C51A0"/>
    <w:rsid w:val="008C590F"/>
    <w:rsid w:val="008C6028"/>
    <w:rsid w:val="008C64A5"/>
    <w:rsid w:val="008C6B96"/>
    <w:rsid w:val="008C6DE4"/>
    <w:rsid w:val="008D0753"/>
    <w:rsid w:val="008D14B1"/>
    <w:rsid w:val="008D1C34"/>
    <w:rsid w:val="008D3AE9"/>
    <w:rsid w:val="008D405B"/>
    <w:rsid w:val="008D4FAC"/>
    <w:rsid w:val="008D629E"/>
    <w:rsid w:val="008D6F63"/>
    <w:rsid w:val="008D7A33"/>
    <w:rsid w:val="008E0524"/>
    <w:rsid w:val="008E0A00"/>
    <w:rsid w:val="008E1CAF"/>
    <w:rsid w:val="008E1DB9"/>
    <w:rsid w:val="008E1EBA"/>
    <w:rsid w:val="008E20FC"/>
    <w:rsid w:val="008E3519"/>
    <w:rsid w:val="008E3AF7"/>
    <w:rsid w:val="008E405A"/>
    <w:rsid w:val="008E4957"/>
    <w:rsid w:val="008E6454"/>
    <w:rsid w:val="008E71D2"/>
    <w:rsid w:val="008E76BF"/>
    <w:rsid w:val="008F0135"/>
    <w:rsid w:val="008F1460"/>
    <w:rsid w:val="008F2459"/>
    <w:rsid w:val="008F2583"/>
    <w:rsid w:val="008F2C31"/>
    <w:rsid w:val="008F3566"/>
    <w:rsid w:val="008F459A"/>
    <w:rsid w:val="008F4DD2"/>
    <w:rsid w:val="008F4F78"/>
    <w:rsid w:val="008F5897"/>
    <w:rsid w:val="008F6EB4"/>
    <w:rsid w:val="008F6EFC"/>
    <w:rsid w:val="008F7A3A"/>
    <w:rsid w:val="00901329"/>
    <w:rsid w:val="009016E3"/>
    <w:rsid w:val="00902085"/>
    <w:rsid w:val="00902426"/>
    <w:rsid w:val="00902625"/>
    <w:rsid w:val="00903071"/>
    <w:rsid w:val="00903450"/>
    <w:rsid w:val="00903F84"/>
    <w:rsid w:val="009044F4"/>
    <w:rsid w:val="009053DA"/>
    <w:rsid w:val="009059FF"/>
    <w:rsid w:val="009060FE"/>
    <w:rsid w:val="009101A6"/>
    <w:rsid w:val="00910747"/>
    <w:rsid w:val="00910E3B"/>
    <w:rsid w:val="00911329"/>
    <w:rsid w:val="009122D0"/>
    <w:rsid w:val="009125B7"/>
    <w:rsid w:val="00912880"/>
    <w:rsid w:val="00912B57"/>
    <w:rsid w:val="00912CFB"/>
    <w:rsid w:val="009139E6"/>
    <w:rsid w:val="00913C98"/>
    <w:rsid w:val="009175E4"/>
    <w:rsid w:val="00917AF0"/>
    <w:rsid w:val="00917C5F"/>
    <w:rsid w:val="00920A37"/>
    <w:rsid w:val="00920ACC"/>
    <w:rsid w:val="00920F8A"/>
    <w:rsid w:val="00921FB5"/>
    <w:rsid w:val="00922D49"/>
    <w:rsid w:val="009243D2"/>
    <w:rsid w:val="0092481E"/>
    <w:rsid w:val="009250F2"/>
    <w:rsid w:val="00926506"/>
    <w:rsid w:val="0092688E"/>
    <w:rsid w:val="00927CFC"/>
    <w:rsid w:val="00927DF8"/>
    <w:rsid w:val="00930567"/>
    <w:rsid w:val="00930E5C"/>
    <w:rsid w:val="009313D4"/>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034"/>
    <w:rsid w:val="009403CE"/>
    <w:rsid w:val="0094087B"/>
    <w:rsid w:val="00941C35"/>
    <w:rsid w:val="00942A3D"/>
    <w:rsid w:val="0094352E"/>
    <w:rsid w:val="00944100"/>
    <w:rsid w:val="00944AE0"/>
    <w:rsid w:val="00945C1B"/>
    <w:rsid w:val="00946475"/>
    <w:rsid w:val="00946587"/>
    <w:rsid w:val="0094720D"/>
    <w:rsid w:val="0094772D"/>
    <w:rsid w:val="009507DB"/>
    <w:rsid w:val="00950E0A"/>
    <w:rsid w:val="009511E5"/>
    <w:rsid w:val="0095149D"/>
    <w:rsid w:val="009517F6"/>
    <w:rsid w:val="009521C1"/>
    <w:rsid w:val="00952A15"/>
    <w:rsid w:val="009534C9"/>
    <w:rsid w:val="00953EF6"/>
    <w:rsid w:val="0095402B"/>
    <w:rsid w:val="00954A6B"/>
    <w:rsid w:val="00955290"/>
    <w:rsid w:val="00955331"/>
    <w:rsid w:val="00955773"/>
    <w:rsid w:val="00955EBD"/>
    <w:rsid w:val="009568B5"/>
    <w:rsid w:val="00960237"/>
    <w:rsid w:val="0096113B"/>
    <w:rsid w:val="00961752"/>
    <w:rsid w:val="00962F77"/>
    <w:rsid w:val="00963193"/>
    <w:rsid w:val="00964AA4"/>
    <w:rsid w:val="00964DE9"/>
    <w:rsid w:val="00965598"/>
    <w:rsid w:val="009661D6"/>
    <w:rsid w:val="00966367"/>
    <w:rsid w:val="009665B5"/>
    <w:rsid w:val="0096660F"/>
    <w:rsid w:val="009677C7"/>
    <w:rsid w:val="009712EA"/>
    <w:rsid w:val="009729A9"/>
    <w:rsid w:val="00972C6C"/>
    <w:rsid w:val="00973643"/>
    <w:rsid w:val="009752BE"/>
    <w:rsid w:val="009752D4"/>
    <w:rsid w:val="0097535C"/>
    <w:rsid w:val="00975710"/>
    <w:rsid w:val="00975A23"/>
    <w:rsid w:val="009761D3"/>
    <w:rsid w:val="009762F4"/>
    <w:rsid w:val="00976F28"/>
    <w:rsid w:val="009809B5"/>
    <w:rsid w:val="0098132E"/>
    <w:rsid w:val="009822AB"/>
    <w:rsid w:val="00982A00"/>
    <w:rsid w:val="00983048"/>
    <w:rsid w:val="0098318A"/>
    <w:rsid w:val="0098335A"/>
    <w:rsid w:val="00983B82"/>
    <w:rsid w:val="00986127"/>
    <w:rsid w:val="009864F0"/>
    <w:rsid w:val="00986603"/>
    <w:rsid w:val="00986D7B"/>
    <w:rsid w:val="00987481"/>
    <w:rsid w:val="009877D6"/>
    <w:rsid w:val="00987864"/>
    <w:rsid w:val="00987BF2"/>
    <w:rsid w:val="00990141"/>
    <w:rsid w:val="00993242"/>
    <w:rsid w:val="0099325E"/>
    <w:rsid w:val="00993CF6"/>
    <w:rsid w:val="009943FA"/>
    <w:rsid w:val="009960EE"/>
    <w:rsid w:val="00996ACF"/>
    <w:rsid w:val="00997F29"/>
    <w:rsid w:val="009A01B1"/>
    <w:rsid w:val="009A2106"/>
    <w:rsid w:val="009A29D8"/>
    <w:rsid w:val="009A29E9"/>
    <w:rsid w:val="009A2D45"/>
    <w:rsid w:val="009A341D"/>
    <w:rsid w:val="009A4540"/>
    <w:rsid w:val="009A56C0"/>
    <w:rsid w:val="009A6C25"/>
    <w:rsid w:val="009A6D2A"/>
    <w:rsid w:val="009A797B"/>
    <w:rsid w:val="009A7FF9"/>
    <w:rsid w:val="009B015F"/>
    <w:rsid w:val="009B04E6"/>
    <w:rsid w:val="009B0883"/>
    <w:rsid w:val="009B0AD1"/>
    <w:rsid w:val="009B0AF0"/>
    <w:rsid w:val="009B0CDF"/>
    <w:rsid w:val="009B228A"/>
    <w:rsid w:val="009B2515"/>
    <w:rsid w:val="009B2CE1"/>
    <w:rsid w:val="009B3AFA"/>
    <w:rsid w:val="009B3B5C"/>
    <w:rsid w:val="009B7053"/>
    <w:rsid w:val="009B7CBB"/>
    <w:rsid w:val="009C0063"/>
    <w:rsid w:val="009C030B"/>
    <w:rsid w:val="009C0321"/>
    <w:rsid w:val="009C13C8"/>
    <w:rsid w:val="009C29DF"/>
    <w:rsid w:val="009C3181"/>
    <w:rsid w:val="009C555E"/>
    <w:rsid w:val="009C68C7"/>
    <w:rsid w:val="009C7936"/>
    <w:rsid w:val="009D0074"/>
    <w:rsid w:val="009D1A50"/>
    <w:rsid w:val="009D2E7D"/>
    <w:rsid w:val="009D3321"/>
    <w:rsid w:val="009D40F2"/>
    <w:rsid w:val="009D491B"/>
    <w:rsid w:val="009D557A"/>
    <w:rsid w:val="009D65BC"/>
    <w:rsid w:val="009D7C5D"/>
    <w:rsid w:val="009D7F07"/>
    <w:rsid w:val="009D7F36"/>
    <w:rsid w:val="009E124C"/>
    <w:rsid w:val="009E2122"/>
    <w:rsid w:val="009E2170"/>
    <w:rsid w:val="009E2628"/>
    <w:rsid w:val="009E2729"/>
    <w:rsid w:val="009E29EC"/>
    <w:rsid w:val="009E2E72"/>
    <w:rsid w:val="009E2FC5"/>
    <w:rsid w:val="009E343C"/>
    <w:rsid w:val="009E4190"/>
    <w:rsid w:val="009E4504"/>
    <w:rsid w:val="009E4F58"/>
    <w:rsid w:val="009E5242"/>
    <w:rsid w:val="009E71B8"/>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8AF"/>
    <w:rsid w:val="009F3D37"/>
    <w:rsid w:val="009F4DAB"/>
    <w:rsid w:val="009F580E"/>
    <w:rsid w:val="009F5C95"/>
    <w:rsid w:val="009F5F29"/>
    <w:rsid w:val="009F6428"/>
    <w:rsid w:val="009F64DC"/>
    <w:rsid w:val="00A0092D"/>
    <w:rsid w:val="00A00AB9"/>
    <w:rsid w:val="00A00FC6"/>
    <w:rsid w:val="00A014DF"/>
    <w:rsid w:val="00A018DB"/>
    <w:rsid w:val="00A018F9"/>
    <w:rsid w:val="00A01C8C"/>
    <w:rsid w:val="00A02A8E"/>
    <w:rsid w:val="00A02BE8"/>
    <w:rsid w:val="00A0304E"/>
    <w:rsid w:val="00A0323A"/>
    <w:rsid w:val="00A05E5D"/>
    <w:rsid w:val="00A068D1"/>
    <w:rsid w:val="00A0699D"/>
    <w:rsid w:val="00A069A8"/>
    <w:rsid w:val="00A079A4"/>
    <w:rsid w:val="00A1046C"/>
    <w:rsid w:val="00A11E5A"/>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AA"/>
    <w:rsid w:val="00A21ED8"/>
    <w:rsid w:val="00A22EA6"/>
    <w:rsid w:val="00A239BC"/>
    <w:rsid w:val="00A24167"/>
    <w:rsid w:val="00A25379"/>
    <w:rsid w:val="00A25895"/>
    <w:rsid w:val="00A26B14"/>
    <w:rsid w:val="00A27187"/>
    <w:rsid w:val="00A27B7B"/>
    <w:rsid w:val="00A3003D"/>
    <w:rsid w:val="00A30122"/>
    <w:rsid w:val="00A30FE4"/>
    <w:rsid w:val="00A31BFA"/>
    <w:rsid w:val="00A31F85"/>
    <w:rsid w:val="00A35A9D"/>
    <w:rsid w:val="00A36F15"/>
    <w:rsid w:val="00A371B5"/>
    <w:rsid w:val="00A40BC1"/>
    <w:rsid w:val="00A41377"/>
    <w:rsid w:val="00A413BE"/>
    <w:rsid w:val="00A428DD"/>
    <w:rsid w:val="00A43126"/>
    <w:rsid w:val="00A439BC"/>
    <w:rsid w:val="00A4464E"/>
    <w:rsid w:val="00A44AA1"/>
    <w:rsid w:val="00A44DE9"/>
    <w:rsid w:val="00A460E1"/>
    <w:rsid w:val="00A463D3"/>
    <w:rsid w:val="00A47580"/>
    <w:rsid w:val="00A479C4"/>
    <w:rsid w:val="00A50246"/>
    <w:rsid w:val="00A51691"/>
    <w:rsid w:val="00A51CAF"/>
    <w:rsid w:val="00A51EC8"/>
    <w:rsid w:val="00A52274"/>
    <w:rsid w:val="00A523F8"/>
    <w:rsid w:val="00A52DF0"/>
    <w:rsid w:val="00A52F64"/>
    <w:rsid w:val="00A53A47"/>
    <w:rsid w:val="00A548C5"/>
    <w:rsid w:val="00A54FBC"/>
    <w:rsid w:val="00A5509C"/>
    <w:rsid w:val="00A55649"/>
    <w:rsid w:val="00A557A7"/>
    <w:rsid w:val="00A56559"/>
    <w:rsid w:val="00A56B64"/>
    <w:rsid w:val="00A6114C"/>
    <w:rsid w:val="00A6230A"/>
    <w:rsid w:val="00A6310F"/>
    <w:rsid w:val="00A63741"/>
    <w:rsid w:val="00A63E2A"/>
    <w:rsid w:val="00A644A5"/>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A45"/>
    <w:rsid w:val="00A73EAD"/>
    <w:rsid w:val="00A740B1"/>
    <w:rsid w:val="00A74325"/>
    <w:rsid w:val="00A75949"/>
    <w:rsid w:val="00A76915"/>
    <w:rsid w:val="00A80991"/>
    <w:rsid w:val="00A8099A"/>
    <w:rsid w:val="00A8199B"/>
    <w:rsid w:val="00A82511"/>
    <w:rsid w:val="00A827F3"/>
    <w:rsid w:val="00A82A69"/>
    <w:rsid w:val="00A8379B"/>
    <w:rsid w:val="00A84A7A"/>
    <w:rsid w:val="00A8593C"/>
    <w:rsid w:val="00A863C1"/>
    <w:rsid w:val="00A8660E"/>
    <w:rsid w:val="00A879CC"/>
    <w:rsid w:val="00A9017C"/>
    <w:rsid w:val="00A90478"/>
    <w:rsid w:val="00A90540"/>
    <w:rsid w:val="00A90667"/>
    <w:rsid w:val="00A91319"/>
    <w:rsid w:val="00A913C6"/>
    <w:rsid w:val="00A914F9"/>
    <w:rsid w:val="00A9188B"/>
    <w:rsid w:val="00A92764"/>
    <w:rsid w:val="00A92AB8"/>
    <w:rsid w:val="00A92DE6"/>
    <w:rsid w:val="00A92E65"/>
    <w:rsid w:val="00A93164"/>
    <w:rsid w:val="00A93AA6"/>
    <w:rsid w:val="00A93E9A"/>
    <w:rsid w:val="00A95011"/>
    <w:rsid w:val="00A9575F"/>
    <w:rsid w:val="00A95783"/>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6AC"/>
    <w:rsid w:val="00AA3E65"/>
    <w:rsid w:val="00AA4691"/>
    <w:rsid w:val="00AA4DC0"/>
    <w:rsid w:val="00AA5779"/>
    <w:rsid w:val="00AA5C59"/>
    <w:rsid w:val="00AA5D8A"/>
    <w:rsid w:val="00AA673E"/>
    <w:rsid w:val="00AA69B7"/>
    <w:rsid w:val="00AA6EDE"/>
    <w:rsid w:val="00AA77AB"/>
    <w:rsid w:val="00AB180E"/>
    <w:rsid w:val="00AB1B9B"/>
    <w:rsid w:val="00AB1DEE"/>
    <w:rsid w:val="00AB211A"/>
    <w:rsid w:val="00AB37FE"/>
    <w:rsid w:val="00AB3B26"/>
    <w:rsid w:val="00AB4D98"/>
    <w:rsid w:val="00AB51DF"/>
    <w:rsid w:val="00AB54B2"/>
    <w:rsid w:val="00AB598D"/>
    <w:rsid w:val="00AB598E"/>
    <w:rsid w:val="00AB59EB"/>
    <w:rsid w:val="00AB62DA"/>
    <w:rsid w:val="00AB6EB2"/>
    <w:rsid w:val="00AB753D"/>
    <w:rsid w:val="00AB7EB3"/>
    <w:rsid w:val="00AC0359"/>
    <w:rsid w:val="00AC0DBD"/>
    <w:rsid w:val="00AC296D"/>
    <w:rsid w:val="00AC3E3F"/>
    <w:rsid w:val="00AC428D"/>
    <w:rsid w:val="00AC4547"/>
    <w:rsid w:val="00AC4609"/>
    <w:rsid w:val="00AC4636"/>
    <w:rsid w:val="00AC49A9"/>
    <w:rsid w:val="00AC4E14"/>
    <w:rsid w:val="00AC58AC"/>
    <w:rsid w:val="00AC58FF"/>
    <w:rsid w:val="00AC6194"/>
    <w:rsid w:val="00AC6547"/>
    <w:rsid w:val="00AC67E4"/>
    <w:rsid w:val="00AC68A0"/>
    <w:rsid w:val="00AC76EA"/>
    <w:rsid w:val="00AC7BC7"/>
    <w:rsid w:val="00AC7CAA"/>
    <w:rsid w:val="00AD028A"/>
    <w:rsid w:val="00AD1019"/>
    <w:rsid w:val="00AD13F3"/>
    <w:rsid w:val="00AD1AEF"/>
    <w:rsid w:val="00AD1C51"/>
    <w:rsid w:val="00AD1CB2"/>
    <w:rsid w:val="00AD262A"/>
    <w:rsid w:val="00AD2BA6"/>
    <w:rsid w:val="00AD380D"/>
    <w:rsid w:val="00AD38D9"/>
    <w:rsid w:val="00AD39BA"/>
    <w:rsid w:val="00AD3D04"/>
    <w:rsid w:val="00AD4FCA"/>
    <w:rsid w:val="00AD57B5"/>
    <w:rsid w:val="00AD6429"/>
    <w:rsid w:val="00AD6A86"/>
    <w:rsid w:val="00AD7241"/>
    <w:rsid w:val="00AE0583"/>
    <w:rsid w:val="00AE1C4C"/>
    <w:rsid w:val="00AE1E4E"/>
    <w:rsid w:val="00AE2012"/>
    <w:rsid w:val="00AE387A"/>
    <w:rsid w:val="00AE3E83"/>
    <w:rsid w:val="00AE473B"/>
    <w:rsid w:val="00AE547B"/>
    <w:rsid w:val="00AE5987"/>
    <w:rsid w:val="00AE5ABB"/>
    <w:rsid w:val="00AE5B9F"/>
    <w:rsid w:val="00AE5F94"/>
    <w:rsid w:val="00AE627E"/>
    <w:rsid w:val="00AE67E3"/>
    <w:rsid w:val="00AE6B27"/>
    <w:rsid w:val="00AE6B76"/>
    <w:rsid w:val="00AE712D"/>
    <w:rsid w:val="00AE7B89"/>
    <w:rsid w:val="00AF0C95"/>
    <w:rsid w:val="00AF1D04"/>
    <w:rsid w:val="00AF21F0"/>
    <w:rsid w:val="00AF2CFE"/>
    <w:rsid w:val="00AF2F84"/>
    <w:rsid w:val="00AF31C6"/>
    <w:rsid w:val="00AF3B28"/>
    <w:rsid w:val="00AF4BB2"/>
    <w:rsid w:val="00AF4D00"/>
    <w:rsid w:val="00AF7C38"/>
    <w:rsid w:val="00B00474"/>
    <w:rsid w:val="00B00878"/>
    <w:rsid w:val="00B0276C"/>
    <w:rsid w:val="00B0286F"/>
    <w:rsid w:val="00B030C8"/>
    <w:rsid w:val="00B043D6"/>
    <w:rsid w:val="00B050C4"/>
    <w:rsid w:val="00B05327"/>
    <w:rsid w:val="00B05B8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1DD"/>
    <w:rsid w:val="00B12DE1"/>
    <w:rsid w:val="00B12E08"/>
    <w:rsid w:val="00B130FD"/>
    <w:rsid w:val="00B13320"/>
    <w:rsid w:val="00B13D0A"/>
    <w:rsid w:val="00B13D36"/>
    <w:rsid w:val="00B1464A"/>
    <w:rsid w:val="00B1480F"/>
    <w:rsid w:val="00B14D75"/>
    <w:rsid w:val="00B15605"/>
    <w:rsid w:val="00B160CB"/>
    <w:rsid w:val="00B165D6"/>
    <w:rsid w:val="00B172F9"/>
    <w:rsid w:val="00B174F2"/>
    <w:rsid w:val="00B20507"/>
    <w:rsid w:val="00B21049"/>
    <w:rsid w:val="00B2219E"/>
    <w:rsid w:val="00B2285D"/>
    <w:rsid w:val="00B22929"/>
    <w:rsid w:val="00B237F8"/>
    <w:rsid w:val="00B243C7"/>
    <w:rsid w:val="00B245CD"/>
    <w:rsid w:val="00B25E04"/>
    <w:rsid w:val="00B26986"/>
    <w:rsid w:val="00B26A10"/>
    <w:rsid w:val="00B278EC"/>
    <w:rsid w:val="00B30AF1"/>
    <w:rsid w:val="00B30C3B"/>
    <w:rsid w:val="00B3356E"/>
    <w:rsid w:val="00B3392D"/>
    <w:rsid w:val="00B33F95"/>
    <w:rsid w:val="00B353A7"/>
    <w:rsid w:val="00B35C04"/>
    <w:rsid w:val="00B35CE3"/>
    <w:rsid w:val="00B367CB"/>
    <w:rsid w:val="00B3765C"/>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903"/>
    <w:rsid w:val="00B47EDD"/>
    <w:rsid w:val="00B5059C"/>
    <w:rsid w:val="00B50AB6"/>
    <w:rsid w:val="00B50C14"/>
    <w:rsid w:val="00B51222"/>
    <w:rsid w:val="00B514C6"/>
    <w:rsid w:val="00B51761"/>
    <w:rsid w:val="00B51829"/>
    <w:rsid w:val="00B51968"/>
    <w:rsid w:val="00B52936"/>
    <w:rsid w:val="00B529B9"/>
    <w:rsid w:val="00B52D6D"/>
    <w:rsid w:val="00B52F79"/>
    <w:rsid w:val="00B54E91"/>
    <w:rsid w:val="00B55203"/>
    <w:rsid w:val="00B55C79"/>
    <w:rsid w:val="00B56002"/>
    <w:rsid w:val="00B56681"/>
    <w:rsid w:val="00B570C1"/>
    <w:rsid w:val="00B572E8"/>
    <w:rsid w:val="00B57514"/>
    <w:rsid w:val="00B57CE4"/>
    <w:rsid w:val="00B6077E"/>
    <w:rsid w:val="00B616D3"/>
    <w:rsid w:val="00B6296B"/>
    <w:rsid w:val="00B634DD"/>
    <w:rsid w:val="00B638B6"/>
    <w:rsid w:val="00B6458A"/>
    <w:rsid w:val="00B650F8"/>
    <w:rsid w:val="00B658C4"/>
    <w:rsid w:val="00B662F5"/>
    <w:rsid w:val="00B66841"/>
    <w:rsid w:val="00B670B3"/>
    <w:rsid w:val="00B671C2"/>
    <w:rsid w:val="00B67321"/>
    <w:rsid w:val="00B7022A"/>
    <w:rsid w:val="00B70706"/>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85F0B"/>
    <w:rsid w:val="00B8653F"/>
    <w:rsid w:val="00B90C3E"/>
    <w:rsid w:val="00B90E79"/>
    <w:rsid w:val="00B914C7"/>
    <w:rsid w:val="00B9160E"/>
    <w:rsid w:val="00B9248D"/>
    <w:rsid w:val="00B92AC7"/>
    <w:rsid w:val="00B947EE"/>
    <w:rsid w:val="00B95615"/>
    <w:rsid w:val="00B96064"/>
    <w:rsid w:val="00B96F64"/>
    <w:rsid w:val="00B972EE"/>
    <w:rsid w:val="00B97379"/>
    <w:rsid w:val="00B97A74"/>
    <w:rsid w:val="00BA051B"/>
    <w:rsid w:val="00BA08DC"/>
    <w:rsid w:val="00BA0B98"/>
    <w:rsid w:val="00BA18EC"/>
    <w:rsid w:val="00BA26BF"/>
    <w:rsid w:val="00BA2C23"/>
    <w:rsid w:val="00BA3299"/>
    <w:rsid w:val="00BA358D"/>
    <w:rsid w:val="00BA4104"/>
    <w:rsid w:val="00BA482A"/>
    <w:rsid w:val="00BA4CF3"/>
    <w:rsid w:val="00BA5F0A"/>
    <w:rsid w:val="00BA6595"/>
    <w:rsid w:val="00BA6B90"/>
    <w:rsid w:val="00BA6DE9"/>
    <w:rsid w:val="00BA74E6"/>
    <w:rsid w:val="00BA76BF"/>
    <w:rsid w:val="00BA797C"/>
    <w:rsid w:val="00BA7C7A"/>
    <w:rsid w:val="00BB04B9"/>
    <w:rsid w:val="00BB0D0A"/>
    <w:rsid w:val="00BB0DD3"/>
    <w:rsid w:val="00BB143A"/>
    <w:rsid w:val="00BB1479"/>
    <w:rsid w:val="00BB162C"/>
    <w:rsid w:val="00BB3047"/>
    <w:rsid w:val="00BB4C24"/>
    <w:rsid w:val="00BB4C95"/>
    <w:rsid w:val="00BB58FC"/>
    <w:rsid w:val="00BB6D1C"/>
    <w:rsid w:val="00BB6D74"/>
    <w:rsid w:val="00BC0FC9"/>
    <w:rsid w:val="00BC4504"/>
    <w:rsid w:val="00BC54FE"/>
    <w:rsid w:val="00BC6C3B"/>
    <w:rsid w:val="00BC6F81"/>
    <w:rsid w:val="00BC7E86"/>
    <w:rsid w:val="00BD0182"/>
    <w:rsid w:val="00BD01FC"/>
    <w:rsid w:val="00BD0E50"/>
    <w:rsid w:val="00BD1505"/>
    <w:rsid w:val="00BD178B"/>
    <w:rsid w:val="00BD296C"/>
    <w:rsid w:val="00BD2B58"/>
    <w:rsid w:val="00BD3044"/>
    <w:rsid w:val="00BD38C5"/>
    <w:rsid w:val="00BD436E"/>
    <w:rsid w:val="00BD43BF"/>
    <w:rsid w:val="00BD675C"/>
    <w:rsid w:val="00BD6C42"/>
    <w:rsid w:val="00BD704C"/>
    <w:rsid w:val="00BD71E6"/>
    <w:rsid w:val="00BE03E9"/>
    <w:rsid w:val="00BE0988"/>
    <w:rsid w:val="00BE110D"/>
    <w:rsid w:val="00BE237A"/>
    <w:rsid w:val="00BE37E0"/>
    <w:rsid w:val="00BE3F2F"/>
    <w:rsid w:val="00BE475F"/>
    <w:rsid w:val="00BE531E"/>
    <w:rsid w:val="00BE5EA7"/>
    <w:rsid w:val="00BE630D"/>
    <w:rsid w:val="00BE6D46"/>
    <w:rsid w:val="00BE6D7B"/>
    <w:rsid w:val="00BF044F"/>
    <w:rsid w:val="00BF071E"/>
    <w:rsid w:val="00BF1F74"/>
    <w:rsid w:val="00BF3588"/>
    <w:rsid w:val="00BF3CC5"/>
    <w:rsid w:val="00BF42A4"/>
    <w:rsid w:val="00BF5C04"/>
    <w:rsid w:val="00BF6CCE"/>
    <w:rsid w:val="00BF7116"/>
    <w:rsid w:val="00BF7CA8"/>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3C90"/>
    <w:rsid w:val="00C243CF"/>
    <w:rsid w:val="00C244FC"/>
    <w:rsid w:val="00C24A39"/>
    <w:rsid w:val="00C257A6"/>
    <w:rsid w:val="00C257E1"/>
    <w:rsid w:val="00C25ABF"/>
    <w:rsid w:val="00C3070D"/>
    <w:rsid w:val="00C308C8"/>
    <w:rsid w:val="00C31D0F"/>
    <w:rsid w:val="00C320E7"/>
    <w:rsid w:val="00C34355"/>
    <w:rsid w:val="00C353BF"/>
    <w:rsid w:val="00C35EE4"/>
    <w:rsid w:val="00C4085B"/>
    <w:rsid w:val="00C409CD"/>
    <w:rsid w:val="00C41220"/>
    <w:rsid w:val="00C413F4"/>
    <w:rsid w:val="00C41706"/>
    <w:rsid w:val="00C43668"/>
    <w:rsid w:val="00C43CDD"/>
    <w:rsid w:val="00C443B1"/>
    <w:rsid w:val="00C45109"/>
    <w:rsid w:val="00C45621"/>
    <w:rsid w:val="00C4624B"/>
    <w:rsid w:val="00C46382"/>
    <w:rsid w:val="00C46854"/>
    <w:rsid w:val="00C47F61"/>
    <w:rsid w:val="00C47FB9"/>
    <w:rsid w:val="00C5074B"/>
    <w:rsid w:val="00C508EA"/>
    <w:rsid w:val="00C50F58"/>
    <w:rsid w:val="00C51E75"/>
    <w:rsid w:val="00C524A1"/>
    <w:rsid w:val="00C52CB1"/>
    <w:rsid w:val="00C54AF8"/>
    <w:rsid w:val="00C564D6"/>
    <w:rsid w:val="00C57862"/>
    <w:rsid w:val="00C5799C"/>
    <w:rsid w:val="00C60040"/>
    <w:rsid w:val="00C6028A"/>
    <w:rsid w:val="00C61068"/>
    <w:rsid w:val="00C61174"/>
    <w:rsid w:val="00C61467"/>
    <w:rsid w:val="00C62529"/>
    <w:rsid w:val="00C63553"/>
    <w:rsid w:val="00C64599"/>
    <w:rsid w:val="00C64FB4"/>
    <w:rsid w:val="00C654B2"/>
    <w:rsid w:val="00C658F0"/>
    <w:rsid w:val="00C65C4E"/>
    <w:rsid w:val="00C663C1"/>
    <w:rsid w:val="00C66A56"/>
    <w:rsid w:val="00C66B15"/>
    <w:rsid w:val="00C709C7"/>
    <w:rsid w:val="00C7227D"/>
    <w:rsid w:val="00C72405"/>
    <w:rsid w:val="00C73D25"/>
    <w:rsid w:val="00C755DA"/>
    <w:rsid w:val="00C7701F"/>
    <w:rsid w:val="00C80CDA"/>
    <w:rsid w:val="00C8105B"/>
    <w:rsid w:val="00C81E8F"/>
    <w:rsid w:val="00C8274E"/>
    <w:rsid w:val="00C82866"/>
    <w:rsid w:val="00C830F4"/>
    <w:rsid w:val="00C83C29"/>
    <w:rsid w:val="00C83EC4"/>
    <w:rsid w:val="00C84EB4"/>
    <w:rsid w:val="00C85E9F"/>
    <w:rsid w:val="00C86438"/>
    <w:rsid w:val="00C86D14"/>
    <w:rsid w:val="00C86E09"/>
    <w:rsid w:val="00C86FBB"/>
    <w:rsid w:val="00C873AE"/>
    <w:rsid w:val="00C90B47"/>
    <w:rsid w:val="00C9124C"/>
    <w:rsid w:val="00C92423"/>
    <w:rsid w:val="00C92E91"/>
    <w:rsid w:val="00C95789"/>
    <w:rsid w:val="00C95D08"/>
    <w:rsid w:val="00C96091"/>
    <w:rsid w:val="00C969A5"/>
    <w:rsid w:val="00C96B43"/>
    <w:rsid w:val="00C97642"/>
    <w:rsid w:val="00C97EE5"/>
    <w:rsid w:val="00CA02EF"/>
    <w:rsid w:val="00CA07ED"/>
    <w:rsid w:val="00CA1595"/>
    <w:rsid w:val="00CA1A7A"/>
    <w:rsid w:val="00CA2809"/>
    <w:rsid w:val="00CA2E35"/>
    <w:rsid w:val="00CA39BF"/>
    <w:rsid w:val="00CA3AD1"/>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567"/>
    <w:rsid w:val="00CD183A"/>
    <w:rsid w:val="00CD1B85"/>
    <w:rsid w:val="00CD2727"/>
    <w:rsid w:val="00CD293F"/>
    <w:rsid w:val="00CD3559"/>
    <w:rsid w:val="00CD3FC9"/>
    <w:rsid w:val="00CD632A"/>
    <w:rsid w:val="00CD63F0"/>
    <w:rsid w:val="00CD7551"/>
    <w:rsid w:val="00CE0511"/>
    <w:rsid w:val="00CE0A90"/>
    <w:rsid w:val="00CE1025"/>
    <w:rsid w:val="00CE172B"/>
    <w:rsid w:val="00CE1CCD"/>
    <w:rsid w:val="00CE28D6"/>
    <w:rsid w:val="00CE2FA5"/>
    <w:rsid w:val="00CE3019"/>
    <w:rsid w:val="00CE30E3"/>
    <w:rsid w:val="00CE312E"/>
    <w:rsid w:val="00CE3522"/>
    <w:rsid w:val="00CE3D12"/>
    <w:rsid w:val="00CE3D6F"/>
    <w:rsid w:val="00CE3E1D"/>
    <w:rsid w:val="00CE3E46"/>
    <w:rsid w:val="00CE4847"/>
    <w:rsid w:val="00CE5877"/>
    <w:rsid w:val="00CE7203"/>
    <w:rsid w:val="00CE7948"/>
    <w:rsid w:val="00CF0094"/>
    <w:rsid w:val="00CF2005"/>
    <w:rsid w:val="00CF20CC"/>
    <w:rsid w:val="00CF31C2"/>
    <w:rsid w:val="00CF3645"/>
    <w:rsid w:val="00CF3951"/>
    <w:rsid w:val="00CF3EF0"/>
    <w:rsid w:val="00CF3FF4"/>
    <w:rsid w:val="00CF455A"/>
    <w:rsid w:val="00CF68E5"/>
    <w:rsid w:val="00CF6A48"/>
    <w:rsid w:val="00CF7D0D"/>
    <w:rsid w:val="00CF7D0F"/>
    <w:rsid w:val="00D00580"/>
    <w:rsid w:val="00D005FD"/>
    <w:rsid w:val="00D015BA"/>
    <w:rsid w:val="00D01782"/>
    <w:rsid w:val="00D02C6D"/>
    <w:rsid w:val="00D02D97"/>
    <w:rsid w:val="00D03561"/>
    <w:rsid w:val="00D03764"/>
    <w:rsid w:val="00D03998"/>
    <w:rsid w:val="00D0513D"/>
    <w:rsid w:val="00D05191"/>
    <w:rsid w:val="00D074AE"/>
    <w:rsid w:val="00D0792B"/>
    <w:rsid w:val="00D10410"/>
    <w:rsid w:val="00D10817"/>
    <w:rsid w:val="00D108DB"/>
    <w:rsid w:val="00D114FE"/>
    <w:rsid w:val="00D119AC"/>
    <w:rsid w:val="00D11AF0"/>
    <w:rsid w:val="00D12832"/>
    <w:rsid w:val="00D13727"/>
    <w:rsid w:val="00D147D7"/>
    <w:rsid w:val="00D15224"/>
    <w:rsid w:val="00D17D22"/>
    <w:rsid w:val="00D20DDF"/>
    <w:rsid w:val="00D21745"/>
    <w:rsid w:val="00D228C5"/>
    <w:rsid w:val="00D228EE"/>
    <w:rsid w:val="00D239F9"/>
    <w:rsid w:val="00D2438E"/>
    <w:rsid w:val="00D255A3"/>
    <w:rsid w:val="00D25F82"/>
    <w:rsid w:val="00D27368"/>
    <w:rsid w:val="00D3096D"/>
    <w:rsid w:val="00D3198F"/>
    <w:rsid w:val="00D31CB3"/>
    <w:rsid w:val="00D3342D"/>
    <w:rsid w:val="00D3355B"/>
    <w:rsid w:val="00D33781"/>
    <w:rsid w:val="00D33C49"/>
    <w:rsid w:val="00D33D8A"/>
    <w:rsid w:val="00D343EC"/>
    <w:rsid w:val="00D35654"/>
    <w:rsid w:val="00D3573F"/>
    <w:rsid w:val="00D36781"/>
    <w:rsid w:val="00D36866"/>
    <w:rsid w:val="00D37257"/>
    <w:rsid w:val="00D373E5"/>
    <w:rsid w:val="00D37527"/>
    <w:rsid w:val="00D3772C"/>
    <w:rsid w:val="00D40268"/>
    <w:rsid w:val="00D40382"/>
    <w:rsid w:val="00D40B22"/>
    <w:rsid w:val="00D40DD4"/>
    <w:rsid w:val="00D4121F"/>
    <w:rsid w:val="00D41CF8"/>
    <w:rsid w:val="00D42A82"/>
    <w:rsid w:val="00D4381E"/>
    <w:rsid w:val="00D43BAD"/>
    <w:rsid w:val="00D452E5"/>
    <w:rsid w:val="00D45FC0"/>
    <w:rsid w:val="00D46617"/>
    <w:rsid w:val="00D4689F"/>
    <w:rsid w:val="00D46996"/>
    <w:rsid w:val="00D46ECB"/>
    <w:rsid w:val="00D47438"/>
    <w:rsid w:val="00D47996"/>
    <w:rsid w:val="00D47B16"/>
    <w:rsid w:val="00D47D8C"/>
    <w:rsid w:val="00D50466"/>
    <w:rsid w:val="00D527BD"/>
    <w:rsid w:val="00D5367E"/>
    <w:rsid w:val="00D5428E"/>
    <w:rsid w:val="00D54395"/>
    <w:rsid w:val="00D546FF"/>
    <w:rsid w:val="00D54DF6"/>
    <w:rsid w:val="00D5644A"/>
    <w:rsid w:val="00D56955"/>
    <w:rsid w:val="00D56993"/>
    <w:rsid w:val="00D5717C"/>
    <w:rsid w:val="00D5730E"/>
    <w:rsid w:val="00D57418"/>
    <w:rsid w:val="00D575ED"/>
    <w:rsid w:val="00D57DA6"/>
    <w:rsid w:val="00D6123D"/>
    <w:rsid w:val="00D6153D"/>
    <w:rsid w:val="00D615BB"/>
    <w:rsid w:val="00D61C87"/>
    <w:rsid w:val="00D61CAC"/>
    <w:rsid w:val="00D62DB8"/>
    <w:rsid w:val="00D631C3"/>
    <w:rsid w:val="00D63803"/>
    <w:rsid w:val="00D63A85"/>
    <w:rsid w:val="00D63A93"/>
    <w:rsid w:val="00D6487C"/>
    <w:rsid w:val="00D64BAB"/>
    <w:rsid w:val="00D6685C"/>
    <w:rsid w:val="00D70430"/>
    <w:rsid w:val="00D707E1"/>
    <w:rsid w:val="00D714D0"/>
    <w:rsid w:val="00D7180F"/>
    <w:rsid w:val="00D719EC"/>
    <w:rsid w:val="00D71DD0"/>
    <w:rsid w:val="00D7309D"/>
    <w:rsid w:val="00D7311C"/>
    <w:rsid w:val="00D7331D"/>
    <w:rsid w:val="00D73FED"/>
    <w:rsid w:val="00D74906"/>
    <w:rsid w:val="00D74C73"/>
    <w:rsid w:val="00D74F71"/>
    <w:rsid w:val="00D75313"/>
    <w:rsid w:val="00D762C2"/>
    <w:rsid w:val="00D770B2"/>
    <w:rsid w:val="00D77E06"/>
    <w:rsid w:val="00D80113"/>
    <w:rsid w:val="00D80DC8"/>
    <w:rsid w:val="00D814E6"/>
    <w:rsid w:val="00D81C35"/>
    <w:rsid w:val="00D81DDF"/>
    <w:rsid w:val="00D824AE"/>
    <w:rsid w:val="00D82742"/>
    <w:rsid w:val="00D82986"/>
    <w:rsid w:val="00D82A10"/>
    <w:rsid w:val="00D82BD3"/>
    <w:rsid w:val="00D8333F"/>
    <w:rsid w:val="00D83408"/>
    <w:rsid w:val="00D83AE7"/>
    <w:rsid w:val="00D84096"/>
    <w:rsid w:val="00D84D68"/>
    <w:rsid w:val="00D864F9"/>
    <w:rsid w:val="00D86A15"/>
    <w:rsid w:val="00D86B3D"/>
    <w:rsid w:val="00D86FC5"/>
    <w:rsid w:val="00D87793"/>
    <w:rsid w:val="00D9086E"/>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CB6"/>
    <w:rsid w:val="00DA1E5D"/>
    <w:rsid w:val="00DA35D6"/>
    <w:rsid w:val="00DA3862"/>
    <w:rsid w:val="00DA4F09"/>
    <w:rsid w:val="00DA52E3"/>
    <w:rsid w:val="00DA5A48"/>
    <w:rsid w:val="00DA5AB2"/>
    <w:rsid w:val="00DA607F"/>
    <w:rsid w:val="00DA6850"/>
    <w:rsid w:val="00DA6C5B"/>
    <w:rsid w:val="00DB1106"/>
    <w:rsid w:val="00DB12CA"/>
    <w:rsid w:val="00DB19C5"/>
    <w:rsid w:val="00DB1D55"/>
    <w:rsid w:val="00DB212F"/>
    <w:rsid w:val="00DB348A"/>
    <w:rsid w:val="00DB48E2"/>
    <w:rsid w:val="00DB4D24"/>
    <w:rsid w:val="00DB514B"/>
    <w:rsid w:val="00DB54AF"/>
    <w:rsid w:val="00DB553B"/>
    <w:rsid w:val="00DB6C5A"/>
    <w:rsid w:val="00DB7611"/>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1C36"/>
    <w:rsid w:val="00DD29E9"/>
    <w:rsid w:val="00DD31F3"/>
    <w:rsid w:val="00DD3938"/>
    <w:rsid w:val="00DD3AE5"/>
    <w:rsid w:val="00DD5506"/>
    <w:rsid w:val="00DD5587"/>
    <w:rsid w:val="00DD5D7C"/>
    <w:rsid w:val="00DD733B"/>
    <w:rsid w:val="00DD7E98"/>
    <w:rsid w:val="00DD7F36"/>
    <w:rsid w:val="00DD7F4E"/>
    <w:rsid w:val="00DE0589"/>
    <w:rsid w:val="00DE1685"/>
    <w:rsid w:val="00DE1AE0"/>
    <w:rsid w:val="00DE1C0C"/>
    <w:rsid w:val="00DE1F98"/>
    <w:rsid w:val="00DE3984"/>
    <w:rsid w:val="00DE3B4A"/>
    <w:rsid w:val="00DE3C4A"/>
    <w:rsid w:val="00DE3ECA"/>
    <w:rsid w:val="00DE4168"/>
    <w:rsid w:val="00DE447F"/>
    <w:rsid w:val="00DE575A"/>
    <w:rsid w:val="00DE5E8E"/>
    <w:rsid w:val="00DE63CA"/>
    <w:rsid w:val="00DE7757"/>
    <w:rsid w:val="00DE7947"/>
    <w:rsid w:val="00DF009A"/>
    <w:rsid w:val="00DF0608"/>
    <w:rsid w:val="00DF090C"/>
    <w:rsid w:val="00DF0A38"/>
    <w:rsid w:val="00DF0FE3"/>
    <w:rsid w:val="00DF13A8"/>
    <w:rsid w:val="00DF1DBA"/>
    <w:rsid w:val="00DF21D0"/>
    <w:rsid w:val="00DF34C1"/>
    <w:rsid w:val="00DF4141"/>
    <w:rsid w:val="00DF41D1"/>
    <w:rsid w:val="00DF6172"/>
    <w:rsid w:val="00DF77EF"/>
    <w:rsid w:val="00DF7D2F"/>
    <w:rsid w:val="00E00145"/>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6EA7"/>
    <w:rsid w:val="00E077B7"/>
    <w:rsid w:val="00E10234"/>
    <w:rsid w:val="00E10A13"/>
    <w:rsid w:val="00E11DD7"/>
    <w:rsid w:val="00E11F05"/>
    <w:rsid w:val="00E12809"/>
    <w:rsid w:val="00E12EE0"/>
    <w:rsid w:val="00E12F4E"/>
    <w:rsid w:val="00E12FFB"/>
    <w:rsid w:val="00E13798"/>
    <w:rsid w:val="00E138C6"/>
    <w:rsid w:val="00E13CEF"/>
    <w:rsid w:val="00E14358"/>
    <w:rsid w:val="00E147E6"/>
    <w:rsid w:val="00E14804"/>
    <w:rsid w:val="00E15AE5"/>
    <w:rsid w:val="00E16003"/>
    <w:rsid w:val="00E167E6"/>
    <w:rsid w:val="00E170B7"/>
    <w:rsid w:val="00E1723C"/>
    <w:rsid w:val="00E1774A"/>
    <w:rsid w:val="00E2018D"/>
    <w:rsid w:val="00E205EB"/>
    <w:rsid w:val="00E2089B"/>
    <w:rsid w:val="00E21918"/>
    <w:rsid w:val="00E21F2E"/>
    <w:rsid w:val="00E220A2"/>
    <w:rsid w:val="00E23066"/>
    <w:rsid w:val="00E250CE"/>
    <w:rsid w:val="00E25CAE"/>
    <w:rsid w:val="00E26BCB"/>
    <w:rsid w:val="00E270D3"/>
    <w:rsid w:val="00E27274"/>
    <w:rsid w:val="00E2744B"/>
    <w:rsid w:val="00E27572"/>
    <w:rsid w:val="00E27A76"/>
    <w:rsid w:val="00E27F7E"/>
    <w:rsid w:val="00E3002F"/>
    <w:rsid w:val="00E306E0"/>
    <w:rsid w:val="00E309D7"/>
    <w:rsid w:val="00E30DEE"/>
    <w:rsid w:val="00E317B9"/>
    <w:rsid w:val="00E31F1E"/>
    <w:rsid w:val="00E321AA"/>
    <w:rsid w:val="00E32B95"/>
    <w:rsid w:val="00E3316F"/>
    <w:rsid w:val="00E335E0"/>
    <w:rsid w:val="00E33AFB"/>
    <w:rsid w:val="00E343D4"/>
    <w:rsid w:val="00E358D2"/>
    <w:rsid w:val="00E36E76"/>
    <w:rsid w:val="00E3779D"/>
    <w:rsid w:val="00E40305"/>
    <w:rsid w:val="00E40973"/>
    <w:rsid w:val="00E40ADE"/>
    <w:rsid w:val="00E40F44"/>
    <w:rsid w:val="00E41D67"/>
    <w:rsid w:val="00E43F01"/>
    <w:rsid w:val="00E46189"/>
    <w:rsid w:val="00E46878"/>
    <w:rsid w:val="00E46C28"/>
    <w:rsid w:val="00E50BA5"/>
    <w:rsid w:val="00E5284F"/>
    <w:rsid w:val="00E53108"/>
    <w:rsid w:val="00E53841"/>
    <w:rsid w:val="00E539EA"/>
    <w:rsid w:val="00E53BBE"/>
    <w:rsid w:val="00E54965"/>
    <w:rsid w:val="00E549F2"/>
    <w:rsid w:val="00E54EB6"/>
    <w:rsid w:val="00E5529E"/>
    <w:rsid w:val="00E56791"/>
    <w:rsid w:val="00E56EA4"/>
    <w:rsid w:val="00E57291"/>
    <w:rsid w:val="00E61369"/>
    <w:rsid w:val="00E6240F"/>
    <w:rsid w:val="00E62CC8"/>
    <w:rsid w:val="00E64F58"/>
    <w:rsid w:val="00E657A9"/>
    <w:rsid w:val="00E665E9"/>
    <w:rsid w:val="00E66603"/>
    <w:rsid w:val="00E66DCA"/>
    <w:rsid w:val="00E67056"/>
    <w:rsid w:val="00E677DE"/>
    <w:rsid w:val="00E67E7C"/>
    <w:rsid w:val="00E710A4"/>
    <w:rsid w:val="00E721AF"/>
    <w:rsid w:val="00E72DE0"/>
    <w:rsid w:val="00E7492C"/>
    <w:rsid w:val="00E74E55"/>
    <w:rsid w:val="00E76C73"/>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3DAD"/>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9F5"/>
    <w:rsid w:val="00EB5C46"/>
    <w:rsid w:val="00EB5E88"/>
    <w:rsid w:val="00EB6CAF"/>
    <w:rsid w:val="00EB7BDE"/>
    <w:rsid w:val="00EB7C40"/>
    <w:rsid w:val="00EB7D56"/>
    <w:rsid w:val="00EB7D7A"/>
    <w:rsid w:val="00EC0238"/>
    <w:rsid w:val="00EC106E"/>
    <w:rsid w:val="00EC38E4"/>
    <w:rsid w:val="00EC411D"/>
    <w:rsid w:val="00EC42A5"/>
    <w:rsid w:val="00EC4B5F"/>
    <w:rsid w:val="00EC6320"/>
    <w:rsid w:val="00EC6340"/>
    <w:rsid w:val="00EC6FC1"/>
    <w:rsid w:val="00ED00B0"/>
    <w:rsid w:val="00ED01F1"/>
    <w:rsid w:val="00ED07DF"/>
    <w:rsid w:val="00ED091A"/>
    <w:rsid w:val="00ED0E81"/>
    <w:rsid w:val="00ED1385"/>
    <w:rsid w:val="00ED15C2"/>
    <w:rsid w:val="00ED2CB6"/>
    <w:rsid w:val="00ED347F"/>
    <w:rsid w:val="00ED37A2"/>
    <w:rsid w:val="00ED4067"/>
    <w:rsid w:val="00ED4BB5"/>
    <w:rsid w:val="00ED5E40"/>
    <w:rsid w:val="00ED6E15"/>
    <w:rsid w:val="00ED7639"/>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7CC"/>
    <w:rsid w:val="00EE7D3F"/>
    <w:rsid w:val="00EF020B"/>
    <w:rsid w:val="00EF2B60"/>
    <w:rsid w:val="00EF2C79"/>
    <w:rsid w:val="00EF3241"/>
    <w:rsid w:val="00EF41CD"/>
    <w:rsid w:val="00EF524B"/>
    <w:rsid w:val="00EF58D8"/>
    <w:rsid w:val="00EF6212"/>
    <w:rsid w:val="00F00459"/>
    <w:rsid w:val="00F00FDE"/>
    <w:rsid w:val="00F01D75"/>
    <w:rsid w:val="00F0213D"/>
    <w:rsid w:val="00F03432"/>
    <w:rsid w:val="00F03DA1"/>
    <w:rsid w:val="00F03DBB"/>
    <w:rsid w:val="00F03FDB"/>
    <w:rsid w:val="00F047CB"/>
    <w:rsid w:val="00F04852"/>
    <w:rsid w:val="00F052AC"/>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5CD2"/>
    <w:rsid w:val="00F16057"/>
    <w:rsid w:val="00F17776"/>
    <w:rsid w:val="00F17B6C"/>
    <w:rsid w:val="00F209E9"/>
    <w:rsid w:val="00F20BD8"/>
    <w:rsid w:val="00F20EBB"/>
    <w:rsid w:val="00F2229D"/>
    <w:rsid w:val="00F22B38"/>
    <w:rsid w:val="00F22C95"/>
    <w:rsid w:val="00F23538"/>
    <w:rsid w:val="00F2356D"/>
    <w:rsid w:val="00F24631"/>
    <w:rsid w:val="00F2504F"/>
    <w:rsid w:val="00F2553B"/>
    <w:rsid w:val="00F25B9A"/>
    <w:rsid w:val="00F268B5"/>
    <w:rsid w:val="00F27446"/>
    <w:rsid w:val="00F30688"/>
    <w:rsid w:val="00F30756"/>
    <w:rsid w:val="00F308C8"/>
    <w:rsid w:val="00F30D7F"/>
    <w:rsid w:val="00F313AE"/>
    <w:rsid w:val="00F314F5"/>
    <w:rsid w:val="00F32AFF"/>
    <w:rsid w:val="00F32B41"/>
    <w:rsid w:val="00F33AD2"/>
    <w:rsid w:val="00F340BA"/>
    <w:rsid w:val="00F34506"/>
    <w:rsid w:val="00F34FA4"/>
    <w:rsid w:val="00F3514E"/>
    <w:rsid w:val="00F3577A"/>
    <w:rsid w:val="00F3666B"/>
    <w:rsid w:val="00F36A56"/>
    <w:rsid w:val="00F3702E"/>
    <w:rsid w:val="00F379A8"/>
    <w:rsid w:val="00F404B0"/>
    <w:rsid w:val="00F40685"/>
    <w:rsid w:val="00F40C61"/>
    <w:rsid w:val="00F413CE"/>
    <w:rsid w:val="00F42536"/>
    <w:rsid w:val="00F42F16"/>
    <w:rsid w:val="00F43906"/>
    <w:rsid w:val="00F44A9E"/>
    <w:rsid w:val="00F44AFB"/>
    <w:rsid w:val="00F46152"/>
    <w:rsid w:val="00F46AFB"/>
    <w:rsid w:val="00F46BF5"/>
    <w:rsid w:val="00F47170"/>
    <w:rsid w:val="00F47BD3"/>
    <w:rsid w:val="00F47FF3"/>
    <w:rsid w:val="00F50B37"/>
    <w:rsid w:val="00F514E1"/>
    <w:rsid w:val="00F521FE"/>
    <w:rsid w:val="00F52D85"/>
    <w:rsid w:val="00F52E56"/>
    <w:rsid w:val="00F535ED"/>
    <w:rsid w:val="00F5471B"/>
    <w:rsid w:val="00F55B59"/>
    <w:rsid w:val="00F566D4"/>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123"/>
    <w:rsid w:val="00F72A6B"/>
    <w:rsid w:val="00F73DC1"/>
    <w:rsid w:val="00F744C3"/>
    <w:rsid w:val="00F75043"/>
    <w:rsid w:val="00F7554E"/>
    <w:rsid w:val="00F76CF7"/>
    <w:rsid w:val="00F77502"/>
    <w:rsid w:val="00F77CE9"/>
    <w:rsid w:val="00F80159"/>
    <w:rsid w:val="00F8029A"/>
    <w:rsid w:val="00F80A42"/>
    <w:rsid w:val="00F829DA"/>
    <w:rsid w:val="00F8432A"/>
    <w:rsid w:val="00F8705E"/>
    <w:rsid w:val="00F870DE"/>
    <w:rsid w:val="00F87698"/>
    <w:rsid w:val="00F87ED6"/>
    <w:rsid w:val="00F9001F"/>
    <w:rsid w:val="00F901E3"/>
    <w:rsid w:val="00F90409"/>
    <w:rsid w:val="00F90411"/>
    <w:rsid w:val="00F90FEF"/>
    <w:rsid w:val="00F9180A"/>
    <w:rsid w:val="00F91AD7"/>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B20"/>
    <w:rsid w:val="00FA0C07"/>
    <w:rsid w:val="00FA2663"/>
    <w:rsid w:val="00FA296C"/>
    <w:rsid w:val="00FA2A0F"/>
    <w:rsid w:val="00FA3478"/>
    <w:rsid w:val="00FA409F"/>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154"/>
    <w:rsid w:val="00FB5D10"/>
    <w:rsid w:val="00FC0A33"/>
    <w:rsid w:val="00FC10A2"/>
    <w:rsid w:val="00FC11B6"/>
    <w:rsid w:val="00FC149D"/>
    <w:rsid w:val="00FC1512"/>
    <w:rsid w:val="00FC1B41"/>
    <w:rsid w:val="00FC2CE7"/>
    <w:rsid w:val="00FC2E4B"/>
    <w:rsid w:val="00FC35E0"/>
    <w:rsid w:val="00FC4CA4"/>
    <w:rsid w:val="00FC4D11"/>
    <w:rsid w:val="00FC5175"/>
    <w:rsid w:val="00FC6B5B"/>
    <w:rsid w:val="00FC6C0B"/>
    <w:rsid w:val="00FC778C"/>
    <w:rsid w:val="00FC7EC0"/>
    <w:rsid w:val="00FD0A22"/>
    <w:rsid w:val="00FD0CA5"/>
    <w:rsid w:val="00FD10C3"/>
    <w:rsid w:val="00FD15E8"/>
    <w:rsid w:val="00FD32D1"/>
    <w:rsid w:val="00FD3317"/>
    <w:rsid w:val="00FD3AAE"/>
    <w:rsid w:val="00FD3D4B"/>
    <w:rsid w:val="00FD3E67"/>
    <w:rsid w:val="00FD3F95"/>
    <w:rsid w:val="00FD4271"/>
    <w:rsid w:val="00FE0AD4"/>
    <w:rsid w:val="00FE1FB9"/>
    <w:rsid w:val="00FE22AD"/>
    <w:rsid w:val="00FE2588"/>
    <w:rsid w:val="00FE28E3"/>
    <w:rsid w:val="00FE31DC"/>
    <w:rsid w:val="00FE50EC"/>
    <w:rsid w:val="00FE5CC4"/>
    <w:rsid w:val="00FE6451"/>
    <w:rsid w:val="00FE7022"/>
    <w:rsid w:val="00FE745F"/>
    <w:rsid w:val="00FE761A"/>
    <w:rsid w:val="00FE7AF1"/>
    <w:rsid w:val="00FE7B7D"/>
    <w:rsid w:val="00FF08E1"/>
    <w:rsid w:val="00FF092B"/>
    <w:rsid w:val="00FF191A"/>
    <w:rsid w:val="00FF2854"/>
    <w:rsid w:val="00FF2D97"/>
    <w:rsid w:val="00FF2F42"/>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14:docId w14:val="537A6EB2"/>
  <w15:docId w15:val="{479C3BBB-F8F5-4A83-8CC9-F12CB0F6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68C7"/>
    <w:pPr>
      <w:bidi/>
    </w:pPr>
  </w:style>
  <w:style w:type="paragraph" w:styleId="Heading1">
    <w:name w:val="heading 1"/>
    <w:basedOn w:val="Normal"/>
    <w:next w:val="Normal"/>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21"/>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21">
    <w:name w:val="כותרת 2 תו1"/>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31">
    <w:name w:val="כותרת 3 תו1"/>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aliases w:val="Bullet List,FooterText,LP1,List Paragraph1,List Paragraph_0,List Paragraph_1,List Paragraph_2,Paragraphe de liste1,lp1,numbered,style 2,פיסקת bullets"/>
    <w:basedOn w:val="Normal"/>
    <w:link w:val="a"/>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1"/>
    <w:uiPriority w:val="99"/>
    <w:unhideWhenUsed/>
    <w:rsid w:val="00CB3322"/>
    <w:pPr>
      <w:tabs>
        <w:tab w:val="center" w:pos="4320"/>
        <w:tab w:val="right" w:pos="8640"/>
      </w:tabs>
      <w:spacing w:after="0" w:line="240" w:lineRule="auto"/>
    </w:pPr>
  </w:style>
  <w:style w:type="character" w:customStyle="1" w:styleId="1">
    <w:name w:val="כותרת עליונה תו1"/>
    <w:basedOn w:val="DefaultParagraphFont"/>
    <w:link w:val="Header"/>
    <w:uiPriority w:val="99"/>
    <w:rsid w:val="00CB3322"/>
    <w:rPr>
      <w:rFonts w:cs="David"/>
      <w:sz w:val="24"/>
      <w:szCs w:val="24"/>
    </w:rPr>
  </w:style>
  <w:style w:type="paragraph" w:styleId="Footer">
    <w:name w:val="footer"/>
    <w:basedOn w:val="Normal"/>
    <w:link w:val="10"/>
    <w:uiPriority w:val="99"/>
    <w:unhideWhenUsed/>
    <w:qFormat/>
    <w:rsid w:val="00CB3322"/>
    <w:pPr>
      <w:tabs>
        <w:tab w:val="center" w:pos="4320"/>
        <w:tab w:val="right" w:pos="8640"/>
      </w:tabs>
      <w:spacing w:after="0" w:line="240" w:lineRule="auto"/>
    </w:pPr>
  </w:style>
  <w:style w:type="character" w:customStyle="1" w:styleId="10">
    <w:name w:val="כותרת תחתונה תו1"/>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a0"/>
    <w:uiPriority w:val="99"/>
    <w:unhideWhenUsed/>
    <w:rsid w:val="00702D9F"/>
    <w:pPr>
      <w:spacing w:line="240" w:lineRule="auto"/>
    </w:pPr>
    <w:rPr>
      <w:sz w:val="20"/>
      <w:szCs w:val="20"/>
    </w:rPr>
  </w:style>
  <w:style w:type="character" w:customStyle="1" w:styleId="a0">
    <w:name w:val="טקסט הערה תו"/>
    <w:basedOn w:val="DefaultParagraphFont"/>
    <w:link w:val="CommentText"/>
    <w:uiPriority w:val="99"/>
    <w:rsid w:val="00702D9F"/>
    <w:rPr>
      <w:rFonts w:cs="David"/>
    </w:rPr>
  </w:style>
  <w:style w:type="paragraph" w:styleId="CommentSubject">
    <w:name w:val="annotation subject"/>
    <w:basedOn w:val="CommentText"/>
    <w:next w:val="CommentText"/>
    <w:link w:val="a1"/>
    <w:uiPriority w:val="99"/>
    <w:semiHidden/>
    <w:unhideWhenUsed/>
    <w:rsid w:val="00702D9F"/>
    <w:rPr>
      <w:b/>
      <w:bCs/>
    </w:rPr>
  </w:style>
  <w:style w:type="character" w:customStyle="1" w:styleId="a1">
    <w:name w:val="נושא הערה תו"/>
    <w:basedOn w:val="a0"/>
    <w:link w:val="CommentSubject"/>
    <w:uiPriority w:val="99"/>
    <w:semiHidden/>
    <w:rsid w:val="00702D9F"/>
    <w:rPr>
      <w:rFonts w:cs="David"/>
      <w:b/>
      <w:bCs/>
    </w:rPr>
  </w:style>
  <w:style w:type="paragraph" w:styleId="BalloonText">
    <w:name w:val="Balloon Text"/>
    <w:basedOn w:val="Normal"/>
    <w:link w:val="a2"/>
    <w:uiPriority w:val="99"/>
    <w:semiHidden/>
    <w:unhideWhenUsed/>
    <w:rsid w:val="00702D9F"/>
    <w:pPr>
      <w:spacing w:after="0" w:line="240" w:lineRule="auto"/>
    </w:pPr>
    <w:rPr>
      <w:rFonts w:ascii="Segoe UI" w:hAnsi="Segoe UI" w:cs="Segoe UI"/>
      <w:sz w:val="18"/>
      <w:szCs w:val="18"/>
    </w:rPr>
  </w:style>
  <w:style w:type="character" w:customStyle="1" w:styleId="a2">
    <w:name w:val="טקסט בלונים תו"/>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aliases w:val="ללא"/>
    <w:basedOn w:val="TableNormal"/>
    <w:uiPriority w:val="3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FOOTNOTES,Footnote Text - Sharp,Footnote Text - Sharp Char,Footnote Text - Sharp Char Char,Footnote Text Char Char Char Char Char,Footnote reference,Sharp - Footnote Text,Sharp - Footnote Text1 Char,fn,footnote text,single space,F"/>
    <w:basedOn w:val="Normal"/>
    <w:link w:val="12"/>
    <w:uiPriority w:val="99"/>
    <w:unhideWhenUsed/>
    <w:qFormat/>
    <w:rsid w:val="00D36781"/>
    <w:pPr>
      <w:keepLines/>
      <w:spacing w:after="40" w:line="200" w:lineRule="exact"/>
      <w:ind w:left="397" w:right="2268" w:hanging="397"/>
      <w:jc w:val="both"/>
    </w:pPr>
    <w:rPr>
      <w:rFonts w:ascii="Tahoma" w:hAnsi="Tahoma" w:cs="Tahoma"/>
      <w:sz w:val="14"/>
      <w:szCs w:val="14"/>
    </w:rPr>
  </w:style>
  <w:style w:type="character" w:customStyle="1" w:styleId="12">
    <w:name w:val="טקסט הערת שוליים תו1"/>
    <w:aliases w:val="Char תו,FOOTNOTES תו,Footnote Text - Sharp תו,Footnote Text - Sharp Char תו,Footnote Text - Sharp Char Char תו,Footnote Text Char Char Char Char Char תו,Footnote reference תו,Sharp - Footnote Text תו,Sharp - Footnote Text1 Char תו"/>
    <w:basedOn w:val="DefaultParagraphFont"/>
    <w:link w:val="FootnoteText"/>
    <w:uiPriority w:val="99"/>
    <w:rsid w:val="00D36781"/>
    <w:rPr>
      <w:rFonts w:ascii="Tahoma" w:hAnsi="Tahoma" w:cs="Tahoma"/>
      <w:sz w:val="14"/>
      <w:szCs w:val="14"/>
    </w:rPr>
  </w:style>
  <w:style w:type="character" w:styleId="FootnoteReference1">
    <w:name w:val="footnote reference"/>
    <w:aliases w:val="Footnote Reference_0,Footnote Reference_0_0,Footnote Reference_0_0_0,Footnote Reference_0_0_0_0,Footnote Reference_1,Footnote Reference_1_0,Footnote Reference_2,Footnote Reference_3,Footnote Reference_4,Footnote Reference_4_0,מ,Style"/>
    <w:basedOn w:val="DefaultParagraphFont"/>
    <w:uiPriority w:val="99"/>
    <w:unhideWhenUsed/>
    <w:qFormat/>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13"/>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13">
    <w:name w:val="כותרת טקסט תו1"/>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a3"/>
    <w:uiPriority w:val="11"/>
    <w:qFormat/>
    <w:rsid w:val="005C0F41"/>
    <w:pPr>
      <w:numPr>
        <w:ilvl w:val="1"/>
      </w:numPr>
      <w:bidi w:val="0"/>
      <w:spacing w:after="240"/>
    </w:pPr>
    <w:rPr>
      <w:caps/>
      <w:color w:val="404040" w:themeColor="text1" w:themeTint="BF"/>
      <w:spacing w:val="20"/>
      <w:sz w:val="28"/>
      <w:szCs w:val="28"/>
    </w:rPr>
  </w:style>
  <w:style w:type="character" w:customStyle="1" w:styleId="a3">
    <w:name w:val="כותרת משנה תו"/>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a4"/>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4">
    <w:name w:val="ציטוט תו"/>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a5"/>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5">
    <w:name w:val="ציטוט חזק תו"/>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a6"/>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6">
    <w:name w:val="גוף טקסט תו"/>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2"/>
    <w:unhideWhenUsed/>
    <w:rsid w:val="00DB1D55"/>
    <w:pPr>
      <w:tabs>
        <w:tab w:val="left" w:pos="340"/>
      </w:tabs>
      <w:spacing w:line="360" w:lineRule="exact"/>
      <w:jc w:val="both"/>
    </w:pPr>
    <w:rPr>
      <w:rFonts w:ascii="Tahoma" w:hAnsi="Tahoma" w:cs="Tahoma"/>
      <w:sz w:val="22"/>
      <w:szCs w:val="22"/>
    </w:rPr>
  </w:style>
  <w:style w:type="character" w:customStyle="1" w:styleId="2">
    <w:name w:val="גוף טקסט 2 תו"/>
    <w:basedOn w:val="DefaultParagraphFont"/>
    <w:link w:val="BodyText2"/>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0">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7">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8">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9">
    <w:name w:val="כותרת עליונה תו"/>
    <w:uiPriority w:val="99"/>
    <w:locked/>
    <w:rsid w:val="00F1368B"/>
    <w:rPr>
      <w:rFonts w:cs="David"/>
      <w:sz w:val="24"/>
      <w:szCs w:val="24"/>
      <w:lang w:bidi="he-IL"/>
    </w:rPr>
  </w:style>
  <w:style w:type="character" w:customStyle="1" w:styleId="a10">
    <w:name w:val="כותרת תחתונה תו"/>
    <w:locked/>
    <w:rsid w:val="00F1368B"/>
    <w:rPr>
      <w:rFonts w:cs="David"/>
      <w:sz w:val="24"/>
      <w:szCs w:val="24"/>
      <w:lang w:bidi="he-IL"/>
    </w:rPr>
  </w:style>
  <w:style w:type="character" w:customStyle="1" w:styleId="a11">
    <w:name w:val="טקסט הערת סיום תו"/>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a11"/>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32">
    <w:name w:val="גוף טקסט 3 תו"/>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a12"/>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12">
    <w:name w:val="טקסט רגיל תו"/>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1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1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2">
    <w:name w:val="כניסה בגוף טקסט 2 תו"/>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22"/>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15">
    <w:name w:val="טקסט הערות שוליים תו"/>
    <w:rsid w:val="00F1368B"/>
    <w:rPr>
      <w:lang w:val="en-US" w:eastAsia="en-US"/>
    </w:rPr>
  </w:style>
  <w:style w:type="character" w:customStyle="1" w:styleId="a16">
    <w:name w:val="טקסט הערת שוליים תו"/>
    <w:aliases w:val="FT תו,FT Char Char תו,FT Char Char1 Char Char תו,Footnote Text Char Char תו,Footnote Text Char Char1 Char Char תו,Footnote Text Char1 Char Char תו,Footnote Text1 תו,f תו,fn תו,fn Char תו,fn Char Char תו,fn Char Char Char Char תו"/>
    <w:uiPriority w:val="99"/>
    <w:locked/>
    <w:rsid w:val="00F1368B"/>
    <w:rPr>
      <w:lang w:val="en-US" w:eastAsia="en-US"/>
    </w:rPr>
  </w:style>
  <w:style w:type="character" w:customStyle="1" w:styleId="33">
    <w:name w:val="כניסה בגוף טקסט 3 תו"/>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33"/>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a17">
    <w:name w:val="כניסה בגוף טקסט תו"/>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a17"/>
    <w:semiHidden/>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3">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18">
    <w:name w:val="מפת מסמך תו"/>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a18"/>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19">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20">
    <w:name w:val="נבנצאל תו"/>
    <w:uiPriority w:val="99"/>
    <w:locked/>
    <w:rsid w:val="00F1368B"/>
    <w:rPr>
      <w:rFonts w:ascii="Rockwell" w:eastAsia="Rockwell" w:hAnsi="Rockwell" w:cs="David"/>
      <w:sz w:val="22"/>
    </w:rPr>
  </w:style>
  <w:style w:type="paragraph" w:styleId="Date">
    <w:name w:val="Date"/>
    <w:basedOn w:val="Normal"/>
    <w:next w:val="Normal"/>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DefaultParagraphFont"/>
    <w:link w:val="Date"/>
    <w:uiPriority w:val="99"/>
    <w:rsid w:val="00F1368B"/>
    <w:rPr>
      <w:rFonts w:ascii="Rockwell" w:eastAsia="Rockwell" w:hAnsi="Rockwell" w:cs="David"/>
      <w:sz w:val="22"/>
      <w:szCs w:val="22"/>
    </w:rPr>
  </w:style>
  <w:style w:type="character" w:customStyle="1" w:styleId="a21">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8">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T1N">
    <w:name w:val="KOT1N"/>
    <w:qFormat/>
    <w:rsid w:val="008723A0"/>
    <w:pPr>
      <w:spacing w:line="440" w:lineRule="exact"/>
      <w:jc w:val="center"/>
    </w:pPr>
    <w:rPr>
      <w:rFonts w:ascii="Arial Bold" w:hAnsi="Arial Bold" w:eastAsiaTheme="majorEastAsia" w:cs="Tahoma"/>
      <w:b/>
      <w:bCs/>
      <w:color w:val="00305F"/>
      <w:sz w:val="34"/>
      <w:szCs w:val="34"/>
    </w:rPr>
  </w:style>
  <w:style w:type="paragraph" w:customStyle="1" w:styleId="KOT2N">
    <w:name w:val="KOT2N"/>
    <w:basedOn w:val="KOT2"/>
    <w:qFormat/>
    <w:rsid w:val="008723A0"/>
    <w:pPr>
      <w:pageBreakBefore w:val="0"/>
      <w:spacing w:line="440" w:lineRule="exact"/>
      <w:ind w:right="0"/>
      <w:outlineLvl w:val="1"/>
    </w:pPr>
    <w:rPr>
      <w:b/>
      <w:bCs/>
      <w:color w:val="00305F"/>
      <w:sz w:val="34"/>
      <w:szCs w:val="34"/>
    </w:rPr>
  </w:style>
  <w:style w:type="paragraph" w:customStyle="1" w:styleId="KOT3N">
    <w:name w:val="KOT3N"/>
    <w:basedOn w:val="Normal"/>
    <w:qFormat/>
    <w:rsid w:val="008723A0"/>
    <w:pPr>
      <w:spacing w:before="360" w:after="180" w:line="240" w:lineRule="atLeast"/>
      <w:outlineLvl w:val="2"/>
    </w:pPr>
    <w:rPr>
      <w:rFonts w:ascii="Tahoma" w:hAnsi="Tahoma" w:cs="Tahoma"/>
      <w:b/>
      <w:bCs/>
      <w:color w:val="00305F"/>
      <w:sz w:val="32"/>
      <w:szCs w:val="32"/>
    </w:rPr>
  </w:style>
  <w:style w:type="paragraph" w:customStyle="1" w:styleId="KOT4N">
    <w:name w:val="KOT4N"/>
    <w:basedOn w:val="Normal"/>
    <w:qFormat/>
    <w:rsid w:val="008723A0"/>
    <w:pPr>
      <w:spacing w:before="240" w:after="180" w:line="240" w:lineRule="atLeast"/>
      <w:outlineLvl w:val="2"/>
    </w:pPr>
    <w:rPr>
      <w:rFonts w:ascii="Tahoma" w:hAnsi="Tahoma" w:cs="Tahoma"/>
      <w:b/>
      <w:bCs/>
      <w:color w:val="00305F"/>
      <w:sz w:val="28"/>
      <w:szCs w:val="28"/>
    </w:rPr>
  </w:style>
  <w:style w:type="paragraph" w:customStyle="1" w:styleId="KOT5N">
    <w:name w:val="KOT5N"/>
    <w:basedOn w:val="Normal"/>
    <w:qFormat/>
    <w:rsid w:val="008723A0"/>
    <w:pPr>
      <w:spacing w:before="240" w:after="180" w:line="240" w:lineRule="atLeast"/>
      <w:outlineLvl w:val="4"/>
    </w:pPr>
    <w:rPr>
      <w:rFonts w:ascii="Tahoma" w:hAnsi="Tahoma" w:cs="Tahoma"/>
      <w:b/>
      <w:bCs/>
      <w:color w:val="00305F"/>
      <w:sz w:val="24"/>
      <w:szCs w:val="24"/>
    </w:rPr>
  </w:style>
  <w:style w:type="paragraph" w:customStyle="1" w:styleId="KOT6N">
    <w:name w:val="KOT6N"/>
    <w:basedOn w:val="Normal"/>
    <w:qFormat/>
    <w:rsid w:val="008723A0"/>
    <w:pPr>
      <w:spacing w:before="240" w:after="180" w:line="240" w:lineRule="atLeast"/>
      <w:outlineLvl w:val="4"/>
    </w:pPr>
    <w:rPr>
      <w:rFonts w:ascii="Tahoma" w:hAnsi="Tahoma" w:cs="Tahoma"/>
      <w:color w:val="00305F"/>
      <w:sz w:val="20"/>
      <w:szCs w:val="20"/>
    </w:rPr>
  </w:style>
  <w:style w:type="character" w:customStyle="1" w:styleId="KOT8N">
    <w:name w:val="KOT8N"/>
    <w:basedOn w:val="DefaultParagraphFont"/>
    <w:uiPriority w:val="1"/>
    <w:qFormat/>
    <w:rsid w:val="00AC58AC"/>
    <w:rPr>
      <w:rFonts w:ascii="Tahoma" w:hAnsi="Tahoma" w:cs="Tahoma"/>
      <w:color w:val="00305F"/>
      <w:spacing w:val="20"/>
      <w:sz w:val="19"/>
      <w:szCs w:val="19"/>
    </w:rPr>
  </w:style>
  <w:style w:type="character" w:customStyle="1" w:styleId="KOT7N">
    <w:name w:val="KOT7N"/>
    <w:basedOn w:val="KOT8N"/>
    <w:uiPriority w:val="1"/>
    <w:qFormat/>
    <w:rsid w:val="00AC58AC"/>
    <w:rPr>
      <w:rFonts w:ascii="Tahoma" w:hAnsi="Tahoma" w:cs="Tahoma"/>
      <w:b/>
      <w:bCs/>
      <w:color w:val="00305F"/>
      <w:spacing w:val="20"/>
      <w:sz w:val="18"/>
      <w:szCs w:val="18"/>
    </w:rPr>
  </w:style>
  <w:style w:type="paragraph" w:customStyle="1" w:styleId="KOT-TAB">
    <w:name w:val="KOT-TAB"/>
    <w:basedOn w:val="Normal"/>
    <w:qFormat/>
    <w:rsid w:val="00AC58AC"/>
    <w:pPr>
      <w:keepNext/>
      <w:tabs>
        <w:tab w:val="left" w:pos="424"/>
      </w:tabs>
      <w:spacing w:before="240" w:after="240" w:line="260" w:lineRule="exact"/>
      <w:jc w:val="center"/>
    </w:pPr>
    <w:rPr>
      <w:rFonts w:ascii="Tahoma" w:hAnsi="Tahoma" w:cs="Tahoma"/>
      <w:color w:val="0D0D0D" w:themeColor="text1" w:themeTint="F2"/>
      <w:sz w:val="20"/>
      <w:szCs w:val="20"/>
    </w:rPr>
  </w:style>
  <w:style w:type="paragraph" w:customStyle="1" w:styleId="KOT-source">
    <w:name w:val="KOT-source"/>
    <w:basedOn w:val="Normal"/>
    <w:qFormat/>
    <w:rsid w:val="00AC58AC"/>
    <w:pPr>
      <w:tabs>
        <w:tab w:val="left" w:pos="424"/>
      </w:tabs>
      <w:spacing w:after="240" w:line="260" w:lineRule="exact"/>
      <w:jc w:val="both"/>
    </w:pPr>
    <w:rPr>
      <w:rFonts w:ascii="Tahoma" w:hAnsi="Tahoma" w:cs="Tahoma"/>
      <w:color w:val="0D0D0D" w:themeColor="text1" w:themeTint="F2"/>
      <w:sz w:val="16"/>
      <w:szCs w:val="16"/>
    </w:rPr>
  </w:style>
  <w:style w:type="paragraph" w:customStyle="1" w:styleId="7195">
    <w:name w:val="71ג בולד 9.5 בתוך שורה"/>
    <w:basedOn w:val="Normal"/>
    <w:link w:val="7195Char"/>
    <w:qFormat/>
    <w:rsid w:val="00770D17"/>
    <w:pPr>
      <w:spacing w:after="180" w:line="260" w:lineRule="exact"/>
      <w:ind w:left="397"/>
      <w:jc w:val="both"/>
      <w:outlineLvl w:val="3"/>
    </w:pPr>
    <w:rPr>
      <w:rFonts w:ascii="Tahoma" w:hAnsi="Tahoma" w:eastAsiaTheme="minorHAnsi" w:cs="Tahoma"/>
      <w:bCs/>
      <w:noProof/>
      <w:color w:val="0D0D0D" w:themeColor="text1" w:themeTint="F2"/>
      <w:sz w:val="18"/>
      <w:szCs w:val="19"/>
      <w:lang w:val="he-IL"/>
    </w:rPr>
  </w:style>
  <w:style w:type="character" w:customStyle="1" w:styleId="7195Char">
    <w:name w:val="71ג בולד 9.5 בתוך שורה Char"/>
    <w:basedOn w:val="DefaultParagraphFont"/>
    <w:link w:val="7195"/>
    <w:rsid w:val="00770D17"/>
    <w:rPr>
      <w:rFonts w:ascii="Tahoma" w:hAnsi="Tahoma" w:eastAsiaTheme="minorHAnsi" w:cs="Tahoma"/>
      <w:bCs/>
      <w:noProof/>
      <w:color w:val="0D0D0D" w:themeColor="text1" w:themeTint="F2"/>
      <w:sz w:val="18"/>
      <w:szCs w:val="19"/>
      <w:lang w:val="he-IL"/>
    </w:rPr>
  </w:style>
  <w:style w:type="table" w:customStyle="1" w:styleId="BlueTable">
    <w:name w:val="Blue Table"/>
    <w:basedOn w:val="GridTable4Accent1"/>
    <w:uiPriority w:val="99"/>
    <w:rsid w:val="00770D17"/>
    <w:pPr>
      <w:spacing w:before="120"/>
    </w:pPr>
    <w:rPr>
      <w:rFonts w:ascii="Tahoma" w:eastAsia="Tahoma" w:hAnsi="Tahoma" w:cs="Tahoma"/>
      <w:sz w:val="16"/>
      <w:szCs w:val="16"/>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Tahoma" w:eastAsia="Tahoma" w:hAnsi="Tahoma" w:cs="Tahoma"/>
        <w:b/>
        <w:bCs/>
        <w:iCs w:val="0"/>
        <w:color w:val="auto"/>
        <w:sz w:val="16"/>
        <w:szCs w:val="16"/>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Tahoma" w:eastAsia="Tahoma" w:hAnsi="Tahoma" w:cs="Tahoma"/>
        <w:b w:val="0"/>
        <w:bCs/>
        <w:i w:val="0"/>
        <w:iCs w:val="0"/>
        <w:color w:val="auto"/>
        <w:szCs w:val="16"/>
      </w:rPr>
      <w:tblPr/>
      <w:tcPr>
        <w:tcBorders>
          <w:top w:val="double" w:sz="4" w:space="0" w:color="0F6FC6" w:themeColor="accent1"/>
        </w:tcBorders>
        <w:shd w:val="clear" w:color="auto" w:fill="C6DCE4"/>
      </w:tcPr>
    </w:tblStylePr>
    <w:tblStylePr w:type="firstCol">
      <w:rPr>
        <w:b/>
        <w:bCs/>
      </w:rPr>
    </w:tblStylePr>
    <w:tblStylePr w:type="lastCol">
      <w:rPr>
        <w:rFonts w:ascii="Tahoma" w:eastAsia="Tahoma" w:hAnsi="Tahoma" w:cs="Tahoma"/>
        <w:b w:val="0"/>
        <w:bCs w:val="0"/>
        <w:i w:val="0"/>
        <w:iCs w:val="0"/>
        <w:sz w:val="16"/>
        <w:szCs w:val="16"/>
      </w:rPr>
    </w:tblStylePr>
    <w:tblStylePr w:type="band1Vert">
      <w:rPr>
        <w:rFonts w:cs="Tahoma"/>
        <w:bCs w:val="0"/>
        <w:iCs w:val="0"/>
        <w:szCs w:val="16"/>
      </w:rPr>
      <w:tblPr/>
      <w:tcPr>
        <w:shd w:val="clear" w:color="auto" w:fill="C7E2FA" w:themeFill="accent1" w:themeFillTint="33"/>
      </w:tcPr>
    </w:tblStylePr>
    <w:tblStylePr w:type="band2Vert">
      <w:rPr>
        <w:rFonts w:cs="Tahoma"/>
        <w:bCs w:val="0"/>
        <w:szCs w:val="16"/>
      </w:rPr>
    </w:tblStylePr>
    <w:tblStylePr w:type="band1Horz">
      <w:rPr>
        <w:rFonts w:cs="Tahoma"/>
        <w:bCs w:val="0"/>
        <w:szCs w:val="16"/>
      </w:rPr>
      <w:tblPr/>
      <w:tcPr>
        <w:shd w:val="clear" w:color="auto" w:fill="DBE8EE"/>
      </w:tcPr>
    </w:tblStylePr>
    <w:tblStylePr w:type="band2Horz">
      <w:rPr>
        <w:rFonts w:cs="Tahoma"/>
        <w:bCs w:val="0"/>
        <w:szCs w:val="16"/>
      </w:rPr>
      <w:tblPr/>
      <w:tcPr>
        <w:shd w:val="clear" w:color="auto" w:fill="ECF4F5"/>
      </w:tcPr>
    </w:tblStylePr>
  </w:style>
  <w:style w:type="table" w:styleId="GridTable4Accent1">
    <w:name w:val="Grid Table 4 Accent 1"/>
    <w:basedOn w:val="TableNormal"/>
    <w:uiPriority w:val="49"/>
    <w:rsid w:val="00770D17"/>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a22">
    <w:name w:val="הערות שוליים דוח קורונה"/>
    <w:basedOn w:val="FootnoteText"/>
    <w:qFormat/>
    <w:rsid w:val="00B70706"/>
    <w:pPr>
      <w:bidi w:val="0"/>
      <w:spacing w:after="120"/>
      <w:ind w:left="0" w:right="0" w:firstLine="0"/>
    </w:pPr>
  </w:style>
  <w:style w:type="paragraph" w:customStyle="1" w:styleId="719">
    <w:name w:val="71ג׳ טקסט רץ 9"/>
    <w:basedOn w:val="Normal"/>
    <w:link w:val="7190"/>
    <w:qFormat/>
    <w:rsid w:val="00BD3044"/>
    <w:pPr>
      <w:spacing w:after="180" w:line="260" w:lineRule="exact"/>
      <w:jc w:val="both"/>
    </w:pPr>
    <w:rPr>
      <w:rFonts w:ascii="Tahoma" w:hAnsi="Tahoma" w:eastAsiaTheme="minorHAnsi" w:cs="Tahoma"/>
      <w:color w:val="0D0D0D" w:themeColor="text1" w:themeTint="F2"/>
      <w:sz w:val="18"/>
      <w:szCs w:val="18"/>
    </w:rPr>
  </w:style>
  <w:style w:type="character" w:customStyle="1" w:styleId="7190">
    <w:name w:val="71ג׳ טקסט רץ 9 תו"/>
    <w:basedOn w:val="DefaultParagraphFont"/>
    <w:link w:val="719"/>
    <w:rsid w:val="00BD3044"/>
    <w:rPr>
      <w:rFonts w:ascii="Tahoma" w:hAnsi="Tahoma" w:eastAsiaTheme="minorHAnsi" w:cs="Tahoma"/>
      <w:color w:val="0D0D0D" w:themeColor="text1" w:themeTint="F2"/>
      <w:sz w:val="18"/>
      <w:szCs w:val="18"/>
    </w:rPr>
  </w:style>
  <w:style w:type="paragraph" w:customStyle="1" w:styleId="710">
    <w:name w:val="71ג הערות שוליים"/>
    <w:basedOn w:val="FootnoteText"/>
    <w:link w:val="71Char"/>
    <w:qFormat/>
    <w:rsid w:val="00493F55"/>
    <w:pPr>
      <w:keepLines w:val="0"/>
      <w:spacing w:after="60"/>
      <w:ind w:right="0"/>
    </w:pPr>
    <w:rPr>
      <w:rFonts w:eastAsiaTheme="minorHAnsi"/>
      <w:color w:val="0D0D0D" w:themeColor="text1" w:themeTint="F2"/>
    </w:rPr>
  </w:style>
  <w:style w:type="paragraph" w:customStyle="1" w:styleId="711">
    <w:name w:val="71ג מקרא+הערות לתרשים/לוח/תמונה"/>
    <w:basedOn w:val="710"/>
    <w:link w:val="71Char0"/>
    <w:qFormat/>
    <w:rsid w:val="00A52F64"/>
    <w:pPr>
      <w:spacing w:before="120" w:after="240" w:line="260" w:lineRule="exact"/>
    </w:pPr>
    <w:rPr>
      <w:sz w:val="16"/>
      <w:szCs w:val="16"/>
    </w:rPr>
  </w:style>
  <w:style w:type="character" w:customStyle="1" w:styleId="71Char">
    <w:name w:val="71ג הערות שוליים Char"/>
    <w:basedOn w:val="DefaultParagraphFont"/>
    <w:link w:val="710"/>
    <w:rsid w:val="00493F55"/>
    <w:rPr>
      <w:rFonts w:ascii="Tahoma" w:hAnsi="Tahoma" w:eastAsiaTheme="minorHAnsi" w:cs="Tahoma"/>
      <w:color w:val="0D0D0D" w:themeColor="text1" w:themeTint="F2"/>
      <w:sz w:val="14"/>
      <w:szCs w:val="14"/>
    </w:rPr>
  </w:style>
  <w:style w:type="character" w:customStyle="1" w:styleId="71Char0">
    <w:name w:val="71ג מקרא+הערות לתרשים/לוח/תמונה Char"/>
    <w:basedOn w:val="71Char"/>
    <w:link w:val="711"/>
    <w:rsid w:val="00A52F64"/>
    <w:rPr>
      <w:rFonts w:ascii="Tahoma" w:hAnsi="Tahoma" w:eastAsiaTheme="minorHAnsi" w:cs="Tahoma"/>
      <w:color w:val="0D0D0D" w:themeColor="text1" w:themeTint="F2"/>
      <w:sz w:val="16"/>
      <w:szCs w:val="16"/>
    </w:rPr>
  </w:style>
  <w:style w:type="paragraph" w:customStyle="1" w:styleId="712">
    <w:name w:val="71ג היפרלינק"/>
    <w:basedOn w:val="710"/>
    <w:link w:val="71Char1"/>
    <w:qFormat/>
    <w:rsid w:val="00A52F64"/>
    <w:pPr>
      <w:bidi w:val="0"/>
    </w:pPr>
    <w:rPr>
      <w:color w:val="0000FF"/>
      <w:u w:val="single"/>
    </w:rPr>
  </w:style>
  <w:style w:type="character" w:customStyle="1" w:styleId="71Char1">
    <w:name w:val="71ג היפרלינק Char"/>
    <w:basedOn w:val="71Char"/>
    <w:link w:val="712"/>
    <w:rsid w:val="00A52F64"/>
    <w:rPr>
      <w:rFonts w:ascii="Tahoma" w:hAnsi="Tahoma" w:eastAsiaTheme="minorHAnsi" w:cs="Tahoma"/>
      <w:color w:val="0000FF"/>
      <w:sz w:val="14"/>
      <w:szCs w:val="14"/>
      <w:u w:val="single"/>
    </w:rPr>
  </w:style>
  <w:style w:type="paragraph" w:customStyle="1" w:styleId="7120">
    <w:name w:val="71ג כותרת 2"/>
    <w:basedOn w:val="Normal"/>
    <w:link w:val="712Char"/>
    <w:qFormat/>
    <w:rsid w:val="001D65CE"/>
    <w:pPr>
      <w:keepNext/>
      <w:spacing w:before="360" w:after="240" w:line="440" w:lineRule="exact"/>
      <w:outlineLvl w:val="1"/>
    </w:pPr>
    <w:rPr>
      <w:rFonts w:ascii="Tahoma" w:hAnsi="Tahoma" w:eastAsiaTheme="minorHAnsi" w:cs="Tahoma"/>
      <w:b/>
      <w:bCs/>
      <w:color w:val="00305F"/>
      <w:sz w:val="40"/>
      <w:szCs w:val="34"/>
    </w:rPr>
  </w:style>
  <w:style w:type="character" w:customStyle="1" w:styleId="712Char">
    <w:name w:val="71ג כותרת 2 Char"/>
    <w:basedOn w:val="DefaultParagraphFont"/>
    <w:link w:val="7120"/>
    <w:rsid w:val="001D65CE"/>
    <w:rPr>
      <w:rFonts w:ascii="Tahoma" w:hAnsi="Tahoma" w:eastAsiaTheme="minorHAnsi" w:cs="Tahoma"/>
      <w:b/>
      <w:bCs/>
      <w:color w:val="00305F"/>
      <w:sz w:val="40"/>
      <w:szCs w:val="34"/>
    </w:rPr>
  </w:style>
  <w:style w:type="paragraph" w:customStyle="1" w:styleId="713">
    <w:name w:val="71ג מספור הערות שוליים"/>
    <w:basedOn w:val="710"/>
    <w:qFormat/>
    <w:rsid w:val="001E44CF"/>
  </w:style>
  <w:style w:type="paragraph" w:customStyle="1" w:styleId="7191">
    <w:name w:val="71ג טקסט רץ 9"/>
    <w:basedOn w:val="Normal"/>
    <w:link w:val="719Char"/>
    <w:qFormat/>
    <w:rsid w:val="0010564D"/>
    <w:pPr>
      <w:spacing w:after="180" w:line="260" w:lineRule="exact"/>
      <w:jc w:val="both"/>
      <w:outlineLvl w:val="3"/>
    </w:pPr>
    <w:rPr>
      <w:rFonts w:ascii="Tahoma" w:hAnsi="Tahoma" w:eastAsiaTheme="minorHAnsi" w:cs="Tahoma"/>
      <w:color w:val="0D0D0D" w:themeColor="text1" w:themeTint="F2"/>
      <w:sz w:val="18"/>
      <w:szCs w:val="18"/>
    </w:rPr>
  </w:style>
  <w:style w:type="character" w:customStyle="1" w:styleId="719Char">
    <w:name w:val="71ג טקסט רץ 9 Char"/>
    <w:basedOn w:val="DefaultParagraphFont"/>
    <w:link w:val="7191"/>
    <w:rsid w:val="0010564D"/>
    <w:rPr>
      <w:rFonts w:ascii="Tahoma" w:hAnsi="Tahoma" w:eastAsiaTheme="minorHAnsi" w:cs="Tahoma"/>
      <w:color w:val="0D0D0D" w:themeColor="text1" w:themeTint="F2"/>
      <w:sz w:val="18"/>
      <w:szCs w:val="18"/>
    </w:rPr>
  </w:style>
  <w:style w:type="paragraph" w:customStyle="1" w:styleId="71612">
    <w:name w:val="71ג כותרת 6_12"/>
    <w:basedOn w:val="Normal"/>
    <w:link w:val="716120"/>
    <w:qFormat/>
    <w:rsid w:val="0010564D"/>
    <w:pPr>
      <w:spacing w:before="240" w:after="180" w:line="240" w:lineRule="atLeast"/>
    </w:pPr>
    <w:rPr>
      <w:rFonts w:ascii="Tahoma" w:hAnsi="Tahoma" w:eastAsiaTheme="minorHAnsi" w:cs="Tahoma"/>
      <w:color w:val="00305F"/>
      <w:sz w:val="24"/>
      <w:szCs w:val="24"/>
    </w:rPr>
  </w:style>
  <w:style w:type="character" w:customStyle="1" w:styleId="716120">
    <w:name w:val="71ג כותרת 6_12 תו"/>
    <w:basedOn w:val="DefaultParagraphFont"/>
    <w:link w:val="71612"/>
    <w:rsid w:val="0010564D"/>
    <w:rPr>
      <w:rFonts w:ascii="Tahoma" w:hAnsi="Tahoma" w:eastAsiaTheme="minorHAnsi" w:cs="Tahoma"/>
      <w:color w:val="00305F"/>
      <w:sz w:val="24"/>
      <w:szCs w:val="24"/>
    </w:rPr>
  </w:style>
  <w:style w:type="paragraph" w:customStyle="1" w:styleId="714">
    <w:name w:val="71ג מספור בתוך קוביה"/>
    <w:basedOn w:val="ListParagraph"/>
    <w:qFormat/>
    <w:rsid w:val="00463924"/>
    <w:pPr>
      <w:numPr>
        <w:numId w:val="6"/>
      </w:numPr>
      <w:pBdr>
        <w:top w:val="single" w:sz="18" w:space="4" w:color="EDF1FA"/>
        <w:left w:val="single" w:sz="18" w:space="11" w:color="EDF1FA"/>
        <w:bottom w:val="single" w:sz="18" w:space="6" w:color="EDF1FA"/>
        <w:right w:val="single" w:sz="18" w:space="11" w:color="EDF1FA"/>
      </w:pBdr>
      <w:shd w:val="solid" w:color="EDF1FA" w:fill="CEEAF5"/>
      <w:autoSpaceDE/>
      <w:autoSpaceDN/>
      <w:adjustRightInd/>
      <w:spacing w:after="180" w:line="260" w:lineRule="exact"/>
      <w:ind w:left="397" w:right="227" w:hanging="397"/>
    </w:pPr>
    <w:rPr>
      <w:rFonts w:eastAsiaTheme="minorHAnsi"/>
      <w:color w:val="0D0D0D" w:themeColor="text1" w:themeTint="F2"/>
      <w:sz w:val="18"/>
      <w:szCs w:val="18"/>
    </w:rPr>
  </w:style>
  <w:style w:type="paragraph" w:customStyle="1" w:styleId="2021">
    <w:name w:val="כיתוב בתוך טבלת תקציר 2021"/>
    <w:basedOn w:val="Normal"/>
    <w:link w:val="2021Char"/>
    <w:qFormat/>
    <w:rsid w:val="00041AEB"/>
    <w:pPr>
      <w:spacing w:after="180" w:line="240" w:lineRule="auto"/>
      <w:outlineLvl w:val="0"/>
    </w:pPr>
    <w:rPr>
      <w:rFonts w:ascii="Tahoma" w:hAnsi="Tahoma" w:cs="Tahoma"/>
      <w:color w:val="0D0D0D" w:themeColor="text1" w:themeTint="F2"/>
      <w:w w:val="90"/>
      <w:sz w:val="18"/>
      <w:szCs w:val="18"/>
    </w:rPr>
  </w:style>
  <w:style w:type="character" w:customStyle="1" w:styleId="2021Char">
    <w:name w:val="כיתוב בתוך טבלת תקציר 2021 Char"/>
    <w:basedOn w:val="DefaultParagraphFont"/>
    <w:link w:val="2021"/>
    <w:rsid w:val="00041AEB"/>
    <w:rPr>
      <w:rFonts w:ascii="Tahoma" w:hAnsi="Tahoma" w:cs="Tahoma"/>
      <w:color w:val="0D0D0D" w:themeColor="text1" w:themeTint="F2"/>
      <w:w w:val="90"/>
      <w:sz w:val="18"/>
      <w:szCs w:val="18"/>
    </w:rPr>
  </w:style>
  <w:style w:type="character" w:customStyle="1" w:styleId="24">
    <w:name w:val="כותרת תחתונה תו2"/>
    <w:basedOn w:val="DefaultParagraphFont"/>
    <w:uiPriority w:val="99"/>
    <w:rsid w:val="00B56681"/>
  </w:style>
  <w:style w:type="paragraph" w:customStyle="1" w:styleId="715">
    <w:name w:val="71ג הזחה אותיות"/>
    <w:basedOn w:val="ListParagraph"/>
    <w:qFormat/>
    <w:rsid w:val="007E0204"/>
    <w:pPr>
      <w:numPr>
        <w:numId w:val="8"/>
      </w:numPr>
      <w:autoSpaceDE/>
      <w:autoSpaceDN/>
      <w:adjustRightInd/>
      <w:spacing w:after="180" w:line="260" w:lineRule="exact"/>
      <w:ind w:left="794" w:hanging="397"/>
      <w:contextualSpacing/>
    </w:pPr>
    <w:rPr>
      <w:rFonts w:eastAsiaTheme="minorHAnsi"/>
      <w:color w:val="0D0D0D" w:themeColor="text1" w:themeTint="F2"/>
      <w:sz w:val="18"/>
      <w:szCs w:val="18"/>
    </w:rPr>
  </w:style>
  <w:style w:type="paragraph" w:customStyle="1" w:styleId="font2">
    <w:name w:val="font_2"/>
    <w:basedOn w:val="Normal"/>
    <w:rsid w:val="007E020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17Char">
    <w:name w:val="71 ג כותרת 7 הדגשת קטע בטקסט רץ Char"/>
    <w:basedOn w:val="7190"/>
    <w:link w:val="717"/>
    <w:rsid w:val="00A8593C"/>
    <w:rPr>
      <w:rFonts w:ascii="Tahoma" w:hAnsi="Tahoma" w:eastAsiaTheme="minorHAnsi" w:cs="Tahoma"/>
      <w:bCs/>
      <w:color w:val="0D0D0D" w:themeColor="text1" w:themeTint="F2"/>
      <w:sz w:val="18"/>
      <w:szCs w:val="18"/>
    </w:rPr>
  </w:style>
  <w:style w:type="paragraph" w:customStyle="1" w:styleId="717">
    <w:name w:val="71 ג כותרת 7 הדגשת קטע בטקסט רץ"/>
    <w:basedOn w:val="719"/>
    <w:link w:val="717Char"/>
    <w:qFormat/>
    <w:rsid w:val="00A8593C"/>
    <w:rPr>
      <w:rFonts w:eastAsiaTheme="minorEastAsia"/>
      <w:bCs/>
    </w:rPr>
  </w:style>
  <w:style w:type="paragraph" w:customStyle="1" w:styleId="716">
    <w:name w:val="71ג הזחה ראשונה ללא מספר"/>
    <w:basedOn w:val="Normal"/>
    <w:qFormat/>
    <w:rsid w:val="008874F2"/>
    <w:pPr>
      <w:spacing w:after="180" w:line="260" w:lineRule="exact"/>
      <w:ind w:left="397"/>
      <w:jc w:val="both"/>
    </w:pPr>
    <w:rPr>
      <w:rFonts w:ascii="Tahoma" w:hAnsi="Tahoma" w:eastAsiaTheme="minorHAnsi" w:cs="Tahoma"/>
      <w:color w:val="0D0D0D" w:themeColor="text1" w:themeTint="F2"/>
      <w:sz w:val="18"/>
      <w:szCs w:val="18"/>
    </w:rPr>
  </w:style>
  <w:style w:type="paragraph" w:styleId="ListBullet">
    <w:name w:val="List Bullet"/>
    <w:basedOn w:val="Normal"/>
    <w:uiPriority w:val="99"/>
    <w:unhideWhenUsed/>
    <w:rsid w:val="00424CEB"/>
    <w:pPr>
      <w:numPr>
        <w:numId w:val="25"/>
      </w:numPr>
      <w:bidi w:val="0"/>
      <w:spacing w:after="0" w:line="259" w:lineRule="auto"/>
      <w:contextualSpacing/>
      <w:jc w:val="both"/>
    </w:pPr>
    <w:rPr>
      <w:rFonts w:ascii="Times New Roman" w:hAnsi="Times New Roman" w:eastAsiaTheme="minorHAnsi" w:cs="David"/>
      <w:sz w:val="24"/>
      <w:szCs w:val="28"/>
    </w:rPr>
  </w:style>
  <w:style w:type="paragraph" w:customStyle="1" w:styleId="73R">
    <w:name w:val="73א טבלה טקסט R"/>
    <w:basedOn w:val="Normal"/>
    <w:qFormat/>
    <w:rsid w:val="00493F55"/>
    <w:pPr>
      <w:keepLines/>
      <w:spacing w:before="120" w:line="200" w:lineRule="exact"/>
    </w:pPr>
    <w:rPr>
      <w:rFonts w:ascii="Tahoma" w:hAnsi="Tahoma" w:cs="Tahoma"/>
      <w:sz w:val="16"/>
      <w:szCs w:val="16"/>
    </w:rPr>
  </w:style>
  <w:style w:type="paragraph" w:customStyle="1" w:styleId="a23">
    <w:name w:val="טקסט טבלה"/>
    <w:basedOn w:val="Normal"/>
    <w:qFormat/>
    <w:rsid w:val="00921FB5"/>
    <w:pPr>
      <w:keepLines/>
      <w:bidi w:val="0"/>
      <w:spacing w:before="120" w:line="240" w:lineRule="auto"/>
    </w:pPr>
    <w:rPr>
      <w:rFonts w:ascii="Tahoma" w:hAnsi="Tahoma" w:cs="Tahoma"/>
      <w:sz w:val="16"/>
      <w:szCs w:val="16"/>
    </w:rPr>
  </w:style>
  <w:style w:type="paragraph" w:customStyle="1" w:styleId="730">
    <w:name w:val="73א הערות שוליים"/>
    <w:basedOn w:val="FootnoteText"/>
    <w:link w:val="731"/>
    <w:qFormat/>
    <w:rsid w:val="00434B71"/>
    <w:pPr>
      <w:keepLines w:val="0"/>
      <w:spacing w:after="60" w:line="220" w:lineRule="exact"/>
      <w:ind w:right="0"/>
    </w:pPr>
    <w:rPr>
      <w:rFonts w:eastAsiaTheme="minorHAnsi"/>
      <w:color w:val="0D0D0D" w:themeColor="text1" w:themeTint="F2"/>
    </w:rPr>
  </w:style>
  <w:style w:type="character" w:customStyle="1" w:styleId="731">
    <w:name w:val="73א הערות שוליים תו"/>
    <w:basedOn w:val="DefaultParagraphFont"/>
    <w:link w:val="730"/>
    <w:rsid w:val="00434B71"/>
    <w:rPr>
      <w:rFonts w:ascii="Tahoma" w:hAnsi="Tahoma" w:eastAsiaTheme="minorHAnsi" w:cs="Tahoma"/>
      <w:color w:val="0D0D0D" w:themeColor="text1" w:themeTint="F2"/>
      <w:sz w:val="14"/>
      <w:szCs w:val="14"/>
    </w:rPr>
  </w:style>
  <w:style w:type="character" w:customStyle="1" w:styleId="34">
    <w:name w:val="טקסט הערת שוליים תו3"/>
    <w:aliases w:val=" Char תו1,F תו,FOOTNOTES תו1,Footnote Text - Sharp תו1,Footnote Text - Sharp Char תו1,Footnote Text - Sharp Char Char תו1,Footnote Text Char Char Char Char Char תו1,Footnote reference תו1,Sharp - Footnote Text תו1,fn תו1"/>
    <w:basedOn w:val="DefaultParagraphFont"/>
    <w:uiPriority w:val="99"/>
    <w:rsid w:val="002A18A0"/>
    <w:rPr>
      <w:szCs w:val="20"/>
    </w:rPr>
  </w:style>
  <w:style w:type="table" w:customStyle="1" w:styleId="4-11">
    <w:name w:val="טבלת רשת 4 - הדגשה 11"/>
    <w:basedOn w:val="TableNormal"/>
    <w:uiPriority w:val="49"/>
    <w:rsid w:val="006E013E"/>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customStyle="1" w:styleId="311">
    <w:name w:val="טבלת רשת 31"/>
    <w:basedOn w:val="TableNormal"/>
    <w:uiPriority w:val="48"/>
    <w:rsid w:val="00EB7C40"/>
    <w:pPr>
      <w:spacing w:after="0" w:line="240" w:lineRule="auto"/>
      <w:jc w:val="both"/>
    </w:pPr>
    <w:rPr>
      <w:rFonts w:ascii="Times New Roman" w:hAnsi="Times New Roman" w:eastAsiaTheme="minorHAnsi" w:cs="David"/>
      <w:sz w:val="20"/>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a24">
    <w:name w:val="קריאות"/>
    <w:basedOn w:val="Normal"/>
    <w:next w:val="Normal"/>
    <w:rsid w:val="006B212E"/>
    <w:pPr>
      <w:spacing w:after="0" w:line="240" w:lineRule="exact"/>
      <w:jc w:val="both"/>
    </w:pPr>
    <w:rPr>
      <w:rFonts w:ascii="David" w:eastAsia="Times New Roman" w:hAnsi="David" w:cs="David"/>
      <w:sz w:val="24"/>
      <w:szCs w:val="24"/>
      <w:u w:val="single"/>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image" Target="media/image12.jpeg"/><Relationship Id="rId21" Type="http://schemas.openxmlformats.org/officeDocument/2006/relationships/image" Target="media/image7.jpeg"/><Relationship Id="rId3" Type="http://schemas.openxmlformats.org/officeDocument/2006/relationships/settings" Target="settings.xml"/><Relationship Id="rId34" Type="http://schemas.openxmlformats.org/officeDocument/2006/relationships/customXml" Target="../customXml/item2.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styles" Target="styles.xml"/><Relationship Id="rId7" Type="http://schemas.openxmlformats.org/officeDocument/2006/relationships/header" Target="header1.xml"/><Relationship Id="rId16" Type="http://schemas.openxmlformats.org/officeDocument/2006/relationships/header" Target="header6.xml"/><Relationship Id="rId2" Type="http://schemas.openxmlformats.org/officeDocument/2006/relationships/endnotes" Target="endnotes.xml"/><Relationship Id="rId20" Type="http://schemas.openxmlformats.org/officeDocument/2006/relationships/image" Target="media/image6.jpeg"/><Relationship Id="rId29" Type="http://schemas.openxmlformats.org/officeDocument/2006/relationships/header" Target="header8.xml"/><Relationship Id="rId1"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0.jpeg"/><Relationship Id="rId32" Type="http://schemas.openxmlformats.org/officeDocument/2006/relationships/numbering" Target="numbering.xml"/><Relationship Id="rId6" Type="http://schemas.openxmlformats.org/officeDocument/2006/relationships/customXml" Target="../customXml/item1.xml"/><Relationship Id="rId15" Type="http://schemas.openxmlformats.org/officeDocument/2006/relationships/header" Target="header5.xml"/><Relationship Id="rId23" Type="http://schemas.openxmlformats.org/officeDocument/2006/relationships/image" Target="media/image9.jpeg"/><Relationship Id="rId28" Type="http://schemas.openxmlformats.org/officeDocument/2006/relationships/header" Target="header7.xml"/><Relationship Id="rId5" Type="http://schemas.openxmlformats.org/officeDocument/2006/relationships/fontTable" Target="fontTable.xml"/><Relationship Id="rId36" Type="http://schemas.openxmlformats.org/officeDocument/2006/relationships/customXml" Target="../customXml/item4.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theme" Target="theme/theme1.xm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emf"/><Relationship Id="rId30"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footer" Target="footer1.xml"/><Relationship Id="rId35" Type="http://schemas.openxmlformats.org/officeDocument/2006/relationships/customXml" Target="../customXml/item3.xml"/><Relationship Id="rId8" Type="http://schemas.openxmlformats.org/officeDocument/2006/relationships/header" Target="header2.xml"/></Relationships>
</file>

<file path=word/_rels/header3.xml.rels><?xml version="1.0" encoding="utf-8" standalone="yes"?><Relationships xmlns="http://schemas.openxmlformats.org/package/2006/relationships"><Relationship Id="rId1" Type="http://schemas.openxmlformats.org/officeDocument/2006/relationships/image" Target="media/image1.jpeg" /></Relationships>
</file>

<file path=word/_rels/header7.xml.rels><?xml version="1.0" encoding="utf-8" standalone="yes"?><Relationships xmlns="http://schemas.openxmlformats.org/package/2006/relationships"><Relationship Id="rId1" Type="http://schemas.openxmlformats.org/officeDocument/2006/relationships/image" Target="media/image14.jpeg" /></Relationships>
</file>

<file path=word/_rels/header8.xml.rels><?xml version="1.0" encoding="utf-8" standalone="yes"?><Relationships xmlns="http://schemas.openxmlformats.org/package/2006/relationships"><Relationship Id="rId1" Type="http://schemas.openxmlformats.org/officeDocument/2006/relationships/image" Target="media/image15.jpeg" /></Relationships>
</file>

<file path=word/_rels/numbering.xml.rels><?xml version="1.0" encoding="utf-8" standalone="yes"?><Relationships xmlns="http://schemas.openxmlformats.org/package/2006/relationships"><Relationship Id="rId1" Type="http://schemas.openxmlformats.org/officeDocument/2006/relationships/image" Target="media/image16.png" /></Relationships>
</file>

<file path=word/theme/_rels/theme1.xml.rels><?xml version="1.0" encoding="utf-8" standalone="yes"?><Relationships xmlns="http://schemas.openxmlformats.org/package/2006/relationships"><Relationship Id="rId1" Type="http://schemas.openxmlformats.org/officeDocument/2006/relationships/image" Target="../media/image18.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A1DF395-4A6D-4BC0-978A-D3BFA99824FB}">
  <ds:schemaRefs>
    <ds:schemaRef ds:uri="http://schemas.openxmlformats.org/officeDocument/2006/bibliography"/>
  </ds:schemaRefs>
</ds:datastoreItem>
</file>

<file path=customXml/itemProps2.xml><?xml version="1.0" encoding="utf-8"?>
<ds:datastoreItem xmlns:ds="http://schemas.openxmlformats.org/officeDocument/2006/customXml" ds:itemID="{C76273EE-733A-4721-A02A-B97BC27E6F4E}"/>
</file>

<file path=customXml/itemProps3.xml><?xml version="1.0" encoding="utf-8"?>
<ds:datastoreItem xmlns:ds="http://schemas.openxmlformats.org/officeDocument/2006/customXml" ds:itemID="{9A597336-F783-4653-A97C-85CB230854D6}"/>
</file>

<file path=customXml/itemProps4.xml><?xml version="1.0" encoding="utf-8"?>
<ds:datastoreItem xmlns:ds="http://schemas.openxmlformats.org/officeDocument/2006/customXml" ds:itemID="{63AF46E1-8B7C-4D17-A68C-B33A85AA8A59}"/>
</file>

<file path=docProps/app.xml><?xml version="1.0" encoding="utf-8"?>
<Properties xmlns="http://schemas.openxmlformats.org/officeDocument/2006/extended-properties" xmlns:vt="http://schemas.openxmlformats.org/officeDocument/2006/docPropsVTypes">
  <Template>Normal.dotm</Template>
  <TotalTime>19</TotalTime>
  <Pages>16</Pages>
  <Words>5638</Words>
  <Characters>28191</Characters>
  <Application>Microsoft Office Word</Application>
  <DocSecurity>0</DocSecurity>
  <Lines>234</Lines>
  <Paragraphs>67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 of Toll Roads</dc:title>
  <cp:lastModifiedBy>studio er</cp:lastModifiedBy>
  <cp:revision>9</cp:revision>
  <cp:lastPrinted>2022-08-30T09:23:00Z</cp:lastPrinted>
  <dcterms:created xsi:type="dcterms:W3CDTF">2025-04-06T12:41:00Z</dcterms:created>
  <dcterms:modified xsi:type="dcterms:W3CDTF">2025-04-20T13:42:00Z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