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2.8.0 -->
  <w:body>
    <w:bookmarkStart w:id="0" w:name="_Toc349122061"/>
    <w:bookmarkStart w:id="1" w:name="_Toc349136480"/>
    <w:bookmarkStart w:id="2" w:name="_Toc352831083"/>
    <w:bookmarkStart w:id="3" w:name="_Toc354324568"/>
    <w:bookmarkStart w:id="4" w:name="_Toc354661923"/>
    <w:p w:rsidR="00E077B7" w:rsidRPr="00590929" w:rsidP="003323CD" w14:paraId="44EF2C79" w14:textId="4D2D2D5B">
      <w:pPr>
        <w:spacing w:line="240" w:lineRule="exact"/>
        <w:jc w:val="both"/>
        <w:rPr>
          <w:rFonts w:ascii="Tahoma" w:hAnsi="Tahoma" w:cs="Tahoma"/>
          <w:sz w:val="17"/>
          <w:szCs w:val="18"/>
          <w:rtl/>
        </w:rPr>
      </w:pPr>
      <w:r>
        <w:rPr>
          <w:noProof/>
          <w:szCs w:val="18"/>
        </w:rPr>
        <mc:AlternateContent>
          <mc:Choice Requires="wps">
            <w:drawing>
              <wp:anchor distT="0" distB="0" distL="114300" distR="114300" simplePos="0" relativeHeight="251660288" behindDoc="0" locked="0" layoutInCell="1" allowOverlap="1">
                <wp:simplePos x="0" y="0"/>
                <wp:positionH relativeFrom="column">
                  <wp:posOffset>-314079</wp:posOffset>
                </wp:positionH>
                <wp:positionV relativeFrom="paragraph">
                  <wp:posOffset>-2140585</wp:posOffset>
                </wp:positionV>
                <wp:extent cx="6436840" cy="10836533"/>
                <wp:effectExtent l="12700" t="12700" r="15240" b="952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6436840" cy="10836533"/>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6" style="width:506.85pt;height:853.25pt;margin-top:-168.55pt;margin-left:-24.75pt;mso-height-percent:0;mso-height-relative:margin;mso-width-percent:0;mso-width-relative:margin;mso-wrap-distance-bottom:0;mso-wrap-distance-left:9pt;mso-wrap-distance-right:9pt;mso-wrap-distance-top:0;mso-wrap-style:square;position:absolute;visibility:visible;v-text-anchor:middle;z-index:251661312" fillcolor="#00305f" strokecolor="#073662" strokeweight="1.5pt">
                <v:stroke endcap="round"/>
              </v:rect>
            </w:pict>
          </mc:Fallback>
        </mc:AlternateContent>
      </w:r>
      <w:r w:rsidR="00316D38">
        <w:rPr>
          <w:rFonts w:ascii="Tahoma" w:hAnsi="Tahoma" w:cs="Tahoma"/>
          <w:noProof/>
          <w:sz w:val="17"/>
          <w:szCs w:val="18"/>
        </w:rPr>
        <mc:AlternateContent>
          <mc:Choice Requires="wps">
            <w:drawing>
              <wp:anchor distT="0" distB="0" distL="114300" distR="114300" simplePos="0" relativeHeight="251658240" behindDoc="0" locked="0" layoutInCell="1" allowOverlap="1">
                <wp:simplePos x="0" y="0"/>
                <wp:positionH relativeFrom="column">
                  <wp:posOffset>1550035</wp:posOffset>
                </wp:positionH>
                <wp:positionV relativeFrom="paragraph">
                  <wp:posOffset>1248410</wp:posOffset>
                </wp:positionV>
                <wp:extent cx="53975" cy="2734945"/>
                <wp:effectExtent l="0" t="0" r="0" b="0"/>
                <wp:wrapNone/>
                <wp:docPr id="1"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53975" cy="27349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27" style="width:4.25pt;height:215.35pt;margin-top:98.3pt;margin-left:122.05pt;mso-height-percent:0;mso-height-relative:margin;mso-width-percent:0;mso-width-relative:margin;mso-wrap-distance-bottom:0;mso-wrap-distance-left:9pt;mso-wrap-distance-right:9pt;mso-wrap-distance-top:0;mso-wrap-style:square;position:absolute;visibility:visible;v-text-anchor:middle;z-index:251659264" fillcolor="white" stroked="f" strokeweight="1.5pt">
                <v:stroke endcap="round"/>
              </v:rect>
            </w:pict>
          </mc:Fallback>
        </mc:AlternateContent>
      </w:r>
      <w:r w:rsidR="00316D38">
        <w:rPr>
          <w:rFonts w:ascii="Tahoma" w:hAnsi="Tahoma" w:cs="Tahoma"/>
          <w:sz w:val="17"/>
          <w:szCs w:val="18"/>
          <w:rtl/>
        </w:rPr>
        <w:softHyphen/>
      </w:r>
      <w:r w:rsidR="00316D38">
        <w:rPr>
          <w:rFonts w:ascii="Tahoma" w:hAnsi="Tahoma" w:cs="Tahoma"/>
          <w:sz w:val="17"/>
          <w:szCs w:val="18"/>
          <w:rtl/>
        </w:rPr>
        <w:softHyphen/>
      </w:r>
    </w:p>
    <w:p w:rsidR="006C5F46" w:rsidRPr="00E077B7" w:rsidP="00E077B7" w14:paraId="268A03C9" w14:textId="0A2BBDD1">
      <w:pPr>
        <w:pStyle w:val="NAME"/>
        <w:rPr>
          <w:rtl/>
        </w:rPr>
        <w:sectPr w:rsidSect="00D05191">
          <w:footerReference w:type="even" r:id="rId7"/>
          <w:footerReference w:type="default" r:id="rId8"/>
          <w:headerReference w:type="first" r:id="rId9"/>
          <w:pgSz w:w="11906" w:h="16838" w:code="9"/>
          <w:pgMar w:top="3119" w:right="2268" w:bottom="2268" w:left="2268" w:header="1985" w:footer="709" w:gutter="0"/>
          <w:pgNumType w:start="1"/>
          <w:cols w:space="708"/>
          <w:titlePg/>
          <w:bidi/>
          <w:rtlGutter/>
          <w:docGrid w:linePitch="360"/>
        </w:sectPr>
      </w:pPr>
      <w:r>
        <w:rPr>
          <w:noProof/>
          <w:sz w:val="22"/>
          <w:szCs w:val="22"/>
          <w:rtl/>
          <w:lang w:val="he-IL"/>
        </w:rPr>
        <mc:AlternateContent>
          <mc:Choice Requires="wps">
            <w:drawing>
              <wp:anchor distT="0" distB="0" distL="114300" distR="114300" simplePos="0" relativeHeight="251664384" behindDoc="0" locked="0" layoutInCell="1" allowOverlap="1">
                <wp:simplePos x="0" y="0"/>
                <wp:positionH relativeFrom="column">
                  <wp:posOffset>1593340</wp:posOffset>
                </wp:positionH>
                <wp:positionV relativeFrom="paragraph">
                  <wp:posOffset>1020908</wp:posOffset>
                </wp:positionV>
                <wp:extent cx="10443" cy="3521105"/>
                <wp:effectExtent l="25400" t="25400" r="27940" b="34925"/>
                <wp:wrapNone/>
                <wp:docPr id="1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10443" cy="352110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8" style="mso-height-percent:0;mso-height-relative:margin;mso-width-percent:0;mso-width-relative:margin;mso-wrap-distance-bottom:0;mso-wrap-distance-left:9pt;mso-wrap-distance-right:9pt;mso-wrap-distance-top:0;mso-wrap-style:square;position:absolute;visibility:visible;z-index:251665408" from="125.45pt,80.4pt" to="126.25pt,357.65pt" strokecolor="white" strokeweight="4pt">
                <v:stroke endcap="round"/>
              </v:line>
            </w:pict>
          </mc:Fallback>
        </mc:AlternateContent>
      </w:r>
      <w:r w:rsidRPr="00E539EA">
        <w:rPr>
          <w:noProof/>
          <w:sz w:val="17"/>
          <w:szCs w:val="18"/>
        </w:rPr>
        <mc:AlternateContent>
          <mc:Choice Requires="wps">
            <w:drawing>
              <wp:anchor distT="0" distB="0" distL="114300" distR="114300" simplePos="0" relativeHeight="251667456" behindDoc="0" locked="0" layoutInCell="1" allowOverlap="1">
                <wp:simplePos x="0" y="0"/>
                <wp:positionH relativeFrom="column">
                  <wp:posOffset>1773039</wp:posOffset>
                </wp:positionH>
                <wp:positionV relativeFrom="paragraph">
                  <wp:posOffset>2166283</wp:posOffset>
                </wp:positionV>
                <wp:extent cx="2726055" cy="555476"/>
                <wp:effectExtent l="0" t="0" r="0" b="0"/>
                <wp:wrapNone/>
                <wp:docPr id="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26055" cy="555476"/>
                        </a:xfrm>
                        <a:prstGeom prst="rect">
                          <a:avLst/>
                        </a:prstGeom>
                        <a:noFill/>
                        <a:ln w="9525">
                          <a:noFill/>
                          <a:miter lim="800000"/>
                          <a:headEnd/>
                          <a:tailEnd/>
                        </a:ln>
                      </wps:spPr>
                      <wps:txbx>
                        <w:txbxContent>
                          <w:p w:rsidR="00E16003" w:rsidRPr="00FA5C98" w:rsidP="004736B8" w14:textId="2D62D6F7">
                            <w:pPr>
                              <w:bidi w:val="0"/>
                              <w:spacing w:line="276" w:lineRule="auto"/>
                              <w:rPr>
                                <w:rFonts w:ascii="Tahoma" w:hAnsi="Tahoma" w:cs="Tahoma"/>
                                <w:color w:val="FFFFFF" w:themeColor="background1"/>
                                <w:spacing w:val="6"/>
                                <w:sz w:val="28"/>
                                <w:szCs w:val="28"/>
                                <w:rtl/>
                                <w:lang w:val="en"/>
                              </w:rPr>
                            </w:pPr>
                            <w:r w:rsidRPr="00FA5C98">
                              <w:rPr>
                                <w:rFonts w:ascii="Tahoma" w:hAnsi="Tahoma" w:cs="Tahoma"/>
                                <w:color w:val="FFFFFF" w:themeColor="background1"/>
                                <w:sz w:val="28"/>
                                <w:szCs w:val="28"/>
                                <w:lang w:val="en"/>
                              </w:rPr>
                              <w:t>Ministry of Transportation and Road Safety</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width:214.65pt;height:43.75pt;margin-top:170.55pt;margin-left:139.6pt;mso-height-percent:0;mso-height-relative:margin;mso-width-percent:0;mso-width-relative:margin;mso-wrap-distance-bottom:0;mso-wrap-distance-left:9pt;mso-wrap-distance-right:9pt;mso-wrap-distance-top:0;mso-wrap-style:square;position:absolute;visibility:visible;v-text-anchor:top;z-index:251668480" filled="f" stroked="f">
                <v:textbox>
                  <w:txbxContent>
                    <w:p w:rsidR="00E16003" w:rsidRPr="00FA5C98" w:rsidP="004736B8" w14:paraId="5EE59732" w14:textId="2D62D6F7">
                      <w:pPr>
                        <w:bidi w:val="0"/>
                        <w:spacing w:line="276" w:lineRule="auto"/>
                        <w:rPr>
                          <w:rFonts w:ascii="Tahoma" w:hAnsi="Tahoma" w:cs="Tahoma"/>
                          <w:color w:val="FFFFFF" w:themeColor="background1"/>
                          <w:spacing w:val="6"/>
                          <w:sz w:val="28"/>
                          <w:szCs w:val="28"/>
                          <w:rtl/>
                          <w:lang w:val="en"/>
                        </w:rPr>
                      </w:pPr>
                      <w:r w:rsidRPr="00FA5C98">
                        <w:rPr>
                          <w:rFonts w:ascii="Tahoma" w:hAnsi="Tahoma" w:cs="Tahoma"/>
                          <w:color w:val="FFFFFF" w:themeColor="background1"/>
                          <w:sz w:val="28"/>
                          <w:szCs w:val="28"/>
                          <w:lang w:val="en"/>
                        </w:rPr>
                        <w:t>Ministry of Transportation and Road Safety</w:t>
                      </w:r>
                    </w:p>
                  </w:txbxContent>
                </v:textbox>
              </v:shape>
            </w:pict>
          </mc:Fallback>
        </mc:AlternateContent>
      </w:r>
      <w:r>
        <w:rPr>
          <w:noProof/>
          <w:sz w:val="22"/>
          <w:szCs w:val="22"/>
          <w:rtl/>
          <w:lang w:val="he-IL"/>
        </w:rPr>
        <mc:AlternateContent>
          <mc:Choice Requires="wps">
            <w:drawing>
              <wp:anchor distT="0" distB="0" distL="114300" distR="114300" simplePos="0" relativeHeight="251674624" behindDoc="0" locked="0" layoutInCell="1" allowOverlap="1">
                <wp:simplePos x="0" y="0"/>
                <wp:positionH relativeFrom="column">
                  <wp:posOffset>1845310</wp:posOffset>
                </wp:positionH>
                <wp:positionV relativeFrom="paragraph">
                  <wp:posOffset>2767965</wp:posOffset>
                </wp:positionV>
                <wp:extent cx="2653030" cy="0"/>
                <wp:effectExtent l="12700" t="12700" r="13970" b="12700"/>
                <wp:wrapNone/>
                <wp:docPr id="24"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265303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0" style="flip:x y;mso-height-percent:0;mso-height-relative:margin;mso-width-percent:0;mso-width-relative:margin;mso-wrap-distance-bottom:0;mso-wrap-distance-left:9pt;mso-wrap-distance-right:9pt;mso-wrap-distance-top:0;mso-wrap-style:square;position:absolute;visibility:visible;z-index:251675648" from="145.3pt,217.95pt" to="354.2pt,217.95pt" strokecolor="white" strokeweight="1.5pt">
                <v:stroke endcap="round"/>
              </v:line>
            </w:pict>
          </mc:Fallback>
        </mc:AlternateContent>
      </w:r>
      <w:r w:rsidRPr="00E539EA">
        <w:rPr>
          <w:noProof/>
          <w:sz w:val="17"/>
          <w:szCs w:val="18"/>
        </w:rPr>
        <mc:AlternateContent>
          <mc:Choice Requires="wps">
            <w:drawing>
              <wp:anchor distT="0" distB="0" distL="114300" distR="114300" simplePos="0" relativeHeight="251669504" behindDoc="0" locked="0" layoutInCell="1" allowOverlap="1">
                <wp:simplePos x="0" y="0"/>
                <wp:positionH relativeFrom="column">
                  <wp:posOffset>1767205</wp:posOffset>
                </wp:positionH>
                <wp:positionV relativeFrom="paragraph">
                  <wp:posOffset>2816474</wp:posOffset>
                </wp:positionV>
                <wp:extent cx="3153410" cy="2560320"/>
                <wp:effectExtent l="0" t="0" r="0" b="0"/>
                <wp:wrapNone/>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53410" cy="2560320"/>
                        </a:xfrm>
                        <a:prstGeom prst="rect">
                          <a:avLst/>
                        </a:prstGeom>
                        <a:noFill/>
                        <a:ln w="9525">
                          <a:noFill/>
                          <a:miter lim="800000"/>
                          <a:headEnd/>
                          <a:tailEnd/>
                        </a:ln>
                      </wps:spPr>
                      <wps:txbx>
                        <w:txbxContent>
                          <w:p w:rsidR="00355057" w:rsidRPr="00543FBC" w:rsidP="00355057" w14:textId="4A06593A">
                            <w:pPr>
                              <w:bidi w:val="0"/>
                              <w:spacing w:after="0" w:line="240" w:lineRule="auto"/>
                              <w:rPr>
                                <w:rFonts w:asciiTheme="majorBidi" w:hAnsiTheme="majorBidi" w:cstheme="majorBidi"/>
                                <w:b/>
                                <w:bCs/>
                                <w:sz w:val="28"/>
                                <w:szCs w:val="28"/>
                                <w:rtl/>
                              </w:rPr>
                            </w:pPr>
                            <w:r w:rsidRPr="00543FBC">
                              <w:rPr>
                                <w:rFonts w:ascii="Tahoma" w:hAnsi="Tahoma" w:cs="Tahoma"/>
                                <w:b/>
                                <w:bCs/>
                                <w:color w:val="FFFFFF" w:themeColor="background1"/>
                                <w:spacing w:val="6"/>
                                <w:sz w:val="40"/>
                                <w:szCs w:val="40"/>
                              </w:rPr>
                              <w:t xml:space="preserve">Road Safety – </w:t>
                            </w:r>
                            <w:r>
                              <w:rPr>
                                <w:rFonts w:ascii="Tahoma" w:hAnsi="Tahoma" w:cs="Tahoma"/>
                                <w:b/>
                                <w:bCs/>
                                <w:color w:val="FFFFFF" w:themeColor="background1"/>
                                <w:spacing w:val="6"/>
                                <w:sz w:val="40"/>
                                <w:szCs w:val="40"/>
                                <w:rtl/>
                              </w:rPr>
                              <w:br/>
                            </w:r>
                            <w:r w:rsidRPr="00543FBC">
                              <w:rPr>
                                <w:rFonts w:ascii="Tahoma" w:hAnsi="Tahoma" w:cs="Tahoma"/>
                                <w:b/>
                                <w:bCs/>
                                <w:color w:val="FFFFFF" w:themeColor="background1"/>
                                <w:spacing w:val="6"/>
                                <w:sz w:val="40"/>
                                <w:szCs w:val="40"/>
                              </w:rPr>
                              <w:t>Special Report</w:t>
                            </w:r>
                          </w:p>
                          <w:p w:rsidR="00E16003" w:rsidRPr="00950E0A" w:rsidP="00E16003" w14:textId="7DF0ECB1">
                            <w:pPr>
                              <w:bidi w:val="0"/>
                              <w:spacing w:after="0" w:line="600" w:lineRule="exact"/>
                              <w:rPr>
                                <w:rFonts w:asciiTheme="majorBidi" w:hAnsiTheme="majorBidi" w:cstheme="majorBidi"/>
                                <w:b/>
                                <w:bCs/>
                                <w:sz w:val="28"/>
                                <w:szCs w:val="28"/>
                                <w:rtl/>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248.3pt;height:201.6pt;margin-top:221.75pt;margin-left:139.15pt;mso-height-percent:0;mso-height-relative:margin;mso-width-percent:0;mso-width-relative:margin;mso-wrap-distance-bottom:0;mso-wrap-distance-left:9pt;mso-wrap-distance-right:9pt;mso-wrap-distance-top:0;mso-wrap-style:square;position:absolute;visibility:visible;v-text-anchor:top;z-index:251670528" filled="f" stroked="f">
                <v:textbox>
                  <w:txbxContent>
                    <w:p w:rsidR="00355057" w:rsidRPr="00543FBC" w:rsidP="00355057" w14:paraId="59184F06" w14:textId="4A06593A">
                      <w:pPr>
                        <w:bidi w:val="0"/>
                        <w:spacing w:after="0" w:line="240" w:lineRule="auto"/>
                        <w:rPr>
                          <w:rFonts w:asciiTheme="majorBidi" w:hAnsiTheme="majorBidi" w:cstheme="majorBidi"/>
                          <w:b/>
                          <w:bCs/>
                          <w:sz w:val="28"/>
                          <w:szCs w:val="28"/>
                          <w:rtl/>
                        </w:rPr>
                      </w:pPr>
                      <w:r w:rsidRPr="00543FBC">
                        <w:rPr>
                          <w:rFonts w:ascii="Tahoma" w:hAnsi="Tahoma" w:cs="Tahoma"/>
                          <w:b/>
                          <w:bCs/>
                          <w:color w:val="FFFFFF" w:themeColor="background1"/>
                          <w:spacing w:val="6"/>
                          <w:sz w:val="40"/>
                          <w:szCs w:val="40"/>
                        </w:rPr>
                        <w:t xml:space="preserve">Road Safety – </w:t>
                      </w:r>
                      <w:r>
                        <w:rPr>
                          <w:rFonts w:ascii="Tahoma" w:hAnsi="Tahoma" w:cs="Tahoma"/>
                          <w:b/>
                          <w:bCs/>
                          <w:color w:val="FFFFFF" w:themeColor="background1"/>
                          <w:spacing w:val="6"/>
                          <w:sz w:val="40"/>
                          <w:szCs w:val="40"/>
                          <w:rtl/>
                        </w:rPr>
                        <w:br/>
                      </w:r>
                      <w:r w:rsidRPr="00543FBC">
                        <w:rPr>
                          <w:rFonts w:ascii="Tahoma" w:hAnsi="Tahoma" w:cs="Tahoma"/>
                          <w:b/>
                          <w:bCs/>
                          <w:color w:val="FFFFFF" w:themeColor="background1"/>
                          <w:spacing w:val="6"/>
                          <w:sz w:val="40"/>
                          <w:szCs w:val="40"/>
                        </w:rPr>
                        <w:t>Special Report</w:t>
                      </w:r>
                    </w:p>
                    <w:p w:rsidR="00E16003" w:rsidRPr="00950E0A" w:rsidP="00E16003" w14:paraId="28E63122" w14:textId="7DF0ECB1">
                      <w:pPr>
                        <w:bidi w:val="0"/>
                        <w:spacing w:after="0" w:line="600" w:lineRule="exact"/>
                        <w:rPr>
                          <w:rFonts w:asciiTheme="majorBidi" w:hAnsiTheme="majorBidi" w:cstheme="majorBidi"/>
                          <w:b/>
                          <w:bCs/>
                          <w:sz w:val="28"/>
                          <w:szCs w:val="28"/>
                          <w:rtl/>
                        </w:rPr>
                      </w:pPr>
                    </w:p>
                  </w:txbxContent>
                </v:textbox>
              </v:shape>
            </w:pict>
          </mc:Fallback>
        </mc:AlternateContent>
      </w:r>
      <w:r w:rsidRPr="00E539EA" w:rsidR="00191BA6">
        <w:rPr>
          <w:noProof/>
          <w:sz w:val="17"/>
          <w:szCs w:val="18"/>
        </w:rPr>
        <mc:AlternateContent>
          <mc:Choice Requires="wps">
            <w:drawing>
              <wp:anchor distT="0" distB="0" distL="114300" distR="114300" simplePos="0" relativeHeight="251671552" behindDoc="0" locked="0" layoutInCell="1" allowOverlap="1">
                <wp:simplePos x="0" y="0"/>
                <wp:positionH relativeFrom="column">
                  <wp:posOffset>1774658</wp:posOffset>
                </wp:positionH>
                <wp:positionV relativeFrom="paragraph">
                  <wp:posOffset>1371434</wp:posOffset>
                </wp:positionV>
                <wp:extent cx="3226435" cy="231006"/>
                <wp:effectExtent l="0" t="0" r="0" b="0"/>
                <wp:wrapNone/>
                <wp:docPr id="30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231006"/>
                        </a:xfrm>
                        <a:prstGeom prst="rect">
                          <a:avLst/>
                        </a:prstGeom>
                        <a:noFill/>
                        <a:ln w="9525">
                          <a:noFill/>
                          <a:miter lim="800000"/>
                          <a:headEnd/>
                          <a:tailEnd/>
                        </a:ln>
                      </wps:spPr>
                      <wps:txbx>
                        <w:txbxContent>
                          <w:p w:rsidR="001C0BF9" w:rsidRPr="00CE2FA5" w:rsidP="001C0BF9" w14:textId="77777777">
                            <w:pPr>
                              <w:bidi w:val="0"/>
                              <w:rPr>
                                <w:rFonts w:ascii="Tahoma" w:hAnsi="Tahoma" w:cs="Tahoma"/>
                                <w:color w:val="FFFFFF" w:themeColor="background1"/>
                                <w:spacing w:val="6"/>
                                <w:sz w:val="17"/>
                                <w:szCs w:val="17"/>
                              </w:rPr>
                            </w:pPr>
                            <w:r w:rsidRPr="00907169">
                              <w:rPr>
                                <w:rFonts w:ascii="Tahoma" w:hAnsi="Tahoma" w:cs="Tahoma"/>
                                <w:color w:val="FFFFFF" w:themeColor="background1"/>
                                <w:spacing w:val="6"/>
                                <w:sz w:val="17"/>
                                <w:szCs w:val="17"/>
                              </w:rPr>
                              <w:t xml:space="preserve">Report of the State Comptroller of Israel </w:t>
                            </w:r>
                            <w:r w:rsidRPr="001E4DB9">
                              <w:rPr>
                                <w:rFonts w:ascii="Tahoma" w:hAnsi="Tahoma" w:cs="Tahoma"/>
                                <w:color w:val="FFFFFF" w:themeColor="background1"/>
                                <w:spacing w:val="6"/>
                                <w:sz w:val="17"/>
                                <w:szCs w:val="17"/>
                              </w:rPr>
                              <w:t>| May 2024</w:t>
                            </w:r>
                          </w:p>
                          <w:p w:rsidR="00E16003" w:rsidRPr="00CE2FA5" w:rsidP="00D546FF" w14:textId="1238A9CC">
                            <w:pPr>
                              <w:bidi w:val="0"/>
                              <w:rPr>
                                <w:rFonts w:ascii="Tahoma" w:hAnsi="Tahoma" w:cs="Tahoma"/>
                                <w:color w:val="FFFFFF" w:themeColor="background1"/>
                                <w:spacing w:val="6"/>
                                <w:sz w:val="17"/>
                                <w:szCs w:val="17"/>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254.05pt;height:18.2pt;margin-top:108pt;margin-left:139.75pt;mso-height-percent:0;mso-height-relative:margin;mso-width-percent:0;mso-width-relative:margin;mso-wrap-distance-bottom:0;mso-wrap-distance-left:9pt;mso-wrap-distance-right:9pt;mso-wrap-distance-top:0;mso-wrap-style:square;position:absolute;visibility:visible;v-text-anchor:top;z-index:251672576" filled="f" stroked="f">
                <v:textbox>
                  <w:txbxContent>
                    <w:p w:rsidR="001C0BF9" w:rsidRPr="00CE2FA5" w:rsidP="001C0BF9" w14:paraId="22D6C2CA" w14:textId="77777777">
                      <w:pPr>
                        <w:bidi w:val="0"/>
                        <w:rPr>
                          <w:rFonts w:ascii="Tahoma" w:hAnsi="Tahoma" w:cs="Tahoma"/>
                          <w:color w:val="FFFFFF" w:themeColor="background1"/>
                          <w:spacing w:val="6"/>
                          <w:sz w:val="17"/>
                          <w:szCs w:val="17"/>
                        </w:rPr>
                      </w:pPr>
                      <w:r w:rsidRPr="00907169">
                        <w:rPr>
                          <w:rFonts w:ascii="Tahoma" w:hAnsi="Tahoma" w:cs="Tahoma"/>
                          <w:color w:val="FFFFFF" w:themeColor="background1"/>
                          <w:spacing w:val="6"/>
                          <w:sz w:val="17"/>
                          <w:szCs w:val="17"/>
                        </w:rPr>
                        <w:t xml:space="preserve">Report of the State Comptroller of Israel </w:t>
                      </w:r>
                      <w:r w:rsidRPr="001E4DB9">
                        <w:rPr>
                          <w:rFonts w:ascii="Tahoma" w:hAnsi="Tahoma" w:cs="Tahoma"/>
                          <w:color w:val="FFFFFF" w:themeColor="background1"/>
                          <w:spacing w:val="6"/>
                          <w:sz w:val="17"/>
                          <w:szCs w:val="17"/>
                        </w:rPr>
                        <w:t>| May 2024</w:t>
                      </w:r>
                    </w:p>
                    <w:p w:rsidR="00E16003" w:rsidRPr="00CE2FA5" w:rsidP="00D546FF" w14:paraId="5156A4BB" w14:textId="1238A9CC">
                      <w:pPr>
                        <w:bidi w:val="0"/>
                        <w:rPr>
                          <w:rFonts w:ascii="Tahoma" w:hAnsi="Tahoma" w:cs="Tahoma"/>
                          <w:color w:val="FFFFFF" w:themeColor="background1"/>
                          <w:spacing w:val="6"/>
                          <w:sz w:val="17"/>
                          <w:szCs w:val="17"/>
                        </w:rPr>
                      </w:pPr>
                    </w:p>
                  </w:txbxContent>
                </v:textbox>
              </v:shape>
            </w:pict>
          </mc:Fallback>
        </mc:AlternateContent>
      </w:r>
      <w:r w:rsidR="00B650F8">
        <w:rPr>
          <w:noProof/>
          <w:sz w:val="22"/>
          <w:szCs w:val="22"/>
          <w:rtl/>
          <w:lang w:val="he-IL"/>
        </w:rPr>
        <w:drawing>
          <wp:anchor distT="0" distB="0" distL="114300" distR="114300" simplePos="0" relativeHeight="251666432" behindDoc="0" locked="0" layoutInCell="1" allowOverlap="1">
            <wp:simplePos x="0" y="0"/>
            <wp:positionH relativeFrom="column">
              <wp:posOffset>471805</wp:posOffset>
            </wp:positionH>
            <wp:positionV relativeFrom="paragraph">
              <wp:posOffset>1159510</wp:posOffset>
            </wp:positionV>
            <wp:extent cx="1010285" cy="707390"/>
            <wp:effectExtent l="0" t="0" r="0" b="0"/>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rtl/>
          <w:lang w:val="he-IL"/>
        </w:rPr>
        <mc:AlternateContent>
          <mc:Choice Requires="wps">
            <w:drawing>
              <wp:anchor distT="0" distB="0" distL="114300" distR="114300" simplePos="0" relativeHeight="251662336" behindDoc="0" locked="0" layoutInCell="1" allowOverlap="1">
                <wp:simplePos x="0" y="0"/>
                <wp:positionH relativeFrom="column">
                  <wp:posOffset>8342613</wp:posOffset>
                </wp:positionH>
                <wp:positionV relativeFrom="paragraph">
                  <wp:posOffset>748665</wp:posOffset>
                </wp:positionV>
                <wp:extent cx="0" cy="3448050"/>
                <wp:effectExtent l="25400" t="25400" r="25400" b="31750"/>
                <wp:wrapNone/>
                <wp:docPr id="13"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4480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33" style="mso-height-percent:0;mso-height-relative:margin;mso-wrap-distance-bottom:0;mso-wrap-distance-left:9pt;mso-wrap-distance-right:9pt;mso-wrap-distance-top:0;mso-wrap-style:square;position:absolute;visibility:visible;z-index:251663360" from="656.9pt,58.95pt" to="656.9pt,330.45pt" strokecolor="white" strokeweight="4pt">
                <v:stroke endcap="round"/>
              </v:line>
            </w:pict>
          </mc:Fallback>
        </mc:AlternateContent>
      </w:r>
    </w:p>
    <w:p w:rsidR="00F1368B" w:rsidRPr="00590929" w:rsidP="003323CD" w14:paraId="17C00A18" w14:textId="77777777">
      <w:pPr>
        <w:spacing w:line="240" w:lineRule="exact"/>
        <w:jc w:val="both"/>
        <w:rPr>
          <w:rFonts w:ascii="Tahoma" w:hAnsi="Tahoma" w:cs="Tahoma"/>
          <w:sz w:val="17"/>
          <w:szCs w:val="18"/>
          <w:rtl/>
        </w:rPr>
      </w:pPr>
    </w:p>
    <w:p w:rsidR="00327FBF" w:rsidRPr="0010599F" w:rsidP="003323CD" w14:paraId="3D4FE68D" w14:textId="77777777">
      <w:pPr>
        <w:spacing w:line="240" w:lineRule="exact"/>
        <w:jc w:val="both"/>
        <w:rPr>
          <w:rFonts w:ascii="Tahoma" w:hAnsi="Tahoma" w:cs="Tahoma"/>
          <w:sz w:val="17"/>
          <w:szCs w:val="17"/>
          <w:rtl/>
        </w:rPr>
        <w:sectPr w:rsidSect="00D05191">
          <w:headerReference w:type="even" r:id="rId11"/>
          <w:headerReference w:type="default" r:id="rId12"/>
          <w:headerReference w:type="first" r:id="rId13"/>
          <w:pgSz w:w="11906" w:h="16838" w:code="9"/>
          <w:pgMar w:top="3119" w:right="2268" w:bottom="2268" w:left="2268" w:header="1871" w:footer="709" w:gutter="0"/>
          <w:pgNumType w:start="2"/>
          <w:cols w:space="708"/>
          <w:titlePg/>
          <w:bidi/>
          <w:rtlGutter/>
          <w:docGrid w:linePitch="360"/>
        </w:sectPr>
      </w:pPr>
    </w:p>
    <w:bookmarkEnd w:id="0"/>
    <w:bookmarkEnd w:id="1"/>
    <w:bookmarkEnd w:id="2"/>
    <w:bookmarkEnd w:id="3"/>
    <w:bookmarkEnd w:id="4"/>
    <w:p w:rsidR="001D65CE" w:rsidRPr="00F052AC" w:rsidP="00191BA6" w14:paraId="647EBF7B" w14:textId="7CD3D713">
      <w:pPr>
        <w:pStyle w:val="7120"/>
        <w:bidi w:val="0"/>
        <w:spacing w:before="0" w:after="960"/>
        <w:ind w:right="-142"/>
        <w:rPr>
          <w:rFonts w:eastAsiaTheme="majorEastAsia"/>
          <w:sz w:val="34"/>
          <w:rtl/>
        </w:rPr>
      </w:pPr>
      <w:r>
        <w:rPr>
          <w:rFonts w:eastAsiaTheme="majorEastAsia" w:hint="cs"/>
          <w:noProof/>
          <w:sz w:val="34"/>
        </w:rPr>
        <mc:AlternateContent>
          <mc:Choice Requires="wps">
            <w:drawing>
              <wp:anchor distT="0" distB="0" distL="114300" distR="114300" simplePos="0" relativeHeight="251676672" behindDoc="0" locked="0" layoutInCell="1" allowOverlap="1">
                <wp:simplePos x="0" y="0"/>
                <wp:positionH relativeFrom="column">
                  <wp:posOffset>5069205</wp:posOffset>
                </wp:positionH>
                <wp:positionV relativeFrom="paragraph">
                  <wp:posOffset>199256</wp:posOffset>
                </wp:positionV>
                <wp:extent cx="192405" cy="6086475"/>
                <wp:effectExtent l="0" t="0" r="0" b="0"/>
                <wp:wrapNone/>
                <wp:docPr id="31" name="מלבן 31"/>
                <wp:cNvGraphicFramePr/>
                <a:graphic xmlns:a="http://schemas.openxmlformats.org/drawingml/2006/main">
                  <a:graphicData uri="http://schemas.microsoft.com/office/word/2010/wordprocessingShape">
                    <wps:wsp xmlns:wps="http://schemas.microsoft.com/office/word/2010/wordprocessingShape">
                      <wps:cNvSpPr/>
                      <wps:spPr>
                        <a:xfrm>
                          <a:off x="0" y="0"/>
                          <a:ext cx="192405" cy="6086475"/>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31" o:spid="_x0000_s1034" style="width:15.15pt;height:479.25pt;margin-top:15.7pt;margin-left:399.15pt;mso-height-percent:0;mso-height-relative:margin;mso-width-percent:0;mso-width-relative:margin;mso-wrap-distance-bottom:0;mso-wrap-distance-left:9pt;mso-wrap-distance-right:9pt;mso-wrap-distance-top:0;mso-wrap-style:square;position:absolute;visibility:visible;v-text-anchor:middle;z-index:251677696" fillcolor="#00305f" stroked="f" strokeweight="1.5pt">
                <v:stroke endcap="round"/>
              </v:rect>
            </w:pict>
          </mc:Fallback>
        </mc:AlternateContent>
      </w:r>
      <w:r w:rsidRPr="00FA5C98" w:rsidR="00FA5C98">
        <w:rPr>
          <w:rFonts w:eastAsiaTheme="majorEastAsia"/>
          <w:noProof/>
          <w:sz w:val="34"/>
        </w:rPr>
        <w:t xml:space="preserve">Road Safety –  Special Report </w:t>
      </w:r>
      <w:r w:rsidR="00D12832">
        <w:rPr>
          <w:rFonts w:eastAsiaTheme="majorEastAsia"/>
          <w:noProof/>
          <w:sz w:val="34"/>
        </w:rPr>
        <w:t xml:space="preserve"> </w:t>
      </w:r>
    </w:p>
    <w:p w:rsidR="00605DF2" w:rsidP="00BB1479" w14:paraId="55A1FDE5" w14:textId="335E4CD7">
      <w:pPr>
        <w:bidi w:val="0"/>
        <w:spacing w:before="360" w:after="24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rPr>
        <w:drawing>
          <wp:inline distT="0" distB="0" distL="0" distR="0">
            <wp:extent cx="1335027" cy="320919"/>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35027" cy="320919"/>
                    </a:xfrm>
                    <a:prstGeom prst="rect">
                      <a:avLst/>
                    </a:prstGeom>
                  </pic:spPr>
                </pic:pic>
              </a:graphicData>
            </a:graphic>
          </wp:inline>
        </w:drawing>
      </w:r>
    </w:p>
    <w:p w:rsidR="00FA5C98" w:rsidRPr="00D44C4D" w:rsidP="00FA5C98" w14:paraId="28D79CFA" w14:textId="77777777">
      <w:pPr>
        <w:pStyle w:val="719"/>
        <w:bidi w:val="0"/>
        <w:rPr>
          <w:rtl/>
        </w:rPr>
      </w:pPr>
      <w:r w:rsidRPr="00D44C4D">
        <w:rPr>
          <w:lang w:val="en"/>
        </w:rPr>
        <w:t>Road accidents are one of the leading causes of death in Israel</w:t>
      </w:r>
      <w:r>
        <w:rPr>
          <w:lang w:val="en"/>
        </w:rPr>
        <w:t>;</w:t>
      </w:r>
      <w:r w:rsidRPr="00D44C4D">
        <w:rPr>
          <w:lang w:val="en"/>
        </w:rPr>
        <w:t xml:space="preserve"> </w:t>
      </w:r>
      <w:r>
        <w:rPr>
          <w:lang w:val="en"/>
        </w:rPr>
        <w:t>therefore,</w:t>
      </w:r>
      <w:r w:rsidRPr="00D44C4D">
        <w:rPr>
          <w:lang w:val="en"/>
        </w:rPr>
        <w:t xml:space="preserve"> the fight against them </w:t>
      </w:r>
      <w:r>
        <w:rPr>
          <w:lang w:val="en"/>
        </w:rPr>
        <w:t xml:space="preserve">is </w:t>
      </w:r>
      <w:r w:rsidRPr="00D44C4D">
        <w:rPr>
          <w:lang w:val="en"/>
        </w:rPr>
        <w:t xml:space="preserve">a national mission. Since the establishment of the </w:t>
      </w:r>
      <w:r>
        <w:rPr>
          <w:lang w:val="en"/>
        </w:rPr>
        <w:t>S</w:t>
      </w:r>
      <w:r w:rsidRPr="00D44C4D">
        <w:rPr>
          <w:lang w:val="en"/>
        </w:rPr>
        <w:t xml:space="preserve">tate </w:t>
      </w:r>
      <w:r>
        <w:rPr>
          <w:lang w:val="en"/>
        </w:rPr>
        <w:t xml:space="preserve">of Israel (1948) </w:t>
      </w:r>
      <w:r w:rsidRPr="00D44C4D">
        <w:rPr>
          <w:lang w:val="en"/>
        </w:rPr>
        <w:t>until the end of 2022, 32,632 people have been killed in road accidents, 351 of them in 2022 alone. In addition to the fatalities, the accidents result</w:t>
      </w:r>
      <w:r>
        <w:rPr>
          <w:lang w:val="en"/>
        </w:rPr>
        <w:t>ed</w:t>
      </w:r>
      <w:r w:rsidRPr="00D44C4D">
        <w:rPr>
          <w:lang w:val="en"/>
        </w:rPr>
        <w:t xml:space="preserve"> in hundreds of thousands of injur</w:t>
      </w:r>
      <w:r>
        <w:rPr>
          <w:lang w:val="en"/>
        </w:rPr>
        <w:t>ies</w:t>
      </w:r>
      <w:r w:rsidRPr="00D44C4D">
        <w:rPr>
          <w:lang w:val="en"/>
        </w:rPr>
        <w:t xml:space="preserve"> and significant economic damage to the country. Over the years, successive Israeli governments have made numerous decisions </w:t>
      </w:r>
      <w:r>
        <w:rPr>
          <w:lang w:val="en"/>
        </w:rPr>
        <w:t>preventing</w:t>
      </w:r>
      <w:r w:rsidRPr="00D44C4D">
        <w:rPr>
          <w:lang w:val="en"/>
        </w:rPr>
        <w:t xml:space="preserve"> road accidents. In addition, public and parliamentary committees have been established, including the Public Committee for the Preparation of a Multi-Year National Road Safety Program headed by Dr. Jacob </w:t>
      </w:r>
      <w:r w:rsidRPr="00D44C4D">
        <w:rPr>
          <w:lang w:val="en"/>
        </w:rPr>
        <w:t>Sheinin</w:t>
      </w:r>
      <w:r w:rsidRPr="00D44C4D">
        <w:rPr>
          <w:lang w:val="en"/>
        </w:rPr>
        <w:t xml:space="preserve"> (the </w:t>
      </w:r>
      <w:r w:rsidRPr="00D44C4D">
        <w:rPr>
          <w:lang w:val="en"/>
        </w:rPr>
        <w:t>Sheinin</w:t>
      </w:r>
      <w:r w:rsidRPr="00D44C4D">
        <w:rPr>
          <w:lang w:val="en"/>
        </w:rPr>
        <w:t xml:space="preserve"> Committee). Following the committee</w:t>
      </w:r>
      <w:r>
        <w:rPr>
          <w:lang w:val="en"/>
        </w:rPr>
        <w:t>'s</w:t>
      </w:r>
      <w:r w:rsidRPr="00D44C4D">
        <w:rPr>
          <w:lang w:val="en"/>
        </w:rPr>
        <w:t xml:space="preserve"> report in 2005 (the 2005 National Program or the </w:t>
      </w:r>
      <w:r w:rsidRPr="00D44C4D">
        <w:rPr>
          <w:lang w:val="en"/>
        </w:rPr>
        <w:t>Sheinin</w:t>
      </w:r>
      <w:r w:rsidRPr="00D44C4D">
        <w:rPr>
          <w:lang w:val="en"/>
        </w:rPr>
        <w:t xml:space="preserve"> Committee recommendations), the National Road Safety Authority Law (Temporary Provision), 2006 (the RSA Law) was enacted. In this law, the Minister of Transportation was de</w:t>
      </w:r>
      <w:r>
        <w:rPr>
          <w:lang w:val="en"/>
        </w:rPr>
        <w:t>fined</w:t>
      </w:r>
      <w:r w:rsidRPr="00D44C4D">
        <w:rPr>
          <w:lang w:val="en"/>
        </w:rPr>
        <w:t xml:space="preserve"> as the "Minister of Transportation and Road Safety," </w:t>
      </w:r>
      <w:r>
        <w:rPr>
          <w:lang w:val="en"/>
        </w:rPr>
        <w:t xml:space="preserve">(MOT) and </w:t>
      </w:r>
      <w:r w:rsidRPr="00D44C4D">
        <w:rPr>
          <w:lang w:val="en"/>
        </w:rPr>
        <w:t>the National Road Safety Authority (RSA) was established under its provisions</w:t>
      </w:r>
      <w:r>
        <w:rPr>
          <w:lang w:val="en"/>
        </w:rPr>
        <w:t xml:space="preserve">, which </w:t>
      </w:r>
      <w:r w:rsidRPr="00D44C4D">
        <w:rPr>
          <w:lang w:val="en"/>
        </w:rPr>
        <w:t>began operations in 2008.</w:t>
      </w:r>
    </w:p>
    <w:p w:rsidR="00FA5C98" w:rsidRPr="00D44C4D" w:rsidP="00FA5C98" w14:paraId="72ADEC52" w14:textId="77777777">
      <w:pPr>
        <w:pStyle w:val="719"/>
        <w:bidi w:val="0"/>
        <w:rPr>
          <w:rtl/>
        </w:rPr>
      </w:pPr>
      <w:r>
        <w:rPr>
          <w:lang w:val="en"/>
        </w:rPr>
        <w:t xml:space="preserve">It is customary to divide the leading </w:t>
      </w:r>
      <w:r w:rsidRPr="00D44C4D">
        <w:rPr>
          <w:lang w:val="en"/>
        </w:rPr>
        <w:t xml:space="preserve">causes of road accidents into three categories: </w:t>
      </w:r>
      <w:r w:rsidRPr="00D44C4D">
        <w:rPr>
          <w:b/>
          <w:bCs/>
          <w:lang w:val="en"/>
        </w:rPr>
        <w:t xml:space="preserve">(a) </w:t>
      </w:r>
      <w:r>
        <w:rPr>
          <w:rFonts w:hint="cs"/>
          <w:b/>
          <w:bCs/>
          <w:lang w:val="en"/>
        </w:rPr>
        <w:t>H</w:t>
      </w:r>
      <w:r w:rsidRPr="00D44C4D">
        <w:rPr>
          <w:b/>
          <w:bCs/>
          <w:lang w:val="en"/>
        </w:rPr>
        <w:t xml:space="preserve">uman </w:t>
      </w:r>
      <w:r>
        <w:rPr>
          <w:b/>
          <w:bCs/>
          <w:lang w:val="en"/>
        </w:rPr>
        <w:t>F</w:t>
      </w:r>
      <w:r w:rsidRPr="00D44C4D">
        <w:rPr>
          <w:b/>
          <w:bCs/>
          <w:lang w:val="en"/>
        </w:rPr>
        <w:t xml:space="preserve">actors </w:t>
      </w:r>
      <w:r>
        <w:rPr>
          <w:lang w:val="en"/>
        </w:rPr>
        <w:t>–</w:t>
      </w:r>
      <w:r w:rsidRPr="00D44C4D">
        <w:rPr>
          <w:lang w:val="en"/>
        </w:rPr>
        <w:t xml:space="preserve"> this includes failures in driver training, human errors, negligence, non-compliance with traffic laws, dangerous driving, and driving under the influence of alcohol and drugs. In this category, adequate enforcement and deterrent punishment can reduce the number of accidents; </w:t>
      </w:r>
      <w:r w:rsidRPr="00D44C4D">
        <w:rPr>
          <w:b/>
          <w:bCs/>
          <w:lang w:val="en"/>
        </w:rPr>
        <w:t xml:space="preserve">(b) </w:t>
      </w:r>
      <w:r>
        <w:rPr>
          <w:b/>
          <w:bCs/>
          <w:lang w:val="en"/>
        </w:rPr>
        <w:t>I</w:t>
      </w:r>
      <w:r w:rsidRPr="00D44C4D">
        <w:rPr>
          <w:b/>
          <w:bCs/>
          <w:lang w:val="en"/>
        </w:rPr>
        <w:t xml:space="preserve">nfrastructure </w:t>
      </w:r>
      <w:r>
        <w:rPr>
          <w:b/>
          <w:bCs/>
          <w:lang w:val="en"/>
        </w:rPr>
        <w:t>F</w:t>
      </w:r>
      <w:r w:rsidRPr="00D44C4D">
        <w:rPr>
          <w:b/>
          <w:bCs/>
          <w:lang w:val="en"/>
        </w:rPr>
        <w:t xml:space="preserve">actors </w:t>
      </w:r>
      <w:r>
        <w:rPr>
          <w:lang w:val="en"/>
        </w:rPr>
        <w:t>–</w:t>
      </w:r>
      <w:r w:rsidRPr="00D44C4D">
        <w:rPr>
          <w:lang w:val="en"/>
        </w:rPr>
        <w:t xml:space="preserve"> including poor planning, failure to treat hazardous areas, narrow road shoulders, low road maintenance levels, and </w:t>
      </w:r>
      <w:r>
        <w:rPr>
          <w:lang w:val="en"/>
        </w:rPr>
        <w:t xml:space="preserve">the </w:t>
      </w:r>
      <w:r w:rsidRPr="00D44C4D">
        <w:rPr>
          <w:lang w:val="en"/>
        </w:rPr>
        <w:t xml:space="preserve">lack of rest stops; </w:t>
      </w:r>
      <w:r w:rsidRPr="00D44C4D">
        <w:rPr>
          <w:b/>
          <w:bCs/>
          <w:lang w:val="en"/>
        </w:rPr>
        <w:t xml:space="preserve">(c) </w:t>
      </w:r>
      <w:r>
        <w:rPr>
          <w:b/>
          <w:bCs/>
          <w:lang w:val="en"/>
        </w:rPr>
        <w:t>V</w:t>
      </w:r>
      <w:r w:rsidRPr="00D44C4D">
        <w:rPr>
          <w:b/>
          <w:bCs/>
          <w:lang w:val="en"/>
        </w:rPr>
        <w:t xml:space="preserve">ehicle </w:t>
      </w:r>
      <w:r>
        <w:rPr>
          <w:b/>
          <w:bCs/>
          <w:lang w:val="en"/>
        </w:rPr>
        <w:t>F</w:t>
      </w:r>
      <w:r w:rsidRPr="00D44C4D">
        <w:rPr>
          <w:b/>
          <w:bCs/>
          <w:lang w:val="en"/>
        </w:rPr>
        <w:t>actors</w:t>
      </w:r>
      <w:r w:rsidRPr="00D44C4D">
        <w:rPr>
          <w:lang w:val="en"/>
        </w:rPr>
        <w:t xml:space="preserve"> </w:t>
      </w:r>
      <w:r>
        <w:rPr>
          <w:lang w:val="en"/>
        </w:rPr>
        <w:t>–</w:t>
      </w:r>
      <w:r w:rsidRPr="00D44C4D">
        <w:rPr>
          <w:lang w:val="en"/>
        </w:rPr>
        <w:t xml:space="preserve"> this includes "blind spots," lack of technological systems to prevent accidents, and low maintenance levels of vehicles.</w:t>
      </w:r>
    </w:p>
    <w:p w:rsidR="00FA5C98" w:rsidRPr="003E6318" w:rsidP="00FA5C98" w14:paraId="15500D43" w14:textId="77777777">
      <w:pPr>
        <w:pStyle w:val="719"/>
        <w:bidi w:val="0"/>
        <w:rPr>
          <w:rtl/>
        </w:rPr>
      </w:pPr>
      <w:r w:rsidRPr="003E6318">
        <w:t xml:space="preserve">The multitude of factors influencing the prevalence of road accidents makes fighting them a complex process. The responsibility for addressing road safety lies with several government bodies, including the MOT, the RSA, the Traffic Division of the Israel Police, the Ministry of Education, the Ministry of Health, the Courts Administration, and the local authorities. </w:t>
      </w:r>
    </w:p>
    <w:p w:rsidR="00FA5C98" w:rsidRPr="00F0124F" w:rsidP="00FA5C98" w14:paraId="3B198667" w14:textId="361C4566">
      <w:pPr>
        <w:pStyle w:val="719"/>
        <w:bidi w:val="0"/>
        <w:rPr>
          <w:lang w:val="en"/>
        </w:rPr>
      </w:pPr>
      <w:r w:rsidRPr="00D44C4D">
        <w:rPr>
          <w:rFonts w:hint="cs"/>
          <w:lang w:val="en"/>
        </w:rPr>
        <w:t xml:space="preserve">Although road accidents </w:t>
      </w:r>
      <w:r>
        <w:rPr>
          <w:lang w:val="en"/>
        </w:rPr>
        <w:t>have been</w:t>
      </w:r>
      <w:r w:rsidRPr="00D44C4D">
        <w:rPr>
          <w:rFonts w:hint="cs"/>
          <w:lang w:val="en"/>
        </w:rPr>
        <w:t xml:space="preserve"> on the </w:t>
      </w:r>
      <w:r>
        <w:rPr>
          <w:lang w:val="en"/>
        </w:rPr>
        <w:t xml:space="preserve">public </w:t>
      </w:r>
      <w:r w:rsidRPr="00D44C4D">
        <w:rPr>
          <w:rFonts w:hint="cs"/>
          <w:lang w:val="en"/>
        </w:rPr>
        <w:t xml:space="preserve">agenda for many years, the various government actions over the </w:t>
      </w:r>
      <w:r>
        <w:rPr>
          <w:lang w:val="en"/>
        </w:rPr>
        <w:t>p</w:t>
      </w:r>
      <w:r w:rsidRPr="00D44C4D">
        <w:rPr>
          <w:rFonts w:hint="cs"/>
          <w:lang w:val="en"/>
        </w:rPr>
        <w:t>ast decade have not</w:t>
      </w:r>
      <w:r>
        <w:rPr>
          <w:lang w:val="en"/>
        </w:rPr>
        <w:t xml:space="preserve"> had a significant impact</w:t>
      </w:r>
      <w:r w:rsidRPr="00D44C4D">
        <w:rPr>
          <w:rFonts w:hint="cs"/>
          <w:lang w:val="en"/>
        </w:rPr>
        <w:t xml:space="preserve"> </w:t>
      </w:r>
      <w:r>
        <w:rPr>
          <w:lang w:val="en"/>
        </w:rPr>
        <w:t xml:space="preserve">and </w:t>
      </w:r>
      <w:r w:rsidRPr="00D44C4D">
        <w:rPr>
          <w:rFonts w:hint="cs"/>
          <w:lang w:val="en"/>
        </w:rPr>
        <w:t xml:space="preserve">have </w:t>
      </w:r>
      <w:r>
        <w:rPr>
          <w:lang w:val="en"/>
        </w:rPr>
        <w:t xml:space="preserve">not </w:t>
      </w:r>
      <w:r w:rsidRPr="00D44C4D">
        <w:rPr>
          <w:rFonts w:hint="cs"/>
          <w:lang w:val="en"/>
        </w:rPr>
        <w:t>reduc</w:t>
      </w:r>
      <w:r>
        <w:rPr>
          <w:lang w:val="en"/>
        </w:rPr>
        <w:t>ed</w:t>
      </w:r>
      <w:r w:rsidRPr="00D44C4D">
        <w:rPr>
          <w:rFonts w:hint="cs"/>
          <w:lang w:val="en"/>
        </w:rPr>
        <w:t xml:space="preserve"> the number of fatalities and injur</w:t>
      </w:r>
      <w:r>
        <w:rPr>
          <w:lang w:val="en"/>
        </w:rPr>
        <w:t>ies</w:t>
      </w:r>
      <w:r w:rsidRPr="00D44C4D">
        <w:rPr>
          <w:rFonts w:hint="cs"/>
          <w:lang w:val="en"/>
        </w:rPr>
        <w:t xml:space="preserve"> </w:t>
      </w:r>
      <w:r>
        <w:rPr>
          <w:lang w:val="en"/>
        </w:rPr>
        <w:t>from</w:t>
      </w:r>
      <w:r w:rsidRPr="00D44C4D">
        <w:rPr>
          <w:rFonts w:hint="cs"/>
          <w:lang w:val="en"/>
        </w:rPr>
        <w:t xml:space="preserve"> road accidents. The importance of this issue and the lack of a</w:t>
      </w:r>
      <w:r>
        <w:rPr>
          <w:lang w:val="en"/>
        </w:rPr>
        <w:t>n apparent</w:t>
      </w:r>
      <w:r w:rsidRPr="00D44C4D">
        <w:rPr>
          <w:rFonts w:hint="cs"/>
          <w:lang w:val="en"/>
        </w:rPr>
        <w:t xml:space="preserve"> improvement over the last decade</w:t>
      </w:r>
      <w:r w:rsidRPr="00D44C4D">
        <w:rPr>
          <w:lang w:val="en"/>
        </w:rPr>
        <w:t xml:space="preserve"> </w:t>
      </w:r>
      <w:r w:rsidRPr="00D44C4D">
        <w:rPr>
          <w:rFonts w:hint="cs"/>
          <w:lang w:val="en"/>
        </w:rPr>
        <w:t>have led the</w:t>
      </w:r>
      <w:r w:rsidRPr="00537914">
        <w:rPr>
          <w:rFonts w:hint="cs"/>
          <w:lang w:val="en"/>
        </w:rPr>
        <w:t xml:space="preserve"> State Comptroller's </w:t>
      </w:r>
      <w:r w:rsidRPr="00537914">
        <w:rPr>
          <w:rFonts w:hint="cs"/>
          <w:lang w:val="en"/>
        </w:rPr>
        <w:t>Office to monitor and examine</w:t>
      </w:r>
      <w:r w:rsidRPr="00F105AA">
        <w:rPr>
          <w:rFonts w:hint="cs"/>
          <w:lang w:val="en"/>
        </w:rPr>
        <w:t xml:space="preserve"> </w:t>
      </w:r>
      <w:r w:rsidRPr="00F0124F">
        <w:rPr>
          <w:lang w:val="en"/>
        </w:rPr>
        <w:t>this in numerous audit reports</w:t>
      </w:r>
      <w:r>
        <w:rPr>
          <w:vertAlign w:val="superscript"/>
          <w:rtl/>
        </w:rPr>
        <w:footnoteReference w:id="2"/>
      </w:r>
      <w:r w:rsidRPr="00F105AA">
        <w:rPr>
          <w:rFonts w:hint="cs"/>
          <w:lang w:val="en"/>
        </w:rPr>
        <w:t xml:space="preserve">. </w:t>
      </w:r>
      <w:r w:rsidRPr="00F0124F">
        <w:rPr>
          <w:lang w:val="en"/>
        </w:rPr>
        <w:t>This report comprehensively reviews government actions regarding road safety over the past decade.</w:t>
      </w:r>
    </w:p>
    <w:p w:rsidR="00FA5C98" w:rsidP="003E0EAA" w14:paraId="079337A8" w14:textId="77777777">
      <w:pPr>
        <w:bidi w:val="0"/>
        <w:spacing w:before="240" w:after="180" w:line="240" w:lineRule="atLeast"/>
        <w:jc w:val="both"/>
        <w:rPr>
          <w:rtl/>
        </w:rPr>
      </w:pPr>
    </w:p>
    <w:p w:rsidR="008A5E62" w:rsidRPr="00DA3862" w:rsidP="00FA5C98" w14:paraId="498BB033" w14:textId="31042885">
      <w:pPr>
        <w:bidi w:val="0"/>
        <w:spacing w:before="240" w:after="180" w:line="240" w:lineRule="atLeast"/>
        <w:jc w:val="both"/>
        <w:rPr>
          <w:rtl/>
        </w:rPr>
      </w:pPr>
      <w:r>
        <w:rPr>
          <w:noProof/>
          <w:rtl/>
        </w:rPr>
        <w:drawing>
          <wp:inline distT="0" distB="0" distL="0" distR="0">
            <wp:extent cx="1328928" cy="319454"/>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28928" cy="319454"/>
                    </a:xfrm>
                    <a:prstGeom prst="rect">
                      <a:avLst/>
                    </a:prstGeom>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1709"/>
        <w:gridCol w:w="210"/>
        <w:gridCol w:w="1677"/>
        <w:gridCol w:w="209"/>
        <w:gridCol w:w="1679"/>
        <w:gridCol w:w="209"/>
        <w:gridCol w:w="1677"/>
      </w:tblGrid>
      <w:tr w14:paraId="5198069E" w14:textId="79DE7FA0" w:rsidTr="002A18A0">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Ex>
        <w:tc>
          <w:tcPr>
            <w:tcW w:w="1159" w:type="pct"/>
            <w:tcBorders>
              <w:bottom w:val="single" w:sz="8" w:space="0" w:color="auto"/>
            </w:tcBorders>
            <w:vAlign w:val="bottom"/>
          </w:tcPr>
          <w:p w:rsidR="00FA5C98" w:rsidRPr="00FA5C98" w:rsidP="00FA5C98" w14:paraId="1FB37F5E" w14:textId="6B6412D7">
            <w:pPr>
              <w:bidi w:val="0"/>
              <w:spacing w:before="120" w:after="60" w:line="240" w:lineRule="auto"/>
              <w:rPr>
                <w:rFonts w:ascii="Tahoma" w:hAnsi="Tahoma" w:cs="Tahoma"/>
                <w:b/>
                <w:bCs/>
                <w:color w:val="0D0D0D" w:themeColor="text1" w:themeTint="F2"/>
                <w:sz w:val="26"/>
                <w:szCs w:val="26"/>
                <w:rtl/>
              </w:rPr>
            </w:pPr>
            <w:r w:rsidRPr="00FA5C98">
              <w:rPr>
                <w:rFonts w:ascii="Tahoma" w:hAnsi="Tahoma" w:cs="Tahoma"/>
                <w:b/>
                <w:bCs/>
                <w:color w:val="0D0D0D" w:themeColor="text1" w:themeTint="F2"/>
                <w:spacing w:val="-10"/>
                <w:sz w:val="36"/>
                <w:szCs w:val="36"/>
                <w:lang w:val="en"/>
              </w:rPr>
              <w:t>351</w:t>
            </w:r>
            <w:r w:rsidRPr="00FA5C98">
              <w:rPr>
                <w:rFonts w:ascii="Tahoma" w:hAnsi="Tahoma" w:cs="Tahoma"/>
                <w:b/>
                <w:bCs/>
                <w:color w:val="0D0D0D" w:themeColor="text1" w:themeTint="F2"/>
                <w:spacing w:val="-10"/>
                <w:sz w:val="26"/>
                <w:szCs w:val="26"/>
                <w:lang w:val="en"/>
              </w:rPr>
              <w:t xml:space="preserve"> killed </w:t>
            </w:r>
            <w:r>
              <w:rPr>
                <w:rFonts w:ascii="Tahoma" w:hAnsi="Tahoma" w:cs="Tahoma"/>
                <w:b/>
                <w:bCs/>
                <w:color w:val="0D0D0D" w:themeColor="text1" w:themeTint="F2"/>
                <w:spacing w:val="-10"/>
                <w:sz w:val="26"/>
                <w:szCs w:val="26"/>
                <w:rtl/>
              </w:rPr>
              <w:br/>
            </w:r>
            <w:r w:rsidRPr="00FA5C98">
              <w:rPr>
                <w:rFonts w:ascii="Tahoma" w:hAnsi="Tahoma" w:cs="Tahoma"/>
                <w:b/>
                <w:bCs/>
                <w:color w:val="0D0D0D" w:themeColor="text1" w:themeTint="F2"/>
                <w:spacing w:val="-10"/>
                <w:sz w:val="26"/>
                <w:szCs w:val="26"/>
                <w:lang w:val="en"/>
              </w:rPr>
              <w:t xml:space="preserve">and </w:t>
            </w:r>
            <w:r w:rsidRPr="00FA5C98">
              <w:rPr>
                <w:rFonts w:ascii="Tahoma" w:hAnsi="Tahoma" w:cs="Tahoma"/>
                <w:b/>
                <w:bCs/>
                <w:color w:val="0D0D0D" w:themeColor="text1" w:themeTint="F2"/>
                <w:spacing w:val="-10"/>
                <w:sz w:val="36"/>
                <w:szCs w:val="36"/>
                <w:lang w:val="en"/>
              </w:rPr>
              <w:t>2,607</w:t>
            </w:r>
            <w:r w:rsidRPr="00FA5C98">
              <w:rPr>
                <w:rFonts w:ascii="Tahoma" w:hAnsi="Tahoma" w:cs="Tahoma"/>
                <w:b/>
                <w:bCs/>
                <w:color w:val="0D0D0D" w:themeColor="text1" w:themeTint="F2"/>
                <w:spacing w:val="-10"/>
                <w:sz w:val="26"/>
                <w:szCs w:val="26"/>
                <w:lang w:val="en"/>
              </w:rPr>
              <w:t xml:space="preserve"> </w:t>
            </w:r>
            <w:r>
              <w:rPr>
                <w:rFonts w:ascii="Tahoma" w:hAnsi="Tahoma" w:cs="Tahoma"/>
                <w:b/>
                <w:bCs/>
                <w:color w:val="0D0D0D" w:themeColor="text1" w:themeTint="F2"/>
                <w:spacing w:val="-10"/>
                <w:sz w:val="26"/>
                <w:szCs w:val="26"/>
                <w:rtl/>
                <w:lang w:val="en"/>
              </w:rPr>
              <w:br/>
            </w:r>
            <w:r w:rsidRPr="00FA5C98">
              <w:rPr>
                <w:rFonts w:ascii="Tahoma" w:hAnsi="Tahoma" w:cs="Tahoma"/>
                <w:b/>
                <w:bCs/>
                <w:color w:val="0D0D0D" w:themeColor="text1" w:themeTint="F2"/>
                <w:spacing w:val="-10"/>
                <w:sz w:val="26"/>
                <w:szCs w:val="26"/>
                <w:lang w:val="en"/>
              </w:rPr>
              <w:t>seriously injured</w:t>
            </w:r>
          </w:p>
        </w:tc>
        <w:tc>
          <w:tcPr>
            <w:tcW w:w="142" w:type="pct"/>
            <w:vAlign w:val="bottom"/>
          </w:tcPr>
          <w:p w:rsidR="00FA5C98" w:rsidRPr="00FA5C98" w:rsidP="00FA5C98" w14:paraId="4429F28B" w14:textId="77777777">
            <w:pPr>
              <w:bidi w:val="0"/>
              <w:spacing w:before="120" w:after="60" w:line="240" w:lineRule="auto"/>
              <w:rPr>
                <w:rFonts w:ascii="Tahoma" w:hAnsi="Tahoma" w:cs="Tahoma"/>
                <w:b/>
                <w:bCs/>
                <w:color w:val="0D0D0D" w:themeColor="text1" w:themeTint="F2"/>
                <w:sz w:val="26"/>
                <w:szCs w:val="26"/>
              </w:rPr>
            </w:pPr>
          </w:p>
        </w:tc>
        <w:tc>
          <w:tcPr>
            <w:tcW w:w="1138" w:type="pct"/>
            <w:tcBorders>
              <w:bottom w:val="single" w:sz="8" w:space="0" w:color="auto"/>
            </w:tcBorders>
            <w:vAlign w:val="bottom"/>
          </w:tcPr>
          <w:p w:rsidR="00FA5C98" w:rsidRPr="00FA5C98" w:rsidP="00FA5C98" w14:paraId="018C23DE" w14:textId="0296BCBA">
            <w:pPr>
              <w:bidi w:val="0"/>
              <w:spacing w:before="120" w:after="60" w:line="240" w:lineRule="auto"/>
              <w:rPr>
                <w:rFonts w:ascii="Tahoma" w:hAnsi="Tahoma" w:cs="Tahoma"/>
                <w:b/>
                <w:bCs/>
                <w:color w:val="0D0D0D" w:themeColor="text1" w:themeTint="F2"/>
                <w:sz w:val="26"/>
                <w:szCs w:val="26"/>
                <w:rtl/>
              </w:rPr>
            </w:pPr>
            <w:r w:rsidRPr="00FA5C98">
              <w:rPr>
                <w:rFonts w:ascii="Tahoma" w:hAnsi="Tahoma" w:cs="Tahoma"/>
                <w:b/>
                <w:bCs/>
                <w:spacing w:val="-10"/>
                <w:sz w:val="26"/>
                <w:szCs w:val="26"/>
                <w:lang w:val="en"/>
              </w:rPr>
              <w:t xml:space="preserve">up to </w:t>
            </w:r>
            <w:r w:rsidRPr="00FA5C98">
              <w:rPr>
                <w:rFonts w:ascii="Tahoma" w:hAnsi="Tahoma" w:cs="Tahoma"/>
                <w:b/>
                <w:bCs/>
                <w:color w:val="0D0D0D" w:themeColor="text1" w:themeTint="F2"/>
                <w:spacing w:val="-10"/>
                <w:sz w:val="36"/>
                <w:szCs w:val="36"/>
                <w:lang w:val="en"/>
              </w:rPr>
              <w:t>300</w:t>
            </w:r>
            <w:r w:rsidRPr="00FA5C98">
              <w:rPr>
                <w:rFonts w:ascii="Tahoma" w:hAnsi="Tahoma" w:cs="Tahoma"/>
                <w:b/>
                <w:bCs/>
                <w:spacing w:val="-10"/>
                <w:sz w:val="26"/>
                <w:szCs w:val="26"/>
                <w:lang w:val="en"/>
              </w:rPr>
              <w:t xml:space="preserve"> injured</w:t>
            </w:r>
          </w:p>
        </w:tc>
        <w:tc>
          <w:tcPr>
            <w:tcW w:w="142" w:type="pct"/>
            <w:vAlign w:val="bottom"/>
          </w:tcPr>
          <w:p w:rsidR="00FA5C98" w:rsidRPr="00FA5C98" w:rsidP="00FA5C98" w14:paraId="78489ABE" w14:textId="77777777">
            <w:pPr>
              <w:bidi w:val="0"/>
              <w:spacing w:before="120" w:after="60" w:line="240" w:lineRule="auto"/>
              <w:rPr>
                <w:rFonts w:ascii="Tahoma" w:hAnsi="Tahoma" w:cs="Tahoma"/>
                <w:b/>
                <w:bCs/>
                <w:color w:val="0D0D0D" w:themeColor="text1" w:themeTint="F2"/>
                <w:sz w:val="26"/>
                <w:szCs w:val="26"/>
              </w:rPr>
            </w:pPr>
          </w:p>
        </w:tc>
        <w:tc>
          <w:tcPr>
            <w:tcW w:w="1139" w:type="pct"/>
            <w:tcBorders>
              <w:bottom w:val="single" w:sz="8" w:space="0" w:color="000000"/>
            </w:tcBorders>
            <w:vAlign w:val="bottom"/>
          </w:tcPr>
          <w:p w:rsidR="00FA5C98" w:rsidRPr="00FA5C98" w:rsidP="00FA5C98" w14:paraId="1465537A" w14:textId="15AF2AEC">
            <w:pPr>
              <w:bidi w:val="0"/>
              <w:spacing w:before="120" w:after="60" w:line="240" w:lineRule="auto"/>
              <w:rPr>
                <w:rFonts w:ascii="Tahoma" w:hAnsi="Tahoma" w:cs="Tahoma"/>
                <w:b/>
                <w:bCs/>
                <w:color w:val="0D0D0D" w:themeColor="text1" w:themeTint="F2"/>
                <w:sz w:val="26"/>
                <w:szCs w:val="26"/>
              </w:rPr>
            </w:pPr>
            <w:r w:rsidRPr="00FA5C98">
              <w:rPr>
                <w:rFonts w:ascii="Tahoma" w:hAnsi="Tahoma" w:cs="Tahoma"/>
                <w:b/>
                <w:bCs/>
                <w:color w:val="0D0D0D" w:themeColor="text1" w:themeTint="F2"/>
                <w:spacing w:val="-10"/>
                <w:sz w:val="36"/>
                <w:szCs w:val="36"/>
                <w:lang w:val="en"/>
              </w:rPr>
              <w:t>16%</w:t>
            </w:r>
            <w:r w:rsidRPr="00FA5C98">
              <w:rPr>
                <w:rFonts w:ascii="Tahoma" w:hAnsi="Tahoma" w:cs="Tahoma"/>
                <w:b/>
                <w:bCs/>
                <w:spacing w:val="-10"/>
                <w:sz w:val="26"/>
                <w:szCs w:val="26"/>
                <w:lang w:val="en"/>
              </w:rPr>
              <w:t xml:space="preserve"> </w:t>
            </w:r>
          </w:p>
        </w:tc>
        <w:tc>
          <w:tcPr>
            <w:tcW w:w="142" w:type="pct"/>
            <w:vAlign w:val="bottom"/>
          </w:tcPr>
          <w:p w:rsidR="00FA5C98" w:rsidRPr="00FA5C98" w:rsidP="00FA5C98" w14:paraId="67D30B0B" w14:textId="77777777">
            <w:pPr>
              <w:bidi w:val="0"/>
              <w:spacing w:before="120" w:after="60" w:line="240" w:lineRule="auto"/>
              <w:rPr>
                <w:rFonts w:ascii="Tahoma" w:hAnsi="Tahoma" w:cs="Tahoma"/>
                <w:b/>
                <w:bCs/>
                <w:color w:val="0D0D0D" w:themeColor="text1" w:themeTint="F2"/>
                <w:sz w:val="26"/>
                <w:szCs w:val="26"/>
                <w:rtl/>
              </w:rPr>
            </w:pPr>
          </w:p>
        </w:tc>
        <w:tc>
          <w:tcPr>
            <w:tcW w:w="1138" w:type="pct"/>
            <w:tcBorders>
              <w:bottom w:val="single" w:sz="8" w:space="0" w:color="000000"/>
            </w:tcBorders>
            <w:vAlign w:val="bottom"/>
          </w:tcPr>
          <w:p w:rsidR="00FA5C98" w:rsidRPr="00FA5C98" w:rsidP="00FA5C98" w14:paraId="265B90D2" w14:textId="0C6AE9B0">
            <w:pPr>
              <w:pStyle w:val="20210"/>
              <w:bidi w:val="0"/>
              <w:spacing w:after="60"/>
              <w:rPr>
                <w:sz w:val="26"/>
                <w:szCs w:val="26"/>
                <w:rtl/>
              </w:rPr>
            </w:pPr>
            <w:r w:rsidRPr="00FA5C98">
              <w:rPr>
                <w:spacing w:val="-10"/>
                <w:sz w:val="26"/>
                <w:szCs w:val="26"/>
                <w:lang w:val="en"/>
              </w:rPr>
              <w:t xml:space="preserve">NIS </w:t>
            </w:r>
            <w:r w:rsidRPr="00FA5C98">
              <w:rPr>
                <w:spacing w:val="-10"/>
                <w:lang w:val="en"/>
              </w:rPr>
              <w:t>16</w:t>
            </w:r>
            <w:r w:rsidRPr="00FA5C98">
              <w:rPr>
                <w:spacing w:val="-10"/>
                <w:sz w:val="26"/>
                <w:szCs w:val="26"/>
                <w:lang w:val="en"/>
              </w:rPr>
              <w:t xml:space="preserve"> </w:t>
            </w:r>
            <w:r>
              <w:rPr>
                <w:spacing w:val="-10"/>
                <w:sz w:val="26"/>
                <w:szCs w:val="26"/>
                <w:rtl/>
                <w:lang w:val="en"/>
              </w:rPr>
              <w:br/>
            </w:r>
            <w:r w:rsidRPr="00FA5C98">
              <w:rPr>
                <w:spacing w:val="-10"/>
                <w:sz w:val="26"/>
                <w:szCs w:val="26"/>
                <w:lang w:val="en"/>
              </w:rPr>
              <w:t>billion</w:t>
            </w:r>
          </w:p>
        </w:tc>
      </w:tr>
      <w:tr w14:paraId="633F9A1A" w14:textId="21CF8A61" w:rsidTr="002A18A0">
        <w:tblPrEx>
          <w:tblW w:w="5000" w:type="pct"/>
          <w:tblCellMar>
            <w:left w:w="57" w:type="dxa"/>
            <w:right w:w="57" w:type="dxa"/>
          </w:tblCellMar>
          <w:tblLook w:val="04A0"/>
        </w:tblPrEx>
        <w:tc>
          <w:tcPr>
            <w:tcW w:w="1159" w:type="pct"/>
            <w:tcBorders>
              <w:top w:val="single" w:sz="8" w:space="0" w:color="auto"/>
            </w:tcBorders>
          </w:tcPr>
          <w:p w:rsidR="00FA5C98" w:rsidRPr="00041AEB" w:rsidP="00FA5C98" w14:paraId="5042BE4E" w14:textId="64E132AF">
            <w:pPr>
              <w:bidi w:val="0"/>
              <w:spacing w:after="100" w:line="240" w:lineRule="auto"/>
              <w:rPr>
                <w:rFonts w:ascii="Tahoma" w:hAnsi="Tahoma" w:cs="Tahoma"/>
                <w:bCs/>
                <w:color w:val="0D0D0D" w:themeColor="text1" w:themeTint="F2"/>
                <w:w w:val="90"/>
                <w:sz w:val="18"/>
                <w:szCs w:val="18"/>
              </w:rPr>
            </w:pPr>
            <w:r w:rsidRPr="00FA5C98">
              <w:rPr>
                <w:rFonts w:ascii="Tahoma" w:hAnsi="Tahoma" w:cs="Tahoma"/>
                <w:bCs/>
                <w:color w:val="0D0D0D" w:themeColor="text1" w:themeTint="F2"/>
                <w:w w:val="90"/>
                <w:sz w:val="18"/>
                <w:szCs w:val="18"/>
              </w:rPr>
              <w:t>i</w:t>
            </w:r>
            <w:r w:rsidRPr="00FA5C98">
              <w:rPr>
                <w:rFonts w:ascii="Tahoma" w:hAnsi="Tahoma" w:cs="Tahoma" w:hint="cs"/>
                <w:bCs/>
                <w:color w:val="0D0D0D" w:themeColor="text1" w:themeTint="F2"/>
                <w:w w:val="90"/>
                <w:sz w:val="18"/>
                <w:szCs w:val="18"/>
              </w:rPr>
              <w:t>n road accidents in Israel in 2022, compared to 335 fatalities and 2,273 ser</w:t>
            </w:r>
            <w:r w:rsidRPr="00FA5C98">
              <w:rPr>
                <w:rFonts w:ascii="Tahoma" w:hAnsi="Tahoma" w:cs="Tahoma"/>
                <w:bCs/>
                <w:color w:val="0D0D0D" w:themeColor="text1" w:themeTint="F2"/>
                <w:w w:val="90"/>
                <w:sz w:val="18"/>
                <w:szCs w:val="18"/>
              </w:rPr>
              <w:t>i</w:t>
            </w:r>
            <w:r w:rsidRPr="00FA5C98">
              <w:rPr>
                <w:rFonts w:ascii="Tahoma" w:hAnsi="Tahoma" w:cs="Tahoma" w:hint="cs"/>
                <w:bCs/>
                <w:color w:val="0D0D0D" w:themeColor="text1" w:themeTint="F2"/>
                <w:w w:val="90"/>
                <w:sz w:val="18"/>
                <w:szCs w:val="18"/>
              </w:rPr>
              <w:t>ously injured on average in 2018</w:t>
            </w:r>
            <w:r w:rsidRPr="00FA5C98">
              <w:rPr>
                <w:rFonts w:ascii="Tahoma" w:hAnsi="Tahoma" w:cs="Tahoma"/>
                <w:bCs/>
                <w:color w:val="0D0D0D" w:themeColor="text1" w:themeTint="F2"/>
                <w:w w:val="90"/>
                <w:sz w:val="18"/>
                <w:szCs w:val="18"/>
              </w:rPr>
              <w:t>–</w:t>
            </w:r>
            <w:r w:rsidRPr="00FA5C98">
              <w:rPr>
                <w:rFonts w:ascii="Tahoma" w:hAnsi="Tahoma" w:cs="Tahoma" w:hint="cs"/>
                <w:bCs/>
                <w:color w:val="0D0D0D" w:themeColor="text1" w:themeTint="F2"/>
                <w:w w:val="90"/>
                <w:sz w:val="18"/>
                <w:szCs w:val="18"/>
              </w:rPr>
              <w:t xml:space="preserve">2021 </w:t>
            </w:r>
          </w:p>
        </w:tc>
        <w:tc>
          <w:tcPr>
            <w:tcW w:w="142" w:type="pct"/>
          </w:tcPr>
          <w:p w:rsidR="00FA5C98" w:rsidRPr="00041AEB" w:rsidP="00FA5C98" w14:paraId="2B8B872F" w14:textId="77777777">
            <w:pPr>
              <w:bidi w:val="0"/>
              <w:spacing w:after="100" w:line="240" w:lineRule="auto"/>
              <w:rPr>
                <w:rFonts w:ascii="Tahoma" w:hAnsi="Tahoma" w:cs="Tahoma"/>
                <w:bCs/>
                <w:color w:val="0D0D0D" w:themeColor="text1" w:themeTint="F2"/>
                <w:w w:val="90"/>
                <w:sz w:val="18"/>
                <w:szCs w:val="18"/>
                <w:rtl/>
              </w:rPr>
            </w:pPr>
          </w:p>
        </w:tc>
        <w:tc>
          <w:tcPr>
            <w:tcW w:w="1138" w:type="pct"/>
            <w:tcBorders>
              <w:top w:val="single" w:sz="8" w:space="0" w:color="auto"/>
            </w:tcBorders>
          </w:tcPr>
          <w:p w:rsidR="00FA5C98" w:rsidRPr="00FA5C98" w:rsidP="00FA5C98" w14:paraId="22CDEF8A" w14:textId="1F0DA0C8">
            <w:pPr>
              <w:bidi w:val="0"/>
              <w:spacing w:after="100" w:line="240" w:lineRule="auto"/>
              <w:rPr>
                <w:rFonts w:ascii="Tahoma" w:hAnsi="Tahoma" w:cs="Tahoma"/>
                <w:bCs/>
                <w:color w:val="0D0D0D" w:themeColor="text1" w:themeTint="F2"/>
                <w:w w:val="90"/>
                <w:sz w:val="18"/>
                <w:szCs w:val="18"/>
                <w:rtl/>
              </w:rPr>
            </w:pPr>
            <w:r w:rsidRPr="00FA5C98">
              <w:rPr>
                <w:rFonts w:ascii="Tahoma" w:hAnsi="Tahoma" w:cs="Tahoma" w:hint="cs"/>
                <w:bCs/>
                <w:color w:val="0D0D0D" w:themeColor="text1" w:themeTint="F2"/>
                <w:w w:val="90"/>
                <w:sz w:val="18"/>
                <w:szCs w:val="18"/>
              </w:rPr>
              <w:t>the number of fatalities target in 2015, set in the national plan from 2005. Since then, the government has met this target only in 2012</w:t>
            </w:r>
          </w:p>
        </w:tc>
        <w:tc>
          <w:tcPr>
            <w:tcW w:w="142" w:type="pct"/>
          </w:tcPr>
          <w:p w:rsidR="00FA5C98" w:rsidRPr="00041AEB" w:rsidP="00FA5C98" w14:paraId="516B5653" w14:textId="77777777">
            <w:pPr>
              <w:bidi w:val="0"/>
              <w:spacing w:after="100" w:line="240" w:lineRule="auto"/>
              <w:rPr>
                <w:rFonts w:ascii="Tahoma" w:hAnsi="Tahoma" w:cs="Tahoma"/>
                <w:bCs/>
                <w:color w:val="0D0D0D" w:themeColor="text1" w:themeTint="F2"/>
                <w:w w:val="90"/>
                <w:sz w:val="18"/>
                <w:szCs w:val="18"/>
                <w:rtl/>
              </w:rPr>
            </w:pPr>
          </w:p>
        </w:tc>
        <w:tc>
          <w:tcPr>
            <w:tcW w:w="1139" w:type="pct"/>
            <w:tcBorders>
              <w:top w:val="single" w:sz="8" w:space="0" w:color="000000"/>
            </w:tcBorders>
          </w:tcPr>
          <w:p w:rsidR="00FA5C98" w:rsidRPr="00041AEB" w:rsidP="00FA5C98" w14:paraId="1DDB9C26" w14:textId="216E34B2">
            <w:pPr>
              <w:bidi w:val="0"/>
              <w:spacing w:after="100" w:line="240" w:lineRule="auto"/>
              <w:rPr>
                <w:rFonts w:ascii="Tahoma" w:hAnsi="Tahoma" w:cs="Tahoma"/>
                <w:bCs/>
                <w:color w:val="0D0D0D" w:themeColor="text1" w:themeTint="F2"/>
                <w:w w:val="90"/>
                <w:sz w:val="18"/>
                <w:szCs w:val="18"/>
              </w:rPr>
            </w:pPr>
            <w:r w:rsidRPr="00FA5C98">
              <w:rPr>
                <w:rFonts w:ascii="Tahoma" w:hAnsi="Tahoma" w:cs="Tahoma"/>
                <w:bCs/>
                <w:color w:val="0D0D0D" w:themeColor="text1" w:themeTint="F2"/>
                <w:w w:val="90"/>
                <w:sz w:val="18"/>
                <w:szCs w:val="18"/>
              </w:rPr>
              <w:t>t</w:t>
            </w:r>
            <w:r w:rsidRPr="00FA5C98">
              <w:rPr>
                <w:rFonts w:ascii="Tahoma" w:hAnsi="Tahoma" w:cs="Tahoma" w:hint="cs"/>
                <w:bCs/>
                <w:color w:val="0D0D0D" w:themeColor="text1" w:themeTint="F2"/>
                <w:w w:val="90"/>
                <w:sz w:val="18"/>
                <w:szCs w:val="18"/>
              </w:rPr>
              <w:t>he increase rate in the number of fatalities from road accidents in Israel in 2012</w:t>
            </w:r>
            <w:r w:rsidRPr="00FA5C98">
              <w:rPr>
                <w:rFonts w:ascii="Tahoma" w:hAnsi="Tahoma" w:cs="Tahoma"/>
                <w:bCs/>
                <w:color w:val="0D0D0D" w:themeColor="text1" w:themeTint="F2"/>
                <w:w w:val="90"/>
                <w:sz w:val="18"/>
                <w:szCs w:val="18"/>
              </w:rPr>
              <w:t>–</w:t>
            </w:r>
            <w:r w:rsidRPr="00FA5C98">
              <w:rPr>
                <w:rFonts w:ascii="Tahoma" w:hAnsi="Tahoma" w:cs="Tahoma" w:hint="cs"/>
                <w:bCs/>
                <w:color w:val="0D0D0D" w:themeColor="text1" w:themeTint="F2"/>
                <w:w w:val="90"/>
                <w:sz w:val="18"/>
                <w:szCs w:val="18"/>
              </w:rPr>
              <w:t xml:space="preserve">2022, compared to an average decrease of 22% in 27 EU countries </w:t>
            </w:r>
          </w:p>
        </w:tc>
        <w:tc>
          <w:tcPr>
            <w:tcW w:w="142" w:type="pct"/>
          </w:tcPr>
          <w:p w:rsidR="00FA5C98" w:rsidRPr="00B662F5" w:rsidP="00FA5C98" w14:paraId="31FC66A8" w14:textId="77777777">
            <w:pPr>
              <w:bidi w:val="0"/>
              <w:spacing w:after="100" w:line="240" w:lineRule="auto"/>
              <w:rPr>
                <w:rFonts w:ascii="Tahoma" w:hAnsi="Tahoma" w:cs="Tahoma"/>
                <w:bCs/>
                <w:color w:val="0D0D0D" w:themeColor="text1" w:themeTint="F2"/>
                <w:w w:val="90"/>
                <w:sz w:val="18"/>
                <w:szCs w:val="18"/>
              </w:rPr>
            </w:pPr>
          </w:p>
        </w:tc>
        <w:tc>
          <w:tcPr>
            <w:tcW w:w="1138" w:type="pct"/>
            <w:tcBorders>
              <w:top w:val="single" w:sz="8" w:space="0" w:color="000000"/>
            </w:tcBorders>
          </w:tcPr>
          <w:p w:rsidR="00FA5C98" w:rsidRPr="00B662F5" w:rsidP="00FA5C98" w14:paraId="3AFB1672" w14:textId="3BF4C36F">
            <w:pPr>
              <w:bidi w:val="0"/>
              <w:spacing w:after="100" w:line="240" w:lineRule="auto"/>
              <w:rPr>
                <w:rFonts w:ascii="Tahoma" w:hAnsi="Tahoma" w:cs="Tahoma"/>
                <w:bCs/>
                <w:color w:val="0D0D0D" w:themeColor="text1" w:themeTint="F2"/>
                <w:w w:val="90"/>
                <w:sz w:val="18"/>
                <w:szCs w:val="18"/>
              </w:rPr>
            </w:pPr>
            <w:r w:rsidRPr="00FA5C98">
              <w:rPr>
                <w:rFonts w:ascii="Tahoma" w:hAnsi="Tahoma" w:cs="Tahoma"/>
                <w:bCs/>
                <w:color w:val="0D0D0D" w:themeColor="text1" w:themeTint="F2"/>
                <w:w w:val="90"/>
                <w:sz w:val="18"/>
                <w:szCs w:val="18"/>
              </w:rPr>
              <w:t>t</w:t>
            </w:r>
            <w:r w:rsidRPr="00FA5C98">
              <w:rPr>
                <w:rFonts w:ascii="Tahoma" w:hAnsi="Tahoma" w:cs="Tahoma" w:hint="cs"/>
                <w:bCs/>
                <w:color w:val="0D0D0D" w:themeColor="text1" w:themeTint="F2"/>
                <w:w w:val="90"/>
                <w:sz w:val="18"/>
                <w:szCs w:val="18"/>
              </w:rPr>
              <w:t>he estimated annual cost of road accidents to the economy</w:t>
            </w:r>
          </w:p>
        </w:tc>
      </w:tr>
    </w:tbl>
    <w:p w:rsidR="00FA5C98" w14:paraId="787F58A7" w14:textId="77777777">
      <w:pPr>
        <w:bidi w:val="0"/>
      </w:pPr>
      <w:r>
        <w:br w:type="page"/>
      </w:r>
    </w:p>
    <w:tbl>
      <w:tblPr>
        <w:tblStyle w:val="TableGrid"/>
        <w:tblW w:w="509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1844"/>
        <w:gridCol w:w="211"/>
        <w:gridCol w:w="1676"/>
        <w:gridCol w:w="209"/>
        <w:gridCol w:w="1679"/>
        <w:gridCol w:w="209"/>
        <w:gridCol w:w="1676"/>
      </w:tblGrid>
      <w:tr w14:paraId="69DAE9C2" w14:textId="4B47BC94" w:rsidTr="00FA5C98">
        <w:tblPrEx>
          <w:tblW w:w="509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Ex>
        <w:tc>
          <w:tcPr>
            <w:tcW w:w="1228" w:type="pct"/>
            <w:tcBorders>
              <w:bottom w:val="single" w:sz="8" w:space="0" w:color="auto"/>
            </w:tcBorders>
            <w:vAlign w:val="bottom"/>
          </w:tcPr>
          <w:p w:rsidR="00FA5C98" w:rsidRPr="00FA5C98" w:rsidP="00FA5C98" w14:paraId="508A3935" w14:textId="77777777">
            <w:pPr>
              <w:bidi w:val="0"/>
              <w:spacing w:after="60" w:line="240" w:lineRule="auto"/>
              <w:rPr>
                <w:rFonts w:ascii="Tahoma" w:hAnsi="Tahoma" w:cs="Tahoma"/>
                <w:b/>
                <w:bCs/>
                <w:color w:val="0D0D0D" w:themeColor="text1" w:themeTint="F2"/>
                <w:spacing w:val="-10"/>
                <w:sz w:val="26"/>
                <w:szCs w:val="26"/>
                <w:lang w:val="en"/>
              </w:rPr>
            </w:pPr>
            <w:r w:rsidRPr="00FA5C98">
              <w:rPr>
                <w:rFonts w:ascii="Tahoma" w:hAnsi="Tahoma" w:cs="Tahoma"/>
                <w:b/>
                <w:bCs/>
                <w:color w:val="0D0D0D" w:themeColor="text1" w:themeTint="F2"/>
                <w:spacing w:val="-10"/>
                <w:sz w:val="26"/>
                <w:szCs w:val="26"/>
                <w:lang w:val="en"/>
              </w:rPr>
              <w:t xml:space="preserve">NIS </w:t>
            </w:r>
            <w:r w:rsidRPr="00FA5C98">
              <w:rPr>
                <w:rFonts w:ascii="Tahoma" w:hAnsi="Tahoma" w:cs="Tahoma"/>
                <w:b/>
                <w:bCs/>
                <w:color w:val="0D0D0D" w:themeColor="text1" w:themeTint="F2"/>
                <w:spacing w:val="-10"/>
                <w:sz w:val="36"/>
                <w:szCs w:val="36"/>
                <w:lang w:val="en"/>
              </w:rPr>
              <w:t>40</w:t>
            </w:r>
            <w:r w:rsidRPr="00FA5C98">
              <w:rPr>
                <w:rFonts w:ascii="Tahoma" w:hAnsi="Tahoma" w:cs="Tahoma"/>
                <w:b/>
                <w:bCs/>
                <w:color w:val="0D0D0D" w:themeColor="text1" w:themeTint="F2"/>
                <w:spacing w:val="-10"/>
                <w:sz w:val="26"/>
                <w:szCs w:val="26"/>
                <w:lang w:val="en"/>
              </w:rPr>
              <w:t xml:space="preserve"> </w:t>
            </w:r>
          </w:p>
          <w:p w:rsidR="00FA5C98" w:rsidRPr="00FA5C98" w:rsidP="00FA5C98" w14:paraId="0A63A02B" w14:textId="668655AC">
            <w:pPr>
              <w:bidi w:val="0"/>
              <w:spacing w:after="60" w:line="240" w:lineRule="auto"/>
              <w:rPr>
                <w:rFonts w:ascii="Tahoma" w:hAnsi="Tahoma" w:cs="Tahoma"/>
                <w:b/>
                <w:bCs/>
                <w:color w:val="0D0D0D" w:themeColor="text1" w:themeTint="F2"/>
                <w:sz w:val="26"/>
                <w:szCs w:val="26"/>
              </w:rPr>
            </w:pPr>
            <w:r w:rsidRPr="00FA5C98">
              <w:rPr>
                <w:rFonts w:ascii="Tahoma" w:hAnsi="Tahoma" w:cs="Tahoma"/>
                <w:b/>
                <w:bCs/>
                <w:color w:val="0D0D0D" w:themeColor="text1" w:themeTint="F2"/>
                <w:spacing w:val="-10"/>
                <w:sz w:val="26"/>
                <w:szCs w:val="26"/>
                <w:lang w:val="en"/>
              </w:rPr>
              <w:t xml:space="preserve">million only </w:t>
            </w:r>
          </w:p>
        </w:tc>
        <w:tc>
          <w:tcPr>
            <w:tcW w:w="140" w:type="pct"/>
            <w:tcBorders>
              <w:bottom w:val="single" w:sz="8" w:space="0" w:color="FFFFFF"/>
            </w:tcBorders>
            <w:vAlign w:val="bottom"/>
          </w:tcPr>
          <w:p w:rsidR="00FA5C98" w:rsidRPr="00FA5C98" w:rsidP="00FA5C98" w14:paraId="2B044DDD" w14:textId="77777777">
            <w:pPr>
              <w:bidi w:val="0"/>
              <w:spacing w:after="60" w:line="240" w:lineRule="auto"/>
              <w:rPr>
                <w:rFonts w:ascii="Tahoma" w:hAnsi="Tahoma" w:cs="Tahoma"/>
                <w:b/>
                <w:bCs/>
                <w:color w:val="0D0D0D" w:themeColor="text1" w:themeTint="F2"/>
                <w:sz w:val="26"/>
                <w:szCs w:val="26"/>
              </w:rPr>
            </w:pPr>
          </w:p>
        </w:tc>
        <w:tc>
          <w:tcPr>
            <w:tcW w:w="1117" w:type="pct"/>
            <w:tcBorders>
              <w:bottom w:val="single" w:sz="8" w:space="0" w:color="auto"/>
            </w:tcBorders>
            <w:vAlign w:val="bottom"/>
          </w:tcPr>
          <w:p w:rsidR="00FA5C98" w:rsidRPr="00FA5C98" w:rsidP="00FA5C98" w14:paraId="5F2BF29F" w14:textId="22FD1382">
            <w:pPr>
              <w:bidi w:val="0"/>
              <w:spacing w:after="60" w:line="240" w:lineRule="auto"/>
              <w:rPr>
                <w:rFonts w:ascii="Tahoma" w:hAnsi="Tahoma" w:cs="Tahoma"/>
                <w:b/>
                <w:bCs/>
                <w:color w:val="0D0D0D" w:themeColor="text1" w:themeTint="F2"/>
                <w:sz w:val="26"/>
                <w:szCs w:val="26"/>
              </w:rPr>
            </w:pPr>
            <w:r w:rsidRPr="00FA5C98">
              <w:rPr>
                <w:rFonts w:ascii="Tahoma" w:hAnsi="Tahoma" w:cs="Tahoma"/>
                <w:b/>
                <w:bCs/>
                <w:spacing w:val="-10"/>
                <w:sz w:val="26"/>
                <w:szCs w:val="26"/>
                <w:lang w:val="en"/>
              </w:rPr>
              <w:t xml:space="preserve">in </w:t>
            </w:r>
            <w:r w:rsidRPr="00FA5C98">
              <w:rPr>
                <w:rFonts w:ascii="Tahoma" w:hAnsi="Tahoma" w:cs="Tahoma"/>
                <w:b/>
                <w:bCs/>
                <w:color w:val="0D0D0D" w:themeColor="text1" w:themeTint="F2"/>
                <w:spacing w:val="-10"/>
                <w:sz w:val="36"/>
                <w:szCs w:val="36"/>
                <w:lang w:val="en"/>
              </w:rPr>
              <w:t>40%</w:t>
            </w:r>
          </w:p>
        </w:tc>
        <w:tc>
          <w:tcPr>
            <w:tcW w:w="139" w:type="pct"/>
            <w:tcBorders>
              <w:bottom w:val="single" w:sz="8" w:space="0" w:color="FFFFFF"/>
            </w:tcBorders>
            <w:vAlign w:val="bottom"/>
          </w:tcPr>
          <w:p w:rsidR="00FA5C98" w:rsidRPr="00FA5C98" w:rsidP="00FA5C98" w14:paraId="3407A7B6" w14:textId="77777777">
            <w:pPr>
              <w:bidi w:val="0"/>
              <w:spacing w:after="60" w:line="240" w:lineRule="auto"/>
              <w:rPr>
                <w:rFonts w:ascii="Tahoma" w:hAnsi="Tahoma" w:cs="Tahoma"/>
                <w:b/>
                <w:bCs/>
                <w:color w:val="0D0D0D" w:themeColor="text1" w:themeTint="F2"/>
                <w:sz w:val="26"/>
                <w:szCs w:val="26"/>
              </w:rPr>
            </w:pPr>
          </w:p>
        </w:tc>
        <w:tc>
          <w:tcPr>
            <w:tcW w:w="1119" w:type="pct"/>
            <w:tcBorders>
              <w:bottom w:val="single" w:sz="8" w:space="0" w:color="000000"/>
            </w:tcBorders>
            <w:vAlign w:val="bottom"/>
          </w:tcPr>
          <w:p w:rsidR="00FA5C98" w:rsidRPr="00FA5C98" w:rsidP="00FA5C98" w14:paraId="24B9C4D0" w14:textId="3BA65233">
            <w:pPr>
              <w:bidi w:val="0"/>
              <w:spacing w:after="60" w:line="240" w:lineRule="auto"/>
              <w:rPr>
                <w:rFonts w:ascii="Tahoma" w:hAnsi="Tahoma" w:cs="Tahoma"/>
                <w:b/>
                <w:bCs/>
                <w:color w:val="0D0D0D" w:themeColor="text1" w:themeTint="F2"/>
                <w:sz w:val="26"/>
                <w:szCs w:val="26"/>
              </w:rPr>
            </w:pPr>
            <w:r w:rsidRPr="00FA5C98">
              <w:rPr>
                <w:rFonts w:ascii="Tahoma" w:hAnsi="Tahoma" w:cs="Tahoma"/>
                <w:b/>
                <w:bCs/>
                <w:spacing w:val="-10"/>
                <w:sz w:val="26"/>
                <w:szCs w:val="26"/>
                <w:lang w:val="en"/>
              </w:rPr>
              <w:t xml:space="preserve"> </w:t>
            </w:r>
            <w:r w:rsidRPr="00FA5C98">
              <w:rPr>
                <w:rFonts w:ascii="Tahoma" w:hAnsi="Tahoma" w:cs="Tahoma"/>
                <w:b/>
                <w:bCs/>
                <w:color w:val="0D0D0D" w:themeColor="text1" w:themeTint="F2"/>
                <w:spacing w:val="-10"/>
                <w:sz w:val="36"/>
                <w:szCs w:val="36"/>
                <w:lang w:val="en"/>
              </w:rPr>
              <w:t>13%</w:t>
            </w:r>
            <w:r w:rsidRPr="00FA5C98">
              <w:rPr>
                <w:rFonts w:ascii="Tahoma" w:hAnsi="Tahoma" w:cs="Tahoma"/>
                <w:b/>
                <w:bCs/>
                <w:spacing w:val="-10"/>
                <w:sz w:val="26"/>
                <w:szCs w:val="26"/>
                <w:lang w:val="en"/>
              </w:rPr>
              <w:t xml:space="preserve"> </w:t>
            </w:r>
            <w:r w:rsidRPr="00FA5C98">
              <w:rPr>
                <w:rFonts w:ascii="Tahoma" w:hAnsi="Tahoma" w:cs="Tahoma"/>
                <w:b/>
                <w:bCs/>
                <w:spacing w:val="-10"/>
                <w:sz w:val="26"/>
                <w:szCs w:val="26"/>
                <w:lang w:val="en"/>
              </w:rPr>
              <w:br/>
              <w:t xml:space="preserve">and </w:t>
            </w:r>
            <w:r w:rsidRPr="00FA5C98">
              <w:rPr>
                <w:rFonts w:ascii="Tahoma" w:hAnsi="Tahoma" w:cs="Tahoma"/>
                <w:b/>
                <w:bCs/>
                <w:color w:val="0D0D0D" w:themeColor="text1" w:themeTint="F2"/>
                <w:spacing w:val="-10"/>
                <w:sz w:val="36"/>
                <w:szCs w:val="36"/>
                <w:lang w:val="en"/>
              </w:rPr>
              <w:t>20%</w:t>
            </w:r>
            <w:r w:rsidRPr="00FA5C98">
              <w:rPr>
                <w:rFonts w:ascii="Tahoma" w:hAnsi="Tahoma" w:cs="Tahoma"/>
                <w:b/>
                <w:bCs/>
                <w:spacing w:val="-10"/>
                <w:sz w:val="26"/>
                <w:szCs w:val="26"/>
                <w:lang w:val="en"/>
              </w:rPr>
              <w:t xml:space="preserve"> rates of unfilled positions</w:t>
            </w:r>
          </w:p>
        </w:tc>
        <w:tc>
          <w:tcPr>
            <w:tcW w:w="139" w:type="pct"/>
            <w:vAlign w:val="bottom"/>
          </w:tcPr>
          <w:p w:rsidR="00FA5C98" w:rsidRPr="00FA5C98" w:rsidP="00FA5C98" w14:paraId="1A1A685D" w14:textId="77777777">
            <w:pPr>
              <w:bidi w:val="0"/>
              <w:spacing w:after="60" w:line="240" w:lineRule="auto"/>
              <w:rPr>
                <w:rFonts w:ascii="Tahoma" w:hAnsi="Tahoma" w:cs="Tahoma"/>
                <w:b/>
                <w:bCs/>
                <w:color w:val="0D0D0D" w:themeColor="text1" w:themeTint="F2"/>
                <w:sz w:val="26"/>
                <w:szCs w:val="26"/>
              </w:rPr>
            </w:pPr>
          </w:p>
        </w:tc>
        <w:tc>
          <w:tcPr>
            <w:tcW w:w="1117" w:type="pct"/>
            <w:tcBorders>
              <w:bottom w:val="single" w:sz="8" w:space="0" w:color="000000"/>
            </w:tcBorders>
            <w:vAlign w:val="bottom"/>
          </w:tcPr>
          <w:p w:rsidR="00FA5C98" w:rsidRPr="00FA5C98" w:rsidP="00FA5C98" w14:paraId="02226F29" w14:textId="4786F0AB">
            <w:pPr>
              <w:bidi w:val="0"/>
              <w:spacing w:after="60" w:line="240" w:lineRule="auto"/>
              <w:rPr>
                <w:rFonts w:ascii="Tahoma" w:hAnsi="Tahoma" w:cs="Tahoma"/>
                <w:b/>
                <w:bCs/>
                <w:color w:val="0D0D0D" w:themeColor="text1" w:themeTint="F2"/>
                <w:sz w:val="26"/>
                <w:szCs w:val="26"/>
              </w:rPr>
            </w:pPr>
            <w:r w:rsidRPr="00FA5C98">
              <w:rPr>
                <w:rFonts w:ascii="Tahoma" w:hAnsi="Tahoma" w:cs="Tahoma"/>
                <w:b/>
                <w:bCs/>
                <w:color w:val="0D0D0D" w:themeColor="text1" w:themeTint="F2"/>
                <w:spacing w:val="-10"/>
                <w:sz w:val="36"/>
                <w:szCs w:val="36"/>
                <w:lang w:val="en"/>
              </w:rPr>
              <w:t>120</w:t>
            </w:r>
            <w:r w:rsidRPr="00FA5C98">
              <w:rPr>
                <w:rFonts w:ascii="Tahoma" w:hAnsi="Tahoma" w:cs="Tahoma"/>
                <w:b/>
                <w:bCs/>
                <w:spacing w:val="-10"/>
                <w:sz w:val="26"/>
                <w:szCs w:val="26"/>
                <w:lang w:val="en"/>
              </w:rPr>
              <w:t xml:space="preserve"> </w:t>
            </w:r>
            <w:r w:rsidRPr="00FA5C98">
              <w:rPr>
                <w:rFonts w:ascii="Tahoma" w:hAnsi="Tahoma" w:cs="Tahoma"/>
                <w:b/>
                <w:bCs/>
                <w:spacing w:val="-10"/>
                <w:sz w:val="26"/>
                <w:szCs w:val="26"/>
              </w:rPr>
              <w:t>safety inspection mobile units</w:t>
            </w:r>
            <w:r w:rsidRPr="00FA5C98">
              <w:rPr>
                <w:rFonts w:ascii="Tahoma" w:hAnsi="Tahoma" w:cs="Tahoma"/>
                <w:b/>
                <w:bCs/>
                <w:spacing w:val="-10"/>
                <w:sz w:val="26"/>
                <w:szCs w:val="26"/>
                <w:lang w:val="en"/>
              </w:rPr>
              <w:t xml:space="preserve"> only</w:t>
            </w:r>
          </w:p>
        </w:tc>
      </w:tr>
      <w:tr w14:paraId="7FB01C39" w14:textId="7E0F3449" w:rsidTr="00FA5C98">
        <w:tblPrEx>
          <w:tblW w:w="5091" w:type="pct"/>
          <w:tblCellMar>
            <w:left w:w="57" w:type="dxa"/>
            <w:right w:w="57" w:type="dxa"/>
          </w:tblCellMar>
          <w:tblLook w:val="04A0"/>
        </w:tblPrEx>
        <w:tc>
          <w:tcPr>
            <w:tcW w:w="1228" w:type="pct"/>
            <w:tcBorders>
              <w:top w:val="single" w:sz="8" w:space="0" w:color="000000"/>
            </w:tcBorders>
          </w:tcPr>
          <w:p w:rsidR="00FA5C98" w:rsidRPr="008A5E62" w:rsidP="00FA5C98" w14:paraId="0E469777" w14:textId="09759286">
            <w:pPr>
              <w:bidi w:val="0"/>
              <w:spacing w:after="100" w:line="240" w:lineRule="auto"/>
              <w:rPr>
                <w:rFonts w:ascii="Tahoma" w:hAnsi="Tahoma" w:cs="Tahoma"/>
                <w:bCs/>
                <w:color w:val="0D0D0D" w:themeColor="text1" w:themeTint="F2"/>
                <w:w w:val="90"/>
                <w:sz w:val="18"/>
                <w:szCs w:val="18"/>
                <w:rtl/>
              </w:rPr>
            </w:pPr>
            <w:r w:rsidRPr="00FA5C98">
              <w:rPr>
                <w:rFonts w:ascii="Tahoma" w:hAnsi="Tahoma" w:cs="Tahoma"/>
                <w:bCs/>
                <w:color w:val="0D0D0D" w:themeColor="text1" w:themeTint="F2"/>
                <w:w w:val="90"/>
                <w:sz w:val="18"/>
                <w:szCs w:val="18"/>
              </w:rPr>
              <w:t>t</w:t>
            </w:r>
            <w:r w:rsidRPr="00FA5C98">
              <w:rPr>
                <w:rFonts w:ascii="Tahoma" w:hAnsi="Tahoma" w:cs="Tahoma" w:hint="cs"/>
                <w:bCs/>
                <w:color w:val="0D0D0D" w:themeColor="text1" w:themeTint="F2"/>
                <w:w w:val="90"/>
                <w:sz w:val="18"/>
                <w:szCs w:val="18"/>
              </w:rPr>
              <w:t>he flexible budget used by RSA for its activities in 2021, compared to NIS 125 million at its establishment in 2008</w:t>
            </w:r>
          </w:p>
        </w:tc>
        <w:tc>
          <w:tcPr>
            <w:tcW w:w="140" w:type="pct"/>
            <w:tcBorders>
              <w:top w:val="single" w:sz="8" w:space="0" w:color="FFFFFF"/>
            </w:tcBorders>
          </w:tcPr>
          <w:p w:rsidR="00FA5C98" w:rsidRPr="008A5E62" w:rsidP="00FA5C98" w14:paraId="452D577E" w14:textId="77777777">
            <w:pPr>
              <w:bidi w:val="0"/>
              <w:spacing w:after="100" w:line="240" w:lineRule="auto"/>
              <w:rPr>
                <w:rFonts w:ascii="Tahoma" w:hAnsi="Tahoma" w:cs="Tahoma"/>
                <w:bCs/>
                <w:color w:val="0D0D0D" w:themeColor="text1" w:themeTint="F2"/>
                <w:w w:val="90"/>
                <w:sz w:val="18"/>
                <w:szCs w:val="18"/>
                <w:rtl/>
              </w:rPr>
            </w:pPr>
          </w:p>
        </w:tc>
        <w:tc>
          <w:tcPr>
            <w:tcW w:w="1117" w:type="pct"/>
            <w:tcBorders>
              <w:top w:val="single" w:sz="8" w:space="0" w:color="000000"/>
            </w:tcBorders>
          </w:tcPr>
          <w:p w:rsidR="00FA5C98" w:rsidRPr="0015187B" w:rsidP="00FA5C98" w14:paraId="77825D81" w14:textId="3222596C">
            <w:pPr>
              <w:pStyle w:val="732021"/>
              <w:bidi w:val="0"/>
              <w:spacing w:before="0" w:after="0"/>
              <w:rPr>
                <w:bCs/>
                <w:rtl/>
              </w:rPr>
            </w:pPr>
            <w:r w:rsidRPr="00FA5C98">
              <w:rPr>
                <w:bCs/>
              </w:rPr>
              <w:t>of t</w:t>
            </w:r>
            <w:r w:rsidRPr="00FA5C98">
              <w:rPr>
                <w:rFonts w:hint="cs"/>
                <w:bCs/>
              </w:rPr>
              <w:t xml:space="preserve">he Arab sector schools have no Road Safety Coordinators (ZAHAV coordinator) (ZAHAV </w:t>
            </w:r>
            <w:r w:rsidRPr="00FA5C98">
              <w:rPr>
                <w:bCs/>
              </w:rPr>
              <w:t>–</w:t>
            </w:r>
            <w:r w:rsidRPr="00FA5C98">
              <w:rPr>
                <w:rFonts w:hint="cs"/>
                <w:bCs/>
              </w:rPr>
              <w:t xml:space="preserve"> Hebrew acronym for "road safety"), compared to 22% in the Jewish sector schools</w:t>
            </w:r>
          </w:p>
        </w:tc>
        <w:tc>
          <w:tcPr>
            <w:tcW w:w="139" w:type="pct"/>
            <w:tcBorders>
              <w:top w:val="single" w:sz="8" w:space="0" w:color="FFFFFF"/>
            </w:tcBorders>
          </w:tcPr>
          <w:p w:rsidR="00FA5C98" w:rsidRPr="008A5E62" w:rsidP="00FA5C98" w14:paraId="5F4A0ACF" w14:textId="77777777">
            <w:pPr>
              <w:bidi w:val="0"/>
              <w:spacing w:after="100" w:line="240" w:lineRule="auto"/>
              <w:rPr>
                <w:rFonts w:ascii="Tahoma" w:hAnsi="Tahoma" w:cs="Tahoma"/>
                <w:bCs/>
                <w:color w:val="0D0D0D" w:themeColor="text1" w:themeTint="F2"/>
                <w:w w:val="90"/>
                <w:sz w:val="18"/>
                <w:szCs w:val="18"/>
                <w:rtl/>
              </w:rPr>
            </w:pPr>
          </w:p>
        </w:tc>
        <w:tc>
          <w:tcPr>
            <w:tcW w:w="1119" w:type="pct"/>
            <w:tcBorders>
              <w:top w:val="single" w:sz="8" w:space="0" w:color="000000"/>
            </w:tcBorders>
          </w:tcPr>
          <w:p w:rsidR="00FA5C98" w:rsidRPr="00FA5C98" w:rsidP="00FA5C98" w14:paraId="368D853C" w14:textId="3570E83B">
            <w:pPr>
              <w:bidi w:val="0"/>
              <w:spacing w:after="100" w:line="240" w:lineRule="auto"/>
              <w:ind w:right="23"/>
              <w:rPr>
                <w:rFonts w:ascii="Tahoma" w:hAnsi="Tahoma" w:cs="Tahoma"/>
                <w:bCs/>
                <w:color w:val="0D0D0D" w:themeColor="text1" w:themeTint="F2"/>
                <w:w w:val="90"/>
                <w:sz w:val="18"/>
                <w:szCs w:val="18"/>
              </w:rPr>
            </w:pPr>
            <w:r w:rsidRPr="00FA5C98">
              <w:rPr>
                <w:rFonts w:ascii="Tahoma" w:hAnsi="Tahoma" w:cs="Tahoma" w:hint="cs"/>
                <w:bCs/>
                <w:color w:val="0D0D0D" w:themeColor="text1" w:themeTint="F2"/>
                <w:w w:val="90"/>
                <w:sz w:val="18"/>
                <w:szCs w:val="18"/>
              </w:rPr>
              <w:t>137 unfilled positions in the Israel Police Traffic</w:t>
            </w:r>
            <w:r w:rsidRPr="00FA5C98">
              <w:rPr>
                <w:rFonts w:ascii="Tahoma" w:hAnsi="Tahoma" w:cs="Tahoma"/>
                <w:bCs/>
                <w:color w:val="0D0D0D" w:themeColor="text1" w:themeTint="F2"/>
                <w:w w:val="90"/>
                <w:sz w:val="18"/>
                <w:szCs w:val="18"/>
              </w:rPr>
              <w:t xml:space="preserve"> </w:t>
            </w:r>
            <w:r w:rsidRPr="00FA5C98">
              <w:rPr>
                <w:rFonts w:ascii="Tahoma" w:hAnsi="Tahoma" w:cs="Tahoma" w:hint="cs"/>
                <w:bCs/>
                <w:color w:val="0D0D0D" w:themeColor="text1" w:themeTint="F2"/>
                <w:w w:val="90"/>
                <w:sz w:val="18"/>
                <w:szCs w:val="18"/>
              </w:rPr>
              <w:t xml:space="preserve">Division (13% </w:t>
            </w:r>
            <w:r w:rsidRPr="00FA5C98">
              <w:rPr>
                <w:rFonts w:ascii="Tahoma" w:hAnsi="Tahoma" w:cs="Tahoma"/>
                <w:bCs/>
                <w:color w:val="0D0D0D" w:themeColor="text1" w:themeTint="F2"/>
                <w:w w:val="90"/>
                <w:sz w:val="18"/>
                <w:szCs w:val="18"/>
              </w:rPr>
              <w:t xml:space="preserve">of the </w:t>
            </w:r>
            <w:r w:rsidRPr="00FA5C98">
              <w:rPr>
                <w:rFonts w:ascii="Tahoma" w:hAnsi="Tahoma" w:cs="Tahoma" w:hint="cs"/>
                <w:bCs/>
                <w:color w:val="0D0D0D" w:themeColor="text1" w:themeTint="F2"/>
                <w:w w:val="90"/>
                <w:sz w:val="18"/>
                <w:szCs w:val="18"/>
              </w:rPr>
              <w:t>total</w:t>
            </w:r>
            <w:r w:rsidRPr="00FA5C98">
              <w:rPr>
                <w:rFonts w:ascii="Tahoma" w:hAnsi="Tahoma" w:cs="Tahoma"/>
                <w:bCs/>
                <w:color w:val="0D0D0D" w:themeColor="text1" w:themeTint="F2"/>
                <w:w w:val="90"/>
                <w:sz w:val="18"/>
                <w:szCs w:val="18"/>
              </w:rPr>
              <w:t xml:space="preserve"> work</w:t>
            </w:r>
            <w:r>
              <w:rPr>
                <w:rFonts w:ascii="Tahoma" w:hAnsi="Tahoma" w:cs="Tahoma" w:hint="cs"/>
                <w:bCs/>
                <w:color w:val="0D0D0D" w:themeColor="text1" w:themeTint="F2"/>
                <w:w w:val="90"/>
                <w:sz w:val="18"/>
                <w:szCs w:val="18"/>
                <w:rtl/>
              </w:rPr>
              <w:t xml:space="preserve"> </w:t>
            </w:r>
            <w:r>
              <w:rPr>
                <w:rFonts w:ascii="Tahoma" w:hAnsi="Tahoma" w:cs="Tahoma"/>
                <w:bCs/>
                <w:color w:val="0D0D0D" w:themeColor="text1" w:themeTint="F2"/>
                <w:w w:val="90"/>
                <w:sz w:val="18"/>
                <w:szCs w:val="18"/>
              </w:rPr>
              <w:t>force</w:t>
            </w:r>
            <w:r>
              <w:rPr>
                <w:rFonts w:ascii="Tahoma" w:hAnsi="Tahoma" w:cs="Tahoma" w:hint="cs"/>
                <w:bCs/>
                <w:color w:val="0D0D0D" w:themeColor="text1" w:themeTint="F2"/>
                <w:w w:val="90"/>
                <w:sz w:val="18"/>
                <w:szCs w:val="18"/>
                <w:rtl/>
              </w:rPr>
              <w:t xml:space="preserve"> </w:t>
            </w:r>
            <w:r w:rsidRPr="00FA5C98">
              <w:rPr>
                <w:rFonts w:ascii="Tahoma" w:hAnsi="Tahoma" w:cs="Tahoma"/>
                <w:bCs/>
                <w:color w:val="0D0D0D" w:themeColor="text1" w:themeTint="F2"/>
                <w:w w:val="90"/>
                <w:sz w:val="18"/>
                <w:szCs w:val="18"/>
              </w:rPr>
              <w:t xml:space="preserve">headcount </w:t>
            </w:r>
            <w:r w:rsidRPr="00FA5C98">
              <w:rPr>
                <w:rFonts w:ascii="Tahoma" w:hAnsi="Tahoma" w:cs="Tahoma" w:hint="cs"/>
                <w:bCs/>
                <w:color w:val="0D0D0D" w:themeColor="text1" w:themeTint="F2"/>
                <w:w w:val="90"/>
                <w:sz w:val="18"/>
                <w:szCs w:val="18"/>
              </w:rPr>
              <w:t xml:space="preserve">standard) and 201 unfilled positions of Traffic Division officers in the districts (20% </w:t>
            </w:r>
            <w:r w:rsidRPr="00FA5C98">
              <w:rPr>
                <w:rFonts w:ascii="Tahoma" w:hAnsi="Tahoma" w:cs="Tahoma"/>
                <w:bCs/>
                <w:color w:val="0D0D0D" w:themeColor="text1" w:themeTint="F2"/>
                <w:w w:val="90"/>
                <w:sz w:val="18"/>
                <w:szCs w:val="18"/>
              </w:rPr>
              <w:t xml:space="preserve">of the </w:t>
            </w:r>
            <w:r w:rsidRPr="00FA5C98">
              <w:rPr>
                <w:rFonts w:ascii="Tahoma" w:hAnsi="Tahoma" w:cs="Tahoma" w:hint="cs"/>
                <w:bCs/>
                <w:color w:val="0D0D0D" w:themeColor="text1" w:themeTint="F2"/>
                <w:w w:val="90"/>
                <w:sz w:val="18"/>
                <w:szCs w:val="18"/>
              </w:rPr>
              <w:t xml:space="preserve">total </w:t>
            </w:r>
            <w:r w:rsidRPr="00FA5C98">
              <w:rPr>
                <w:rFonts w:ascii="Tahoma" w:hAnsi="Tahoma" w:cs="Tahoma"/>
                <w:bCs/>
                <w:color w:val="0D0D0D" w:themeColor="text1" w:themeTint="F2"/>
                <w:w w:val="90"/>
                <w:sz w:val="18"/>
                <w:szCs w:val="18"/>
              </w:rPr>
              <w:t xml:space="preserve">workforce headcount </w:t>
            </w:r>
            <w:r w:rsidRPr="00FA5C98">
              <w:rPr>
                <w:rFonts w:ascii="Tahoma" w:hAnsi="Tahoma" w:cs="Tahoma" w:hint="cs"/>
                <w:bCs/>
                <w:color w:val="0D0D0D" w:themeColor="text1" w:themeTint="F2"/>
                <w:w w:val="90"/>
                <w:sz w:val="18"/>
                <w:szCs w:val="18"/>
              </w:rPr>
              <w:t>standard</w:t>
            </w:r>
            <w:r w:rsidRPr="00FA5C98">
              <w:rPr>
                <w:rFonts w:ascii="Tahoma" w:hAnsi="Tahoma" w:cs="Tahoma"/>
                <w:bCs/>
                <w:color w:val="0D0D0D" w:themeColor="text1" w:themeTint="F2"/>
                <w:w w:val="90"/>
                <w:sz w:val="18"/>
                <w:szCs w:val="18"/>
              </w:rPr>
              <w:t>)</w:t>
            </w:r>
            <w:r w:rsidRPr="00FA5C98">
              <w:rPr>
                <w:rFonts w:ascii="Tahoma" w:hAnsi="Tahoma" w:cs="Tahoma" w:hint="cs"/>
                <w:bCs/>
                <w:color w:val="0D0D0D" w:themeColor="text1" w:themeTint="F2"/>
                <w:w w:val="90"/>
                <w:sz w:val="18"/>
                <w:szCs w:val="18"/>
              </w:rPr>
              <w:t xml:space="preserve"> </w:t>
            </w:r>
          </w:p>
        </w:tc>
        <w:tc>
          <w:tcPr>
            <w:tcW w:w="139" w:type="pct"/>
          </w:tcPr>
          <w:p w:rsidR="00FA5C98" w:rsidRPr="00B662F5" w:rsidP="00FA5C98" w14:paraId="2855BDCC" w14:textId="77777777">
            <w:pPr>
              <w:bidi w:val="0"/>
              <w:spacing w:after="100" w:line="240" w:lineRule="auto"/>
              <w:ind w:right="23"/>
              <w:rPr>
                <w:rFonts w:ascii="Tahoma" w:hAnsi="Tahoma" w:cs="Tahoma"/>
                <w:bCs/>
                <w:color w:val="0D0D0D" w:themeColor="text1" w:themeTint="F2"/>
                <w:w w:val="90"/>
                <w:sz w:val="18"/>
                <w:szCs w:val="18"/>
              </w:rPr>
            </w:pPr>
          </w:p>
        </w:tc>
        <w:tc>
          <w:tcPr>
            <w:tcW w:w="1117" w:type="pct"/>
            <w:tcBorders>
              <w:top w:val="single" w:sz="8" w:space="0" w:color="000000"/>
            </w:tcBorders>
          </w:tcPr>
          <w:p w:rsidR="00FA5C98" w:rsidRPr="00B662F5" w:rsidP="00FA5C98" w14:paraId="7C5F0D74" w14:textId="6979F120">
            <w:pPr>
              <w:bidi w:val="0"/>
              <w:spacing w:after="100" w:line="240" w:lineRule="auto"/>
              <w:ind w:right="23"/>
              <w:rPr>
                <w:rFonts w:ascii="Tahoma" w:hAnsi="Tahoma" w:cs="Tahoma"/>
                <w:bCs/>
                <w:color w:val="0D0D0D" w:themeColor="text1" w:themeTint="F2"/>
                <w:w w:val="90"/>
                <w:sz w:val="18"/>
                <w:szCs w:val="18"/>
              </w:rPr>
            </w:pPr>
            <w:r w:rsidRPr="00FA5C98">
              <w:rPr>
                <w:rFonts w:ascii="Tahoma" w:hAnsi="Tahoma" w:cs="Tahoma"/>
                <w:bCs/>
                <w:color w:val="0D0D0D" w:themeColor="text1" w:themeTint="F2"/>
                <w:w w:val="90"/>
                <w:sz w:val="18"/>
                <w:szCs w:val="18"/>
              </w:rPr>
              <w:t>t</w:t>
            </w:r>
            <w:r w:rsidRPr="00FA5C98">
              <w:rPr>
                <w:rFonts w:ascii="Tahoma" w:hAnsi="Tahoma" w:cs="Tahoma" w:hint="cs"/>
                <w:bCs/>
                <w:color w:val="0D0D0D" w:themeColor="text1" w:themeTint="F2"/>
                <w:w w:val="90"/>
                <w:sz w:val="18"/>
                <w:szCs w:val="18"/>
              </w:rPr>
              <w:t xml:space="preserve">he number of safety </w:t>
            </w:r>
            <w:r w:rsidRPr="00FA5C98">
              <w:rPr>
                <w:rFonts w:ascii="Tahoma" w:hAnsi="Tahoma" w:cs="Tahoma"/>
                <w:bCs/>
                <w:color w:val="0D0D0D" w:themeColor="text1" w:themeTint="F2"/>
                <w:w w:val="90"/>
                <w:sz w:val="18"/>
                <w:szCs w:val="18"/>
              </w:rPr>
              <w:t>inspection mobile units</w:t>
            </w:r>
            <w:r w:rsidRPr="00FA5C98">
              <w:rPr>
                <w:rFonts w:ascii="Tahoma" w:hAnsi="Tahoma" w:cs="Tahoma" w:hint="cs"/>
                <w:bCs/>
                <w:color w:val="0D0D0D" w:themeColor="text1" w:themeTint="F2"/>
                <w:w w:val="90"/>
                <w:sz w:val="18"/>
                <w:szCs w:val="18"/>
              </w:rPr>
              <w:t xml:space="preserve"> operated by the National Traffic Division in a shift. A government decision from 2005 determined that there should be 450 </w:t>
            </w:r>
            <w:r w:rsidRPr="00FA5C98">
              <w:rPr>
                <w:rFonts w:ascii="Tahoma" w:hAnsi="Tahoma" w:cs="Tahoma"/>
                <w:bCs/>
                <w:color w:val="0D0D0D" w:themeColor="text1" w:themeTint="F2"/>
                <w:w w:val="90"/>
                <w:sz w:val="18"/>
                <w:szCs w:val="18"/>
              </w:rPr>
              <w:t>units</w:t>
            </w:r>
            <w:r w:rsidRPr="00FA5C98">
              <w:rPr>
                <w:rFonts w:ascii="Tahoma" w:hAnsi="Tahoma" w:cs="Tahoma" w:hint="cs"/>
                <w:bCs/>
                <w:color w:val="0D0D0D" w:themeColor="text1" w:themeTint="F2"/>
                <w:w w:val="90"/>
                <w:sz w:val="18"/>
                <w:szCs w:val="18"/>
              </w:rPr>
              <w:t>in</w:t>
            </w:r>
            <w:r w:rsidRPr="00FA5C98">
              <w:rPr>
                <w:rFonts w:ascii="Tahoma" w:hAnsi="Tahoma" w:cs="Tahoma" w:hint="cs"/>
                <w:bCs/>
                <w:color w:val="0D0D0D" w:themeColor="text1" w:themeTint="F2"/>
                <w:w w:val="90"/>
                <w:sz w:val="18"/>
                <w:szCs w:val="18"/>
              </w:rPr>
              <w:t xml:space="preserve"> a shift</w:t>
            </w:r>
          </w:p>
        </w:tc>
      </w:tr>
      <w:tr w14:paraId="5B9C6C91" w14:textId="77777777" w:rsidTr="00FA5C98">
        <w:tblPrEx>
          <w:tblW w:w="5091" w:type="pct"/>
          <w:tblCellMar>
            <w:left w:w="57" w:type="dxa"/>
            <w:right w:w="57" w:type="dxa"/>
          </w:tblCellMar>
          <w:tblLook w:val="04A0"/>
        </w:tblPrEx>
        <w:tc>
          <w:tcPr>
            <w:tcW w:w="1228" w:type="pct"/>
          </w:tcPr>
          <w:p w:rsidR="00941C35" w:rsidRPr="00FF2854" w:rsidP="002A18A0" w14:paraId="12D1B7F9" w14:textId="77777777">
            <w:pPr>
              <w:bidi w:val="0"/>
              <w:spacing w:after="100" w:line="240" w:lineRule="auto"/>
              <w:rPr>
                <w:rFonts w:ascii="Tahoma" w:hAnsi="Tahoma" w:cs="Tahoma"/>
                <w:bCs/>
                <w:color w:val="0D0D0D" w:themeColor="text1" w:themeTint="F2"/>
                <w:w w:val="90"/>
                <w:sz w:val="18"/>
                <w:szCs w:val="18"/>
              </w:rPr>
            </w:pPr>
          </w:p>
        </w:tc>
        <w:tc>
          <w:tcPr>
            <w:tcW w:w="140" w:type="pct"/>
          </w:tcPr>
          <w:p w:rsidR="00941C35" w:rsidRPr="008A5E62" w:rsidP="002A18A0" w14:paraId="128B8634" w14:textId="77777777">
            <w:pPr>
              <w:bidi w:val="0"/>
              <w:spacing w:after="100" w:line="240" w:lineRule="auto"/>
              <w:rPr>
                <w:rFonts w:ascii="Tahoma" w:hAnsi="Tahoma" w:cs="Tahoma"/>
                <w:bCs/>
                <w:color w:val="0D0D0D" w:themeColor="text1" w:themeTint="F2"/>
                <w:w w:val="90"/>
                <w:sz w:val="18"/>
                <w:szCs w:val="18"/>
                <w:rtl/>
              </w:rPr>
            </w:pPr>
          </w:p>
        </w:tc>
        <w:tc>
          <w:tcPr>
            <w:tcW w:w="1117" w:type="pct"/>
          </w:tcPr>
          <w:p w:rsidR="00941C35" w:rsidRPr="00FF2854" w:rsidP="002A18A0" w14:paraId="0DA83BF4" w14:textId="77777777">
            <w:pPr>
              <w:bidi w:val="0"/>
              <w:spacing w:after="100" w:line="240" w:lineRule="auto"/>
              <w:rPr>
                <w:rFonts w:ascii="Tahoma" w:hAnsi="Tahoma" w:cs="Tahoma"/>
                <w:bCs/>
                <w:color w:val="0D0D0D" w:themeColor="text1" w:themeTint="F2"/>
                <w:w w:val="90"/>
                <w:sz w:val="18"/>
                <w:szCs w:val="18"/>
              </w:rPr>
            </w:pPr>
          </w:p>
        </w:tc>
        <w:tc>
          <w:tcPr>
            <w:tcW w:w="139" w:type="pct"/>
          </w:tcPr>
          <w:p w:rsidR="00941C35" w:rsidRPr="008A5E62" w:rsidP="002A18A0" w14:paraId="0A10C8ED" w14:textId="77777777">
            <w:pPr>
              <w:bidi w:val="0"/>
              <w:spacing w:after="100" w:line="240" w:lineRule="auto"/>
              <w:rPr>
                <w:rFonts w:ascii="Tahoma" w:hAnsi="Tahoma" w:cs="Tahoma"/>
                <w:bCs/>
                <w:color w:val="0D0D0D" w:themeColor="text1" w:themeTint="F2"/>
                <w:w w:val="90"/>
                <w:sz w:val="18"/>
                <w:szCs w:val="18"/>
                <w:rtl/>
              </w:rPr>
            </w:pPr>
          </w:p>
        </w:tc>
        <w:tc>
          <w:tcPr>
            <w:tcW w:w="1119" w:type="pct"/>
          </w:tcPr>
          <w:p w:rsidR="00941C35" w:rsidRPr="00FF2854" w:rsidP="002A18A0" w14:paraId="40F8D1F0" w14:textId="77777777">
            <w:pPr>
              <w:bidi w:val="0"/>
              <w:spacing w:after="100" w:line="240" w:lineRule="auto"/>
              <w:ind w:right="23"/>
              <w:rPr>
                <w:rFonts w:ascii="Tahoma" w:hAnsi="Tahoma" w:cs="Tahoma"/>
                <w:bCs/>
                <w:color w:val="0D0D0D" w:themeColor="text1" w:themeTint="F2"/>
                <w:w w:val="90"/>
                <w:sz w:val="18"/>
                <w:szCs w:val="18"/>
              </w:rPr>
            </w:pPr>
          </w:p>
        </w:tc>
        <w:tc>
          <w:tcPr>
            <w:tcW w:w="139" w:type="pct"/>
          </w:tcPr>
          <w:p w:rsidR="00941C35" w:rsidRPr="00B662F5" w:rsidP="002A18A0" w14:paraId="249AB39D" w14:textId="77777777">
            <w:pPr>
              <w:bidi w:val="0"/>
              <w:spacing w:after="100" w:line="240" w:lineRule="auto"/>
              <w:ind w:right="23"/>
              <w:rPr>
                <w:rFonts w:ascii="Tahoma" w:hAnsi="Tahoma" w:cs="Tahoma"/>
                <w:bCs/>
                <w:color w:val="0D0D0D" w:themeColor="text1" w:themeTint="F2"/>
                <w:w w:val="90"/>
                <w:sz w:val="18"/>
                <w:szCs w:val="18"/>
              </w:rPr>
            </w:pPr>
          </w:p>
        </w:tc>
        <w:tc>
          <w:tcPr>
            <w:tcW w:w="1117" w:type="pct"/>
          </w:tcPr>
          <w:p w:rsidR="00941C35" w:rsidRPr="00FF2854" w:rsidP="002A18A0" w14:paraId="5DE95631" w14:textId="77777777">
            <w:pPr>
              <w:bidi w:val="0"/>
              <w:spacing w:after="100" w:line="240" w:lineRule="auto"/>
              <w:ind w:right="23"/>
              <w:rPr>
                <w:rFonts w:ascii="Tahoma" w:hAnsi="Tahoma" w:cs="Tahoma"/>
                <w:bCs/>
                <w:color w:val="0D0D0D" w:themeColor="text1" w:themeTint="F2"/>
                <w:w w:val="90"/>
                <w:sz w:val="18"/>
                <w:szCs w:val="18"/>
              </w:rPr>
            </w:pPr>
          </w:p>
        </w:tc>
      </w:tr>
      <w:tr w14:paraId="3D0BD69E" w14:textId="77777777" w:rsidTr="00FA5C98">
        <w:tblPrEx>
          <w:tblW w:w="5091" w:type="pct"/>
          <w:tblCellMar>
            <w:left w:w="57" w:type="dxa"/>
            <w:right w:w="57" w:type="dxa"/>
          </w:tblCellMar>
          <w:tblLook w:val="04A0"/>
        </w:tblPrEx>
        <w:tc>
          <w:tcPr>
            <w:tcW w:w="1228" w:type="pct"/>
            <w:tcBorders>
              <w:bottom w:val="single" w:sz="8" w:space="0" w:color="000000"/>
            </w:tcBorders>
            <w:vAlign w:val="bottom"/>
          </w:tcPr>
          <w:p w:rsidR="00FA5C98" w:rsidRPr="00FA5C98" w:rsidP="00FA5C98" w14:paraId="1AFDDD8E" w14:textId="0746208A">
            <w:pPr>
              <w:bidi w:val="0"/>
              <w:spacing w:after="100" w:line="240" w:lineRule="auto"/>
              <w:rPr>
                <w:rFonts w:ascii="Tahoma" w:hAnsi="Tahoma" w:cs="Tahoma"/>
                <w:b/>
                <w:bCs/>
                <w:color w:val="0D0D0D" w:themeColor="text1" w:themeTint="F2"/>
                <w:w w:val="90"/>
                <w:sz w:val="26"/>
                <w:szCs w:val="26"/>
              </w:rPr>
            </w:pPr>
            <w:r w:rsidRPr="00FA5C98">
              <w:rPr>
                <w:rFonts w:ascii="Tahoma" w:hAnsi="Tahoma" w:cs="Tahoma"/>
                <w:b/>
                <w:bCs/>
                <w:color w:val="0D0D0D" w:themeColor="text1" w:themeTint="F2"/>
                <w:spacing w:val="-10"/>
                <w:sz w:val="26"/>
                <w:szCs w:val="26"/>
                <w:lang w:val="en"/>
              </w:rPr>
              <w:t xml:space="preserve">only </w:t>
            </w:r>
            <w:r w:rsidRPr="00FA5C98">
              <w:rPr>
                <w:rFonts w:ascii="Tahoma" w:hAnsi="Tahoma" w:cs="Tahoma"/>
                <w:b/>
                <w:bCs/>
                <w:color w:val="0D0D0D" w:themeColor="text1" w:themeTint="F2"/>
                <w:spacing w:val="-10"/>
                <w:sz w:val="36"/>
                <w:szCs w:val="36"/>
                <w:lang w:val="en"/>
              </w:rPr>
              <w:t>1</w:t>
            </w:r>
            <w:r w:rsidRPr="00FA5C98">
              <w:rPr>
                <w:rFonts w:ascii="Tahoma" w:hAnsi="Tahoma" w:cs="Tahoma"/>
                <w:b/>
                <w:bCs/>
                <w:color w:val="0D0D0D" w:themeColor="text1" w:themeTint="F2"/>
                <w:spacing w:val="-10"/>
                <w:sz w:val="26"/>
                <w:szCs w:val="26"/>
                <w:lang w:val="en"/>
              </w:rPr>
              <w:t xml:space="preserve"> </w:t>
            </w:r>
            <w:r w:rsidRPr="00FA5C98">
              <w:rPr>
                <w:rFonts w:ascii="Tahoma" w:hAnsi="Tahoma" w:cs="Tahoma"/>
                <w:b/>
                <w:bCs/>
                <w:color w:val="0D0D0D" w:themeColor="text1" w:themeTint="F2"/>
                <w:spacing w:val="-10"/>
                <w:sz w:val="26"/>
                <w:szCs w:val="26"/>
                <w:lang w:val="en"/>
              </w:rPr>
              <w:br/>
              <w:t xml:space="preserve">per </w:t>
            </w:r>
            <w:r w:rsidRPr="00FA5C98">
              <w:rPr>
                <w:rFonts w:ascii="Tahoma" w:hAnsi="Tahoma" w:cs="Tahoma"/>
                <w:b/>
                <w:bCs/>
                <w:color w:val="0D0D0D" w:themeColor="text1" w:themeTint="F2"/>
                <w:spacing w:val="-10"/>
                <w:sz w:val="36"/>
                <w:szCs w:val="36"/>
                <w:lang w:val="en"/>
              </w:rPr>
              <w:t>100</w:t>
            </w:r>
            <w:r w:rsidRPr="00FA5C98">
              <w:rPr>
                <w:rFonts w:ascii="Tahoma" w:hAnsi="Tahoma" w:cs="Tahoma"/>
                <w:b/>
                <w:bCs/>
                <w:color w:val="0D0D0D" w:themeColor="text1" w:themeTint="F2"/>
                <w:spacing w:val="-10"/>
                <w:sz w:val="26"/>
                <w:szCs w:val="26"/>
                <w:lang w:val="en"/>
              </w:rPr>
              <w:t xml:space="preserve"> km</w:t>
            </w:r>
          </w:p>
        </w:tc>
        <w:tc>
          <w:tcPr>
            <w:tcW w:w="140" w:type="pct"/>
            <w:tcBorders>
              <w:bottom w:val="single" w:sz="8" w:space="0" w:color="FFFFFF"/>
            </w:tcBorders>
            <w:vAlign w:val="bottom"/>
          </w:tcPr>
          <w:p w:rsidR="00FA5C98" w:rsidRPr="00FA5C98" w:rsidP="00FA5C98" w14:paraId="18295320" w14:textId="77777777">
            <w:pPr>
              <w:bidi w:val="0"/>
              <w:spacing w:after="100" w:line="240" w:lineRule="auto"/>
              <w:rPr>
                <w:rFonts w:ascii="Tahoma" w:hAnsi="Tahoma" w:cs="Tahoma"/>
                <w:b/>
                <w:bCs/>
                <w:color w:val="0D0D0D" w:themeColor="text1" w:themeTint="F2"/>
                <w:w w:val="90"/>
                <w:sz w:val="26"/>
                <w:szCs w:val="26"/>
                <w:rtl/>
              </w:rPr>
            </w:pPr>
          </w:p>
        </w:tc>
        <w:tc>
          <w:tcPr>
            <w:tcW w:w="1117" w:type="pct"/>
            <w:tcBorders>
              <w:bottom w:val="single" w:sz="8" w:space="0" w:color="000000"/>
            </w:tcBorders>
            <w:vAlign w:val="bottom"/>
          </w:tcPr>
          <w:p w:rsidR="00FA5C98" w:rsidRPr="00FA5C98" w:rsidP="00FA5C98" w14:paraId="0466B17E" w14:textId="3C917ABF">
            <w:pPr>
              <w:bidi w:val="0"/>
              <w:spacing w:after="100" w:line="240" w:lineRule="auto"/>
              <w:rPr>
                <w:rFonts w:ascii="Tahoma" w:hAnsi="Tahoma" w:cs="Tahoma"/>
                <w:b/>
                <w:bCs/>
                <w:color w:val="0D0D0D" w:themeColor="text1" w:themeTint="F2"/>
                <w:w w:val="90"/>
                <w:sz w:val="26"/>
                <w:szCs w:val="26"/>
              </w:rPr>
            </w:pPr>
            <w:r w:rsidRPr="00FA5C98">
              <w:rPr>
                <w:rFonts w:ascii="Tahoma" w:hAnsi="Tahoma" w:cs="Tahoma"/>
                <w:b/>
                <w:bCs/>
                <w:color w:val="0D0D0D" w:themeColor="text1" w:themeTint="F2"/>
                <w:spacing w:val="-10"/>
                <w:sz w:val="36"/>
                <w:szCs w:val="36"/>
                <w:lang w:val="en"/>
              </w:rPr>
              <w:t>150,000</w:t>
            </w:r>
            <w:r w:rsidRPr="00FA5C98">
              <w:rPr>
                <w:rFonts w:ascii="Tahoma" w:hAnsi="Tahoma" w:cs="Tahoma"/>
                <w:b/>
                <w:bCs/>
                <w:spacing w:val="-10"/>
                <w:sz w:val="26"/>
                <w:szCs w:val="26"/>
                <w:lang w:val="en"/>
              </w:rPr>
              <w:t xml:space="preserve"> </w:t>
            </w:r>
          </w:p>
        </w:tc>
        <w:tc>
          <w:tcPr>
            <w:tcW w:w="139" w:type="pct"/>
            <w:tcBorders>
              <w:bottom w:val="single" w:sz="8" w:space="0" w:color="FFFFFF"/>
            </w:tcBorders>
            <w:vAlign w:val="bottom"/>
          </w:tcPr>
          <w:p w:rsidR="00FA5C98" w:rsidRPr="00FA5C98" w:rsidP="00FA5C98" w14:paraId="72B3F175" w14:textId="77777777">
            <w:pPr>
              <w:bidi w:val="0"/>
              <w:spacing w:after="100" w:line="240" w:lineRule="auto"/>
              <w:rPr>
                <w:rFonts w:ascii="Tahoma" w:hAnsi="Tahoma" w:cs="Tahoma"/>
                <w:b/>
                <w:bCs/>
                <w:color w:val="0D0D0D" w:themeColor="text1" w:themeTint="F2"/>
                <w:w w:val="90"/>
                <w:sz w:val="26"/>
                <w:szCs w:val="26"/>
                <w:rtl/>
              </w:rPr>
            </w:pPr>
          </w:p>
        </w:tc>
        <w:tc>
          <w:tcPr>
            <w:tcW w:w="1119" w:type="pct"/>
            <w:tcBorders>
              <w:bottom w:val="single" w:sz="8" w:space="0" w:color="000000"/>
            </w:tcBorders>
            <w:vAlign w:val="bottom"/>
          </w:tcPr>
          <w:p w:rsidR="00FA5C98" w:rsidRPr="00FA5C98" w:rsidP="00FA5C98" w14:paraId="7C4308AA" w14:textId="1AB81525">
            <w:pPr>
              <w:bidi w:val="0"/>
              <w:spacing w:after="100" w:line="240" w:lineRule="auto"/>
              <w:ind w:right="23"/>
              <w:rPr>
                <w:rFonts w:ascii="Tahoma" w:hAnsi="Tahoma" w:cs="Tahoma"/>
                <w:b/>
                <w:bCs/>
                <w:color w:val="0D0D0D" w:themeColor="text1" w:themeTint="F2"/>
                <w:w w:val="90"/>
                <w:sz w:val="26"/>
                <w:szCs w:val="26"/>
              </w:rPr>
            </w:pPr>
            <w:r w:rsidRPr="00FA5C98">
              <w:rPr>
                <w:rFonts w:ascii="Tahoma" w:hAnsi="Tahoma" w:cs="Tahoma"/>
                <w:b/>
                <w:bCs/>
                <w:color w:val="0D0D0D" w:themeColor="text1" w:themeTint="F2"/>
                <w:spacing w:val="-10"/>
                <w:sz w:val="36"/>
                <w:szCs w:val="36"/>
                <w:lang w:val="en"/>
              </w:rPr>
              <w:t>3,400</w:t>
            </w:r>
            <w:r w:rsidRPr="00FA5C98">
              <w:rPr>
                <w:rFonts w:ascii="Tahoma" w:hAnsi="Tahoma" w:cs="Tahoma"/>
                <w:b/>
                <w:bCs/>
                <w:color w:val="0D0D0D" w:themeColor="text1" w:themeTint="F2"/>
                <w:spacing w:val="-10"/>
                <w:sz w:val="26"/>
                <w:szCs w:val="26"/>
                <w:lang w:val="en"/>
              </w:rPr>
              <w:t xml:space="preserve"> cases</w:t>
            </w:r>
          </w:p>
        </w:tc>
        <w:tc>
          <w:tcPr>
            <w:tcW w:w="139" w:type="pct"/>
            <w:vAlign w:val="bottom"/>
          </w:tcPr>
          <w:p w:rsidR="00FA5C98" w:rsidRPr="00FA5C98" w:rsidP="00FA5C98" w14:paraId="32B06901" w14:textId="77777777">
            <w:pPr>
              <w:bidi w:val="0"/>
              <w:spacing w:after="100" w:line="240" w:lineRule="auto"/>
              <w:ind w:right="23"/>
              <w:rPr>
                <w:rFonts w:ascii="Tahoma" w:hAnsi="Tahoma" w:cs="Tahoma"/>
                <w:b/>
                <w:bCs/>
                <w:color w:val="0D0D0D" w:themeColor="text1" w:themeTint="F2"/>
                <w:w w:val="90"/>
                <w:sz w:val="26"/>
                <w:szCs w:val="26"/>
              </w:rPr>
            </w:pPr>
          </w:p>
        </w:tc>
        <w:tc>
          <w:tcPr>
            <w:tcW w:w="1117" w:type="pct"/>
            <w:tcBorders>
              <w:bottom w:val="single" w:sz="8" w:space="0" w:color="000000"/>
            </w:tcBorders>
            <w:vAlign w:val="bottom"/>
          </w:tcPr>
          <w:p w:rsidR="00FA5C98" w:rsidRPr="00FA5C98" w:rsidP="00FA5C98" w14:paraId="33A38552" w14:textId="77777777">
            <w:pPr>
              <w:bidi w:val="0"/>
              <w:spacing w:after="60" w:line="240" w:lineRule="auto"/>
              <w:rPr>
                <w:rFonts w:ascii="Tahoma" w:hAnsi="Tahoma" w:cs="Tahoma"/>
                <w:b/>
                <w:bCs/>
                <w:color w:val="0D0D0D" w:themeColor="text1" w:themeTint="F2"/>
                <w:spacing w:val="-10"/>
                <w:sz w:val="26"/>
                <w:szCs w:val="26"/>
                <w:lang w:val="en"/>
              </w:rPr>
            </w:pPr>
            <w:r w:rsidRPr="00FA5C98">
              <w:rPr>
                <w:rFonts w:ascii="Tahoma" w:hAnsi="Tahoma" w:cs="Tahoma"/>
                <w:b/>
                <w:bCs/>
                <w:color w:val="0D0D0D" w:themeColor="text1" w:themeTint="F2"/>
                <w:spacing w:val="-10"/>
                <w:sz w:val="26"/>
                <w:szCs w:val="26"/>
                <w:lang w:val="en"/>
              </w:rPr>
              <w:t xml:space="preserve">NIS </w:t>
            </w:r>
            <w:r w:rsidRPr="00FA5C98">
              <w:rPr>
                <w:rFonts w:ascii="Tahoma" w:hAnsi="Tahoma" w:cs="Tahoma"/>
                <w:b/>
                <w:bCs/>
                <w:color w:val="0D0D0D" w:themeColor="text1" w:themeTint="F2"/>
                <w:spacing w:val="-10"/>
                <w:sz w:val="36"/>
                <w:szCs w:val="36"/>
                <w:lang w:val="en"/>
              </w:rPr>
              <w:t>830</w:t>
            </w:r>
            <w:r w:rsidRPr="00FA5C98">
              <w:rPr>
                <w:rFonts w:ascii="Tahoma" w:hAnsi="Tahoma" w:cs="Tahoma"/>
                <w:b/>
                <w:bCs/>
                <w:color w:val="0D0D0D" w:themeColor="text1" w:themeTint="F2"/>
                <w:spacing w:val="-10"/>
                <w:sz w:val="26"/>
                <w:szCs w:val="26"/>
                <w:lang w:val="en"/>
              </w:rPr>
              <w:t xml:space="preserve"> </w:t>
            </w:r>
          </w:p>
          <w:p w:rsidR="00FA5C98" w:rsidRPr="00FA5C98" w:rsidP="00FA5C98" w14:paraId="34B91FF5" w14:textId="233E5DB4">
            <w:pPr>
              <w:bidi w:val="0"/>
              <w:spacing w:after="100" w:line="240" w:lineRule="auto"/>
              <w:ind w:right="23"/>
              <w:rPr>
                <w:rFonts w:ascii="Tahoma" w:hAnsi="Tahoma" w:cs="Tahoma"/>
                <w:b/>
                <w:bCs/>
                <w:color w:val="0D0D0D" w:themeColor="text1" w:themeTint="F2"/>
                <w:w w:val="90"/>
                <w:sz w:val="26"/>
                <w:szCs w:val="26"/>
              </w:rPr>
            </w:pPr>
            <w:r w:rsidRPr="00FA5C98">
              <w:rPr>
                <w:rFonts w:ascii="Tahoma" w:hAnsi="Tahoma" w:cs="Tahoma"/>
                <w:b/>
                <w:bCs/>
                <w:color w:val="0D0D0D" w:themeColor="text1" w:themeTint="F2"/>
                <w:spacing w:val="-10"/>
                <w:sz w:val="26"/>
                <w:szCs w:val="26"/>
                <w:lang w:val="en"/>
              </w:rPr>
              <w:t>million</w:t>
            </w:r>
          </w:p>
        </w:tc>
      </w:tr>
      <w:tr w14:paraId="4CEBF2E2" w14:textId="77777777" w:rsidTr="00FA5C98">
        <w:tblPrEx>
          <w:tblW w:w="5091" w:type="pct"/>
          <w:tblCellMar>
            <w:left w:w="57" w:type="dxa"/>
            <w:right w:w="57" w:type="dxa"/>
          </w:tblCellMar>
          <w:tblLook w:val="04A0"/>
        </w:tblPrEx>
        <w:tc>
          <w:tcPr>
            <w:tcW w:w="1228" w:type="pct"/>
            <w:tcBorders>
              <w:top w:val="single" w:sz="8" w:space="0" w:color="000000"/>
            </w:tcBorders>
          </w:tcPr>
          <w:p w:rsidR="00FA5C98" w:rsidRPr="00FF2854" w:rsidP="00FA5C98" w14:paraId="4DFB2EB3" w14:textId="146BCC87">
            <w:pPr>
              <w:bidi w:val="0"/>
              <w:spacing w:after="100" w:line="240" w:lineRule="auto"/>
              <w:rPr>
                <w:rFonts w:ascii="Tahoma" w:hAnsi="Tahoma" w:cs="Tahoma"/>
                <w:bCs/>
                <w:color w:val="0D0D0D" w:themeColor="text1" w:themeTint="F2"/>
                <w:w w:val="90"/>
                <w:sz w:val="18"/>
                <w:szCs w:val="18"/>
              </w:rPr>
            </w:pPr>
            <w:r w:rsidRPr="00FA5C98">
              <w:rPr>
                <w:rFonts w:ascii="Tahoma" w:hAnsi="Tahoma" w:cs="Tahoma" w:hint="cs"/>
                <w:bCs/>
                <w:color w:val="0D0D0D" w:themeColor="text1" w:themeTint="F2"/>
                <w:w w:val="90"/>
                <w:sz w:val="18"/>
                <w:szCs w:val="18"/>
              </w:rPr>
              <w:t xml:space="preserve">National Traffic Division </w:t>
            </w:r>
            <w:bookmarkStart w:id="6" w:name="_Hlk177382300"/>
            <w:r w:rsidRPr="00FA5C98">
              <w:rPr>
                <w:rFonts w:ascii="Tahoma" w:hAnsi="Tahoma" w:cs="Tahoma" w:hint="cs"/>
                <w:bCs/>
                <w:color w:val="0D0D0D" w:themeColor="text1" w:themeTint="F2"/>
                <w:w w:val="90"/>
                <w:sz w:val="18"/>
                <w:szCs w:val="18"/>
              </w:rPr>
              <w:t xml:space="preserve">safety </w:t>
            </w:r>
            <w:r w:rsidRPr="00FA5C98">
              <w:rPr>
                <w:rFonts w:ascii="Tahoma" w:hAnsi="Tahoma" w:cs="Tahoma"/>
                <w:bCs/>
                <w:color w:val="0D0D0D" w:themeColor="text1" w:themeTint="F2"/>
                <w:w w:val="90"/>
                <w:sz w:val="18"/>
                <w:szCs w:val="18"/>
              </w:rPr>
              <w:t>inspection mobile units</w:t>
            </w:r>
            <w:r w:rsidRPr="00FA5C98">
              <w:rPr>
                <w:rFonts w:ascii="Tahoma" w:hAnsi="Tahoma" w:cs="Tahoma" w:hint="cs"/>
                <w:bCs/>
                <w:color w:val="0D0D0D" w:themeColor="text1" w:themeTint="F2"/>
                <w:w w:val="90"/>
                <w:sz w:val="18"/>
                <w:szCs w:val="18"/>
              </w:rPr>
              <w:t xml:space="preserve"> </w:t>
            </w:r>
            <w:bookmarkEnd w:id="6"/>
            <w:r w:rsidRPr="00FA5C98">
              <w:rPr>
                <w:rFonts w:ascii="Tahoma" w:hAnsi="Tahoma" w:cs="Tahoma"/>
                <w:bCs/>
                <w:color w:val="0D0D0D" w:themeColor="text1" w:themeTint="F2"/>
                <w:w w:val="90"/>
                <w:sz w:val="18"/>
                <w:szCs w:val="18"/>
              </w:rPr>
              <w:t xml:space="preserve">rate </w:t>
            </w:r>
            <w:r w:rsidRPr="00FA5C98">
              <w:rPr>
                <w:rFonts w:ascii="Tahoma" w:hAnsi="Tahoma" w:cs="Tahoma" w:hint="cs"/>
                <w:bCs/>
                <w:color w:val="0D0D0D" w:themeColor="text1" w:themeTint="F2"/>
                <w:w w:val="90"/>
                <w:sz w:val="18"/>
                <w:szCs w:val="18"/>
              </w:rPr>
              <w:t>in Israel, compared to 1 per 10 km in OECD countries</w:t>
            </w:r>
          </w:p>
        </w:tc>
        <w:tc>
          <w:tcPr>
            <w:tcW w:w="140" w:type="pct"/>
            <w:tcBorders>
              <w:top w:val="single" w:sz="8" w:space="0" w:color="FFFFFF"/>
            </w:tcBorders>
          </w:tcPr>
          <w:p w:rsidR="00FA5C98" w:rsidRPr="008A5E62" w:rsidP="00FA5C98" w14:paraId="383B645E" w14:textId="77777777">
            <w:pPr>
              <w:bidi w:val="0"/>
              <w:spacing w:after="100" w:line="240" w:lineRule="auto"/>
              <w:rPr>
                <w:rFonts w:ascii="Tahoma" w:hAnsi="Tahoma" w:cs="Tahoma"/>
                <w:bCs/>
                <w:color w:val="0D0D0D" w:themeColor="text1" w:themeTint="F2"/>
                <w:w w:val="90"/>
                <w:sz w:val="18"/>
                <w:szCs w:val="18"/>
                <w:rtl/>
              </w:rPr>
            </w:pPr>
          </w:p>
        </w:tc>
        <w:tc>
          <w:tcPr>
            <w:tcW w:w="1117" w:type="pct"/>
            <w:tcBorders>
              <w:top w:val="single" w:sz="8" w:space="0" w:color="000000"/>
            </w:tcBorders>
          </w:tcPr>
          <w:p w:rsidR="00FA5C98" w:rsidRPr="00FF2854" w:rsidP="00FA5C98" w14:paraId="59862DBC" w14:textId="3485E56E">
            <w:pPr>
              <w:bidi w:val="0"/>
              <w:spacing w:after="100" w:line="240" w:lineRule="auto"/>
              <w:rPr>
                <w:rFonts w:ascii="Tahoma" w:hAnsi="Tahoma" w:cs="Tahoma"/>
                <w:bCs/>
                <w:color w:val="0D0D0D" w:themeColor="text1" w:themeTint="F2"/>
                <w:w w:val="90"/>
                <w:sz w:val="18"/>
                <w:szCs w:val="18"/>
              </w:rPr>
            </w:pPr>
            <w:r w:rsidRPr="00FA5C98">
              <w:rPr>
                <w:rFonts w:ascii="Tahoma" w:hAnsi="Tahoma" w:cs="Tahoma"/>
                <w:bCs/>
                <w:color w:val="0D0D0D" w:themeColor="text1" w:themeTint="F2"/>
                <w:w w:val="90"/>
                <w:sz w:val="18"/>
                <w:szCs w:val="18"/>
              </w:rPr>
              <w:t>n</w:t>
            </w:r>
            <w:r w:rsidRPr="00FA5C98">
              <w:rPr>
                <w:rFonts w:ascii="Tahoma" w:hAnsi="Tahoma" w:cs="Tahoma" w:hint="cs"/>
                <w:bCs/>
                <w:color w:val="0D0D0D" w:themeColor="text1" w:themeTint="F2"/>
                <w:w w:val="90"/>
                <w:sz w:val="18"/>
                <w:szCs w:val="18"/>
              </w:rPr>
              <w:t xml:space="preserve">umber of requests to convert a traffic fine into a warning and requests for a trial in 2019 </w:t>
            </w:r>
            <w:r w:rsidRPr="00FA5C98">
              <w:rPr>
                <w:rFonts w:ascii="Tahoma" w:hAnsi="Tahoma" w:cs="Tahoma"/>
                <w:bCs/>
                <w:color w:val="0D0D0D" w:themeColor="text1" w:themeTint="F2"/>
                <w:w w:val="90"/>
                <w:sz w:val="18"/>
                <w:szCs w:val="18"/>
              </w:rPr>
              <w:t>–</w:t>
            </w:r>
            <w:r w:rsidRPr="00FA5C98">
              <w:rPr>
                <w:rFonts w:ascii="Tahoma" w:hAnsi="Tahoma" w:cs="Tahoma" w:hint="cs"/>
                <w:bCs/>
                <w:color w:val="0D0D0D" w:themeColor="text1" w:themeTint="F2"/>
                <w:w w:val="90"/>
                <w:sz w:val="18"/>
                <w:szCs w:val="18"/>
              </w:rPr>
              <w:t xml:space="preserve"> 13% of all traffic fines imposed</w:t>
            </w:r>
          </w:p>
        </w:tc>
        <w:tc>
          <w:tcPr>
            <w:tcW w:w="139" w:type="pct"/>
            <w:tcBorders>
              <w:top w:val="single" w:sz="8" w:space="0" w:color="FFFFFF"/>
              <w:bottom w:val="single" w:sz="8" w:space="0" w:color="FFFFFF"/>
            </w:tcBorders>
          </w:tcPr>
          <w:p w:rsidR="00FA5C98" w:rsidRPr="008A5E62" w:rsidP="00FA5C98" w14:paraId="0B9558FF" w14:textId="77777777">
            <w:pPr>
              <w:bidi w:val="0"/>
              <w:spacing w:after="100" w:line="240" w:lineRule="auto"/>
              <w:rPr>
                <w:rFonts w:ascii="Tahoma" w:hAnsi="Tahoma" w:cs="Tahoma"/>
                <w:bCs/>
                <w:color w:val="0D0D0D" w:themeColor="text1" w:themeTint="F2"/>
                <w:w w:val="90"/>
                <w:sz w:val="18"/>
                <w:szCs w:val="18"/>
                <w:rtl/>
              </w:rPr>
            </w:pPr>
          </w:p>
        </w:tc>
        <w:tc>
          <w:tcPr>
            <w:tcW w:w="1119" w:type="pct"/>
            <w:tcBorders>
              <w:top w:val="single" w:sz="8" w:space="0" w:color="000000"/>
            </w:tcBorders>
          </w:tcPr>
          <w:p w:rsidR="00FA5C98" w:rsidRPr="00FF2854" w:rsidP="00FA5C98" w14:paraId="7B83DDFD" w14:textId="40B782C0">
            <w:pPr>
              <w:bidi w:val="0"/>
              <w:spacing w:after="100" w:line="240" w:lineRule="auto"/>
              <w:rPr>
                <w:rFonts w:ascii="Tahoma" w:hAnsi="Tahoma" w:cs="Tahoma"/>
                <w:bCs/>
                <w:color w:val="0D0D0D" w:themeColor="text1" w:themeTint="F2"/>
                <w:w w:val="90"/>
                <w:sz w:val="18"/>
                <w:szCs w:val="18"/>
              </w:rPr>
            </w:pPr>
            <w:r w:rsidRPr="00FA5C98">
              <w:rPr>
                <w:rFonts w:ascii="Tahoma" w:hAnsi="Tahoma" w:cs="Tahoma"/>
                <w:bCs/>
                <w:color w:val="0D0D0D" w:themeColor="text1" w:themeTint="F2"/>
                <w:w w:val="90"/>
                <w:sz w:val="18"/>
                <w:szCs w:val="18"/>
              </w:rPr>
              <w:t>n</w:t>
            </w:r>
            <w:r w:rsidRPr="00FA5C98">
              <w:rPr>
                <w:rFonts w:ascii="Tahoma" w:hAnsi="Tahoma" w:cs="Tahoma" w:hint="cs"/>
                <w:bCs/>
                <w:color w:val="0D0D0D" w:themeColor="text1" w:themeTint="F2"/>
                <w:w w:val="90"/>
                <w:sz w:val="18"/>
                <w:szCs w:val="18"/>
              </w:rPr>
              <w:t xml:space="preserve">umber of cases handled </w:t>
            </w:r>
            <w:r w:rsidRPr="00FA5C98">
              <w:rPr>
                <w:rFonts w:ascii="Tahoma" w:hAnsi="Tahoma" w:cs="Tahoma"/>
                <w:bCs/>
                <w:color w:val="0D0D0D" w:themeColor="text1" w:themeTint="F2"/>
                <w:w w:val="90"/>
                <w:sz w:val="18"/>
                <w:szCs w:val="18"/>
              </w:rPr>
              <w:t>by a traffic court judge per year on average</w:t>
            </w:r>
            <w:r w:rsidRPr="00FA5C98">
              <w:rPr>
                <w:rFonts w:ascii="Tahoma" w:hAnsi="Tahoma" w:cs="Tahoma" w:hint="cs"/>
                <w:bCs/>
                <w:color w:val="0D0D0D" w:themeColor="text1" w:themeTint="F2"/>
                <w:w w:val="90"/>
                <w:sz w:val="18"/>
                <w:szCs w:val="18"/>
              </w:rPr>
              <w:t xml:space="preserve">. The number of cases has increased by 16% since 2016, but the number of traffic court judges has </w:t>
            </w:r>
            <w:r w:rsidRPr="00FA5C98">
              <w:rPr>
                <w:rFonts w:ascii="Tahoma" w:hAnsi="Tahoma" w:cs="Tahoma"/>
                <w:bCs/>
                <w:color w:val="0D0D0D" w:themeColor="text1" w:themeTint="F2"/>
                <w:w w:val="90"/>
                <w:sz w:val="18"/>
                <w:szCs w:val="18"/>
              </w:rPr>
              <w:t>remained unchanged</w:t>
            </w:r>
          </w:p>
        </w:tc>
        <w:tc>
          <w:tcPr>
            <w:tcW w:w="139" w:type="pct"/>
          </w:tcPr>
          <w:p w:rsidR="00FA5C98" w:rsidRPr="00B662F5" w:rsidP="00FA5C98" w14:paraId="0CE82B53" w14:textId="77777777">
            <w:pPr>
              <w:bidi w:val="0"/>
              <w:spacing w:after="100" w:line="240" w:lineRule="auto"/>
              <w:rPr>
                <w:rFonts w:ascii="Tahoma" w:hAnsi="Tahoma" w:cs="Tahoma"/>
                <w:bCs/>
                <w:color w:val="0D0D0D" w:themeColor="text1" w:themeTint="F2"/>
                <w:w w:val="90"/>
                <w:sz w:val="18"/>
                <w:szCs w:val="18"/>
              </w:rPr>
            </w:pPr>
          </w:p>
        </w:tc>
        <w:tc>
          <w:tcPr>
            <w:tcW w:w="1117" w:type="pct"/>
            <w:tcBorders>
              <w:top w:val="single" w:sz="8" w:space="0" w:color="000000"/>
            </w:tcBorders>
          </w:tcPr>
          <w:p w:rsidR="00FA5C98" w:rsidRPr="00FF2854" w:rsidP="00FA5C98" w14:paraId="41D2BEBB" w14:textId="26C02A19">
            <w:pPr>
              <w:bidi w:val="0"/>
              <w:spacing w:after="100" w:line="240" w:lineRule="auto"/>
              <w:rPr>
                <w:rFonts w:ascii="Tahoma" w:hAnsi="Tahoma" w:cs="Tahoma"/>
                <w:bCs/>
                <w:color w:val="0D0D0D" w:themeColor="text1" w:themeTint="F2"/>
                <w:w w:val="90"/>
                <w:sz w:val="18"/>
                <w:szCs w:val="18"/>
              </w:rPr>
            </w:pPr>
            <w:r w:rsidRPr="00FA5C98">
              <w:rPr>
                <w:rFonts w:ascii="Tahoma" w:hAnsi="Tahoma" w:cs="Tahoma"/>
                <w:bCs/>
                <w:color w:val="0D0D0D" w:themeColor="text1" w:themeTint="F2"/>
                <w:w w:val="90"/>
                <w:sz w:val="18"/>
                <w:szCs w:val="18"/>
              </w:rPr>
              <w:t>t</w:t>
            </w:r>
            <w:r w:rsidRPr="00FA5C98">
              <w:rPr>
                <w:rFonts w:ascii="Tahoma" w:hAnsi="Tahoma" w:cs="Tahoma" w:hint="cs"/>
                <w:bCs/>
                <w:color w:val="0D0D0D" w:themeColor="text1" w:themeTint="F2"/>
                <w:w w:val="90"/>
                <w:sz w:val="18"/>
                <w:szCs w:val="18"/>
              </w:rPr>
              <w:t>he budget for handling high-risk areas</w:t>
            </w:r>
            <w:r w:rsidRPr="00FA5C98">
              <w:rPr>
                <w:rFonts w:ascii="Tahoma" w:hAnsi="Tahoma" w:cs="Tahoma"/>
                <w:bCs/>
                <w:color w:val="0D0D0D" w:themeColor="text1" w:themeTint="F2"/>
                <w:w w:val="90"/>
                <w:sz w:val="18"/>
                <w:szCs w:val="18"/>
              </w:rPr>
              <w:t>,</w:t>
            </w:r>
            <w:r w:rsidRPr="00FA5C98">
              <w:rPr>
                <w:rFonts w:ascii="Tahoma" w:hAnsi="Tahoma" w:cs="Tahoma" w:hint="cs"/>
                <w:bCs/>
                <w:color w:val="0D0D0D" w:themeColor="text1" w:themeTint="F2"/>
                <w:w w:val="90"/>
                <w:sz w:val="18"/>
                <w:szCs w:val="18"/>
              </w:rPr>
              <w:t xml:space="preserve"> </w:t>
            </w:r>
            <w:r w:rsidRPr="00FA5C98">
              <w:rPr>
                <w:rFonts w:ascii="Tahoma" w:hAnsi="Tahoma" w:cs="Tahoma"/>
                <w:bCs/>
                <w:color w:val="0D0D0D" w:themeColor="text1" w:themeTint="F2"/>
                <w:w w:val="90"/>
                <w:sz w:val="18"/>
                <w:szCs w:val="18"/>
              </w:rPr>
              <w:t xml:space="preserve">is </w:t>
            </w:r>
            <w:r w:rsidRPr="00FA5C98">
              <w:rPr>
                <w:rFonts w:ascii="Tahoma" w:hAnsi="Tahoma" w:cs="Tahoma" w:hint="cs"/>
                <w:bCs/>
                <w:color w:val="0D0D0D" w:themeColor="text1" w:themeTint="F2"/>
                <w:w w:val="90"/>
                <w:sz w:val="18"/>
                <w:szCs w:val="18"/>
              </w:rPr>
              <w:t xml:space="preserve">only about 72% of the </w:t>
            </w:r>
            <w:r w:rsidRPr="00FA5C98">
              <w:rPr>
                <w:rFonts w:ascii="Tahoma" w:hAnsi="Tahoma" w:cs="Tahoma"/>
                <w:bCs/>
                <w:color w:val="0D0D0D" w:themeColor="text1" w:themeTint="F2"/>
                <w:w w:val="90"/>
                <w:sz w:val="18"/>
                <w:szCs w:val="18"/>
              </w:rPr>
              <w:t>budget</w:t>
            </w:r>
            <w:r w:rsidRPr="00FA5C98">
              <w:rPr>
                <w:rFonts w:ascii="Tahoma" w:hAnsi="Tahoma" w:cs="Tahoma" w:hint="cs"/>
                <w:bCs/>
                <w:color w:val="0D0D0D" w:themeColor="text1" w:themeTint="F2"/>
                <w:w w:val="90"/>
                <w:sz w:val="18"/>
                <w:szCs w:val="18"/>
              </w:rPr>
              <w:t xml:space="preserve"> </w:t>
            </w:r>
            <w:r w:rsidRPr="00FA5C98">
              <w:rPr>
                <w:rFonts w:ascii="Tahoma" w:hAnsi="Tahoma" w:cs="Tahoma"/>
                <w:bCs/>
                <w:color w:val="0D0D0D" w:themeColor="text1" w:themeTint="F2"/>
                <w:w w:val="90"/>
                <w:sz w:val="18"/>
                <w:szCs w:val="18"/>
              </w:rPr>
              <w:t>(</w:t>
            </w:r>
            <w:r w:rsidRPr="00FA5C98">
              <w:rPr>
                <w:rFonts w:ascii="Tahoma" w:hAnsi="Tahoma" w:cs="Tahoma" w:hint="cs"/>
                <w:bCs/>
                <w:color w:val="0D0D0D" w:themeColor="text1" w:themeTint="F2"/>
                <w:w w:val="90"/>
                <w:sz w:val="18"/>
                <w:szCs w:val="18"/>
              </w:rPr>
              <w:t xml:space="preserve">NIS 1.15 billion) set in the </w:t>
            </w:r>
            <w:r w:rsidRPr="00FA5C98">
              <w:rPr>
                <w:rFonts w:ascii="Tahoma" w:hAnsi="Tahoma" w:cs="Tahoma" w:hint="cs"/>
                <w:bCs/>
                <w:color w:val="0D0D0D" w:themeColor="text1" w:themeTint="F2"/>
                <w:w w:val="90"/>
                <w:sz w:val="18"/>
                <w:szCs w:val="18"/>
              </w:rPr>
              <w:t>Netivei</w:t>
            </w:r>
            <w:r w:rsidRPr="00FA5C98">
              <w:rPr>
                <w:rFonts w:ascii="Tahoma" w:hAnsi="Tahoma" w:cs="Tahoma" w:hint="cs"/>
                <w:bCs/>
                <w:color w:val="0D0D0D" w:themeColor="text1" w:themeTint="F2"/>
                <w:w w:val="90"/>
                <w:sz w:val="18"/>
                <w:szCs w:val="18"/>
              </w:rPr>
              <w:t xml:space="preserve"> Israel's five-year plan (2017</w:t>
            </w:r>
            <w:r w:rsidRPr="00FA5C98">
              <w:rPr>
                <w:rFonts w:ascii="Tahoma" w:hAnsi="Tahoma" w:cs="Tahoma"/>
                <w:bCs/>
                <w:color w:val="0D0D0D" w:themeColor="text1" w:themeTint="F2"/>
                <w:w w:val="90"/>
                <w:sz w:val="18"/>
                <w:szCs w:val="18"/>
              </w:rPr>
              <w:t>–</w:t>
            </w:r>
            <w:r w:rsidRPr="00FA5C98">
              <w:rPr>
                <w:rFonts w:ascii="Tahoma" w:hAnsi="Tahoma" w:cs="Tahoma" w:hint="cs"/>
                <w:bCs/>
                <w:color w:val="0D0D0D" w:themeColor="text1" w:themeTint="F2"/>
                <w:w w:val="90"/>
                <w:sz w:val="18"/>
                <w:szCs w:val="18"/>
              </w:rPr>
              <w:t xml:space="preserve">2021) </w:t>
            </w:r>
          </w:p>
        </w:tc>
      </w:tr>
    </w:tbl>
    <w:p w:rsidR="00FA5C98" w:rsidP="009661D6" w14:paraId="66A2D46A" w14:textId="77777777">
      <w:pPr>
        <w:bidi w:val="0"/>
        <w:spacing w:before="120" w:after="180" w:line="240" w:lineRule="atLeast"/>
        <w:rPr>
          <w:rFonts w:ascii="Tahoma" w:hAnsi="Tahoma" w:cs="Tahoma"/>
          <w:b/>
          <w:bCs/>
          <w:color w:val="00305F"/>
          <w:sz w:val="32"/>
          <w:szCs w:val="32"/>
        </w:rPr>
      </w:pPr>
      <w:bookmarkStart w:id="7" w:name="_Hlk62029958"/>
    </w:p>
    <w:p w:rsidR="00FA5C98" w14:paraId="32F3EF4E" w14:textId="77777777">
      <w:pPr>
        <w:bidi w:val="0"/>
        <w:rPr>
          <w:rFonts w:ascii="Tahoma" w:hAnsi="Tahoma" w:cs="Tahoma"/>
          <w:b/>
          <w:bCs/>
          <w:color w:val="00305F"/>
          <w:sz w:val="32"/>
          <w:szCs w:val="32"/>
        </w:rPr>
      </w:pPr>
      <w:r>
        <w:rPr>
          <w:rFonts w:ascii="Tahoma" w:hAnsi="Tahoma" w:cs="Tahoma"/>
          <w:b/>
          <w:bCs/>
          <w:color w:val="00305F"/>
          <w:sz w:val="32"/>
          <w:szCs w:val="32"/>
        </w:rPr>
        <w:br w:type="page"/>
      </w:r>
    </w:p>
    <w:p w:rsidR="001E44CF" w:rsidP="009661D6" w14:paraId="5BE35871" w14:textId="0FBBCEA9">
      <w:pPr>
        <w:bidi w:val="0"/>
        <w:spacing w:before="120" w:after="180" w:line="240" w:lineRule="atLeast"/>
        <w:rPr>
          <w:rFonts w:ascii="Tahoma" w:hAnsi="Tahoma" w:cs="Tahoma"/>
          <w:b/>
          <w:bCs/>
          <w:color w:val="00305F"/>
          <w:sz w:val="32"/>
          <w:szCs w:val="32"/>
        </w:rPr>
      </w:pPr>
      <w:r>
        <w:rPr>
          <w:rFonts w:ascii="Tahoma" w:hAnsi="Tahoma" w:cs="Tahoma"/>
          <w:b/>
          <w:bCs/>
          <w:noProof/>
          <w:color w:val="003364"/>
          <w:w w:val="90"/>
          <w:sz w:val="32"/>
          <w:szCs w:val="32"/>
        </w:rPr>
        <w:drawing>
          <wp:inline distT="0" distB="0" distL="0" distR="0">
            <wp:extent cx="4679950" cy="45720"/>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9A341D" w:rsidRPr="00902625" w:rsidP="001E44CF" w14:paraId="62E9D9E2" w14:textId="5EE8C914">
      <w:pPr>
        <w:bidi w:val="0"/>
        <w:spacing w:before="120" w:after="180" w:line="240" w:lineRule="atLeast"/>
        <w:rPr>
          <w:rFonts w:ascii="Tahoma" w:hAnsi="Tahoma" w:cs="Tahoma"/>
          <w:b/>
          <w:bCs/>
          <w:color w:val="00305F"/>
          <w:sz w:val="32"/>
          <w:szCs w:val="32"/>
        </w:rPr>
      </w:pPr>
      <w:r w:rsidRPr="00AE5F94">
        <w:rPr>
          <w:rFonts w:ascii="Tahoma" w:hAnsi="Tahoma" w:cs="Tahoma"/>
          <w:b/>
          <w:bCs/>
          <w:color w:val="00305F"/>
          <w:sz w:val="32"/>
          <w:szCs w:val="32"/>
        </w:rPr>
        <w:t xml:space="preserve">Audit </w:t>
      </w:r>
      <w:r w:rsidR="004806D7">
        <w:rPr>
          <w:rFonts w:ascii="Tahoma" w:hAnsi="Tahoma" w:cs="Tahoma"/>
          <w:b/>
          <w:bCs/>
          <w:color w:val="00305F"/>
          <w:sz w:val="32"/>
          <w:szCs w:val="32"/>
        </w:rPr>
        <w:t>A</w:t>
      </w:r>
      <w:r w:rsidRPr="00AE5F94">
        <w:rPr>
          <w:rFonts w:ascii="Tahoma" w:hAnsi="Tahoma" w:cs="Tahoma"/>
          <w:b/>
          <w:bCs/>
          <w:color w:val="00305F"/>
          <w:sz w:val="32"/>
          <w:szCs w:val="32"/>
        </w:rPr>
        <w:t>ctions</w:t>
      </w:r>
    </w:p>
    <w:bookmarkEnd w:id="7"/>
    <w:p w:rsidR="00744F76" w:rsidP="00FF191A" w14:paraId="602B8997" w14:textId="1EB03F3E">
      <w:pPr>
        <w:bidi w:val="0"/>
        <w:spacing w:after="480" w:line="260" w:lineRule="exact"/>
        <w:ind w:left="397"/>
        <w:jc w:val="both"/>
      </w:pPr>
      <w:r w:rsidRPr="00FA5C98">
        <w:rPr>
          <w:rFonts w:ascii="Tahoma" w:hAnsi="Tahoma" w:eastAsiaTheme="minorHAnsi" w:cs="Tahoma"/>
          <w:noProof/>
          <w:color w:val="0D0D0D" w:themeColor="text1" w:themeTint="F2"/>
          <w:sz w:val="18"/>
          <w:szCs w:val="18"/>
        </w:rPr>
        <w:drawing>
          <wp:anchor distT="0" distB="0" distL="0" distR="0" simplePos="0" relativeHeight="251685888" behindDoc="1" locked="0" layoutInCell="1" allowOverlap="1">
            <wp:simplePos x="0" y="0"/>
            <wp:positionH relativeFrom="margin">
              <wp:posOffset>0</wp:posOffset>
            </wp:positionH>
            <wp:positionV relativeFrom="margin">
              <wp:posOffset>675349</wp:posOffset>
            </wp:positionV>
            <wp:extent cx="161925" cy="177800"/>
            <wp:effectExtent l="0" t="0" r="3175" b="0"/>
            <wp:wrapTight wrapText="bothSides">
              <wp:wrapPolygon>
                <wp:start x="0" y="0"/>
                <wp:lineTo x="0" y="16971"/>
                <wp:lineTo x="11859" y="20057"/>
                <wp:lineTo x="20329" y="20057"/>
                <wp:lineTo x="20329" y="10800"/>
                <wp:lineTo x="16941" y="0"/>
                <wp:lineTo x="0" y="0"/>
              </wp:wrapPolygon>
            </wp:wrapTight>
            <wp:docPr id="21" name="תמונה 33"/>
            <wp:cNvGraphicFramePr/>
            <a:graphic xmlns:a="http://schemas.openxmlformats.org/drawingml/2006/main">
              <a:graphicData uri="http://schemas.openxmlformats.org/drawingml/2006/picture">
                <pic:pic xmlns:pic="http://schemas.openxmlformats.org/drawingml/2006/picture">
                  <pic:nvPicPr>
                    <pic:cNvPr id="21" name="תמונה 33"/>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1925" cy="17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5C98" w:rsidR="00FA5C98">
        <w:rPr>
          <w:rFonts w:ascii="Tahoma" w:hAnsi="Tahoma" w:eastAsiaTheme="minorHAnsi" w:cs="Tahoma"/>
          <w:color w:val="0D0D0D" w:themeColor="text1" w:themeTint="F2"/>
          <w:sz w:val="18"/>
          <w:szCs w:val="18"/>
        </w:rPr>
        <w:t xml:space="preserve">From September 2021 to September 2023, the State Comptroller's Office conducted a systemic audit on road safety. The activities of the various relevant bodies were examined, each in its field, including the interfaces between them and the systemic treatment. The audit was conducted at the Ministry of Transportation and Road Safety (MOT), the Road Safety Authority (RSA), the Central Bureau of Statistics (CBS), the Ministry of Health, the Ministry of National Security (formerly the Ministry of Internal Security), the Police Traffic Division (Traffic Division); </w:t>
      </w:r>
      <w:r w:rsidRPr="00FA5C98" w:rsidR="00FA5C98">
        <w:rPr>
          <w:rFonts w:ascii="Tahoma" w:hAnsi="Tahoma" w:eastAsiaTheme="minorHAnsi" w:cs="Tahoma"/>
          <w:color w:val="0D0D0D" w:themeColor="text1" w:themeTint="F2"/>
          <w:sz w:val="18"/>
          <w:szCs w:val="18"/>
        </w:rPr>
        <w:t>Netivei</w:t>
      </w:r>
      <w:r w:rsidRPr="00FA5C98" w:rsidR="00FA5C98">
        <w:rPr>
          <w:rFonts w:ascii="Tahoma" w:hAnsi="Tahoma" w:eastAsiaTheme="minorHAnsi" w:cs="Tahoma"/>
          <w:color w:val="0D0D0D" w:themeColor="text1" w:themeTint="F2"/>
          <w:sz w:val="18"/>
          <w:szCs w:val="18"/>
        </w:rPr>
        <w:t xml:space="preserve"> Israel – the National Transport Infrastructure Company Ltd (</w:t>
      </w:r>
      <w:r w:rsidRPr="00FA5C98" w:rsidR="00FA5C98">
        <w:rPr>
          <w:rFonts w:ascii="Tahoma" w:hAnsi="Tahoma" w:eastAsiaTheme="minorHAnsi" w:cs="Tahoma"/>
          <w:color w:val="0D0D0D" w:themeColor="text1" w:themeTint="F2"/>
          <w:sz w:val="18"/>
          <w:szCs w:val="18"/>
        </w:rPr>
        <w:t>Netivei</w:t>
      </w:r>
      <w:r w:rsidRPr="00FA5C98" w:rsidR="00FA5C98">
        <w:rPr>
          <w:rFonts w:ascii="Tahoma" w:hAnsi="Tahoma" w:eastAsiaTheme="minorHAnsi" w:cs="Tahoma"/>
          <w:color w:val="0D0D0D" w:themeColor="text1" w:themeTint="F2"/>
          <w:sz w:val="18"/>
          <w:szCs w:val="18"/>
        </w:rPr>
        <w:t xml:space="preserve"> Israel), the Courts Administration, the Ministry of Education, and several local authorities. In addition, the State Comptroller's Office compared the policies, work plans, and measures adopted by various countries to reduce road accidents and their severity</w:t>
      </w:r>
      <w:r w:rsidRPr="00FA5C98" w:rsidR="00FF2854">
        <w:t>.</w:t>
      </w:r>
    </w:p>
    <w:p w:rsidR="00744F76" w14:paraId="6A76FFCB" w14:textId="77777777">
      <w:pPr>
        <w:bidi w:val="0"/>
      </w:pPr>
      <w:r>
        <w:br w:type="page"/>
      </w:r>
    </w:p>
    <w:p w:rsidR="0058257B" w:rsidP="0058257B" w14:paraId="5BD5DBA0" w14:textId="77777777">
      <w:pPr>
        <w:pStyle w:val="732"/>
        <w:rPr>
          <w:rtl/>
        </w:rPr>
      </w:pPr>
      <w:r w:rsidRPr="00D527BD">
        <w:rPr>
          <w:noProof/>
          <w:szCs w:val="20"/>
          <w:rtl/>
        </w:rPr>
        <w:drawing>
          <wp:anchor distT="0" distB="0" distL="114300" distR="114300" simplePos="0" relativeHeight="251703296" behindDoc="0" locked="0" layoutInCell="1" allowOverlap="1">
            <wp:simplePos x="0" y="0"/>
            <wp:positionH relativeFrom="column">
              <wp:posOffset>-63578</wp:posOffset>
            </wp:positionH>
            <wp:positionV relativeFrom="paragraph">
              <wp:posOffset>2350</wp:posOffset>
            </wp:positionV>
            <wp:extent cx="4773106" cy="702310"/>
            <wp:effectExtent l="0" t="0" r="2540" b="0"/>
            <wp:wrapNone/>
            <wp:docPr id="610428671"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28671"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3106" cy="702310"/>
                    </a:xfrm>
                    <a:prstGeom prst="rect">
                      <a:avLst/>
                    </a:prstGeom>
                  </pic:spPr>
                </pic:pic>
              </a:graphicData>
            </a:graphic>
            <wp14:sizeRelH relativeFrom="margin">
              <wp14:pctWidth>0</wp14:pctWidth>
            </wp14:sizeRelH>
            <wp14:sizeRelV relativeFrom="margin">
              <wp14:pctHeight>0</wp14:pctHeight>
            </wp14:sizeRelV>
          </wp:anchor>
        </w:drawing>
      </w:r>
      <w:r w:rsidRPr="00D527BD">
        <w:rPr>
          <w:noProof/>
          <w:szCs w:val="20"/>
          <w:rtl/>
        </w:rPr>
        <mc:AlternateContent>
          <mc:Choice Requires="wps">
            <w:drawing>
              <wp:anchor distT="0" distB="0" distL="114300" distR="114300" simplePos="0" relativeHeight="251704320" behindDoc="0" locked="0" layoutInCell="1" allowOverlap="1">
                <wp:simplePos x="0" y="0"/>
                <wp:positionH relativeFrom="column">
                  <wp:posOffset>88817</wp:posOffset>
                </wp:positionH>
                <wp:positionV relativeFrom="paragraph">
                  <wp:posOffset>69475</wp:posOffset>
                </wp:positionV>
                <wp:extent cx="4576528" cy="435128"/>
                <wp:effectExtent l="0" t="0" r="0" b="0"/>
                <wp:wrapNone/>
                <wp:docPr id="15486314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76528" cy="435128"/>
                        </a:xfrm>
                        <a:prstGeom prst="rect">
                          <a:avLst/>
                        </a:prstGeom>
                        <a:noFill/>
                        <a:ln w="9525">
                          <a:noFill/>
                          <a:miter lim="800000"/>
                          <a:headEnd/>
                          <a:tailEnd/>
                        </a:ln>
                      </wps:spPr>
                      <wps:txbx>
                        <w:txbxContent>
                          <w:p w:rsidR="0058257B" w:rsidRPr="005C7ABF" w:rsidP="0058257B" w14:textId="4FC53754">
                            <w:pPr>
                              <w:pStyle w:val="733"/>
                              <w:jc w:val="right"/>
                              <w:rPr>
                                <w:rtl/>
                              </w:rPr>
                            </w:pPr>
                            <w:r w:rsidRPr="0058257B">
                              <w:t>Chapter One – the Current State of Road Safety, Data Collection and Processing</w:t>
                            </w:r>
                            <w:r w:rsidRPr="0058257B">
                              <w:rPr>
                                <w:rtl/>
                              </w:rPr>
                              <w:t xml:space="preserve">  </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5" type="#_x0000_t202" style="width:360.35pt;height:34.25pt;margin-top:5.45pt;margin-left:7pt;mso-height-percent:0;mso-height-relative:margin;mso-width-percent:0;mso-width-relative:margin;mso-wrap-distance-bottom:0;mso-wrap-distance-left:9pt;mso-wrap-distance-right:9pt;mso-wrap-distance-top:0;mso-wrap-style:square;position:absolute;visibility:visible;v-text-anchor:middle;z-index:251705344" filled="f" stroked="f">
                <v:textbox>
                  <w:txbxContent>
                    <w:p w:rsidR="0058257B" w:rsidRPr="005C7ABF" w:rsidP="0058257B" w14:paraId="5244E5BB" w14:textId="4FC53754">
                      <w:pPr>
                        <w:pStyle w:val="733"/>
                        <w:jc w:val="right"/>
                        <w:rPr>
                          <w:rtl/>
                        </w:rPr>
                      </w:pPr>
                      <w:r w:rsidRPr="0058257B">
                        <w:t>Chapter One – the Current State of Road Safety, Data Collection and Processing</w:t>
                      </w:r>
                      <w:r w:rsidRPr="0058257B">
                        <w:rPr>
                          <w:rtl/>
                        </w:rPr>
                        <w:t xml:space="preserve">  </w:t>
                      </w:r>
                    </w:p>
                  </w:txbxContent>
                </v:textbox>
              </v:shape>
            </w:pict>
          </mc:Fallback>
        </mc:AlternateContent>
      </w:r>
      <w:r>
        <w:rPr>
          <w:rtl/>
        </w:rPr>
        <w:t xml:space="preserve"> </w:t>
      </w:r>
    </w:p>
    <w:p w:rsidR="0058257B" w:rsidP="0058257B" w14:paraId="36576523" w14:textId="77777777">
      <w:pPr>
        <w:pStyle w:val="732"/>
        <w:rPr>
          <w:rtl/>
        </w:rPr>
      </w:pPr>
    </w:p>
    <w:p w:rsidR="0058257B" w:rsidRPr="00FA5C98" w:rsidP="0058257B" w14:paraId="5A6ACEF6" w14:textId="77777777">
      <w:pPr>
        <w:bidi w:val="0"/>
        <w:spacing w:after="0" w:line="260" w:lineRule="exact"/>
        <w:ind w:left="397"/>
        <w:jc w:val="both"/>
      </w:pPr>
    </w:p>
    <w:p w:rsidR="000A1D75" w:rsidP="0058257B" w14:paraId="44F553C6" w14:textId="6D5C69C9">
      <w:pPr>
        <w:keepNext/>
        <w:keepLines/>
        <w:bidi w:val="0"/>
        <w:spacing w:before="480"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0A1D75" w:rsidP="009661D6" w14:paraId="129BA907" w14:textId="147575D3">
      <w:pPr>
        <w:keepNext/>
        <w:keepLines/>
        <w:bidi w:val="0"/>
        <w:spacing w:before="120" w:after="180" w:line="240" w:lineRule="atLeast"/>
        <w:rPr>
          <w:rFonts w:ascii="Tahoma" w:hAnsi="Tahoma" w:cs="Tahoma"/>
          <w:b/>
          <w:bCs/>
          <w:color w:val="00305F"/>
          <w:sz w:val="32"/>
          <w:szCs w:val="32"/>
          <w:rtl/>
        </w:rPr>
      </w:pPr>
      <w:bookmarkStart w:id="8" w:name="_Hlk62030689"/>
      <w:r w:rsidRPr="00AE5F94">
        <w:rPr>
          <w:rFonts w:ascii="Tahoma" w:hAnsi="Tahoma" w:cs="Tahoma"/>
          <w:b/>
          <w:bCs/>
          <w:color w:val="00305F"/>
          <w:sz w:val="32"/>
          <w:szCs w:val="32"/>
        </w:rPr>
        <w:t xml:space="preserve">Key </w:t>
      </w:r>
      <w:r w:rsidR="004806D7">
        <w:rPr>
          <w:rFonts w:ascii="Tahoma" w:hAnsi="Tahoma" w:cs="Tahoma"/>
          <w:b/>
          <w:bCs/>
          <w:color w:val="00305F"/>
          <w:sz w:val="32"/>
          <w:szCs w:val="32"/>
        </w:rPr>
        <w:t>F</w:t>
      </w:r>
      <w:r w:rsidRPr="00AE5F94">
        <w:rPr>
          <w:rFonts w:ascii="Tahoma" w:hAnsi="Tahoma" w:cs="Tahoma"/>
          <w:b/>
          <w:bCs/>
          <w:color w:val="00305F"/>
          <w:sz w:val="32"/>
          <w:szCs w:val="32"/>
        </w:rPr>
        <w:t>indings</w:t>
      </w:r>
    </w:p>
    <w:p w:rsidR="00BD3044" w:rsidRPr="00BD3044" w:rsidP="00BD3044" w14:paraId="007359CF" w14:textId="2DF255FA">
      <w:pPr>
        <w:keepNext/>
        <w:keepLines/>
        <w:bidi w:val="0"/>
        <w:spacing w:after="180" w:line="240" w:lineRule="atLeast"/>
        <w:rPr>
          <w:rFonts w:ascii="Tahoma" w:hAnsi="Tahoma" w:cs="Tahoma"/>
          <w:b/>
          <w:bCs/>
          <w:color w:val="00305F"/>
          <w:sz w:val="4"/>
          <w:szCs w:val="4"/>
          <w:rtl/>
        </w:rPr>
      </w:pPr>
      <w:r>
        <w:rPr>
          <w:b/>
          <w:bCs/>
          <w:noProof/>
          <w:sz w:val="18"/>
        </w:rPr>
        <w:drawing>
          <wp:anchor distT="0" distB="0" distL="114300" distR="114300" simplePos="0" relativeHeight="251673600" behindDoc="1" locked="0" layoutInCell="1" allowOverlap="1">
            <wp:simplePos x="0" y="0"/>
            <wp:positionH relativeFrom="column">
              <wp:posOffset>1270</wp:posOffset>
            </wp:positionH>
            <wp:positionV relativeFrom="paragraph">
              <wp:posOffset>38295</wp:posOffset>
            </wp:positionV>
            <wp:extent cx="2879725" cy="158115"/>
            <wp:effectExtent l="0" t="0" r="0" b="0"/>
            <wp:wrapTight wrapText="bothSides">
              <wp:wrapPolygon>
                <wp:start x="4191" y="0"/>
                <wp:lineTo x="0" y="5205"/>
                <wp:lineTo x="0" y="8675"/>
                <wp:lineTo x="4191" y="19084"/>
                <wp:lineTo x="5906" y="19084"/>
                <wp:lineTo x="21433" y="8675"/>
                <wp:lineTo x="21433" y="5205"/>
                <wp:lineTo x="5906" y="0"/>
                <wp:lineTo x="4191"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bookmarkEnd w:id="8"/>
    <w:p w:rsidR="0058257B" w:rsidRPr="00B20EF8" w:rsidP="0058257B" w14:paraId="5828800B" w14:textId="77777777">
      <w:pPr>
        <w:pStyle w:val="73512"/>
        <w:bidi w:val="0"/>
      </w:pPr>
      <w:r w:rsidRPr="00B20EF8">
        <w:rPr>
          <w:rFonts w:hint="cs"/>
        </w:rPr>
        <w:t xml:space="preserve">The </w:t>
      </w:r>
      <w:r w:rsidRPr="00B20EF8">
        <w:t>R</w:t>
      </w:r>
      <w:r w:rsidRPr="00B20EF8">
        <w:rPr>
          <w:rFonts w:hint="cs"/>
        </w:rPr>
        <w:t xml:space="preserve">oad </w:t>
      </w:r>
      <w:r w:rsidRPr="00B20EF8">
        <w:t>S</w:t>
      </w:r>
      <w:r w:rsidRPr="00B20EF8">
        <w:rPr>
          <w:rFonts w:hint="cs"/>
        </w:rPr>
        <w:t xml:space="preserve">afety </w:t>
      </w:r>
      <w:r w:rsidRPr="00B20EF8">
        <w:t>S</w:t>
      </w:r>
      <w:r w:rsidRPr="00B20EF8">
        <w:rPr>
          <w:rFonts w:hint="cs"/>
        </w:rPr>
        <w:t>ituation</w:t>
      </w:r>
    </w:p>
    <w:p w:rsidR="0058257B" w:rsidRPr="00AF3B73" w:rsidP="0058257B" w14:paraId="264412E6" w14:textId="22F5F3F8">
      <w:pPr>
        <w:pStyle w:val="7191"/>
        <w:bidi w:val="0"/>
        <w:spacing w:before="240"/>
        <w:ind w:left="397"/>
        <w:rPr>
          <w:noProof/>
          <w:rtl/>
        </w:rPr>
      </w:pPr>
      <w:r w:rsidRPr="008B12AD">
        <w:rPr>
          <w:rFonts w:hint="cs"/>
          <w:b/>
          <w:bCs/>
          <w:noProof/>
          <w:rtl/>
        </w:rPr>
        <w:drawing>
          <wp:anchor distT="0" distB="0" distL="0" distR="0" simplePos="0" relativeHeight="251686912"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34168750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87503"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B12AD">
        <w:rPr>
          <w:rFonts w:hint="cs"/>
          <w:b/>
          <w:bCs/>
          <w:noProof/>
        </w:rPr>
        <w:t xml:space="preserve">Number of </w:t>
      </w:r>
      <w:r w:rsidRPr="008B12AD">
        <w:rPr>
          <w:b/>
          <w:bCs/>
          <w:noProof/>
        </w:rPr>
        <w:t>F</w:t>
      </w:r>
      <w:r w:rsidRPr="008B12AD">
        <w:rPr>
          <w:rFonts w:hint="cs"/>
          <w:b/>
          <w:bCs/>
          <w:noProof/>
        </w:rPr>
        <w:t>atalities</w:t>
      </w:r>
      <w:r w:rsidRPr="008B12AD">
        <w:rPr>
          <w:b/>
          <w:bCs/>
          <w:noProof/>
        </w:rPr>
        <w:t xml:space="preserve"> –</w:t>
      </w:r>
      <w:r w:rsidRPr="00B20EF8">
        <w:rPr>
          <w:rFonts w:hint="cs"/>
          <w:noProof/>
        </w:rPr>
        <w:t xml:space="preserve"> in 2022, 351 people were killed in 319 fatal accidents compared to 335 fatalities in 300 fatal accidents on average in 2018</w:t>
      </w:r>
      <w:r w:rsidRPr="00B20EF8">
        <w:rPr>
          <w:noProof/>
        </w:rPr>
        <w:t>–</w:t>
      </w:r>
      <w:r w:rsidRPr="00B20EF8">
        <w:rPr>
          <w:rFonts w:hint="cs"/>
          <w:noProof/>
        </w:rPr>
        <w:t xml:space="preserve">2021. </w:t>
      </w:r>
      <w:r w:rsidRPr="00B20EF8">
        <w:rPr>
          <w:noProof/>
        </w:rPr>
        <w:t>A</w:t>
      </w:r>
      <w:r w:rsidRPr="00B20EF8">
        <w:rPr>
          <w:rFonts w:hint="cs"/>
          <w:noProof/>
        </w:rPr>
        <w:t xml:space="preserve">n increase of </w:t>
      </w:r>
      <w:r w:rsidRPr="00B20EF8">
        <w:rPr>
          <w:noProof/>
        </w:rPr>
        <w:t>about</w:t>
      </w:r>
      <w:r w:rsidRPr="00B20EF8">
        <w:rPr>
          <w:rFonts w:hint="cs"/>
          <w:noProof/>
        </w:rPr>
        <w:t xml:space="preserve"> 5% in the number of fatalities and </w:t>
      </w:r>
      <w:r w:rsidRPr="00B20EF8">
        <w:rPr>
          <w:noProof/>
        </w:rPr>
        <w:t>about</w:t>
      </w:r>
      <w:r w:rsidRPr="00B20EF8">
        <w:rPr>
          <w:rFonts w:hint="cs"/>
          <w:noProof/>
        </w:rPr>
        <w:t xml:space="preserve"> 6% in the number of </w:t>
      </w:r>
      <w:r w:rsidRPr="00B20EF8">
        <w:rPr>
          <w:noProof/>
        </w:rPr>
        <w:t>deadly</w:t>
      </w:r>
      <w:r w:rsidRPr="00B20EF8">
        <w:rPr>
          <w:rFonts w:hint="cs"/>
          <w:noProof/>
        </w:rPr>
        <w:t xml:space="preserve"> accidents. In 2022, there was a 3.5% decrease in fatalities compared to 2021</w:t>
      </w:r>
      <w:r>
        <w:rPr>
          <w:noProof/>
          <w:vertAlign w:val="superscript"/>
          <w:rtl/>
        </w:rPr>
        <w:footnoteReference w:id="3"/>
      </w:r>
      <w:r w:rsidRPr="00B20EF8">
        <w:rPr>
          <w:rFonts w:hint="cs"/>
          <w:bCs/>
          <w:noProof/>
        </w:rPr>
        <w:t>.</w:t>
      </w:r>
      <w:r>
        <w:rPr>
          <w:bCs/>
          <w:noProof/>
        </w:rPr>
        <w:t xml:space="preserve"> </w:t>
      </w:r>
    </w:p>
    <w:p w:rsidR="00D12832" w:rsidRPr="00744F76" w:rsidP="00C65F4C" w14:paraId="6748FEEA" w14:textId="62660CC4">
      <w:pPr>
        <w:pStyle w:val="7191"/>
        <w:bidi w:val="0"/>
        <w:spacing w:before="240"/>
        <w:ind w:left="397"/>
        <w:rPr>
          <w:spacing w:val="-4"/>
        </w:rPr>
      </w:pPr>
      <w:r w:rsidRPr="00744F76">
        <w:rPr>
          <w:rFonts w:hint="cs"/>
          <w:b/>
          <w:bCs/>
          <w:noProof/>
          <w:spacing w:val="-4"/>
          <w:rtl/>
        </w:rPr>
        <w:drawing>
          <wp:anchor distT="0" distB="0" distL="0" distR="0" simplePos="0" relativeHeight="251687936"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5253067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0679"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44F76" w:rsidR="0058257B">
        <w:rPr>
          <w:rFonts w:hint="cs"/>
          <w:b/>
          <w:bCs/>
          <w:noProof/>
          <w:spacing w:val="-4"/>
        </w:rPr>
        <w:t xml:space="preserve">International </w:t>
      </w:r>
      <w:r w:rsidRPr="00744F76" w:rsidR="0058257B">
        <w:rPr>
          <w:b/>
          <w:bCs/>
          <w:noProof/>
          <w:spacing w:val="-4"/>
        </w:rPr>
        <w:t>C</w:t>
      </w:r>
      <w:r w:rsidRPr="00744F76" w:rsidR="0058257B">
        <w:rPr>
          <w:rFonts w:hint="cs"/>
          <w:b/>
          <w:bCs/>
          <w:noProof/>
          <w:spacing w:val="-4"/>
        </w:rPr>
        <w:t xml:space="preserve">omparison of the </w:t>
      </w:r>
      <w:r w:rsidRPr="00744F76" w:rsidR="0058257B">
        <w:rPr>
          <w:b/>
          <w:bCs/>
          <w:noProof/>
          <w:spacing w:val="-4"/>
        </w:rPr>
        <w:t>N</w:t>
      </w:r>
      <w:r w:rsidRPr="00744F76" w:rsidR="0058257B">
        <w:rPr>
          <w:rFonts w:hint="cs"/>
          <w:b/>
          <w:bCs/>
          <w:noProof/>
          <w:spacing w:val="-4"/>
        </w:rPr>
        <w:t xml:space="preserve">umber of </w:t>
      </w:r>
      <w:r w:rsidRPr="00744F76" w:rsidR="0058257B">
        <w:rPr>
          <w:b/>
          <w:bCs/>
          <w:noProof/>
          <w:spacing w:val="-4"/>
        </w:rPr>
        <w:t>F</w:t>
      </w:r>
      <w:r w:rsidRPr="00744F76" w:rsidR="0058257B">
        <w:rPr>
          <w:rFonts w:hint="cs"/>
          <w:b/>
          <w:bCs/>
          <w:noProof/>
          <w:spacing w:val="-4"/>
        </w:rPr>
        <w:t>atalities</w:t>
      </w:r>
      <w:r w:rsidRPr="00744F76" w:rsidR="0058257B">
        <w:rPr>
          <w:b/>
          <w:bCs/>
          <w:noProof/>
          <w:spacing w:val="-4"/>
        </w:rPr>
        <w:t xml:space="preserve"> –</w:t>
      </w:r>
      <w:r w:rsidRPr="00744F76" w:rsidR="0058257B">
        <w:rPr>
          <w:rFonts w:hint="cs"/>
          <w:bCs/>
          <w:noProof/>
          <w:spacing w:val="-4"/>
        </w:rPr>
        <w:t xml:space="preserve"> in an international comparison of the rate </w:t>
      </w:r>
      <w:r w:rsidRPr="00744F76" w:rsidR="0058257B">
        <w:rPr>
          <w:bCs/>
          <w:noProof/>
          <w:spacing w:val="-4"/>
        </w:rPr>
        <w:t xml:space="preserve">of </w:t>
      </w:r>
      <w:r w:rsidRPr="00744F76" w:rsidR="0058257B">
        <w:rPr>
          <w:rFonts w:hint="cs"/>
          <w:bCs/>
          <w:noProof/>
          <w:spacing w:val="-4"/>
        </w:rPr>
        <w:t>change in the number of fatalities in 2012</w:t>
      </w:r>
      <w:r w:rsidRPr="00744F76" w:rsidR="0058257B">
        <w:rPr>
          <w:noProof/>
          <w:spacing w:val="-4"/>
        </w:rPr>
        <w:t>–</w:t>
      </w:r>
      <w:r w:rsidRPr="00744F76" w:rsidR="0058257B">
        <w:rPr>
          <w:rFonts w:hint="cs"/>
          <w:bCs/>
          <w:noProof/>
          <w:spacing w:val="-4"/>
        </w:rPr>
        <w:t>2022, Israel ranks second to last among the 27 Eu</w:t>
      </w:r>
      <w:r w:rsidRPr="00744F76" w:rsidR="0058257B">
        <w:rPr>
          <w:bCs/>
          <w:noProof/>
          <w:spacing w:val="-4"/>
        </w:rPr>
        <w:t>r</w:t>
      </w:r>
      <w:r w:rsidRPr="00744F76" w:rsidR="0058257B">
        <w:rPr>
          <w:rFonts w:hint="cs"/>
          <w:bCs/>
          <w:noProof/>
          <w:spacing w:val="-4"/>
        </w:rPr>
        <w:t xml:space="preserve">opean Union countries. In Israel, the number of fatalities increased by </w:t>
      </w:r>
      <w:r w:rsidRPr="00744F76" w:rsidR="0058257B">
        <w:rPr>
          <w:bCs/>
          <w:noProof/>
          <w:spacing w:val="-4"/>
        </w:rPr>
        <w:t>about</w:t>
      </w:r>
      <w:r w:rsidRPr="00744F76" w:rsidR="0058257B">
        <w:rPr>
          <w:rFonts w:hint="cs"/>
          <w:bCs/>
          <w:noProof/>
          <w:spacing w:val="-4"/>
        </w:rPr>
        <w:t xml:space="preserve"> 16% during these years, whereas the average for the 27 EU countries surveyed </w:t>
      </w:r>
      <w:r w:rsidRPr="00744F76" w:rsidR="0058257B">
        <w:rPr>
          <w:bCs/>
          <w:noProof/>
          <w:spacing w:val="-4"/>
        </w:rPr>
        <w:t>was</w:t>
      </w:r>
      <w:r w:rsidRPr="00744F76" w:rsidR="0058257B">
        <w:rPr>
          <w:rFonts w:hint="cs"/>
          <w:bCs/>
          <w:noProof/>
          <w:spacing w:val="-4"/>
        </w:rPr>
        <w:t xml:space="preserve"> a decrease of 22%. In terms of the ratio of fatalities per billion kilometers driven, Israel ranks 15th out of 25 countries, with an average of 5.6 fatalities in 2020</w:t>
      </w:r>
      <w:r w:rsidRPr="00744F76" w:rsidR="0058257B">
        <w:rPr>
          <w:noProof/>
          <w:spacing w:val="-4"/>
        </w:rPr>
        <w:t>–</w:t>
      </w:r>
      <w:r w:rsidRPr="00744F76" w:rsidR="0058257B">
        <w:rPr>
          <w:rFonts w:hint="cs"/>
          <w:bCs/>
          <w:noProof/>
          <w:spacing w:val="-4"/>
        </w:rPr>
        <w:t xml:space="preserve">2022, slightly below the average of the surveyed EU countries, which </w:t>
      </w:r>
      <w:r w:rsidRPr="00744F76" w:rsidR="0058257B">
        <w:rPr>
          <w:bCs/>
          <w:noProof/>
          <w:spacing w:val="-4"/>
        </w:rPr>
        <w:t>was</w:t>
      </w:r>
      <w:r w:rsidRPr="00744F76" w:rsidR="0058257B">
        <w:rPr>
          <w:rFonts w:hint="cs"/>
          <w:bCs/>
          <w:noProof/>
          <w:spacing w:val="-4"/>
        </w:rPr>
        <w:t xml:space="preserve"> at 5.7. In a comparison of the change in the number of severe injuries in 2012</w:t>
      </w:r>
      <w:r w:rsidRPr="00744F76" w:rsidR="0058257B">
        <w:rPr>
          <w:noProof/>
          <w:spacing w:val="-4"/>
        </w:rPr>
        <w:t>–</w:t>
      </w:r>
      <w:r w:rsidRPr="00744F76" w:rsidR="0058257B">
        <w:rPr>
          <w:rFonts w:hint="cs"/>
          <w:bCs/>
          <w:noProof/>
          <w:spacing w:val="-4"/>
        </w:rPr>
        <w:t xml:space="preserve">2022, Israel ranks second to last among 30 countries. In Israel, the number of severely injured people increased by about 21%, whereas </w:t>
      </w:r>
      <w:r w:rsidRPr="00744F76" w:rsidR="0058257B">
        <w:rPr>
          <w:bCs/>
          <w:noProof/>
          <w:spacing w:val="-4"/>
        </w:rPr>
        <w:t xml:space="preserve">the </w:t>
      </w:r>
      <w:r w:rsidRPr="00744F76" w:rsidR="0058257B">
        <w:rPr>
          <w:rFonts w:hint="cs"/>
          <w:bCs/>
          <w:noProof/>
          <w:spacing w:val="-4"/>
        </w:rPr>
        <w:t>average for the surveyed EU countries decrease</w:t>
      </w:r>
      <w:r w:rsidRPr="00744F76" w:rsidR="0058257B">
        <w:rPr>
          <w:bCs/>
          <w:noProof/>
          <w:spacing w:val="-4"/>
        </w:rPr>
        <w:t>d</w:t>
      </w:r>
      <w:r w:rsidRPr="00744F76" w:rsidR="0058257B">
        <w:rPr>
          <w:rFonts w:hint="cs"/>
          <w:bCs/>
          <w:noProof/>
          <w:spacing w:val="-4"/>
        </w:rPr>
        <w:t xml:space="preserve"> </w:t>
      </w:r>
      <w:r w:rsidRPr="00744F76" w:rsidR="0058257B">
        <w:rPr>
          <w:bCs/>
          <w:noProof/>
          <w:spacing w:val="-4"/>
        </w:rPr>
        <w:t>by</w:t>
      </w:r>
      <w:r w:rsidRPr="00744F76" w:rsidR="0058257B">
        <w:rPr>
          <w:rFonts w:hint="cs"/>
          <w:bCs/>
          <w:noProof/>
          <w:spacing w:val="-4"/>
        </w:rPr>
        <w:t xml:space="preserve"> 13.9%</w:t>
      </w:r>
      <w:r w:rsidRPr="00744F76">
        <w:rPr>
          <w:spacing w:val="-4"/>
        </w:rPr>
        <w:t>.</w:t>
      </w:r>
    </w:p>
    <w:p w:rsidR="00D12832" w:rsidRPr="00D12832" w:rsidP="00C65F4C" w14:paraId="2EE4E33B" w14:textId="5A422D51">
      <w:pPr>
        <w:pStyle w:val="7191"/>
        <w:bidi w:val="0"/>
        <w:spacing w:before="240"/>
        <w:ind w:left="397"/>
      </w:pPr>
      <w:r w:rsidRPr="008B12AD">
        <w:rPr>
          <w:rFonts w:hint="cs"/>
          <w:b/>
          <w:bCs/>
          <w:noProof/>
          <w:rtl/>
        </w:rPr>
        <w:drawing>
          <wp:anchor distT="0" distB="0" distL="0" distR="0" simplePos="0" relativeHeight="251688960"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35719256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192565"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B12AD" w:rsidR="0058257B">
        <w:rPr>
          <w:rFonts w:hint="cs"/>
          <w:b/>
          <w:bCs/>
          <w:noProof/>
        </w:rPr>
        <w:t xml:space="preserve">Trends in </w:t>
      </w:r>
      <w:r w:rsidRPr="008B12AD" w:rsidR="0058257B">
        <w:rPr>
          <w:b/>
          <w:bCs/>
          <w:noProof/>
        </w:rPr>
        <w:t>R</w:t>
      </w:r>
      <w:r w:rsidRPr="008B12AD" w:rsidR="0058257B">
        <w:rPr>
          <w:rFonts w:hint="cs"/>
          <w:b/>
          <w:bCs/>
          <w:noProof/>
        </w:rPr>
        <w:t xml:space="preserve">oad </w:t>
      </w:r>
      <w:r w:rsidRPr="008B12AD" w:rsidR="0058257B">
        <w:rPr>
          <w:b/>
          <w:bCs/>
          <w:noProof/>
        </w:rPr>
        <w:t>A</w:t>
      </w:r>
      <w:r w:rsidRPr="008B12AD" w:rsidR="0058257B">
        <w:rPr>
          <w:rFonts w:hint="cs"/>
          <w:b/>
          <w:bCs/>
          <w:noProof/>
        </w:rPr>
        <w:t>c</w:t>
      </w:r>
      <w:r w:rsidRPr="008B12AD" w:rsidR="0058257B">
        <w:rPr>
          <w:b/>
          <w:bCs/>
          <w:noProof/>
        </w:rPr>
        <w:t>c</w:t>
      </w:r>
      <w:r w:rsidRPr="008B12AD" w:rsidR="0058257B">
        <w:rPr>
          <w:rFonts w:hint="cs"/>
          <w:b/>
          <w:bCs/>
          <w:noProof/>
        </w:rPr>
        <w:t xml:space="preserve">ident </w:t>
      </w:r>
      <w:r w:rsidRPr="008B12AD" w:rsidR="0058257B">
        <w:rPr>
          <w:b/>
          <w:bCs/>
          <w:noProof/>
        </w:rPr>
        <w:t>D</w:t>
      </w:r>
      <w:r w:rsidRPr="008B12AD" w:rsidR="0058257B">
        <w:rPr>
          <w:rFonts w:hint="cs"/>
          <w:b/>
          <w:bCs/>
          <w:noProof/>
        </w:rPr>
        <w:t xml:space="preserve">ata and the </w:t>
      </w:r>
      <w:r w:rsidRPr="008B12AD" w:rsidR="0058257B">
        <w:rPr>
          <w:b/>
          <w:bCs/>
          <w:noProof/>
        </w:rPr>
        <w:t>R</w:t>
      </w:r>
      <w:r w:rsidRPr="008B12AD" w:rsidR="0058257B">
        <w:rPr>
          <w:rFonts w:hint="cs"/>
          <w:b/>
          <w:bCs/>
          <w:noProof/>
        </w:rPr>
        <w:t xml:space="preserve">esponse of Israeli </w:t>
      </w:r>
      <w:r w:rsidRPr="008B12AD" w:rsidR="0058257B">
        <w:rPr>
          <w:b/>
          <w:bCs/>
          <w:noProof/>
        </w:rPr>
        <w:t>G</w:t>
      </w:r>
      <w:r w:rsidRPr="008B12AD" w:rsidR="0058257B">
        <w:rPr>
          <w:rFonts w:hint="cs"/>
          <w:b/>
          <w:bCs/>
          <w:noProof/>
        </w:rPr>
        <w:t>overnments</w:t>
      </w:r>
      <w:r w:rsidRPr="008B12AD" w:rsidR="0058257B">
        <w:rPr>
          <w:b/>
          <w:bCs/>
          <w:noProof/>
        </w:rPr>
        <w:t xml:space="preserve"> –</w:t>
      </w:r>
      <w:r w:rsidRPr="00B20EF8" w:rsidR="0058257B">
        <w:rPr>
          <w:rFonts w:hint="cs"/>
          <w:bCs/>
          <w:noProof/>
        </w:rPr>
        <w:t xml:space="preserve"> the figures </w:t>
      </w:r>
      <w:r w:rsidRPr="00B20EF8" w:rsidR="0058257B">
        <w:rPr>
          <w:bCs/>
          <w:noProof/>
        </w:rPr>
        <w:t>for</w:t>
      </w:r>
      <w:r w:rsidRPr="00B20EF8" w:rsidR="0058257B">
        <w:rPr>
          <w:rFonts w:hint="cs"/>
          <w:bCs/>
          <w:noProof/>
        </w:rPr>
        <w:t xml:space="preserve"> fatalities and severely injured people in Israel over the past decade have fluctuated, and </w:t>
      </w:r>
      <w:r w:rsidRPr="00B20EF8" w:rsidR="0058257B">
        <w:rPr>
          <w:bCs/>
          <w:noProof/>
        </w:rPr>
        <w:t xml:space="preserve">there was </w:t>
      </w:r>
      <w:r w:rsidRPr="00B20EF8" w:rsidR="0058257B">
        <w:rPr>
          <w:rFonts w:hint="cs"/>
          <w:bCs/>
          <w:noProof/>
        </w:rPr>
        <w:t>no significant improvement. This is in contrast to 2005</w:t>
      </w:r>
      <w:r w:rsidRPr="00B20EF8" w:rsidR="0058257B">
        <w:rPr>
          <w:noProof/>
        </w:rPr>
        <w:t>–</w:t>
      </w:r>
      <w:r w:rsidRPr="00B20EF8" w:rsidR="0058257B">
        <w:rPr>
          <w:rFonts w:hint="cs"/>
          <w:bCs/>
          <w:noProof/>
        </w:rPr>
        <w:t>2012</w:t>
      </w:r>
      <w:r w:rsidRPr="00B20EF8" w:rsidR="0058257B">
        <w:rPr>
          <w:bCs/>
          <w:noProof/>
        </w:rPr>
        <w:t>,</w:t>
      </w:r>
      <w:r w:rsidRPr="00B20EF8" w:rsidR="0058257B">
        <w:rPr>
          <w:rFonts w:hint="cs"/>
          <w:bCs/>
          <w:noProof/>
        </w:rPr>
        <w:t xml:space="preserve"> when there was a</w:t>
      </w:r>
      <w:r w:rsidRPr="00B20EF8" w:rsidR="0058257B">
        <w:rPr>
          <w:bCs/>
          <w:noProof/>
        </w:rPr>
        <w:t>n apparent</w:t>
      </w:r>
      <w:r w:rsidRPr="00B20EF8" w:rsidR="0058257B">
        <w:rPr>
          <w:rFonts w:hint="cs"/>
          <w:bCs/>
          <w:noProof/>
        </w:rPr>
        <w:t xml:space="preserve"> </w:t>
      </w:r>
      <w:r w:rsidRPr="00B20EF8" w:rsidR="0058257B">
        <w:rPr>
          <w:bCs/>
          <w:noProof/>
        </w:rPr>
        <w:t>decrease</w:t>
      </w:r>
      <w:r w:rsidRPr="00B20EF8" w:rsidR="0058257B">
        <w:rPr>
          <w:rFonts w:hint="cs"/>
          <w:bCs/>
          <w:noProof/>
        </w:rPr>
        <w:t xml:space="preserve"> in the number of fatalities and severely injured</w:t>
      </w:r>
      <w:r w:rsidRPr="00B20EF8" w:rsidR="0058257B">
        <w:rPr>
          <w:bCs/>
          <w:noProof/>
        </w:rPr>
        <w:t xml:space="preserve"> people</w:t>
      </w:r>
      <w:r w:rsidRPr="00B20EF8" w:rsidR="0058257B">
        <w:rPr>
          <w:rFonts w:hint="cs"/>
          <w:bCs/>
          <w:noProof/>
        </w:rPr>
        <w:t xml:space="preserve">. The data indicate that there has not been an adequate response to the complex problem of road accidents and that the measures taken by the state to </w:t>
      </w:r>
      <w:r w:rsidRPr="00B20EF8" w:rsidR="0058257B">
        <w:rPr>
          <w:bCs/>
          <w:noProof/>
        </w:rPr>
        <w:t>fight</w:t>
      </w:r>
      <w:r w:rsidRPr="00B20EF8" w:rsidR="0058257B">
        <w:rPr>
          <w:rFonts w:hint="cs"/>
          <w:bCs/>
          <w:noProof/>
        </w:rPr>
        <w:t xml:space="preserve"> road accidents over the last decade have </w:t>
      </w:r>
      <w:r w:rsidRPr="00B20EF8" w:rsidR="0058257B">
        <w:rPr>
          <w:bCs/>
          <w:noProof/>
        </w:rPr>
        <w:t>been ineffective.</w:t>
      </w:r>
      <w:r w:rsidRPr="00B20EF8" w:rsidR="0058257B">
        <w:rPr>
          <w:rFonts w:hint="cs"/>
          <w:bCs/>
          <w:noProof/>
        </w:rPr>
        <w:t xml:space="preserve"> This is contrary to the trends in many European countries during the same period</w:t>
      </w:r>
      <w:r w:rsidRPr="00B20EF8" w:rsidR="0058257B">
        <w:rPr>
          <w:bCs/>
          <w:noProof/>
        </w:rPr>
        <w:t>,</w:t>
      </w:r>
      <w:r w:rsidRPr="00B20EF8" w:rsidR="0058257B">
        <w:rPr>
          <w:rFonts w:hint="cs"/>
          <w:bCs/>
          <w:noProof/>
        </w:rPr>
        <w:t xml:space="preserve"> </w:t>
      </w:r>
      <w:r w:rsidRPr="00B20EF8" w:rsidR="0058257B">
        <w:rPr>
          <w:bCs/>
          <w:noProof/>
        </w:rPr>
        <w:t>which,</w:t>
      </w:r>
      <w:r w:rsidRPr="00B20EF8" w:rsidR="0058257B">
        <w:rPr>
          <w:rFonts w:hint="cs"/>
          <w:bCs/>
          <w:noProof/>
        </w:rPr>
        <w:t xml:space="preserve"> unlike Israel, set a target of zero fatalities. The international comparison </w:t>
      </w:r>
      <w:r w:rsidRPr="00B20EF8" w:rsidR="0058257B">
        <w:rPr>
          <w:bCs/>
          <w:noProof/>
        </w:rPr>
        <w:t>indicates</w:t>
      </w:r>
      <w:r w:rsidRPr="00B20EF8" w:rsidR="0058257B">
        <w:rPr>
          <w:rFonts w:hint="cs"/>
          <w:bCs/>
          <w:noProof/>
        </w:rPr>
        <w:t xml:space="preserve"> that countries canreduce the number of fatalities and severe injuries in road accidents by tens of percent over </w:t>
      </w:r>
      <w:r w:rsidRPr="00B20EF8" w:rsidR="0058257B">
        <w:rPr>
          <w:bCs/>
          <w:noProof/>
        </w:rPr>
        <w:t xml:space="preserve">time </w:t>
      </w:r>
      <w:r w:rsidRPr="00B20EF8" w:rsidR="0058257B">
        <w:rPr>
          <w:rFonts w:hint="cs"/>
          <w:bCs/>
          <w:noProof/>
        </w:rPr>
        <w:t xml:space="preserve">by </w:t>
      </w:r>
      <w:r w:rsidRPr="00B20EF8" w:rsidR="0058257B">
        <w:rPr>
          <w:bCs/>
          <w:noProof/>
        </w:rPr>
        <w:t>taking effective action</w:t>
      </w:r>
      <w:r w:rsidRPr="00D12832">
        <w:t>.</w:t>
      </w:r>
    </w:p>
    <w:p w:rsidR="0058257B" w:rsidRPr="008B12AD" w:rsidP="0058257B" w14:paraId="4F84D814" w14:textId="06BA8FE4">
      <w:pPr>
        <w:pStyle w:val="7191"/>
        <w:bidi w:val="0"/>
        <w:spacing w:before="240"/>
        <w:ind w:left="397"/>
        <w:rPr>
          <w:b/>
          <w:bCs/>
          <w:noProof/>
        </w:rPr>
      </w:pPr>
      <w:r w:rsidRPr="008B12AD">
        <w:rPr>
          <w:rFonts w:hint="cs"/>
          <w:b/>
          <w:bCs/>
          <w:noProof/>
          <w:rtl/>
        </w:rPr>
        <w:drawing>
          <wp:anchor distT="0" distB="0" distL="0" distR="0" simplePos="0" relativeHeight="251689984"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73685758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57582"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B12AD">
        <w:rPr>
          <w:rFonts w:hint="cs"/>
          <w:b/>
          <w:bCs/>
          <w:noProof/>
        </w:rPr>
        <w:t xml:space="preserve">The </w:t>
      </w:r>
      <w:r w:rsidRPr="008B12AD">
        <w:rPr>
          <w:b/>
          <w:bCs/>
          <w:noProof/>
        </w:rPr>
        <w:t>C</w:t>
      </w:r>
      <w:r w:rsidRPr="008B12AD">
        <w:rPr>
          <w:rFonts w:hint="cs"/>
          <w:b/>
          <w:bCs/>
          <w:noProof/>
        </w:rPr>
        <w:t xml:space="preserve">haracteristics of </w:t>
      </w:r>
      <w:r w:rsidRPr="008B12AD">
        <w:rPr>
          <w:b/>
          <w:bCs/>
          <w:noProof/>
        </w:rPr>
        <w:t>S</w:t>
      </w:r>
      <w:r w:rsidRPr="008B12AD">
        <w:rPr>
          <w:rFonts w:hint="cs"/>
          <w:b/>
          <w:bCs/>
          <w:noProof/>
        </w:rPr>
        <w:t xml:space="preserve">erious </w:t>
      </w:r>
      <w:r w:rsidRPr="008B12AD">
        <w:rPr>
          <w:b/>
          <w:bCs/>
          <w:noProof/>
        </w:rPr>
        <w:t>R</w:t>
      </w:r>
      <w:r w:rsidRPr="008B12AD">
        <w:rPr>
          <w:rFonts w:hint="cs"/>
          <w:b/>
          <w:bCs/>
          <w:noProof/>
        </w:rPr>
        <w:t xml:space="preserve">oad </w:t>
      </w:r>
      <w:r w:rsidRPr="008B12AD">
        <w:rPr>
          <w:b/>
          <w:bCs/>
          <w:noProof/>
        </w:rPr>
        <w:t>A</w:t>
      </w:r>
      <w:r w:rsidRPr="008B12AD">
        <w:rPr>
          <w:rFonts w:hint="cs"/>
          <w:b/>
          <w:bCs/>
          <w:noProof/>
        </w:rPr>
        <w:t xml:space="preserve">ccidents and </w:t>
      </w:r>
      <w:r w:rsidRPr="008B12AD">
        <w:rPr>
          <w:b/>
          <w:bCs/>
          <w:noProof/>
        </w:rPr>
        <w:t>T</w:t>
      </w:r>
      <w:r w:rsidRPr="008B12AD">
        <w:rPr>
          <w:rFonts w:hint="cs"/>
          <w:b/>
          <w:bCs/>
          <w:noProof/>
        </w:rPr>
        <w:t xml:space="preserve">heir </w:t>
      </w:r>
      <w:r w:rsidRPr="008B12AD">
        <w:rPr>
          <w:b/>
          <w:bCs/>
          <w:noProof/>
        </w:rPr>
        <w:t>C</w:t>
      </w:r>
      <w:r w:rsidRPr="008B12AD">
        <w:rPr>
          <w:rFonts w:hint="cs"/>
          <w:b/>
          <w:bCs/>
          <w:noProof/>
        </w:rPr>
        <w:t>asualties</w:t>
      </w:r>
    </w:p>
    <w:p w:rsidR="0058257B" w:rsidRPr="00C10E6B" w:rsidP="0058257B" w14:paraId="366265B6" w14:textId="77777777">
      <w:pPr>
        <w:pStyle w:val="7191"/>
        <w:numPr>
          <w:ilvl w:val="0"/>
          <w:numId w:val="38"/>
        </w:numPr>
        <w:bidi w:val="0"/>
        <w:spacing w:before="240"/>
        <w:rPr>
          <w:noProof/>
        </w:rPr>
      </w:pPr>
      <w:r w:rsidRPr="008B12AD">
        <w:rPr>
          <w:rFonts w:hint="cs"/>
          <w:b/>
          <w:bCs/>
          <w:noProof/>
        </w:rPr>
        <w:t xml:space="preserve">Distribution of </w:t>
      </w:r>
      <w:r w:rsidRPr="008B12AD">
        <w:rPr>
          <w:b/>
          <w:bCs/>
          <w:noProof/>
        </w:rPr>
        <w:t>C</w:t>
      </w:r>
      <w:r w:rsidRPr="008B12AD">
        <w:rPr>
          <w:rFonts w:hint="cs"/>
          <w:b/>
          <w:bCs/>
          <w:noProof/>
        </w:rPr>
        <w:t xml:space="preserve">asualties by </w:t>
      </w:r>
      <w:r w:rsidRPr="008B12AD">
        <w:rPr>
          <w:b/>
          <w:bCs/>
          <w:noProof/>
        </w:rPr>
        <w:t>R</w:t>
      </w:r>
      <w:r w:rsidRPr="008B12AD">
        <w:rPr>
          <w:rFonts w:hint="cs"/>
          <w:b/>
          <w:bCs/>
          <w:noProof/>
        </w:rPr>
        <w:t xml:space="preserve">oad </w:t>
      </w:r>
      <w:r w:rsidRPr="008B12AD">
        <w:rPr>
          <w:b/>
          <w:bCs/>
          <w:noProof/>
        </w:rPr>
        <w:t>T</w:t>
      </w:r>
      <w:r w:rsidRPr="008B12AD">
        <w:rPr>
          <w:rFonts w:hint="cs"/>
          <w:b/>
          <w:bCs/>
          <w:noProof/>
        </w:rPr>
        <w:t>ype</w:t>
      </w:r>
      <w:r w:rsidRPr="008B12AD">
        <w:rPr>
          <w:b/>
          <w:bCs/>
          <w:noProof/>
        </w:rPr>
        <w:t xml:space="preserve"> –</w:t>
      </w:r>
      <w:r w:rsidRPr="008B12AD">
        <w:rPr>
          <w:rFonts w:hint="cs"/>
          <w:b/>
          <w:bCs/>
          <w:noProof/>
        </w:rPr>
        <w:t xml:space="preserve"> </w:t>
      </w:r>
      <w:r w:rsidRPr="00B20EF8">
        <w:rPr>
          <w:rFonts w:hint="cs"/>
          <w:noProof/>
        </w:rPr>
        <w:t xml:space="preserve">according to 2022 data, </w:t>
      </w:r>
      <w:r w:rsidRPr="00B20EF8">
        <w:rPr>
          <w:noProof/>
        </w:rPr>
        <w:t>about</w:t>
      </w:r>
      <w:r w:rsidRPr="00B20EF8">
        <w:rPr>
          <w:rFonts w:hint="cs"/>
          <w:noProof/>
        </w:rPr>
        <w:t xml:space="preserve"> 64% of fatalities in accidents occur in inter</w:t>
      </w:r>
      <w:r w:rsidRPr="00B20EF8">
        <w:rPr>
          <w:noProof/>
        </w:rPr>
        <w:t>-</w:t>
      </w:r>
      <w:r w:rsidRPr="00B20EF8">
        <w:rPr>
          <w:rFonts w:hint="cs"/>
          <w:noProof/>
        </w:rPr>
        <w:t>city area</w:t>
      </w:r>
      <w:r w:rsidRPr="00B20EF8">
        <w:rPr>
          <w:noProof/>
        </w:rPr>
        <w:t>s</w:t>
      </w:r>
      <w:r w:rsidRPr="00B20EF8">
        <w:rPr>
          <w:rFonts w:hint="cs"/>
          <w:noProof/>
        </w:rPr>
        <w:t xml:space="preserve"> and </w:t>
      </w:r>
      <w:r w:rsidRPr="00B20EF8">
        <w:rPr>
          <w:noProof/>
        </w:rPr>
        <w:t>about</w:t>
      </w:r>
      <w:r w:rsidRPr="00B20EF8">
        <w:rPr>
          <w:rFonts w:hint="cs"/>
          <w:noProof/>
        </w:rPr>
        <w:t xml:space="preserve"> 36% in urban area</w:t>
      </w:r>
      <w:r w:rsidRPr="00B20EF8">
        <w:rPr>
          <w:noProof/>
        </w:rPr>
        <w:t>s</w:t>
      </w:r>
      <w:r w:rsidRPr="00B20EF8">
        <w:rPr>
          <w:rFonts w:hint="cs"/>
          <w:noProof/>
        </w:rPr>
        <w:t xml:space="preserve">, </w:t>
      </w:r>
      <w:r w:rsidRPr="00B20EF8">
        <w:rPr>
          <w:noProof/>
        </w:rPr>
        <w:t>though</w:t>
      </w:r>
      <w:r w:rsidRPr="00B20EF8">
        <w:rPr>
          <w:rFonts w:hint="cs"/>
          <w:noProof/>
        </w:rPr>
        <w:t xml:space="preserve"> less than a third of the accidents </w:t>
      </w:r>
      <w:r w:rsidRPr="00B20EF8">
        <w:rPr>
          <w:noProof/>
        </w:rPr>
        <w:t xml:space="preserve">occur </w:t>
      </w:r>
      <w:r w:rsidRPr="00B20EF8">
        <w:rPr>
          <w:rFonts w:hint="cs"/>
          <w:noProof/>
        </w:rPr>
        <w:t xml:space="preserve">on </w:t>
      </w:r>
      <w:r w:rsidRPr="00B20EF8">
        <w:rPr>
          <w:noProof/>
        </w:rPr>
        <w:t xml:space="preserve"> inter-city</w:t>
      </w:r>
      <w:r w:rsidRPr="00B20EF8">
        <w:rPr>
          <w:rFonts w:hint="cs"/>
          <w:noProof/>
        </w:rPr>
        <w:t xml:space="preserve"> roads.</w:t>
      </w:r>
    </w:p>
    <w:p w:rsidR="0058257B" w:rsidRPr="00C10E6B" w:rsidP="0058257B" w14:paraId="77E4C6EA" w14:textId="77777777">
      <w:pPr>
        <w:pStyle w:val="7191"/>
        <w:numPr>
          <w:ilvl w:val="0"/>
          <w:numId w:val="38"/>
        </w:numPr>
        <w:bidi w:val="0"/>
        <w:spacing w:before="240"/>
        <w:rPr>
          <w:noProof/>
        </w:rPr>
      </w:pPr>
      <w:r w:rsidRPr="008B12AD">
        <w:rPr>
          <w:rFonts w:hint="cs"/>
          <w:b/>
          <w:bCs/>
          <w:noProof/>
        </w:rPr>
        <w:t xml:space="preserve">Distribution of </w:t>
      </w:r>
      <w:r w:rsidRPr="008B12AD">
        <w:rPr>
          <w:b/>
          <w:bCs/>
          <w:noProof/>
        </w:rPr>
        <w:t>C</w:t>
      </w:r>
      <w:r w:rsidRPr="008B12AD">
        <w:rPr>
          <w:rFonts w:hint="cs"/>
          <w:b/>
          <w:bCs/>
          <w:noProof/>
        </w:rPr>
        <w:t xml:space="preserve">asualties by </w:t>
      </w:r>
      <w:r w:rsidRPr="008B12AD">
        <w:rPr>
          <w:b/>
          <w:bCs/>
          <w:noProof/>
        </w:rPr>
        <w:t>R</w:t>
      </w:r>
      <w:r w:rsidRPr="008B12AD">
        <w:rPr>
          <w:rFonts w:hint="cs"/>
          <w:b/>
          <w:bCs/>
          <w:noProof/>
        </w:rPr>
        <w:t xml:space="preserve">oad </w:t>
      </w:r>
      <w:r w:rsidRPr="008B12AD">
        <w:rPr>
          <w:b/>
          <w:bCs/>
          <w:noProof/>
        </w:rPr>
        <w:t>U</w:t>
      </w:r>
      <w:r w:rsidRPr="008B12AD">
        <w:rPr>
          <w:rFonts w:hint="cs"/>
          <w:b/>
          <w:bCs/>
          <w:noProof/>
        </w:rPr>
        <w:t xml:space="preserve">ser </w:t>
      </w:r>
      <w:r w:rsidRPr="008B12AD">
        <w:rPr>
          <w:b/>
          <w:bCs/>
          <w:noProof/>
        </w:rPr>
        <w:t>T</w:t>
      </w:r>
      <w:r w:rsidRPr="008B12AD">
        <w:rPr>
          <w:rFonts w:hint="cs"/>
          <w:b/>
          <w:bCs/>
          <w:noProof/>
        </w:rPr>
        <w:t>ype</w:t>
      </w:r>
      <w:r w:rsidRPr="008B12AD">
        <w:rPr>
          <w:b/>
          <w:bCs/>
          <w:noProof/>
        </w:rPr>
        <w:t xml:space="preserve"> –</w:t>
      </w:r>
      <w:r w:rsidRPr="00B20EF8">
        <w:rPr>
          <w:rFonts w:hint="cs"/>
          <w:noProof/>
        </w:rPr>
        <w:t xml:space="preserve"> out of the 351 fatalities in road accidents in 2022, 28% were private vehicle users, 31% were pedestrians, and 22% were motorcycle and </w:t>
      </w:r>
      <w:r w:rsidRPr="00B20EF8">
        <w:rPr>
          <w:noProof/>
        </w:rPr>
        <w:t>scooter</w:t>
      </w:r>
      <w:r w:rsidRPr="00B20EF8">
        <w:rPr>
          <w:rFonts w:hint="cs"/>
          <w:noProof/>
        </w:rPr>
        <w:t xml:space="preserve"> riders. </w:t>
      </w:r>
      <w:r w:rsidRPr="00B20EF8">
        <w:rPr>
          <w:noProof/>
        </w:rPr>
        <w:t>Seventy-seven</w:t>
      </w:r>
      <w:r w:rsidRPr="00B20EF8">
        <w:rPr>
          <w:rFonts w:hint="cs"/>
          <w:noProof/>
        </w:rPr>
        <w:t xml:space="preserve"> motorcycle and </w:t>
      </w:r>
      <w:r w:rsidRPr="00B20EF8">
        <w:rPr>
          <w:noProof/>
        </w:rPr>
        <w:t>scooter</w:t>
      </w:r>
      <w:r w:rsidRPr="00B20EF8">
        <w:rPr>
          <w:rFonts w:hint="cs"/>
          <w:noProof/>
        </w:rPr>
        <w:t xml:space="preserve"> riders </w:t>
      </w:r>
      <w:r w:rsidRPr="00B20EF8">
        <w:rPr>
          <w:noProof/>
        </w:rPr>
        <w:t xml:space="preserve">were </w:t>
      </w:r>
      <w:r w:rsidRPr="00B20EF8">
        <w:rPr>
          <w:rFonts w:hint="cs"/>
          <w:noProof/>
        </w:rPr>
        <w:t xml:space="preserve">killed in 2022, a decrease of </w:t>
      </w:r>
      <w:r w:rsidRPr="00B20EF8">
        <w:rPr>
          <w:noProof/>
        </w:rPr>
        <w:t>about</w:t>
      </w:r>
      <w:r w:rsidRPr="00B20EF8">
        <w:rPr>
          <w:rFonts w:hint="cs"/>
          <w:noProof/>
        </w:rPr>
        <w:t xml:space="preserve"> 8.33% compared to 2021 but an increase of </w:t>
      </w:r>
      <w:r w:rsidRPr="00B20EF8">
        <w:rPr>
          <w:noProof/>
        </w:rPr>
        <w:t>about</w:t>
      </w:r>
      <w:r w:rsidRPr="00B20EF8">
        <w:rPr>
          <w:rFonts w:hint="cs"/>
          <w:noProof/>
        </w:rPr>
        <w:t xml:space="preserve"> 30.5% compared to the average </w:t>
      </w:r>
      <w:r w:rsidRPr="00B20EF8">
        <w:rPr>
          <w:noProof/>
        </w:rPr>
        <w:t>in</w:t>
      </w:r>
      <w:r w:rsidRPr="00B20EF8">
        <w:rPr>
          <w:rFonts w:hint="cs"/>
          <w:noProof/>
        </w:rPr>
        <w:t xml:space="preserve"> 2018</w:t>
      </w:r>
      <w:r w:rsidRPr="00B20EF8">
        <w:rPr>
          <w:noProof/>
        </w:rPr>
        <w:t>–</w:t>
      </w:r>
      <w:r w:rsidRPr="00B20EF8">
        <w:rPr>
          <w:rFonts w:hint="cs"/>
          <w:noProof/>
        </w:rPr>
        <w:t>2020.</w:t>
      </w:r>
    </w:p>
    <w:p w:rsidR="0058257B" w:rsidRPr="00C10E6B" w:rsidP="0058257B" w14:paraId="1EAFEA02" w14:textId="77777777">
      <w:pPr>
        <w:pStyle w:val="7191"/>
        <w:numPr>
          <w:ilvl w:val="0"/>
          <w:numId w:val="38"/>
        </w:numPr>
        <w:bidi w:val="0"/>
        <w:spacing w:before="240"/>
        <w:rPr>
          <w:noProof/>
        </w:rPr>
      </w:pPr>
      <w:r w:rsidRPr="008B12AD">
        <w:rPr>
          <w:rFonts w:hint="cs"/>
          <w:b/>
          <w:bCs/>
          <w:noProof/>
        </w:rPr>
        <w:t xml:space="preserve">Motorcycle </w:t>
      </w:r>
      <w:r w:rsidRPr="008B12AD">
        <w:rPr>
          <w:b/>
          <w:bCs/>
          <w:noProof/>
        </w:rPr>
        <w:t>R</w:t>
      </w:r>
      <w:r w:rsidRPr="008B12AD">
        <w:rPr>
          <w:rFonts w:hint="cs"/>
          <w:b/>
          <w:bCs/>
          <w:noProof/>
        </w:rPr>
        <w:t xml:space="preserve">ider </w:t>
      </w:r>
      <w:r w:rsidRPr="008B12AD">
        <w:rPr>
          <w:b/>
          <w:bCs/>
          <w:noProof/>
        </w:rPr>
        <w:t>I</w:t>
      </w:r>
      <w:r w:rsidRPr="008B12AD">
        <w:rPr>
          <w:rFonts w:hint="cs"/>
          <w:b/>
          <w:bCs/>
          <w:noProof/>
        </w:rPr>
        <w:t>njuries</w:t>
      </w:r>
      <w:r w:rsidRPr="008B12AD">
        <w:rPr>
          <w:b/>
          <w:bCs/>
          <w:noProof/>
        </w:rPr>
        <w:t xml:space="preserve"> –</w:t>
      </w:r>
      <w:r w:rsidRPr="00B20EF8">
        <w:rPr>
          <w:rFonts w:hint="cs"/>
          <w:noProof/>
        </w:rPr>
        <w:t xml:space="preserve"> since 2018, there has been an upward </w:t>
      </w:r>
      <w:r w:rsidRPr="00B20EF8">
        <w:rPr>
          <w:noProof/>
        </w:rPr>
        <w:t xml:space="preserve">surge </w:t>
      </w:r>
      <w:r w:rsidRPr="00B20EF8">
        <w:rPr>
          <w:rFonts w:hint="cs"/>
          <w:noProof/>
        </w:rPr>
        <w:t>in severe and fatal injuries among motorcycle riders. According to the RSA, in 2013</w:t>
      </w:r>
      <w:r w:rsidRPr="00B20EF8">
        <w:rPr>
          <w:noProof/>
        </w:rPr>
        <w:t>–</w:t>
      </w:r>
      <w:r w:rsidRPr="00B20EF8">
        <w:rPr>
          <w:rFonts w:hint="cs"/>
          <w:noProof/>
        </w:rPr>
        <w:t>2019, the likelihood of motorcycle accidents increased for three reasons: the number of licensed drivers increased</w:t>
      </w:r>
      <w:r w:rsidRPr="00B20EF8">
        <w:rPr>
          <w:noProof/>
        </w:rPr>
        <w:t>,</w:t>
      </w:r>
      <w:r w:rsidRPr="00B20EF8">
        <w:rPr>
          <w:rFonts w:hint="cs"/>
          <w:noProof/>
        </w:rPr>
        <w:t xml:space="preserve"> the proportion of heavy motorcycles out of all motorcycles increased</w:t>
      </w:r>
      <w:r w:rsidRPr="00B20EF8">
        <w:rPr>
          <w:noProof/>
        </w:rPr>
        <w:t>,</w:t>
      </w:r>
      <w:r w:rsidRPr="00B20EF8">
        <w:rPr>
          <w:rFonts w:hint="cs"/>
          <w:noProof/>
        </w:rPr>
        <w:t xml:space="preserve"> </w:t>
      </w:r>
      <w:r w:rsidRPr="00B20EF8">
        <w:rPr>
          <w:noProof/>
        </w:rPr>
        <w:t xml:space="preserve">and </w:t>
      </w:r>
      <w:r w:rsidRPr="00B20EF8">
        <w:rPr>
          <w:rFonts w:hint="cs"/>
          <w:noProof/>
        </w:rPr>
        <w:t>the total mileage increased.</w:t>
      </w:r>
    </w:p>
    <w:p w:rsidR="0058257B" w:rsidRPr="00C10E6B" w:rsidP="0058257B" w14:paraId="5DB110E3" w14:textId="77777777">
      <w:pPr>
        <w:pStyle w:val="7191"/>
        <w:numPr>
          <w:ilvl w:val="0"/>
          <w:numId w:val="38"/>
        </w:numPr>
        <w:bidi w:val="0"/>
        <w:spacing w:before="240"/>
        <w:rPr>
          <w:noProof/>
        </w:rPr>
      </w:pPr>
      <w:r w:rsidRPr="008B12AD">
        <w:rPr>
          <w:rFonts w:hint="cs"/>
          <w:b/>
          <w:bCs/>
          <w:noProof/>
        </w:rPr>
        <w:t xml:space="preserve">Distribution of </w:t>
      </w:r>
      <w:r w:rsidRPr="008B12AD">
        <w:rPr>
          <w:b/>
          <w:bCs/>
          <w:noProof/>
        </w:rPr>
        <w:t>C</w:t>
      </w:r>
      <w:r w:rsidRPr="008B12AD">
        <w:rPr>
          <w:rFonts w:hint="cs"/>
          <w:b/>
          <w:bCs/>
          <w:noProof/>
        </w:rPr>
        <w:t xml:space="preserve">asualties by </w:t>
      </w:r>
      <w:r w:rsidRPr="008B12AD">
        <w:rPr>
          <w:b/>
          <w:bCs/>
          <w:noProof/>
        </w:rPr>
        <w:t>A</w:t>
      </w:r>
      <w:r w:rsidRPr="008B12AD">
        <w:rPr>
          <w:rFonts w:hint="cs"/>
          <w:b/>
          <w:bCs/>
          <w:noProof/>
        </w:rPr>
        <w:t>ge</w:t>
      </w:r>
      <w:r w:rsidRPr="008B12AD">
        <w:rPr>
          <w:b/>
          <w:bCs/>
          <w:noProof/>
        </w:rPr>
        <w:t xml:space="preserve"> –</w:t>
      </w:r>
      <w:r w:rsidRPr="00B20EF8">
        <w:rPr>
          <w:rFonts w:hint="cs"/>
          <w:noProof/>
        </w:rPr>
        <w:t xml:space="preserve"> age groups relatively prone to severe injuries compared to their share in the population are young people aged 15</w:t>
      </w:r>
      <w:r w:rsidRPr="00B20EF8">
        <w:rPr>
          <w:noProof/>
        </w:rPr>
        <w:t>–</w:t>
      </w:r>
      <w:r w:rsidRPr="00B20EF8">
        <w:rPr>
          <w:rFonts w:hint="cs"/>
          <w:noProof/>
        </w:rPr>
        <w:t>24 and those aged 65 and over. The rate of fatalities and severe injur</w:t>
      </w:r>
      <w:r w:rsidRPr="00B20EF8">
        <w:rPr>
          <w:noProof/>
        </w:rPr>
        <w:t>ies</w:t>
      </w:r>
      <w:r w:rsidRPr="00B20EF8">
        <w:rPr>
          <w:rFonts w:hint="cs"/>
          <w:noProof/>
        </w:rPr>
        <w:t xml:space="preserve"> in road accidents for those aged 65 and over was higher than the share of this group in the population </w:t>
      </w:r>
      <w:r w:rsidRPr="00B20EF8">
        <w:rPr>
          <w:noProof/>
        </w:rPr>
        <w:t xml:space="preserve">from 2013 to </w:t>
      </w:r>
      <w:r w:rsidRPr="00B20EF8">
        <w:rPr>
          <w:rFonts w:hint="cs"/>
          <w:noProof/>
        </w:rPr>
        <w:t>2022. On an annual average, the rate of fatalities and severe injur</w:t>
      </w:r>
      <w:r w:rsidRPr="00B20EF8">
        <w:rPr>
          <w:noProof/>
        </w:rPr>
        <w:t>ies</w:t>
      </w:r>
      <w:r w:rsidRPr="00B20EF8">
        <w:rPr>
          <w:rFonts w:hint="cs"/>
          <w:noProof/>
        </w:rPr>
        <w:t xml:space="preserve"> among those aged 65 and over out of all fatalities was </w:t>
      </w:r>
      <w:r w:rsidRPr="00B20EF8">
        <w:rPr>
          <w:noProof/>
        </w:rPr>
        <w:t>about</w:t>
      </w:r>
      <w:r w:rsidRPr="00B20EF8">
        <w:rPr>
          <w:rFonts w:hint="cs"/>
          <w:noProof/>
        </w:rPr>
        <w:t xml:space="preserve"> 20%, compared to their share in the population – </w:t>
      </w:r>
      <w:r w:rsidRPr="00B20EF8">
        <w:rPr>
          <w:noProof/>
        </w:rPr>
        <w:t>about</w:t>
      </w:r>
      <w:r w:rsidRPr="00B20EF8">
        <w:rPr>
          <w:rFonts w:hint="cs"/>
          <w:noProof/>
        </w:rPr>
        <w:t xml:space="preserve"> 11.5%. </w:t>
      </w:r>
    </w:p>
    <w:p w:rsidR="0058257B" w:rsidRPr="00B20EF8" w:rsidP="0058257B" w14:paraId="6CE1BD36" w14:textId="77777777">
      <w:pPr>
        <w:pStyle w:val="7191"/>
        <w:numPr>
          <w:ilvl w:val="0"/>
          <w:numId w:val="38"/>
        </w:numPr>
        <w:bidi w:val="0"/>
        <w:spacing w:before="240"/>
        <w:rPr>
          <w:noProof/>
        </w:rPr>
      </w:pPr>
      <w:r w:rsidRPr="008B12AD">
        <w:rPr>
          <w:rFonts w:hint="cs"/>
          <w:b/>
          <w:bCs/>
          <w:noProof/>
        </w:rPr>
        <w:t xml:space="preserve">Distribution of </w:t>
      </w:r>
      <w:r w:rsidRPr="008B12AD">
        <w:rPr>
          <w:b/>
          <w:bCs/>
          <w:noProof/>
        </w:rPr>
        <w:t>C</w:t>
      </w:r>
      <w:r w:rsidRPr="008B12AD">
        <w:rPr>
          <w:rFonts w:hint="cs"/>
          <w:b/>
          <w:bCs/>
          <w:noProof/>
        </w:rPr>
        <w:t xml:space="preserve">asualties by </w:t>
      </w:r>
      <w:r w:rsidRPr="008B12AD">
        <w:rPr>
          <w:b/>
          <w:bCs/>
          <w:noProof/>
        </w:rPr>
        <w:t>P</w:t>
      </w:r>
      <w:r w:rsidRPr="008B12AD">
        <w:rPr>
          <w:rFonts w:hint="cs"/>
          <w:b/>
          <w:bCs/>
          <w:noProof/>
        </w:rPr>
        <w:t xml:space="preserve">opulation </w:t>
      </w:r>
      <w:r w:rsidRPr="008B12AD">
        <w:rPr>
          <w:b/>
          <w:bCs/>
          <w:noProof/>
        </w:rPr>
        <w:t>S</w:t>
      </w:r>
      <w:r w:rsidRPr="008B12AD">
        <w:rPr>
          <w:rFonts w:hint="cs"/>
          <w:b/>
          <w:bCs/>
          <w:noProof/>
        </w:rPr>
        <w:t>ectors</w:t>
      </w:r>
      <w:r w:rsidRPr="008B12AD">
        <w:rPr>
          <w:b/>
          <w:bCs/>
          <w:noProof/>
        </w:rPr>
        <w:t xml:space="preserve"> –</w:t>
      </w:r>
      <w:r w:rsidRPr="00B20EF8">
        <w:rPr>
          <w:rFonts w:hint="cs"/>
          <w:noProof/>
        </w:rPr>
        <w:t xml:space="preserve"> compared to their share in the population, Arab male drivers were involved in more accidents than Jewish male drivers in all age groups in 2013</w:t>
      </w:r>
      <w:r w:rsidRPr="00B20EF8">
        <w:rPr>
          <w:noProof/>
        </w:rPr>
        <w:t>–</w:t>
      </w:r>
      <w:r w:rsidRPr="00B20EF8">
        <w:rPr>
          <w:rFonts w:hint="cs"/>
          <w:noProof/>
        </w:rPr>
        <w:t xml:space="preserve">2019; however, the difference was particularly prominent in the younger age groups. A significant portion of the difference between men up to age 24 and older men stems from the high injury rates of young men </w:t>
      </w:r>
      <w:r w:rsidRPr="00B20EF8">
        <w:rPr>
          <w:noProof/>
        </w:rPr>
        <w:t xml:space="preserve">riding </w:t>
      </w:r>
      <w:r w:rsidRPr="00B20EF8">
        <w:rPr>
          <w:rFonts w:hint="cs"/>
          <w:noProof/>
        </w:rPr>
        <w:t>motorcycle</w:t>
      </w:r>
      <w:r w:rsidRPr="00B20EF8">
        <w:rPr>
          <w:noProof/>
        </w:rPr>
        <w:t>s</w:t>
      </w:r>
      <w:r w:rsidRPr="00B20EF8">
        <w:rPr>
          <w:rFonts w:hint="cs"/>
          <w:noProof/>
        </w:rPr>
        <w:t xml:space="preserve">. No significant changes have occurred in </w:t>
      </w:r>
      <w:r w:rsidRPr="00B20EF8">
        <w:rPr>
          <w:noProof/>
        </w:rPr>
        <w:t xml:space="preserve">all </w:t>
      </w:r>
      <w:r w:rsidRPr="00B20EF8">
        <w:rPr>
          <w:rFonts w:hint="cs"/>
          <w:noProof/>
        </w:rPr>
        <w:t xml:space="preserve">the differences between the population sectors over the last eight years. </w:t>
      </w:r>
    </w:p>
    <w:p w:rsidR="00D12832" w:rsidP="00C65F4C" w14:paraId="18CA7A28" w14:textId="39456AE3">
      <w:pPr>
        <w:pStyle w:val="7191"/>
        <w:bidi w:val="0"/>
        <w:spacing w:before="240"/>
        <w:ind w:left="397"/>
      </w:pPr>
      <w:r w:rsidRPr="008B12AD">
        <w:rPr>
          <w:rFonts w:hint="cs"/>
          <w:b/>
          <w:bCs/>
          <w:noProof/>
          <w:rtl/>
        </w:rPr>
        <w:drawing>
          <wp:anchor distT="0" distB="0" distL="0" distR="0" simplePos="0" relativeHeight="251691008"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30015594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55946"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B12AD" w:rsidR="0058257B">
        <w:rPr>
          <w:rFonts w:hint="cs"/>
          <w:b/>
          <w:bCs/>
          <w:noProof/>
        </w:rPr>
        <w:t xml:space="preserve">The </w:t>
      </w:r>
      <w:r w:rsidRPr="008B12AD" w:rsidR="0058257B">
        <w:rPr>
          <w:b/>
          <w:bCs/>
          <w:noProof/>
        </w:rPr>
        <w:t>E</w:t>
      </w:r>
      <w:r w:rsidRPr="008B12AD" w:rsidR="0058257B">
        <w:rPr>
          <w:rFonts w:hint="cs"/>
          <w:b/>
          <w:bCs/>
          <w:noProof/>
        </w:rPr>
        <w:t xml:space="preserve">conomic </w:t>
      </w:r>
      <w:r w:rsidRPr="008B12AD" w:rsidR="0058257B">
        <w:rPr>
          <w:b/>
          <w:bCs/>
          <w:noProof/>
        </w:rPr>
        <w:t>C</w:t>
      </w:r>
      <w:r w:rsidRPr="008B12AD" w:rsidR="0058257B">
        <w:rPr>
          <w:rFonts w:hint="cs"/>
          <w:b/>
          <w:bCs/>
          <w:noProof/>
        </w:rPr>
        <w:t xml:space="preserve">ost of </w:t>
      </w:r>
      <w:r w:rsidRPr="008B12AD" w:rsidR="0058257B">
        <w:rPr>
          <w:b/>
          <w:bCs/>
          <w:noProof/>
        </w:rPr>
        <w:t>R</w:t>
      </w:r>
      <w:r w:rsidRPr="008B12AD" w:rsidR="0058257B">
        <w:rPr>
          <w:rFonts w:hint="cs"/>
          <w:b/>
          <w:bCs/>
          <w:noProof/>
        </w:rPr>
        <w:t xml:space="preserve">oad </w:t>
      </w:r>
      <w:r w:rsidRPr="008B12AD" w:rsidR="0058257B">
        <w:rPr>
          <w:b/>
          <w:bCs/>
          <w:noProof/>
        </w:rPr>
        <w:t>A</w:t>
      </w:r>
      <w:r w:rsidRPr="008B12AD" w:rsidR="0058257B">
        <w:rPr>
          <w:rFonts w:hint="cs"/>
          <w:b/>
          <w:bCs/>
          <w:noProof/>
        </w:rPr>
        <w:t>ccidents</w:t>
      </w:r>
      <w:r w:rsidRPr="008B12AD" w:rsidR="0058257B">
        <w:rPr>
          <w:b/>
          <w:bCs/>
          <w:noProof/>
        </w:rPr>
        <w:t xml:space="preserve"> –</w:t>
      </w:r>
      <w:r w:rsidRPr="00B20EF8" w:rsidR="0058257B">
        <w:rPr>
          <w:rFonts w:hint="cs"/>
          <w:bCs/>
          <w:noProof/>
        </w:rPr>
        <w:t xml:space="preserve"> road accidents have a high economic cost, estimated in 2019 at </w:t>
      </w:r>
      <w:r w:rsidRPr="00B20EF8" w:rsidR="0058257B">
        <w:rPr>
          <w:bCs/>
          <w:noProof/>
        </w:rPr>
        <w:t>about</w:t>
      </w:r>
      <w:r w:rsidRPr="00B20EF8" w:rsidR="0058257B">
        <w:rPr>
          <w:rFonts w:hint="cs"/>
          <w:bCs/>
          <w:noProof/>
        </w:rPr>
        <w:t xml:space="preserve"> NIS 16 billion per year for accidents involving casualties. This is in addition to the complex consequences of loss of life, </w:t>
      </w:r>
      <w:r w:rsidRPr="00B20EF8" w:rsidR="0058257B">
        <w:rPr>
          <w:bCs/>
          <w:noProof/>
        </w:rPr>
        <w:t>grief</w:t>
      </w:r>
      <w:r w:rsidRPr="00B20EF8" w:rsidR="0058257B">
        <w:rPr>
          <w:rFonts w:hint="cs"/>
          <w:bCs/>
          <w:noProof/>
        </w:rPr>
        <w:t>, pain and sorrow, injuries of varying degrees, as well as impacts on other aspects of the economy and society. Part of this cost is covered by the state budget or other public budgets (such as health expenses and benefit payments)</w:t>
      </w:r>
      <w:r w:rsidRPr="00B20EF8" w:rsidR="0058257B">
        <w:rPr>
          <w:bCs/>
          <w:noProof/>
        </w:rPr>
        <w:t>. Consequently,</w:t>
      </w:r>
      <w:r w:rsidRPr="00B20EF8" w:rsidR="0058257B">
        <w:rPr>
          <w:rFonts w:hint="cs"/>
          <w:bCs/>
          <w:noProof/>
        </w:rPr>
        <w:t xml:space="preserve"> preventing road accidents</w:t>
      </w:r>
      <w:r w:rsidRPr="00B20EF8" w:rsidR="0058257B">
        <w:rPr>
          <w:bCs/>
          <w:noProof/>
        </w:rPr>
        <w:t xml:space="preserve"> may enable</w:t>
      </w:r>
      <w:r w:rsidRPr="00B20EF8" w:rsidR="0058257B">
        <w:rPr>
          <w:rFonts w:hint="cs"/>
          <w:bCs/>
          <w:noProof/>
        </w:rPr>
        <w:t xml:space="preserve"> </w:t>
      </w:r>
      <w:r w:rsidRPr="00B20EF8" w:rsidR="0058257B">
        <w:rPr>
          <w:bCs/>
          <w:noProof/>
        </w:rPr>
        <w:t>utilzing</w:t>
      </w:r>
      <w:r w:rsidRPr="00B20EF8" w:rsidR="0058257B">
        <w:rPr>
          <w:rFonts w:hint="cs"/>
          <w:bCs/>
          <w:noProof/>
        </w:rPr>
        <w:t xml:space="preserve"> these </w:t>
      </w:r>
      <w:r w:rsidRPr="00B20EF8" w:rsidR="0058257B">
        <w:rPr>
          <w:bCs/>
          <w:noProof/>
        </w:rPr>
        <w:t>funds</w:t>
      </w:r>
      <w:r w:rsidRPr="00B20EF8" w:rsidR="0058257B">
        <w:rPr>
          <w:rFonts w:hint="cs"/>
          <w:bCs/>
          <w:noProof/>
        </w:rPr>
        <w:t xml:space="preserve"> </w:t>
      </w:r>
      <w:r w:rsidRPr="00B20EF8" w:rsidR="0058257B">
        <w:rPr>
          <w:bCs/>
          <w:noProof/>
        </w:rPr>
        <w:t xml:space="preserve">for </w:t>
      </w:r>
      <w:r w:rsidRPr="00B20EF8" w:rsidR="0058257B">
        <w:rPr>
          <w:rFonts w:hint="cs"/>
          <w:bCs/>
          <w:noProof/>
        </w:rPr>
        <w:t xml:space="preserve">other </w:t>
      </w:r>
      <w:r w:rsidRPr="00B20EF8" w:rsidR="0058257B">
        <w:rPr>
          <w:bCs/>
          <w:noProof/>
        </w:rPr>
        <w:t>critical</w:t>
      </w:r>
      <w:r w:rsidRPr="00B20EF8" w:rsidR="0058257B">
        <w:rPr>
          <w:rFonts w:hint="cs"/>
          <w:bCs/>
          <w:noProof/>
        </w:rPr>
        <w:t xml:space="preserve"> needs</w:t>
      </w:r>
      <w:r w:rsidRPr="00D12832">
        <w:t>.</w:t>
      </w:r>
    </w:p>
    <w:p w:rsidR="0058257B" w:rsidRPr="00D12832" w:rsidP="0058257B" w14:paraId="69FEB54F" w14:textId="2436C187">
      <w:pPr>
        <w:pStyle w:val="73512"/>
        <w:bidi w:val="0"/>
      </w:pPr>
      <w:r w:rsidRPr="00B20EF8">
        <w:rPr>
          <w:rFonts w:hint="cs"/>
        </w:rPr>
        <w:t>Collection and Processing of Information on Road Accidents</w:t>
      </w:r>
    </w:p>
    <w:p w:rsidR="0058257B" w:rsidRPr="008B12AD" w:rsidP="0058257B" w14:paraId="6595DE8C" w14:textId="43B510EC">
      <w:pPr>
        <w:pStyle w:val="7191"/>
        <w:bidi w:val="0"/>
        <w:spacing w:before="240"/>
        <w:ind w:left="397"/>
        <w:rPr>
          <w:b/>
          <w:bCs/>
          <w:noProof/>
        </w:rPr>
      </w:pPr>
      <w:r w:rsidRPr="008B12AD">
        <w:rPr>
          <w:rFonts w:hint="cs"/>
          <w:b/>
          <w:bCs/>
          <w:noProof/>
          <w:rtl/>
        </w:rPr>
        <w:drawing>
          <wp:anchor distT="0" distB="0" distL="0" distR="0" simplePos="0" relativeHeight="251692032"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14911004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10044"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B12AD">
        <w:rPr>
          <w:rFonts w:hint="cs"/>
          <w:b/>
          <w:bCs/>
          <w:noProof/>
        </w:rPr>
        <w:t xml:space="preserve">Gaps and </w:t>
      </w:r>
      <w:r w:rsidRPr="008B12AD">
        <w:rPr>
          <w:b/>
          <w:bCs/>
          <w:noProof/>
        </w:rPr>
        <w:t>D</w:t>
      </w:r>
      <w:r w:rsidRPr="008B12AD">
        <w:rPr>
          <w:rFonts w:hint="cs"/>
          <w:b/>
          <w:bCs/>
          <w:noProof/>
        </w:rPr>
        <w:t xml:space="preserve">eficiencies in the </w:t>
      </w:r>
      <w:r w:rsidRPr="008B12AD">
        <w:rPr>
          <w:b/>
          <w:bCs/>
          <w:noProof/>
        </w:rPr>
        <w:t>I</w:t>
      </w:r>
      <w:r w:rsidRPr="008B12AD">
        <w:rPr>
          <w:rFonts w:hint="cs"/>
          <w:b/>
          <w:bCs/>
          <w:noProof/>
        </w:rPr>
        <w:t xml:space="preserve">nformation </w:t>
      </w:r>
      <w:r w:rsidRPr="008B12AD">
        <w:rPr>
          <w:b/>
          <w:bCs/>
          <w:noProof/>
        </w:rPr>
        <w:t>C</w:t>
      </w:r>
      <w:r w:rsidRPr="008B12AD">
        <w:rPr>
          <w:rFonts w:hint="cs"/>
          <w:b/>
          <w:bCs/>
          <w:noProof/>
        </w:rPr>
        <w:t xml:space="preserve">ollected by the </w:t>
      </w:r>
      <w:r w:rsidRPr="008B12AD">
        <w:rPr>
          <w:b/>
          <w:bCs/>
          <w:noProof/>
        </w:rPr>
        <w:t xml:space="preserve">Government </w:t>
      </w:r>
      <w:r w:rsidR="004C3D71">
        <w:rPr>
          <w:b/>
          <w:bCs/>
          <w:noProof/>
        </w:rPr>
        <w:t>B</w:t>
      </w:r>
      <w:r w:rsidRPr="008B12AD">
        <w:rPr>
          <w:b/>
          <w:bCs/>
          <w:noProof/>
        </w:rPr>
        <w:t>odies</w:t>
      </w:r>
    </w:p>
    <w:p w:rsidR="0058257B" w:rsidP="0058257B" w14:paraId="418796A6" w14:textId="77777777">
      <w:pPr>
        <w:pStyle w:val="7191"/>
        <w:numPr>
          <w:ilvl w:val="0"/>
          <w:numId w:val="38"/>
        </w:numPr>
        <w:bidi w:val="0"/>
        <w:spacing w:before="240"/>
        <w:rPr>
          <w:noProof/>
        </w:rPr>
      </w:pPr>
      <w:r w:rsidRPr="008B12AD">
        <w:rPr>
          <w:rFonts w:hint="cs"/>
          <w:b/>
          <w:bCs/>
          <w:noProof/>
        </w:rPr>
        <w:t xml:space="preserve">Partial </w:t>
      </w:r>
      <w:r w:rsidRPr="008B12AD">
        <w:rPr>
          <w:b/>
          <w:bCs/>
          <w:noProof/>
        </w:rPr>
        <w:t>D</w:t>
      </w:r>
      <w:r w:rsidRPr="008B12AD">
        <w:rPr>
          <w:rFonts w:hint="cs"/>
          <w:b/>
          <w:bCs/>
          <w:noProof/>
        </w:rPr>
        <w:t xml:space="preserve">ata </w:t>
      </w:r>
      <w:r w:rsidRPr="008B12AD">
        <w:rPr>
          <w:b/>
          <w:bCs/>
          <w:noProof/>
        </w:rPr>
        <w:t>C</w:t>
      </w:r>
      <w:r w:rsidRPr="008B12AD">
        <w:rPr>
          <w:rFonts w:hint="cs"/>
          <w:b/>
          <w:bCs/>
          <w:noProof/>
        </w:rPr>
        <w:t xml:space="preserve">ollection by the </w:t>
      </w:r>
      <w:r w:rsidRPr="008B12AD">
        <w:rPr>
          <w:b/>
          <w:bCs/>
          <w:noProof/>
        </w:rPr>
        <w:t>P</w:t>
      </w:r>
      <w:r w:rsidRPr="008B12AD">
        <w:rPr>
          <w:rFonts w:hint="cs"/>
          <w:b/>
          <w:bCs/>
          <w:noProof/>
        </w:rPr>
        <w:t>olice</w:t>
      </w:r>
      <w:r w:rsidRPr="008B12AD">
        <w:rPr>
          <w:b/>
          <w:bCs/>
          <w:noProof/>
        </w:rPr>
        <w:t xml:space="preserve"> –</w:t>
      </w:r>
      <w:r w:rsidRPr="0058257B">
        <w:rPr>
          <w:rFonts w:hint="cs"/>
          <w:noProof/>
        </w:rPr>
        <w:t xml:space="preserve"> the information collected on road accidents is only partial, focusing mainly on severe and fatal accidents. The police do not collect comprehensive data on minor accidents, accidents involving only property damage, and accidents involving only non-motorized vehicles</w:t>
      </w:r>
      <w:r w:rsidRPr="0058257B">
        <w:rPr>
          <w:noProof/>
        </w:rPr>
        <w:t>.</w:t>
      </w:r>
      <w:r w:rsidRPr="0058257B">
        <w:rPr>
          <w:rFonts w:hint="cs"/>
          <w:noProof/>
        </w:rPr>
        <w:t xml:space="preserve"> </w:t>
      </w:r>
      <w:r w:rsidRPr="0058257B">
        <w:rPr>
          <w:noProof/>
        </w:rPr>
        <w:t>I</w:t>
      </w:r>
      <w:r w:rsidRPr="0058257B">
        <w:rPr>
          <w:rFonts w:hint="cs"/>
          <w:noProof/>
        </w:rPr>
        <w:t>n 2022, there were about 2,640 severe and fatal accidents, and each year there are about 45,000 minor accidents that are not investigated. Some of these accidents may have ended without se</w:t>
      </w:r>
      <w:r w:rsidRPr="0058257B">
        <w:rPr>
          <w:noProof/>
        </w:rPr>
        <w:t>vere</w:t>
      </w:r>
      <w:r w:rsidRPr="0058257B">
        <w:rPr>
          <w:rFonts w:hint="cs"/>
          <w:noProof/>
        </w:rPr>
        <w:t xml:space="preserve"> injuries merely by chance; hence, collecting data on them could have </w:t>
      </w:r>
      <w:r w:rsidRPr="0058257B">
        <w:rPr>
          <w:noProof/>
        </w:rPr>
        <w:t>been helpful in preventing</w:t>
      </w:r>
      <w:r w:rsidRPr="0058257B">
        <w:rPr>
          <w:rFonts w:hint="cs"/>
          <w:noProof/>
        </w:rPr>
        <w:t xml:space="preserve"> future accidents. One reason for partial data collection is </w:t>
      </w:r>
      <w:r w:rsidRPr="0058257B">
        <w:rPr>
          <w:noProof/>
        </w:rPr>
        <w:t>the lack</w:t>
      </w:r>
      <w:r w:rsidRPr="0058257B">
        <w:rPr>
          <w:rFonts w:hint="cs"/>
          <w:noProof/>
        </w:rPr>
        <w:t xml:space="preserve"> of </w:t>
      </w:r>
      <w:r w:rsidRPr="0058257B">
        <w:rPr>
          <w:noProof/>
        </w:rPr>
        <w:t xml:space="preserve">police </w:t>
      </w:r>
      <w:r w:rsidRPr="0058257B">
        <w:rPr>
          <w:rFonts w:hint="cs"/>
          <w:noProof/>
        </w:rPr>
        <w:t>traffic accident investigators. By the end of 2023</w:t>
      </w:r>
      <w:r w:rsidRPr="0058257B">
        <w:rPr>
          <w:noProof/>
        </w:rPr>
        <w:t xml:space="preserve"> it is anticpated that there will be a shortage of  86 </w:t>
      </w:r>
      <w:r w:rsidRPr="0058257B">
        <w:rPr>
          <w:rFonts w:hint="cs"/>
          <w:noProof/>
        </w:rPr>
        <w:t xml:space="preserve">traffic accident investigators, </w:t>
      </w:r>
      <w:r w:rsidRPr="0058257B">
        <w:rPr>
          <w:noProof/>
        </w:rPr>
        <w:t>about</w:t>
      </w:r>
      <w:r w:rsidRPr="0058257B">
        <w:rPr>
          <w:rFonts w:hint="cs"/>
          <w:noProof/>
        </w:rPr>
        <w:t xml:space="preserve"> 35% of the </w:t>
      </w:r>
      <w:r w:rsidRPr="0058257B">
        <w:rPr>
          <w:noProof/>
        </w:rPr>
        <w:t>work force headcount</w:t>
      </w:r>
      <w:r w:rsidRPr="0058257B">
        <w:rPr>
          <w:rFonts w:hint="cs"/>
          <w:noProof/>
        </w:rPr>
        <w:t xml:space="preserve">. </w:t>
      </w:r>
    </w:p>
    <w:p w:rsidR="0058257B" w:rsidRPr="00C10E6B" w:rsidP="0058257B" w14:paraId="09AB2677" w14:textId="77777777">
      <w:pPr>
        <w:pStyle w:val="7191"/>
        <w:numPr>
          <w:ilvl w:val="0"/>
          <w:numId w:val="38"/>
        </w:numPr>
        <w:bidi w:val="0"/>
        <w:spacing w:before="240"/>
        <w:rPr>
          <w:noProof/>
        </w:rPr>
      </w:pPr>
      <w:r w:rsidRPr="008B12AD">
        <w:rPr>
          <w:rFonts w:hint="cs"/>
          <w:b/>
          <w:bCs/>
          <w:noProof/>
        </w:rPr>
        <w:t xml:space="preserve">Identification of the </w:t>
      </w:r>
      <w:r w:rsidRPr="008B12AD">
        <w:rPr>
          <w:b/>
          <w:bCs/>
          <w:noProof/>
        </w:rPr>
        <w:t>A</w:t>
      </w:r>
      <w:r w:rsidRPr="008B12AD">
        <w:rPr>
          <w:rFonts w:hint="cs"/>
          <w:b/>
          <w:bCs/>
          <w:noProof/>
        </w:rPr>
        <w:t xml:space="preserve">ccident </w:t>
      </w:r>
      <w:r w:rsidRPr="008B12AD">
        <w:rPr>
          <w:b/>
          <w:bCs/>
          <w:noProof/>
        </w:rPr>
        <w:t>C</w:t>
      </w:r>
      <w:r w:rsidRPr="008B12AD">
        <w:rPr>
          <w:rFonts w:hint="cs"/>
          <w:b/>
          <w:bCs/>
          <w:noProof/>
        </w:rPr>
        <w:t xml:space="preserve">ause by the </w:t>
      </w:r>
      <w:r w:rsidRPr="008B12AD">
        <w:rPr>
          <w:b/>
          <w:bCs/>
          <w:noProof/>
        </w:rPr>
        <w:t>P</w:t>
      </w:r>
      <w:r w:rsidRPr="008B12AD">
        <w:rPr>
          <w:rFonts w:hint="cs"/>
          <w:b/>
          <w:bCs/>
          <w:noProof/>
        </w:rPr>
        <w:t>olice</w:t>
      </w:r>
      <w:r w:rsidRPr="008B12AD">
        <w:rPr>
          <w:b/>
          <w:bCs/>
          <w:noProof/>
        </w:rPr>
        <w:t xml:space="preserve"> –</w:t>
      </w:r>
      <w:r w:rsidRPr="008B12AD">
        <w:rPr>
          <w:rFonts w:hint="cs"/>
          <w:b/>
          <w:bCs/>
          <w:noProof/>
        </w:rPr>
        <w:t xml:space="preserve"> </w:t>
      </w:r>
      <w:r w:rsidRPr="0058257B">
        <w:rPr>
          <w:rFonts w:hint="cs"/>
          <w:noProof/>
        </w:rPr>
        <w:t>nearly 100% of accidents investigated are caused by human factors. However, sometimes</w:t>
      </w:r>
      <w:r w:rsidRPr="0058257B">
        <w:rPr>
          <w:noProof/>
        </w:rPr>
        <w:t>,</w:t>
      </w:r>
      <w:r w:rsidRPr="0058257B">
        <w:rPr>
          <w:rFonts w:hint="cs"/>
          <w:noProof/>
        </w:rPr>
        <w:t xml:space="preserve"> the investigation does not </w:t>
      </w:r>
      <w:r w:rsidRPr="0058257B">
        <w:rPr>
          <w:noProof/>
        </w:rPr>
        <w:t>get to the root cause of the accident</w:t>
      </w:r>
      <w:r w:rsidRPr="0058257B">
        <w:rPr>
          <w:rFonts w:hint="cs"/>
          <w:noProof/>
        </w:rPr>
        <w:t xml:space="preserve"> that led to the accident. For example, sometimes the offense that led to the accident, recorded as a lane deviation or failure to give the right of way, may have been due to distraction, driver drowsiness, or driving under the influence of alcohol, drugs, or medications. Furthermore, the police do not utilize advanced and dedicated systems for documenting accident scenes, such as special-purpose cameras that can capture the scene from various angles before it is cleared. Failure to record non-human factors contributing to accidents compromises the ability to study and address these factors.</w:t>
      </w:r>
    </w:p>
    <w:p w:rsidR="0058257B" w:rsidRPr="0058257B" w:rsidP="0058257B" w14:paraId="05EF53A3" w14:textId="77777777">
      <w:pPr>
        <w:pStyle w:val="7191"/>
        <w:numPr>
          <w:ilvl w:val="0"/>
          <w:numId w:val="38"/>
        </w:numPr>
        <w:bidi w:val="0"/>
        <w:spacing w:before="240"/>
        <w:rPr>
          <w:noProof/>
        </w:rPr>
      </w:pPr>
      <w:r w:rsidRPr="008B12AD">
        <w:rPr>
          <w:rFonts w:hint="cs"/>
          <w:b/>
          <w:bCs/>
          <w:noProof/>
        </w:rPr>
        <w:t xml:space="preserve">Transfer of </w:t>
      </w:r>
      <w:r w:rsidRPr="008B12AD">
        <w:rPr>
          <w:b/>
          <w:bCs/>
          <w:noProof/>
        </w:rPr>
        <w:t>I</w:t>
      </w:r>
      <w:r w:rsidRPr="008B12AD">
        <w:rPr>
          <w:rFonts w:hint="cs"/>
          <w:b/>
          <w:bCs/>
          <w:noProof/>
        </w:rPr>
        <w:t xml:space="preserve">nformation </w:t>
      </w:r>
      <w:r w:rsidRPr="008B12AD">
        <w:rPr>
          <w:b/>
          <w:bCs/>
          <w:noProof/>
        </w:rPr>
        <w:t>B</w:t>
      </w:r>
      <w:r w:rsidRPr="008B12AD">
        <w:rPr>
          <w:rFonts w:hint="cs"/>
          <w:b/>
          <w:bCs/>
          <w:noProof/>
        </w:rPr>
        <w:t xml:space="preserve">etween </w:t>
      </w:r>
      <w:r w:rsidRPr="008B12AD">
        <w:rPr>
          <w:b/>
          <w:bCs/>
          <w:noProof/>
        </w:rPr>
        <w:t>R</w:t>
      </w:r>
      <w:r w:rsidRPr="008B12AD">
        <w:rPr>
          <w:rFonts w:hint="cs"/>
          <w:b/>
          <w:bCs/>
          <w:noProof/>
        </w:rPr>
        <w:t xml:space="preserve">elevant </w:t>
      </w:r>
      <w:r w:rsidRPr="008B12AD">
        <w:rPr>
          <w:b/>
          <w:bCs/>
          <w:noProof/>
        </w:rPr>
        <w:t>B</w:t>
      </w:r>
      <w:r w:rsidRPr="008B12AD">
        <w:rPr>
          <w:rFonts w:hint="cs"/>
          <w:b/>
          <w:bCs/>
          <w:noProof/>
        </w:rPr>
        <w:t xml:space="preserve">odies and </w:t>
      </w:r>
      <w:r w:rsidRPr="008B12AD">
        <w:rPr>
          <w:b/>
          <w:bCs/>
          <w:noProof/>
        </w:rPr>
        <w:t>D</w:t>
      </w:r>
      <w:r w:rsidRPr="008B12AD">
        <w:rPr>
          <w:rFonts w:hint="cs"/>
          <w:b/>
          <w:bCs/>
          <w:noProof/>
        </w:rPr>
        <w:t xml:space="preserve">ata </w:t>
      </w:r>
      <w:r w:rsidRPr="008B12AD">
        <w:rPr>
          <w:b/>
          <w:bCs/>
          <w:noProof/>
        </w:rPr>
        <w:t>C</w:t>
      </w:r>
      <w:r w:rsidRPr="008B12AD">
        <w:rPr>
          <w:rFonts w:hint="cs"/>
          <w:b/>
          <w:bCs/>
          <w:noProof/>
        </w:rPr>
        <w:t>ollection</w:t>
      </w:r>
      <w:r w:rsidRPr="008B12AD">
        <w:rPr>
          <w:b/>
          <w:bCs/>
          <w:noProof/>
        </w:rPr>
        <w:t xml:space="preserve"> –</w:t>
      </w:r>
      <w:r w:rsidRPr="008B12AD">
        <w:rPr>
          <w:rFonts w:hint="cs"/>
          <w:b/>
          <w:bCs/>
          <w:noProof/>
        </w:rPr>
        <w:t xml:space="preserve"> </w:t>
      </w:r>
      <w:r w:rsidRPr="0058257B">
        <w:rPr>
          <w:rFonts w:hint="cs"/>
          <w:noProof/>
        </w:rPr>
        <w:t xml:space="preserve">in recent years, improvements have been made in </w:t>
      </w:r>
      <w:r w:rsidRPr="0058257B">
        <w:rPr>
          <w:noProof/>
        </w:rPr>
        <w:t>collecting and processing</w:t>
      </w:r>
      <w:r w:rsidRPr="0058257B">
        <w:rPr>
          <w:rFonts w:hint="cs"/>
          <w:noProof/>
        </w:rPr>
        <w:t xml:space="preserve"> road accident data. However, some of the collected data is incomplete; for example, Magen David Adom (</w:t>
      </w:r>
      <w:r>
        <w:rPr>
          <w:noProof/>
        </w:rPr>
        <w:t>National EMS Organization,</w:t>
      </w:r>
      <w:r w:rsidRPr="0058257B">
        <w:rPr>
          <w:rFonts w:hint="cs"/>
          <w:noProof/>
        </w:rPr>
        <w:t xml:space="preserve"> MDA) does not transfer data it has regarding the exact location of </w:t>
      </w:r>
      <w:r w:rsidRPr="0058257B">
        <w:rPr>
          <w:noProof/>
        </w:rPr>
        <w:t xml:space="preserve">the </w:t>
      </w:r>
      <w:r w:rsidRPr="0058257B">
        <w:rPr>
          <w:rFonts w:hint="cs"/>
          <w:noProof/>
        </w:rPr>
        <w:t xml:space="preserve">accidents to the Ministry of Health. In addition, data transferred from the courts to the Central Bureau of Statistics (CBS) are not processed and published; the healthcare system does not collect information regarding drivers' </w:t>
      </w:r>
      <w:r w:rsidRPr="0058257B">
        <w:rPr>
          <w:noProof/>
        </w:rPr>
        <w:t>drugs</w:t>
      </w:r>
      <w:r w:rsidRPr="0058257B">
        <w:rPr>
          <w:rFonts w:hint="cs"/>
          <w:noProof/>
        </w:rPr>
        <w:t xml:space="preserve"> and alcohol use</w:t>
      </w:r>
      <w:r w:rsidRPr="0058257B">
        <w:rPr>
          <w:noProof/>
        </w:rPr>
        <w:t>,</w:t>
      </w:r>
      <w:r w:rsidRPr="0058257B">
        <w:rPr>
          <w:rFonts w:hint="cs"/>
          <w:noProof/>
        </w:rPr>
        <w:t xml:space="preserve"> and only partial data is collected regarding accidents involving only</w:t>
      </w:r>
      <w:r w:rsidRPr="0058257B">
        <w:rPr>
          <w:noProof/>
        </w:rPr>
        <w:t xml:space="preserve"> property damage</w:t>
      </w:r>
      <w:r w:rsidRPr="0058257B">
        <w:rPr>
          <w:rFonts w:hint="cs"/>
          <w:noProof/>
        </w:rPr>
        <w:t xml:space="preserve">. Moreover, it has been found that no </w:t>
      </w:r>
      <w:r w:rsidRPr="0058257B">
        <w:rPr>
          <w:noProof/>
        </w:rPr>
        <w:t>body</w:t>
      </w:r>
      <w:r w:rsidRPr="0058257B">
        <w:rPr>
          <w:rFonts w:hint="cs"/>
          <w:noProof/>
        </w:rPr>
        <w:t xml:space="preserve"> monitors the condition of injured persons over time after their discharge from the hospital and when their rehabilitation process ends. Therefore, research conducted in Israel </w:t>
      </w:r>
      <w:r w:rsidRPr="0058257B">
        <w:rPr>
          <w:noProof/>
        </w:rPr>
        <w:t>on</w:t>
      </w:r>
      <w:r w:rsidRPr="0058257B">
        <w:rPr>
          <w:rFonts w:hint="cs"/>
          <w:noProof/>
        </w:rPr>
        <w:t xml:space="preserve"> road safety is based on incomplete data.</w:t>
      </w:r>
    </w:p>
    <w:p w:rsidR="00D12832" w:rsidRPr="00D12832" w:rsidP="00C65F4C" w14:paraId="0C1A70B1" w14:textId="1097F216">
      <w:pPr>
        <w:pStyle w:val="7191"/>
        <w:bidi w:val="0"/>
        <w:spacing w:before="240"/>
        <w:ind w:left="397"/>
      </w:pPr>
      <w:r w:rsidRPr="008B12AD">
        <w:rPr>
          <w:rFonts w:hint="cs"/>
          <w:b/>
          <w:bCs/>
          <w:noProof/>
          <w:rtl/>
        </w:rPr>
        <w:drawing>
          <wp:anchor distT="0" distB="0" distL="0" distR="0" simplePos="0" relativeHeight="251693056"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76205747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57477"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B12AD" w:rsidR="0058257B">
        <w:rPr>
          <w:rFonts w:hint="cs"/>
          <w:b/>
          <w:bCs/>
          <w:noProof/>
        </w:rPr>
        <w:t>Regulati</w:t>
      </w:r>
      <w:r w:rsidRPr="008B12AD" w:rsidR="0058257B">
        <w:rPr>
          <w:b/>
          <w:bCs/>
          <w:noProof/>
        </w:rPr>
        <w:t>ng</w:t>
      </w:r>
      <w:r w:rsidRPr="008B12AD" w:rsidR="0058257B">
        <w:rPr>
          <w:rFonts w:hint="cs"/>
          <w:b/>
          <w:bCs/>
          <w:noProof/>
        </w:rPr>
        <w:t xml:space="preserve"> the </w:t>
      </w:r>
      <w:r w:rsidRPr="008B12AD" w:rsidR="0058257B">
        <w:rPr>
          <w:b/>
          <w:bCs/>
          <w:noProof/>
        </w:rPr>
        <w:t>O</w:t>
      </w:r>
      <w:r w:rsidRPr="008B12AD" w:rsidR="0058257B">
        <w:rPr>
          <w:rFonts w:hint="cs"/>
          <w:b/>
          <w:bCs/>
          <w:noProof/>
        </w:rPr>
        <w:t xml:space="preserve">bligation to </w:t>
      </w:r>
      <w:r w:rsidRPr="008B12AD" w:rsidR="0058257B">
        <w:rPr>
          <w:b/>
          <w:bCs/>
          <w:noProof/>
        </w:rPr>
        <w:t>P</w:t>
      </w:r>
      <w:r w:rsidRPr="008B12AD" w:rsidR="0058257B">
        <w:rPr>
          <w:rFonts w:hint="cs"/>
          <w:b/>
          <w:bCs/>
          <w:noProof/>
        </w:rPr>
        <w:t xml:space="preserve">rovide </w:t>
      </w:r>
      <w:r w:rsidRPr="008B12AD" w:rsidR="0058257B">
        <w:rPr>
          <w:b/>
          <w:bCs/>
          <w:noProof/>
        </w:rPr>
        <w:t>I</w:t>
      </w:r>
      <w:r w:rsidRPr="008B12AD" w:rsidR="0058257B">
        <w:rPr>
          <w:rFonts w:hint="cs"/>
          <w:b/>
          <w:bCs/>
          <w:noProof/>
        </w:rPr>
        <w:t>nformation to the RSA</w:t>
      </w:r>
      <w:r w:rsidRPr="008B12AD" w:rsidR="0058257B">
        <w:rPr>
          <w:b/>
          <w:bCs/>
          <w:noProof/>
        </w:rPr>
        <w:t xml:space="preserve"> –</w:t>
      </w:r>
      <w:r w:rsidRPr="00B20EF8" w:rsidR="0058257B">
        <w:rPr>
          <w:rFonts w:hint="cs"/>
          <w:bCs/>
          <w:noProof/>
        </w:rPr>
        <w:t xml:space="preserve"> </w:t>
      </w:r>
      <w:r w:rsidRPr="00B20EF8" w:rsidR="0058257B">
        <w:rPr>
          <w:bCs/>
          <w:noProof/>
        </w:rPr>
        <w:t>the M</w:t>
      </w:r>
      <w:r w:rsidRPr="00B20EF8" w:rsidR="0058257B">
        <w:rPr>
          <w:rFonts w:hint="cs"/>
          <w:bCs/>
          <w:noProof/>
        </w:rPr>
        <w:t>inisters</w:t>
      </w:r>
      <w:r w:rsidRPr="00B20EF8" w:rsidR="0058257B">
        <w:rPr>
          <w:bCs/>
          <w:noProof/>
        </w:rPr>
        <w:t xml:space="preserve"> of</w:t>
      </w:r>
      <w:r w:rsidRPr="00B20EF8" w:rsidR="0058257B">
        <w:rPr>
          <w:rFonts w:hint="cs"/>
          <w:bCs/>
          <w:noProof/>
        </w:rPr>
        <w:t xml:space="preserve"> </w:t>
      </w:r>
      <w:r w:rsidRPr="00B20EF8" w:rsidR="0058257B">
        <w:rPr>
          <w:bCs/>
          <w:noProof/>
        </w:rPr>
        <w:t>T</w:t>
      </w:r>
      <w:r w:rsidRPr="00B20EF8" w:rsidR="0058257B">
        <w:rPr>
          <w:rFonts w:hint="cs"/>
          <w:bCs/>
          <w:noProof/>
        </w:rPr>
        <w:t>ransport</w:t>
      </w:r>
      <w:r w:rsidRPr="00B20EF8" w:rsidR="0058257B">
        <w:rPr>
          <w:bCs/>
          <w:noProof/>
        </w:rPr>
        <w:t>ation</w:t>
      </w:r>
      <w:r w:rsidRPr="00B20EF8" w:rsidR="0058257B">
        <w:rPr>
          <w:rFonts w:hint="cs"/>
          <w:bCs/>
          <w:noProof/>
        </w:rPr>
        <w:t xml:space="preserve"> have not enacted the regulations stipulated in the RSA Law, intended to require </w:t>
      </w:r>
      <w:r w:rsidRPr="00B20EF8" w:rsidR="0058257B">
        <w:rPr>
          <w:bCs/>
          <w:noProof/>
        </w:rPr>
        <w:t>bodies</w:t>
      </w:r>
      <w:r w:rsidRPr="00B20EF8" w:rsidR="0058257B">
        <w:rPr>
          <w:rFonts w:hint="cs"/>
          <w:bCs/>
          <w:noProof/>
        </w:rPr>
        <w:t xml:space="preserve"> like MDA to transfer information to the </w:t>
      </w:r>
      <w:r w:rsidRPr="00B20EF8" w:rsidR="0058257B">
        <w:rPr>
          <w:bCs/>
          <w:noProof/>
        </w:rPr>
        <w:t>RSA</w:t>
      </w:r>
      <w:r w:rsidRPr="00B20EF8" w:rsidR="0058257B">
        <w:rPr>
          <w:rFonts w:hint="cs"/>
          <w:bCs/>
          <w:noProof/>
        </w:rPr>
        <w:t xml:space="preserve">. Enacting these regulations </w:t>
      </w:r>
      <w:r w:rsidRPr="00B20EF8" w:rsidR="0058257B">
        <w:rPr>
          <w:rFonts w:hint="cs"/>
          <w:bCs/>
          <w:noProof/>
        </w:rPr>
        <w:t>could improve the RSA's ability to receive data that would contribute to a better understanding the causes of accidents</w:t>
      </w:r>
      <w:r w:rsidRPr="00D12832">
        <w:t>.</w:t>
      </w:r>
    </w:p>
    <w:p w:rsidR="00D12832" w:rsidRPr="00D12832" w:rsidP="00C65F4C" w14:paraId="069B7160" w14:textId="4A7E5397">
      <w:pPr>
        <w:pStyle w:val="7191"/>
        <w:bidi w:val="0"/>
        <w:spacing w:before="240"/>
        <w:ind w:left="397"/>
      </w:pPr>
      <w:r w:rsidRPr="008B12AD">
        <w:rPr>
          <w:rFonts w:hint="cs"/>
          <w:b/>
          <w:bCs/>
          <w:noProof/>
          <w:rtl/>
        </w:rPr>
        <w:drawing>
          <wp:anchor distT="0" distB="0" distL="0" distR="0" simplePos="0" relativeHeight="251694080"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48214290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42900"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B12AD" w:rsidR="0058257B">
        <w:rPr>
          <w:rFonts w:hint="cs"/>
          <w:b/>
          <w:bCs/>
          <w:noProof/>
        </w:rPr>
        <w:t xml:space="preserve">Truck </w:t>
      </w:r>
      <w:r w:rsidRPr="008B12AD" w:rsidR="0058257B">
        <w:rPr>
          <w:b/>
          <w:bCs/>
          <w:noProof/>
        </w:rPr>
        <w:t>S</w:t>
      </w:r>
      <w:r w:rsidRPr="008B12AD" w:rsidR="0058257B">
        <w:rPr>
          <w:rFonts w:hint="cs"/>
          <w:b/>
          <w:bCs/>
          <w:noProof/>
        </w:rPr>
        <w:t>urvey</w:t>
      </w:r>
      <w:r w:rsidRPr="008B12AD" w:rsidR="0058257B">
        <w:rPr>
          <w:b/>
          <w:bCs/>
          <w:noProof/>
        </w:rPr>
        <w:t xml:space="preserve"> –</w:t>
      </w:r>
      <w:r w:rsidRPr="008B12AD" w:rsidR="0058257B">
        <w:rPr>
          <w:rFonts w:hint="cs"/>
          <w:b/>
          <w:bCs/>
          <w:noProof/>
        </w:rPr>
        <w:t xml:space="preserve"> </w:t>
      </w:r>
      <w:bookmarkStart w:id="9" w:name="_Hlk146190445"/>
      <w:r w:rsidRPr="008B12AD" w:rsidR="0058257B">
        <w:rPr>
          <w:rFonts w:hint="cs"/>
          <w:noProof/>
        </w:rPr>
        <w:t>i</w:t>
      </w:r>
      <w:r w:rsidRPr="00B20EF8" w:rsidR="0058257B">
        <w:rPr>
          <w:rFonts w:hint="cs"/>
          <w:bCs/>
          <w:noProof/>
        </w:rPr>
        <w:t>n 2013</w:t>
      </w:r>
      <w:r w:rsidRPr="00B20EF8" w:rsidR="0058257B">
        <w:rPr>
          <w:noProof/>
        </w:rPr>
        <w:t>–</w:t>
      </w:r>
      <w:r w:rsidRPr="00B20EF8" w:rsidR="0058257B">
        <w:rPr>
          <w:rFonts w:hint="cs"/>
          <w:bCs/>
          <w:noProof/>
        </w:rPr>
        <w:t xml:space="preserve">2019, an average of 58 people were killed each year in accidents involving trucks, with 158 seriously injured. </w:t>
      </w:r>
      <w:bookmarkEnd w:id="9"/>
      <w:r w:rsidRPr="00B20EF8" w:rsidR="0058257B">
        <w:rPr>
          <w:rFonts w:hint="cs"/>
          <w:bCs/>
          <w:noProof/>
        </w:rPr>
        <w:t xml:space="preserve">Since 1990, no comprehensive national truck survey has been conducted in Israel by the Central Bureau of Statistics (CBS) and the </w:t>
      </w:r>
      <w:r w:rsidRPr="00B20EF8" w:rsidR="0058257B">
        <w:rPr>
          <w:bCs/>
          <w:noProof/>
        </w:rPr>
        <w:t>MOT</w:t>
      </w:r>
      <w:r w:rsidRPr="00B20EF8" w:rsidR="0058257B">
        <w:rPr>
          <w:rFonts w:hint="cs"/>
          <w:bCs/>
          <w:noProof/>
        </w:rPr>
        <w:t xml:space="preserve">. Such a survey </w:t>
      </w:r>
      <w:r w:rsidRPr="00B20EF8" w:rsidR="0058257B">
        <w:rPr>
          <w:bCs/>
          <w:noProof/>
        </w:rPr>
        <w:t>can</w:t>
      </w:r>
      <w:r w:rsidRPr="00B20EF8" w:rsidR="0058257B">
        <w:rPr>
          <w:rFonts w:hint="cs"/>
          <w:bCs/>
          <w:noProof/>
        </w:rPr>
        <w:t xml:space="preserve"> help plan the road system accordingly and suggest ways to utilize trucks</w:t>
      </w:r>
      <w:r w:rsidRPr="00B20EF8" w:rsidR="0058257B">
        <w:rPr>
          <w:bCs/>
          <w:noProof/>
        </w:rPr>
        <w:t>,</w:t>
      </w:r>
      <w:r w:rsidRPr="00B20EF8" w:rsidR="0058257B">
        <w:rPr>
          <w:rFonts w:hint="cs"/>
          <w:bCs/>
          <w:noProof/>
        </w:rPr>
        <w:t xml:space="preserve"> and driver inputs more efficiently to reduce truck mileage and driving hours, thereby </w:t>
      </w:r>
      <w:r w:rsidRPr="00B20EF8" w:rsidR="0058257B">
        <w:rPr>
          <w:bCs/>
          <w:noProof/>
        </w:rPr>
        <w:t>reducing</w:t>
      </w:r>
      <w:r w:rsidRPr="00B20EF8" w:rsidR="0058257B">
        <w:rPr>
          <w:rFonts w:hint="cs"/>
          <w:bCs/>
          <w:noProof/>
        </w:rPr>
        <w:t xml:space="preserve"> road accidents</w:t>
      </w:r>
      <w:r w:rsidRPr="00D12832">
        <w:t>.</w:t>
      </w:r>
    </w:p>
    <w:p w:rsidR="00D12832" w:rsidRPr="00D12832" w:rsidP="00C65F4C" w14:paraId="115A7031" w14:textId="6CC9B024">
      <w:pPr>
        <w:pStyle w:val="7191"/>
        <w:bidi w:val="0"/>
        <w:spacing w:before="240"/>
        <w:ind w:left="397"/>
      </w:pPr>
      <w:r w:rsidRPr="008B12AD">
        <w:rPr>
          <w:rFonts w:hint="cs"/>
          <w:b/>
          <w:bCs/>
          <w:noProof/>
          <w:rtl/>
        </w:rPr>
        <w:drawing>
          <wp:anchor distT="0" distB="0" distL="0" distR="0" simplePos="0" relativeHeight="251695104"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46430346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03464"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bookmarkStart w:id="10" w:name="_Hlk176434722"/>
      <w:r w:rsidRPr="008B12AD" w:rsidR="0058257B">
        <w:rPr>
          <w:rFonts w:hint="cs"/>
          <w:b/>
          <w:bCs/>
          <w:noProof/>
        </w:rPr>
        <w:t xml:space="preserve">Travel </w:t>
      </w:r>
      <w:r w:rsidRPr="008B12AD" w:rsidR="0058257B">
        <w:rPr>
          <w:b/>
          <w:bCs/>
          <w:noProof/>
        </w:rPr>
        <w:t>H</w:t>
      </w:r>
      <w:r w:rsidRPr="008B12AD" w:rsidR="0058257B">
        <w:rPr>
          <w:rFonts w:hint="cs"/>
          <w:b/>
          <w:bCs/>
          <w:noProof/>
        </w:rPr>
        <w:t xml:space="preserve">abits </w:t>
      </w:r>
      <w:r w:rsidRPr="008B12AD" w:rsidR="0058257B">
        <w:rPr>
          <w:b/>
          <w:bCs/>
          <w:noProof/>
        </w:rPr>
        <w:t>S</w:t>
      </w:r>
      <w:r w:rsidRPr="008B12AD" w:rsidR="0058257B">
        <w:rPr>
          <w:rFonts w:hint="cs"/>
          <w:b/>
          <w:bCs/>
          <w:noProof/>
        </w:rPr>
        <w:t>urvey</w:t>
      </w:r>
      <w:r w:rsidRPr="008B12AD" w:rsidR="0058257B">
        <w:rPr>
          <w:b/>
          <w:bCs/>
          <w:noProof/>
        </w:rPr>
        <w:t xml:space="preserve"> </w:t>
      </w:r>
      <w:bookmarkEnd w:id="10"/>
      <w:r w:rsidRPr="008B12AD" w:rsidR="0058257B">
        <w:rPr>
          <w:b/>
          <w:bCs/>
          <w:noProof/>
        </w:rPr>
        <w:t>–</w:t>
      </w:r>
      <w:r w:rsidRPr="00B20EF8" w:rsidR="0058257B">
        <w:rPr>
          <w:rFonts w:hint="cs"/>
          <w:bCs/>
          <w:noProof/>
        </w:rPr>
        <w:t xml:space="preserve"> since 1996, </w:t>
      </w:r>
      <w:r w:rsidRPr="00B20EF8" w:rsidR="0058257B">
        <w:rPr>
          <w:bCs/>
          <w:noProof/>
        </w:rPr>
        <w:t>the MOT has not conducted a national travel habits survey in Israel</w:t>
      </w:r>
      <w:r w:rsidRPr="00B20EF8" w:rsidR="0058257B">
        <w:rPr>
          <w:rFonts w:hint="cs"/>
          <w:bCs/>
          <w:noProof/>
        </w:rPr>
        <w:t xml:space="preserve">. Such a survey is needed, among other things, to measure the number of accidents relative to the use of each mode of transportation and to assist in enforcing traffic laws. This is contrary to the norm in European countries where such a survey is carried out </w:t>
      </w:r>
      <w:r w:rsidRPr="00B20EF8" w:rsidR="0058257B">
        <w:rPr>
          <w:bCs/>
          <w:noProof/>
        </w:rPr>
        <w:t>yearly</w:t>
      </w:r>
      <w:r w:rsidRPr="00B20EF8" w:rsidR="0058257B">
        <w:rPr>
          <w:rFonts w:hint="cs"/>
          <w:bCs/>
          <w:noProof/>
        </w:rPr>
        <w:t xml:space="preserve"> or every few years</w:t>
      </w:r>
      <w:r w:rsidRPr="00D12832">
        <w:t>.</w:t>
      </w:r>
    </w:p>
    <w:p w:rsidR="008B12AD" w:rsidP="00744F76" w14:paraId="13335FCD" w14:textId="7DC0151D">
      <w:pPr>
        <w:pStyle w:val="7191"/>
        <w:bidi w:val="0"/>
        <w:spacing w:before="240" w:after="480"/>
        <w:ind w:left="397"/>
        <w:rPr>
          <w:rtl/>
        </w:rPr>
      </w:pPr>
      <w:r w:rsidRPr="008B12AD">
        <w:rPr>
          <w:rFonts w:hint="cs"/>
          <w:b/>
          <w:bCs/>
          <w:noProof/>
          <w:rtl/>
        </w:rPr>
        <w:drawing>
          <wp:anchor distT="0" distB="0" distL="0" distR="0" simplePos="0" relativeHeight="251696128"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1435374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3742"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B12AD" w:rsidR="0058257B">
        <w:rPr>
          <w:rFonts w:hint="cs"/>
          <w:b/>
          <w:bCs/>
          <w:noProof/>
        </w:rPr>
        <w:t xml:space="preserve">In-depth </w:t>
      </w:r>
      <w:r w:rsidRPr="008B12AD" w:rsidR="0058257B">
        <w:rPr>
          <w:b/>
          <w:bCs/>
          <w:noProof/>
        </w:rPr>
        <w:t>A</w:t>
      </w:r>
      <w:r w:rsidRPr="008B12AD" w:rsidR="0058257B">
        <w:rPr>
          <w:rFonts w:hint="cs"/>
          <w:b/>
          <w:bCs/>
          <w:noProof/>
        </w:rPr>
        <w:t xml:space="preserve">ccident </w:t>
      </w:r>
      <w:r w:rsidRPr="008B12AD" w:rsidR="0058257B">
        <w:rPr>
          <w:b/>
          <w:bCs/>
          <w:noProof/>
        </w:rPr>
        <w:t>I</w:t>
      </w:r>
      <w:r w:rsidRPr="008B12AD" w:rsidR="0058257B">
        <w:rPr>
          <w:rFonts w:hint="cs"/>
          <w:b/>
          <w:bCs/>
          <w:noProof/>
        </w:rPr>
        <w:t>nvestigations</w:t>
      </w:r>
      <w:r w:rsidRPr="008B12AD" w:rsidR="0058257B">
        <w:rPr>
          <w:b/>
          <w:bCs/>
          <w:noProof/>
        </w:rPr>
        <w:t xml:space="preserve"> –</w:t>
      </w:r>
      <w:r w:rsidRPr="00B20EF8" w:rsidR="0058257B">
        <w:rPr>
          <w:rFonts w:hint="cs"/>
          <w:bCs/>
          <w:noProof/>
        </w:rPr>
        <w:t xml:space="preserve"> </w:t>
      </w:r>
      <w:r w:rsidRPr="00B20EF8" w:rsidR="0058257B">
        <w:rPr>
          <w:bCs/>
          <w:noProof/>
        </w:rPr>
        <w:t>the Ministers</w:t>
      </w:r>
      <w:r w:rsidRPr="00B20EF8" w:rsidR="0058257B">
        <w:rPr>
          <w:rFonts w:hint="cs"/>
          <w:bCs/>
          <w:noProof/>
        </w:rPr>
        <w:t xml:space="preserve"> </w:t>
      </w:r>
      <w:r w:rsidRPr="00B20EF8" w:rsidR="0058257B">
        <w:rPr>
          <w:bCs/>
          <w:noProof/>
        </w:rPr>
        <w:t xml:space="preserve">of Transportation </w:t>
      </w:r>
      <w:r w:rsidRPr="00B20EF8" w:rsidR="0058257B">
        <w:rPr>
          <w:rFonts w:hint="cs"/>
          <w:bCs/>
          <w:noProof/>
        </w:rPr>
        <w:t>have not exercised their authority to establish inquiry and investigation committees for road accidents and have not regulat</w:t>
      </w:r>
      <w:r w:rsidRPr="00B20EF8" w:rsidR="0058257B">
        <w:rPr>
          <w:bCs/>
          <w:noProof/>
        </w:rPr>
        <w:t>ed them</w:t>
      </w:r>
      <w:r w:rsidRPr="00B20EF8" w:rsidR="0058257B">
        <w:rPr>
          <w:rFonts w:hint="cs"/>
          <w:bCs/>
          <w:noProof/>
        </w:rPr>
        <w:t xml:space="preserve">. </w:t>
      </w:r>
      <w:r w:rsidRPr="00B20EF8" w:rsidR="0058257B">
        <w:rPr>
          <w:bCs/>
          <w:noProof/>
        </w:rPr>
        <w:t>O</w:t>
      </w:r>
      <w:r w:rsidRPr="00B20EF8" w:rsidR="0058257B">
        <w:rPr>
          <w:rFonts w:hint="cs"/>
          <w:bCs/>
          <w:noProof/>
        </w:rPr>
        <w:t>ver the years</w:t>
      </w:r>
      <w:r w:rsidRPr="00B20EF8" w:rsidR="0058257B">
        <w:rPr>
          <w:bCs/>
          <w:noProof/>
        </w:rPr>
        <w:t xml:space="preserve"> t</w:t>
      </w:r>
      <w:r w:rsidRPr="00B20EF8" w:rsidR="0058257B">
        <w:rPr>
          <w:rFonts w:hint="cs"/>
          <w:bCs/>
          <w:noProof/>
        </w:rPr>
        <w:t xml:space="preserve">he RSA has established committees to investigate road accidents, but these committees lack the authority to collect testimonies and conduct interviews with those involved in accidents. In addition, </w:t>
      </w:r>
      <w:r w:rsidRPr="00B20EF8" w:rsidR="0058257B">
        <w:rPr>
          <w:bCs/>
          <w:noProof/>
        </w:rPr>
        <w:t>confidentiality was not applied</w:t>
      </w:r>
      <w:r w:rsidRPr="00B20EF8" w:rsidR="0058257B">
        <w:rPr>
          <w:rFonts w:hint="cs"/>
          <w:bCs/>
          <w:noProof/>
        </w:rPr>
        <w:t xml:space="preserve"> </w:t>
      </w:r>
      <w:r w:rsidRPr="00B20EF8" w:rsidR="0058257B">
        <w:rPr>
          <w:bCs/>
          <w:noProof/>
        </w:rPr>
        <w:t xml:space="preserve">to </w:t>
      </w:r>
      <w:r w:rsidRPr="00B20EF8" w:rsidR="0058257B">
        <w:rPr>
          <w:rFonts w:hint="cs"/>
          <w:bCs/>
          <w:noProof/>
        </w:rPr>
        <w:t>the investigation materials, summaries, and recommendations of the committees. From 2010 until the end of the audit, only 12 in-depth investigations were published. In some years, none were published at all. These figures indicate that the number of in-depth investigations conducted is significantly lower than th</w:t>
      </w:r>
      <w:r w:rsidRPr="00B20EF8" w:rsidR="0058257B">
        <w:rPr>
          <w:bCs/>
          <w:noProof/>
        </w:rPr>
        <w:t>ose</w:t>
      </w:r>
      <w:r w:rsidRPr="00B20EF8" w:rsidR="0058257B">
        <w:rPr>
          <w:rFonts w:hint="cs"/>
          <w:bCs/>
          <w:noProof/>
        </w:rPr>
        <w:t xml:space="preserve"> specified in the 2005 </w:t>
      </w:r>
      <w:r w:rsidRPr="00B20EF8" w:rsidR="0058257B">
        <w:rPr>
          <w:bCs/>
          <w:noProof/>
        </w:rPr>
        <w:t>N</w:t>
      </w:r>
      <w:r w:rsidRPr="00B20EF8" w:rsidR="0058257B">
        <w:rPr>
          <w:rFonts w:hint="cs"/>
          <w:bCs/>
          <w:noProof/>
        </w:rPr>
        <w:t xml:space="preserve">ational </w:t>
      </w:r>
      <w:r w:rsidRPr="00B20EF8" w:rsidR="0058257B">
        <w:rPr>
          <w:bCs/>
          <w:noProof/>
        </w:rPr>
        <w:t>Program</w:t>
      </w:r>
      <w:r w:rsidRPr="00B20EF8" w:rsidR="0058257B">
        <w:rPr>
          <w:rFonts w:hint="cs"/>
          <w:bCs/>
          <w:noProof/>
        </w:rPr>
        <w:t xml:space="preserve">, which called for ten </w:t>
      </w:r>
      <w:r w:rsidRPr="00B20EF8" w:rsidR="0058257B">
        <w:rPr>
          <w:bCs/>
          <w:noProof/>
        </w:rPr>
        <w:t>yearly investigations</w:t>
      </w:r>
      <w:r w:rsidRPr="00D12832">
        <w:t>.</w:t>
      </w:r>
    </w:p>
    <w:p w:rsidR="007E0204" w:rsidP="007E0204" w14:paraId="45D89D2D" w14:textId="50C37D57">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7E0204" w:rsidRPr="00902625" w:rsidP="007E0204" w14:paraId="221294C0" w14:textId="2073DB49">
      <w:pPr>
        <w:bidi w:val="0"/>
        <w:spacing w:before="120" w:after="240" w:line="240" w:lineRule="atLeast"/>
        <w:rPr>
          <w:rFonts w:ascii="Tahoma" w:hAnsi="Tahoma" w:cs="Tahoma"/>
          <w:b/>
          <w:bCs/>
          <w:color w:val="00305F"/>
          <w:sz w:val="32"/>
          <w:szCs w:val="32"/>
          <w:rtl/>
        </w:rPr>
      </w:pPr>
      <w:r w:rsidRPr="00AE5F94">
        <w:rPr>
          <w:rFonts w:ascii="Tahoma" w:hAnsi="Tahoma" w:cs="Tahoma"/>
          <w:b/>
          <w:bCs/>
          <w:color w:val="00305F"/>
          <w:sz w:val="32"/>
          <w:szCs w:val="32"/>
        </w:rPr>
        <w:t xml:space="preserve">Key </w:t>
      </w:r>
      <w:r w:rsidR="004806D7">
        <w:rPr>
          <w:rFonts w:ascii="Tahoma" w:hAnsi="Tahoma" w:cs="Tahoma"/>
          <w:b/>
          <w:bCs/>
          <w:color w:val="00305F"/>
          <w:sz w:val="32"/>
          <w:szCs w:val="32"/>
        </w:rPr>
        <w:t>R</w:t>
      </w:r>
      <w:r w:rsidRPr="00AE5F94">
        <w:rPr>
          <w:rFonts w:ascii="Tahoma" w:hAnsi="Tahoma" w:cs="Tahoma"/>
          <w:b/>
          <w:bCs/>
          <w:color w:val="00305F"/>
          <w:sz w:val="32"/>
          <w:szCs w:val="32"/>
        </w:rPr>
        <w:t>ecommendations</w:t>
      </w:r>
    </w:p>
    <w:p w:rsidR="007E0204" w:rsidRPr="0058257B" w:rsidP="00682C3F" w14:paraId="33D561A5" w14:textId="1437D0B0">
      <w:pPr>
        <w:pStyle w:val="ListParagraph"/>
        <w:numPr>
          <w:ilvl w:val="0"/>
          <w:numId w:val="0"/>
        </w:numPr>
        <w:bidi w:val="0"/>
        <w:spacing w:after="180" w:line="260" w:lineRule="exact"/>
        <w:ind w:left="397"/>
        <w:rPr>
          <w:spacing w:val="-4"/>
          <w:sz w:val="18"/>
          <w:szCs w:val="18"/>
        </w:rPr>
      </w:pPr>
      <w:r w:rsidRPr="0058257B">
        <w:rPr>
          <w:noProof/>
          <w:spacing w:val="-4"/>
          <w:sz w:val="18"/>
          <w:szCs w:val="18"/>
        </w:rPr>
        <w:drawing>
          <wp:anchor distT="0" distB="3600450" distL="114300" distR="114300" simplePos="0" relativeHeight="251683840"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9" name="תמונה 33"/>
            <wp:cNvGraphicFramePr/>
            <a:graphic xmlns:a="http://schemas.openxmlformats.org/drawingml/2006/main">
              <a:graphicData uri="http://schemas.openxmlformats.org/drawingml/2006/picture">
                <pic:pic xmlns:pic="http://schemas.openxmlformats.org/drawingml/2006/picture">
                  <pic:nvPicPr>
                    <pic:cNvPr id="49"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257B" w:rsidR="0058257B">
        <w:rPr>
          <w:rFonts w:hint="cs"/>
          <w:noProof/>
          <w:spacing w:val="-4"/>
          <w:sz w:val="18"/>
          <w:szCs w:val="18"/>
        </w:rPr>
        <w:t xml:space="preserve">It is recommended that all </w:t>
      </w:r>
      <w:r w:rsidRPr="0058257B" w:rsidR="0058257B">
        <w:rPr>
          <w:noProof/>
          <w:spacing w:val="-4"/>
          <w:sz w:val="18"/>
          <w:szCs w:val="18"/>
        </w:rPr>
        <w:t>bodies</w:t>
      </w:r>
      <w:r w:rsidRPr="0058257B" w:rsidR="0058257B">
        <w:rPr>
          <w:rFonts w:hint="cs"/>
          <w:noProof/>
          <w:spacing w:val="-4"/>
          <w:sz w:val="18"/>
          <w:szCs w:val="18"/>
        </w:rPr>
        <w:t xml:space="preserve"> involved in the fight against road accidents, including the Minister</w:t>
      </w:r>
      <w:r w:rsidRPr="0058257B" w:rsidR="0058257B">
        <w:rPr>
          <w:noProof/>
          <w:spacing w:val="-4"/>
          <w:sz w:val="18"/>
          <w:szCs w:val="18"/>
        </w:rPr>
        <w:t xml:space="preserve"> of Transportation</w:t>
      </w:r>
      <w:r w:rsidRPr="0058257B" w:rsidR="0058257B">
        <w:rPr>
          <w:rFonts w:hint="cs"/>
          <w:noProof/>
          <w:spacing w:val="-4"/>
          <w:sz w:val="18"/>
          <w:szCs w:val="18"/>
        </w:rPr>
        <w:t xml:space="preserve"> </w:t>
      </w:r>
      <w:r w:rsidRPr="0058257B" w:rsidR="0058257B">
        <w:rPr>
          <w:noProof/>
          <w:spacing w:val="-4"/>
          <w:sz w:val="18"/>
          <w:szCs w:val="18"/>
        </w:rPr>
        <w:t>and MOT</w:t>
      </w:r>
      <w:r w:rsidRPr="0058257B" w:rsidR="0058257B">
        <w:rPr>
          <w:rFonts w:hint="cs"/>
          <w:noProof/>
          <w:spacing w:val="-4"/>
          <w:sz w:val="18"/>
          <w:szCs w:val="18"/>
        </w:rPr>
        <w:t xml:space="preserve">, the RSA, Netivei Israel, and the Israel Police, examine the reasons for </w:t>
      </w:r>
      <w:r w:rsidRPr="0058257B" w:rsidR="0058257B">
        <w:rPr>
          <w:noProof/>
          <w:spacing w:val="-4"/>
          <w:sz w:val="18"/>
          <w:szCs w:val="18"/>
        </w:rPr>
        <w:t>the failure</w:t>
      </w:r>
      <w:r w:rsidRPr="0058257B" w:rsidR="0058257B">
        <w:rPr>
          <w:rFonts w:hint="cs"/>
          <w:noProof/>
          <w:spacing w:val="-4"/>
          <w:sz w:val="18"/>
          <w:szCs w:val="18"/>
        </w:rPr>
        <w:t xml:space="preserve"> </w:t>
      </w:r>
      <w:r w:rsidRPr="0058257B" w:rsidR="0058257B">
        <w:rPr>
          <w:noProof/>
          <w:spacing w:val="-4"/>
          <w:sz w:val="18"/>
          <w:szCs w:val="18"/>
        </w:rPr>
        <w:t>to</w:t>
      </w:r>
      <w:r w:rsidRPr="0058257B" w:rsidR="0058257B">
        <w:rPr>
          <w:rFonts w:hint="cs"/>
          <w:noProof/>
          <w:spacing w:val="-4"/>
          <w:sz w:val="18"/>
          <w:szCs w:val="18"/>
        </w:rPr>
        <w:t xml:space="preserve"> reduc</w:t>
      </w:r>
      <w:r w:rsidRPr="0058257B" w:rsidR="0058257B">
        <w:rPr>
          <w:noProof/>
          <w:spacing w:val="-4"/>
          <w:sz w:val="18"/>
          <w:szCs w:val="18"/>
        </w:rPr>
        <w:t>e</w:t>
      </w:r>
      <w:r w:rsidRPr="0058257B" w:rsidR="0058257B">
        <w:rPr>
          <w:rFonts w:hint="cs"/>
          <w:noProof/>
          <w:spacing w:val="-4"/>
          <w:sz w:val="18"/>
          <w:szCs w:val="18"/>
        </w:rPr>
        <w:t xml:space="preserve"> the number of fatalities and injuries in road accidents over the past decade. The focus should be on understanding the causes of accidents, exploring ways to reduce them, identifying areas with high casualty rates, analyzing the most vulnerable age groups, and considering </w:t>
      </w:r>
      <w:r w:rsidRPr="0058257B" w:rsidR="0058257B">
        <w:rPr>
          <w:noProof/>
          <w:spacing w:val="-4"/>
          <w:sz w:val="18"/>
          <w:szCs w:val="18"/>
        </w:rPr>
        <w:t xml:space="preserve">the causes of accident in </w:t>
      </w:r>
      <w:r w:rsidRPr="0058257B" w:rsidR="0058257B">
        <w:rPr>
          <w:rFonts w:hint="cs"/>
          <w:noProof/>
          <w:spacing w:val="-4"/>
          <w:sz w:val="18"/>
          <w:szCs w:val="18"/>
        </w:rPr>
        <w:t xml:space="preserve">different </w:t>
      </w:r>
      <w:r w:rsidRPr="0058257B" w:rsidR="0058257B">
        <w:rPr>
          <w:noProof/>
          <w:spacing w:val="-4"/>
          <w:sz w:val="18"/>
          <w:szCs w:val="18"/>
        </w:rPr>
        <w:t>population sectors</w:t>
      </w:r>
      <w:r w:rsidRPr="0058257B">
        <w:rPr>
          <w:rFonts w:hint="cs"/>
          <w:spacing w:val="-4"/>
          <w:sz w:val="18"/>
          <w:szCs w:val="18"/>
        </w:rPr>
        <w:t xml:space="preserve">. </w:t>
      </w:r>
    </w:p>
    <w:p w:rsidR="007E0204" w:rsidP="00682C3F" w14:paraId="1C0FBD87" w14:textId="11D8E673">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84864"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7" name="תמונה 33"/>
            <wp:cNvGraphicFramePr/>
            <a:graphic xmlns:a="http://schemas.openxmlformats.org/drawingml/2006/main">
              <a:graphicData uri="http://schemas.openxmlformats.org/drawingml/2006/picture">
                <pic:pic xmlns:pic="http://schemas.openxmlformats.org/drawingml/2006/picture">
                  <pic:nvPicPr>
                    <pic:cNvPr id="47"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0EF8" w:rsidR="0058257B">
        <w:rPr>
          <w:rFonts w:hint="cs"/>
          <w:noProof/>
          <w:spacing w:val="-2"/>
          <w:sz w:val="18"/>
          <w:szCs w:val="18"/>
        </w:rPr>
        <w:t xml:space="preserve">It is recommended that all </w:t>
      </w:r>
      <w:r w:rsidRPr="00B20EF8" w:rsidR="0058257B">
        <w:rPr>
          <w:noProof/>
          <w:spacing w:val="-2"/>
          <w:sz w:val="18"/>
          <w:szCs w:val="18"/>
        </w:rPr>
        <w:t>bodies</w:t>
      </w:r>
      <w:r w:rsidRPr="00B20EF8" w:rsidR="0058257B">
        <w:rPr>
          <w:rFonts w:hint="cs"/>
          <w:noProof/>
          <w:spacing w:val="-2"/>
          <w:sz w:val="18"/>
          <w:szCs w:val="18"/>
        </w:rPr>
        <w:t xml:space="preserve"> involved in road safety, including the </w:t>
      </w:r>
      <w:r w:rsidRPr="00B20EF8" w:rsidR="0058257B">
        <w:rPr>
          <w:noProof/>
          <w:spacing w:val="-2"/>
          <w:sz w:val="18"/>
          <w:szCs w:val="18"/>
        </w:rPr>
        <w:t>MOT</w:t>
      </w:r>
      <w:r w:rsidRPr="00B20EF8" w:rsidR="0058257B">
        <w:rPr>
          <w:rFonts w:hint="cs"/>
          <w:noProof/>
          <w:spacing w:val="-2"/>
          <w:sz w:val="18"/>
          <w:szCs w:val="18"/>
        </w:rPr>
        <w:t xml:space="preserve">, the Ministry of Finance, the Ministry of Health, local authorities, the Israel Police, the Ministry of Justice, Netivei Israel, and the Central Bureau of Statistics, </w:t>
      </w:r>
      <w:r w:rsidRPr="00B20EF8" w:rsidR="0058257B">
        <w:rPr>
          <w:noProof/>
          <w:spacing w:val="-2"/>
          <w:sz w:val="18"/>
          <w:szCs w:val="18"/>
        </w:rPr>
        <w:t>consider</w:t>
      </w:r>
      <w:r w:rsidRPr="00B20EF8" w:rsidR="0058257B">
        <w:rPr>
          <w:rFonts w:hint="cs"/>
          <w:noProof/>
          <w:spacing w:val="-2"/>
          <w:sz w:val="18"/>
          <w:szCs w:val="18"/>
        </w:rPr>
        <w:t xml:space="preserve"> the high cost of road accidents to the economy, both financially </w:t>
      </w:r>
      <w:r w:rsidRPr="00B20EF8" w:rsidR="0058257B">
        <w:rPr>
          <w:noProof/>
          <w:spacing w:val="-2"/>
          <w:sz w:val="18"/>
          <w:szCs w:val="18"/>
        </w:rPr>
        <w:t>and socially (</w:t>
      </w:r>
      <w:r w:rsidRPr="00B20EF8" w:rsidR="0058257B">
        <w:rPr>
          <w:rFonts w:hint="cs"/>
          <w:noProof/>
          <w:spacing w:val="-2"/>
          <w:sz w:val="18"/>
          <w:szCs w:val="18"/>
        </w:rPr>
        <w:t>grief, suffering, and bereavement</w:t>
      </w:r>
      <w:r w:rsidRPr="00B20EF8" w:rsidR="0058257B">
        <w:rPr>
          <w:noProof/>
          <w:spacing w:val="-2"/>
          <w:sz w:val="18"/>
          <w:szCs w:val="18"/>
        </w:rPr>
        <w:t>),</w:t>
      </w:r>
      <w:r w:rsidRPr="00B20EF8" w:rsidR="0058257B">
        <w:rPr>
          <w:rFonts w:hint="cs"/>
          <w:noProof/>
          <w:spacing w:val="-2"/>
          <w:sz w:val="18"/>
          <w:szCs w:val="18"/>
        </w:rPr>
        <w:t xml:space="preserve"> when </w:t>
      </w:r>
      <w:r w:rsidRPr="00B20EF8" w:rsidR="0058257B">
        <w:rPr>
          <w:rFonts w:hint="cs"/>
          <w:noProof/>
          <w:spacing w:val="-2"/>
          <w:sz w:val="18"/>
          <w:szCs w:val="18"/>
        </w:rPr>
        <w:t xml:space="preserve">making decisions. The high costs </w:t>
      </w:r>
      <w:r w:rsidRPr="00B20EF8" w:rsidR="0058257B">
        <w:rPr>
          <w:noProof/>
          <w:spacing w:val="-2"/>
          <w:sz w:val="18"/>
          <w:szCs w:val="18"/>
        </w:rPr>
        <w:t xml:space="preserve">of traffic accidents </w:t>
      </w:r>
      <w:r w:rsidRPr="00B20EF8" w:rsidR="0058257B">
        <w:rPr>
          <w:rFonts w:hint="cs"/>
          <w:noProof/>
          <w:spacing w:val="-2"/>
          <w:sz w:val="18"/>
          <w:szCs w:val="18"/>
        </w:rPr>
        <w:t>indicate that it is better to invest resources in preventing accidents</w:t>
      </w:r>
      <w:r w:rsidRPr="00B20EF8" w:rsidR="0058257B">
        <w:rPr>
          <w:noProof/>
          <w:spacing w:val="-2"/>
          <w:sz w:val="18"/>
          <w:szCs w:val="18"/>
        </w:rPr>
        <w:t xml:space="preserve"> rather </w:t>
      </w:r>
      <w:r w:rsidRPr="00B20EF8" w:rsidR="0058257B">
        <w:rPr>
          <w:rFonts w:hint="cs"/>
          <w:noProof/>
          <w:spacing w:val="-2"/>
          <w:sz w:val="18"/>
          <w:szCs w:val="18"/>
        </w:rPr>
        <w:t xml:space="preserve">than to pay the high </w:t>
      </w:r>
      <w:r w:rsidRPr="00B20EF8" w:rsidR="0058257B">
        <w:rPr>
          <w:noProof/>
          <w:spacing w:val="-2"/>
          <w:sz w:val="18"/>
          <w:szCs w:val="18"/>
        </w:rPr>
        <w:t>costs incurred</w:t>
      </w:r>
      <w:r w:rsidRPr="00B20EF8" w:rsidR="0058257B">
        <w:rPr>
          <w:rFonts w:hint="cs"/>
          <w:noProof/>
          <w:spacing w:val="-2"/>
          <w:sz w:val="18"/>
          <w:szCs w:val="18"/>
        </w:rPr>
        <w:t xml:space="preserve"> (economic, social, and personal) </w:t>
      </w:r>
      <w:r w:rsidRPr="00B20EF8" w:rsidR="0058257B">
        <w:rPr>
          <w:noProof/>
          <w:spacing w:val="-2"/>
          <w:sz w:val="18"/>
          <w:szCs w:val="18"/>
        </w:rPr>
        <w:t>from accidents</w:t>
      </w:r>
      <w:r w:rsidRPr="00B20EF8" w:rsidR="0058257B">
        <w:rPr>
          <w:rFonts w:hint="cs"/>
          <w:noProof/>
          <w:spacing w:val="-2"/>
          <w:sz w:val="18"/>
          <w:szCs w:val="18"/>
        </w:rPr>
        <w:t>. Therefore</w:t>
      </w:r>
      <w:r w:rsidRPr="00B20EF8" w:rsidR="0058257B">
        <w:rPr>
          <w:noProof/>
          <w:spacing w:val="-2"/>
          <w:sz w:val="18"/>
          <w:szCs w:val="18"/>
        </w:rPr>
        <w:t xml:space="preserve"> it is recommended to assess whether the current budget allocations for combating road accidents meet the challenge and represent an effective use of the state's financial resources</w:t>
      </w:r>
      <w:r w:rsidRPr="00C50F58">
        <w:rPr>
          <w:rFonts w:hint="cs"/>
          <w:spacing w:val="-2"/>
          <w:sz w:val="18"/>
          <w:szCs w:val="18"/>
        </w:rPr>
        <w:t>.</w:t>
      </w:r>
    </w:p>
    <w:p w:rsidR="00D12832" w:rsidRPr="00C50F58" w:rsidP="00D12832" w14:paraId="275C7970" w14:textId="0BCFCDBD">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9715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917672958" name="תמונה 33"/>
            <wp:cNvGraphicFramePr/>
            <a:graphic xmlns:a="http://schemas.openxmlformats.org/drawingml/2006/main">
              <a:graphicData uri="http://schemas.openxmlformats.org/drawingml/2006/picture">
                <pic:pic xmlns:pic="http://schemas.openxmlformats.org/drawingml/2006/picture">
                  <pic:nvPicPr>
                    <pic:cNvPr id="1917672958"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0EF8" w:rsidR="0058257B">
        <w:rPr>
          <w:noProof/>
          <w:spacing w:val="-2"/>
          <w:sz w:val="18"/>
          <w:szCs w:val="18"/>
        </w:rPr>
        <w:t>It is recommended that the Israel Police fully staff the positions for traffic accident investigators</w:t>
      </w:r>
      <w:r w:rsidRPr="00C50F58">
        <w:rPr>
          <w:rFonts w:hint="cs"/>
          <w:spacing w:val="-2"/>
          <w:sz w:val="18"/>
          <w:szCs w:val="18"/>
        </w:rPr>
        <w:t xml:space="preserve">. </w:t>
      </w:r>
    </w:p>
    <w:p w:rsidR="00D12832" w:rsidRPr="00C50F58" w:rsidP="00D12832" w14:paraId="60A330EC" w14:textId="7AE84550">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98176"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719082896" name="תמונה 33"/>
            <wp:cNvGraphicFramePr/>
            <a:graphic xmlns:a="http://schemas.openxmlformats.org/drawingml/2006/main">
              <a:graphicData uri="http://schemas.openxmlformats.org/drawingml/2006/picture">
                <pic:pic xmlns:pic="http://schemas.openxmlformats.org/drawingml/2006/picture">
                  <pic:nvPicPr>
                    <pic:cNvPr id="719082896"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0EF8" w:rsidR="0058257B">
        <w:rPr>
          <w:rFonts w:hint="cs"/>
          <w:noProof/>
          <w:spacing w:val="-2"/>
          <w:sz w:val="18"/>
          <w:szCs w:val="18"/>
        </w:rPr>
        <w:t xml:space="preserve">It is recommended that the RSA and the CBS continue </w:t>
      </w:r>
      <w:r w:rsidRPr="00B20EF8" w:rsidR="0058257B">
        <w:rPr>
          <w:noProof/>
          <w:spacing w:val="-2"/>
          <w:sz w:val="18"/>
          <w:szCs w:val="18"/>
        </w:rPr>
        <w:t>coordinating</w:t>
      </w:r>
      <w:r w:rsidRPr="00B20EF8" w:rsidR="0058257B">
        <w:rPr>
          <w:rFonts w:hint="cs"/>
          <w:noProof/>
          <w:spacing w:val="-2"/>
          <w:sz w:val="18"/>
          <w:szCs w:val="18"/>
        </w:rPr>
        <w:t xml:space="preserve"> with the police, the </w:t>
      </w:r>
      <w:r w:rsidRPr="00B20EF8" w:rsidR="0058257B">
        <w:rPr>
          <w:noProof/>
          <w:spacing w:val="-2"/>
          <w:sz w:val="18"/>
          <w:szCs w:val="18"/>
        </w:rPr>
        <w:t>MOT</w:t>
      </w:r>
      <w:r w:rsidRPr="00B20EF8" w:rsidR="0058257B">
        <w:rPr>
          <w:rFonts w:hint="cs"/>
          <w:noProof/>
          <w:spacing w:val="-2"/>
          <w:sz w:val="18"/>
          <w:szCs w:val="18"/>
        </w:rPr>
        <w:t xml:space="preserve">, the healthcare system, </w:t>
      </w:r>
      <w:r w:rsidRPr="00B20EF8" w:rsidR="0058257B">
        <w:rPr>
          <w:noProof/>
          <w:spacing w:val="-2"/>
          <w:sz w:val="18"/>
          <w:szCs w:val="18"/>
        </w:rPr>
        <w:t>MDA</w:t>
      </w:r>
      <w:r w:rsidRPr="00B20EF8" w:rsidR="0058257B">
        <w:rPr>
          <w:rFonts w:hint="cs"/>
          <w:noProof/>
          <w:spacing w:val="-2"/>
          <w:sz w:val="18"/>
          <w:szCs w:val="18"/>
        </w:rPr>
        <w:t>, the insurance companies, and the court system to obtain the most reliable and complete data possible on road accidents</w:t>
      </w:r>
      <w:r w:rsidRPr="00C50F58">
        <w:rPr>
          <w:rFonts w:hint="cs"/>
          <w:spacing w:val="-2"/>
          <w:sz w:val="18"/>
          <w:szCs w:val="18"/>
        </w:rPr>
        <w:t xml:space="preserve">. </w:t>
      </w:r>
    </w:p>
    <w:p w:rsidR="00D12832" w:rsidRPr="00C50F58" w:rsidP="00D12832" w14:paraId="195EE1A5" w14:textId="21C827B4">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99200"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474628561" name="תמונה 33"/>
            <wp:cNvGraphicFramePr/>
            <a:graphic xmlns:a="http://schemas.openxmlformats.org/drawingml/2006/main">
              <a:graphicData uri="http://schemas.openxmlformats.org/drawingml/2006/picture">
                <pic:pic xmlns:pic="http://schemas.openxmlformats.org/drawingml/2006/picture">
                  <pic:nvPicPr>
                    <pic:cNvPr id="1474628561"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0EF8" w:rsidR="0058257B">
        <w:rPr>
          <w:noProof/>
          <w:spacing w:val="-2"/>
          <w:sz w:val="18"/>
          <w:szCs w:val="18"/>
        </w:rPr>
        <w:t>It is recommended that the Minister of Transportation enact regulations under the RSA Law requiring organizations to provide it with information</w:t>
      </w:r>
      <w:r w:rsidRPr="00C50F58">
        <w:rPr>
          <w:rFonts w:hint="cs"/>
          <w:spacing w:val="-2"/>
          <w:sz w:val="18"/>
          <w:szCs w:val="18"/>
        </w:rPr>
        <w:t xml:space="preserve">. </w:t>
      </w:r>
    </w:p>
    <w:p w:rsidR="00D12832" w:rsidRPr="00C50F58" w:rsidP="00D12832" w14:paraId="7D34CD01" w14:textId="5A8898BA">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0224"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55820183" name="תמונה 33"/>
            <wp:cNvGraphicFramePr/>
            <a:graphic xmlns:a="http://schemas.openxmlformats.org/drawingml/2006/main">
              <a:graphicData uri="http://schemas.openxmlformats.org/drawingml/2006/picture">
                <pic:pic xmlns:pic="http://schemas.openxmlformats.org/drawingml/2006/picture">
                  <pic:nvPicPr>
                    <pic:cNvPr id="455820183"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0EF8" w:rsidR="0058257B">
        <w:rPr>
          <w:noProof/>
          <w:spacing w:val="-2"/>
          <w:sz w:val="18"/>
          <w:szCs w:val="18"/>
        </w:rPr>
        <w:t>Given the importance of the truck survey data for the proper preparation of the trucking industry and, consequently, for reducing truck mileage on Israel's roads, it is recommended that the CBS, the MOT, the Ministry of Finance, and the RSA cooperate to complete the survey and ensure continuous data collection on the subject</w:t>
      </w:r>
      <w:r w:rsidRPr="00C50F58">
        <w:rPr>
          <w:rFonts w:hint="cs"/>
          <w:spacing w:val="-2"/>
          <w:sz w:val="18"/>
          <w:szCs w:val="18"/>
        </w:rPr>
        <w:t xml:space="preserve">. </w:t>
      </w:r>
    </w:p>
    <w:p w:rsidR="00D12832" w:rsidRPr="009D532C" w:rsidP="00D12832" w14:paraId="329B0D2A" w14:textId="2765366A">
      <w:pPr>
        <w:pStyle w:val="ListParagraph"/>
        <w:numPr>
          <w:ilvl w:val="0"/>
          <w:numId w:val="0"/>
        </w:numPr>
        <w:bidi w:val="0"/>
        <w:spacing w:after="180" w:line="260" w:lineRule="exact"/>
        <w:ind w:left="397"/>
        <w:rPr>
          <w:spacing w:val="-6"/>
          <w:sz w:val="18"/>
          <w:szCs w:val="18"/>
        </w:rPr>
      </w:pPr>
      <w:r w:rsidRPr="009D532C">
        <w:rPr>
          <w:noProof/>
          <w:spacing w:val="-6"/>
          <w:sz w:val="18"/>
          <w:szCs w:val="18"/>
        </w:rPr>
        <w:drawing>
          <wp:anchor distT="0" distB="3600450" distL="114300" distR="114300" simplePos="0" relativeHeight="25170124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61824964" name="תמונה 33"/>
            <wp:cNvGraphicFramePr/>
            <a:graphic xmlns:a="http://schemas.openxmlformats.org/drawingml/2006/main">
              <a:graphicData uri="http://schemas.openxmlformats.org/drawingml/2006/picture">
                <pic:pic xmlns:pic="http://schemas.openxmlformats.org/drawingml/2006/picture">
                  <pic:nvPicPr>
                    <pic:cNvPr id="61824964"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532C" w:rsidR="0058257B">
        <w:rPr>
          <w:rFonts w:hint="cs"/>
          <w:noProof/>
          <w:spacing w:val="-6"/>
          <w:sz w:val="18"/>
          <w:szCs w:val="18"/>
        </w:rPr>
        <w:t xml:space="preserve">It is recommended that the </w:t>
      </w:r>
      <w:r w:rsidRPr="009D532C" w:rsidR="0058257B">
        <w:rPr>
          <w:noProof/>
          <w:spacing w:val="-6"/>
          <w:sz w:val="18"/>
          <w:szCs w:val="18"/>
        </w:rPr>
        <w:t>MOT</w:t>
      </w:r>
      <w:r w:rsidRPr="009D532C" w:rsidR="0058257B">
        <w:rPr>
          <w:rFonts w:hint="cs"/>
          <w:noProof/>
          <w:spacing w:val="-6"/>
          <w:sz w:val="18"/>
          <w:szCs w:val="18"/>
        </w:rPr>
        <w:t xml:space="preserve"> complete the travel habits survey in cooperation with the CBS and the Ministry of Finance and establish a format for conducting it </w:t>
      </w:r>
      <w:r w:rsidRPr="009D532C" w:rsidR="0058257B">
        <w:rPr>
          <w:noProof/>
          <w:spacing w:val="-6"/>
          <w:sz w:val="18"/>
          <w:szCs w:val="18"/>
        </w:rPr>
        <w:t>regularly</w:t>
      </w:r>
      <w:r w:rsidRPr="009D532C" w:rsidR="0058257B">
        <w:rPr>
          <w:rFonts w:hint="cs"/>
          <w:noProof/>
          <w:spacing w:val="-6"/>
          <w:sz w:val="18"/>
          <w:szCs w:val="18"/>
        </w:rPr>
        <w:t xml:space="preserve"> according to needs</w:t>
      </w:r>
      <w:r w:rsidRPr="009D532C">
        <w:rPr>
          <w:rFonts w:hint="cs"/>
          <w:spacing w:val="-6"/>
          <w:sz w:val="18"/>
          <w:szCs w:val="18"/>
        </w:rPr>
        <w:t xml:space="preserve">. </w:t>
      </w:r>
    </w:p>
    <w:p w:rsidR="00744F76" w:rsidP="00D12832" w14:paraId="1DB53ACD" w14:textId="3CA37912">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227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508346261" name="תמונה 33"/>
            <wp:cNvGraphicFramePr/>
            <a:graphic xmlns:a="http://schemas.openxmlformats.org/drawingml/2006/main">
              <a:graphicData uri="http://schemas.openxmlformats.org/drawingml/2006/picture">
                <pic:pic xmlns:pic="http://schemas.openxmlformats.org/drawingml/2006/picture">
                  <pic:nvPicPr>
                    <pic:cNvPr id="1508346261"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0EF8" w:rsidR="0058257B">
        <w:rPr>
          <w:noProof/>
          <w:spacing w:val="-2"/>
          <w:sz w:val="18"/>
          <w:szCs w:val="18"/>
        </w:rPr>
        <w:t>Given the importance of conducting in-depth investigations of road accidents, it is recommended that the Minister of Transportation, the RSA, and the MOT formalize the process including granting appropriate powers to the committees and imposing confidentiality on the investigation materials and reports. Thus, increasing the information collected on road accidents, improve its quality, and may prevent future accidents. In addition, it is recommended that the MOT and the RSA set a target for the number of in-depth investigations to be conducted annually and act accordingly</w:t>
      </w:r>
      <w:r w:rsidRPr="00C50F58">
        <w:rPr>
          <w:rFonts w:hint="cs"/>
          <w:spacing w:val="-2"/>
          <w:sz w:val="18"/>
          <w:szCs w:val="18"/>
        </w:rPr>
        <w:t xml:space="preserve">. </w:t>
      </w:r>
    </w:p>
    <w:p w:rsidR="00744F76" w14:paraId="6668795C" w14:textId="77777777">
      <w:pPr>
        <w:bidi w:val="0"/>
        <w:rPr>
          <w:rFonts w:ascii="Tahoma" w:hAnsi="Tahoma" w:cs="Tahoma"/>
          <w:spacing w:val="-2"/>
          <w:sz w:val="18"/>
          <w:szCs w:val="18"/>
        </w:rPr>
      </w:pPr>
      <w:r>
        <w:rPr>
          <w:spacing w:val="-2"/>
          <w:sz w:val="18"/>
          <w:szCs w:val="18"/>
        </w:rPr>
        <w:br w:type="page"/>
      </w:r>
    </w:p>
    <w:p w:rsidR="009D532C" w:rsidP="009D532C" w14:paraId="628C68BF" w14:textId="08C4A443">
      <w:pPr>
        <w:pStyle w:val="732"/>
        <w:rPr>
          <w:rtl/>
        </w:rPr>
      </w:pPr>
      <w:r w:rsidRPr="00D527BD">
        <w:rPr>
          <w:noProof/>
          <w:szCs w:val="20"/>
          <w:rtl/>
        </w:rPr>
        <mc:AlternateContent>
          <mc:Choice Requires="wps">
            <w:drawing>
              <wp:anchor distT="0" distB="0" distL="114300" distR="114300" simplePos="0" relativeHeight="251709440" behindDoc="0" locked="0" layoutInCell="1" allowOverlap="1">
                <wp:simplePos x="0" y="0"/>
                <wp:positionH relativeFrom="column">
                  <wp:posOffset>55333</wp:posOffset>
                </wp:positionH>
                <wp:positionV relativeFrom="paragraph">
                  <wp:posOffset>88876</wp:posOffset>
                </wp:positionV>
                <wp:extent cx="4289989" cy="434975"/>
                <wp:effectExtent l="0" t="0" r="0" b="0"/>
                <wp:wrapNone/>
                <wp:docPr id="112157100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89989" cy="434975"/>
                        </a:xfrm>
                        <a:prstGeom prst="rect">
                          <a:avLst/>
                        </a:prstGeom>
                        <a:noFill/>
                        <a:ln w="9525">
                          <a:noFill/>
                          <a:miter lim="800000"/>
                          <a:headEnd/>
                          <a:tailEnd/>
                        </a:ln>
                      </wps:spPr>
                      <wps:txbx>
                        <w:txbxContent>
                          <w:p w:rsidR="009D532C" w:rsidRPr="005C7ABF" w:rsidP="00E83A18" w14:textId="3D39E7E3">
                            <w:pPr>
                              <w:pStyle w:val="733"/>
                              <w:bidi w:val="0"/>
                              <w:rPr>
                                <w:rtl/>
                              </w:rPr>
                            </w:pPr>
                            <w:r w:rsidRPr="00E83A18">
                              <w:t>Chapter Two – Leading the Fight Against Road Accidents</w:t>
                            </w:r>
                            <w:r w:rsidRPr="0058257B">
                              <w:t xml:space="preserve"> </w:t>
                            </w:r>
                          </w:p>
                          <w:p w:rsidR="00E83A18" w14:textId="77777777"/>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6" type="#_x0000_t202" style="width:337.8pt;height:34.25pt;margin-top:7pt;margin-left:4.35pt;mso-height-percent:0;mso-height-relative:margin;mso-width-percent:0;mso-width-relative:margin;mso-wrap-distance-bottom:0;mso-wrap-distance-left:9pt;mso-wrap-distance-right:9pt;mso-wrap-distance-top:0;mso-wrap-style:square;position:absolute;visibility:visible;v-text-anchor:middle;z-index:251710464" filled="f" stroked="f">
                <v:textbox>
                  <w:txbxContent>
                    <w:p w:rsidR="009D532C" w:rsidRPr="005C7ABF" w:rsidP="00E83A18" w14:paraId="7718DBFE" w14:textId="3D39E7E3">
                      <w:pPr>
                        <w:pStyle w:val="733"/>
                        <w:bidi w:val="0"/>
                        <w:rPr>
                          <w:rtl/>
                        </w:rPr>
                      </w:pPr>
                      <w:r w:rsidRPr="00E83A18">
                        <w:t xml:space="preserve">Chapter </w:t>
                      </w:r>
                      <w:r w:rsidRPr="00E83A18">
                        <w:t>Two – Leading</w:t>
                      </w:r>
                      <w:r w:rsidRPr="00E83A18">
                        <w:t xml:space="preserve"> the Fight Against Road Accidents</w:t>
                      </w:r>
                      <w:r w:rsidRPr="0058257B">
                        <w:t xml:space="preserve"> </w:t>
                      </w:r>
                    </w:p>
                    <w:p w:rsidR="00E83A18" w14:paraId="35401180" w14:textId="77777777"/>
                  </w:txbxContent>
                </v:textbox>
              </v:shape>
            </w:pict>
          </mc:Fallback>
        </mc:AlternateContent>
      </w:r>
      <w:r w:rsidRPr="00D527BD" w:rsidR="009D532C">
        <w:rPr>
          <w:noProof/>
          <w:szCs w:val="20"/>
          <w:rtl/>
        </w:rPr>
        <w:drawing>
          <wp:anchor distT="0" distB="0" distL="114300" distR="114300" simplePos="0" relativeHeight="251708416" behindDoc="0" locked="0" layoutInCell="1" allowOverlap="1">
            <wp:simplePos x="0" y="0"/>
            <wp:positionH relativeFrom="column">
              <wp:posOffset>-63578</wp:posOffset>
            </wp:positionH>
            <wp:positionV relativeFrom="paragraph">
              <wp:posOffset>2350</wp:posOffset>
            </wp:positionV>
            <wp:extent cx="4773106" cy="702310"/>
            <wp:effectExtent l="0" t="0" r="2540" b="0"/>
            <wp:wrapNone/>
            <wp:docPr id="1892477791"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477791"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3106" cy="702310"/>
                    </a:xfrm>
                    <a:prstGeom prst="rect">
                      <a:avLst/>
                    </a:prstGeom>
                  </pic:spPr>
                </pic:pic>
              </a:graphicData>
            </a:graphic>
            <wp14:sizeRelH relativeFrom="margin">
              <wp14:pctWidth>0</wp14:pctWidth>
            </wp14:sizeRelH>
            <wp14:sizeRelV relativeFrom="margin">
              <wp14:pctHeight>0</wp14:pctHeight>
            </wp14:sizeRelV>
          </wp:anchor>
        </w:drawing>
      </w:r>
      <w:r w:rsidR="009D532C">
        <w:rPr>
          <w:rtl/>
        </w:rPr>
        <w:t xml:space="preserve"> </w:t>
      </w:r>
    </w:p>
    <w:p w:rsidR="009D532C" w:rsidP="009D532C" w14:paraId="3F9B657E" w14:textId="77777777">
      <w:pPr>
        <w:pStyle w:val="732"/>
        <w:rPr>
          <w:rtl/>
        </w:rPr>
      </w:pPr>
    </w:p>
    <w:p w:rsidR="009D532C" w:rsidRPr="00FA5C98" w:rsidP="009D532C" w14:paraId="47916126" w14:textId="77777777">
      <w:pPr>
        <w:bidi w:val="0"/>
        <w:spacing w:after="0" w:line="260" w:lineRule="exact"/>
        <w:ind w:left="397"/>
        <w:jc w:val="both"/>
      </w:pPr>
    </w:p>
    <w:p w:rsidR="009D532C" w:rsidP="009D532C" w14:paraId="2F48C87F" w14:textId="77777777">
      <w:pPr>
        <w:keepNext/>
        <w:keepLines/>
        <w:bidi w:val="0"/>
        <w:spacing w:before="480"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5509954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995434" name="Picture 9"/>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9D532C" w:rsidP="009D532C" w14:paraId="164073E0" w14:textId="77777777">
      <w:pPr>
        <w:keepNext/>
        <w:keepLines/>
        <w:bidi w:val="0"/>
        <w:spacing w:before="120" w:after="180" w:line="240" w:lineRule="atLeast"/>
        <w:rPr>
          <w:rFonts w:ascii="Tahoma" w:hAnsi="Tahoma" w:cs="Tahoma"/>
          <w:b/>
          <w:bCs/>
          <w:color w:val="00305F"/>
          <w:sz w:val="32"/>
          <w:szCs w:val="32"/>
          <w:rtl/>
        </w:rPr>
      </w:pPr>
      <w:r w:rsidRPr="00AE5F94">
        <w:rPr>
          <w:rFonts w:ascii="Tahoma" w:hAnsi="Tahoma" w:cs="Tahoma"/>
          <w:b/>
          <w:bCs/>
          <w:color w:val="00305F"/>
          <w:sz w:val="32"/>
          <w:szCs w:val="32"/>
        </w:rPr>
        <w:t xml:space="preserve">Key </w:t>
      </w:r>
      <w:r>
        <w:rPr>
          <w:rFonts w:ascii="Tahoma" w:hAnsi="Tahoma" w:cs="Tahoma"/>
          <w:b/>
          <w:bCs/>
          <w:color w:val="00305F"/>
          <w:sz w:val="32"/>
          <w:szCs w:val="32"/>
        </w:rPr>
        <w:t>F</w:t>
      </w:r>
      <w:r w:rsidRPr="00AE5F94">
        <w:rPr>
          <w:rFonts w:ascii="Tahoma" w:hAnsi="Tahoma" w:cs="Tahoma"/>
          <w:b/>
          <w:bCs/>
          <w:color w:val="00305F"/>
          <w:sz w:val="32"/>
          <w:szCs w:val="32"/>
        </w:rPr>
        <w:t>indings</w:t>
      </w:r>
    </w:p>
    <w:p w:rsidR="009D532C" w:rsidRPr="00BD3044" w:rsidP="009D532C" w14:paraId="41AA13A5" w14:textId="77777777">
      <w:pPr>
        <w:keepNext/>
        <w:keepLines/>
        <w:bidi w:val="0"/>
        <w:spacing w:after="180" w:line="240" w:lineRule="atLeast"/>
        <w:rPr>
          <w:rFonts w:ascii="Tahoma" w:hAnsi="Tahoma" w:cs="Tahoma"/>
          <w:b/>
          <w:bCs/>
          <w:color w:val="00305F"/>
          <w:sz w:val="4"/>
          <w:szCs w:val="4"/>
          <w:rtl/>
        </w:rPr>
      </w:pPr>
      <w:r>
        <w:rPr>
          <w:b/>
          <w:bCs/>
          <w:noProof/>
          <w:sz w:val="18"/>
        </w:rPr>
        <w:drawing>
          <wp:anchor distT="0" distB="0" distL="114300" distR="114300" simplePos="0" relativeHeight="251706368" behindDoc="1" locked="0" layoutInCell="1" allowOverlap="1">
            <wp:simplePos x="0" y="0"/>
            <wp:positionH relativeFrom="column">
              <wp:posOffset>1270</wp:posOffset>
            </wp:positionH>
            <wp:positionV relativeFrom="paragraph">
              <wp:posOffset>38295</wp:posOffset>
            </wp:positionV>
            <wp:extent cx="2879725" cy="158115"/>
            <wp:effectExtent l="0" t="0" r="0" b="0"/>
            <wp:wrapTight wrapText="bothSides">
              <wp:wrapPolygon>
                <wp:start x="4191" y="0"/>
                <wp:lineTo x="0" y="5205"/>
                <wp:lineTo x="0" y="8675"/>
                <wp:lineTo x="4191" y="19084"/>
                <wp:lineTo x="5906" y="19084"/>
                <wp:lineTo x="21433" y="8675"/>
                <wp:lineTo x="21433" y="5205"/>
                <wp:lineTo x="5906" y="0"/>
                <wp:lineTo x="4191" y="0"/>
              </wp:wrapPolygon>
            </wp:wrapTight>
            <wp:docPr id="6410045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004507" name="Picture 8"/>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p w:rsidR="009D532C" w:rsidRPr="008B12AD" w:rsidP="008B12AD" w14:paraId="34C06E6B" w14:textId="18566883">
      <w:pPr>
        <w:pStyle w:val="73512"/>
        <w:bidi w:val="0"/>
      </w:pPr>
      <w:r w:rsidRPr="008B12AD">
        <w:t>Government Bodies Dealing with the Fight Against Road Accidents</w:t>
      </w:r>
      <w:r w:rsidRPr="008B12AD">
        <w:rPr>
          <w:rFonts w:hint="cs"/>
        </w:rPr>
        <w:t xml:space="preserve"> </w:t>
      </w:r>
    </w:p>
    <w:p w:rsidR="00E83A18" w:rsidRPr="00E83A18" w:rsidP="009D532C" w14:paraId="31AAF232" w14:textId="4C7C4FB1">
      <w:pPr>
        <w:pStyle w:val="7191"/>
        <w:bidi w:val="0"/>
        <w:spacing w:before="240"/>
        <w:ind w:left="397"/>
        <w:rPr>
          <w:noProof/>
        </w:rPr>
      </w:pPr>
      <w:r w:rsidRPr="008B12AD">
        <w:rPr>
          <w:rFonts w:hint="cs"/>
          <w:b/>
          <w:bCs/>
          <w:noProof/>
          <w:rtl/>
        </w:rPr>
        <w:drawing>
          <wp:anchor distT="0" distB="0" distL="0" distR="0" simplePos="0" relativeHeight="251707392"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88544629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446297"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B12AD">
        <w:rPr>
          <w:rFonts w:hint="cs"/>
          <w:b/>
          <w:bCs/>
          <w:noProof/>
        </w:rPr>
        <w:t xml:space="preserve">Defining the RSA as the </w:t>
      </w:r>
      <w:r w:rsidRPr="008B12AD">
        <w:rPr>
          <w:b/>
          <w:bCs/>
          <w:noProof/>
        </w:rPr>
        <w:t>L</w:t>
      </w:r>
      <w:r w:rsidRPr="008B12AD">
        <w:rPr>
          <w:rFonts w:hint="cs"/>
          <w:b/>
          <w:bCs/>
          <w:noProof/>
        </w:rPr>
        <w:t xml:space="preserve">eading </w:t>
      </w:r>
      <w:r w:rsidRPr="008B12AD">
        <w:rPr>
          <w:b/>
          <w:bCs/>
          <w:noProof/>
        </w:rPr>
        <w:t>B</w:t>
      </w:r>
      <w:r w:rsidRPr="008B12AD">
        <w:rPr>
          <w:rFonts w:hint="cs"/>
          <w:b/>
          <w:bCs/>
          <w:noProof/>
        </w:rPr>
        <w:t xml:space="preserve">ody in the </w:t>
      </w:r>
      <w:r w:rsidRPr="008B12AD">
        <w:rPr>
          <w:b/>
          <w:bCs/>
          <w:noProof/>
        </w:rPr>
        <w:t>F</w:t>
      </w:r>
      <w:r w:rsidRPr="008B12AD">
        <w:rPr>
          <w:rFonts w:hint="cs"/>
          <w:b/>
          <w:bCs/>
          <w:noProof/>
        </w:rPr>
        <w:t xml:space="preserve">ight </w:t>
      </w:r>
      <w:r w:rsidRPr="008B12AD">
        <w:rPr>
          <w:b/>
          <w:bCs/>
          <w:noProof/>
        </w:rPr>
        <w:t>A</w:t>
      </w:r>
      <w:r w:rsidRPr="008B12AD">
        <w:rPr>
          <w:rFonts w:hint="cs"/>
          <w:b/>
          <w:bCs/>
          <w:noProof/>
        </w:rPr>
        <w:t xml:space="preserve">gainst </w:t>
      </w:r>
      <w:r w:rsidRPr="008B12AD">
        <w:rPr>
          <w:b/>
          <w:bCs/>
          <w:noProof/>
        </w:rPr>
        <w:t>R</w:t>
      </w:r>
      <w:r w:rsidRPr="008B12AD">
        <w:rPr>
          <w:rFonts w:hint="cs"/>
          <w:b/>
          <w:bCs/>
          <w:noProof/>
        </w:rPr>
        <w:t xml:space="preserve">oad </w:t>
      </w:r>
      <w:r w:rsidRPr="008B12AD">
        <w:rPr>
          <w:b/>
          <w:bCs/>
          <w:noProof/>
        </w:rPr>
        <w:t>A</w:t>
      </w:r>
      <w:r w:rsidRPr="008B12AD">
        <w:rPr>
          <w:rFonts w:hint="cs"/>
          <w:b/>
          <w:bCs/>
          <w:noProof/>
        </w:rPr>
        <w:t>ccidents</w:t>
      </w:r>
      <w:r w:rsidRPr="008B12AD">
        <w:rPr>
          <w:b/>
          <w:bCs/>
          <w:noProof/>
        </w:rPr>
        <w:t xml:space="preserve"> –</w:t>
      </w:r>
      <w:r w:rsidRPr="00B07A75">
        <w:rPr>
          <w:rFonts w:hint="cs"/>
          <w:noProof/>
        </w:rPr>
        <w:t xml:space="preserve"> for many years, the State of Israel has recognized the importance of an independent body with appropriate powers and necessary tools to lead the fight against road accidents, establish systemic policies and action plans, and coordinate and foster cooperation among all </w:t>
      </w:r>
      <w:r w:rsidRPr="00B07A75">
        <w:rPr>
          <w:noProof/>
        </w:rPr>
        <w:t xml:space="preserve">relevant </w:t>
      </w:r>
      <w:r w:rsidRPr="00B07A75">
        <w:rPr>
          <w:rFonts w:hint="cs"/>
          <w:noProof/>
        </w:rPr>
        <w:t>governmental</w:t>
      </w:r>
      <w:r w:rsidRPr="00B07A75">
        <w:rPr>
          <w:noProof/>
        </w:rPr>
        <w:t xml:space="preserve"> bodies</w:t>
      </w:r>
      <w:r w:rsidRPr="00B07A75">
        <w:rPr>
          <w:rFonts w:hint="cs"/>
          <w:noProof/>
        </w:rPr>
        <w:t>. According to a 2005</w:t>
      </w:r>
      <w:r w:rsidRPr="00B07A75">
        <w:rPr>
          <w:noProof/>
        </w:rPr>
        <w:t xml:space="preserve"> </w:t>
      </w:r>
      <w:r w:rsidRPr="00B07A75">
        <w:rPr>
          <w:rFonts w:hint="cs"/>
          <w:noProof/>
        </w:rPr>
        <w:t xml:space="preserve">government decision , the RSA was intended to fulfill this role and </w:t>
      </w:r>
      <w:r w:rsidRPr="00B07A75">
        <w:rPr>
          <w:noProof/>
        </w:rPr>
        <w:t xml:space="preserve">manage </w:t>
      </w:r>
      <w:r w:rsidRPr="00B07A75">
        <w:rPr>
          <w:rFonts w:hint="cs"/>
          <w:noProof/>
        </w:rPr>
        <w:t xml:space="preserve">the </w:t>
      </w:r>
      <w:r w:rsidRPr="00B07A75">
        <w:rPr>
          <w:noProof/>
        </w:rPr>
        <w:t>fight</w:t>
      </w:r>
      <w:r w:rsidRPr="00B07A75">
        <w:rPr>
          <w:rFonts w:hint="cs"/>
          <w:noProof/>
        </w:rPr>
        <w:t xml:space="preserve"> against road accidents. However, </w:t>
      </w:r>
      <w:r w:rsidRPr="00B07A75">
        <w:rPr>
          <w:noProof/>
        </w:rPr>
        <w:t>in</w:t>
      </w:r>
      <w:r w:rsidRPr="00B07A75">
        <w:rPr>
          <w:rFonts w:hint="cs"/>
          <w:noProof/>
        </w:rPr>
        <w:t xml:space="preserve"> 2016, the State Comptroller's Office noted that the RSA had not become the leading </w:t>
      </w:r>
      <w:r w:rsidRPr="00B07A75">
        <w:rPr>
          <w:noProof/>
        </w:rPr>
        <w:t>body</w:t>
      </w:r>
      <w:r w:rsidRPr="00B07A75">
        <w:rPr>
          <w:rFonts w:hint="cs"/>
          <w:noProof/>
        </w:rPr>
        <w:t xml:space="preserve"> in the fight against road accidents. In the same year, the Knesset's Economic Affairs Committee determined that the government's policy lacked a comprehensive and systematic perspective that would guide all involved </w:t>
      </w:r>
      <w:r w:rsidRPr="00B07A75">
        <w:rPr>
          <w:noProof/>
        </w:rPr>
        <w:t>bodies</w:t>
      </w:r>
      <w:r w:rsidRPr="00B07A75">
        <w:rPr>
          <w:rFonts w:hint="cs"/>
          <w:noProof/>
        </w:rPr>
        <w:t xml:space="preserve"> toward unified and effective action. The committee called on the government and the Minister of Transportation to reassess the RSA's goals, roles, and powers so that it can outline the overarching policy on the matter and serve as the leading body in curbing road fatalities. The current audit found that many powers remain dispersed among various governmental bodies, primarily the RSA, the </w:t>
      </w:r>
      <w:r w:rsidRPr="00B07A75">
        <w:rPr>
          <w:noProof/>
        </w:rPr>
        <w:t>MOT</w:t>
      </w:r>
      <w:r w:rsidRPr="00B07A75">
        <w:rPr>
          <w:rFonts w:hint="cs"/>
          <w:noProof/>
        </w:rPr>
        <w:t xml:space="preserve">, the Israel Police, and the Ministry of Education. These </w:t>
      </w:r>
      <w:r w:rsidRPr="00B07A75">
        <w:rPr>
          <w:noProof/>
        </w:rPr>
        <w:t>bodies</w:t>
      </w:r>
      <w:r w:rsidRPr="00B07A75">
        <w:rPr>
          <w:rFonts w:hint="cs"/>
          <w:noProof/>
        </w:rPr>
        <w:t xml:space="preserve"> operate without an </w:t>
      </w:r>
      <w:r w:rsidRPr="00B07A75">
        <w:rPr>
          <w:noProof/>
        </w:rPr>
        <w:t>integrated</w:t>
      </w:r>
      <w:r w:rsidRPr="00B07A75">
        <w:rPr>
          <w:rFonts w:hint="cs"/>
          <w:noProof/>
        </w:rPr>
        <w:t xml:space="preserve"> perspective and </w:t>
      </w:r>
      <w:r w:rsidRPr="00B07A75">
        <w:rPr>
          <w:noProof/>
        </w:rPr>
        <w:t>lack</w:t>
      </w:r>
      <w:r w:rsidRPr="00B07A75">
        <w:rPr>
          <w:rFonts w:hint="cs"/>
          <w:noProof/>
        </w:rPr>
        <w:t xml:space="preserve"> coordination and cooperation. The RSA's powers remain unchanged, and it still does not serve as the leading body in the fight against road accidents</w:t>
      </w:r>
      <w:r>
        <w:rPr>
          <w:noProof/>
        </w:rPr>
        <w:t>.</w:t>
      </w:r>
    </w:p>
    <w:p w:rsidR="00E83A18" w:rsidRPr="008B12AD" w:rsidP="00E83A18" w14:paraId="31273455" w14:textId="3B0BFD1B">
      <w:pPr>
        <w:pStyle w:val="7191"/>
        <w:bidi w:val="0"/>
        <w:spacing w:before="240"/>
        <w:ind w:left="397"/>
        <w:rPr>
          <w:b/>
          <w:bCs/>
          <w:noProof/>
        </w:rPr>
      </w:pPr>
      <w:r w:rsidRPr="008B12AD">
        <w:rPr>
          <w:rFonts w:hint="cs"/>
          <w:b/>
          <w:bCs/>
          <w:noProof/>
          <w:rtl/>
        </w:rPr>
        <w:drawing>
          <wp:anchor distT="0" distB="0" distL="0" distR="0" simplePos="0" relativeHeight="251711488" behindDoc="0" locked="0" layoutInCell="1" allowOverlap="1">
            <wp:simplePos x="0" y="0"/>
            <wp:positionH relativeFrom="column">
              <wp:posOffset>-6350</wp:posOffset>
            </wp:positionH>
            <wp:positionV relativeFrom="paragraph">
              <wp:posOffset>77761</wp:posOffset>
            </wp:positionV>
            <wp:extent cx="162000" cy="162000"/>
            <wp:effectExtent l="0" t="0" r="3175" b="3175"/>
            <wp:wrapSquare wrapText="bothSides"/>
            <wp:docPr id="103900931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009318"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B12AD">
        <w:rPr>
          <w:b/>
          <w:bCs/>
          <w:noProof/>
        </w:rPr>
        <w:t xml:space="preserve">Coordinating and Centralizing the Fight Against Road Accidents and Submitting the Required Reports to the Government and the Knesset </w:t>
      </w:r>
    </w:p>
    <w:p w:rsidR="00E83A18" w:rsidRPr="00366F8D" w:rsidP="00E83A18" w14:paraId="480F7F4A" w14:textId="77777777">
      <w:pPr>
        <w:pStyle w:val="7191"/>
        <w:numPr>
          <w:ilvl w:val="0"/>
          <w:numId w:val="38"/>
        </w:numPr>
        <w:bidi w:val="0"/>
        <w:spacing w:before="240"/>
        <w:rPr>
          <w:noProof/>
        </w:rPr>
      </w:pPr>
      <w:r w:rsidRPr="008B12AD">
        <w:rPr>
          <w:b/>
          <w:bCs/>
          <w:noProof/>
        </w:rPr>
        <w:t>MOT's Units</w:t>
      </w:r>
      <w:r w:rsidRPr="008B12AD">
        <w:rPr>
          <w:rFonts w:hint="cs"/>
          <w:b/>
          <w:bCs/>
          <w:noProof/>
        </w:rPr>
        <w:t xml:space="preserve"> </w:t>
      </w:r>
      <w:r w:rsidRPr="008B12AD">
        <w:rPr>
          <w:b/>
          <w:bCs/>
          <w:noProof/>
        </w:rPr>
        <w:t>H</w:t>
      </w:r>
      <w:r w:rsidRPr="008B12AD">
        <w:rPr>
          <w:rFonts w:hint="cs"/>
          <w:b/>
          <w:bCs/>
          <w:noProof/>
        </w:rPr>
        <w:t xml:space="preserve">andling </w:t>
      </w:r>
      <w:r w:rsidRPr="008B12AD">
        <w:rPr>
          <w:b/>
          <w:bCs/>
          <w:noProof/>
        </w:rPr>
        <w:t>R</w:t>
      </w:r>
      <w:r w:rsidRPr="008B12AD">
        <w:rPr>
          <w:rFonts w:hint="cs"/>
          <w:b/>
          <w:bCs/>
          <w:noProof/>
        </w:rPr>
        <w:t xml:space="preserve">oad </w:t>
      </w:r>
      <w:r w:rsidRPr="008B12AD">
        <w:rPr>
          <w:b/>
          <w:bCs/>
          <w:noProof/>
        </w:rPr>
        <w:t>S</w:t>
      </w:r>
      <w:r w:rsidRPr="008B12AD">
        <w:rPr>
          <w:rFonts w:hint="cs"/>
          <w:b/>
          <w:bCs/>
          <w:noProof/>
        </w:rPr>
        <w:t xml:space="preserve">afety </w:t>
      </w:r>
      <w:r w:rsidRPr="008B12AD">
        <w:rPr>
          <w:b/>
          <w:bCs/>
          <w:noProof/>
        </w:rPr>
        <w:t>–</w:t>
      </w:r>
      <w:r w:rsidRPr="00B07A75">
        <w:rPr>
          <w:rFonts w:hint="cs"/>
          <w:noProof/>
        </w:rPr>
        <w:t xml:space="preserve"> since </w:t>
      </w:r>
      <w:r w:rsidRPr="00B07A75">
        <w:rPr>
          <w:noProof/>
        </w:rPr>
        <w:t xml:space="preserve">the </w:t>
      </w:r>
      <w:r w:rsidRPr="00B07A75">
        <w:rPr>
          <w:rFonts w:hint="cs"/>
          <w:noProof/>
        </w:rPr>
        <w:t xml:space="preserve">enactment of the Road Safety Authority Law in 2005, most </w:t>
      </w:r>
      <w:r w:rsidRPr="00B07A75">
        <w:rPr>
          <w:noProof/>
        </w:rPr>
        <w:t>MOT's</w:t>
      </w:r>
      <w:r w:rsidRPr="00B07A75">
        <w:rPr>
          <w:rFonts w:hint="cs"/>
          <w:noProof/>
        </w:rPr>
        <w:t xml:space="preserve"> units </w:t>
      </w:r>
      <w:r w:rsidRPr="00B07A75">
        <w:rPr>
          <w:noProof/>
        </w:rPr>
        <w:t xml:space="preserve">which </w:t>
      </w:r>
      <w:r w:rsidRPr="00B07A75">
        <w:rPr>
          <w:rFonts w:hint="cs"/>
          <w:noProof/>
        </w:rPr>
        <w:t>address road safety issues, such as the Vehicle Division, Licensing Division, and Vehicle Supervision and Control Division, are not dedicated solely to this issue but deal with many other matters as well.</w:t>
      </w:r>
      <w:r w:rsidRPr="00B07A75">
        <w:rPr>
          <w:noProof/>
        </w:rPr>
        <w:t xml:space="preserve"> No departement within the MOT is responsible exclusively for road safety,</w:t>
      </w:r>
      <w:r w:rsidRPr="00B07A75">
        <w:rPr>
          <w:rFonts w:hint="cs"/>
          <w:noProof/>
        </w:rPr>
        <w:t xml:space="preserve"> </w:t>
      </w:r>
      <w:r w:rsidRPr="00B07A75">
        <w:rPr>
          <w:rFonts w:hint="cs"/>
          <w:noProof/>
        </w:rPr>
        <w:t>coordinat</w:t>
      </w:r>
      <w:r w:rsidRPr="00B07A75">
        <w:rPr>
          <w:noProof/>
        </w:rPr>
        <w:t>ing</w:t>
      </w:r>
      <w:r w:rsidRPr="00B07A75">
        <w:rPr>
          <w:rFonts w:hint="cs"/>
          <w:noProof/>
        </w:rPr>
        <w:t xml:space="preserve"> all ministry activit</w:t>
      </w:r>
      <w:r w:rsidRPr="00B07A75">
        <w:rPr>
          <w:noProof/>
        </w:rPr>
        <w:t>ies</w:t>
      </w:r>
      <w:r w:rsidRPr="00B07A75">
        <w:rPr>
          <w:rFonts w:hint="cs"/>
          <w:noProof/>
        </w:rPr>
        <w:t xml:space="preserve"> in this area</w:t>
      </w:r>
      <w:r w:rsidRPr="00B07A75">
        <w:rPr>
          <w:noProof/>
        </w:rPr>
        <w:t>, and serving</w:t>
      </w:r>
      <w:r w:rsidRPr="00B07A75">
        <w:rPr>
          <w:rFonts w:hint="cs"/>
          <w:noProof/>
        </w:rPr>
        <w:t xml:space="preserve"> as the professional and coordinating body between the ministry, the RSA, and other government bodies.</w:t>
      </w:r>
    </w:p>
    <w:p w:rsidR="00E83A18" w:rsidP="00E83A18" w14:paraId="5DBF5C52" w14:textId="77777777">
      <w:pPr>
        <w:pStyle w:val="7191"/>
        <w:numPr>
          <w:ilvl w:val="0"/>
          <w:numId w:val="38"/>
        </w:numPr>
        <w:bidi w:val="0"/>
        <w:spacing w:before="240"/>
        <w:rPr>
          <w:noProof/>
        </w:rPr>
      </w:pPr>
      <w:r w:rsidRPr="008B12AD">
        <w:rPr>
          <w:rFonts w:hint="cs"/>
          <w:b/>
          <w:bCs/>
          <w:noProof/>
        </w:rPr>
        <w:t>The Directors General Committee on Road Accidents</w:t>
      </w:r>
      <w:r w:rsidRPr="008B12AD">
        <w:rPr>
          <w:b/>
          <w:bCs/>
          <w:noProof/>
        </w:rPr>
        <w:t xml:space="preserve"> –</w:t>
      </w:r>
      <w:r w:rsidRPr="00B07A75">
        <w:rPr>
          <w:rFonts w:hint="cs"/>
          <w:noProof/>
        </w:rPr>
        <w:t xml:space="preserve"> since 2016, the inter-ministerial Directors General Committee of government ministries, established for the "urgent and comprehensive curbing of road fatalities</w:t>
      </w:r>
      <w:r w:rsidRPr="00B07A75">
        <w:rPr>
          <w:noProof/>
        </w:rPr>
        <w:t>,"</w:t>
      </w:r>
      <w:r w:rsidRPr="00B07A75">
        <w:rPr>
          <w:rFonts w:hint="cs"/>
          <w:noProof/>
        </w:rPr>
        <w:t xml:space="preserve"> has </w:t>
      </w:r>
      <w:r w:rsidRPr="00B07A75">
        <w:rPr>
          <w:noProof/>
        </w:rPr>
        <w:t>convened</w:t>
      </w:r>
      <w:r w:rsidRPr="00B07A75">
        <w:rPr>
          <w:rFonts w:hint="cs"/>
          <w:noProof/>
        </w:rPr>
        <w:t xml:space="preserve"> only once, in December 2016. This is despite the importance of coordinatin</w:t>
      </w:r>
      <w:r w:rsidRPr="00B07A75">
        <w:rPr>
          <w:noProof/>
        </w:rPr>
        <w:t>g</w:t>
      </w:r>
      <w:r w:rsidRPr="00B07A75">
        <w:rPr>
          <w:rFonts w:hint="cs"/>
          <w:noProof/>
        </w:rPr>
        <w:t xml:space="preserve"> and joint decision-making, and </w:t>
      </w:r>
      <w:r w:rsidRPr="00B07A75">
        <w:rPr>
          <w:noProof/>
        </w:rPr>
        <w:t xml:space="preserve">though no </w:t>
      </w:r>
      <w:r w:rsidRPr="00B07A75">
        <w:rPr>
          <w:rFonts w:hint="cs"/>
          <w:noProof/>
        </w:rPr>
        <w:t xml:space="preserve">improvement </w:t>
      </w:r>
      <w:r w:rsidRPr="00B07A75">
        <w:rPr>
          <w:noProof/>
        </w:rPr>
        <w:t xml:space="preserve">was made </w:t>
      </w:r>
      <w:r w:rsidRPr="00B07A75">
        <w:rPr>
          <w:rFonts w:hint="cs"/>
          <w:noProof/>
        </w:rPr>
        <w:t>in the number of casualties from road accidents.</w:t>
      </w:r>
    </w:p>
    <w:p w:rsidR="00E83A18" w:rsidP="00E83A18" w14:paraId="061A47A0" w14:textId="6F850936">
      <w:pPr>
        <w:pStyle w:val="7191"/>
        <w:numPr>
          <w:ilvl w:val="0"/>
          <w:numId w:val="38"/>
        </w:numPr>
        <w:bidi w:val="0"/>
        <w:spacing w:before="240"/>
        <w:rPr>
          <w:noProof/>
        </w:rPr>
      </w:pPr>
      <w:r w:rsidRPr="008B12AD">
        <w:rPr>
          <w:rFonts w:hint="cs"/>
          <w:b/>
          <w:bCs/>
          <w:noProof/>
        </w:rPr>
        <w:t xml:space="preserve">Reporting to the Knesset </w:t>
      </w:r>
      <w:r w:rsidRPr="008B12AD">
        <w:rPr>
          <w:b/>
          <w:bCs/>
          <w:noProof/>
        </w:rPr>
        <w:t>A</w:t>
      </w:r>
      <w:r w:rsidRPr="008B12AD">
        <w:rPr>
          <w:rFonts w:hint="cs"/>
          <w:b/>
          <w:bCs/>
          <w:noProof/>
        </w:rPr>
        <w:t>ccording to the Road Safety Authority Law</w:t>
      </w:r>
      <w:r w:rsidRPr="008B12AD">
        <w:rPr>
          <w:b/>
          <w:bCs/>
          <w:noProof/>
        </w:rPr>
        <w:t xml:space="preserve"> –</w:t>
      </w:r>
      <w:r w:rsidRPr="00B07A75">
        <w:rPr>
          <w:rFonts w:hint="cs"/>
          <w:noProof/>
        </w:rPr>
        <w:t>since 2005, the Ministers of Transportation have not report</w:t>
      </w:r>
      <w:r w:rsidRPr="00B07A75">
        <w:rPr>
          <w:noProof/>
        </w:rPr>
        <w:t xml:space="preserve">ed </w:t>
      </w:r>
      <w:r w:rsidRPr="00B07A75">
        <w:rPr>
          <w:rFonts w:hint="cs"/>
          <w:noProof/>
        </w:rPr>
        <w:t>to the government and the Knesset's Economic Affairs Committee on the implementation of the RSA</w:t>
      </w:r>
      <w:r w:rsidRPr="00B07A75">
        <w:rPr>
          <w:noProof/>
        </w:rPr>
        <w:t xml:space="preserve">'s </w:t>
      </w:r>
      <w:r w:rsidRPr="00B07A75">
        <w:rPr>
          <w:rFonts w:hint="cs"/>
          <w:noProof/>
        </w:rPr>
        <w:t>annual plan, as required by law, and the Prime Minister has not reported this to the Knesset.</w:t>
      </w:r>
      <w:r w:rsidRPr="00E83A18">
        <w:rPr>
          <w:noProof/>
        </w:rPr>
        <w:t xml:space="preserve"> </w:t>
      </w:r>
    </w:p>
    <w:p w:rsidR="00E83A18" w:rsidRPr="00AF3B73" w:rsidP="00E83A18" w14:paraId="14ED2F20" w14:textId="7DD98ACE">
      <w:pPr>
        <w:pStyle w:val="73512"/>
        <w:bidi w:val="0"/>
        <w:rPr>
          <w:rtl/>
        </w:rPr>
      </w:pPr>
      <w:r w:rsidRPr="00B07A75">
        <w:t xml:space="preserve">Strategic Plan to Fight Road Accidents </w:t>
      </w:r>
    </w:p>
    <w:p w:rsidR="00E83A18" w:rsidRPr="00AF3B73" w:rsidP="00E83A18" w14:paraId="7611B130" w14:textId="12DA6678">
      <w:pPr>
        <w:pStyle w:val="7191"/>
        <w:bidi w:val="0"/>
        <w:spacing w:before="240"/>
        <w:ind w:left="397"/>
        <w:rPr>
          <w:noProof/>
          <w:rtl/>
        </w:rPr>
      </w:pPr>
      <w:r w:rsidRPr="008B12AD">
        <w:rPr>
          <w:rFonts w:hint="cs"/>
          <w:b/>
          <w:bCs/>
          <w:noProof/>
          <w:rtl/>
        </w:rPr>
        <w:drawing>
          <wp:anchor distT="0" distB="0" distL="0" distR="0" simplePos="0" relativeHeight="251712512"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74988454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84541"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B12AD">
        <w:rPr>
          <w:rFonts w:hint="cs"/>
          <w:b/>
          <w:bCs/>
          <w:noProof/>
        </w:rPr>
        <w:t xml:space="preserve">Strategic </w:t>
      </w:r>
      <w:r w:rsidRPr="008B12AD">
        <w:rPr>
          <w:b/>
          <w:bCs/>
          <w:noProof/>
        </w:rPr>
        <w:t>P</w:t>
      </w:r>
      <w:r w:rsidRPr="008B12AD">
        <w:rPr>
          <w:rFonts w:hint="cs"/>
          <w:b/>
          <w:bCs/>
          <w:noProof/>
        </w:rPr>
        <w:t>lans in Israel</w:t>
      </w:r>
      <w:r w:rsidRPr="008B12AD">
        <w:rPr>
          <w:b/>
          <w:bCs/>
          <w:noProof/>
        </w:rPr>
        <w:t xml:space="preserve"> –</w:t>
      </w:r>
      <w:r w:rsidRPr="00B07A75">
        <w:rPr>
          <w:rFonts w:hint="cs"/>
          <w:noProof/>
        </w:rPr>
        <w:t xml:space="preserve"> despite the importance of multi-year strategic plans and the successful international experience in their adoption, since the national plan of 2005, the fight against road accidents in Israel has been conducted without a comprehensive multi-year strategic plan approved and budgeted by the government. Therefore, the activity of the numerous governmental bodies dealing with road safety </w:t>
      </w:r>
      <w:r w:rsidRPr="00B07A75">
        <w:rPr>
          <w:noProof/>
        </w:rPr>
        <w:t>is</w:t>
      </w:r>
      <w:r w:rsidRPr="00B07A75">
        <w:rPr>
          <w:rFonts w:hint="cs"/>
          <w:noProof/>
        </w:rPr>
        <w:t xml:space="preserve"> not based on an overall systematic and budgeted plan. The national plan from 2005 set goals for Israel until 2015; however, parts of it have not been implemented to this day (such as granting the Road Safety Authority powers and autonomy and the presence of 450 traffic enforcement units on the roads)</w:t>
      </w:r>
      <w:r w:rsidRPr="00B07A75">
        <w:rPr>
          <w:noProof/>
        </w:rPr>
        <w:t>,</w:t>
      </w:r>
      <w:r w:rsidRPr="00B07A75">
        <w:rPr>
          <w:rFonts w:hint="cs"/>
          <w:noProof/>
        </w:rPr>
        <w:t xml:space="preserve"> and its objectives have not been achieved (a reduction in fatalities to below 300 per year by 2015). Since then, </w:t>
      </w:r>
      <w:r w:rsidRPr="00B07A75">
        <w:rPr>
          <w:noProof/>
        </w:rPr>
        <w:t>the government has approved no comprehensive and budgeted strategic plan for combating road accidents</w:t>
      </w:r>
      <w:r w:rsidRPr="00B07A75">
        <w:rPr>
          <w:rFonts w:hint="cs"/>
          <w:noProof/>
        </w:rPr>
        <w:t>. The number of fatalities and injur</w:t>
      </w:r>
      <w:r w:rsidRPr="00B07A75">
        <w:rPr>
          <w:noProof/>
        </w:rPr>
        <w:t>ies</w:t>
      </w:r>
      <w:r w:rsidRPr="00B07A75">
        <w:rPr>
          <w:rFonts w:hint="cs"/>
          <w:noProof/>
        </w:rPr>
        <w:t xml:space="preserve"> over the past decade (an increase from 290 fatalities in 2012 to 351 in 2022) indicates that in the absence of a strategic plan, the various actions taken as part of the fight have not ultimately achieved the desired results</w:t>
      </w:r>
      <w:r>
        <w:rPr>
          <w:noProof/>
        </w:rPr>
        <w:t>.</w:t>
      </w:r>
      <w:r>
        <w:rPr>
          <w:bCs/>
          <w:noProof/>
        </w:rPr>
        <w:t xml:space="preserve"> </w:t>
      </w:r>
    </w:p>
    <w:p w:rsidR="00E83A18" w:rsidP="00E83A18" w14:paraId="0F15DBC9" w14:textId="49EAB38F">
      <w:pPr>
        <w:pStyle w:val="7191"/>
        <w:bidi w:val="0"/>
        <w:spacing w:before="240"/>
        <w:ind w:left="397"/>
        <w:rPr>
          <w:noProof/>
        </w:rPr>
      </w:pPr>
      <w:r w:rsidRPr="008B12AD">
        <w:rPr>
          <w:rFonts w:hint="cs"/>
          <w:b/>
          <w:bCs/>
          <w:noProof/>
          <w:rtl/>
        </w:rPr>
        <w:drawing>
          <wp:anchor distT="0" distB="0" distL="0" distR="0" simplePos="0" relativeHeight="251713536"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34819686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96869"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B12AD">
        <w:rPr>
          <w:rFonts w:hint="cs"/>
          <w:b/>
          <w:bCs/>
          <w:noProof/>
        </w:rPr>
        <w:t>Implementation of the '50 to 30' Plan</w:t>
      </w:r>
      <w:r w:rsidRPr="008B12AD">
        <w:rPr>
          <w:b/>
          <w:bCs/>
          <w:noProof/>
        </w:rPr>
        <w:t xml:space="preserve"> –</w:t>
      </w:r>
      <w:r w:rsidRPr="00B07A75">
        <w:rPr>
          <w:rFonts w:hint="cs"/>
          <w:bCs/>
          <w:noProof/>
        </w:rPr>
        <w:t xml:space="preserve"> in 2021, the </w:t>
      </w:r>
      <w:r w:rsidRPr="00B07A75">
        <w:rPr>
          <w:bCs/>
          <w:noProof/>
        </w:rPr>
        <w:t>MOT</w:t>
      </w:r>
      <w:r w:rsidRPr="00B07A75">
        <w:rPr>
          <w:rFonts w:hint="cs"/>
          <w:bCs/>
          <w:noProof/>
        </w:rPr>
        <w:t xml:space="preserve"> and the</w:t>
      </w:r>
      <w:r w:rsidRPr="00B07A75">
        <w:rPr>
          <w:bCs/>
          <w:noProof/>
        </w:rPr>
        <w:t xml:space="preserve"> </w:t>
      </w:r>
      <w:r w:rsidRPr="00B07A75">
        <w:rPr>
          <w:rFonts w:hint="cs"/>
          <w:bCs/>
          <w:noProof/>
        </w:rPr>
        <w:t xml:space="preserve">RSA prepared a national road safety plan ('50 to 30' Plan) to halve severe injuries from road accidents in Israel by 2030 compared to 2019 data. The plan promised substantial </w:t>
      </w:r>
      <w:r w:rsidRPr="00B07A75">
        <w:rPr>
          <w:bCs/>
          <w:noProof/>
        </w:rPr>
        <w:t>economic savings</w:t>
      </w:r>
      <w:r w:rsidRPr="00B07A75">
        <w:rPr>
          <w:rFonts w:hint="cs"/>
          <w:bCs/>
          <w:noProof/>
        </w:rPr>
        <w:t xml:space="preserve">, estimated at NIS 95 billion by 2040. </w:t>
      </w:r>
      <w:r w:rsidRPr="00B07A75">
        <w:rPr>
          <w:bCs/>
          <w:noProof/>
        </w:rPr>
        <w:t>T</w:t>
      </w:r>
      <w:r w:rsidRPr="00B07A75">
        <w:rPr>
          <w:rFonts w:hint="cs"/>
          <w:bCs/>
          <w:noProof/>
        </w:rPr>
        <w:t xml:space="preserve">he plan included neither a cost estimate </w:t>
      </w:r>
      <w:r w:rsidRPr="00B07A75">
        <w:rPr>
          <w:bCs/>
          <w:noProof/>
        </w:rPr>
        <w:t>n</w:t>
      </w:r>
      <w:r w:rsidRPr="00B07A75">
        <w:rPr>
          <w:rFonts w:hint="cs"/>
          <w:bCs/>
          <w:noProof/>
        </w:rPr>
        <w:t>or budgetary sources.</w:t>
      </w:r>
      <w:r w:rsidRPr="00B07A75">
        <w:rPr>
          <w:bCs/>
          <w:noProof/>
        </w:rPr>
        <w:t xml:space="preserve"> This</w:t>
      </w:r>
      <w:r w:rsidRPr="00B07A75">
        <w:rPr>
          <w:rFonts w:hint="cs"/>
          <w:bCs/>
          <w:noProof/>
        </w:rPr>
        <w:t xml:space="preserve"> despite having been prepared according to </w:t>
      </w:r>
      <w:r w:rsidRPr="00B07A75">
        <w:rPr>
          <w:bCs/>
          <w:noProof/>
        </w:rPr>
        <w:t xml:space="preserve">the </w:t>
      </w:r>
      <w:r w:rsidRPr="00B07A75">
        <w:rPr>
          <w:rFonts w:hint="cs"/>
          <w:bCs/>
          <w:noProof/>
        </w:rPr>
        <w:t>government</w:t>
      </w:r>
      <w:r w:rsidRPr="00B07A75">
        <w:rPr>
          <w:bCs/>
          <w:noProof/>
        </w:rPr>
        <w:t>'s</w:t>
      </w:r>
      <w:r w:rsidRPr="00B07A75">
        <w:rPr>
          <w:rFonts w:hint="cs"/>
          <w:bCs/>
          <w:noProof/>
        </w:rPr>
        <w:t xml:space="preserve"> decision to serve as a comprehensive multi-year program to enhance road safety</w:t>
      </w:r>
      <w:r w:rsidRPr="00B07A75">
        <w:rPr>
          <w:bCs/>
          <w:noProof/>
        </w:rPr>
        <w:t xml:space="preserve"> and the</w:t>
      </w:r>
      <w:r w:rsidRPr="00B07A75">
        <w:rPr>
          <w:rFonts w:hint="cs"/>
          <w:bCs/>
          <w:noProof/>
        </w:rPr>
        <w:t xml:space="preserve"> significant resources invested in its preparation </w:t>
      </w:r>
      <w:r w:rsidRPr="00B07A75">
        <w:rPr>
          <w:bCs/>
          <w:noProof/>
        </w:rPr>
        <w:t>with</w:t>
      </w:r>
      <w:r w:rsidRPr="00B07A75">
        <w:rPr>
          <w:rFonts w:hint="cs"/>
          <w:bCs/>
          <w:noProof/>
        </w:rPr>
        <w:t xml:space="preserve"> an extensive list of tasks </w:t>
      </w:r>
      <w:r w:rsidRPr="00B07A75">
        <w:rPr>
          <w:bCs/>
          <w:noProof/>
        </w:rPr>
        <w:t>to execute.</w:t>
      </w:r>
      <w:r w:rsidRPr="00B07A75">
        <w:rPr>
          <w:rFonts w:hint="cs"/>
          <w:bCs/>
          <w:noProof/>
        </w:rPr>
        <w:t xml:space="preserve"> Furthermore, </w:t>
      </w:r>
      <w:r w:rsidRPr="00B07A75">
        <w:rPr>
          <w:bCs/>
          <w:noProof/>
        </w:rPr>
        <w:t>the plan</w:t>
      </w:r>
      <w:r w:rsidRPr="00B07A75">
        <w:rPr>
          <w:rFonts w:hint="cs"/>
          <w:bCs/>
          <w:noProof/>
        </w:rPr>
        <w:t xml:space="preserve"> was submitted to the government in 2021 but was neither reviewed nor budgeted, which </w:t>
      </w:r>
      <w:r w:rsidRPr="00B07A75">
        <w:rPr>
          <w:bCs/>
          <w:noProof/>
        </w:rPr>
        <w:t>impaired</w:t>
      </w:r>
      <w:r w:rsidRPr="00B07A75">
        <w:rPr>
          <w:rFonts w:hint="cs"/>
          <w:bCs/>
          <w:noProof/>
        </w:rPr>
        <w:t xml:space="preserve"> its implementation. In 2022, the government adopt</w:t>
      </w:r>
      <w:r w:rsidRPr="00B07A75">
        <w:rPr>
          <w:bCs/>
          <w:noProof/>
        </w:rPr>
        <w:t>ed</w:t>
      </w:r>
      <w:r w:rsidRPr="00B07A75">
        <w:rPr>
          <w:rFonts w:hint="cs"/>
          <w:bCs/>
          <w:noProof/>
        </w:rPr>
        <w:t xml:space="preserve"> the principles of the multi-year national plan for road safety enhancement for 2022</w:t>
      </w:r>
      <w:r w:rsidRPr="00B07A75">
        <w:rPr>
          <w:noProof/>
        </w:rPr>
        <w:t>–</w:t>
      </w:r>
      <w:r w:rsidRPr="00B07A75">
        <w:rPr>
          <w:rFonts w:hint="cs"/>
          <w:bCs/>
          <w:noProof/>
        </w:rPr>
        <w:t xml:space="preserve">2027, which is an evolved version of the '50 to 30' Plan. However, </w:t>
      </w:r>
      <w:r w:rsidRPr="00B07A75">
        <w:rPr>
          <w:rFonts w:hint="cs"/>
          <w:bCs/>
          <w:noProof/>
        </w:rPr>
        <w:t xml:space="preserve">as a pilot phase, the initial stage of the plan's implementation </w:t>
      </w:r>
      <w:r w:rsidRPr="00B07A75">
        <w:rPr>
          <w:bCs/>
          <w:noProof/>
        </w:rPr>
        <w:t>included</w:t>
      </w:r>
      <w:r w:rsidRPr="00B07A75">
        <w:rPr>
          <w:rFonts w:hint="cs"/>
          <w:bCs/>
          <w:noProof/>
        </w:rPr>
        <w:t xml:space="preserve"> selecting a cluster of local authorities where the plan's recommendations would be promoted, with a budget allocation of only NIS 80 million. The government's decision stipulated that further budgeting for the plan w</w:t>
      </w:r>
      <w:r w:rsidRPr="00B07A75">
        <w:rPr>
          <w:bCs/>
          <w:noProof/>
        </w:rPr>
        <w:t>ould</w:t>
      </w:r>
      <w:r w:rsidRPr="00B07A75">
        <w:rPr>
          <w:rFonts w:hint="cs"/>
          <w:bCs/>
          <w:noProof/>
        </w:rPr>
        <w:t xml:space="preserve"> be examined as part of the approval of the next state budget</w:t>
      </w:r>
      <w:r>
        <w:rPr>
          <w:noProof/>
        </w:rPr>
        <w:t>.</w:t>
      </w:r>
      <w:r>
        <w:rPr>
          <w:bCs/>
          <w:noProof/>
        </w:rPr>
        <w:t xml:space="preserve"> </w:t>
      </w:r>
    </w:p>
    <w:p w:rsidR="00E83A18" w:rsidRPr="00AF3B73" w:rsidP="00E83A18" w14:paraId="172ED29D" w14:textId="77777777">
      <w:pPr>
        <w:pStyle w:val="73512"/>
        <w:bidi w:val="0"/>
        <w:rPr>
          <w:rtl/>
        </w:rPr>
      </w:pPr>
      <w:r w:rsidRPr="00897519">
        <w:rPr>
          <w:lang w:val="en"/>
        </w:rPr>
        <w:t xml:space="preserve">Budgets </w:t>
      </w:r>
      <w:r>
        <w:rPr>
          <w:lang w:val="en"/>
        </w:rPr>
        <w:t>A</w:t>
      </w:r>
      <w:r w:rsidRPr="00897519">
        <w:rPr>
          <w:lang w:val="en"/>
        </w:rPr>
        <w:t xml:space="preserve">llocated to </w:t>
      </w:r>
      <w:r>
        <w:rPr>
          <w:lang w:val="en"/>
        </w:rPr>
        <w:t>Fight</w:t>
      </w:r>
      <w:r w:rsidRPr="00897519">
        <w:rPr>
          <w:lang w:val="en"/>
        </w:rPr>
        <w:t xml:space="preserve"> </w:t>
      </w:r>
      <w:r>
        <w:rPr>
          <w:lang w:val="en"/>
        </w:rPr>
        <w:t>R</w:t>
      </w:r>
      <w:r w:rsidRPr="00897519">
        <w:rPr>
          <w:lang w:val="en"/>
        </w:rPr>
        <w:t xml:space="preserve">oad </w:t>
      </w:r>
      <w:r>
        <w:rPr>
          <w:lang w:val="en"/>
        </w:rPr>
        <w:t>A</w:t>
      </w:r>
      <w:r w:rsidRPr="00897519">
        <w:rPr>
          <w:lang w:val="en"/>
        </w:rPr>
        <w:t xml:space="preserve">ccidents </w:t>
      </w:r>
    </w:p>
    <w:p w:rsidR="00E83A18" w:rsidP="00E83A18" w14:paraId="54420463" w14:textId="7491DF08">
      <w:pPr>
        <w:pStyle w:val="7191"/>
        <w:bidi w:val="0"/>
        <w:spacing w:before="240"/>
        <w:ind w:left="397"/>
        <w:rPr>
          <w:noProof/>
        </w:rPr>
      </w:pPr>
      <w:r w:rsidRPr="008B12AD">
        <w:rPr>
          <w:rFonts w:hint="cs"/>
          <w:b/>
          <w:bCs/>
          <w:noProof/>
          <w:rtl/>
        </w:rPr>
        <w:drawing>
          <wp:anchor distT="0" distB="0" distL="0" distR="0" simplePos="0" relativeHeight="251714560"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75928262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82624"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B12AD">
        <w:rPr>
          <w:rFonts w:hint="cs"/>
          <w:b/>
          <w:bCs/>
          <w:noProof/>
        </w:rPr>
        <w:t xml:space="preserve">Consolidation of </w:t>
      </w:r>
      <w:r w:rsidRPr="008B12AD">
        <w:rPr>
          <w:b/>
          <w:bCs/>
          <w:noProof/>
        </w:rPr>
        <w:t>B</w:t>
      </w:r>
      <w:r w:rsidRPr="008B12AD">
        <w:rPr>
          <w:rFonts w:hint="cs"/>
          <w:b/>
          <w:bCs/>
          <w:noProof/>
        </w:rPr>
        <w:t xml:space="preserve">udgets </w:t>
      </w:r>
      <w:r w:rsidRPr="008B12AD">
        <w:rPr>
          <w:b/>
          <w:bCs/>
          <w:noProof/>
        </w:rPr>
        <w:t>A</w:t>
      </w:r>
      <w:r w:rsidRPr="008B12AD">
        <w:rPr>
          <w:rFonts w:hint="cs"/>
          <w:b/>
          <w:bCs/>
          <w:noProof/>
        </w:rPr>
        <w:t xml:space="preserve">llocated for the </w:t>
      </w:r>
      <w:r w:rsidRPr="008B12AD">
        <w:rPr>
          <w:b/>
          <w:bCs/>
          <w:noProof/>
        </w:rPr>
        <w:t>Fight –</w:t>
      </w:r>
      <w:r w:rsidRPr="008B12AD">
        <w:rPr>
          <w:rFonts w:hint="cs"/>
          <w:b/>
          <w:bCs/>
          <w:noProof/>
        </w:rPr>
        <w:t xml:space="preserve"> </w:t>
      </w:r>
      <w:r w:rsidRPr="00B07A75">
        <w:rPr>
          <w:rFonts w:hint="cs"/>
          <w:noProof/>
        </w:rPr>
        <w:t>in the RSA</w:t>
      </w:r>
      <w:r w:rsidRPr="00B07A75">
        <w:rPr>
          <w:noProof/>
        </w:rPr>
        <w:t>'s</w:t>
      </w:r>
      <w:r w:rsidRPr="00B07A75">
        <w:rPr>
          <w:rFonts w:hint="cs"/>
          <w:noProof/>
        </w:rPr>
        <w:t xml:space="preserve"> reports and on its website, there is no consolidat</w:t>
      </w:r>
      <w:r w:rsidRPr="00B07A75">
        <w:rPr>
          <w:noProof/>
        </w:rPr>
        <w:t>ed list</w:t>
      </w:r>
      <w:r w:rsidRPr="00B07A75">
        <w:rPr>
          <w:rFonts w:hint="cs"/>
          <w:noProof/>
        </w:rPr>
        <w:t xml:space="preserve"> of all the budgets allocated </w:t>
      </w:r>
      <w:r w:rsidRPr="00B07A75">
        <w:rPr>
          <w:noProof/>
        </w:rPr>
        <w:t xml:space="preserve">to government bodies </w:t>
      </w:r>
      <w:r w:rsidRPr="00B07A75">
        <w:rPr>
          <w:rFonts w:hint="cs"/>
          <w:noProof/>
        </w:rPr>
        <w:t xml:space="preserve">for </w:t>
      </w:r>
      <w:r w:rsidRPr="00B07A75">
        <w:rPr>
          <w:noProof/>
        </w:rPr>
        <w:t>performing</w:t>
      </w:r>
      <w:r w:rsidRPr="00B07A75">
        <w:rPr>
          <w:rFonts w:hint="cs"/>
          <w:noProof/>
        </w:rPr>
        <w:t xml:space="preserve"> road safety activities by the </w:t>
      </w:r>
      <w:r w:rsidRPr="00B07A75">
        <w:rPr>
          <w:noProof/>
        </w:rPr>
        <w:t>MOT</w:t>
      </w:r>
      <w:r w:rsidRPr="00B07A75">
        <w:rPr>
          <w:rFonts w:hint="cs"/>
          <w:noProof/>
        </w:rPr>
        <w:t xml:space="preserve">, the police, the </w:t>
      </w:r>
      <w:r w:rsidRPr="00B07A75">
        <w:rPr>
          <w:noProof/>
        </w:rPr>
        <w:t>MOT</w:t>
      </w:r>
      <w:r w:rsidRPr="00B07A75">
        <w:rPr>
          <w:rFonts w:hint="cs"/>
          <w:noProof/>
        </w:rPr>
        <w:t xml:space="preserve">'s infrastructure companies, the Courts Administration, the Ministry of Education, and others. Instead, only the RSA's budgets and its contributions to those of the Ministry of Education and the </w:t>
      </w:r>
      <w:r w:rsidRPr="00B07A75">
        <w:rPr>
          <w:noProof/>
        </w:rPr>
        <w:t>MOT</w:t>
      </w:r>
      <w:r w:rsidRPr="00B07A75">
        <w:rPr>
          <w:rFonts w:hint="cs"/>
          <w:noProof/>
        </w:rPr>
        <w:t xml:space="preserve"> are included. This information is neither measured nor published by any other governmental body. Due to the absence of organized reporting by these bodies, it is impossible to track these budgets. Budget allocations are sometimes designated for general activities, only a portion of which are for road safety (such as salary payments or traffic court activities). In addition, budgets are sometimes not directly allocated for road safety but for activities that contribute to road safety (such as road maintenance</w:t>
      </w:r>
      <w:r>
        <w:rPr>
          <w:noProof/>
        </w:rPr>
        <w:t>).</w:t>
      </w:r>
      <w:r>
        <w:rPr>
          <w:bCs/>
          <w:noProof/>
        </w:rPr>
        <w:t xml:space="preserve"> </w:t>
      </w:r>
    </w:p>
    <w:p w:rsidR="00E83A18" w:rsidRPr="00897519" w:rsidP="00E83A18" w14:paraId="7A22809D" w14:textId="77777777">
      <w:pPr>
        <w:pStyle w:val="73512"/>
        <w:bidi w:val="0"/>
      </w:pPr>
      <w:r w:rsidRPr="00897519">
        <w:rPr>
          <w:rFonts w:hint="cs"/>
          <w:lang w:val="en"/>
        </w:rPr>
        <w:t>National Road Safety Authority</w:t>
      </w:r>
    </w:p>
    <w:p w:rsidR="00E83A18" w:rsidRPr="00AF3B73" w:rsidP="00E83A18" w14:paraId="48B663A4" w14:textId="377D384B">
      <w:pPr>
        <w:pStyle w:val="7191"/>
        <w:bidi w:val="0"/>
        <w:spacing w:before="240"/>
        <w:ind w:left="397"/>
        <w:rPr>
          <w:noProof/>
          <w:rtl/>
        </w:rPr>
      </w:pPr>
      <w:r w:rsidRPr="008B12AD">
        <w:rPr>
          <w:rFonts w:hint="cs"/>
          <w:b/>
          <w:bCs/>
          <w:noProof/>
          <w:rtl/>
        </w:rPr>
        <w:drawing>
          <wp:anchor distT="0" distB="0" distL="0" distR="0" simplePos="0" relativeHeight="251715584"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21903375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033751"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B12AD">
        <w:rPr>
          <w:rFonts w:hint="cs"/>
          <w:b/>
          <w:bCs/>
          <w:noProof/>
        </w:rPr>
        <w:t xml:space="preserve">Staffing </w:t>
      </w:r>
      <w:r w:rsidRPr="008B12AD">
        <w:rPr>
          <w:b/>
          <w:bCs/>
          <w:noProof/>
        </w:rPr>
        <w:t>L</w:t>
      </w:r>
      <w:r w:rsidRPr="008B12AD">
        <w:rPr>
          <w:rFonts w:hint="cs"/>
          <w:b/>
          <w:bCs/>
          <w:noProof/>
        </w:rPr>
        <w:t xml:space="preserve">evels at the </w:t>
      </w:r>
      <w:r w:rsidRPr="008B12AD">
        <w:rPr>
          <w:b/>
          <w:bCs/>
          <w:noProof/>
        </w:rPr>
        <w:t>RSA –</w:t>
      </w:r>
      <w:r w:rsidRPr="00B07A75">
        <w:rPr>
          <w:rFonts w:hint="cs"/>
          <w:noProof/>
        </w:rPr>
        <w:t xml:space="preserve"> as of January 2023, there </w:t>
      </w:r>
      <w:r w:rsidRPr="00B07A75">
        <w:rPr>
          <w:noProof/>
        </w:rPr>
        <w:t xml:space="preserve">were unfilled positions </w:t>
      </w:r>
      <w:r w:rsidRPr="00B07A75">
        <w:rPr>
          <w:rFonts w:hint="cs"/>
          <w:noProof/>
        </w:rPr>
        <w:t xml:space="preserve"> at the RSA. Out of 72 positions, nine (</w:t>
      </w:r>
      <w:r w:rsidRPr="00B07A75">
        <w:rPr>
          <w:noProof/>
        </w:rPr>
        <w:t>about</w:t>
      </w:r>
      <w:r w:rsidRPr="00B07A75">
        <w:rPr>
          <w:rFonts w:hint="cs"/>
          <w:noProof/>
        </w:rPr>
        <w:t xml:space="preserve"> 12%) were </w:t>
      </w:r>
      <w:r w:rsidRPr="00B07A75">
        <w:rPr>
          <w:noProof/>
        </w:rPr>
        <w:t>not staffed.</w:t>
      </w:r>
      <w:r w:rsidRPr="00B07A75">
        <w:rPr>
          <w:rFonts w:hint="cs"/>
          <w:noProof/>
        </w:rPr>
        <w:t xml:space="preserve"> The </w:t>
      </w:r>
      <w:r w:rsidRPr="00B07A75">
        <w:rPr>
          <w:noProof/>
        </w:rPr>
        <w:t>RSA stated</w:t>
      </w:r>
      <w:r w:rsidRPr="00B07A75">
        <w:rPr>
          <w:rFonts w:hint="cs"/>
          <w:noProof/>
        </w:rPr>
        <w:t xml:space="preserve"> to the State Comptroller's Office that it believes there is a need to update the organizational structure in line with the roles defined by law for the RSA and that the shortage of certain personnel compromises the </w:t>
      </w:r>
      <w:r w:rsidRPr="00B07A75">
        <w:rPr>
          <w:noProof/>
        </w:rPr>
        <w:t>RSA</w:t>
      </w:r>
      <w:r w:rsidRPr="00B07A75">
        <w:rPr>
          <w:rFonts w:hint="cs"/>
          <w:noProof/>
        </w:rPr>
        <w:t>'s functioning</w:t>
      </w:r>
      <w:r>
        <w:rPr>
          <w:noProof/>
        </w:rPr>
        <w:t>.</w:t>
      </w:r>
      <w:r>
        <w:rPr>
          <w:bCs/>
          <w:noProof/>
        </w:rPr>
        <w:t xml:space="preserve"> </w:t>
      </w:r>
    </w:p>
    <w:p w:rsidR="00E83A18" w:rsidRPr="00AF3B73" w:rsidP="00E83A18" w14:paraId="4FCD3087" w14:textId="2E119E0D">
      <w:pPr>
        <w:pStyle w:val="7191"/>
        <w:bidi w:val="0"/>
        <w:spacing w:before="240"/>
        <w:ind w:left="397"/>
        <w:rPr>
          <w:noProof/>
          <w:rtl/>
        </w:rPr>
      </w:pPr>
      <w:r w:rsidRPr="008B12AD">
        <w:rPr>
          <w:rFonts w:hint="cs"/>
          <w:b/>
          <w:bCs/>
          <w:noProof/>
          <w:rtl/>
        </w:rPr>
        <w:drawing>
          <wp:anchor distT="0" distB="0" distL="0" distR="0" simplePos="0" relativeHeight="251716608"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9517125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712529"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B12AD">
        <w:rPr>
          <w:rFonts w:hint="cs"/>
          <w:b/>
          <w:bCs/>
          <w:noProof/>
        </w:rPr>
        <w:t>Appoint</w:t>
      </w:r>
      <w:r w:rsidRPr="008B12AD">
        <w:rPr>
          <w:b/>
          <w:bCs/>
          <w:noProof/>
        </w:rPr>
        <w:t>ing</w:t>
      </w:r>
      <w:r w:rsidRPr="008B12AD">
        <w:rPr>
          <w:rFonts w:hint="cs"/>
          <w:b/>
          <w:bCs/>
          <w:noProof/>
        </w:rPr>
        <w:t xml:space="preserve"> </w:t>
      </w:r>
      <w:r w:rsidRPr="008B12AD">
        <w:rPr>
          <w:b/>
          <w:bCs/>
          <w:noProof/>
        </w:rPr>
        <w:t>C</w:t>
      </w:r>
      <w:r w:rsidRPr="008B12AD">
        <w:rPr>
          <w:rFonts w:hint="cs"/>
          <w:b/>
          <w:bCs/>
          <w:noProof/>
        </w:rPr>
        <w:t xml:space="preserve">ouncil </w:t>
      </w:r>
      <w:r w:rsidRPr="008B12AD">
        <w:rPr>
          <w:b/>
          <w:bCs/>
          <w:noProof/>
        </w:rPr>
        <w:t>M</w:t>
      </w:r>
      <w:r w:rsidRPr="008B12AD">
        <w:rPr>
          <w:rFonts w:hint="cs"/>
          <w:b/>
          <w:bCs/>
          <w:noProof/>
        </w:rPr>
        <w:t>embers</w:t>
      </w:r>
      <w:r w:rsidRPr="008B12AD">
        <w:rPr>
          <w:b/>
          <w:bCs/>
          <w:noProof/>
        </w:rPr>
        <w:t xml:space="preserve"> –</w:t>
      </w:r>
      <w:r w:rsidRPr="00B07A75">
        <w:rPr>
          <w:rFonts w:hint="cs"/>
          <w:bCs/>
          <w:noProof/>
        </w:rPr>
        <w:t xml:space="preserve"> the RSA Council operated for </w:t>
      </w:r>
      <w:r w:rsidRPr="00B07A75">
        <w:rPr>
          <w:bCs/>
          <w:noProof/>
        </w:rPr>
        <w:t xml:space="preserve">about </w:t>
      </w:r>
      <w:r w:rsidRPr="00B07A75">
        <w:rPr>
          <w:rFonts w:hint="cs"/>
          <w:bCs/>
          <w:noProof/>
        </w:rPr>
        <w:t>two years, from April 2020 to February 2022, without a quorum</w:t>
      </w:r>
      <w:r w:rsidRPr="00B07A75">
        <w:rPr>
          <w:bCs/>
          <w:noProof/>
        </w:rPr>
        <w:t xml:space="preserve"> and it</w:t>
      </w:r>
      <w:r w:rsidRPr="00B07A75">
        <w:rPr>
          <w:rFonts w:hint="cs"/>
          <w:bCs/>
          <w:noProof/>
        </w:rPr>
        <w:t xml:space="preserve"> </w:t>
      </w:r>
      <w:r w:rsidRPr="00B07A75">
        <w:rPr>
          <w:bCs/>
          <w:noProof/>
        </w:rPr>
        <w:t xml:space="preserve">lacked many </w:t>
      </w:r>
      <w:r w:rsidRPr="00B07A75">
        <w:rPr>
          <w:rFonts w:hint="cs"/>
          <w:bCs/>
          <w:noProof/>
        </w:rPr>
        <w:t>members</w:t>
      </w:r>
      <w:r w:rsidRPr="00B07A75">
        <w:rPr>
          <w:bCs/>
          <w:noProof/>
        </w:rPr>
        <w:t xml:space="preserve">. </w:t>
      </w:r>
      <w:r w:rsidRPr="00B07A75">
        <w:rPr>
          <w:rFonts w:hint="cs"/>
          <w:bCs/>
          <w:noProof/>
        </w:rPr>
        <w:t xml:space="preserve">During this period, the then-Chairman of the </w:t>
      </w:r>
      <w:r w:rsidRPr="00B07A75">
        <w:rPr>
          <w:bCs/>
          <w:noProof/>
        </w:rPr>
        <w:t>RSA</w:t>
      </w:r>
      <w:r w:rsidRPr="00B07A75">
        <w:rPr>
          <w:rFonts w:hint="cs"/>
          <w:bCs/>
          <w:noProof/>
        </w:rPr>
        <w:t xml:space="preserve"> </w:t>
      </w:r>
      <w:r w:rsidRPr="00B07A75">
        <w:rPr>
          <w:bCs/>
          <w:noProof/>
        </w:rPr>
        <w:t>addressed</w:t>
      </w:r>
      <w:r w:rsidRPr="00B07A75">
        <w:rPr>
          <w:rFonts w:hint="cs"/>
          <w:bCs/>
          <w:noProof/>
        </w:rPr>
        <w:t xml:space="preserve"> the offices of various ministers and other</w:t>
      </w:r>
      <w:r w:rsidRPr="00B07A75">
        <w:rPr>
          <w:bCs/>
          <w:noProof/>
        </w:rPr>
        <w:t xml:space="preserve"> departments</w:t>
      </w:r>
      <w:r w:rsidRPr="00B07A75">
        <w:rPr>
          <w:rFonts w:hint="cs"/>
          <w:bCs/>
          <w:noProof/>
        </w:rPr>
        <w:t xml:space="preserve"> in the Ministries of Finance, Health, and Internal Security regarding </w:t>
      </w:r>
      <w:r w:rsidRPr="00B07A75">
        <w:rPr>
          <w:bCs/>
          <w:noProof/>
        </w:rPr>
        <w:t>appointing</w:t>
      </w:r>
      <w:r w:rsidRPr="00B07A75">
        <w:rPr>
          <w:rFonts w:hint="cs"/>
          <w:bCs/>
          <w:noProof/>
        </w:rPr>
        <w:t xml:space="preserve"> their representatives to the RSA Council. </w:t>
      </w:r>
      <w:r w:rsidRPr="00B07A75">
        <w:rPr>
          <w:bCs/>
          <w:noProof/>
        </w:rPr>
        <w:t>However</w:t>
      </w:r>
      <w:r w:rsidRPr="00B07A75">
        <w:rPr>
          <w:rFonts w:hint="cs"/>
          <w:bCs/>
          <w:noProof/>
        </w:rPr>
        <w:t xml:space="preserve">, the Ministers of Transportation, Internal Security, and Education appointed </w:t>
      </w:r>
      <w:r w:rsidRPr="00B07A75">
        <w:rPr>
          <w:bCs/>
          <w:noProof/>
        </w:rPr>
        <w:t xml:space="preserve">their </w:t>
      </w:r>
      <w:r w:rsidRPr="00B07A75">
        <w:rPr>
          <w:rFonts w:hint="cs"/>
          <w:bCs/>
          <w:noProof/>
        </w:rPr>
        <w:t xml:space="preserve">representatives to the Council only in June 2022, while </w:t>
      </w:r>
      <w:r w:rsidRPr="00B07A75">
        <w:rPr>
          <w:bCs/>
          <w:noProof/>
        </w:rPr>
        <w:t>the Ministers of Finance and Health did not appoint representatives</w:t>
      </w:r>
      <w:r w:rsidRPr="00B07A75">
        <w:rPr>
          <w:rFonts w:hint="cs"/>
          <w:bCs/>
          <w:noProof/>
        </w:rPr>
        <w:t>. In addition, during this period, the government did not appoint public representatives to the Council. Furthermore, from August 2023 to December 2023, the Council operated without a Chairman.</w:t>
      </w:r>
      <w:r w:rsidRPr="00B07A75">
        <w:rPr>
          <w:bCs/>
          <w:noProof/>
        </w:rPr>
        <w:t xml:space="preserve"> The failure to appoint council members hinderd the council's operation</w:t>
      </w:r>
      <w:r>
        <w:rPr>
          <w:noProof/>
        </w:rPr>
        <w:t>.</w:t>
      </w:r>
      <w:r>
        <w:rPr>
          <w:bCs/>
          <w:noProof/>
        </w:rPr>
        <w:t xml:space="preserve"> </w:t>
      </w:r>
    </w:p>
    <w:p w:rsidR="00E83A18" w:rsidRPr="00AF3B73" w:rsidP="00E83A18" w14:paraId="7D144FCA" w14:textId="01E6D6D0">
      <w:pPr>
        <w:pStyle w:val="7191"/>
        <w:bidi w:val="0"/>
        <w:spacing w:before="240"/>
        <w:ind w:left="397"/>
        <w:rPr>
          <w:noProof/>
          <w:rtl/>
        </w:rPr>
      </w:pPr>
      <w:r w:rsidRPr="008B12AD">
        <w:rPr>
          <w:rFonts w:hint="cs"/>
          <w:b/>
          <w:bCs/>
          <w:noProof/>
          <w:rtl/>
        </w:rPr>
        <w:drawing>
          <wp:anchor distT="0" distB="0" distL="0" distR="0" simplePos="0" relativeHeight="251717632"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8252829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28295"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B12AD">
        <w:rPr>
          <w:rFonts w:hint="cs"/>
          <w:b/>
          <w:bCs/>
          <w:noProof/>
        </w:rPr>
        <w:t>Appointment of CEO</w:t>
      </w:r>
      <w:r w:rsidRPr="008B12AD">
        <w:rPr>
          <w:b/>
          <w:bCs/>
          <w:noProof/>
        </w:rPr>
        <w:t xml:space="preserve"> –</w:t>
      </w:r>
      <w:r w:rsidRPr="00B07A75">
        <w:rPr>
          <w:noProof/>
        </w:rPr>
        <w:t xml:space="preserve"> i</w:t>
      </w:r>
      <w:r w:rsidRPr="00B07A75">
        <w:rPr>
          <w:rFonts w:hint="cs"/>
          <w:bCs/>
          <w:noProof/>
        </w:rPr>
        <w:t xml:space="preserve">n January 2021, the </w:t>
      </w:r>
      <w:r w:rsidRPr="00B07A75">
        <w:rPr>
          <w:bCs/>
          <w:noProof/>
        </w:rPr>
        <w:t>RSA</w:t>
      </w:r>
      <w:r w:rsidRPr="00B07A75">
        <w:rPr>
          <w:rFonts w:hint="cs"/>
          <w:bCs/>
          <w:noProof/>
        </w:rPr>
        <w:t xml:space="preserve">'s former CEO completed her tenure, and a new one was appointed in June 2022. The lack of a quorum in the RSA Council delayed the CEO's appointment, resulting in an acting CEO serving for </w:t>
      </w:r>
      <w:r w:rsidRPr="00B07A75">
        <w:rPr>
          <w:bCs/>
          <w:noProof/>
        </w:rPr>
        <w:t>about</w:t>
      </w:r>
      <w:r w:rsidRPr="00B07A75">
        <w:rPr>
          <w:rFonts w:hint="cs"/>
          <w:bCs/>
          <w:noProof/>
        </w:rPr>
        <w:t xml:space="preserve"> a year and </w:t>
      </w:r>
      <w:r w:rsidRPr="00B07A75">
        <w:rPr>
          <w:rFonts w:hint="cs"/>
          <w:bCs/>
          <w:noProof/>
        </w:rPr>
        <w:t>a half. The absence of a quorum and the delayed appointment of a CEO reflect a</w:t>
      </w:r>
      <w:r w:rsidRPr="00B07A75">
        <w:rPr>
          <w:bCs/>
          <w:noProof/>
        </w:rPr>
        <w:t xml:space="preserve"> contradiction</w:t>
      </w:r>
      <w:r w:rsidRPr="00B07A75">
        <w:rPr>
          <w:rFonts w:hint="cs"/>
          <w:bCs/>
          <w:noProof/>
        </w:rPr>
        <w:t xml:space="preserve"> between the government's actions and the importance of the fight against road accidents, potentially compromising the organization's routine functioning, work processes, and achievement of its goals</w:t>
      </w:r>
      <w:r>
        <w:rPr>
          <w:noProof/>
        </w:rPr>
        <w:t>.</w:t>
      </w:r>
      <w:r>
        <w:rPr>
          <w:bCs/>
          <w:noProof/>
        </w:rPr>
        <w:t xml:space="preserve"> </w:t>
      </w:r>
    </w:p>
    <w:p w:rsidR="00E83A18" w:rsidRPr="00AF3B73" w:rsidP="00E83A18" w14:paraId="099A1682" w14:textId="5EE9E2F1">
      <w:pPr>
        <w:pStyle w:val="7191"/>
        <w:bidi w:val="0"/>
        <w:spacing w:before="240"/>
        <w:ind w:left="397"/>
        <w:rPr>
          <w:noProof/>
          <w:rtl/>
        </w:rPr>
      </w:pPr>
      <w:r w:rsidRPr="008B12AD">
        <w:rPr>
          <w:rFonts w:hint="cs"/>
          <w:b/>
          <w:bCs/>
          <w:noProof/>
          <w:rtl/>
        </w:rPr>
        <w:drawing>
          <wp:anchor distT="0" distB="0" distL="0" distR="0" simplePos="0" relativeHeight="251718656"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91969736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697360"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B12AD">
        <w:rPr>
          <w:rFonts w:hint="cs"/>
          <w:b/>
          <w:bCs/>
          <w:noProof/>
        </w:rPr>
        <w:t xml:space="preserve">The </w:t>
      </w:r>
      <w:r w:rsidRPr="008B12AD">
        <w:rPr>
          <w:b/>
          <w:bCs/>
          <w:noProof/>
        </w:rPr>
        <w:t>RSA</w:t>
      </w:r>
      <w:r w:rsidRPr="008B12AD">
        <w:rPr>
          <w:rFonts w:hint="cs"/>
          <w:b/>
          <w:bCs/>
          <w:noProof/>
        </w:rPr>
        <w:t xml:space="preserve">'s </w:t>
      </w:r>
      <w:r w:rsidRPr="008B12AD">
        <w:rPr>
          <w:b/>
          <w:bCs/>
          <w:noProof/>
        </w:rPr>
        <w:t>B</w:t>
      </w:r>
      <w:r w:rsidRPr="008B12AD">
        <w:rPr>
          <w:rFonts w:hint="cs"/>
          <w:b/>
          <w:bCs/>
          <w:noProof/>
        </w:rPr>
        <w:t>udget</w:t>
      </w:r>
      <w:r w:rsidRPr="008B12AD">
        <w:rPr>
          <w:b/>
          <w:bCs/>
          <w:noProof/>
        </w:rPr>
        <w:t xml:space="preserve"> –</w:t>
      </w:r>
      <w:r w:rsidRPr="00B07A75">
        <w:rPr>
          <w:rFonts w:hint="cs"/>
          <w:bCs/>
          <w:noProof/>
        </w:rPr>
        <w:t xml:space="preserve"> since the RSA was established,</w:t>
      </w:r>
      <w:r w:rsidRPr="00B07A75">
        <w:rPr>
          <w:bCs/>
          <w:noProof/>
        </w:rPr>
        <w:t xml:space="preserve"> its</w:t>
      </w:r>
      <w:r w:rsidRPr="00B07A75">
        <w:rPr>
          <w:rFonts w:hint="cs"/>
          <w:bCs/>
          <w:noProof/>
        </w:rPr>
        <w:t xml:space="preserve"> budgets </w:t>
      </w:r>
      <w:r w:rsidRPr="00B07A75">
        <w:rPr>
          <w:bCs/>
          <w:noProof/>
        </w:rPr>
        <w:t>have been</w:t>
      </w:r>
      <w:r w:rsidRPr="00B07A75">
        <w:rPr>
          <w:rFonts w:hint="cs"/>
          <w:bCs/>
          <w:noProof/>
        </w:rPr>
        <w:t xml:space="preserve"> </w:t>
      </w:r>
      <w:r w:rsidRPr="00B07A75">
        <w:rPr>
          <w:bCs/>
          <w:noProof/>
        </w:rPr>
        <w:t>used</w:t>
      </w:r>
      <w:r w:rsidRPr="00B07A75">
        <w:rPr>
          <w:rFonts w:hint="cs"/>
          <w:bCs/>
          <w:noProof/>
        </w:rPr>
        <w:t xml:space="preserve"> for its activities and allocations to </w:t>
      </w:r>
      <w:r w:rsidRPr="00B07A75">
        <w:rPr>
          <w:bCs/>
          <w:noProof/>
        </w:rPr>
        <w:t xml:space="preserve">other bodies </w:t>
      </w:r>
      <w:r w:rsidRPr="00B07A75">
        <w:rPr>
          <w:rFonts w:hint="cs"/>
          <w:bCs/>
          <w:noProof/>
        </w:rPr>
        <w:t xml:space="preserve">have significantly decreased, from </w:t>
      </w:r>
      <w:r w:rsidRPr="00B07A75">
        <w:rPr>
          <w:bCs/>
          <w:noProof/>
        </w:rPr>
        <w:t xml:space="preserve">about </w:t>
      </w:r>
      <w:r w:rsidRPr="00B07A75">
        <w:rPr>
          <w:rFonts w:hint="cs"/>
          <w:bCs/>
          <w:noProof/>
        </w:rPr>
        <w:t xml:space="preserve">NIS 382 million in 2008 to </w:t>
      </w:r>
      <w:r w:rsidRPr="00B07A75">
        <w:rPr>
          <w:bCs/>
          <w:noProof/>
        </w:rPr>
        <w:t>about</w:t>
      </w:r>
      <w:r w:rsidRPr="00B07A75">
        <w:rPr>
          <w:rFonts w:hint="cs"/>
          <w:bCs/>
          <w:noProof/>
        </w:rPr>
        <w:t xml:space="preserve"> NIS 141 million in 2022. The budget reduction occurred partly because some funds initially allocated in the RSA's budget to be transferred to other </w:t>
      </w:r>
      <w:r w:rsidRPr="00B07A75">
        <w:rPr>
          <w:bCs/>
          <w:noProof/>
        </w:rPr>
        <w:t>bodies</w:t>
      </w:r>
      <w:r w:rsidRPr="00B07A75">
        <w:rPr>
          <w:rFonts w:hint="cs"/>
          <w:bCs/>
          <w:noProof/>
        </w:rPr>
        <w:t xml:space="preserve"> are now directly budgeted within those </w:t>
      </w:r>
      <w:r w:rsidRPr="00B07A75">
        <w:rPr>
          <w:bCs/>
          <w:noProof/>
        </w:rPr>
        <w:t>bodies</w:t>
      </w:r>
      <w:r w:rsidRPr="00B07A75">
        <w:rPr>
          <w:rFonts w:hint="cs"/>
          <w:bCs/>
          <w:noProof/>
        </w:rPr>
        <w:t xml:space="preserve">' budgets. This has impaired the </w:t>
      </w:r>
      <w:r w:rsidRPr="00B07A75">
        <w:rPr>
          <w:bCs/>
          <w:noProof/>
        </w:rPr>
        <w:t>RSA</w:t>
      </w:r>
      <w:r w:rsidRPr="00B07A75">
        <w:rPr>
          <w:rFonts w:hint="cs"/>
          <w:bCs/>
          <w:noProof/>
        </w:rPr>
        <w:t xml:space="preserve">'s ability to outline processes and actions to </w:t>
      </w:r>
      <w:r w:rsidRPr="00B07A75">
        <w:rPr>
          <w:bCs/>
          <w:noProof/>
        </w:rPr>
        <w:t>fight</w:t>
      </w:r>
      <w:r w:rsidRPr="00B07A75">
        <w:rPr>
          <w:rFonts w:hint="cs"/>
          <w:bCs/>
          <w:noProof/>
        </w:rPr>
        <w:t xml:space="preserve"> road accidents, particularly during a </w:t>
      </w:r>
      <w:r w:rsidRPr="00B07A75">
        <w:rPr>
          <w:bCs/>
          <w:noProof/>
        </w:rPr>
        <w:t xml:space="preserve">period of </w:t>
      </w:r>
      <w:r w:rsidRPr="00B07A75">
        <w:rPr>
          <w:rFonts w:hint="cs"/>
          <w:bCs/>
          <w:noProof/>
        </w:rPr>
        <w:t xml:space="preserve">significant population growth, increased mileage, a rise in the number of vehicles and road length, and numerous transportation changes, such as </w:t>
      </w:r>
      <w:r w:rsidRPr="00B07A75">
        <w:rPr>
          <w:bCs/>
          <w:noProof/>
        </w:rPr>
        <w:t>the</w:t>
      </w:r>
      <w:r w:rsidRPr="00B07A75">
        <w:rPr>
          <w:rFonts w:hint="cs"/>
          <w:bCs/>
          <w:noProof/>
        </w:rPr>
        <w:t xml:space="preserve"> </w:t>
      </w:r>
      <w:r w:rsidRPr="00B07A75">
        <w:rPr>
          <w:bCs/>
          <w:noProof/>
        </w:rPr>
        <w:t xml:space="preserve">introduction of </w:t>
      </w:r>
      <w:r w:rsidRPr="00B07A75">
        <w:rPr>
          <w:rFonts w:hint="cs"/>
          <w:bCs/>
          <w:noProof/>
        </w:rPr>
        <w:t>electric micro-vehicles</w:t>
      </w:r>
      <w:r>
        <w:rPr>
          <w:noProof/>
        </w:rPr>
        <w:t>.</w:t>
      </w:r>
      <w:r>
        <w:rPr>
          <w:bCs/>
          <w:noProof/>
        </w:rPr>
        <w:t xml:space="preserve"> </w:t>
      </w:r>
    </w:p>
    <w:p w:rsidR="00E83A18" w:rsidRPr="00AF3B73" w:rsidP="00E83A18" w14:paraId="4A51BF81" w14:textId="104554C7">
      <w:pPr>
        <w:pStyle w:val="7191"/>
        <w:bidi w:val="0"/>
        <w:spacing w:before="240"/>
        <w:ind w:left="397"/>
        <w:rPr>
          <w:noProof/>
          <w:rtl/>
        </w:rPr>
      </w:pPr>
      <w:r w:rsidRPr="008B12AD">
        <w:rPr>
          <w:rFonts w:hint="cs"/>
          <w:b/>
          <w:bCs/>
          <w:noProof/>
          <w:rtl/>
        </w:rPr>
        <w:drawing>
          <wp:anchor distT="0" distB="0" distL="0" distR="0" simplePos="0" relativeHeight="251719680"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92319328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93282"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B12AD">
        <w:rPr>
          <w:rFonts w:hint="cs"/>
          <w:b/>
          <w:bCs/>
          <w:noProof/>
        </w:rPr>
        <w:t xml:space="preserve">Participation in </w:t>
      </w:r>
      <w:r w:rsidRPr="008B12AD">
        <w:rPr>
          <w:b/>
          <w:bCs/>
          <w:noProof/>
        </w:rPr>
        <w:t>O</w:t>
      </w:r>
      <w:r w:rsidRPr="008B12AD">
        <w:rPr>
          <w:rFonts w:hint="cs"/>
          <w:b/>
          <w:bCs/>
          <w:noProof/>
        </w:rPr>
        <w:t xml:space="preserve">ther </w:t>
      </w:r>
      <w:r w:rsidRPr="008B12AD">
        <w:rPr>
          <w:b/>
          <w:bCs/>
          <w:noProof/>
        </w:rPr>
        <w:t>Bodies</w:t>
      </w:r>
      <w:r w:rsidRPr="008B12AD">
        <w:rPr>
          <w:rFonts w:hint="cs"/>
          <w:b/>
          <w:bCs/>
          <w:noProof/>
        </w:rPr>
        <w:t xml:space="preserve">' </w:t>
      </w:r>
      <w:r w:rsidRPr="008B12AD">
        <w:rPr>
          <w:b/>
          <w:bCs/>
          <w:noProof/>
        </w:rPr>
        <w:t>B</w:t>
      </w:r>
      <w:r w:rsidRPr="008B12AD">
        <w:rPr>
          <w:rFonts w:hint="cs"/>
          <w:b/>
          <w:bCs/>
          <w:noProof/>
        </w:rPr>
        <w:t>udgets</w:t>
      </w:r>
      <w:r w:rsidRPr="008B12AD">
        <w:rPr>
          <w:b/>
          <w:bCs/>
          <w:noProof/>
        </w:rPr>
        <w:t xml:space="preserve"> –</w:t>
      </w:r>
      <w:r w:rsidRPr="00B07A75">
        <w:rPr>
          <w:rFonts w:hint="cs"/>
          <w:bCs/>
          <w:noProof/>
        </w:rPr>
        <w:t xml:space="preserve"> in its initial years of operation, the RSA participated in the budgets of several bodies; however, it failed to influence the allocation of funds for various activities based on professional considerations nor supervise the expenditure and implementation of these actions. Over the years, the government's budget model regarding road safety has changed: in 2008, the RSA allocated </w:t>
      </w:r>
      <w:r w:rsidRPr="00B07A75">
        <w:rPr>
          <w:bCs/>
          <w:noProof/>
        </w:rPr>
        <w:t>about</w:t>
      </w:r>
      <w:r w:rsidRPr="00B07A75">
        <w:rPr>
          <w:rFonts w:hint="cs"/>
          <w:bCs/>
          <w:noProof/>
        </w:rPr>
        <w:t xml:space="preserve"> NIS 170 million to various bodies for road safety activities. Over time, the RSA's participation in these bodies' budgets gradually decreased. For some, funding was even discontinued (for example, budgets that</w:t>
      </w:r>
      <w:r w:rsidRPr="00B07A75">
        <w:rPr>
          <w:noProof/>
        </w:rPr>
        <w:t xml:space="preserve"> </w:t>
      </w:r>
      <w:r w:rsidRPr="00B07A75">
        <w:rPr>
          <w:bCs/>
          <w:noProof/>
        </w:rPr>
        <w:t>at their peak were</w:t>
      </w:r>
      <w:r w:rsidRPr="00B07A75">
        <w:rPr>
          <w:noProof/>
        </w:rPr>
        <w:t xml:space="preserve"> </w:t>
      </w:r>
      <w:r w:rsidRPr="00B07A75">
        <w:rPr>
          <w:bCs/>
          <w:noProof/>
        </w:rPr>
        <w:t xml:space="preserve">about </w:t>
      </w:r>
      <w:r w:rsidRPr="00B07A75">
        <w:rPr>
          <w:rFonts w:hint="cs"/>
          <w:bCs/>
          <w:noProof/>
        </w:rPr>
        <w:t xml:space="preserve">NIS 104 million for the police, </w:t>
      </w:r>
      <w:r w:rsidRPr="00B07A75">
        <w:rPr>
          <w:bCs/>
          <w:noProof/>
        </w:rPr>
        <w:t>about</w:t>
      </w:r>
      <w:r w:rsidRPr="00B07A75">
        <w:rPr>
          <w:rFonts w:hint="cs"/>
          <w:bCs/>
          <w:noProof/>
        </w:rPr>
        <w:t xml:space="preserve"> NIS 10 million for judicial salaries, and NIS 3 million for the Ministry of Welfare). In 2022, the RSA contributed </w:t>
      </w:r>
      <w:r w:rsidRPr="00B07A75">
        <w:rPr>
          <w:bCs/>
          <w:noProof/>
        </w:rPr>
        <w:t>about</w:t>
      </w:r>
      <w:r w:rsidRPr="00B07A75">
        <w:rPr>
          <w:rFonts w:hint="cs"/>
          <w:bCs/>
          <w:noProof/>
        </w:rPr>
        <w:t xml:space="preserve"> NIS 19 million to fund activities solely for the Ministry of Education and the </w:t>
      </w:r>
      <w:r w:rsidRPr="00B07A75">
        <w:rPr>
          <w:bCs/>
          <w:noProof/>
        </w:rPr>
        <w:t>MOT</w:t>
      </w:r>
      <w:r w:rsidRPr="00B07A75">
        <w:rPr>
          <w:rFonts w:hint="cs"/>
          <w:bCs/>
          <w:noProof/>
        </w:rPr>
        <w:t xml:space="preserve">. The reduction in the RSA's participation in other bodies' budgets further diminished its influence on shaping policy in road safety and integrating government activities in this area. Furthermore, its capacity to oversee budget utilization and the implementation of actions by other </w:t>
      </w:r>
      <w:r w:rsidRPr="00B07A75">
        <w:rPr>
          <w:bCs/>
          <w:noProof/>
        </w:rPr>
        <w:t>bodies</w:t>
      </w:r>
      <w:r w:rsidRPr="00B07A75">
        <w:rPr>
          <w:rFonts w:hint="cs"/>
          <w:bCs/>
          <w:noProof/>
        </w:rPr>
        <w:t xml:space="preserve"> was undermined</w:t>
      </w:r>
      <w:r w:rsidRPr="00B07A75">
        <w:rPr>
          <w:bCs/>
          <w:noProof/>
        </w:rPr>
        <w:t>. The RSA lost the</w:t>
      </w:r>
      <w:r w:rsidRPr="00B07A75">
        <w:rPr>
          <w:rFonts w:hint="cs"/>
          <w:bCs/>
          <w:noProof/>
        </w:rPr>
        <w:t xml:space="preserve"> ability to monitor the effectiveness of these measures. All of this </w:t>
      </w:r>
      <w:r w:rsidRPr="00B07A75">
        <w:rPr>
          <w:bCs/>
          <w:noProof/>
        </w:rPr>
        <w:t xml:space="preserve">is </w:t>
      </w:r>
      <w:r w:rsidRPr="00B07A75">
        <w:rPr>
          <w:rFonts w:hint="cs"/>
          <w:bCs/>
          <w:noProof/>
        </w:rPr>
        <w:t xml:space="preserve">contrary to the recommendations of the </w:t>
      </w:r>
      <w:r w:rsidRPr="00B07A75">
        <w:rPr>
          <w:bCs/>
          <w:noProof/>
        </w:rPr>
        <w:t>Sheinin</w:t>
      </w:r>
      <w:r w:rsidRPr="00B07A75">
        <w:rPr>
          <w:rFonts w:hint="cs"/>
          <w:bCs/>
          <w:noProof/>
        </w:rPr>
        <w:t xml:space="preserve"> Committee adopted by the government, </w:t>
      </w:r>
      <w:r w:rsidRPr="00B07A75">
        <w:rPr>
          <w:bCs/>
          <w:noProof/>
        </w:rPr>
        <w:t xml:space="preserve">and </w:t>
      </w:r>
      <w:r w:rsidRPr="00B07A75">
        <w:rPr>
          <w:rFonts w:hint="cs"/>
          <w:bCs/>
          <w:noProof/>
        </w:rPr>
        <w:t>without achieving significant improvement in road safety conditions</w:t>
      </w:r>
      <w:r>
        <w:rPr>
          <w:noProof/>
        </w:rPr>
        <w:t>.</w:t>
      </w:r>
      <w:r>
        <w:rPr>
          <w:bCs/>
          <w:noProof/>
        </w:rPr>
        <w:t xml:space="preserve"> </w:t>
      </w:r>
    </w:p>
    <w:p w:rsidR="00E83A18" w:rsidP="00E83A18" w14:paraId="7AFEFDFA" w14:textId="0882AB5C">
      <w:pPr>
        <w:pStyle w:val="7191"/>
        <w:bidi w:val="0"/>
        <w:spacing w:before="240"/>
        <w:ind w:left="397"/>
        <w:rPr>
          <w:noProof/>
        </w:rPr>
      </w:pPr>
      <w:r w:rsidRPr="008B12AD">
        <w:rPr>
          <w:rFonts w:hint="cs"/>
          <w:b/>
          <w:bCs/>
          <w:noProof/>
          <w:rtl/>
        </w:rPr>
        <w:drawing>
          <wp:anchor distT="0" distB="0" distL="0" distR="0" simplePos="0" relativeHeight="251720704"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80154069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40698"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B12AD">
        <w:rPr>
          <w:b/>
          <w:bCs/>
          <w:noProof/>
        </w:rPr>
        <w:t xml:space="preserve">The </w:t>
      </w:r>
      <w:r w:rsidRPr="008B12AD">
        <w:rPr>
          <w:rFonts w:hint="cs"/>
          <w:b/>
          <w:bCs/>
          <w:noProof/>
        </w:rPr>
        <w:t>RSA</w:t>
      </w:r>
      <w:r w:rsidRPr="008B12AD">
        <w:rPr>
          <w:rFonts w:hint="cs"/>
          <w:b/>
          <w:bCs/>
          <w:noProof/>
          <w:rtl/>
        </w:rPr>
        <w:t xml:space="preserve"> </w:t>
      </w:r>
      <w:r w:rsidRPr="008B12AD">
        <w:rPr>
          <w:rFonts w:hint="cs"/>
          <w:b/>
          <w:bCs/>
          <w:noProof/>
        </w:rPr>
        <w:t xml:space="preserve">Internal </w:t>
      </w:r>
      <w:r w:rsidRPr="008B12AD">
        <w:rPr>
          <w:b/>
          <w:bCs/>
          <w:noProof/>
        </w:rPr>
        <w:t>B</w:t>
      </w:r>
      <w:r w:rsidRPr="008B12AD">
        <w:rPr>
          <w:rFonts w:hint="cs"/>
          <w:b/>
          <w:bCs/>
          <w:noProof/>
        </w:rPr>
        <w:t>udgets</w:t>
      </w:r>
      <w:r w:rsidRPr="008B12AD">
        <w:rPr>
          <w:b/>
          <w:bCs/>
          <w:noProof/>
        </w:rPr>
        <w:t xml:space="preserve"> –</w:t>
      </w:r>
      <w:r w:rsidRPr="00B07A75">
        <w:rPr>
          <w:rFonts w:hint="cs"/>
          <w:bCs/>
          <w:noProof/>
        </w:rPr>
        <w:t xml:space="preserve"> in 2014</w:t>
      </w:r>
      <w:r w:rsidRPr="00B07A75">
        <w:rPr>
          <w:noProof/>
        </w:rPr>
        <w:t>–</w:t>
      </w:r>
      <w:r w:rsidRPr="00B07A75">
        <w:rPr>
          <w:rFonts w:hint="cs"/>
          <w:bCs/>
          <w:noProof/>
        </w:rPr>
        <w:t xml:space="preserve">2021, there was a decline in the budget allocated to the </w:t>
      </w:r>
      <w:r w:rsidRPr="00B07A75">
        <w:rPr>
          <w:bCs/>
          <w:noProof/>
        </w:rPr>
        <w:t>RSA</w:t>
      </w:r>
      <w:r w:rsidRPr="00B07A75">
        <w:rPr>
          <w:rFonts w:hint="cs"/>
          <w:bCs/>
          <w:noProof/>
        </w:rPr>
        <w:t xml:space="preserve">'s units, particularly in the flexible budget used for operational activities. This budget decreased from </w:t>
      </w:r>
      <w:r w:rsidRPr="00B07A75">
        <w:rPr>
          <w:bCs/>
          <w:noProof/>
        </w:rPr>
        <w:t>about</w:t>
      </w:r>
      <w:r w:rsidRPr="00B07A75">
        <w:rPr>
          <w:rFonts w:hint="cs"/>
          <w:bCs/>
          <w:noProof/>
        </w:rPr>
        <w:t xml:space="preserve"> NIS 125 million in 2008 to about NIS 40 million in 2021. This reduction compromised the </w:t>
      </w:r>
      <w:r w:rsidRPr="00B07A75">
        <w:rPr>
          <w:bCs/>
          <w:noProof/>
        </w:rPr>
        <w:t>RSA</w:t>
      </w:r>
      <w:r w:rsidRPr="00B07A75">
        <w:rPr>
          <w:rFonts w:hint="cs"/>
          <w:bCs/>
          <w:noProof/>
        </w:rPr>
        <w:t>'s ability to achieve its goals</w:t>
      </w:r>
      <w:r w:rsidRPr="00B07A75">
        <w:rPr>
          <w:bCs/>
          <w:noProof/>
        </w:rPr>
        <w:t>. It</w:t>
      </w:r>
      <w:r w:rsidRPr="00B07A75">
        <w:rPr>
          <w:rFonts w:hint="cs"/>
          <w:bCs/>
          <w:noProof/>
        </w:rPr>
        <w:t xml:space="preserve"> diminished its operational capacity across its various units to undertake proactive actions that, as recommended by the Economic Committee, the RSA should be directly in charge of</w:t>
      </w:r>
      <w:r>
        <w:rPr>
          <w:noProof/>
        </w:rPr>
        <w:t>.</w:t>
      </w:r>
      <w:r>
        <w:rPr>
          <w:bCs/>
          <w:noProof/>
        </w:rPr>
        <w:t xml:space="preserve"> </w:t>
      </w:r>
    </w:p>
    <w:p w:rsidR="00E83A18" w:rsidRPr="008874F2" w:rsidP="00E83A18" w14:paraId="27D44BD4" w14:textId="486940C9">
      <w:pPr>
        <w:pStyle w:val="719"/>
        <w:bidi w:val="0"/>
        <w:rPr>
          <w:rtl/>
        </w:rPr>
      </w:pPr>
      <w:r>
        <w:rPr>
          <w:noProof/>
          <w:sz w:val="19"/>
          <w:szCs w:val="19"/>
        </w:rPr>
        <w:drawing>
          <wp:anchor distT="0" distB="0" distL="114300" distR="114300" simplePos="0" relativeHeight="251721728" behindDoc="0" locked="0" layoutInCell="1" allowOverlap="1">
            <wp:simplePos x="0" y="0"/>
            <wp:positionH relativeFrom="column">
              <wp:posOffset>-3175</wp:posOffset>
            </wp:positionH>
            <wp:positionV relativeFrom="paragraph">
              <wp:posOffset>30901</wp:posOffset>
            </wp:positionV>
            <wp:extent cx="2879725" cy="158115"/>
            <wp:effectExtent l="0" t="0" r="0" b="0"/>
            <wp:wrapNone/>
            <wp:docPr id="14510666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2" name="Picture 2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p w:rsidR="00E83A18" w:rsidP="000F0B63" w14:paraId="0E3B7F60" w14:textId="2643F4F8">
      <w:pPr>
        <w:pStyle w:val="7191"/>
        <w:bidi w:val="0"/>
        <w:spacing w:after="720"/>
        <w:ind w:left="397"/>
        <w:rPr>
          <w:bCs/>
        </w:rPr>
      </w:pPr>
      <w:r w:rsidRPr="008B12AD">
        <w:rPr>
          <w:rFonts w:hint="cs"/>
          <w:b/>
          <w:bCs/>
          <w:noProof/>
        </w:rPr>
        <w:t>Preparation of the '50 to 30' Plan</w:t>
      </w:r>
      <w:r w:rsidRPr="008B12AD">
        <w:rPr>
          <w:b/>
          <w:bCs/>
          <w:noProof/>
        </w:rPr>
        <w:t xml:space="preserve"> –</w:t>
      </w:r>
      <w:r w:rsidRPr="00B07A75">
        <w:rPr>
          <w:rFonts w:hint="cs"/>
          <w:bCs/>
          <w:noProof/>
        </w:rPr>
        <w:t xml:space="preserve"> the State Comptroller's Office </w:t>
      </w:r>
      <w:r w:rsidRPr="00B07A75">
        <w:rPr>
          <w:bCs/>
          <w:noProof/>
        </w:rPr>
        <w:t>commends</w:t>
      </w:r>
      <w:r w:rsidRPr="00B07A75">
        <w:rPr>
          <w:rFonts w:hint="cs"/>
          <w:bCs/>
          <w:noProof/>
        </w:rPr>
        <w:t xml:space="preserve"> the RSA and the </w:t>
      </w:r>
      <w:r w:rsidRPr="00B07A75">
        <w:rPr>
          <w:bCs/>
          <w:noProof/>
        </w:rPr>
        <w:t>MOT</w:t>
      </w:r>
      <w:r w:rsidRPr="00B07A75">
        <w:rPr>
          <w:rFonts w:hint="cs"/>
          <w:bCs/>
          <w:noProof/>
        </w:rPr>
        <w:t xml:space="preserve"> </w:t>
      </w:r>
      <w:r w:rsidRPr="00B07A75">
        <w:rPr>
          <w:bCs/>
          <w:noProof/>
        </w:rPr>
        <w:t xml:space="preserve">for the </w:t>
      </w:r>
      <w:r w:rsidRPr="00B07A75">
        <w:rPr>
          <w:rFonts w:hint="cs"/>
          <w:bCs/>
          <w:noProof/>
        </w:rPr>
        <w:t xml:space="preserve">preparation of the '50 to 30' Plan. However, as </w:t>
      </w:r>
      <w:r w:rsidRPr="00B07A75">
        <w:rPr>
          <w:bCs/>
          <w:noProof/>
        </w:rPr>
        <w:t>stated above</w:t>
      </w:r>
      <w:r w:rsidRPr="00B07A75">
        <w:rPr>
          <w:rFonts w:hint="cs"/>
          <w:bCs/>
          <w:noProof/>
        </w:rPr>
        <w:t xml:space="preserve">, </w:t>
      </w:r>
      <w:r w:rsidRPr="00B07A75">
        <w:rPr>
          <w:rFonts w:hint="cs"/>
          <w:bCs/>
          <w:noProof/>
        </w:rPr>
        <w:t>the plan did not include cost estimates and budgetary sources for its actions. It was submitted to the government in 2021 but was neither reviewed nor budgeted</w:t>
      </w:r>
      <w:r w:rsidRPr="00FF2854">
        <w:rPr>
          <w:bCs/>
        </w:rPr>
        <w:t>.</w:t>
      </w:r>
      <w:r w:rsidRPr="00FF2854">
        <w:rPr>
          <w:bCs/>
          <w:rtl/>
        </w:rPr>
        <w:t xml:space="preserve"> </w:t>
      </w:r>
    </w:p>
    <w:p w:rsidR="00EA4E24" w:rsidP="00EA4E24" w14:paraId="015AB825" w14:textId="77777777">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14311851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185121" name="Picture 10"/>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EA4E24" w:rsidRPr="00902625" w:rsidP="00EA4E24" w14:paraId="105720D0" w14:textId="77777777">
      <w:pPr>
        <w:bidi w:val="0"/>
        <w:spacing w:before="120" w:after="240" w:line="240" w:lineRule="atLeast"/>
        <w:rPr>
          <w:rFonts w:ascii="Tahoma" w:hAnsi="Tahoma" w:cs="Tahoma"/>
          <w:b/>
          <w:bCs/>
          <w:color w:val="00305F"/>
          <w:sz w:val="32"/>
          <w:szCs w:val="32"/>
          <w:rtl/>
        </w:rPr>
      </w:pPr>
      <w:r w:rsidRPr="00AE5F94">
        <w:rPr>
          <w:rFonts w:ascii="Tahoma" w:hAnsi="Tahoma" w:cs="Tahoma"/>
          <w:b/>
          <w:bCs/>
          <w:color w:val="00305F"/>
          <w:sz w:val="32"/>
          <w:szCs w:val="32"/>
        </w:rPr>
        <w:t xml:space="preserve">Key </w:t>
      </w:r>
      <w:r>
        <w:rPr>
          <w:rFonts w:ascii="Tahoma" w:hAnsi="Tahoma" w:cs="Tahoma"/>
          <w:b/>
          <w:bCs/>
          <w:color w:val="00305F"/>
          <w:sz w:val="32"/>
          <w:szCs w:val="32"/>
        </w:rPr>
        <w:t>R</w:t>
      </w:r>
      <w:r w:rsidRPr="00AE5F94">
        <w:rPr>
          <w:rFonts w:ascii="Tahoma" w:hAnsi="Tahoma" w:cs="Tahoma"/>
          <w:b/>
          <w:bCs/>
          <w:color w:val="00305F"/>
          <w:sz w:val="32"/>
          <w:szCs w:val="32"/>
        </w:rPr>
        <w:t>ecommendations</w:t>
      </w:r>
    </w:p>
    <w:p w:rsidR="00EA4E24" w:rsidP="00EA4E24" w14:paraId="799275F8" w14:textId="164A37E1">
      <w:pPr>
        <w:pStyle w:val="ListParagraph"/>
        <w:numPr>
          <w:ilvl w:val="0"/>
          <w:numId w:val="0"/>
        </w:numPr>
        <w:bidi w:val="0"/>
        <w:spacing w:after="180" w:line="260" w:lineRule="exact"/>
        <w:ind w:left="397"/>
        <w:rPr>
          <w:noProof/>
          <w:spacing w:val="-4"/>
          <w:sz w:val="18"/>
          <w:szCs w:val="18"/>
        </w:rPr>
      </w:pPr>
      <w:r w:rsidRPr="0058257B">
        <w:rPr>
          <w:noProof/>
          <w:spacing w:val="-4"/>
          <w:sz w:val="18"/>
          <w:szCs w:val="18"/>
        </w:rPr>
        <w:drawing>
          <wp:anchor distT="0" distB="3600450" distL="114300" distR="114300" simplePos="0" relativeHeight="25172275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864310732" name="תמונה 33"/>
            <wp:cNvGraphicFramePr/>
            <a:graphic xmlns:a="http://schemas.openxmlformats.org/drawingml/2006/main">
              <a:graphicData uri="http://schemas.openxmlformats.org/drawingml/2006/picture">
                <pic:pic xmlns:pic="http://schemas.openxmlformats.org/drawingml/2006/picture">
                  <pic:nvPicPr>
                    <pic:cNvPr id="1864310732"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0B63" w:rsidR="000F0B63">
        <w:rPr>
          <w:rFonts w:hint="cs"/>
          <w:noProof/>
          <w:spacing w:val="-4"/>
          <w:sz w:val="18"/>
          <w:szCs w:val="18"/>
        </w:rPr>
        <w:t xml:space="preserve">It is recommended that the Minister of Transportation, together with the authorized bodies </w:t>
      </w:r>
      <w:r w:rsidRPr="000F0B63" w:rsidR="000F0B63">
        <w:rPr>
          <w:noProof/>
          <w:spacing w:val="-4"/>
          <w:sz w:val="18"/>
          <w:szCs w:val="18"/>
        </w:rPr>
        <w:t>in charge of</w:t>
      </w:r>
      <w:r w:rsidRPr="000F0B63" w:rsidR="000F0B63">
        <w:rPr>
          <w:rFonts w:hint="cs"/>
          <w:noProof/>
          <w:spacing w:val="-4"/>
          <w:sz w:val="18"/>
          <w:szCs w:val="18"/>
        </w:rPr>
        <w:t xml:space="preserve"> the RSA's operations</w:t>
      </w:r>
      <w:r w:rsidRPr="000F0B63" w:rsidR="000F0B63">
        <w:rPr>
          <w:noProof/>
          <w:spacing w:val="-4"/>
          <w:sz w:val="18"/>
          <w:szCs w:val="18"/>
        </w:rPr>
        <w:t xml:space="preserve"> – </w:t>
      </w:r>
      <w:r w:rsidRPr="000F0B63" w:rsidR="000F0B63">
        <w:rPr>
          <w:rFonts w:hint="cs"/>
          <w:noProof/>
          <w:spacing w:val="-4"/>
          <w:sz w:val="18"/>
          <w:szCs w:val="18"/>
        </w:rPr>
        <w:t xml:space="preserve">the </w:t>
      </w:r>
      <w:r w:rsidRPr="000F0B63" w:rsidR="000F0B63">
        <w:rPr>
          <w:noProof/>
          <w:spacing w:val="-4"/>
          <w:sz w:val="18"/>
          <w:szCs w:val="18"/>
        </w:rPr>
        <w:t>MOT</w:t>
      </w:r>
      <w:r w:rsidRPr="000F0B63" w:rsidR="000F0B63">
        <w:rPr>
          <w:rFonts w:hint="cs"/>
          <w:noProof/>
          <w:spacing w:val="-4"/>
          <w:sz w:val="18"/>
          <w:szCs w:val="18"/>
        </w:rPr>
        <w:t>, the Ministry of Finance, and the Prime Minister's Office, and with the assistance of relevant professional bodies</w:t>
      </w:r>
      <w:r w:rsidRPr="000F0B63" w:rsidR="000F0B63">
        <w:rPr>
          <w:noProof/>
          <w:spacing w:val="-4"/>
          <w:sz w:val="18"/>
          <w:szCs w:val="18"/>
        </w:rPr>
        <w:t xml:space="preserve"> – </w:t>
      </w:r>
      <w:r w:rsidRPr="000F0B63" w:rsidR="000F0B63">
        <w:rPr>
          <w:rFonts w:hint="cs"/>
          <w:noProof/>
          <w:spacing w:val="-4"/>
          <w:sz w:val="18"/>
          <w:szCs w:val="18"/>
        </w:rPr>
        <w:t>define powers and provide appropriate tools to enable the RSA to lead the fight against road accidents and achieve its goals</w:t>
      </w:r>
      <w:r w:rsidRPr="0058257B">
        <w:rPr>
          <w:rFonts w:hint="cs"/>
          <w:noProof/>
          <w:spacing w:val="-4"/>
          <w:sz w:val="18"/>
          <w:szCs w:val="18"/>
        </w:rPr>
        <w:t xml:space="preserve">. </w:t>
      </w:r>
    </w:p>
    <w:p w:rsidR="000F0B63" w:rsidRPr="0058257B" w:rsidP="000F0B63" w14:paraId="4A3178D2" w14:textId="55216813">
      <w:pPr>
        <w:pStyle w:val="ListParagraph"/>
        <w:numPr>
          <w:ilvl w:val="0"/>
          <w:numId w:val="0"/>
        </w:numPr>
        <w:bidi w:val="0"/>
        <w:spacing w:after="180" w:line="260" w:lineRule="exact"/>
        <w:ind w:left="397"/>
        <w:rPr>
          <w:noProof/>
          <w:spacing w:val="-4"/>
          <w:sz w:val="18"/>
          <w:szCs w:val="18"/>
        </w:rPr>
      </w:pPr>
      <w:r w:rsidRPr="0058257B">
        <w:rPr>
          <w:noProof/>
          <w:spacing w:val="-4"/>
          <w:sz w:val="18"/>
          <w:szCs w:val="18"/>
        </w:rPr>
        <w:drawing>
          <wp:anchor distT="0" distB="3600450" distL="114300" distR="114300" simplePos="0" relativeHeight="251723776"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00621400" name="תמונה 33"/>
            <wp:cNvGraphicFramePr/>
            <a:graphic xmlns:a="http://schemas.openxmlformats.org/drawingml/2006/main">
              <a:graphicData uri="http://schemas.openxmlformats.org/drawingml/2006/picture">
                <pic:pic xmlns:pic="http://schemas.openxmlformats.org/drawingml/2006/picture">
                  <pic:nvPicPr>
                    <pic:cNvPr id="400621400"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0B63">
        <w:rPr>
          <w:noProof/>
          <w:spacing w:val="-4"/>
          <w:sz w:val="18"/>
          <w:szCs w:val="18"/>
        </w:rPr>
        <w:t>Given the data indicating the government's failure to effectively address the complex issue of road accidents, to fulfill the government's commitment to reduce road fatalities, the State Comptroller's office recommends that the Prime Minister and the Minister of Transportation renew the activity of the Directors General Committee to regularly coordinates the various bodies, make decisions and remove obstacles</w:t>
      </w:r>
      <w:r w:rsidRPr="0058257B">
        <w:rPr>
          <w:rFonts w:hint="cs"/>
          <w:noProof/>
          <w:spacing w:val="-4"/>
          <w:sz w:val="18"/>
          <w:szCs w:val="18"/>
        </w:rPr>
        <w:t xml:space="preserve">. </w:t>
      </w:r>
    </w:p>
    <w:p w:rsidR="000F0B63" w:rsidRPr="0058257B" w:rsidP="000F0B63" w14:paraId="7708DA4C" w14:textId="044BCB4B">
      <w:pPr>
        <w:pStyle w:val="ListParagraph"/>
        <w:numPr>
          <w:ilvl w:val="0"/>
          <w:numId w:val="0"/>
        </w:numPr>
        <w:bidi w:val="0"/>
        <w:spacing w:after="180" w:line="260" w:lineRule="exact"/>
        <w:ind w:left="397"/>
        <w:rPr>
          <w:spacing w:val="-4"/>
          <w:sz w:val="18"/>
          <w:szCs w:val="18"/>
        </w:rPr>
      </w:pPr>
      <w:r w:rsidRPr="0058257B">
        <w:rPr>
          <w:noProof/>
          <w:spacing w:val="-4"/>
          <w:sz w:val="18"/>
          <w:szCs w:val="18"/>
        </w:rPr>
        <w:drawing>
          <wp:anchor distT="0" distB="3600450" distL="114300" distR="114300" simplePos="0" relativeHeight="251724800"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708444962" name="תמונה 33"/>
            <wp:cNvGraphicFramePr/>
            <a:graphic xmlns:a="http://schemas.openxmlformats.org/drawingml/2006/main">
              <a:graphicData uri="http://schemas.openxmlformats.org/drawingml/2006/picture">
                <pic:pic xmlns:pic="http://schemas.openxmlformats.org/drawingml/2006/picture">
                  <pic:nvPicPr>
                    <pic:cNvPr id="1708444962"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6E96">
        <w:rPr>
          <w:noProof/>
          <w:spacing w:val="-4"/>
          <w:sz w:val="18"/>
          <w:szCs w:val="18"/>
        </w:rPr>
        <w:t>The Minister of Transportation should submit the reports required by the National Road Safety Authority Law to the government and the Knesset regarding the implementation of the annual plan by the RSA and the progress made in achieving the targets set in the plan. In addition, the Prime Minister should report to the Knesset annually on the implementation of the annual plan by the RSA and the progress in meeting the goals determined under the law, demonstrating the Prime Minister's commitment, as the highest-ranking official, to the issue</w:t>
      </w:r>
      <w:r w:rsidRPr="0058257B">
        <w:rPr>
          <w:rFonts w:hint="cs"/>
          <w:spacing w:val="-4"/>
          <w:sz w:val="18"/>
          <w:szCs w:val="18"/>
        </w:rPr>
        <w:t xml:space="preserve">. </w:t>
      </w:r>
    </w:p>
    <w:p w:rsidR="000F0B63" w:rsidRPr="0058257B" w:rsidP="000F0B63" w14:paraId="05477D78" w14:textId="23C047E9">
      <w:pPr>
        <w:pStyle w:val="ListParagraph"/>
        <w:numPr>
          <w:ilvl w:val="0"/>
          <w:numId w:val="0"/>
        </w:numPr>
        <w:bidi w:val="0"/>
        <w:spacing w:after="180" w:line="260" w:lineRule="exact"/>
        <w:ind w:left="397"/>
        <w:rPr>
          <w:spacing w:val="-4"/>
          <w:sz w:val="18"/>
          <w:szCs w:val="18"/>
        </w:rPr>
      </w:pPr>
      <w:r w:rsidRPr="0058257B">
        <w:rPr>
          <w:noProof/>
          <w:spacing w:val="-4"/>
          <w:sz w:val="18"/>
          <w:szCs w:val="18"/>
        </w:rPr>
        <w:drawing>
          <wp:anchor distT="0" distB="3600450" distL="114300" distR="114300" simplePos="0" relativeHeight="251725824"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921869911" name="תמונה 33"/>
            <wp:cNvGraphicFramePr/>
            <a:graphic xmlns:a="http://schemas.openxmlformats.org/drawingml/2006/main">
              <a:graphicData uri="http://schemas.openxmlformats.org/drawingml/2006/picture">
                <pic:pic xmlns:pic="http://schemas.openxmlformats.org/drawingml/2006/picture">
                  <pic:nvPicPr>
                    <pic:cNvPr id="921869911"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6E96">
        <w:rPr>
          <w:rFonts w:hint="cs"/>
          <w:noProof/>
          <w:spacing w:val="-4"/>
          <w:sz w:val="18"/>
          <w:szCs w:val="18"/>
        </w:rPr>
        <w:t>It is recommended that the RSA management complete the strategic plan</w:t>
      </w:r>
      <w:r w:rsidRPr="00966E96">
        <w:rPr>
          <w:noProof/>
          <w:spacing w:val="-4"/>
          <w:sz w:val="18"/>
          <w:szCs w:val="18"/>
        </w:rPr>
        <w:t xml:space="preserve"> in detail </w:t>
      </w:r>
      <w:r w:rsidRPr="00966E96">
        <w:rPr>
          <w:rFonts w:hint="cs"/>
          <w:noProof/>
          <w:spacing w:val="-4"/>
          <w:sz w:val="18"/>
          <w:szCs w:val="18"/>
        </w:rPr>
        <w:t xml:space="preserve">and submit </w:t>
      </w:r>
      <w:r w:rsidRPr="00966E96">
        <w:rPr>
          <w:noProof/>
          <w:spacing w:val="-4"/>
          <w:sz w:val="18"/>
          <w:szCs w:val="18"/>
        </w:rPr>
        <w:t xml:space="preserve">it </w:t>
      </w:r>
      <w:r w:rsidRPr="00966E96">
        <w:rPr>
          <w:rFonts w:hint="cs"/>
          <w:noProof/>
          <w:spacing w:val="-4"/>
          <w:sz w:val="18"/>
          <w:szCs w:val="18"/>
        </w:rPr>
        <w:t>for approval by the Minister of Transportation and the government</w:t>
      </w:r>
      <w:r w:rsidRPr="00966E96">
        <w:rPr>
          <w:noProof/>
          <w:spacing w:val="-4"/>
          <w:sz w:val="18"/>
          <w:szCs w:val="18"/>
        </w:rPr>
        <w:t>, i</w:t>
      </w:r>
      <w:r w:rsidRPr="00966E96">
        <w:rPr>
          <w:rFonts w:hint="cs"/>
          <w:noProof/>
          <w:spacing w:val="-4"/>
          <w:sz w:val="18"/>
          <w:szCs w:val="18"/>
        </w:rPr>
        <w:t>nclud</w:t>
      </w:r>
      <w:r w:rsidRPr="00966E96">
        <w:rPr>
          <w:noProof/>
          <w:spacing w:val="-4"/>
          <w:sz w:val="18"/>
          <w:szCs w:val="18"/>
        </w:rPr>
        <w:t>ing</w:t>
      </w:r>
      <w:r w:rsidRPr="00966E96">
        <w:rPr>
          <w:rFonts w:hint="cs"/>
          <w:noProof/>
          <w:spacing w:val="-4"/>
          <w:sz w:val="18"/>
          <w:szCs w:val="18"/>
        </w:rPr>
        <w:t xml:space="preserve"> measurable targets, encompass</w:t>
      </w:r>
      <w:r w:rsidRPr="00966E96">
        <w:rPr>
          <w:noProof/>
          <w:spacing w:val="-4"/>
          <w:sz w:val="18"/>
          <w:szCs w:val="18"/>
        </w:rPr>
        <w:t>ing</w:t>
      </w:r>
      <w:r w:rsidRPr="00966E96">
        <w:rPr>
          <w:rFonts w:hint="cs"/>
          <w:noProof/>
          <w:spacing w:val="-4"/>
          <w:sz w:val="18"/>
          <w:szCs w:val="18"/>
        </w:rPr>
        <w:t xml:space="preserve"> and obligat</w:t>
      </w:r>
      <w:r w:rsidRPr="00966E96">
        <w:rPr>
          <w:noProof/>
          <w:spacing w:val="-4"/>
          <w:sz w:val="18"/>
          <w:szCs w:val="18"/>
        </w:rPr>
        <w:t>ing</w:t>
      </w:r>
      <w:r w:rsidRPr="00966E96">
        <w:rPr>
          <w:rFonts w:hint="cs"/>
          <w:noProof/>
          <w:spacing w:val="-4"/>
          <w:sz w:val="18"/>
          <w:szCs w:val="18"/>
        </w:rPr>
        <w:t xml:space="preserve"> all bodies involved in its implementation, and impos</w:t>
      </w:r>
      <w:r w:rsidRPr="00966E96">
        <w:rPr>
          <w:noProof/>
          <w:spacing w:val="-4"/>
          <w:sz w:val="18"/>
          <w:szCs w:val="18"/>
        </w:rPr>
        <w:t>ing</w:t>
      </w:r>
      <w:r w:rsidRPr="00966E96">
        <w:rPr>
          <w:rFonts w:hint="cs"/>
          <w:noProof/>
          <w:spacing w:val="-4"/>
          <w:sz w:val="18"/>
          <w:szCs w:val="18"/>
        </w:rPr>
        <w:t xml:space="preserve"> reporting responsibilities on them. In addition, it is recommended that the Ministries of Finance and Transportation budget the plan and that the </w:t>
      </w:r>
      <w:r w:rsidRPr="00966E96">
        <w:rPr>
          <w:noProof/>
          <w:spacing w:val="-4"/>
          <w:sz w:val="18"/>
          <w:szCs w:val="18"/>
        </w:rPr>
        <w:t>MOT</w:t>
      </w:r>
      <w:r w:rsidRPr="00966E96">
        <w:rPr>
          <w:rFonts w:hint="cs"/>
          <w:noProof/>
          <w:spacing w:val="-4"/>
          <w:sz w:val="18"/>
          <w:szCs w:val="18"/>
        </w:rPr>
        <w:t xml:space="preserve"> continuously monitor the achievement of </w:t>
      </w:r>
      <w:r w:rsidRPr="00966E96">
        <w:rPr>
          <w:noProof/>
          <w:spacing w:val="-4"/>
          <w:sz w:val="18"/>
          <w:szCs w:val="18"/>
        </w:rPr>
        <w:t xml:space="preserve">the </w:t>
      </w:r>
      <w:r w:rsidRPr="00966E96">
        <w:rPr>
          <w:rFonts w:hint="cs"/>
          <w:noProof/>
          <w:spacing w:val="-4"/>
          <w:sz w:val="18"/>
          <w:szCs w:val="18"/>
        </w:rPr>
        <w:t>targets</w:t>
      </w:r>
      <w:r w:rsidRPr="00966E96">
        <w:rPr>
          <w:noProof/>
          <w:spacing w:val="-4"/>
          <w:sz w:val="18"/>
          <w:szCs w:val="18"/>
        </w:rPr>
        <w:t xml:space="preserve"> and</w:t>
      </w:r>
      <w:r w:rsidRPr="00966E96">
        <w:rPr>
          <w:rFonts w:hint="cs"/>
          <w:noProof/>
          <w:spacing w:val="-4"/>
          <w:sz w:val="18"/>
          <w:szCs w:val="18"/>
        </w:rPr>
        <w:t xml:space="preserve"> coordinat</w:t>
      </w:r>
      <w:r w:rsidRPr="00966E96">
        <w:rPr>
          <w:noProof/>
          <w:spacing w:val="-4"/>
          <w:sz w:val="18"/>
          <w:szCs w:val="18"/>
        </w:rPr>
        <w:t>e</w:t>
      </w:r>
      <w:r w:rsidRPr="00966E96">
        <w:rPr>
          <w:rFonts w:hint="cs"/>
          <w:noProof/>
          <w:spacing w:val="-4"/>
          <w:sz w:val="18"/>
          <w:szCs w:val="18"/>
        </w:rPr>
        <w:t xml:space="preserve"> with the </w:t>
      </w:r>
      <w:r w:rsidRPr="00966E96">
        <w:rPr>
          <w:noProof/>
          <w:spacing w:val="-4"/>
          <w:sz w:val="18"/>
          <w:szCs w:val="18"/>
        </w:rPr>
        <w:t xml:space="preserve"> </w:t>
      </w:r>
      <w:r w:rsidRPr="00966E96">
        <w:rPr>
          <w:rFonts w:hint="cs"/>
          <w:noProof/>
          <w:spacing w:val="-4"/>
          <w:sz w:val="18"/>
          <w:szCs w:val="18"/>
        </w:rPr>
        <w:t>RSA to update the plan as needed</w:t>
      </w:r>
      <w:r w:rsidRPr="0058257B">
        <w:rPr>
          <w:rFonts w:hint="cs"/>
          <w:spacing w:val="-4"/>
          <w:sz w:val="18"/>
          <w:szCs w:val="18"/>
        </w:rPr>
        <w:t xml:space="preserve">. </w:t>
      </w:r>
    </w:p>
    <w:p w:rsidR="000F0B63" w:rsidRPr="0058257B" w:rsidP="000F0B63" w14:paraId="6CF5279E" w14:textId="5904FEE6">
      <w:pPr>
        <w:pStyle w:val="ListParagraph"/>
        <w:numPr>
          <w:ilvl w:val="0"/>
          <w:numId w:val="0"/>
        </w:numPr>
        <w:bidi w:val="0"/>
        <w:spacing w:after="180" w:line="260" w:lineRule="exact"/>
        <w:ind w:left="397"/>
        <w:rPr>
          <w:spacing w:val="-4"/>
          <w:sz w:val="18"/>
          <w:szCs w:val="18"/>
        </w:rPr>
      </w:pPr>
      <w:r w:rsidRPr="0058257B">
        <w:rPr>
          <w:noProof/>
          <w:spacing w:val="-4"/>
          <w:sz w:val="18"/>
          <w:szCs w:val="18"/>
        </w:rPr>
        <w:drawing>
          <wp:anchor distT="0" distB="3600450" distL="114300" distR="114300" simplePos="0" relativeHeight="25172684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936264498" name="תמונה 33"/>
            <wp:cNvGraphicFramePr/>
            <a:graphic xmlns:a="http://schemas.openxmlformats.org/drawingml/2006/main">
              <a:graphicData uri="http://schemas.openxmlformats.org/drawingml/2006/picture">
                <pic:pic xmlns:pic="http://schemas.openxmlformats.org/drawingml/2006/picture">
                  <pic:nvPicPr>
                    <pic:cNvPr id="1936264498"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6E96">
        <w:rPr>
          <w:rFonts w:hint="cs"/>
          <w:noProof/>
          <w:spacing w:val="-4"/>
          <w:sz w:val="18"/>
          <w:szCs w:val="18"/>
        </w:rPr>
        <w:t xml:space="preserve">It is recommended that the RSA, the </w:t>
      </w:r>
      <w:r w:rsidRPr="00966E96">
        <w:rPr>
          <w:noProof/>
          <w:spacing w:val="-4"/>
          <w:sz w:val="18"/>
          <w:szCs w:val="18"/>
        </w:rPr>
        <w:t>MOT</w:t>
      </w:r>
      <w:r w:rsidRPr="00966E96">
        <w:rPr>
          <w:rFonts w:hint="cs"/>
          <w:noProof/>
          <w:spacing w:val="-4"/>
          <w:sz w:val="18"/>
          <w:szCs w:val="18"/>
        </w:rPr>
        <w:t xml:space="preserve">, and the Ministry of Finance establish a comprehensive and transparent reporting structure for the total budgets allocated to the fight against road accidents, the budget execution rate, and the actions </w:t>
      </w:r>
      <w:r w:rsidRPr="00966E96">
        <w:rPr>
          <w:noProof/>
          <w:spacing w:val="-4"/>
          <w:sz w:val="18"/>
          <w:szCs w:val="18"/>
        </w:rPr>
        <w:t>performed</w:t>
      </w:r>
      <w:r w:rsidRPr="00966E96">
        <w:rPr>
          <w:rFonts w:hint="cs"/>
          <w:noProof/>
          <w:spacing w:val="-4"/>
          <w:sz w:val="18"/>
          <w:szCs w:val="18"/>
        </w:rPr>
        <w:t>. This information should be made public, along with the estimated economic cost of road accidents to the economy</w:t>
      </w:r>
      <w:r w:rsidRPr="0058257B">
        <w:rPr>
          <w:rFonts w:hint="cs"/>
          <w:spacing w:val="-4"/>
          <w:sz w:val="18"/>
          <w:szCs w:val="18"/>
        </w:rPr>
        <w:t xml:space="preserve">. </w:t>
      </w:r>
    </w:p>
    <w:p w:rsidR="000F0B63" w:rsidRPr="0058257B" w:rsidP="000F0B63" w14:paraId="7FD93A6B" w14:textId="3FFB98B7">
      <w:pPr>
        <w:pStyle w:val="ListParagraph"/>
        <w:numPr>
          <w:ilvl w:val="0"/>
          <w:numId w:val="0"/>
        </w:numPr>
        <w:bidi w:val="0"/>
        <w:spacing w:after="180" w:line="260" w:lineRule="exact"/>
        <w:ind w:left="397"/>
        <w:rPr>
          <w:spacing w:val="-4"/>
          <w:sz w:val="18"/>
          <w:szCs w:val="18"/>
        </w:rPr>
      </w:pPr>
      <w:r w:rsidRPr="0058257B">
        <w:rPr>
          <w:noProof/>
          <w:spacing w:val="-4"/>
          <w:sz w:val="18"/>
          <w:szCs w:val="18"/>
        </w:rPr>
        <w:drawing>
          <wp:anchor distT="0" distB="3600450" distL="114300" distR="114300" simplePos="0" relativeHeight="25172787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397522196" name="תמונה 33"/>
            <wp:cNvGraphicFramePr/>
            <a:graphic xmlns:a="http://schemas.openxmlformats.org/drawingml/2006/main">
              <a:graphicData uri="http://schemas.openxmlformats.org/drawingml/2006/picture">
                <pic:pic xmlns:pic="http://schemas.openxmlformats.org/drawingml/2006/picture">
                  <pic:nvPicPr>
                    <pic:cNvPr id="397522196"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6E96">
        <w:rPr>
          <w:rFonts w:hint="cs"/>
          <w:noProof/>
          <w:spacing w:val="-4"/>
          <w:sz w:val="18"/>
          <w:szCs w:val="18"/>
        </w:rPr>
        <w:t xml:space="preserve">It is recommended that the RSA fill the unstaffed positions. It is also recommended that the RSA Council examine whether the current </w:t>
      </w:r>
      <w:r w:rsidRPr="00966E96">
        <w:rPr>
          <w:noProof/>
          <w:spacing w:val="-4"/>
          <w:sz w:val="18"/>
          <w:szCs w:val="18"/>
        </w:rPr>
        <w:t>workforce headcount standard</w:t>
      </w:r>
      <w:r w:rsidRPr="00966E96">
        <w:rPr>
          <w:rFonts w:hint="cs"/>
          <w:noProof/>
          <w:spacing w:val="-4"/>
          <w:sz w:val="18"/>
          <w:szCs w:val="18"/>
        </w:rPr>
        <w:t xml:space="preserve"> and terms of employment sufficiently meet the </w:t>
      </w:r>
      <w:r w:rsidRPr="00966E96">
        <w:rPr>
          <w:noProof/>
          <w:spacing w:val="-4"/>
          <w:sz w:val="18"/>
          <w:szCs w:val="18"/>
        </w:rPr>
        <w:t xml:space="preserve"> </w:t>
      </w:r>
      <w:r w:rsidRPr="00966E96">
        <w:rPr>
          <w:rFonts w:hint="cs"/>
          <w:noProof/>
          <w:spacing w:val="-4"/>
          <w:sz w:val="18"/>
          <w:szCs w:val="18"/>
        </w:rPr>
        <w:t>RSA’s needs</w:t>
      </w:r>
      <w:r w:rsidRPr="00966E96">
        <w:rPr>
          <w:noProof/>
          <w:spacing w:val="-4"/>
          <w:sz w:val="18"/>
          <w:szCs w:val="18"/>
        </w:rPr>
        <w:t>.</w:t>
      </w:r>
      <w:r w:rsidRPr="00966E96">
        <w:rPr>
          <w:rFonts w:hint="cs"/>
          <w:noProof/>
          <w:spacing w:val="-4"/>
          <w:sz w:val="18"/>
          <w:szCs w:val="18"/>
        </w:rPr>
        <w:t xml:space="preserve"> </w:t>
      </w:r>
      <w:r w:rsidRPr="00966E96">
        <w:rPr>
          <w:noProof/>
          <w:spacing w:val="-4"/>
          <w:sz w:val="18"/>
          <w:szCs w:val="18"/>
        </w:rPr>
        <w:t>If</w:t>
      </w:r>
      <w:r w:rsidRPr="00966E96">
        <w:rPr>
          <w:rFonts w:hint="cs"/>
          <w:noProof/>
          <w:spacing w:val="-4"/>
          <w:sz w:val="18"/>
          <w:szCs w:val="18"/>
        </w:rPr>
        <w:t xml:space="preserve"> necessary,</w:t>
      </w:r>
      <w:r w:rsidRPr="00966E96">
        <w:rPr>
          <w:noProof/>
          <w:spacing w:val="-4"/>
          <w:sz w:val="18"/>
          <w:szCs w:val="18"/>
        </w:rPr>
        <w:t>the RSA should</w:t>
      </w:r>
      <w:r w:rsidRPr="00966E96">
        <w:rPr>
          <w:rFonts w:hint="cs"/>
          <w:noProof/>
          <w:spacing w:val="-4"/>
          <w:sz w:val="18"/>
          <w:szCs w:val="18"/>
        </w:rPr>
        <w:t xml:space="preserve"> contact the authorities in charge of this area </w:t>
      </w:r>
      <w:r w:rsidRPr="00966E96">
        <w:rPr>
          <w:noProof/>
          <w:spacing w:val="-4"/>
          <w:sz w:val="18"/>
          <w:szCs w:val="18"/>
        </w:rPr>
        <w:t>and request the tools needed</w:t>
      </w:r>
      <w:r w:rsidRPr="00966E96">
        <w:rPr>
          <w:rFonts w:hint="cs"/>
          <w:noProof/>
          <w:spacing w:val="-4"/>
          <w:sz w:val="18"/>
          <w:szCs w:val="18"/>
        </w:rPr>
        <w:t xml:space="preserve"> to fulfill its role</w:t>
      </w:r>
      <w:r w:rsidRPr="0058257B">
        <w:rPr>
          <w:rFonts w:hint="cs"/>
          <w:spacing w:val="-4"/>
          <w:sz w:val="18"/>
          <w:szCs w:val="18"/>
        </w:rPr>
        <w:t xml:space="preserve">. </w:t>
      </w:r>
    </w:p>
    <w:p w:rsidR="000F0B63" w:rsidRPr="0058257B" w:rsidP="000F0B63" w14:paraId="091793BB" w14:textId="472222E9">
      <w:pPr>
        <w:pStyle w:val="ListParagraph"/>
        <w:numPr>
          <w:ilvl w:val="0"/>
          <w:numId w:val="0"/>
        </w:numPr>
        <w:bidi w:val="0"/>
        <w:spacing w:after="180" w:line="260" w:lineRule="exact"/>
        <w:ind w:left="397"/>
        <w:rPr>
          <w:spacing w:val="-4"/>
          <w:sz w:val="18"/>
          <w:szCs w:val="18"/>
        </w:rPr>
      </w:pPr>
      <w:r w:rsidRPr="0058257B">
        <w:rPr>
          <w:noProof/>
          <w:spacing w:val="-4"/>
          <w:sz w:val="18"/>
          <w:szCs w:val="18"/>
        </w:rPr>
        <w:drawing>
          <wp:anchor distT="0" distB="3600450" distL="114300" distR="114300" simplePos="0" relativeHeight="251728896"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313228513" name="תמונה 33"/>
            <wp:cNvGraphicFramePr/>
            <a:graphic xmlns:a="http://schemas.openxmlformats.org/drawingml/2006/main">
              <a:graphicData uri="http://schemas.openxmlformats.org/drawingml/2006/picture">
                <pic:pic xmlns:pic="http://schemas.openxmlformats.org/drawingml/2006/picture">
                  <pic:nvPicPr>
                    <pic:cNvPr id="313228513"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6E96">
        <w:rPr>
          <w:noProof/>
          <w:spacing w:val="-4"/>
          <w:sz w:val="18"/>
          <w:szCs w:val="18"/>
        </w:rPr>
        <w:t>The Ministers of Trensportation, Finance and Health should appoint representatives from their ministries to the RSA Council as prescribed by law and demonstrate their commitment to the fight against road accidents. In addition, the Minister of Transportation should ensure that the council always include the number of public representatives required by law and that a permanent chairperson is appointed</w:t>
      </w:r>
      <w:r w:rsidRPr="0058257B">
        <w:rPr>
          <w:rFonts w:hint="cs"/>
          <w:spacing w:val="-4"/>
          <w:sz w:val="18"/>
          <w:szCs w:val="18"/>
        </w:rPr>
        <w:t xml:space="preserve">. </w:t>
      </w:r>
    </w:p>
    <w:p w:rsidR="000F0B63" w:rsidRPr="0058257B" w:rsidP="000F0B63" w14:paraId="677B0882" w14:textId="5A01313E">
      <w:pPr>
        <w:pStyle w:val="ListParagraph"/>
        <w:numPr>
          <w:ilvl w:val="0"/>
          <w:numId w:val="0"/>
        </w:numPr>
        <w:bidi w:val="0"/>
        <w:spacing w:after="180" w:line="260" w:lineRule="exact"/>
        <w:ind w:left="397"/>
        <w:rPr>
          <w:spacing w:val="-4"/>
          <w:sz w:val="18"/>
          <w:szCs w:val="18"/>
        </w:rPr>
      </w:pPr>
      <w:r w:rsidRPr="0058257B">
        <w:rPr>
          <w:noProof/>
          <w:spacing w:val="-4"/>
          <w:sz w:val="18"/>
          <w:szCs w:val="18"/>
        </w:rPr>
        <w:drawing>
          <wp:anchor distT="0" distB="3600450" distL="114300" distR="114300" simplePos="0" relativeHeight="251729920"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80420914" name="תמונה 33"/>
            <wp:cNvGraphicFramePr/>
            <a:graphic xmlns:a="http://schemas.openxmlformats.org/drawingml/2006/main">
              <a:graphicData uri="http://schemas.openxmlformats.org/drawingml/2006/picture">
                <pic:pic xmlns:pic="http://schemas.openxmlformats.org/drawingml/2006/picture">
                  <pic:nvPicPr>
                    <pic:cNvPr id="80420914"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6E96">
        <w:rPr>
          <w:rFonts w:hint="cs"/>
          <w:noProof/>
          <w:spacing w:val="-4"/>
          <w:sz w:val="18"/>
          <w:szCs w:val="18"/>
        </w:rPr>
        <w:t xml:space="preserve">It is recommended that the RSA Council, the Minister of Transportation, and the Ministries of Transportation and Finance </w:t>
      </w:r>
      <w:r w:rsidRPr="00966E96">
        <w:rPr>
          <w:noProof/>
          <w:spacing w:val="-4"/>
          <w:sz w:val="18"/>
          <w:szCs w:val="18"/>
        </w:rPr>
        <w:t>examine</w:t>
      </w:r>
      <w:r w:rsidRPr="00966E96">
        <w:rPr>
          <w:rFonts w:hint="cs"/>
          <w:noProof/>
          <w:spacing w:val="-4"/>
          <w:sz w:val="18"/>
          <w:szCs w:val="18"/>
        </w:rPr>
        <w:t xml:space="preserve"> whether the budgets allocated to the </w:t>
      </w:r>
      <w:r w:rsidRPr="00966E96">
        <w:rPr>
          <w:noProof/>
          <w:spacing w:val="-4"/>
          <w:sz w:val="18"/>
          <w:szCs w:val="18"/>
        </w:rPr>
        <w:t>RSA</w:t>
      </w:r>
      <w:r w:rsidRPr="00966E96">
        <w:rPr>
          <w:rFonts w:hint="cs"/>
          <w:noProof/>
          <w:spacing w:val="-4"/>
          <w:sz w:val="18"/>
          <w:szCs w:val="18"/>
        </w:rPr>
        <w:t xml:space="preserve"> adequately address its tasks and ensure its ability to meet its goals</w:t>
      </w:r>
      <w:r w:rsidRPr="00966E96">
        <w:rPr>
          <w:noProof/>
          <w:spacing w:val="-4"/>
          <w:sz w:val="18"/>
          <w:szCs w:val="18"/>
        </w:rPr>
        <w:t xml:space="preserve"> especially since</w:t>
      </w:r>
      <w:r w:rsidRPr="00966E96">
        <w:rPr>
          <w:rFonts w:hint="cs"/>
          <w:noProof/>
          <w:spacing w:val="-4"/>
          <w:sz w:val="18"/>
          <w:szCs w:val="18"/>
        </w:rPr>
        <w:t xml:space="preserve">  the </w:t>
      </w:r>
      <w:r w:rsidRPr="00966E96">
        <w:rPr>
          <w:noProof/>
          <w:spacing w:val="-4"/>
          <w:sz w:val="18"/>
          <w:szCs w:val="18"/>
        </w:rPr>
        <w:t>RSA</w:t>
      </w:r>
      <w:r w:rsidRPr="00966E96">
        <w:rPr>
          <w:rFonts w:hint="cs"/>
          <w:noProof/>
          <w:spacing w:val="-4"/>
          <w:sz w:val="18"/>
          <w:szCs w:val="18"/>
        </w:rPr>
        <w:t>'s activity may reduce the economic costs of road accidents, at a</w:t>
      </w:r>
      <w:r w:rsidRPr="00966E96">
        <w:rPr>
          <w:noProof/>
          <w:spacing w:val="-4"/>
          <w:sz w:val="18"/>
          <w:szCs w:val="18"/>
        </w:rPr>
        <w:t xml:space="preserve">bout </w:t>
      </w:r>
      <w:r w:rsidRPr="00966E96">
        <w:rPr>
          <w:rFonts w:hint="cs"/>
          <w:noProof/>
          <w:spacing w:val="-4"/>
          <w:sz w:val="18"/>
          <w:szCs w:val="18"/>
        </w:rPr>
        <w:t>NIS 16 billion per year</w:t>
      </w:r>
      <w:r w:rsidRPr="0058257B">
        <w:rPr>
          <w:rFonts w:hint="cs"/>
          <w:spacing w:val="-4"/>
          <w:sz w:val="18"/>
          <w:szCs w:val="18"/>
        </w:rPr>
        <w:t xml:space="preserve">. </w:t>
      </w:r>
    </w:p>
    <w:p w:rsidR="000B5EBF" w:rsidP="000F0B63" w14:paraId="29D85F12" w14:textId="52DE17EF">
      <w:pPr>
        <w:pStyle w:val="ListParagraph"/>
        <w:numPr>
          <w:ilvl w:val="0"/>
          <w:numId w:val="0"/>
        </w:numPr>
        <w:bidi w:val="0"/>
        <w:spacing w:after="180" w:line="260" w:lineRule="exact"/>
        <w:ind w:left="397"/>
        <w:rPr>
          <w:spacing w:val="-4"/>
          <w:sz w:val="18"/>
          <w:szCs w:val="18"/>
        </w:rPr>
      </w:pPr>
      <w:r w:rsidRPr="0058257B">
        <w:rPr>
          <w:noProof/>
          <w:spacing w:val="-4"/>
          <w:sz w:val="18"/>
          <w:szCs w:val="18"/>
        </w:rPr>
        <w:drawing>
          <wp:anchor distT="0" distB="3600450" distL="114300" distR="114300" simplePos="0" relativeHeight="251730944"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2011967958" name="תמונה 33"/>
            <wp:cNvGraphicFramePr/>
            <a:graphic xmlns:a="http://schemas.openxmlformats.org/drawingml/2006/main">
              <a:graphicData uri="http://schemas.openxmlformats.org/drawingml/2006/picture">
                <pic:pic xmlns:pic="http://schemas.openxmlformats.org/drawingml/2006/picture">
                  <pic:nvPicPr>
                    <pic:cNvPr id="2011967958"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6E96">
        <w:rPr>
          <w:rFonts w:hint="cs"/>
          <w:noProof/>
          <w:spacing w:val="-4"/>
          <w:sz w:val="18"/>
          <w:szCs w:val="18"/>
        </w:rPr>
        <w:t>With the appointment of new management</w:t>
      </w:r>
      <w:r w:rsidRPr="00966E96">
        <w:rPr>
          <w:noProof/>
          <w:spacing w:val="-4"/>
          <w:sz w:val="18"/>
          <w:szCs w:val="18"/>
        </w:rPr>
        <w:t xml:space="preserve"> to</w:t>
      </w:r>
      <w:r w:rsidRPr="00966E96">
        <w:rPr>
          <w:rFonts w:hint="cs"/>
          <w:noProof/>
          <w:spacing w:val="-4"/>
          <w:sz w:val="18"/>
          <w:szCs w:val="18"/>
        </w:rPr>
        <w:t xml:space="preserve"> the RSA the RSA Council, the Minister of Transportation, and the Minister of Finance should reconsider the </w:t>
      </w:r>
      <w:r w:rsidRPr="00966E96">
        <w:rPr>
          <w:noProof/>
          <w:spacing w:val="-4"/>
          <w:sz w:val="18"/>
          <w:szCs w:val="18"/>
        </w:rPr>
        <w:t>funding model</w:t>
      </w:r>
      <w:r w:rsidRPr="00966E96">
        <w:rPr>
          <w:rFonts w:hint="cs"/>
          <w:noProof/>
          <w:spacing w:val="-4"/>
          <w:sz w:val="18"/>
          <w:szCs w:val="18"/>
        </w:rPr>
        <w:t xml:space="preserve"> for the activity of government bodies related to road safety. It is recommended </w:t>
      </w:r>
      <w:r w:rsidRPr="00966E96">
        <w:rPr>
          <w:noProof/>
          <w:spacing w:val="-4"/>
          <w:sz w:val="18"/>
          <w:szCs w:val="18"/>
        </w:rPr>
        <w:t>to review the roles and authorities of the RSA concerning the allocation of road safety budgets based on cost-benefit considerations, focusing on risk factors and ensuring supervision and control over their use</w:t>
      </w:r>
      <w:r w:rsidRPr="00966E96">
        <w:rPr>
          <w:rFonts w:hint="cs"/>
          <w:noProof/>
          <w:spacing w:val="-4"/>
          <w:sz w:val="18"/>
          <w:szCs w:val="18"/>
        </w:rPr>
        <w:t xml:space="preserve"> to make it a relevant and influential body. Additionally, measurable targets should be set to assess the efficiency of budget use and </w:t>
      </w:r>
      <w:r w:rsidRPr="00966E96">
        <w:rPr>
          <w:noProof/>
          <w:spacing w:val="-4"/>
          <w:sz w:val="18"/>
          <w:szCs w:val="18"/>
        </w:rPr>
        <w:t>to</w:t>
      </w:r>
      <w:r w:rsidRPr="00966E96">
        <w:rPr>
          <w:rFonts w:hint="cs"/>
          <w:noProof/>
          <w:spacing w:val="-4"/>
          <w:sz w:val="18"/>
          <w:szCs w:val="18"/>
        </w:rPr>
        <w:t xml:space="preserve"> increas</w:t>
      </w:r>
      <w:r w:rsidRPr="00966E96">
        <w:rPr>
          <w:noProof/>
          <w:spacing w:val="-4"/>
          <w:sz w:val="18"/>
          <w:szCs w:val="18"/>
        </w:rPr>
        <w:t>e</w:t>
      </w:r>
      <w:r w:rsidRPr="00966E96">
        <w:rPr>
          <w:rFonts w:hint="cs"/>
          <w:noProof/>
          <w:spacing w:val="-4"/>
          <w:sz w:val="18"/>
          <w:szCs w:val="18"/>
        </w:rPr>
        <w:t xml:space="preserve"> allocations to bodies and activities that </w:t>
      </w:r>
      <w:r w:rsidRPr="00966E96">
        <w:rPr>
          <w:noProof/>
          <w:spacing w:val="-4"/>
          <w:sz w:val="18"/>
          <w:szCs w:val="18"/>
        </w:rPr>
        <w:t>significantly contribute</w:t>
      </w:r>
      <w:r w:rsidRPr="00966E96">
        <w:rPr>
          <w:rFonts w:hint="cs"/>
          <w:noProof/>
          <w:spacing w:val="-4"/>
          <w:sz w:val="18"/>
          <w:szCs w:val="18"/>
        </w:rPr>
        <w:t xml:space="preserve"> to road safety. This would also help incentivize the bodies involved in the fight against road accidents to prioritize this issue</w:t>
      </w:r>
      <w:r w:rsidRPr="0058257B">
        <w:rPr>
          <w:rFonts w:hint="cs"/>
          <w:spacing w:val="-4"/>
          <w:sz w:val="18"/>
          <w:szCs w:val="18"/>
        </w:rPr>
        <w:t xml:space="preserve">. </w:t>
      </w:r>
    </w:p>
    <w:p w:rsidR="000B5EBF" w14:paraId="2D49201D" w14:textId="77777777">
      <w:pPr>
        <w:bidi w:val="0"/>
        <w:rPr>
          <w:rFonts w:ascii="Tahoma" w:hAnsi="Tahoma" w:cs="Tahoma"/>
          <w:spacing w:val="-4"/>
          <w:sz w:val="18"/>
          <w:szCs w:val="18"/>
        </w:rPr>
      </w:pPr>
      <w:r>
        <w:rPr>
          <w:spacing w:val="-4"/>
          <w:sz w:val="18"/>
          <w:szCs w:val="18"/>
        </w:rPr>
        <w:br w:type="page"/>
      </w:r>
    </w:p>
    <w:p w:rsidR="000F0B63" w:rsidP="000F0B63" w14:paraId="276AD00A" w14:textId="77777777">
      <w:pPr>
        <w:pStyle w:val="732"/>
        <w:rPr>
          <w:rtl/>
        </w:rPr>
      </w:pPr>
      <w:r w:rsidRPr="00D527BD">
        <w:rPr>
          <w:noProof/>
          <w:szCs w:val="20"/>
          <w:rtl/>
        </w:rPr>
        <mc:AlternateContent>
          <mc:Choice Requires="wps">
            <w:drawing>
              <wp:anchor distT="0" distB="0" distL="114300" distR="114300" simplePos="0" relativeHeight="251735040" behindDoc="0" locked="0" layoutInCell="1" allowOverlap="1">
                <wp:simplePos x="0" y="0"/>
                <wp:positionH relativeFrom="column">
                  <wp:posOffset>55333</wp:posOffset>
                </wp:positionH>
                <wp:positionV relativeFrom="paragraph">
                  <wp:posOffset>88876</wp:posOffset>
                </wp:positionV>
                <wp:extent cx="4289989" cy="434975"/>
                <wp:effectExtent l="0" t="0" r="0" b="0"/>
                <wp:wrapNone/>
                <wp:docPr id="102231895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89989" cy="434975"/>
                        </a:xfrm>
                        <a:prstGeom prst="rect">
                          <a:avLst/>
                        </a:prstGeom>
                        <a:noFill/>
                        <a:ln w="9525">
                          <a:noFill/>
                          <a:miter lim="800000"/>
                          <a:headEnd/>
                          <a:tailEnd/>
                        </a:ln>
                      </wps:spPr>
                      <wps:txbx>
                        <w:txbxContent>
                          <w:p w:rsidR="000F0B63" w:rsidP="000F0B63" w14:textId="01F4FA26">
                            <w:pPr>
                              <w:pStyle w:val="733"/>
                              <w:bidi w:val="0"/>
                            </w:pPr>
                            <w:r w:rsidRPr="000F0B63">
                              <w:t>Chapter Three – The Human Factor</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7" type="#_x0000_t202" style="width:337.8pt;height:34.25pt;margin-top:7pt;margin-left:4.35pt;mso-height-percent:0;mso-height-relative:margin;mso-width-percent:0;mso-width-relative:margin;mso-wrap-distance-bottom:0;mso-wrap-distance-left:9pt;mso-wrap-distance-right:9pt;mso-wrap-distance-top:0;mso-wrap-style:square;position:absolute;visibility:visible;v-text-anchor:middle;z-index:251736064" filled="f" stroked="f">
                <v:textbox>
                  <w:txbxContent>
                    <w:p w:rsidR="000F0B63" w:rsidP="000F0B63" w14:paraId="4413DA51" w14:textId="01F4FA26">
                      <w:pPr>
                        <w:pStyle w:val="733"/>
                        <w:bidi w:val="0"/>
                      </w:pPr>
                      <w:r w:rsidRPr="000F0B63">
                        <w:t>Chapter Three – The Human Factor</w:t>
                      </w:r>
                    </w:p>
                  </w:txbxContent>
                </v:textbox>
              </v:shape>
            </w:pict>
          </mc:Fallback>
        </mc:AlternateContent>
      </w:r>
      <w:r w:rsidRPr="00D527BD">
        <w:rPr>
          <w:noProof/>
          <w:szCs w:val="20"/>
          <w:rtl/>
        </w:rPr>
        <w:drawing>
          <wp:anchor distT="0" distB="0" distL="114300" distR="114300" simplePos="0" relativeHeight="251734016" behindDoc="0" locked="0" layoutInCell="1" allowOverlap="1">
            <wp:simplePos x="0" y="0"/>
            <wp:positionH relativeFrom="column">
              <wp:posOffset>-63578</wp:posOffset>
            </wp:positionH>
            <wp:positionV relativeFrom="paragraph">
              <wp:posOffset>2350</wp:posOffset>
            </wp:positionV>
            <wp:extent cx="4773106" cy="702310"/>
            <wp:effectExtent l="0" t="0" r="2540" b="0"/>
            <wp:wrapNone/>
            <wp:docPr id="762756749"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756749"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3106" cy="702310"/>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0F0B63" w:rsidP="000F0B63" w14:paraId="47BBE7F9" w14:textId="77777777">
      <w:pPr>
        <w:pStyle w:val="732"/>
        <w:rPr>
          <w:rtl/>
        </w:rPr>
      </w:pPr>
    </w:p>
    <w:p w:rsidR="000F0B63" w:rsidRPr="00FA5C98" w:rsidP="000F0B63" w14:paraId="0EBF1B38" w14:textId="77777777">
      <w:pPr>
        <w:bidi w:val="0"/>
        <w:spacing w:after="0" w:line="260" w:lineRule="exact"/>
        <w:ind w:left="397"/>
        <w:jc w:val="both"/>
      </w:pPr>
    </w:p>
    <w:p w:rsidR="000F0B63" w:rsidP="000F0B63" w14:paraId="5483EC10" w14:textId="77777777">
      <w:pPr>
        <w:keepNext/>
        <w:keepLines/>
        <w:bidi w:val="0"/>
        <w:spacing w:before="480"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11502794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279454" name="Picture 9"/>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0F0B63" w:rsidP="000F0B63" w14:paraId="64040EE8" w14:textId="77777777">
      <w:pPr>
        <w:keepNext/>
        <w:keepLines/>
        <w:bidi w:val="0"/>
        <w:spacing w:before="120" w:after="180" w:line="240" w:lineRule="atLeast"/>
        <w:rPr>
          <w:rFonts w:ascii="Tahoma" w:hAnsi="Tahoma" w:cs="Tahoma"/>
          <w:b/>
          <w:bCs/>
          <w:color w:val="00305F"/>
          <w:sz w:val="32"/>
          <w:szCs w:val="32"/>
          <w:rtl/>
        </w:rPr>
      </w:pPr>
      <w:r w:rsidRPr="00AE5F94">
        <w:rPr>
          <w:rFonts w:ascii="Tahoma" w:hAnsi="Tahoma" w:cs="Tahoma"/>
          <w:b/>
          <w:bCs/>
          <w:color w:val="00305F"/>
          <w:sz w:val="32"/>
          <w:szCs w:val="32"/>
        </w:rPr>
        <w:t xml:space="preserve">Key </w:t>
      </w:r>
      <w:r>
        <w:rPr>
          <w:rFonts w:ascii="Tahoma" w:hAnsi="Tahoma" w:cs="Tahoma"/>
          <w:b/>
          <w:bCs/>
          <w:color w:val="00305F"/>
          <w:sz w:val="32"/>
          <w:szCs w:val="32"/>
        </w:rPr>
        <w:t>F</w:t>
      </w:r>
      <w:r w:rsidRPr="00AE5F94">
        <w:rPr>
          <w:rFonts w:ascii="Tahoma" w:hAnsi="Tahoma" w:cs="Tahoma"/>
          <w:b/>
          <w:bCs/>
          <w:color w:val="00305F"/>
          <w:sz w:val="32"/>
          <w:szCs w:val="32"/>
        </w:rPr>
        <w:t>indings</w:t>
      </w:r>
    </w:p>
    <w:p w:rsidR="000F0B63" w:rsidRPr="00BD3044" w:rsidP="000F0B63" w14:paraId="0ABCC61B" w14:textId="77777777">
      <w:pPr>
        <w:keepNext/>
        <w:keepLines/>
        <w:bidi w:val="0"/>
        <w:spacing w:after="180" w:line="240" w:lineRule="atLeast"/>
        <w:rPr>
          <w:rFonts w:ascii="Tahoma" w:hAnsi="Tahoma" w:cs="Tahoma"/>
          <w:b/>
          <w:bCs/>
          <w:color w:val="00305F"/>
          <w:sz w:val="4"/>
          <w:szCs w:val="4"/>
          <w:rtl/>
        </w:rPr>
      </w:pPr>
      <w:r>
        <w:rPr>
          <w:b/>
          <w:bCs/>
          <w:noProof/>
          <w:sz w:val="18"/>
        </w:rPr>
        <w:drawing>
          <wp:anchor distT="0" distB="0" distL="114300" distR="114300" simplePos="0" relativeHeight="251731968" behindDoc="1" locked="0" layoutInCell="1" allowOverlap="1">
            <wp:simplePos x="0" y="0"/>
            <wp:positionH relativeFrom="column">
              <wp:posOffset>1270</wp:posOffset>
            </wp:positionH>
            <wp:positionV relativeFrom="paragraph">
              <wp:posOffset>38295</wp:posOffset>
            </wp:positionV>
            <wp:extent cx="2879725" cy="158115"/>
            <wp:effectExtent l="0" t="0" r="0" b="0"/>
            <wp:wrapTight wrapText="bothSides">
              <wp:wrapPolygon>
                <wp:start x="4191" y="0"/>
                <wp:lineTo x="0" y="5205"/>
                <wp:lineTo x="0" y="8675"/>
                <wp:lineTo x="4191" y="19084"/>
                <wp:lineTo x="5906" y="19084"/>
                <wp:lineTo x="21433" y="8675"/>
                <wp:lineTo x="21433" y="5205"/>
                <wp:lineTo x="5906" y="0"/>
                <wp:lineTo x="4191" y="0"/>
              </wp:wrapPolygon>
            </wp:wrapTight>
            <wp:docPr id="18828067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806765" name="Picture 8"/>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p w:rsidR="000F0B63" w:rsidRPr="00E562C5" w:rsidP="000F0B63" w14:paraId="4F327947" w14:textId="77777777">
      <w:pPr>
        <w:pStyle w:val="73512"/>
        <w:bidi w:val="0"/>
      </w:pPr>
      <w:r>
        <w:rPr>
          <w:rFonts w:hint="cs"/>
          <w:lang w:val="en"/>
        </w:rPr>
        <w:t xml:space="preserve">Road </w:t>
      </w:r>
      <w:r>
        <w:rPr>
          <w:lang w:val="en"/>
        </w:rPr>
        <w:t>S</w:t>
      </w:r>
      <w:r>
        <w:rPr>
          <w:rFonts w:hint="cs"/>
          <w:lang w:val="en"/>
        </w:rPr>
        <w:t xml:space="preserve">afety </w:t>
      </w:r>
      <w:r>
        <w:rPr>
          <w:lang w:val="en"/>
        </w:rPr>
        <w:t>E</w:t>
      </w:r>
      <w:r>
        <w:rPr>
          <w:rFonts w:hint="cs"/>
          <w:lang w:val="en"/>
        </w:rPr>
        <w:t>ducation</w:t>
      </w:r>
    </w:p>
    <w:p w:rsidR="000F0B63" w:rsidP="000F0B63" w14:paraId="751D21F8" w14:textId="43C4A3FC">
      <w:pPr>
        <w:pStyle w:val="7191"/>
        <w:bidi w:val="0"/>
        <w:spacing w:before="240"/>
        <w:ind w:left="397"/>
        <w:rPr>
          <w:noProof/>
        </w:rPr>
      </w:pPr>
      <w:r w:rsidRPr="00081B5E">
        <w:rPr>
          <w:rFonts w:hint="cs"/>
          <w:b/>
          <w:bCs/>
          <w:noProof/>
          <w:rtl/>
        </w:rPr>
        <w:drawing>
          <wp:anchor distT="0" distB="0" distL="0" distR="0" simplePos="0" relativeHeight="251732992"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60707167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071670"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81B5E" w:rsidR="00CF1BD1">
        <w:rPr>
          <w:rFonts w:hint="cs"/>
          <w:b/>
          <w:bCs/>
          <w:noProof/>
        </w:rPr>
        <w:t xml:space="preserve">Appointment of </w:t>
      </w:r>
      <w:r w:rsidRPr="00081B5E" w:rsidR="00CF1BD1">
        <w:rPr>
          <w:b/>
          <w:bCs/>
          <w:noProof/>
        </w:rPr>
        <w:t>R</w:t>
      </w:r>
      <w:r w:rsidRPr="00081B5E" w:rsidR="00CF1BD1">
        <w:rPr>
          <w:rFonts w:hint="cs"/>
          <w:b/>
          <w:bCs/>
          <w:noProof/>
        </w:rPr>
        <w:t xml:space="preserve">oad </w:t>
      </w:r>
      <w:r w:rsidRPr="00081B5E" w:rsidR="00CF1BD1">
        <w:rPr>
          <w:b/>
          <w:bCs/>
          <w:noProof/>
        </w:rPr>
        <w:t>S</w:t>
      </w:r>
      <w:r w:rsidRPr="00081B5E" w:rsidR="00CF1BD1">
        <w:rPr>
          <w:rFonts w:hint="cs"/>
          <w:b/>
          <w:bCs/>
          <w:noProof/>
        </w:rPr>
        <w:t xml:space="preserve">afety </w:t>
      </w:r>
      <w:r w:rsidRPr="00081B5E" w:rsidR="00CF1BD1">
        <w:rPr>
          <w:b/>
          <w:bCs/>
          <w:noProof/>
        </w:rPr>
        <w:t>C</w:t>
      </w:r>
      <w:r w:rsidRPr="00081B5E" w:rsidR="00CF1BD1">
        <w:rPr>
          <w:rFonts w:hint="cs"/>
          <w:b/>
          <w:bCs/>
          <w:noProof/>
        </w:rPr>
        <w:t xml:space="preserve">oordinators in </w:t>
      </w:r>
      <w:r w:rsidRPr="00081B5E" w:rsidR="00CF1BD1">
        <w:rPr>
          <w:b/>
          <w:bCs/>
          <w:noProof/>
        </w:rPr>
        <w:t>S</w:t>
      </w:r>
      <w:r w:rsidRPr="00081B5E" w:rsidR="00CF1BD1">
        <w:rPr>
          <w:rFonts w:hint="cs"/>
          <w:b/>
          <w:bCs/>
          <w:noProof/>
        </w:rPr>
        <w:t>chools</w:t>
      </w:r>
      <w:r w:rsidRPr="00081B5E" w:rsidR="00CF1BD1">
        <w:rPr>
          <w:b/>
          <w:bCs/>
          <w:noProof/>
        </w:rPr>
        <w:t xml:space="preserve"> –</w:t>
      </w:r>
      <w:r w:rsidRPr="00C47F8C" w:rsidR="00CF1BD1">
        <w:rPr>
          <w:rFonts w:hint="cs"/>
          <w:noProof/>
        </w:rPr>
        <w:t xml:space="preserve"> according to a circular from the Director General of the Ministry of Education, every school is required to appoint a road safety coordinator (ZAHAV coordinator) (ZAHAV </w:t>
      </w:r>
      <w:r w:rsidRPr="00C47F8C" w:rsidR="00CF1BD1">
        <w:rPr>
          <w:noProof/>
        </w:rPr>
        <w:t>–</w:t>
      </w:r>
      <w:r w:rsidRPr="00C47F8C" w:rsidR="00CF1BD1">
        <w:rPr>
          <w:rFonts w:hint="cs"/>
          <w:noProof/>
        </w:rPr>
        <w:t xml:space="preserve"> Hebrew acronym for "road safety") to be in charge of conducting road safety activities for students, teachers, and parents. However, in the 2021</w:t>
      </w:r>
      <w:r w:rsidRPr="00C47F8C" w:rsidR="00CF1BD1">
        <w:rPr>
          <w:noProof/>
        </w:rPr>
        <w:t>–</w:t>
      </w:r>
      <w:r w:rsidRPr="00C47F8C" w:rsidR="00CF1BD1">
        <w:rPr>
          <w:rFonts w:hint="cs"/>
          <w:noProof/>
        </w:rPr>
        <w:t>2022 school year, a</w:t>
      </w:r>
      <w:r w:rsidRPr="00C47F8C" w:rsidR="00CF1BD1">
        <w:rPr>
          <w:noProof/>
        </w:rPr>
        <w:t>bout</w:t>
      </w:r>
      <w:r w:rsidRPr="00C47F8C" w:rsidR="00CF1BD1">
        <w:rPr>
          <w:rFonts w:hint="cs"/>
          <w:noProof/>
        </w:rPr>
        <w:t xml:space="preserve"> a quarter of the schools in Israel did not have a ZAHAV coordinator (936 out of 3,684 schools). This </w:t>
      </w:r>
      <w:r w:rsidRPr="00C47F8C" w:rsidR="00CF1BD1">
        <w:rPr>
          <w:noProof/>
        </w:rPr>
        <w:t>rate</w:t>
      </w:r>
      <w:r w:rsidRPr="00C47F8C" w:rsidR="00CF1BD1">
        <w:rPr>
          <w:rFonts w:hint="cs"/>
          <w:noProof/>
        </w:rPr>
        <w:t xml:space="preserve"> was slightly lower in the 2020</w:t>
      </w:r>
      <w:r w:rsidRPr="00C47F8C" w:rsidR="00CF1BD1">
        <w:rPr>
          <w:noProof/>
        </w:rPr>
        <w:t>–</w:t>
      </w:r>
      <w:r w:rsidRPr="00C47F8C" w:rsidR="00CF1BD1">
        <w:rPr>
          <w:rFonts w:hint="cs"/>
          <w:noProof/>
        </w:rPr>
        <w:t>2021 school year, at 23%. A more detailed examination of the 2021</w:t>
      </w:r>
      <w:r w:rsidRPr="00C47F8C" w:rsidR="00CF1BD1">
        <w:rPr>
          <w:noProof/>
        </w:rPr>
        <w:t>–</w:t>
      </w:r>
      <w:r w:rsidRPr="00C47F8C" w:rsidR="00CF1BD1">
        <w:rPr>
          <w:rFonts w:hint="cs"/>
          <w:noProof/>
        </w:rPr>
        <w:t>2022 data shows that 77.9% of schools in the Jewish sector had ZAHAV coordinators, compared to only a</w:t>
      </w:r>
      <w:r w:rsidRPr="00C47F8C" w:rsidR="00CF1BD1">
        <w:rPr>
          <w:noProof/>
        </w:rPr>
        <w:t>bout</w:t>
      </w:r>
      <w:r w:rsidRPr="00C47F8C" w:rsidR="00CF1BD1">
        <w:rPr>
          <w:rFonts w:hint="cs"/>
          <w:noProof/>
        </w:rPr>
        <w:t xml:space="preserve"> 60% in the Arab sector. The lowest </w:t>
      </w:r>
      <w:r w:rsidRPr="00C47F8C" w:rsidR="00CF1BD1">
        <w:rPr>
          <w:noProof/>
        </w:rPr>
        <w:t>rate</w:t>
      </w:r>
      <w:r w:rsidRPr="00C47F8C" w:rsidR="00CF1BD1">
        <w:rPr>
          <w:rFonts w:hint="cs"/>
          <w:noProof/>
        </w:rPr>
        <w:t xml:space="preserve"> of coordinators is in the Arab sector, even though the rate of child casualties in the</w:t>
      </w:r>
      <w:r w:rsidRPr="00C47F8C" w:rsidR="00CF1BD1">
        <w:rPr>
          <w:noProof/>
        </w:rPr>
        <w:t>ir</w:t>
      </w:r>
      <w:r w:rsidRPr="00C47F8C" w:rsidR="00CF1BD1">
        <w:rPr>
          <w:rFonts w:hint="cs"/>
          <w:noProof/>
        </w:rPr>
        <w:t xml:space="preserve"> communit</w:t>
      </w:r>
      <w:r w:rsidRPr="00C47F8C" w:rsidR="00CF1BD1">
        <w:rPr>
          <w:noProof/>
        </w:rPr>
        <w:t>ies</w:t>
      </w:r>
      <w:r w:rsidRPr="00C47F8C" w:rsidR="00CF1BD1">
        <w:rPr>
          <w:rFonts w:hint="cs"/>
          <w:noProof/>
        </w:rPr>
        <w:t xml:space="preserve"> is significantly higher than in the Jewish </w:t>
      </w:r>
      <w:r w:rsidRPr="00C47F8C" w:rsidR="00CF1BD1">
        <w:rPr>
          <w:noProof/>
        </w:rPr>
        <w:t>ones</w:t>
      </w:r>
      <w:r>
        <w:rPr>
          <w:noProof/>
        </w:rPr>
        <w:t>.</w:t>
      </w:r>
    </w:p>
    <w:p w:rsidR="000F0B63" w:rsidRPr="00E83A18" w:rsidP="000F0B63" w14:paraId="5495C1EC" w14:textId="0C2B7A34">
      <w:pPr>
        <w:pStyle w:val="7191"/>
        <w:bidi w:val="0"/>
        <w:spacing w:before="240"/>
        <w:ind w:left="397"/>
        <w:rPr>
          <w:noProof/>
        </w:rPr>
      </w:pPr>
      <w:r w:rsidRPr="00081B5E">
        <w:rPr>
          <w:rFonts w:hint="cs"/>
          <w:b/>
          <w:bCs/>
          <w:noProof/>
          <w:rtl/>
        </w:rPr>
        <w:drawing>
          <wp:anchor distT="0" distB="0" distL="0" distR="0" simplePos="0" relativeHeight="251737088"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48974388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43885"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81B5E" w:rsidR="00CF1BD1">
        <w:rPr>
          <w:rFonts w:hint="cs"/>
          <w:b/>
          <w:bCs/>
          <w:noProof/>
        </w:rPr>
        <w:t xml:space="preserve">Road </w:t>
      </w:r>
      <w:r w:rsidRPr="00081B5E" w:rsidR="00CF1BD1">
        <w:rPr>
          <w:b/>
          <w:bCs/>
          <w:noProof/>
        </w:rPr>
        <w:t>S</w:t>
      </w:r>
      <w:r w:rsidRPr="00081B5E" w:rsidR="00CF1BD1">
        <w:rPr>
          <w:rFonts w:hint="cs"/>
          <w:b/>
          <w:bCs/>
          <w:noProof/>
        </w:rPr>
        <w:t xml:space="preserve">afety </w:t>
      </w:r>
      <w:r w:rsidRPr="00081B5E" w:rsidR="00CF1BD1">
        <w:rPr>
          <w:b/>
          <w:bCs/>
          <w:noProof/>
        </w:rPr>
        <w:t>E</w:t>
      </w:r>
      <w:r w:rsidRPr="00081B5E" w:rsidR="00CF1BD1">
        <w:rPr>
          <w:rFonts w:hint="cs"/>
          <w:b/>
          <w:bCs/>
          <w:noProof/>
        </w:rPr>
        <w:t xml:space="preserve">ducation in </w:t>
      </w:r>
      <w:r w:rsidRPr="00081B5E" w:rsidR="00CF1BD1">
        <w:rPr>
          <w:b/>
          <w:bCs/>
          <w:noProof/>
        </w:rPr>
        <w:t>E</w:t>
      </w:r>
      <w:r w:rsidRPr="00081B5E" w:rsidR="00CF1BD1">
        <w:rPr>
          <w:rFonts w:hint="cs"/>
          <w:b/>
          <w:bCs/>
          <w:noProof/>
        </w:rPr>
        <w:t xml:space="preserve">arly </w:t>
      </w:r>
      <w:r w:rsidRPr="00081B5E" w:rsidR="00CF1BD1">
        <w:rPr>
          <w:b/>
          <w:bCs/>
          <w:noProof/>
        </w:rPr>
        <w:t>C</w:t>
      </w:r>
      <w:r w:rsidRPr="00081B5E" w:rsidR="00CF1BD1">
        <w:rPr>
          <w:rFonts w:hint="cs"/>
          <w:b/>
          <w:bCs/>
          <w:noProof/>
        </w:rPr>
        <w:t>hildhood</w:t>
      </w:r>
      <w:r w:rsidRPr="00081B5E" w:rsidR="00CF1BD1">
        <w:rPr>
          <w:b/>
          <w:bCs/>
          <w:noProof/>
        </w:rPr>
        <w:t xml:space="preserve"> –</w:t>
      </w:r>
      <w:r w:rsidRPr="00C47F8C" w:rsidR="00CF1BD1">
        <w:rPr>
          <w:rFonts w:hint="cs"/>
          <w:bCs/>
          <w:noProof/>
        </w:rPr>
        <w:t xml:space="preserve"> despite the Ministry of Education's recognition of the importance of road safety education in early childhood, there has been a decline in educational programs for kindergarten-aged children. In 2022, the Ministry stopped funding the "ZAHAV in Kindergarten" program, in which retired volunteers conducted road safety activities in kindergartens. In addition, the 'Moving in an Automotive World' program, to establish a learning framework for road safety education in kindergartens, was modified </w:t>
      </w:r>
      <w:r w:rsidRPr="00C47F8C" w:rsidR="00CF1BD1">
        <w:rPr>
          <w:bCs/>
          <w:noProof/>
        </w:rPr>
        <w:t>and</w:t>
      </w:r>
      <w:r w:rsidRPr="00C47F8C" w:rsidR="00CF1BD1">
        <w:rPr>
          <w:rFonts w:hint="cs"/>
          <w:bCs/>
          <w:noProof/>
        </w:rPr>
        <w:t xml:space="preserve"> is now delivered by kindergarten teachers with neither special-purpose kits nor by teams specializing in the subject</w:t>
      </w:r>
      <w:r>
        <w:rPr>
          <w:noProof/>
        </w:rPr>
        <w:t>.</w:t>
      </w:r>
    </w:p>
    <w:p w:rsidR="000F0B63" w:rsidRPr="00E83A18" w:rsidP="000F0B63" w14:paraId="5B48FCF1" w14:textId="5A16688B">
      <w:pPr>
        <w:pStyle w:val="7191"/>
        <w:bidi w:val="0"/>
        <w:spacing w:before="240"/>
        <w:ind w:left="397"/>
        <w:rPr>
          <w:noProof/>
        </w:rPr>
      </w:pPr>
      <w:r w:rsidRPr="00081B5E">
        <w:rPr>
          <w:rFonts w:hint="cs"/>
          <w:b/>
          <w:bCs/>
          <w:noProof/>
          <w:rtl/>
        </w:rPr>
        <w:drawing>
          <wp:anchor distT="0" distB="0" distL="0" distR="0" simplePos="0" relativeHeight="251738112"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2867877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78773"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81B5E" w:rsidR="00CF1BD1">
        <w:rPr>
          <w:rFonts w:hint="cs"/>
          <w:b/>
          <w:bCs/>
          <w:noProof/>
        </w:rPr>
        <w:t xml:space="preserve">Education on </w:t>
      </w:r>
      <w:r w:rsidRPr="00081B5E" w:rsidR="00CF1BD1">
        <w:rPr>
          <w:b/>
          <w:bCs/>
          <w:noProof/>
        </w:rPr>
        <w:t>T</w:t>
      </w:r>
      <w:r w:rsidRPr="00081B5E" w:rsidR="00CF1BD1">
        <w:rPr>
          <w:rFonts w:hint="cs"/>
          <w:b/>
          <w:bCs/>
          <w:noProof/>
        </w:rPr>
        <w:t>wo-</w:t>
      </w:r>
      <w:r w:rsidRPr="00081B5E" w:rsidR="00CF1BD1">
        <w:rPr>
          <w:b/>
          <w:bCs/>
          <w:noProof/>
        </w:rPr>
        <w:t>W</w:t>
      </w:r>
      <w:r w:rsidRPr="00081B5E" w:rsidR="00CF1BD1">
        <w:rPr>
          <w:rFonts w:hint="cs"/>
          <w:b/>
          <w:bCs/>
          <w:noProof/>
        </w:rPr>
        <w:t xml:space="preserve">heeled </w:t>
      </w:r>
      <w:r w:rsidRPr="00081B5E" w:rsidR="00CF1BD1">
        <w:rPr>
          <w:b/>
          <w:bCs/>
          <w:noProof/>
        </w:rPr>
        <w:t>V</w:t>
      </w:r>
      <w:r w:rsidRPr="00081B5E" w:rsidR="00CF1BD1">
        <w:rPr>
          <w:rFonts w:hint="cs"/>
          <w:b/>
          <w:bCs/>
          <w:noProof/>
        </w:rPr>
        <w:t>ehicles</w:t>
      </w:r>
      <w:r w:rsidRPr="00081B5E" w:rsidR="00CF1BD1">
        <w:rPr>
          <w:b/>
          <w:bCs/>
          <w:noProof/>
        </w:rPr>
        <w:t xml:space="preserve"> –</w:t>
      </w:r>
      <w:r w:rsidRPr="00C47F8C" w:rsidR="00CF1BD1">
        <w:rPr>
          <w:rFonts w:hint="cs"/>
          <w:bCs/>
          <w:noProof/>
        </w:rPr>
        <w:t xml:space="preserve"> according to RSA data, in 2022, 24 riders of bicycles, electric bicycles, and electric scooters were killed. Nonetheless, since these vehicles do not require a driving license, training (practical or theoretical) for their riders is not included in the </w:t>
      </w:r>
      <w:r w:rsidRPr="00C47F8C" w:rsidR="00CF1BD1">
        <w:rPr>
          <w:bCs/>
          <w:noProof/>
        </w:rPr>
        <w:t>MOT</w:t>
      </w:r>
      <w:r w:rsidRPr="00C47F8C" w:rsidR="00CF1BD1">
        <w:rPr>
          <w:rFonts w:hint="cs"/>
          <w:bCs/>
          <w:noProof/>
        </w:rPr>
        <w:t xml:space="preserve">'s driver training programs. </w:t>
      </w:r>
      <w:r w:rsidRPr="00C47F8C" w:rsidR="00CF1BD1">
        <w:rPr>
          <w:bCs/>
          <w:noProof/>
        </w:rPr>
        <w:t>Nevertheless</w:t>
      </w:r>
      <w:r w:rsidRPr="00C47F8C" w:rsidR="00CF1BD1">
        <w:rPr>
          <w:rFonts w:hint="cs"/>
          <w:bCs/>
          <w:noProof/>
        </w:rPr>
        <w:t>, as of January 2022, the Ministry of Education initiated a pilot for a new traffic education program focused on two-wheeled vehicles for ninth-grade students in secondary schools. Th</w:t>
      </w:r>
      <w:r w:rsidRPr="00C47F8C" w:rsidR="00CF1BD1">
        <w:rPr>
          <w:bCs/>
          <w:noProof/>
        </w:rPr>
        <w:t>e ZAHAV Division developed this program</w:t>
      </w:r>
      <w:r w:rsidRPr="00C47F8C" w:rsidR="00CF1BD1">
        <w:rPr>
          <w:rFonts w:hint="cs"/>
          <w:bCs/>
          <w:noProof/>
        </w:rPr>
        <w:t xml:space="preserve">. In the first year of the pilot, the program was implemented in about 100 classes; in the second year, it was expanded to </w:t>
      </w:r>
      <w:r w:rsidRPr="00C47F8C" w:rsidR="00CF1BD1">
        <w:rPr>
          <w:bCs/>
          <w:noProof/>
        </w:rPr>
        <w:t>about</w:t>
      </w:r>
      <w:r w:rsidRPr="00C47F8C" w:rsidR="00CF1BD1">
        <w:rPr>
          <w:rFonts w:hint="cs"/>
          <w:bCs/>
          <w:noProof/>
        </w:rPr>
        <w:t xml:space="preserve"> 200 classes. As of the </w:t>
      </w:r>
      <w:r w:rsidRPr="00C47F8C" w:rsidR="00CF1BD1">
        <w:rPr>
          <w:rFonts w:hint="cs"/>
          <w:bCs/>
          <w:noProof/>
        </w:rPr>
        <w:t xml:space="preserve">audit date, the pilot program is operating in only </w:t>
      </w:r>
      <w:r w:rsidRPr="00C47F8C" w:rsidR="00CF1BD1">
        <w:rPr>
          <w:bCs/>
          <w:noProof/>
        </w:rPr>
        <w:t>about</w:t>
      </w:r>
      <w:r w:rsidRPr="00C47F8C" w:rsidR="00CF1BD1">
        <w:rPr>
          <w:rFonts w:hint="cs"/>
          <w:bCs/>
          <w:noProof/>
        </w:rPr>
        <w:t xml:space="preserve"> 200 out of </w:t>
      </w:r>
      <w:r w:rsidRPr="00C47F8C" w:rsidR="00CF1BD1">
        <w:rPr>
          <w:bCs/>
          <w:noProof/>
        </w:rPr>
        <w:t>about</w:t>
      </w:r>
      <w:r w:rsidRPr="00C47F8C" w:rsidR="00CF1BD1">
        <w:rPr>
          <w:rFonts w:hint="cs"/>
          <w:bCs/>
          <w:noProof/>
        </w:rPr>
        <w:t xml:space="preserve"> 5,300 ninth-grade classes in Israel (3.8%), which means that most riders of these vehicles do not receive relevant training</w:t>
      </w:r>
      <w:r>
        <w:rPr>
          <w:noProof/>
        </w:rPr>
        <w:t>.</w:t>
      </w:r>
    </w:p>
    <w:p w:rsidR="000F0B63" w:rsidP="000F0B63" w14:paraId="48FA4F64" w14:textId="21D0512F">
      <w:pPr>
        <w:pStyle w:val="7191"/>
        <w:bidi w:val="0"/>
        <w:spacing w:before="240"/>
        <w:ind w:left="397"/>
        <w:rPr>
          <w:noProof/>
        </w:rPr>
      </w:pPr>
      <w:r w:rsidRPr="00081B5E">
        <w:rPr>
          <w:rFonts w:hint="cs"/>
          <w:b/>
          <w:bCs/>
          <w:noProof/>
          <w:rtl/>
        </w:rPr>
        <w:drawing>
          <wp:anchor distT="0" distB="0" distL="0" distR="0" simplePos="0" relativeHeight="251739136"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202695302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53026"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81B5E" w:rsidR="00CF1BD1">
        <w:rPr>
          <w:rFonts w:hint="cs"/>
          <w:b/>
          <w:bCs/>
          <w:noProof/>
        </w:rPr>
        <w:t xml:space="preserve">ZAHAV </w:t>
      </w:r>
      <w:r w:rsidRPr="00081B5E" w:rsidR="00CF1BD1">
        <w:rPr>
          <w:b/>
          <w:bCs/>
          <w:noProof/>
        </w:rPr>
        <w:t>P</w:t>
      </w:r>
      <w:r w:rsidRPr="00081B5E" w:rsidR="00CF1BD1">
        <w:rPr>
          <w:rFonts w:hint="cs"/>
          <w:b/>
          <w:bCs/>
          <w:noProof/>
        </w:rPr>
        <w:t>atrols</w:t>
      </w:r>
      <w:r w:rsidRPr="00081B5E" w:rsidR="00CF1BD1">
        <w:rPr>
          <w:b/>
          <w:bCs/>
          <w:noProof/>
        </w:rPr>
        <w:t xml:space="preserve"> –</w:t>
      </w:r>
      <w:r w:rsidRPr="00C47F8C" w:rsidR="00CF1BD1">
        <w:rPr>
          <w:rFonts w:hint="cs"/>
          <w:bCs/>
          <w:noProof/>
        </w:rPr>
        <w:t xml:space="preserve"> police</w:t>
      </w:r>
      <w:r w:rsidRPr="00C47F8C" w:rsidR="00CF1BD1">
        <w:rPr>
          <w:bCs/>
          <w:noProof/>
        </w:rPr>
        <w:t>men</w:t>
      </w:r>
      <w:r w:rsidRPr="00C47F8C" w:rsidR="00CF1BD1">
        <w:rPr>
          <w:rFonts w:hint="cs"/>
          <w:bCs/>
          <w:noProof/>
        </w:rPr>
        <w:t xml:space="preserve"> in the ZAHAV section in the Traffic Division are in charge, among other things, of supervising the activity of ZAHAV patrols in schools and training students to serve in them. Since the 2018</w:t>
      </w:r>
      <w:r w:rsidRPr="00C47F8C" w:rsidR="00CF1BD1">
        <w:rPr>
          <w:noProof/>
        </w:rPr>
        <w:t>–</w:t>
      </w:r>
      <w:r w:rsidRPr="00C47F8C" w:rsidR="00CF1BD1">
        <w:rPr>
          <w:rFonts w:hint="cs"/>
          <w:bCs/>
          <w:noProof/>
        </w:rPr>
        <w:t>2019 school year, the number of ZAHAV police</w:t>
      </w:r>
      <w:r w:rsidRPr="00C47F8C" w:rsidR="00CF1BD1">
        <w:rPr>
          <w:bCs/>
          <w:noProof/>
        </w:rPr>
        <w:t>men</w:t>
      </w:r>
      <w:r w:rsidRPr="00C47F8C" w:rsidR="00CF1BD1">
        <w:rPr>
          <w:rFonts w:hint="cs"/>
          <w:bCs/>
          <w:noProof/>
        </w:rPr>
        <w:t xml:space="preserve"> positions has been reduced (from 41.75 in 2017</w:t>
      </w:r>
      <w:r w:rsidRPr="00C47F8C" w:rsidR="00CF1BD1">
        <w:rPr>
          <w:noProof/>
        </w:rPr>
        <w:t>–</w:t>
      </w:r>
      <w:r w:rsidRPr="00C47F8C" w:rsidR="00CF1BD1">
        <w:rPr>
          <w:rFonts w:hint="cs"/>
          <w:bCs/>
          <w:noProof/>
        </w:rPr>
        <w:t>2018 to 11.75 in 2022</w:t>
      </w:r>
      <w:r w:rsidRPr="00C47F8C" w:rsidR="00CF1BD1">
        <w:rPr>
          <w:noProof/>
        </w:rPr>
        <w:t>–</w:t>
      </w:r>
      <w:r w:rsidRPr="00C47F8C" w:rsidR="00CF1BD1">
        <w:rPr>
          <w:rFonts w:hint="cs"/>
          <w:bCs/>
          <w:noProof/>
        </w:rPr>
        <w:t>2023)</w:t>
      </w:r>
      <w:bookmarkStart w:id="11" w:name="_Hlk146200517"/>
      <w:r w:rsidRPr="00C47F8C" w:rsidR="00CF1BD1">
        <w:rPr>
          <w:rFonts w:hint="cs"/>
          <w:bCs/>
          <w:noProof/>
        </w:rPr>
        <w:t xml:space="preserve">. </w:t>
      </w:r>
      <w:bookmarkEnd w:id="11"/>
      <w:r w:rsidRPr="00C47F8C" w:rsidR="00CF1BD1">
        <w:rPr>
          <w:rFonts w:hint="cs"/>
          <w:bCs/>
          <w:noProof/>
        </w:rPr>
        <w:t xml:space="preserve">The most significant disparities in training exist in the ultra-Orthodox (Haredi) and Arab </w:t>
      </w:r>
      <w:r w:rsidRPr="00C47F8C" w:rsidR="00CF1BD1">
        <w:rPr>
          <w:bCs/>
          <w:noProof/>
        </w:rPr>
        <w:t>sectors.</w:t>
      </w:r>
      <w:r w:rsidRPr="00C47F8C" w:rsidR="00CF1BD1">
        <w:rPr>
          <w:rFonts w:hint="cs"/>
          <w:bCs/>
          <w:noProof/>
        </w:rPr>
        <w:t xml:space="preserve"> </w:t>
      </w:r>
      <w:bookmarkStart w:id="12" w:name="_Hlk164074724"/>
      <w:r w:rsidRPr="00C47F8C" w:rsidR="00CF1BD1">
        <w:rPr>
          <w:bCs/>
          <w:noProof/>
        </w:rPr>
        <w:t xml:space="preserve">This is </w:t>
      </w:r>
      <w:r w:rsidRPr="00C47F8C" w:rsidR="00CF1BD1">
        <w:rPr>
          <w:rFonts w:hint="cs"/>
          <w:bCs/>
          <w:noProof/>
        </w:rPr>
        <w:t>primarily due to inadequate</w:t>
      </w:r>
      <w:r w:rsidRPr="00C47F8C" w:rsidR="00CF1BD1">
        <w:rPr>
          <w:bCs/>
          <w:noProof/>
        </w:rPr>
        <w:t xml:space="preserve"> infrastructure</w:t>
      </w:r>
      <w:r w:rsidRPr="00C47F8C" w:rsidR="00CF1BD1">
        <w:rPr>
          <w:rFonts w:hint="cs"/>
          <w:bCs/>
          <w:noProof/>
        </w:rPr>
        <w:t xml:space="preserve"> which prevent</w:t>
      </w:r>
      <w:r w:rsidRPr="00C47F8C" w:rsidR="00CF1BD1">
        <w:rPr>
          <w:bCs/>
          <w:noProof/>
        </w:rPr>
        <w:t>s</w:t>
      </w:r>
      <w:r w:rsidRPr="00C47F8C" w:rsidR="00CF1BD1">
        <w:rPr>
          <w:rFonts w:hint="cs"/>
          <w:bCs/>
          <w:noProof/>
        </w:rPr>
        <w:t xml:space="preserve"> the implementation of training. In addition, some schools in the ultra-Orthodox </w:t>
      </w:r>
      <w:r w:rsidRPr="00C47F8C" w:rsidR="00CF1BD1">
        <w:rPr>
          <w:bCs/>
          <w:noProof/>
        </w:rPr>
        <w:t>sector</w:t>
      </w:r>
      <w:r w:rsidRPr="00C47F8C" w:rsidR="00CF1BD1">
        <w:rPr>
          <w:rFonts w:hint="cs"/>
          <w:bCs/>
          <w:noProof/>
        </w:rPr>
        <w:t xml:space="preserve"> do not permit the entry of </w:t>
      </w:r>
      <w:r w:rsidRPr="00C47F8C" w:rsidR="00CF1BD1">
        <w:rPr>
          <w:bCs/>
          <w:noProof/>
        </w:rPr>
        <w:t>policewomen</w:t>
      </w:r>
      <w:r w:rsidRPr="00C47F8C" w:rsidR="00CF1BD1">
        <w:rPr>
          <w:rFonts w:hint="cs"/>
          <w:bCs/>
          <w:noProof/>
        </w:rPr>
        <w:t xml:space="preserve">. </w:t>
      </w:r>
      <w:bookmarkEnd w:id="12"/>
      <w:r w:rsidRPr="00C47F8C" w:rsidR="00CF1BD1">
        <w:rPr>
          <w:rFonts w:hint="cs"/>
          <w:bCs/>
          <w:noProof/>
        </w:rPr>
        <w:t>Thus, in the 2022</w:t>
      </w:r>
      <w:r w:rsidRPr="00C47F8C" w:rsidR="00CF1BD1">
        <w:rPr>
          <w:noProof/>
        </w:rPr>
        <w:t>–</w:t>
      </w:r>
      <w:r w:rsidRPr="00C47F8C" w:rsidR="00CF1BD1">
        <w:rPr>
          <w:rFonts w:hint="cs"/>
          <w:bCs/>
          <w:noProof/>
        </w:rPr>
        <w:t>2023 school year, only 26 classes in the ultra-Orthodox</w:t>
      </w:r>
      <w:r w:rsidRPr="00C47F8C" w:rsidR="00CF1BD1">
        <w:rPr>
          <w:bCs/>
          <w:noProof/>
        </w:rPr>
        <w:t xml:space="preserve"> sector</w:t>
      </w:r>
      <w:r w:rsidRPr="00C47F8C" w:rsidR="00CF1BD1">
        <w:rPr>
          <w:rFonts w:hint="cs"/>
          <w:bCs/>
          <w:noProof/>
        </w:rPr>
        <w:t xml:space="preserve"> were </w:t>
      </w:r>
      <w:r w:rsidRPr="00C47F8C" w:rsidR="00CF1BD1">
        <w:rPr>
          <w:bCs/>
          <w:noProof/>
        </w:rPr>
        <w:t xml:space="preserve">approved for training </w:t>
      </w:r>
      <w:r w:rsidRPr="00C47F8C" w:rsidR="00CF1BD1">
        <w:rPr>
          <w:rFonts w:hint="cs"/>
          <w:bCs/>
          <w:noProof/>
        </w:rPr>
        <w:t xml:space="preserve">(out of 1,486 classes in the entire sector), </w:t>
      </w:r>
      <w:r w:rsidRPr="00C47F8C" w:rsidR="00CF1BD1">
        <w:rPr>
          <w:bCs/>
          <w:noProof/>
        </w:rPr>
        <w:t xml:space="preserve">and </w:t>
      </w:r>
      <w:r w:rsidRPr="00C47F8C" w:rsidR="00CF1BD1">
        <w:rPr>
          <w:rFonts w:hint="cs"/>
          <w:bCs/>
          <w:noProof/>
        </w:rPr>
        <w:t xml:space="preserve">22 were </w:t>
      </w:r>
      <w:r w:rsidRPr="00C47F8C" w:rsidR="00CF1BD1">
        <w:rPr>
          <w:bCs/>
          <w:noProof/>
        </w:rPr>
        <w:t xml:space="preserve">actually </w:t>
      </w:r>
      <w:r w:rsidRPr="00C47F8C" w:rsidR="00CF1BD1">
        <w:rPr>
          <w:rFonts w:hint="cs"/>
          <w:bCs/>
          <w:noProof/>
        </w:rPr>
        <w:t xml:space="preserve">trained. In the Arab sector, participation in the program was approved </w:t>
      </w:r>
      <w:r w:rsidRPr="00C47F8C" w:rsidR="00CF1BD1">
        <w:rPr>
          <w:bCs/>
          <w:noProof/>
        </w:rPr>
        <w:t xml:space="preserve">and implemented </w:t>
      </w:r>
      <w:r w:rsidRPr="00C47F8C" w:rsidR="00CF1BD1">
        <w:rPr>
          <w:rFonts w:hint="cs"/>
          <w:bCs/>
          <w:noProof/>
        </w:rPr>
        <w:t xml:space="preserve">for only 75 classes (out of 1,638 classes in the entire sector). According to documents from the Traffic Division and RSA, </w:t>
      </w:r>
      <w:r w:rsidRPr="00C47F8C" w:rsidR="00CF1BD1">
        <w:rPr>
          <w:bCs/>
          <w:noProof/>
        </w:rPr>
        <w:t xml:space="preserve">the ZAHAV system cannot meet its goals and tasks due to its limited operation. </w:t>
      </w:r>
      <w:r w:rsidRPr="00C47F8C" w:rsidR="00CF1BD1">
        <w:rPr>
          <w:rFonts w:hint="cs"/>
          <w:bCs/>
          <w:noProof/>
        </w:rPr>
        <w:t>The alternative response provided through community police</w:t>
      </w:r>
      <w:r w:rsidRPr="00C47F8C" w:rsidR="00CF1BD1">
        <w:rPr>
          <w:bCs/>
          <w:noProof/>
        </w:rPr>
        <w:t>men</w:t>
      </w:r>
      <w:r w:rsidRPr="00C47F8C" w:rsidR="00CF1BD1">
        <w:rPr>
          <w:rFonts w:hint="cs"/>
          <w:bCs/>
          <w:noProof/>
        </w:rPr>
        <w:t xml:space="preserve"> and ZAHAV coordinators in schools is ineffective, and students do not receive the </w:t>
      </w:r>
      <w:r w:rsidRPr="00C47F8C" w:rsidR="00CF1BD1">
        <w:rPr>
          <w:bCs/>
          <w:noProof/>
        </w:rPr>
        <w:t>continued instruction</w:t>
      </w:r>
      <w:r w:rsidRPr="00C47F8C" w:rsidR="00CF1BD1">
        <w:rPr>
          <w:rFonts w:hint="cs"/>
          <w:bCs/>
          <w:noProof/>
        </w:rPr>
        <w:t xml:space="preserve"> crucial for the activity's assimilation. In addition, according to the documents, local authorities, the Ministry of Education, the RSA, and school principals </w:t>
      </w:r>
      <w:r w:rsidRPr="00C47F8C" w:rsidR="00CF1BD1">
        <w:rPr>
          <w:bCs/>
          <w:noProof/>
        </w:rPr>
        <w:t>complain about</w:t>
      </w:r>
      <w:r w:rsidRPr="00C47F8C" w:rsidR="00CF1BD1">
        <w:rPr>
          <w:rFonts w:hint="cs"/>
          <w:bCs/>
          <w:noProof/>
        </w:rPr>
        <w:t xml:space="preserve"> gaps in training</w:t>
      </w:r>
      <w:r>
        <w:rPr>
          <w:noProof/>
        </w:rPr>
        <w:t>.</w:t>
      </w:r>
    </w:p>
    <w:p w:rsidR="00CF1BD1" w:rsidP="00CF1BD1" w14:paraId="7BF4860C" w14:textId="77777777">
      <w:pPr>
        <w:pStyle w:val="73512"/>
        <w:bidi w:val="0"/>
        <w:rPr>
          <w:rtl/>
        </w:rPr>
      </w:pPr>
      <w:r w:rsidRPr="009F18B0">
        <w:rPr>
          <w:lang w:val="en"/>
        </w:rPr>
        <w:t xml:space="preserve">Training and </w:t>
      </w:r>
      <w:r>
        <w:rPr>
          <w:lang w:val="en"/>
        </w:rPr>
        <w:t>M</w:t>
      </w:r>
      <w:r w:rsidRPr="009F18B0">
        <w:rPr>
          <w:lang w:val="en"/>
        </w:rPr>
        <w:t xml:space="preserve">edical </w:t>
      </w:r>
      <w:r>
        <w:rPr>
          <w:lang w:val="en"/>
        </w:rPr>
        <w:t>F</w:t>
      </w:r>
      <w:r w:rsidRPr="009F18B0">
        <w:rPr>
          <w:lang w:val="en"/>
        </w:rPr>
        <w:t xml:space="preserve">itness of </w:t>
      </w:r>
      <w:r>
        <w:rPr>
          <w:lang w:val="en"/>
        </w:rPr>
        <w:t>D</w:t>
      </w:r>
      <w:r w:rsidRPr="009F18B0">
        <w:rPr>
          <w:lang w:val="en"/>
        </w:rPr>
        <w:t xml:space="preserve">rivers </w:t>
      </w:r>
    </w:p>
    <w:p w:rsidR="000F0B63" w:rsidRPr="00E83A18" w:rsidP="000F0B63" w14:paraId="1BAE4589" w14:textId="0F10D585">
      <w:pPr>
        <w:pStyle w:val="7191"/>
        <w:bidi w:val="0"/>
        <w:spacing w:before="240"/>
        <w:ind w:left="397"/>
        <w:rPr>
          <w:noProof/>
        </w:rPr>
      </w:pPr>
      <w:r w:rsidRPr="00081B5E">
        <w:rPr>
          <w:rFonts w:hint="cs"/>
          <w:b/>
          <w:bCs/>
          <w:noProof/>
          <w:rtl/>
        </w:rPr>
        <w:drawing>
          <wp:anchor distT="0" distB="0" distL="0" distR="0" simplePos="0" relativeHeight="251740160"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43166699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66999"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81B5E" w:rsidR="00CF1BD1">
        <w:rPr>
          <w:b/>
          <w:bCs/>
          <w:noProof/>
        </w:rPr>
        <w:t>MOT</w:t>
      </w:r>
      <w:r w:rsidRPr="00081B5E" w:rsidR="00CF1BD1">
        <w:rPr>
          <w:rFonts w:hint="cs"/>
          <w:b/>
          <w:bCs/>
          <w:noProof/>
        </w:rPr>
        <w:t xml:space="preserve"> </w:t>
      </w:r>
      <w:r w:rsidRPr="00081B5E" w:rsidR="00CF1BD1">
        <w:rPr>
          <w:b/>
          <w:bCs/>
          <w:noProof/>
        </w:rPr>
        <w:t>G</w:t>
      </w:r>
      <w:r w:rsidRPr="00081B5E" w:rsidR="00CF1BD1">
        <w:rPr>
          <w:rFonts w:hint="cs"/>
          <w:b/>
          <w:bCs/>
          <w:noProof/>
        </w:rPr>
        <w:t xml:space="preserve">uidelines for </w:t>
      </w:r>
      <w:r w:rsidRPr="00081B5E" w:rsidR="00CF1BD1">
        <w:rPr>
          <w:b/>
          <w:bCs/>
          <w:noProof/>
        </w:rPr>
        <w:t>D</w:t>
      </w:r>
      <w:r w:rsidRPr="00081B5E" w:rsidR="00CF1BD1">
        <w:rPr>
          <w:rFonts w:hint="cs"/>
          <w:b/>
          <w:bCs/>
          <w:noProof/>
        </w:rPr>
        <w:t xml:space="preserve">riving </w:t>
      </w:r>
      <w:r w:rsidRPr="00081B5E" w:rsidR="00CF1BD1">
        <w:rPr>
          <w:b/>
          <w:bCs/>
          <w:noProof/>
        </w:rPr>
        <w:t>S</w:t>
      </w:r>
      <w:r w:rsidRPr="00081B5E" w:rsidR="00CF1BD1">
        <w:rPr>
          <w:rFonts w:hint="cs"/>
          <w:b/>
          <w:bCs/>
          <w:noProof/>
        </w:rPr>
        <w:t>chools</w:t>
      </w:r>
      <w:r w:rsidRPr="00081B5E" w:rsidR="00CF1BD1">
        <w:rPr>
          <w:b/>
          <w:bCs/>
          <w:noProof/>
        </w:rPr>
        <w:t xml:space="preserve"> –</w:t>
      </w:r>
      <w:r w:rsidRPr="00C47F8C" w:rsidR="00CF1BD1">
        <w:rPr>
          <w:rFonts w:hint="cs"/>
          <w:noProof/>
        </w:rPr>
        <w:t xml:space="preserve"> the </w:t>
      </w:r>
      <w:r w:rsidRPr="00C47F8C" w:rsidR="00CF1BD1">
        <w:rPr>
          <w:noProof/>
        </w:rPr>
        <w:t>MOT's</w:t>
      </w:r>
      <w:r w:rsidRPr="00C47F8C" w:rsidR="00CF1BD1">
        <w:rPr>
          <w:rFonts w:hint="cs"/>
          <w:noProof/>
        </w:rPr>
        <w:t xml:space="preserve"> Licensing Division has not updated the regulations and guidelines for driving schools and instructors for nearly 20 years. For example, procedures for </w:t>
      </w:r>
      <w:r w:rsidRPr="00C47F8C" w:rsidR="00CF1BD1">
        <w:rPr>
          <w:noProof/>
        </w:rPr>
        <w:t>licensing</w:t>
      </w:r>
      <w:r w:rsidRPr="00C47F8C" w:rsidR="00CF1BD1">
        <w:rPr>
          <w:rFonts w:hint="cs"/>
          <w:noProof/>
        </w:rPr>
        <w:t xml:space="preserve"> driving schools, certification of driving instructors, and student cards have not been updated. It was also found that the </w:t>
      </w:r>
      <w:r w:rsidRPr="00C47F8C" w:rsidR="00CF1BD1">
        <w:rPr>
          <w:noProof/>
        </w:rPr>
        <w:t>MOT</w:t>
      </w:r>
      <w:r w:rsidRPr="00C47F8C" w:rsidR="00CF1BD1">
        <w:rPr>
          <w:rFonts w:hint="cs"/>
          <w:noProof/>
        </w:rPr>
        <w:t xml:space="preserve"> does not have a unified and updated compendium of all the instructions and regulations provided to driving schools and instructors</w:t>
      </w:r>
      <w:r>
        <w:rPr>
          <w:noProof/>
        </w:rPr>
        <w:t>.</w:t>
      </w:r>
    </w:p>
    <w:p w:rsidR="000F0B63" w:rsidRPr="00E83A18" w:rsidP="000F0B63" w14:paraId="62C9EF3E" w14:textId="343F8F29">
      <w:pPr>
        <w:pStyle w:val="7191"/>
        <w:bidi w:val="0"/>
        <w:spacing w:before="240"/>
        <w:ind w:left="397"/>
        <w:rPr>
          <w:noProof/>
        </w:rPr>
      </w:pPr>
      <w:r w:rsidRPr="00081B5E">
        <w:rPr>
          <w:rFonts w:hint="cs"/>
          <w:b/>
          <w:bCs/>
          <w:noProof/>
          <w:rtl/>
        </w:rPr>
        <w:drawing>
          <wp:anchor distT="0" distB="0" distL="0" distR="0" simplePos="0" relativeHeight="251741184"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93473289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732891"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81B5E" w:rsidR="00CF1BD1">
        <w:rPr>
          <w:rFonts w:hint="cs"/>
          <w:b/>
          <w:bCs/>
          <w:noProof/>
        </w:rPr>
        <w:t xml:space="preserve">Theoretical </w:t>
      </w:r>
      <w:r w:rsidRPr="00081B5E" w:rsidR="00CF1BD1">
        <w:rPr>
          <w:b/>
          <w:bCs/>
          <w:noProof/>
        </w:rPr>
        <w:t>Le</w:t>
      </w:r>
      <w:r w:rsidRPr="00081B5E" w:rsidR="00CF1BD1">
        <w:rPr>
          <w:rFonts w:hint="cs"/>
          <w:b/>
          <w:bCs/>
          <w:noProof/>
        </w:rPr>
        <w:t xml:space="preserve">arning </w:t>
      </w:r>
      <w:r w:rsidRPr="00081B5E" w:rsidR="00CF1BD1">
        <w:rPr>
          <w:b/>
          <w:bCs/>
          <w:noProof/>
        </w:rPr>
        <w:t>P</w:t>
      </w:r>
      <w:r w:rsidRPr="00081B5E" w:rsidR="00CF1BD1">
        <w:rPr>
          <w:rFonts w:hint="cs"/>
          <w:b/>
          <w:bCs/>
          <w:noProof/>
        </w:rPr>
        <w:t>rocess</w:t>
      </w:r>
      <w:r w:rsidRPr="00081B5E" w:rsidR="00CF1BD1">
        <w:rPr>
          <w:b/>
          <w:bCs/>
          <w:noProof/>
        </w:rPr>
        <w:t xml:space="preserve"> –</w:t>
      </w:r>
      <w:r w:rsidRPr="00C47F8C" w:rsidR="00CF1BD1">
        <w:rPr>
          <w:rFonts w:hint="cs"/>
          <w:bCs/>
          <w:noProof/>
        </w:rPr>
        <w:t xml:space="preserve"> gaps were found in the theoretical driving studies, especially regard</w:t>
      </w:r>
      <w:r w:rsidRPr="00C47F8C" w:rsidR="00CF1BD1">
        <w:rPr>
          <w:bCs/>
          <w:noProof/>
        </w:rPr>
        <w:t>ing</w:t>
      </w:r>
      <w:r w:rsidRPr="00C47F8C" w:rsidR="00CF1BD1">
        <w:rPr>
          <w:rFonts w:hint="cs"/>
          <w:bCs/>
          <w:noProof/>
        </w:rPr>
        <w:t xml:space="preserve"> students who did not participate in traffic education in the 10th grade: students often take the theoretical exam without having acquired all the necessary knowledge; some students need to strengthen their </w:t>
      </w:r>
      <w:r w:rsidRPr="00C47F8C" w:rsidR="00CF1BD1">
        <w:rPr>
          <w:bCs/>
          <w:noProof/>
        </w:rPr>
        <w:t>understanding</w:t>
      </w:r>
      <w:r w:rsidRPr="00C47F8C" w:rsidR="00CF1BD1">
        <w:rPr>
          <w:rFonts w:hint="cs"/>
          <w:bCs/>
          <w:noProof/>
        </w:rPr>
        <w:t xml:space="preserve"> through </w:t>
      </w:r>
      <w:r w:rsidRPr="00C47F8C" w:rsidR="00CF1BD1">
        <w:rPr>
          <w:bCs/>
          <w:noProof/>
        </w:rPr>
        <w:t>frontal instruction</w:t>
      </w:r>
      <w:r w:rsidRPr="00C47F8C" w:rsidR="00CF1BD1">
        <w:rPr>
          <w:rFonts w:hint="cs"/>
          <w:bCs/>
          <w:noProof/>
        </w:rPr>
        <w:t xml:space="preserve">; the learning method should be improved by reducing the focus on memorizing materials and </w:t>
      </w:r>
      <w:r w:rsidRPr="00C47F8C" w:rsidR="00CF1BD1">
        <w:rPr>
          <w:bCs/>
          <w:noProof/>
        </w:rPr>
        <w:t>greater emphasis on</w:t>
      </w:r>
      <w:r w:rsidRPr="00C47F8C" w:rsidR="00CF1BD1">
        <w:rPr>
          <w:rFonts w:hint="cs"/>
          <w:bCs/>
          <w:noProof/>
        </w:rPr>
        <w:t xml:space="preserve"> understanding the principles and importance of traffic rules, </w:t>
      </w:r>
      <w:r w:rsidRPr="00C47F8C" w:rsidR="00CF1BD1">
        <w:rPr>
          <w:bCs/>
          <w:noProof/>
        </w:rPr>
        <w:t xml:space="preserve">together with </w:t>
      </w:r>
      <w:r w:rsidRPr="00C47F8C" w:rsidR="00CF1BD1">
        <w:rPr>
          <w:rFonts w:hint="cs"/>
          <w:bCs/>
          <w:noProof/>
        </w:rPr>
        <w:t>familiarity with the traffic environment, road users, and the interactions between them; the content taught does not include night driving and the effects of fatigue, peer pressure, alcohol, and drugs on driving ability;</w:t>
      </w:r>
      <w:r w:rsidRPr="00C47F8C" w:rsidR="00CF1BD1">
        <w:rPr>
          <w:bCs/>
          <w:noProof/>
        </w:rPr>
        <w:t xml:space="preserve"> and </w:t>
      </w:r>
      <w:r w:rsidRPr="00C47F8C" w:rsidR="00CF1BD1">
        <w:rPr>
          <w:rFonts w:hint="cs"/>
          <w:bCs/>
          <w:noProof/>
        </w:rPr>
        <w:t>there is no computer simulation of dangerous situations</w:t>
      </w:r>
      <w:r>
        <w:rPr>
          <w:noProof/>
        </w:rPr>
        <w:t>.</w:t>
      </w:r>
    </w:p>
    <w:p w:rsidR="000F0B63" w:rsidRPr="00E83A18" w:rsidP="000F0B63" w14:paraId="76733209" w14:textId="517A30B4">
      <w:pPr>
        <w:pStyle w:val="7191"/>
        <w:bidi w:val="0"/>
        <w:spacing w:before="240"/>
        <w:ind w:left="397"/>
        <w:rPr>
          <w:noProof/>
        </w:rPr>
      </w:pPr>
      <w:r w:rsidRPr="00081B5E">
        <w:rPr>
          <w:rFonts w:hint="cs"/>
          <w:b/>
          <w:bCs/>
          <w:noProof/>
          <w:rtl/>
        </w:rPr>
        <w:drawing>
          <wp:anchor distT="0" distB="0" distL="0" distR="0" simplePos="0" relativeHeight="251742208"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20958258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82587"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81B5E" w:rsidR="00CF1BD1">
        <w:rPr>
          <w:rFonts w:hint="cs"/>
          <w:b/>
          <w:bCs/>
          <w:noProof/>
        </w:rPr>
        <w:t xml:space="preserve">Practical </w:t>
      </w:r>
      <w:r w:rsidRPr="00081B5E" w:rsidR="00CF1BD1">
        <w:rPr>
          <w:b/>
          <w:bCs/>
          <w:noProof/>
        </w:rPr>
        <w:t>D</w:t>
      </w:r>
      <w:r w:rsidRPr="00081B5E" w:rsidR="00CF1BD1">
        <w:rPr>
          <w:rFonts w:hint="cs"/>
          <w:b/>
          <w:bCs/>
          <w:noProof/>
        </w:rPr>
        <w:t xml:space="preserve">river </w:t>
      </w:r>
      <w:r w:rsidRPr="00081B5E" w:rsidR="00CF1BD1">
        <w:rPr>
          <w:b/>
          <w:bCs/>
          <w:noProof/>
        </w:rPr>
        <w:t>T</w:t>
      </w:r>
      <w:r w:rsidRPr="00081B5E" w:rsidR="00CF1BD1">
        <w:rPr>
          <w:rFonts w:hint="cs"/>
          <w:b/>
          <w:bCs/>
          <w:noProof/>
        </w:rPr>
        <w:t xml:space="preserve">raining </w:t>
      </w:r>
      <w:r w:rsidRPr="00081B5E" w:rsidR="00CF1BD1">
        <w:rPr>
          <w:b/>
          <w:bCs/>
          <w:noProof/>
        </w:rPr>
        <w:t>P</w:t>
      </w:r>
      <w:r w:rsidRPr="00081B5E" w:rsidR="00CF1BD1">
        <w:rPr>
          <w:rFonts w:hint="cs"/>
          <w:b/>
          <w:bCs/>
          <w:noProof/>
        </w:rPr>
        <w:t>rocess</w:t>
      </w:r>
      <w:r w:rsidRPr="00081B5E" w:rsidR="00CF1BD1">
        <w:rPr>
          <w:b/>
          <w:bCs/>
          <w:noProof/>
        </w:rPr>
        <w:t xml:space="preserve"> –</w:t>
      </w:r>
      <w:r w:rsidRPr="00C47F8C" w:rsidR="00CF1BD1">
        <w:rPr>
          <w:rFonts w:hint="cs"/>
          <w:bCs/>
          <w:noProof/>
        </w:rPr>
        <w:t xml:space="preserve"> the content taught as part of the practical driving lessons </w:t>
      </w:r>
      <w:r w:rsidRPr="00C47F8C" w:rsidR="00CF1BD1">
        <w:rPr>
          <w:bCs/>
          <w:noProof/>
        </w:rPr>
        <w:t xml:space="preserve">should be </w:t>
      </w:r>
      <w:r w:rsidRPr="00C47F8C" w:rsidR="00CF1BD1">
        <w:rPr>
          <w:rFonts w:hint="cs"/>
          <w:bCs/>
          <w:noProof/>
        </w:rPr>
        <w:t>updat</w:t>
      </w:r>
      <w:r w:rsidRPr="00C47F8C" w:rsidR="00CF1BD1">
        <w:rPr>
          <w:bCs/>
          <w:noProof/>
        </w:rPr>
        <w:t>ed</w:t>
      </w:r>
      <w:r w:rsidRPr="00C47F8C" w:rsidR="00CF1BD1">
        <w:rPr>
          <w:rFonts w:hint="cs"/>
          <w:bCs/>
          <w:noProof/>
        </w:rPr>
        <w:t xml:space="preserve"> and improv</w:t>
      </w:r>
      <w:r w:rsidRPr="00C47F8C" w:rsidR="00CF1BD1">
        <w:rPr>
          <w:bCs/>
          <w:noProof/>
        </w:rPr>
        <w:t>ed</w:t>
      </w:r>
      <w:r w:rsidRPr="00C47F8C" w:rsidR="00CF1BD1">
        <w:rPr>
          <w:rFonts w:hint="cs"/>
          <w:bCs/>
          <w:noProof/>
        </w:rPr>
        <w:t xml:space="preserve">. For example, students </w:t>
      </w:r>
      <w:r w:rsidRPr="00C47F8C" w:rsidR="00CF1BD1">
        <w:rPr>
          <w:bCs/>
          <w:noProof/>
        </w:rPr>
        <w:t xml:space="preserve">do not experience </w:t>
      </w:r>
      <w:r w:rsidRPr="00C47F8C" w:rsidR="00CF1BD1">
        <w:rPr>
          <w:bCs/>
          <w:noProof/>
        </w:rPr>
        <w:t>diverse road and weather conditions, gain proficiency in using technological systems incorporated in vehicles while driving, or are not</w:t>
      </w:r>
      <w:r w:rsidRPr="00C47F8C" w:rsidR="00CF1BD1">
        <w:rPr>
          <w:rFonts w:hint="cs"/>
          <w:bCs/>
          <w:noProof/>
        </w:rPr>
        <w:t xml:space="preserve"> trained in </w:t>
      </w:r>
      <w:r w:rsidRPr="00C47F8C" w:rsidR="00CF1BD1">
        <w:rPr>
          <w:bCs/>
          <w:noProof/>
        </w:rPr>
        <w:t>hazard</w:t>
      </w:r>
      <w:r w:rsidRPr="00C47F8C" w:rsidR="00CF1BD1">
        <w:rPr>
          <w:rFonts w:hint="cs"/>
          <w:bCs/>
          <w:noProof/>
        </w:rPr>
        <w:t xml:space="preserve"> perception. Regarding two-wheeled vehicles</w:t>
      </w:r>
      <w:r w:rsidRPr="00C47F8C" w:rsidR="00CF1BD1">
        <w:rPr>
          <w:bCs/>
          <w:noProof/>
        </w:rPr>
        <w:t xml:space="preserve"> </w:t>
      </w:r>
      <w:r w:rsidRPr="00C47F8C" w:rsidR="00CF1BD1">
        <w:rPr>
          <w:noProof/>
        </w:rPr>
        <w:t xml:space="preserve">– </w:t>
      </w:r>
      <w:r w:rsidRPr="00C47F8C" w:rsidR="00CF1BD1">
        <w:rPr>
          <w:rFonts w:hint="cs"/>
          <w:bCs/>
          <w:noProof/>
        </w:rPr>
        <w:t>motorcycles and scooters</w:t>
      </w:r>
      <w:r w:rsidRPr="00C47F8C" w:rsidR="00CF1BD1">
        <w:rPr>
          <w:bCs/>
          <w:noProof/>
        </w:rPr>
        <w:t xml:space="preserve"> </w:t>
      </w:r>
      <w:r w:rsidRPr="00C47F8C" w:rsidR="00CF1BD1">
        <w:rPr>
          <w:noProof/>
        </w:rPr>
        <w:t xml:space="preserve">– </w:t>
      </w:r>
      <w:r w:rsidRPr="00C47F8C" w:rsidR="00CF1BD1">
        <w:rPr>
          <w:rFonts w:hint="cs"/>
          <w:bCs/>
          <w:noProof/>
        </w:rPr>
        <w:t>no written curriculum existed until 2023</w:t>
      </w:r>
      <w:r>
        <w:rPr>
          <w:noProof/>
        </w:rPr>
        <w:t>.</w:t>
      </w:r>
    </w:p>
    <w:p w:rsidR="000F0B63" w:rsidRPr="00E83A18" w:rsidP="000F0B63" w14:paraId="2310C57F" w14:textId="371385EB">
      <w:pPr>
        <w:pStyle w:val="7191"/>
        <w:bidi w:val="0"/>
        <w:spacing w:before="240"/>
        <w:ind w:left="397"/>
        <w:rPr>
          <w:noProof/>
        </w:rPr>
      </w:pPr>
      <w:r w:rsidRPr="00081B5E">
        <w:rPr>
          <w:rFonts w:hint="cs"/>
          <w:b/>
          <w:bCs/>
          <w:noProof/>
          <w:rtl/>
        </w:rPr>
        <w:drawing>
          <wp:anchor distT="0" distB="0" distL="0" distR="0" simplePos="0" relativeHeight="251743232"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94345465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454655"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81B5E" w:rsidR="00CF1BD1">
        <w:rPr>
          <w:rFonts w:hint="cs"/>
          <w:b/>
          <w:bCs/>
          <w:noProof/>
        </w:rPr>
        <w:t xml:space="preserve">Restrictions on </w:t>
      </w:r>
      <w:r w:rsidRPr="00081B5E" w:rsidR="00CF1BD1">
        <w:rPr>
          <w:b/>
          <w:bCs/>
          <w:noProof/>
        </w:rPr>
        <w:t>Y</w:t>
      </w:r>
      <w:r w:rsidRPr="00081B5E" w:rsidR="00CF1BD1">
        <w:rPr>
          <w:rFonts w:hint="cs"/>
          <w:b/>
          <w:bCs/>
          <w:noProof/>
        </w:rPr>
        <w:t xml:space="preserve">oung </w:t>
      </w:r>
      <w:r w:rsidRPr="00081B5E" w:rsidR="00CF1BD1">
        <w:rPr>
          <w:b/>
          <w:bCs/>
          <w:noProof/>
        </w:rPr>
        <w:t>D</w:t>
      </w:r>
      <w:r w:rsidRPr="00081B5E" w:rsidR="00CF1BD1">
        <w:rPr>
          <w:rFonts w:hint="cs"/>
          <w:b/>
          <w:bCs/>
          <w:noProof/>
        </w:rPr>
        <w:t>rivers</w:t>
      </w:r>
      <w:r w:rsidRPr="00081B5E" w:rsidR="00CF1BD1">
        <w:rPr>
          <w:b/>
          <w:bCs/>
          <w:noProof/>
        </w:rPr>
        <w:t xml:space="preserve"> –</w:t>
      </w:r>
      <w:r w:rsidRPr="00C47F8C" w:rsidR="00CF1BD1">
        <w:rPr>
          <w:rFonts w:hint="cs"/>
          <w:bCs/>
          <w:noProof/>
        </w:rPr>
        <w:t xml:space="preserve"> the audit identified difficulties in implementing the graduated driver's license program, which requires new young drivers to </w:t>
      </w:r>
      <w:r w:rsidRPr="00C47F8C" w:rsidR="00CF1BD1">
        <w:rPr>
          <w:bCs/>
          <w:noProof/>
        </w:rPr>
        <w:t xml:space="preserve">be accompanied by an exerienced </w:t>
      </w:r>
      <w:r w:rsidRPr="00C47F8C" w:rsidR="00CF1BD1">
        <w:rPr>
          <w:rFonts w:hint="cs"/>
          <w:bCs/>
          <w:noProof/>
        </w:rPr>
        <w:t xml:space="preserve">driver. </w:t>
      </w:r>
      <w:r w:rsidRPr="00C47F8C" w:rsidR="00CF1BD1">
        <w:rPr>
          <w:bCs/>
          <w:noProof/>
        </w:rPr>
        <w:t xml:space="preserve">The audit found that some young drivers do not </w:t>
      </w:r>
      <w:r w:rsidRPr="00C47F8C" w:rsidR="00CF1BD1">
        <w:rPr>
          <w:rFonts w:hint="cs"/>
          <w:bCs/>
          <w:noProof/>
        </w:rPr>
        <w:t>meet the required number of accompanying hours mandated by the Traffic Ordinance</w:t>
      </w:r>
      <w:r w:rsidRPr="00C47F8C" w:rsidR="00CF1BD1">
        <w:rPr>
          <w:bCs/>
          <w:noProof/>
        </w:rPr>
        <w:t>.</w:t>
      </w:r>
      <w:r w:rsidRPr="00C47F8C" w:rsidR="00CF1BD1">
        <w:rPr>
          <w:rFonts w:hint="cs"/>
          <w:bCs/>
          <w:noProof/>
        </w:rPr>
        <w:t xml:space="preserve"> </w:t>
      </w:r>
      <w:r w:rsidRPr="00C47F8C" w:rsidR="00CF1BD1">
        <w:rPr>
          <w:bCs/>
          <w:noProof/>
        </w:rPr>
        <w:t xml:space="preserve">There is </w:t>
      </w:r>
      <w:r w:rsidRPr="00C47F8C" w:rsidR="00CF1BD1">
        <w:rPr>
          <w:rFonts w:hint="cs"/>
          <w:bCs/>
          <w:noProof/>
        </w:rPr>
        <w:t xml:space="preserve">a lack of information and guidance for parents about the </w:t>
      </w:r>
      <w:r w:rsidRPr="00C47F8C" w:rsidR="00CF1BD1">
        <w:rPr>
          <w:bCs/>
          <w:noProof/>
        </w:rPr>
        <w:t xml:space="preserve">content and goals of the accompanying program. </w:t>
      </w:r>
      <w:r w:rsidRPr="00C47F8C" w:rsidR="00CF1BD1">
        <w:rPr>
          <w:rFonts w:hint="cs"/>
          <w:bCs/>
          <w:noProof/>
        </w:rPr>
        <w:t xml:space="preserve">Despite the program's benefits, it is </w:t>
      </w:r>
      <w:r w:rsidRPr="00C47F8C" w:rsidR="00CF1BD1">
        <w:rPr>
          <w:bCs/>
          <w:noProof/>
        </w:rPr>
        <w:t>essential</w:t>
      </w:r>
      <w:r w:rsidRPr="00C47F8C" w:rsidR="00CF1BD1">
        <w:rPr>
          <w:rFonts w:hint="cs"/>
          <w:bCs/>
          <w:noProof/>
        </w:rPr>
        <w:t xml:space="preserve"> to note that, apart from the </w:t>
      </w:r>
      <w:r w:rsidRPr="00C47F8C" w:rsidR="00CF1BD1">
        <w:rPr>
          <w:bCs/>
          <w:noProof/>
        </w:rPr>
        <w:t>young driver's and their parents' declaration, there is currently no way to enforce the law and ensure that a young driver has</w:t>
      </w:r>
      <w:r w:rsidRPr="00C47F8C" w:rsidR="00CF1BD1">
        <w:rPr>
          <w:rFonts w:hint="cs"/>
          <w:bCs/>
          <w:noProof/>
        </w:rPr>
        <w:t xml:space="preserve"> received the required accompaniment. These issues reduce the program's benefits and effectiveness</w:t>
      </w:r>
      <w:r>
        <w:rPr>
          <w:noProof/>
        </w:rPr>
        <w:t>.</w:t>
      </w:r>
    </w:p>
    <w:p w:rsidR="000F0B63" w:rsidRPr="00E83A18" w:rsidP="000F0B63" w14:paraId="1A2859C4" w14:textId="75E7FC80">
      <w:pPr>
        <w:pStyle w:val="7191"/>
        <w:bidi w:val="0"/>
        <w:spacing w:before="240"/>
        <w:ind w:left="397"/>
        <w:rPr>
          <w:noProof/>
        </w:rPr>
      </w:pPr>
      <w:r w:rsidRPr="00081B5E">
        <w:rPr>
          <w:rFonts w:hint="cs"/>
          <w:b/>
          <w:bCs/>
          <w:noProof/>
          <w:rtl/>
        </w:rPr>
        <w:drawing>
          <wp:anchor distT="0" distB="0" distL="0" distR="0" simplePos="0" relativeHeight="251744256"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64729165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291653"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81B5E" w:rsidR="00CF1BD1">
        <w:rPr>
          <w:rFonts w:hint="cs"/>
          <w:b/>
          <w:bCs/>
          <w:noProof/>
        </w:rPr>
        <w:t xml:space="preserve">Physician </w:t>
      </w:r>
      <w:r w:rsidRPr="00081B5E" w:rsidR="00CF1BD1">
        <w:rPr>
          <w:b/>
          <w:bCs/>
          <w:noProof/>
        </w:rPr>
        <w:t>R</w:t>
      </w:r>
      <w:r w:rsidRPr="00081B5E" w:rsidR="00CF1BD1">
        <w:rPr>
          <w:rFonts w:hint="cs"/>
          <w:b/>
          <w:bCs/>
          <w:noProof/>
        </w:rPr>
        <w:t xml:space="preserve">eports on </w:t>
      </w:r>
      <w:r w:rsidRPr="00081B5E" w:rsidR="00CF1BD1">
        <w:rPr>
          <w:b/>
          <w:bCs/>
          <w:noProof/>
        </w:rPr>
        <w:t>P</w:t>
      </w:r>
      <w:r w:rsidRPr="00081B5E" w:rsidR="00CF1BD1">
        <w:rPr>
          <w:rFonts w:hint="cs"/>
          <w:b/>
          <w:bCs/>
          <w:noProof/>
        </w:rPr>
        <w:t xml:space="preserve">atient </w:t>
      </w:r>
      <w:r w:rsidRPr="00081B5E" w:rsidR="00CF1BD1">
        <w:rPr>
          <w:b/>
          <w:bCs/>
          <w:noProof/>
        </w:rPr>
        <w:t>M</w:t>
      </w:r>
      <w:r w:rsidRPr="00081B5E" w:rsidR="00CF1BD1">
        <w:rPr>
          <w:rFonts w:hint="cs"/>
          <w:b/>
          <w:bCs/>
          <w:noProof/>
        </w:rPr>
        <w:t xml:space="preserve">edical </w:t>
      </w:r>
      <w:r w:rsidRPr="00081B5E" w:rsidR="00CF1BD1">
        <w:rPr>
          <w:b/>
          <w:bCs/>
          <w:noProof/>
        </w:rPr>
        <w:t>U</w:t>
      </w:r>
      <w:r w:rsidRPr="00081B5E" w:rsidR="00CF1BD1">
        <w:rPr>
          <w:rFonts w:hint="cs"/>
          <w:b/>
          <w:bCs/>
          <w:noProof/>
        </w:rPr>
        <w:t xml:space="preserve">nfitness to </w:t>
      </w:r>
      <w:r w:rsidRPr="00081B5E" w:rsidR="00CF1BD1">
        <w:rPr>
          <w:b/>
          <w:bCs/>
          <w:noProof/>
        </w:rPr>
        <w:t>D</w:t>
      </w:r>
      <w:r w:rsidRPr="00081B5E" w:rsidR="00CF1BD1">
        <w:rPr>
          <w:rFonts w:hint="cs"/>
          <w:b/>
          <w:bCs/>
          <w:noProof/>
        </w:rPr>
        <w:t>rive</w:t>
      </w:r>
      <w:r w:rsidRPr="00081B5E" w:rsidR="00CF1BD1">
        <w:rPr>
          <w:b/>
          <w:bCs/>
          <w:noProof/>
        </w:rPr>
        <w:t xml:space="preserve"> –</w:t>
      </w:r>
      <w:r w:rsidRPr="00BA1886" w:rsidR="00CF1BD1">
        <w:rPr>
          <w:noProof/>
        </w:rPr>
        <w:t xml:space="preserve"> </w:t>
      </w:r>
      <w:r w:rsidRPr="00C47F8C" w:rsidR="00CF1BD1">
        <w:rPr>
          <w:bCs/>
          <w:noProof/>
        </w:rPr>
        <w:t>in 2015 it was recommended that in case a diagnosis that requires reporting is entered, the health system's IT automatically presents doctors with the option of reporting to the Medical Institute for Road Safety. This recommendation was not implemented</w:t>
      </w:r>
      <w:r>
        <w:rPr>
          <w:noProof/>
        </w:rPr>
        <w:t>.</w:t>
      </w:r>
    </w:p>
    <w:p w:rsidR="000F0B63" w:rsidP="000F0B63" w14:paraId="45D88D98" w14:textId="41FBB123">
      <w:pPr>
        <w:pStyle w:val="7191"/>
        <w:bidi w:val="0"/>
        <w:spacing w:before="240"/>
        <w:ind w:left="397"/>
        <w:rPr>
          <w:noProof/>
        </w:rPr>
      </w:pPr>
      <w:r w:rsidRPr="00081B5E">
        <w:rPr>
          <w:rFonts w:hint="cs"/>
          <w:b/>
          <w:bCs/>
          <w:noProof/>
          <w:rtl/>
        </w:rPr>
        <w:drawing>
          <wp:anchor distT="0" distB="0" distL="0" distR="0" simplePos="0" relativeHeight="251745280"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81716616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166163"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81B5E" w:rsidR="00CF1BD1">
        <w:rPr>
          <w:rFonts w:hint="cs"/>
          <w:b/>
          <w:bCs/>
          <w:noProof/>
        </w:rPr>
        <w:t xml:space="preserve">Guidelines for </w:t>
      </w:r>
      <w:r w:rsidRPr="00081B5E" w:rsidR="00CF1BD1">
        <w:rPr>
          <w:b/>
          <w:bCs/>
          <w:noProof/>
        </w:rPr>
        <w:t>D</w:t>
      </w:r>
      <w:r w:rsidRPr="00081B5E" w:rsidR="00CF1BD1">
        <w:rPr>
          <w:rFonts w:hint="cs"/>
          <w:b/>
          <w:bCs/>
          <w:noProof/>
        </w:rPr>
        <w:t xml:space="preserve">riving </w:t>
      </w:r>
      <w:r w:rsidRPr="00081B5E" w:rsidR="00CF1BD1">
        <w:rPr>
          <w:b/>
          <w:bCs/>
          <w:noProof/>
        </w:rPr>
        <w:t>U</w:t>
      </w:r>
      <w:r w:rsidRPr="00081B5E" w:rsidR="00CF1BD1">
        <w:rPr>
          <w:rFonts w:hint="cs"/>
          <w:b/>
          <w:bCs/>
          <w:noProof/>
        </w:rPr>
        <w:t xml:space="preserve">nder </w:t>
      </w:r>
      <w:r w:rsidRPr="00081B5E" w:rsidR="00CF1BD1">
        <w:rPr>
          <w:b/>
          <w:bCs/>
          <w:noProof/>
        </w:rPr>
        <w:t>M</w:t>
      </w:r>
      <w:r w:rsidRPr="00081B5E" w:rsidR="00CF1BD1">
        <w:rPr>
          <w:rFonts w:hint="cs"/>
          <w:b/>
          <w:bCs/>
          <w:noProof/>
        </w:rPr>
        <w:t xml:space="preserve">edication and </w:t>
      </w:r>
      <w:r w:rsidRPr="00081B5E" w:rsidR="00CF1BD1">
        <w:rPr>
          <w:b/>
          <w:bCs/>
          <w:noProof/>
        </w:rPr>
        <w:t>M</w:t>
      </w:r>
      <w:r w:rsidRPr="00081B5E" w:rsidR="00CF1BD1">
        <w:rPr>
          <w:rFonts w:hint="cs"/>
          <w:b/>
          <w:bCs/>
          <w:noProof/>
        </w:rPr>
        <w:t xml:space="preserve">edical </w:t>
      </w:r>
      <w:r w:rsidRPr="00081B5E" w:rsidR="00CF1BD1">
        <w:rPr>
          <w:b/>
          <w:bCs/>
          <w:noProof/>
        </w:rPr>
        <w:t>C</w:t>
      </w:r>
      <w:r w:rsidRPr="00081B5E" w:rsidR="00CF1BD1">
        <w:rPr>
          <w:rFonts w:hint="cs"/>
          <w:b/>
          <w:bCs/>
          <w:noProof/>
        </w:rPr>
        <w:t>annabis</w:t>
      </w:r>
      <w:r w:rsidRPr="00081B5E" w:rsidR="00CF1BD1">
        <w:rPr>
          <w:b/>
          <w:bCs/>
          <w:noProof/>
        </w:rPr>
        <w:t xml:space="preserve"> –</w:t>
      </w:r>
      <w:r w:rsidRPr="00C47F8C" w:rsidR="00CF1BD1">
        <w:rPr>
          <w:rFonts w:hint="cs"/>
          <w:bCs/>
          <w:noProof/>
        </w:rPr>
        <w:t xml:space="preserve"> the Ministry of Health and the </w:t>
      </w:r>
      <w:r w:rsidRPr="00C47F8C" w:rsidR="00CF1BD1">
        <w:rPr>
          <w:bCs/>
          <w:noProof/>
        </w:rPr>
        <w:t>MOT</w:t>
      </w:r>
      <w:r w:rsidRPr="00C47F8C" w:rsidR="00CF1BD1">
        <w:rPr>
          <w:rFonts w:hint="cs"/>
          <w:bCs/>
          <w:noProof/>
        </w:rPr>
        <w:t xml:space="preserve"> have not established detailed guidelines regarding which medications, including medical cannabis, compromise driving ability, the dosages involved, and the waiting period before driving can be safely resumed. Consequently, an enforcement challenge arises, for which the police lack the appropriate technological and legal means of conducting these checks</w:t>
      </w:r>
      <w:r>
        <w:rPr>
          <w:noProof/>
        </w:rPr>
        <w:t>.</w:t>
      </w:r>
    </w:p>
    <w:p w:rsidR="00CF1BD1" w:rsidRPr="00AF3B73" w:rsidP="00CF1BD1" w14:paraId="7C62580A" w14:textId="77777777">
      <w:pPr>
        <w:pStyle w:val="73512"/>
        <w:bidi w:val="0"/>
        <w:rPr>
          <w:rtl/>
        </w:rPr>
      </w:pPr>
      <w:r>
        <w:rPr>
          <w:rFonts w:hint="cs"/>
          <w:lang w:val="en"/>
        </w:rPr>
        <w:t>Public</w:t>
      </w:r>
      <w:r>
        <w:rPr>
          <w:lang w:val="en"/>
        </w:rPr>
        <w:t>ity</w:t>
      </w:r>
      <w:r>
        <w:rPr>
          <w:rFonts w:hint="cs"/>
          <w:lang w:val="en"/>
        </w:rPr>
        <w:t xml:space="preserve"> </w:t>
      </w:r>
    </w:p>
    <w:p w:rsidR="000F0B63" w:rsidP="000F0B63" w14:paraId="3EC99B26" w14:textId="4338EF45">
      <w:pPr>
        <w:pStyle w:val="7191"/>
        <w:bidi w:val="0"/>
        <w:spacing w:before="240"/>
        <w:ind w:left="397"/>
        <w:rPr>
          <w:noProof/>
        </w:rPr>
      </w:pPr>
      <w:r w:rsidRPr="00081B5E">
        <w:rPr>
          <w:rFonts w:hint="cs"/>
          <w:b/>
          <w:bCs/>
          <w:noProof/>
          <w:rtl/>
        </w:rPr>
        <w:drawing>
          <wp:anchor distT="0" distB="0" distL="0" distR="0" simplePos="0" relativeHeight="251746304"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34169861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8619"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81B5E" w:rsidR="00CF1BD1">
        <w:rPr>
          <w:rFonts w:hint="cs"/>
          <w:b/>
          <w:bCs/>
          <w:noProof/>
        </w:rPr>
        <w:t>Budget of the Education and Public Relations Division at the RSA</w:t>
      </w:r>
      <w:r w:rsidRPr="00081B5E" w:rsidR="00CF1BD1">
        <w:rPr>
          <w:b/>
          <w:bCs/>
          <w:noProof/>
        </w:rPr>
        <w:t xml:space="preserve"> –</w:t>
      </w:r>
      <w:r w:rsidRPr="00C47F8C" w:rsidR="00CF1BD1">
        <w:rPr>
          <w:rFonts w:hint="cs"/>
          <w:bCs/>
          <w:noProof/>
        </w:rPr>
        <w:t xml:space="preserve"> in 2018</w:t>
      </w:r>
      <w:r w:rsidRPr="00C47F8C" w:rsidR="00CF1BD1">
        <w:rPr>
          <w:noProof/>
        </w:rPr>
        <w:t>–</w:t>
      </w:r>
      <w:r w:rsidRPr="00C47F8C" w:rsidR="00CF1BD1">
        <w:rPr>
          <w:rFonts w:hint="cs"/>
          <w:bCs/>
          <w:noProof/>
        </w:rPr>
        <w:t xml:space="preserve">2022, there was a significant decrease in the budget execution of the Education and Public Relations Division and the activity it carries out (from </w:t>
      </w:r>
      <w:r w:rsidRPr="00C47F8C" w:rsidR="00CF1BD1">
        <w:rPr>
          <w:bCs/>
          <w:noProof/>
        </w:rPr>
        <w:t>about</w:t>
      </w:r>
      <w:r w:rsidRPr="00C47F8C" w:rsidR="00CF1BD1">
        <w:rPr>
          <w:rFonts w:hint="cs"/>
          <w:bCs/>
          <w:noProof/>
        </w:rPr>
        <w:t xml:space="preserve"> NIS 28.5 million in 2018 to </w:t>
      </w:r>
      <w:r w:rsidRPr="00C47F8C" w:rsidR="00CF1BD1">
        <w:rPr>
          <w:bCs/>
          <w:noProof/>
        </w:rPr>
        <w:t>about</w:t>
      </w:r>
      <w:r w:rsidRPr="00C47F8C" w:rsidR="00CF1BD1">
        <w:rPr>
          <w:rFonts w:hint="cs"/>
          <w:bCs/>
          <w:noProof/>
        </w:rPr>
        <w:t xml:space="preserve"> NIS 7.9 million in 2022). The RSA noted in its 2022 budget that if additional resources were made available, it could easily undertake more tasks without changing the existing organizational structure. Accordingly, it previously submitted to the </w:t>
      </w:r>
      <w:r w:rsidRPr="00C47F8C" w:rsidR="00CF1BD1">
        <w:rPr>
          <w:bCs/>
          <w:noProof/>
        </w:rPr>
        <w:t>MOT</w:t>
      </w:r>
      <w:r w:rsidRPr="00C47F8C" w:rsidR="00CF1BD1">
        <w:rPr>
          <w:rFonts w:hint="cs"/>
          <w:bCs/>
          <w:noProof/>
        </w:rPr>
        <w:t xml:space="preserve"> a request for an additional budget for 2020, which included, among other things, a significant increase in the public relations budget</w:t>
      </w:r>
      <w:r>
        <w:rPr>
          <w:noProof/>
        </w:rPr>
        <w:t>.</w:t>
      </w:r>
    </w:p>
    <w:p w:rsidR="00CF1BD1" w:rsidRPr="00CF1BD1" w:rsidP="00CF1BD1" w14:paraId="7E6B0073" w14:textId="69FD40EC">
      <w:pPr>
        <w:pStyle w:val="73512"/>
        <w:bidi w:val="0"/>
      </w:pPr>
      <w:r w:rsidRPr="00CF1BD1">
        <w:rPr>
          <w:rFonts w:hint="cs"/>
        </w:rPr>
        <w:t>Enforcement</w:t>
      </w:r>
    </w:p>
    <w:p w:rsidR="00CF1BD1" w:rsidRPr="00E83A18" w:rsidP="00CF1BD1" w14:paraId="72EEF787" w14:textId="7EE50CAF">
      <w:pPr>
        <w:pStyle w:val="7191"/>
        <w:bidi w:val="0"/>
        <w:spacing w:before="240"/>
        <w:ind w:left="397"/>
        <w:rPr>
          <w:noProof/>
        </w:rPr>
      </w:pPr>
      <w:r w:rsidRPr="00081B5E">
        <w:rPr>
          <w:rFonts w:hint="cs"/>
          <w:b/>
          <w:bCs/>
          <w:noProof/>
          <w:rtl/>
        </w:rPr>
        <w:drawing>
          <wp:anchor distT="0" distB="0" distL="0" distR="0" simplePos="0" relativeHeight="251747328"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481090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09059"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81B5E">
        <w:rPr>
          <w:rFonts w:hint="cs"/>
          <w:b/>
          <w:bCs/>
          <w:noProof/>
        </w:rPr>
        <w:t xml:space="preserve">Policy </w:t>
      </w:r>
      <w:r w:rsidRPr="00081B5E">
        <w:rPr>
          <w:b/>
          <w:bCs/>
          <w:noProof/>
        </w:rPr>
        <w:t>S</w:t>
      </w:r>
      <w:r w:rsidRPr="00081B5E">
        <w:rPr>
          <w:rFonts w:hint="cs"/>
          <w:b/>
          <w:bCs/>
          <w:noProof/>
        </w:rPr>
        <w:t xml:space="preserve">etting and </w:t>
      </w:r>
      <w:r w:rsidRPr="00081B5E">
        <w:rPr>
          <w:b/>
          <w:bCs/>
          <w:noProof/>
        </w:rPr>
        <w:t>M</w:t>
      </w:r>
      <w:r w:rsidRPr="00081B5E">
        <w:rPr>
          <w:rFonts w:hint="cs"/>
          <w:b/>
          <w:bCs/>
          <w:noProof/>
        </w:rPr>
        <w:t>ulti-</w:t>
      </w:r>
      <w:r w:rsidRPr="00081B5E">
        <w:rPr>
          <w:b/>
          <w:bCs/>
          <w:noProof/>
        </w:rPr>
        <w:t>Y</w:t>
      </w:r>
      <w:r w:rsidRPr="00081B5E">
        <w:rPr>
          <w:rFonts w:hint="cs"/>
          <w:b/>
          <w:bCs/>
          <w:noProof/>
        </w:rPr>
        <w:t xml:space="preserve">ear </w:t>
      </w:r>
      <w:r w:rsidRPr="00081B5E">
        <w:rPr>
          <w:b/>
          <w:bCs/>
          <w:noProof/>
        </w:rPr>
        <w:t>E</w:t>
      </w:r>
      <w:r w:rsidRPr="00081B5E">
        <w:rPr>
          <w:rFonts w:hint="cs"/>
          <w:b/>
          <w:bCs/>
          <w:noProof/>
        </w:rPr>
        <w:t xml:space="preserve">nforcement </w:t>
      </w:r>
      <w:r w:rsidRPr="00081B5E">
        <w:rPr>
          <w:b/>
          <w:bCs/>
          <w:noProof/>
        </w:rPr>
        <w:t>P</w:t>
      </w:r>
      <w:r w:rsidRPr="00081B5E">
        <w:rPr>
          <w:rFonts w:hint="cs"/>
          <w:b/>
          <w:bCs/>
          <w:noProof/>
        </w:rPr>
        <w:t>rograms</w:t>
      </w:r>
      <w:r w:rsidRPr="00C47F8C">
        <w:rPr>
          <w:noProof/>
        </w:rPr>
        <w:t xml:space="preserve"> –</w:t>
      </w:r>
      <w:r w:rsidRPr="00C47F8C">
        <w:rPr>
          <w:rFonts w:hint="cs"/>
          <w:bCs/>
          <w:noProof/>
        </w:rPr>
        <w:t xml:space="preserve"> in 2019</w:t>
      </w:r>
      <w:r w:rsidRPr="00C47F8C">
        <w:rPr>
          <w:noProof/>
        </w:rPr>
        <w:t>–</w:t>
      </w:r>
      <w:r w:rsidRPr="00C47F8C">
        <w:rPr>
          <w:rFonts w:hint="cs"/>
          <w:bCs/>
          <w:noProof/>
        </w:rPr>
        <w:t xml:space="preserve">2022, the </w:t>
      </w:r>
      <w:r w:rsidRPr="00C47F8C">
        <w:rPr>
          <w:bCs/>
          <w:noProof/>
        </w:rPr>
        <w:t>Ministers of Internal Security polic</w:t>
      </w:r>
      <w:r w:rsidRPr="00C47F8C">
        <w:rPr>
          <w:rFonts w:hint="cs"/>
          <w:bCs/>
          <w:noProof/>
        </w:rPr>
        <w:t>y changed every year</w:t>
      </w:r>
      <w:r w:rsidRPr="00C47F8C">
        <w:rPr>
          <w:bCs/>
          <w:noProof/>
        </w:rPr>
        <w:t>.</w:t>
      </w:r>
      <w:r w:rsidRPr="00C47F8C">
        <w:rPr>
          <w:rFonts w:hint="cs"/>
          <w:bCs/>
          <w:noProof/>
        </w:rPr>
        <w:t xml:space="preserve"> </w:t>
      </w:r>
      <w:r w:rsidRPr="00C47F8C">
        <w:rPr>
          <w:bCs/>
          <w:noProof/>
        </w:rPr>
        <w:t>Consequently,</w:t>
      </w:r>
      <w:r w:rsidRPr="00C47F8C">
        <w:rPr>
          <w:rFonts w:hint="cs"/>
          <w:bCs/>
          <w:noProof/>
        </w:rPr>
        <w:t xml:space="preserve"> some components included in the policy one year were absent in others. For example, the </w:t>
      </w:r>
      <w:r w:rsidRPr="00C47F8C">
        <w:rPr>
          <w:rFonts w:hint="cs"/>
          <w:bCs/>
          <w:noProof/>
        </w:rPr>
        <w:t>minister's policy for 2019 included enforcement against recidivist offenders (repeat offenses in a short time); the 2020</w:t>
      </w:r>
      <w:r w:rsidRPr="00C47F8C">
        <w:rPr>
          <w:noProof/>
        </w:rPr>
        <w:t>–</w:t>
      </w:r>
      <w:r w:rsidRPr="00C47F8C">
        <w:rPr>
          <w:rFonts w:hint="cs"/>
          <w:bCs/>
          <w:noProof/>
        </w:rPr>
        <w:t>2021 policy included promoting an administrative traffic court; and the 2021</w:t>
      </w:r>
      <w:r w:rsidRPr="00C47F8C">
        <w:rPr>
          <w:noProof/>
        </w:rPr>
        <w:t>–</w:t>
      </w:r>
      <w:r w:rsidRPr="00C47F8C">
        <w:rPr>
          <w:rFonts w:hint="cs"/>
          <w:bCs/>
          <w:noProof/>
        </w:rPr>
        <w:t xml:space="preserve">2022 policy addressed road safety only within the goal of reducing crime and violence in the Arab sector and mixed cities. Frequent changes in government ministry policies regarding complex processes diminish the chances of achieving goals and results. It was also found that the police lack a long-term systemic work plan to </w:t>
      </w:r>
      <w:r w:rsidRPr="00C47F8C">
        <w:rPr>
          <w:bCs/>
          <w:noProof/>
        </w:rPr>
        <w:t>fight</w:t>
      </w:r>
      <w:r w:rsidRPr="00C47F8C">
        <w:rPr>
          <w:rFonts w:hint="cs"/>
          <w:bCs/>
          <w:noProof/>
        </w:rPr>
        <w:t xml:space="preserve"> road accidents. </w:t>
      </w:r>
      <w:r w:rsidRPr="00C47F8C">
        <w:rPr>
          <w:bCs/>
          <w:noProof/>
        </w:rPr>
        <w:t>Moreover, a</w:t>
      </w:r>
      <w:r w:rsidRPr="00C47F8C">
        <w:rPr>
          <w:rFonts w:hint="cs"/>
          <w:bCs/>
          <w:noProof/>
        </w:rPr>
        <w:t xml:space="preserve">nnual work plans are influenced by changes in key positions: the Minister of National Security (formerly known as the Minister of Internal Security), the Chief of Police, and the Head of Traffic Division. Each official has a different </w:t>
      </w:r>
      <w:r w:rsidRPr="00C47F8C">
        <w:rPr>
          <w:bCs/>
          <w:noProof/>
        </w:rPr>
        <w:t>standpoint</w:t>
      </w:r>
      <w:r w:rsidRPr="00C47F8C">
        <w:rPr>
          <w:rFonts w:hint="cs"/>
          <w:bCs/>
          <w:noProof/>
        </w:rPr>
        <w:t xml:space="preserve"> and emphas</w:t>
      </w:r>
      <w:r w:rsidRPr="00C47F8C">
        <w:rPr>
          <w:bCs/>
          <w:noProof/>
        </w:rPr>
        <w:t>i</w:t>
      </w:r>
      <w:r w:rsidRPr="00C47F8C">
        <w:rPr>
          <w:rFonts w:hint="cs"/>
          <w:bCs/>
          <w:noProof/>
        </w:rPr>
        <w:t>s regarding the fight against road accidents, to which work plans must be adapted. The inconsistency in emphases and work plans stems partly from the lack of a mandatory multi-year strategic plan for road safety that oblig</w:t>
      </w:r>
      <w:r w:rsidRPr="00C47F8C">
        <w:rPr>
          <w:bCs/>
          <w:noProof/>
        </w:rPr>
        <w:t>ates</w:t>
      </w:r>
      <w:r w:rsidRPr="00C47F8C">
        <w:rPr>
          <w:rFonts w:hint="cs"/>
          <w:bCs/>
          <w:noProof/>
        </w:rPr>
        <w:t xml:space="preserve"> all relevant government ministries to follow it</w:t>
      </w:r>
      <w:r>
        <w:rPr>
          <w:noProof/>
        </w:rPr>
        <w:t>.</w:t>
      </w:r>
    </w:p>
    <w:p w:rsidR="00CF1BD1" w:rsidRPr="00E83A18" w:rsidP="00CF1BD1" w14:paraId="37C317D4" w14:textId="3E35389A">
      <w:pPr>
        <w:pStyle w:val="7191"/>
        <w:bidi w:val="0"/>
        <w:spacing w:before="240"/>
        <w:ind w:left="397"/>
        <w:rPr>
          <w:noProof/>
        </w:rPr>
      </w:pPr>
      <w:r w:rsidRPr="00081B5E">
        <w:rPr>
          <w:rFonts w:hint="cs"/>
          <w:b/>
          <w:bCs/>
          <w:noProof/>
          <w:rtl/>
        </w:rPr>
        <w:drawing>
          <wp:anchor distT="0" distB="0" distL="0" distR="0" simplePos="0" relativeHeight="251748352"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1489687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96874"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81B5E">
        <w:rPr>
          <w:rFonts w:hint="cs"/>
          <w:b/>
          <w:bCs/>
          <w:noProof/>
        </w:rPr>
        <w:t xml:space="preserve">Formulating </w:t>
      </w:r>
      <w:r w:rsidRPr="00081B5E">
        <w:rPr>
          <w:b/>
          <w:bCs/>
          <w:noProof/>
        </w:rPr>
        <w:t>E</w:t>
      </w:r>
      <w:r w:rsidRPr="00081B5E">
        <w:rPr>
          <w:rFonts w:hint="cs"/>
          <w:b/>
          <w:bCs/>
          <w:noProof/>
        </w:rPr>
        <w:t xml:space="preserve">nforcement </w:t>
      </w:r>
      <w:r w:rsidRPr="00081B5E">
        <w:rPr>
          <w:b/>
          <w:bCs/>
          <w:noProof/>
        </w:rPr>
        <w:t>P</w:t>
      </w:r>
      <w:r w:rsidRPr="00081B5E">
        <w:rPr>
          <w:rFonts w:hint="cs"/>
          <w:b/>
          <w:bCs/>
          <w:noProof/>
        </w:rPr>
        <w:t xml:space="preserve">lans and </w:t>
      </w:r>
      <w:r w:rsidRPr="00081B5E">
        <w:rPr>
          <w:b/>
          <w:bCs/>
          <w:noProof/>
        </w:rPr>
        <w:t>C</w:t>
      </w:r>
      <w:r w:rsidRPr="00081B5E">
        <w:rPr>
          <w:rFonts w:hint="cs"/>
          <w:b/>
          <w:bCs/>
          <w:noProof/>
        </w:rPr>
        <w:t xml:space="preserve">oordination </w:t>
      </w:r>
      <w:r w:rsidRPr="00081B5E">
        <w:rPr>
          <w:b/>
          <w:bCs/>
          <w:noProof/>
        </w:rPr>
        <w:t>B</w:t>
      </w:r>
      <w:r w:rsidRPr="00081B5E">
        <w:rPr>
          <w:rFonts w:hint="cs"/>
          <w:b/>
          <w:bCs/>
          <w:noProof/>
        </w:rPr>
        <w:t>etween the RSA and the Israel Police</w:t>
      </w:r>
      <w:r w:rsidRPr="00081B5E">
        <w:rPr>
          <w:b/>
          <w:bCs/>
          <w:noProof/>
        </w:rPr>
        <w:t xml:space="preserve"> –</w:t>
      </w:r>
      <w:r w:rsidRPr="00C47F8C">
        <w:rPr>
          <w:rFonts w:hint="cs"/>
          <w:bCs/>
          <w:noProof/>
        </w:rPr>
        <w:t xml:space="preserve"> </w:t>
      </w:r>
      <w:r w:rsidRPr="00C47F8C">
        <w:rPr>
          <w:bCs/>
          <w:noProof/>
        </w:rPr>
        <w:t>t</w:t>
      </w:r>
      <w:r w:rsidRPr="00C47F8C">
        <w:rPr>
          <w:rFonts w:hint="cs"/>
          <w:bCs/>
          <w:noProof/>
        </w:rPr>
        <w:t xml:space="preserve">he RSA and the police coordinate targeted activities; however, the RSA is not involved in formulating the Ministry of National Security's plans. </w:t>
      </w:r>
      <w:r w:rsidRPr="00C47F8C">
        <w:rPr>
          <w:bCs/>
          <w:noProof/>
        </w:rPr>
        <w:t>Examining</w:t>
      </w:r>
      <w:r w:rsidRPr="00C47F8C">
        <w:rPr>
          <w:rFonts w:hint="cs"/>
          <w:bCs/>
          <w:noProof/>
        </w:rPr>
        <w:t xml:space="preserve"> the work plans of various units </w:t>
      </w:r>
      <w:r w:rsidRPr="00C47F8C">
        <w:rPr>
          <w:bCs/>
          <w:noProof/>
        </w:rPr>
        <w:t xml:space="preserve">within the </w:t>
      </w:r>
      <w:r w:rsidRPr="00C47F8C">
        <w:rPr>
          <w:rFonts w:hint="cs"/>
          <w:bCs/>
          <w:noProof/>
        </w:rPr>
        <w:t>Traffic Division in 2018</w:t>
      </w:r>
      <w:r w:rsidRPr="00C47F8C">
        <w:rPr>
          <w:noProof/>
        </w:rPr>
        <w:t>–</w:t>
      </w:r>
      <w:r w:rsidRPr="00C47F8C">
        <w:rPr>
          <w:rFonts w:hint="cs"/>
          <w:bCs/>
          <w:noProof/>
        </w:rPr>
        <w:t xml:space="preserve">2021 </w:t>
      </w:r>
      <w:r w:rsidRPr="00C47F8C">
        <w:rPr>
          <w:bCs/>
          <w:noProof/>
        </w:rPr>
        <w:t>raised</w:t>
      </w:r>
      <w:r w:rsidRPr="00C47F8C">
        <w:rPr>
          <w:rFonts w:hint="cs"/>
          <w:bCs/>
          <w:noProof/>
        </w:rPr>
        <w:t xml:space="preserve"> tasks that included coordination and cooperation with external entities, such as road authorities (infrastructure companies under the </w:t>
      </w:r>
      <w:r w:rsidRPr="00C47F8C">
        <w:rPr>
          <w:bCs/>
          <w:noProof/>
        </w:rPr>
        <w:t>MOT</w:t>
      </w:r>
      <w:r w:rsidRPr="00C47F8C">
        <w:rPr>
          <w:rFonts w:hint="cs"/>
          <w:bCs/>
          <w:noProof/>
        </w:rPr>
        <w:t>) and local authorities</w:t>
      </w:r>
      <w:r w:rsidRPr="00C47F8C">
        <w:rPr>
          <w:bCs/>
          <w:noProof/>
        </w:rPr>
        <w:t>.</w:t>
      </w:r>
      <w:r w:rsidRPr="00C47F8C">
        <w:rPr>
          <w:rFonts w:hint="cs"/>
          <w:bCs/>
          <w:noProof/>
        </w:rPr>
        <w:t xml:space="preserve"> </w:t>
      </w:r>
      <w:r w:rsidRPr="00C47F8C">
        <w:rPr>
          <w:bCs/>
          <w:noProof/>
        </w:rPr>
        <w:t>H</w:t>
      </w:r>
      <w:r w:rsidRPr="00C47F8C">
        <w:rPr>
          <w:rFonts w:hint="cs"/>
          <w:bCs/>
          <w:noProof/>
        </w:rPr>
        <w:t xml:space="preserve">owever, </w:t>
      </w:r>
      <w:r w:rsidRPr="00C47F8C">
        <w:rPr>
          <w:bCs/>
          <w:noProof/>
        </w:rPr>
        <w:t>the Traffic Division workplans did not include coordination and cooperation with the RSA and MOT.  Consequently</w:t>
      </w:r>
      <w:r w:rsidRPr="00C47F8C">
        <w:rPr>
          <w:rFonts w:hint="cs"/>
          <w:bCs/>
          <w:noProof/>
        </w:rPr>
        <w:t xml:space="preserve"> enforcement and </w:t>
      </w:r>
      <w:r w:rsidRPr="00C47F8C">
        <w:rPr>
          <w:bCs/>
          <w:noProof/>
        </w:rPr>
        <w:t>public relations</w:t>
      </w:r>
      <w:r w:rsidRPr="00C47F8C">
        <w:rPr>
          <w:rFonts w:hint="cs"/>
          <w:bCs/>
          <w:noProof/>
        </w:rPr>
        <w:t xml:space="preserve"> activities are not integrated, and the potential </w:t>
      </w:r>
      <w:r w:rsidRPr="00C47F8C">
        <w:rPr>
          <w:bCs/>
          <w:noProof/>
        </w:rPr>
        <w:t>synergy benefits</w:t>
      </w:r>
      <w:r w:rsidRPr="00C47F8C">
        <w:rPr>
          <w:rFonts w:hint="cs"/>
          <w:bCs/>
          <w:noProof/>
        </w:rPr>
        <w:t xml:space="preserve"> are not realized. The audit also found that each Traffic Division unit prepares an annual work plan; however, </w:t>
      </w:r>
      <w:r w:rsidRPr="00C47F8C">
        <w:rPr>
          <w:bCs/>
          <w:noProof/>
        </w:rPr>
        <w:t>no comprehensive national enforcement plan exists</w:t>
      </w:r>
      <w:r>
        <w:rPr>
          <w:noProof/>
        </w:rPr>
        <w:t>.</w:t>
      </w:r>
    </w:p>
    <w:p w:rsidR="000B5EBF" w:rsidP="000B5EBF" w14:paraId="684684C1" w14:textId="294A8C35">
      <w:pPr>
        <w:pStyle w:val="7191"/>
        <w:bidi w:val="0"/>
        <w:spacing w:before="240"/>
        <w:ind w:left="397"/>
        <w:rPr>
          <w:noProof/>
        </w:rPr>
      </w:pPr>
      <w:r w:rsidRPr="00081B5E">
        <w:rPr>
          <w:rFonts w:hint="cs"/>
          <w:b/>
          <w:bCs/>
          <w:noProof/>
          <w:rtl/>
        </w:rPr>
        <w:drawing>
          <wp:anchor distT="0" distB="0" distL="0" distR="0" simplePos="0" relativeHeight="251749376"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7614187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418717"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81B5E">
        <w:rPr>
          <w:rFonts w:hint="cs"/>
          <w:b/>
          <w:bCs/>
          <w:noProof/>
        </w:rPr>
        <w:t xml:space="preserve">The </w:t>
      </w:r>
      <w:r w:rsidRPr="00081B5E">
        <w:rPr>
          <w:b/>
          <w:bCs/>
          <w:noProof/>
        </w:rPr>
        <w:t>O</w:t>
      </w:r>
      <w:r w:rsidRPr="00081B5E">
        <w:rPr>
          <w:rFonts w:hint="cs"/>
          <w:b/>
          <w:bCs/>
          <w:noProof/>
        </w:rPr>
        <w:t xml:space="preserve">rganizational </w:t>
      </w:r>
      <w:r w:rsidRPr="00081B5E">
        <w:rPr>
          <w:b/>
          <w:bCs/>
          <w:noProof/>
        </w:rPr>
        <w:t>S</w:t>
      </w:r>
      <w:r w:rsidRPr="00081B5E">
        <w:rPr>
          <w:rFonts w:hint="cs"/>
          <w:b/>
          <w:bCs/>
          <w:noProof/>
        </w:rPr>
        <w:t>tructure of the Traffic Division in the Israel Police</w:t>
      </w:r>
      <w:r w:rsidRPr="00081B5E">
        <w:rPr>
          <w:b/>
          <w:bCs/>
          <w:noProof/>
        </w:rPr>
        <w:t xml:space="preserve"> –</w:t>
      </w:r>
      <w:r w:rsidRPr="00C47F8C">
        <w:rPr>
          <w:rFonts w:hint="cs"/>
          <w:bCs/>
          <w:noProof/>
        </w:rPr>
        <w:t xml:space="preserve"> </w:t>
      </w:r>
      <w:r w:rsidRPr="00C47F8C">
        <w:rPr>
          <w:bCs/>
          <w:noProof/>
        </w:rPr>
        <w:t>e</w:t>
      </w:r>
      <w:r w:rsidRPr="00C47F8C">
        <w:rPr>
          <w:rFonts w:hint="cs"/>
          <w:bCs/>
          <w:noProof/>
        </w:rPr>
        <w:t>nforcement on inter</w:t>
      </w:r>
      <w:r w:rsidRPr="00C47F8C">
        <w:rPr>
          <w:bCs/>
          <w:noProof/>
        </w:rPr>
        <w:t>-</w:t>
      </w:r>
      <w:r w:rsidRPr="00C47F8C">
        <w:rPr>
          <w:rFonts w:hint="cs"/>
          <w:bCs/>
          <w:noProof/>
        </w:rPr>
        <w:t xml:space="preserve">city roads is carried out by Traffic Division </w:t>
      </w:r>
      <w:r w:rsidRPr="00C47F8C">
        <w:rPr>
          <w:bCs/>
          <w:noProof/>
        </w:rPr>
        <w:t>policemen</w:t>
      </w:r>
      <w:r w:rsidRPr="00C47F8C">
        <w:rPr>
          <w:rFonts w:hint="cs"/>
          <w:bCs/>
          <w:noProof/>
        </w:rPr>
        <w:t xml:space="preserve">, </w:t>
      </w:r>
      <w:r w:rsidRPr="00C47F8C">
        <w:rPr>
          <w:bCs/>
          <w:noProof/>
        </w:rPr>
        <w:t>whereas, e</w:t>
      </w:r>
      <w:r w:rsidRPr="00C47F8C">
        <w:rPr>
          <w:rFonts w:hint="cs"/>
          <w:bCs/>
          <w:noProof/>
        </w:rPr>
        <w:t>nforcement within urban areas is handled by traffic officers subordinate to the command levels in police districts and stations</w:t>
      </w:r>
      <w:r w:rsidRPr="00C47F8C">
        <w:rPr>
          <w:bCs/>
          <w:noProof/>
        </w:rPr>
        <w:t xml:space="preserve"> and the Traffic Divison provides them with </w:t>
      </w:r>
      <w:r w:rsidRPr="00C47F8C">
        <w:rPr>
          <w:rFonts w:hint="cs"/>
          <w:bCs/>
          <w:noProof/>
        </w:rPr>
        <w:t xml:space="preserve">professional </w:t>
      </w:r>
      <w:r w:rsidRPr="00C47F8C">
        <w:rPr>
          <w:bCs/>
          <w:noProof/>
        </w:rPr>
        <w:t>direction.</w:t>
      </w:r>
      <w:r w:rsidRPr="00C47F8C">
        <w:rPr>
          <w:rFonts w:hint="cs"/>
          <w:bCs/>
          <w:noProof/>
        </w:rPr>
        <w:t xml:space="preserve"> Due to this organizational structure, a gap exists between the responsibility assigned to the Traffic Division and its authority to deploy traffic officers within local</w:t>
      </w:r>
      <w:r w:rsidRPr="00C47F8C">
        <w:rPr>
          <w:bCs/>
          <w:noProof/>
        </w:rPr>
        <w:t xml:space="preserve"> authorities</w:t>
      </w:r>
      <w:r w:rsidRPr="00C47F8C">
        <w:rPr>
          <w:rFonts w:hint="cs"/>
          <w:bCs/>
          <w:noProof/>
        </w:rPr>
        <w:t xml:space="preserve"> according to its professional judgment and the needs of road safety activities. Given this structure, traffic police</w:t>
      </w:r>
      <w:r w:rsidRPr="00C47F8C">
        <w:rPr>
          <w:bCs/>
          <w:noProof/>
        </w:rPr>
        <w:t xml:space="preserve"> officers</w:t>
      </w:r>
      <w:r w:rsidRPr="00C47F8C">
        <w:rPr>
          <w:rFonts w:hint="cs"/>
          <w:bCs/>
          <w:noProof/>
        </w:rPr>
        <w:t xml:space="preserve"> in stations and districts are not exclusively dedicated to traffic</w:t>
      </w:r>
      <w:r w:rsidRPr="00C47F8C">
        <w:rPr>
          <w:bCs/>
          <w:noProof/>
        </w:rPr>
        <w:t>; they</w:t>
      </w:r>
      <w:r w:rsidRPr="00C47F8C">
        <w:rPr>
          <w:rFonts w:hint="cs"/>
          <w:bCs/>
          <w:noProof/>
        </w:rPr>
        <w:t xml:space="preserve"> also perform additional tasks based on the station's needs. This organizational structure, along with limited resources and </w:t>
      </w:r>
      <w:r w:rsidRPr="00C47F8C">
        <w:rPr>
          <w:bCs/>
          <w:noProof/>
        </w:rPr>
        <w:t>workforce</w:t>
      </w:r>
      <w:r w:rsidRPr="00C47F8C">
        <w:rPr>
          <w:rFonts w:hint="cs"/>
          <w:bCs/>
          <w:noProof/>
        </w:rPr>
        <w:t>, hampers the enforcement of traffic laws by the Traffic Division, particularly within local</w:t>
      </w:r>
      <w:r w:rsidRPr="00C47F8C">
        <w:rPr>
          <w:bCs/>
          <w:noProof/>
        </w:rPr>
        <w:t xml:space="preserve"> authorities</w:t>
      </w:r>
      <w:r w:rsidRPr="00C47F8C">
        <w:rPr>
          <w:rFonts w:hint="cs"/>
          <w:bCs/>
          <w:noProof/>
        </w:rPr>
        <w:t xml:space="preserve">. Furthermore, the police </w:t>
      </w:r>
      <w:r w:rsidRPr="00C47F8C">
        <w:rPr>
          <w:bCs/>
          <w:noProof/>
        </w:rPr>
        <w:t>cannot</w:t>
      </w:r>
      <w:r w:rsidRPr="00C47F8C">
        <w:rPr>
          <w:rFonts w:hint="cs"/>
          <w:bCs/>
          <w:noProof/>
        </w:rPr>
        <w:t xml:space="preserve"> generate accurate information on the actual engagement of Traffic Division and district </w:t>
      </w:r>
      <w:r w:rsidRPr="00C47F8C">
        <w:rPr>
          <w:bCs/>
          <w:noProof/>
        </w:rPr>
        <w:t>policemen</w:t>
      </w:r>
      <w:r w:rsidRPr="00C47F8C">
        <w:rPr>
          <w:rFonts w:hint="cs"/>
          <w:bCs/>
          <w:noProof/>
        </w:rPr>
        <w:t xml:space="preserve"> in activity unrelated to traffic enforcement</w:t>
      </w:r>
      <w:r>
        <w:rPr>
          <w:noProof/>
        </w:rPr>
        <w:t>.</w:t>
      </w:r>
    </w:p>
    <w:p w:rsidR="000B5EBF" w14:paraId="2BF1A2F9" w14:textId="77777777">
      <w:pPr>
        <w:bidi w:val="0"/>
        <w:rPr>
          <w:rFonts w:ascii="Tahoma" w:hAnsi="Tahoma" w:eastAsiaTheme="minorHAnsi" w:cs="Tahoma"/>
          <w:noProof/>
          <w:color w:val="0D0D0D" w:themeColor="text1" w:themeTint="F2"/>
          <w:sz w:val="18"/>
          <w:szCs w:val="18"/>
        </w:rPr>
      </w:pPr>
      <w:r>
        <w:rPr>
          <w:noProof/>
        </w:rPr>
        <w:br w:type="page"/>
      </w:r>
    </w:p>
    <w:p w:rsidR="00CF1BD1" w:rsidRPr="00081B5E" w:rsidP="00CF1BD1" w14:paraId="2AD6F0F1" w14:textId="7AA5BBA4">
      <w:pPr>
        <w:pStyle w:val="7191"/>
        <w:bidi w:val="0"/>
        <w:spacing w:before="240"/>
        <w:ind w:left="397"/>
        <w:rPr>
          <w:b/>
          <w:bCs/>
          <w:noProof/>
        </w:rPr>
      </w:pPr>
      <w:r w:rsidRPr="00081B5E">
        <w:rPr>
          <w:rFonts w:hint="cs"/>
          <w:b/>
          <w:bCs/>
          <w:noProof/>
          <w:rtl/>
        </w:rPr>
        <w:drawing>
          <wp:anchor distT="0" distB="0" distL="0" distR="0" simplePos="0" relativeHeight="251750400"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4578327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3279"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81B5E">
        <w:rPr>
          <w:b/>
          <w:bCs/>
          <w:noProof/>
        </w:rPr>
        <w:t xml:space="preserve">Resources of the Traffic Division of the Israel Police </w:t>
      </w:r>
    </w:p>
    <w:p w:rsidR="00CF1BD1" w:rsidRPr="00A41DA4" w:rsidP="00CF1BD1" w14:paraId="12E60D18" w14:textId="77777777">
      <w:pPr>
        <w:pStyle w:val="7191"/>
        <w:numPr>
          <w:ilvl w:val="0"/>
          <w:numId w:val="38"/>
        </w:numPr>
        <w:bidi w:val="0"/>
        <w:spacing w:before="240"/>
        <w:rPr>
          <w:noProof/>
        </w:rPr>
      </w:pPr>
      <w:r w:rsidRPr="00081B5E">
        <w:rPr>
          <w:rFonts w:hint="cs"/>
          <w:b/>
          <w:bCs/>
          <w:noProof/>
        </w:rPr>
        <w:t>Personnel</w:t>
      </w:r>
      <w:r w:rsidRPr="00081B5E">
        <w:rPr>
          <w:b/>
          <w:bCs/>
          <w:noProof/>
        </w:rPr>
        <w:t xml:space="preserve"> –</w:t>
      </w:r>
      <w:r w:rsidRPr="00CF1BD1">
        <w:rPr>
          <w:rFonts w:hint="cs"/>
          <w:noProof/>
        </w:rPr>
        <w:t xml:space="preserve"> despite government decisions from 2005 and 2017 to strengthen the traffic police and increase the number of officers</w:t>
      </w:r>
      <w:r w:rsidRPr="00C47F8C">
        <w:rPr>
          <w:noProof/>
        </w:rPr>
        <w:t xml:space="preserve">, </w:t>
      </w:r>
      <w:r w:rsidRPr="00CF1BD1">
        <w:rPr>
          <w:rFonts w:hint="cs"/>
          <w:noProof/>
        </w:rPr>
        <w:t>and despite the high growth rate since 2005 in the number of vehicles (89%), mileage (59%), and road area (40%)</w:t>
      </w:r>
      <w:r w:rsidRPr="00C47F8C">
        <w:rPr>
          <w:noProof/>
        </w:rPr>
        <w:t xml:space="preserve">, </w:t>
      </w:r>
      <w:r w:rsidRPr="00CF1BD1">
        <w:rPr>
          <w:rFonts w:hint="cs"/>
          <w:noProof/>
        </w:rPr>
        <w:t xml:space="preserve">the audit found that </w:t>
      </w:r>
      <w:r w:rsidRPr="00CF1BD1">
        <w:rPr>
          <w:noProof/>
        </w:rPr>
        <w:t>from</w:t>
      </w:r>
      <w:r w:rsidRPr="00CF1BD1">
        <w:rPr>
          <w:rFonts w:hint="cs"/>
          <w:noProof/>
        </w:rPr>
        <w:t xml:space="preserve"> 2017 to June 2023, the </w:t>
      </w:r>
      <w:r w:rsidRPr="00CF1BD1">
        <w:rPr>
          <w:noProof/>
        </w:rPr>
        <w:t>workforce headcount standard</w:t>
      </w:r>
      <w:r w:rsidRPr="00CF1BD1">
        <w:rPr>
          <w:rFonts w:hint="cs"/>
          <w:noProof/>
        </w:rPr>
        <w:t xml:space="preserve"> </w:t>
      </w:r>
      <w:r w:rsidRPr="00CF1BD1">
        <w:rPr>
          <w:noProof/>
        </w:rPr>
        <w:t xml:space="preserve">in </w:t>
      </w:r>
      <w:r w:rsidRPr="00CF1BD1">
        <w:rPr>
          <w:rFonts w:hint="cs"/>
          <w:noProof/>
        </w:rPr>
        <w:t>the Traffic Division, particularly the National Traffic Police, remained relatively stable at 1,044 positions within the Traffic Division, including 550 positions in the National Traffic Police by 2023. It was further noted that over the years, there ha</w:t>
      </w:r>
      <w:r w:rsidRPr="00CF1BD1">
        <w:rPr>
          <w:noProof/>
        </w:rPr>
        <w:t>d</w:t>
      </w:r>
      <w:r w:rsidRPr="00CF1BD1">
        <w:rPr>
          <w:rFonts w:hint="cs"/>
          <w:noProof/>
        </w:rPr>
        <w:t xml:space="preserve"> been a gap in filling positions, particularly in 2023</w:t>
      </w:r>
      <w:r w:rsidRPr="00CF1BD1">
        <w:rPr>
          <w:noProof/>
        </w:rPr>
        <w:t>,</w:t>
      </w:r>
      <w:r w:rsidRPr="00CF1BD1">
        <w:rPr>
          <w:rFonts w:hint="cs"/>
          <w:noProof/>
        </w:rPr>
        <w:t xml:space="preserve"> where about 13% of the </w:t>
      </w:r>
      <w:r w:rsidRPr="00CF1BD1">
        <w:rPr>
          <w:noProof/>
        </w:rPr>
        <w:t>Traffic Division</w:t>
      </w:r>
      <w:r w:rsidRPr="00CF1BD1">
        <w:rPr>
          <w:rFonts w:hint="cs"/>
          <w:noProof/>
        </w:rPr>
        <w:t xml:space="preserve"> </w:t>
      </w:r>
      <w:r w:rsidRPr="00CF1BD1">
        <w:rPr>
          <w:noProof/>
        </w:rPr>
        <w:t>workforce headcount standard</w:t>
      </w:r>
      <w:r w:rsidRPr="00CF1BD1">
        <w:rPr>
          <w:rFonts w:hint="cs"/>
          <w:noProof/>
        </w:rPr>
        <w:t xml:space="preserve"> (137 positions) were not filled, and in 2022</w:t>
      </w:r>
      <w:r w:rsidRPr="00CF1BD1">
        <w:rPr>
          <w:noProof/>
        </w:rPr>
        <w:t>,</w:t>
      </w:r>
      <w:r w:rsidRPr="00CF1BD1">
        <w:rPr>
          <w:rFonts w:hint="cs"/>
          <w:noProof/>
        </w:rPr>
        <w:t xml:space="preserve"> about 20% of the regional traffic police positions (201 positions) were not filled. In addition, amidst numerous urgent issues facing law enforcement, traffic police are sometimes directed to perform tasks unrelated to traffic law enforcement. This may indicate that traffic law enforcement on roads is given low priority. Consequently, police presence is constantly lacking, precluding effective prevention of dangerous offenses and handling of deliberate criminal behavior.</w:t>
      </w:r>
    </w:p>
    <w:p w:rsidR="00CF1BD1" w:rsidRPr="00A41DA4" w:rsidP="00CF1BD1" w14:paraId="3CAF1EC4" w14:textId="2F3420D1">
      <w:pPr>
        <w:pStyle w:val="7191"/>
        <w:numPr>
          <w:ilvl w:val="0"/>
          <w:numId w:val="38"/>
        </w:numPr>
        <w:bidi w:val="0"/>
        <w:spacing w:before="240"/>
        <w:rPr>
          <w:noProof/>
        </w:rPr>
      </w:pPr>
      <w:r w:rsidRPr="00081B5E">
        <w:rPr>
          <w:rFonts w:hint="cs"/>
          <w:b/>
          <w:bCs/>
          <w:noProof/>
        </w:rPr>
        <w:t xml:space="preserve">Police </w:t>
      </w:r>
      <w:r w:rsidRPr="00081B5E">
        <w:rPr>
          <w:b/>
          <w:bCs/>
          <w:noProof/>
        </w:rPr>
        <w:t>V</w:t>
      </w:r>
      <w:r w:rsidRPr="00081B5E">
        <w:rPr>
          <w:rFonts w:hint="cs"/>
          <w:b/>
          <w:bCs/>
          <w:noProof/>
        </w:rPr>
        <w:t>ehicles</w:t>
      </w:r>
      <w:r w:rsidRPr="00081B5E">
        <w:rPr>
          <w:b/>
          <w:bCs/>
          <w:noProof/>
        </w:rPr>
        <w:t xml:space="preserve"> –</w:t>
      </w:r>
      <w:r w:rsidRPr="00CF1BD1">
        <w:rPr>
          <w:rFonts w:hint="cs"/>
          <w:noProof/>
        </w:rPr>
        <w:t xml:space="preserve"> </w:t>
      </w:r>
      <w:bookmarkStart w:id="13" w:name="_Hlk146202121"/>
      <w:r w:rsidRPr="00CF1BD1">
        <w:rPr>
          <w:rFonts w:hint="cs"/>
          <w:noProof/>
        </w:rPr>
        <w:t xml:space="preserve">the Traffic Division has 264 safety </w:t>
      </w:r>
      <w:r w:rsidRPr="00CF1BD1">
        <w:rPr>
          <w:noProof/>
        </w:rPr>
        <w:t>inspection mobile units</w:t>
      </w:r>
      <w:r w:rsidRPr="00C47F8C">
        <w:rPr>
          <w:rFonts w:hint="cs"/>
          <w:noProof/>
        </w:rPr>
        <w:t xml:space="preserve"> </w:t>
      </w:r>
      <w:r w:rsidRPr="00CF1BD1">
        <w:rPr>
          <w:rFonts w:hint="cs"/>
          <w:noProof/>
        </w:rPr>
        <w:t xml:space="preserve">available; however, due to </w:t>
      </w:r>
      <w:r w:rsidRPr="00CF1BD1">
        <w:rPr>
          <w:noProof/>
        </w:rPr>
        <w:t>workforce</w:t>
      </w:r>
      <w:r w:rsidRPr="00CF1BD1">
        <w:rPr>
          <w:rFonts w:hint="cs"/>
          <w:noProof/>
        </w:rPr>
        <w:t xml:space="preserve"> shortages, only 120 safety </w:t>
      </w:r>
      <w:r w:rsidRPr="00CF1BD1">
        <w:rPr>
          <w:noProof/>
        </w:rPr>
        <w:t>inspection mobile units</w:t>
      </w:r>
      <w:r w:rsidRPr="00C47F8C">
        <w:rPr>
          <w:rFonts w:hint="cs"/>
          <w:noProof/>
        </w:rPr>
        <w:t xml:space="preserve"> </w:t>
      </w:r>
      <w:r w:rsidRPr="00CF1BD1">
        <w:rPr>
          <w:rFonts w:hint="cs"/>
          <w:noProof/>
        </w:rPr>
        <w:t xml:space="preserve">are operational per shift, compared to the target set by the government decision </w:t>
      </w:r>
      <w:r w:rsidRPr="00CF1BD1">
        <w:rPr>
          <w:noProof/>
        </w:rPr>
        <w:t>in</w:t>
      </w:r>
      <w:r w:rsidRPr="00CF1BD1">
        <w:rPr>
          <w:rFonts w:hint="cs"/>
          <w:noProof/>
        </w:rPr>
        <w:t xml:space="preserve"> 2005 of 450 safety </w:t>
      </w:r>
      <w:r w:rsidRPr="00CF1BD1">
        <w:rPr>
          <w:noProof/>
        </w:rPr>
        <w:t>inspection mobile units</w:t>
      </w:r>
      <w:r w:rsidRPr="00C47F8C">
        <w:rPr>
          <w:rFonts w:hint="cs"/>
          <w:noProof/>
        </w:rPr>
        <w:t xml:space="preserve"> </w:t>
      </w:r>
      <w:r w:rsidRPr="00CF1BD1">
        <w:rPr>
          <w:rFonts w:hint="cs"/>
          <w:noProof/>
        </w:rPr>
        <w:t>per shift (a</w:t>
      </w:r>
      <w:r w:rsidRPr="00CF1BD1">
        <w:rPr>
          <w:noProof/>
        </w:rPr>
        <w:t>bout</w:t>
      </w:r>
      <w:r w:rsidRPr="00CF1BD1">
        <w:rPr>
          <w:rFonts w:hint="cs"/>
          <w:noProof/>
        </w:rPr>
        <w:t xml:space="preserve"> 27%). </w:t>
      </w:r>
      <w:bookmarkEnd w:id="13"/>
      <w:r w:rsidRPr="00CF1BD1">
        <w:rPr>
          <w:rFonts w:hint="cs"/>
          <w:noProof/>
        </w:rPr>
        <w:t xml:space="preserve">In OECD countries, there is one safety </w:t>
      </w:r>
      <w:r w:rsidRPr="00CF1BD1">
        <w:rPr>
          <w:noProof/>
        </w:rPr>
        <w:t>inspection mobile units</w:t>
      </w:r>
      <w:r w:rsidRPr="00C47F8C">
        <w:rPr>
          <w:rFonts w:hint="cs"/>
          <w:noProof/>
        </w:rPr>
        <w:t xml:space="preserve"> </w:t>
      </w:r>
      <w:r w:rsidRPr="00CF1BD1">
        <w:rPr>
          <w:rFonts w:hint="cs"/>
          <w:noProof/>
        </w:rPr>
        <w:t xml:space="preserve">per 10 kilometers, whereas in Israel, there is only one safety </w:t>
      </w:r>
      <w:r w:rsidRPr="00CF1BD1">
        <w:rPr>
          <w:noProof/>
        </w:rPr>
        <w:t>inspection mobile unit</w:t>
      </w:r>
      <w:r w:rsidRPr="00C47F8C">
        <w:rPr>
          <w:rFonts w:hint="cs"/>
          <w:noProof/>
        </w:rPr>
        <w:t xml:space="preserve"> </w:t>
      </w:r>
      <w:r w:rsidRPr="00CF1BD1">
        <w:rPr>
          <w:rFonts w:hint="cs"/>
          <w:noProof/>
        </w:rPr>
        <w:t xml:space="preserve">per 100 kilometers. </w:t>
      </w:r>
    </w:p>
    <w:p w:rsidR="00CF1BD1" w:rsidRPr="00E83A18" w:rsidP="00CF1BD1" w14:paraId="4EDFBF2C" w14:textId="165FD136">
      <w:pPr>
        <w:pStyle w:val="7191"/>
        <w:numPr>
          <w:ilvl w:val="0"/>
          <w:numId w:val="38"/>
        </w:numPr>
        <w:bidi w:val="0"/>
        <w:spacing w:before="240"/>
        <w:rPr>
          <w:noProof/>
        </w:rPr>
      </w:pPr>
      <w:r w:rsidRPr="00081B5E">
        <w:rPr>
          <w:rFonts w:hint="cs"/>
          <w:b/>
          <w:bCs/>
          <w:noProof/>
        </w:rPr>
        <w:t xml:space="preserve">Fixed </w:t>
      </w:r>
      <w:r w:rsidRPr="00081B5E">
        <w:rPr>
          <w:b/>
          <w:bCs/>
          <w:noProof/>
        </w:rPr>
        <w:t>E</w:t>
      </w:r>
      <w:r w:rsidRPr="00081B5E">
        <w:rPr>
          <w:rFonts w:hint="cs"/>
          <w:b/>
          <w:bCs/>
          <w:noProof/>
        </w:rPr>
        <w:t xml:space="preserve">nforcement </w:t>
      </w:r>
      <w:r w:rsidRPr="00081B5E">
        <w:rPr>
          <w:b/>
          <w:bCs/>
          <w:noProof/>
        </w:rPr>
        <w:t>C</w:t>
      </w:r>
      <w:r w:rsidRPr="00081B5E">
        <w:rPr>
          <w:rFonts w:hint="cs"/>
          <w:b/>
          <w:bCs/>
          <w:noProof/>
        </w:rPr>
        <w:t>ameras</w:t>
      </w:r>
      <w:r w:rsidRPr="00081B5E">
        <w:rPr>
          <w:b/>
          <w:bCs/>
          <w:noProof/>
        </w:rPr>
        <w:t xml:space="preserve"> –</w:t>
      </w:r>
      <w:r w:rsidRPr="00CF1BD1">
        <w:rPr>
          <w:rFonts w:hint="cs"/>
          <w:noProof/>
        </w:rPr>
        <w:t xml:space="preserve"> although the government decision from 2005 stipulated 300 fixed cameras for enforcing speeding and red light violations (A-3 cameras)</w:t>
      </w:r>
      <w:r w:rsidRPr="00CF1BD1">
        <w:rPr>
          <w:noProof/>
        </w:rPr>
        <w:t>,</w:t>
      </w:r>
      <w:r w:rsidRPr="00CF1BD1">
        <w:rPr>
          <w:rFonts w:hint="cs"/>
          <w:noProof/>
        </w:rPr>
        <w:t xml:space="preserve"> as of 2022, the police only had 121 active cameras (a</w:t>
      </w:r>
      <w:r w:rsidRPr="00CF1BD1">
        <w:rPr>
          <w:noProof/>
        </w:rPr>
        <w:t xml:space="preserve">bout </w:t>
      </w:r>
      <w:r w:rsidRPr="00CF1BD1">
        <w:rPr>
          <w:rFonts w:hint="cs"/>
          <w:noProof/>
        </w:rPr>
        <w:t>40%).</w:t>
      </w:r>
    </w:p>
    <w:p w:rsidR="00CF1BD1" w:rsidRPr="00081B5E" w:rsidP="00CF1BD1" w14:paraId="46426D92" w14:textId="0EEF0DF0">
      <w:pPr>
        <w:pStyle w:val="7191"/>
        <w:bidi w:val="0"/>
        <w:spacing w:before="240"/>
        <w:ind w:left="397"/>
        <w:rPr>
          <w:b/>
          <w:bCs/>
          <w:noProof/>
        </w:rPr>
      </w:pPr>
      <w:r w:rsidRPr="00081B5E">
        <w:rPr>
          <w:rFonts w:hint="cs"/>
          <w:b/>
          <w:bCs/>
          <w:noProof/>
          <w:rtl/>
        </w:rPr>
        <w:drawing>
          <wp:anchor distT="0" distB="0" distL="0" distR="0" simplePos="0" relativeHeight="251751424"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33127918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79182"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81B5E">
        <w:rPr>
          <w:rFonts w:hint="cs"/>
          <w:b/>
          <w:bCs/>
          <w:noProof/>
        </w:rPr>
        <w:t xml:space="preserve">Police </w:t>
      </w:r>
      <w:r w:rsidRPr="00081B5E">
        <w:rPr>
          <w:b/>
          <w:bCs/>
          <w:noProof/>
        </w:rPr>
        <w:t>E</w:t>
      </w:r>
      <w:r w:rsidRPr="00081B5E">
        <w:rPr>
          <w:rFonts w:hint="cs"/>
          <w:b/>
          <w:bCs/>
          <w:noProof/>
        </w:rPr>
        <w:t xml:space="preserve">nforcement </w:t>
      </w:r>
      <w:r w:rsidRPr="00081B5E">
        <w:rPr>
          <w:b/>
          <w:bCs/>
          <w:noProof/>
        </w:rPr>
        <w:t>A</w:t>
      </w:r>
      <w:r w:rsidRPr="00081B5E">
        <w:rPr>
          <w:rFonts w:hint="cs"/>
          <w:b/>
          <w:bCs/>
          <w:noProof/>
        </w:rPr>
        <w:t xml:space="preserve">ctivity </w:t>
      </w:r>
    </w:p>
    <w:p w:rsidR="00CF1BD1" w:rsidRPr="00CF1BD1" w:rsidP="00CF1BD1" w14:paraId="7D726449" w14:textId="77777777">
      <w:pPr>
        <w:pStyle w:val="7191"/>
        <w:numPr>
          <w:ilvl w:val="0"/>
          <w:numId w:val="38"/>
        </w:numPr>
        <w:bidi w:val="0"/>
        <w:spacing w:before="240"/>
        <w:rPr>
          <w:noProof/>
        </w:rPr>
      </w:pPr>
      <w:r w:rsidRPr="00081B5E">
        <w:rPr>
          <w:rFonts w:hint="cs"/>
          <w:b/>
          <w:bCs/>
          <w:noProof/>
        </w:rPr>
        <w:t xml:space="preserve">Speed </w:t>
      </w:r>
      <w:r w:rsidRPr="00081B5E">
        <w:rPr>
          <w:b/>
          <w:bCs/>
          <w:noProof/>
        </w:rPr>
        <w:t>E</w:t>
      </w:r>
      <w:r w:rsidRPr="00081B5E">
        <w:rPr>
          <w:rFonts w:hint="cs"/>
          <w:b/>
          <w:bCs/>
          <w:noProof/>
        </w:rPr>
        <w:t>nforcement</w:t>
      </w:r>
      <w:r w:rsidRPr="00081B5E">
        <w:rPr>
          <w:b/>
          <w:bCs/>
          <w:noProof/>
        </w:rPr>
        <w:t xml:space="preserve"> –</w:t>
      </w:r>
      <w:r w:rsidRPr="00CF1BD1">
        <w:rPr>
          <w:rFonts w:hint="cs"/>
          <w:noProof/>
        </w:rPr>
        <w:t xml:space="preserve"> the number of fixed speed cameras per capita in Israel is significantly lower </w:t>
      </w:r>
      <w:r w:rsidRPr="00CF1BD1">
        <w:rPr>
          <w:noProof/>
        </w:rPr>
        <w:t>than</w:t>
      </w:r>
      <w:r w:rsidRPr="00CF1BD1">
        <w:rPr>
          <w:rFonts w:hint="cs"/>
          <w:noProof/>
        </w:rPr>
        <w:t xml:space="preserve"> most European countries: 17 cameras per million residents versus 67 to 211 cameras per million residents in the top five countries with the highest number of cameras. These figures indicate a low level of electronic enforcement despite the efficiency and other advantages of electronic enforcement tools.</w:t>
      </w:r>
    </w:p>
    <w:p w:rsidR="00CF1BD1" w:rsidRPr="00A41DA4" w:rsidP="00CF1BD1" w14:paraId="0CA11BAB" w14:textId="77777777">
      <w:pPr>
        <w:pStyle w:val="7191"/>
        <w:numPr>
          <w:ilvl w:val="0"/>
          <w:numId w:val="38"/>
        </w:numPr>
        <w:bidi w:val="0"/>
        <w:spacing w:before="240"/>
        <w:rPr>
          <w:noProof/>
        </w:rPr>
      </w:pPr>
      <w:r w:rsidRPr="00081B5E">
        <w:rPr>
          <w:rFonts w:hint="cs"/>
          <w:b/>
          <w:bCs/>
          <w:noProof/>
        </w:rPr>
        <w:t xml:space="preserve">Driving </w:t>
      </w:r>
      <w:r w:rsidRPr="00081B5E">
        <w:rPr>
          <w:b/>
          <w:bCs/>
          <w:noProof/>
        </w:rPr>
        <w:t>U</w:t>
      </w:r>
      <w:r w:rsidRPr="00081B5E">
        <w:rPr>
          <w:rFonts w:hint="cs"/>
          <w:b/>
          <w:bCs/>
          <w:noProof/>
        </w:rPr>
        <w:t xml:space="preserve">nder the </w:t>
      </w:r>
      <w:r w:rsidRPr="00081B5E">
        <w:rPr>
          <w:b/>
          <w:bCs/>
          <w:noProof/>
        </w:rPr>
        <w:t>I</w:t>
      </w:r>
      <w:r w:rsidRPr="00081B5E">
        <w:rPr>
          <w:rFonts w:hint="cs"/>
          <w:b/>
          <w:bCs/>
          <w:noProof/>
        </w:rPr>
        <w:t xml:space="preserve">nfluence of </w:t>
      </w:r>
      <w:r w:rsidRPr="00081B5E">
        <w:rPr>
          <w:b/>
          <w:bCs/>
          <w:noProof/>
        </w:rPr>
        <w:t>D</w:t>
      </w:r>
      <w:r w:rsidRPr="00081B5E">
        <w:rPr>
          <w:rFonts w:hint="cs"/>
          <w:b/>
          <w:bCs/>
          <w:noProof/>
        </w:rPr>
        <w:t xml:space="preserve">rugs and </w:t>
      </w:r>
      <w:r w:rsidRPr="00081B5E">
        <w:rPr>
          <w:b/>
          <w:bCs/>
          <w:noProof/>
        </w:rPr>
        <w:t>A</w:t>
      </w:r>
      <w:r w:rsidRPr="00081B5E">
        <w:rPr>
          <w:rFonts w:hint="cs"/>
          <w:b/>
          <w:bCs/>
          <w:noProof/>
        </w:rPr>
        <w:t>lcohol</w:t>
      </w:r>
      <w:r w:rsidRPr="00081B5E">
        <w:rPr>
          <w:b/>
          <w:bCs/>
          <w:noProof/>
        </w:rPr>
        <w:t xml:space="preserve"> –</w:t>
      </w:r>
      <w:r w:rsidRPr="00CF1BD1">
        <w:rPr>
          <w:rFonts w:hint="cs"/>
          <w:noProof/>
        </w:rPr>
        <w:t xml:space="preserve"> although the Traffic Ordinance explicitly prohibits driving under the influence of drugs and alcohol, and despite existing data showing an </w:t>
      </w:r>
      <w:r w:rsidRPr="00CF1BD1">
        <w:rPr>
          <w:noProof/>
        </w:rPr>
        <w:t>increase</w:t>
      </w:r>
      <w:r w:rsidRPr="00CF1BD1">
        <w:rPr>
          <w:rFonts w:hint="cs"/>
          <w:noProof/>
        </w:rPr>
        <w:t xml:space="preserve"> in the use of these substances, there is no comprehensive information on the extent of the phenomenon or the number of enforcement actions taken. The annual number of</w:t>
      </w:r>
      <w:r w:rsidRPr="00CF1BD1">
        <w:rPr>
          <w:noProof/>
        </w:rPr>
        <w:t xml:space="preserve"> </w:t>
      </w:r>
      <w:bookmarkStart w:id="14" w:name="_Hlk175039798"/>
      <w:r w:rsidRPr="00CF1BD1">
        <w:rPr>
          <w:noProof/>
        </w:rPr>
        <w:t>traffic</w:t>
      </w:r>
      <w:bookmarkEnd w:id="14"/>
      <w:r w:rsidRPr="00CF1BD1">
        <w:rPr>
          <w:rFonts w:hint="cs"/>
          <w:noProof/>
        </w:rPr>
        <w:t xml:space="preserve"> tickets issued for driving </w:t>
      </w:r>
      <w:r w:rsidRPr="00CF1BD1">
        <w:rPr>
          <w:rFonts w:hint="cs"/>
          <w:noProof/>
        </w:rPr>
        <w:t>under the influence of alcohol and drugs has decreased by a</w:t>
      </w:r>
      <w:r w:rsidRPr="00CF1BD1">
        <w:rPr>
          <w:noProof/>
        </w:rPr>
        <w:t>bout</w:t>
      </w:r>
      <w:r w:rsidRPr="00CF1BD1">
        <w:rPr>
          <w:rFonts w:hint="cs"/>
          <w:noProof/>
        </w:rPr>
        <w:t xml:space="preserve"> 55% since 2014, from 9,771 to 4,422 in 2021.</w:t>
      </w:r>
    </w:p>
    <w:p w:rsidR="00CF1BD1" w:rsidP="00CF1BD1" w14:paraId="1BAF2346" w14:textId="77777777">
      <w:pPr>
        <w:pStyle w:val="7191"/>
        <w:numPr>
          <w:ilvl w:val="0"/>
          <w:numId w:val="38"/>
        </w:numPr>
        <w:bidi w:val="0"/>
        <w:spacing w:before="240"/>
        <w:rPr>
          <w:noProof/>
        </w:rPr>
      </w:pPr>
      <w:r w:rsidRPr="00081B5E">
        <w:rPr>
          <w:rFonts w:hint="cs"/>
          <w:b/>
          <w:bCs/>
          <w:noProof/>
        </w:rPr>
        <w:t xml:space="preserve">Seat </w:t>
      </w:r>
      <w:r w:rsidRPr="00081B5E">
        <w:rPr>
          <w:b/>
          <w:bCs/>
          <w:noProof/>
        </w:rPr>
        <w:t>B</w:t>
      </w:r>
      <w:r w:rsidRPr="00081B5E">
        <w:rPr>
          <w:rFonts w:hint="cs"/>
          <w:b/>
          <w:bCs/>
          <w:noProof/>
        </w:rPr>
        <w:t>elt</w:t>
      </w:r>
      <w:r w:rsidRPr="00081B5E">
        <w:rPr>
          <w:b/>
          <w:bCs/>
          <w:noProof/>
        </w:rPr>
        <w:t xml:space="preserve"> U</w:t>
      </w:r>
      <w:r w:rsidRPr="00081B5E">
        <w:rPr>
          <w:rFonts w:hint="cs"/>
          <w:b/>
          <w:bCs/>
          <w:noProof/>
        </w:rPr>
        <w:t>sage</w:t>
      </w:r>
      <w:r w:rsidRPr="00081B5E">
        <w:rPr>
          <w:b/>
          <w:bCs/>
          <w:noProof/>
        </w:rPr>
        <w:t xml:space="preserve"> –</w:t>
      </w:r>
      <w:r w:rsidRPr="00CF1BD1">
        <w:rPr>
          <w:rFonts w:hint="cs"/>
          <w:noProof/>
        </w:rPr>
        <w:t xml:space="preserve"> </w:t>
      </w:r>
      <w:r w:rsidRPr="00CF1BD1">
        <w:rPr>
          <w:noProof/>
        </w:rPr>
        <w:t>c</w:t>
      </w:r>
      <w:r w:rsidRPr="00CF1BD1">
        <w:rPr>
          <w:rFonts w:hint="cs"/>
          <w:noProof/>
        </w:rPr>
        <w:t xml:space="preserve">ompared to European countries, the </w:t>
      </w:r>
      <w:r w:rsidRPr="00CF1BD1">
        <w:rPr>
          <w:noProof/>
        </w:rPr>
        <w:t>seat belt usage rat</w:t>
      </w:r>
      <w:r w:rsidRPr="00CF1BD1">
        <w:rPr>
          <w:rFonts w:hint="cs"/>
          <w:noProof/>
        </w:rPr>
        <w:t xml:space="preserve">e in Israel is low, especially in the rear seats of vehicles (about 70%). This rate is </w:t>
      </w:r>
      <w:r w:rsidRPr="00CF1BD1">
        <w:rPr>
          <w:noProof/>
        </w:rPr>
        <w:t>low</w:t>
      </w:r>
      <w:r w:rsidRPr="00CF1BD1">
        <w:rPr>
          <w:rFonts w:hint="cs"/>
          <w:noProof/>
        </w:rPr>
        <w:t xml:space="preserve"> in the Arab </w:t>
      </w:r>
      <w:r w:rsidRPr="00CF1BD1">
        <w:rPr>
          <w:noProof/>
        </w:rPr>
        <w:t>sector, about</w:t>
      </w:r>
      <w:r w:rsidRPr="00CF1BD1">
        <w:rPr>
          <w:rFonts w:hint="cs"/>
          <w:noProof/>
        </w:rPr>
        <w:t xml:space="preserve"> 64% in the rear seats and 68% in the front seats, compared to 91% in the front seats in the general population. The number of tickets issued annually (</w:t>
      </w:r>
      <w:r w:rsidRPr="00CF1BD1">
        <w:rPr>
          <w:noProof/>
        </w:rPr>
        <w:t>about</w:t>
      </w:r>
      <w:r w:rsidRPr="00CF1BD1">
        <w:rPr>
          <w:rFonts w:hint="cs"/>
          <w:noProof/>
        </w:rPr>
        <w:t xml:space="preserve"> 121,000 in 2021) is high, indicating the severity of the problem.</w:t>
      </w:r>
    </w:p>
    <w:p w:rsidR="00CF1BD1" w:rsidRPr="00CF1BD1" w:rsidP="00CF1BD1" w14:paraId="0C826506" w14:textId="77777777">
      <w:pPr>
        <w:pStyle w:val="7191"/>
        <w:numPr>
          <w:ilvl w:val="0"/>
          <w:numId w:val="38"/>
        </w:numPr>
        <w:bidi w:val="0"/>
        <w:spacing w:before="240"/>
        <w:rPr>
          <w:noProof/>
        </w:rPr>
      </w:pPr>
      <w:r w:rsidRPr="00081B5E">
        <w:rPr>
          <w:rFonts w:hint="cs"/>
          <w:b/>
          <w:bCs/>
          <w:noProof/>
        </w:rPr>
        <w:t xml:space="preserve">Handling </w:t>
      </w:r>
      <w:r w:rsidRPr="00081B5E">
        <w:rPr>
          <w:b/>
          <w:bCs/>
          <w:noProof/>
        </w:rPr>
        <w:t>L</w:t>
      </w:r>
      <w:r w:rsidRPr="00081B5E">
        <w:rPr>
          <w:rFonts w:hint="cs"/>
          <w:b/>
          <w:bCs/>
          <w:noProof/>
        </w:rPr>
        <w:t xml:space="preserve">icense </w:t>
      </w:r>
      <w:r w:rsidRPr="00081B5E">
        <w:rPr>
          <w:b/>
          <w:bCs/>
          <w:noProof/>
        </w:rPr>
        <w:t>D</w:t>
      </w:r>
      <w:r w:rsidRPr="00081B5E">
        <w:rPr>
          <w:rFonts w:hint="cs"/>
          <w:b/>
          <w:bCs/>
          <w:noProof/>
        </w:rPr>
        <w:t>isqualifications</w:t>
      </w:r>
      <w:r w:rsidRPr="00081B5E">
        <w:rPr>
          <w:b/>
          <w:bCs/>
          <w:noProof/>
        </w:rPr>
        <w:t xml:space="preserve"> –</w:t>
      </w:r>
      <w:r w:rsidRPr="00CF1BD1">
        <w:rPr>
          <w:rFonts w:hint="cs"/>
          <w:noProof/>
        </w:rPr>
        <w:t xml:space="preserve"> in 2021, there was a record number of license revocations (a</w:t>
      </w:r>
      <w:r w:rsidRPr="00CF1BD1">
        <w:rPr>
          <w:noProof/>
        </w:rPr>
        <w:t>bout</w:t>
      </w:r>
      <w:r w:rsidRPr="00CF1BD1">
        <w:rPr>
          <w:rFonts w:hint="cs"/>
          <w:noProof/>
        </w:rPr>
        <w:t xml:space="preserve"> 19,600); in a</w:t>
      </w:r>
      <w:r w:rsidRPr="00CF1BD1">
        <w:rPr>
          <w:noProof/>
        </w:rPr>
        <w:t>bout</w:t>
      </w:r>
      <w:r w:rsidRPr="00CF1BD1">
        <w:rPr>
          <w:rFonts w:hint="cs"/>
          <w:noProof/>
        </w:rPr>
        <w:t xml:space="preserve"> 75% of cases (around 14,600 instances), the licenses were not surrendered as required. In addition, from 2019 to 2021, an average of a</w:t>
      </w:r>
      <w:r w:rsidRPr="00CF1BD1">
        <w:rPr>
          <w:noProof/>
        </w:rPr>
        <w:t>bout</w:t>
      </w:r>
      <w:r w:rsidRPr="00CF1BD1">
        <w:rPr>
          <w:rFonts w:hint="cs"/>
          <w:noProof/>
        </w:rPr>
        <w:t xml:space="preserve"> 5,000 </w:t>
      </w:r>
      <w:r w:rsidRPr="00CF1BD1">
        <w:rPr>
          <w:noProof/>
        </w:rPr>
        <w:t>traffic</w:t>
      </w:r>
      <w:r w:rsidRPr="00CF1BD1">
        <w:rPr>
          <w:rFonts w:hint="cs"/>
          <w:noProof/>
        </w:rPr>
        <w:t xml:space="preserve"> tickets per year were issued to drivers whose licenses had been revoked yet continued to drive illegally, posing a risk to human life. This indicates a </w:t>
      </w:r>
      <w:r w:rsidRPr="00CF1BD1">
        <w:rPr>
          <w:noProof/>
        </w:rPr>
        <w:t>broad</w:t>
      </w:r>
      <w:r w:rsidRPr="00CF1BD1">
        <w:rPr>
          <w:rFonts w:hint="cs"/>
          <w:noProof/>
        </w:rPr>
        <w:t xml:space="preserve"> scope of the phenomenon. The State Comptroller's Office </w:t>
      </w:r>
      <w:r w:rsidRPr="00CF1BD1">
        <w:rPr>
          <w:noProof/>
        </w:rPr>
        <w:t>considers</w:t>
      </w:r>
      <w:r w:rsidRPr="00CF1BD1">
        <w:rPr>
          <w:rFonts w:hint="cs"/>
          <w:noProof/>
        </w:rPr>
        <w:t xml:space="preserve"> the failure to establish a database of disqualified drivers</w:t>
      </w:r>
      <w:r w:rsidRPr="00CF1BD1">
        <w:rPr>
          <w:noProof/>
        </w:rPr>
        <w:t xml:space="preserve"> </w:t>
      </w:r>
      <w:r w:rsidRPr="00C47F8C">
        <w:rPr>
          <w:noProof/>
        </w:rPr>
        <w:t>–</w:t>
      </w:r>
      <w:r w:rsidRPr="00CF1BD1">
        <w:rPr>
          <w:noProof/>
        </w:rPr>
        <w:t xml:space="preserve"> </w:t>
      </w:r>
      <w:r w:rsidRPr="00CF1BD1">
        <w:rPr>
          <w:rFonts w:hint="cs"/>
          <w:noProof/>
        </w:rPr>
        <w:t xml:space="preserve">by the Israel National Digital Agency, the Ministry of National Security, the Israel Police, </w:t>
      </w:r>
      <w:r w:rsidRPr="00CF1BD1">
        <w:rPr>
          <w:noProof/>
        </w:rPr>
        <w:t>MOT</w:t>
      </w:r>
      <w:r w:rsidRPr="00CF1BD1">
        <w:rPr>
          <w:rFonts w:hint="cs"/>
          <w:noProof/>
        </w:rPr>
        <w:t>, and the Courts Administration</w:t>
      </w:r>
      <w:r w:rsidRPr="00C47F8C">
        <w:rPr>
          <w:noProof/>
        </w:rPr>
        <w:t xml:space="preserve">, </w:t>
      </w:r>
      <w:r w:rsidRPr="00CF1BD1">
        <w:rPr>
          <w:rFonts w:hint="cs"/>
          <w:noProof/>
        </w:rPr>
        <w:t xml:space="preserve">as mandated by law 17 years ago, as a </w:t>
      </w:r>
      <w:r w:rsidRPr="00CF1BD1">
        <w:rPr>
          <w:noProof/>
        </w:rPr>
        <w:t>serious</w:t>
      </w:r>
      <w:r w:rsidRPr="00CF1BD1">
        <w:rPr>
          <w:rFonts w:hint="cs"/>
          <w:noProof/>
        </w:rPr>
        <w:t xml:space="preserve"> issue. The absence of a comprehensive and reliable database containing information on license revocations imposed by various authorities and their validity impairs the police's ability to enforce effective measures against dangerous drivers </w:t>
      </w:r>
      <w:r w:rsidRPr="00CF1BD1">
        <w:rPr>
          <w:noProof/>
        </w:rPr>
        <w:t>who drive with revoked licenses</w:t>
      </w:r>
      <w:r w:rsidRPr="00CF1BD1">
        <w:rPr>
          <w:rFonts w:hint="cs"/>
          <w:noProof/>
        </w:rPr>
        <w:t xml:space="preserve">, </w:t>
      </w:r>
      <w:bookmarkStart w:id="15" w:name="_Hlk164077340"/>
      <w:r w:rsidRPr="00CF1BD1">
        <w:rPr>
          <w:rFonts w:hint="cs"/>
          <w:noProof/>
        </w:rPr>
        <w:t>thereby undermining deterrence against traffic offenders, some of whom are serial offenders</w:t>
      </w:r>
      <w:bookmarkEnd w:id="15"/>
      <w:r w:rsidRPr="00CF1BD1">
        <w:rPr>
          <w:rFonts w:hint="cs"/>
          <w:noProof/>
        </w:rPr>
        <w:t>.</w:t>
      </w:r>
    </w:p>
    <w:p w:rsidR="000B5EBF" w:rsidP="00CF1BD1" w14:paraId="57E2C8BC" w14:textId="1FD30412">
      <w:pPr>
        <w:pStyle w:val="7191"/>
        <w:numPr>
          <w:ilvl w:val="0"/>
          <w:numId w:val="38"/>
        </w:numPr>
        <w:bidi w:val="0"/>
        <w:spacing w:before="240"/>
        <w:rPr>
          <w:noProof/>
        </w:rPr>
      </w:pPr>
      <w:r w:rsidRPr="00081B5E">
        <w:rPr>
          <w:rFonts w:hint="cs"/>
          <w:b/>
          <w:bCs/>
          <w:noProof/>
        </w:rPr>
        <w:t xml:space="preserve">Enforcement </w:t>
      </w:r>
      <w:r w:rsidRPr="00081B5E">
        <w:rPr>
          <w:b/>
          <w:bCs/>
          <w:noProof/>
        </w:rPr>
        <w:t>E</w:t>
      </w:r>
      <w:r w:rsidRPr="00081B5E">
        <w:rPr>
          <w:rFonts w:hint="cs"/>
          <w:b/>
          <w:bCs/>
          <w:noProof/>
        </w:rPr>
        <w:t>ffectiveness</w:t>
      </w:r>
      <w:r w:rsidRPr="00081B5E">
        <w:rPr>
          <w:b/>
          <w:bCs/>
          <w:noProof/>
        </w:rPr>
        <w:t xml:space="preserve"> –</w:t>
      </w:r>
      <w:r w:rsidRPr="00081B5E">
        <w:rPr>
          <w:rFonts w:hint="cs"/>
          <w:b/>
          <w:bCs/>
          <w:noProof/>
        </w:rPr>
        <w:t xml:space="preserve"> </w:t>
      </w:r>
      <w:r w:rsidRPr="00CF1BD1">
        <w:rPr>
          <w:noProof/>
        </w:rPr>
        <w:t>in its research</w:t>
      </w:r>
      <w:r w:rsidRPr="00CF1BD1">
        <w:rPr>
          <w:rFonts w:hint="cs"/>
          <w:noProof/>
        </w:rPr>
        <w:t xml:space="preserve"> the police adopted the data on the number of road accidents and</w:t>
      </w:r>
      <w:r w:rsidRPr="00CF1BD1">
        <w:rPr>
          <w:noProof/>
        </w:rPr>
        <w:t xml:space="preserve"> </w:t>
      </w:r>
      <w:r w:rsidRPr="00CF1BD1">
        <w:rPr>
          <w:rFonts w:hint="cs"/>
          <w:noProof/>
        </w:rPr>
        <w:t>casualties involved as a benchmark for assessing the efficiency and effectiveness of enforcement activity. According to this benchmark, a review of the data in 2012</w:t>
      </w:r>
      <w:r w:rsidRPr="00C47F8C">
        <w:rPr>
          <w:noProof/>
        </w:rPr>
        <w:t>–</w:t>
      </w:r>
      <w:r w:rsidRPr="00CF1BD1">
        <w:rPr>
          <w:rFonts w:hint="cs"/>
          <w:noProof/>
        </w:rPr>
        <w:t xml:space="preserve">2022 </w:t>
      </w:r>
      <w:r w:rsidRPr="00CF1BD1">
        <w:rPr>
          <w:noProof/>
        </w:rPr>
        <w:t>indicates</w:t>
      </w:r>
      <w:r w:rsidRPr="00CF1BD1">
        <w:rPr>
          <w:rFonts w:hint="cs"/>
          <w:noProof/>
        </w:rPr>
        <w:t xml:space="preserve"> that 2012 had the lowest number of fatalities and se</w:t>
      </w:r>
      <w:r w:rsidRPr="00CF1BD1">
        <w:rPr>
          <w:noProof/>
        </w:rPr>
        <w:t>vere</w:t>
      </w:r>
      <w:r w:rsidRPr="00CF1BD1">
        <w:rPr>
          <w:rFonts w:hint="cs"/>
          <w:noProof/>
        </w:rPr>
        <w:t xml:space="preserve"> injuries throughout the period (290 and 1,734, respectively). However, this reduction was not maintained or replicated in the following years (in 2022, there were 351 fatalities and 2,607 seriously injured). This data indicates that the police's enforcement activity over the past decade has not </w:t>
      </w:r>
      <w:r w:rsidRPr="00CF1BD1">
        <w:rPr>
          <w:noProof/>
        </w:rPr>
        <w:t>decreased</w:t>
      </w:r>
      <w:r w:rsidRPr="00CF1BD1">
        <w:rPr>
          <w:rFonts w:hint="cs"/>
          <w:noProof/>
        </w:rPr>
        <w:t xml:space="preserve"> accidents and casualties. The audit found that the effectiveness of enforcement in Israel is not optimal, partly due to the following factors: a lack of resources; failure to coordinate enforcement activity with other road safety activities</w:t>
      </w:r>
      <w:r w:rsidRPr="00CF1BD1">
        <w:rPr>
          <w:noProof/>
        </w:rPr>
        <w:t xml:space="preserve"> (</w:t>
      </w:r>
      <w:r w:rsidRPr="00CF1BD1">
        <w:rPr>
          <w:rFonts w:hint="cs"/>
          <w:noProof/>
        </w:rPr>
        <w:t>for example</w:t>
      </w:r>
      <w:r w:rsidRPr="00CF1BD1">
        <w:rPr>
          <w:noProof/>
        </w:rPr>
        <w:t>, the demerit point system was changed but enforcement activity was not increased to support the change)</w:t>
      </w:r>
      <w:r w:rsidRPr="00CF1BD1">
        <w:rPr>
          <w:rFonts w:hint="cs"/>
          <w:noProof/>
        </w:rPr>
        <w:t xml:space="preserve">; enforcement activity is </w:t>
      </w:r>
      <w:r w:rsidRPr="00CF1BD1">
        <w:rPr>
          <w:noProof/>
        </w:rPr>
        <w:t xml:space="preserve">done according to the capacity </w:t>
      </w:r>
      <w:r w:rsidRPr="00CF1BD1">
        <w:rPr>
          <w:rFonts w:hint="cs"/>
          <w:noProof/>
        </w:rPr>
        <w:t>of the judicial system rather than purely professional considerations (such as safety importance, justice, efficiency, and effectiveness).</w:t>
      </w:r>
    </w:p>
    <w:p w:rsidR="000B5EBF" w14:paraId="7D4FDBBC" w14:textId="77777777">
      <w:pPr>
        <w:bidi w:val="0"/>
        <w:rPr>
          <w:rFonts w:ascii="Tahoma" w:hAnsi="Tahoma" w:eastAsiaTheme="minorHAnsi" w:cs="Tahoma"/>
          <w:noProof/>
          <w:color w:val="0D0D0D" w:themeColor="text1" w:themeTint="F2"/>
          <w:sz w:val="18"/>
          <w:szCs w:val="18"/>
        </w:rPr>
      </w:pPr>
      <w:r>
        <w:rPr>
          <w:noProof/>
        </w:rPr>
        <w:br w:type="page"/>
      </w:r>
    </w:p>
    <w:p w:rsidR="00CF1BD1" w:rsidRPr="00E83A18" w:rsidP="00CF1BD1" w14:paraId="08E71851" w14:textId="07B7FB7F">
      <w:pPr>
        <w:pStyle w:val="7191"/>
        <w:bidi w:val="0"/>
        <w:spacing w:before="240"/>
        <w:ind w:left="397"/>
        <w:rPr>
          <w:noProof/>
        </w:rPr>
      </w:pPr>
      <w:r w:rsidRPr="00081B5E">
        <w:rPr>
          <w:rFonts w:hint="cs"/>
          <w:b/>
          <w:bCs/>
          <w:noProof/>
          <w:rtl/>
        </w:rPr>
        <w:drawing>
          <wp:anchor distT="0" distB="0" distL="0" distR="0" simplePos="0" relativeHeight="251752448"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211221028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210280"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81B5E">
        <w:rPr>
          <w:rFonts w:hint="cs"/>
          <w:b/>
          <w:bCs/>
          <w:noProof/>
        </w:rPr>
        <w:t xml:space="preserve">Enforcement by </w:t>
      </w:r>
      <w:r w:rsidRPr="00081B5E">
        <w:rPr>
          <w:b/>
          <w:bCs/>
          <w:noProof/>
        </w:rPr>
        <w:t>L</w:t>
      </w:r>
      <w:r w:rsidRPr="00081B5E">
        <w:rPr>
          <w:rFonts w:hint="cs"/>
          <w:b/>
          <w:bCs/>
          <w:noProof/>
        </w:rPr>
        <w:t xml:space="preserve">ocal </w:t>
      </w:r>
      <w:r w:rsidRPr="00081B5E">
        <w:rPr>
          <w:b/>
          <w:bCs/>
          <w:noProof/>
        </w:rPr>
        <w:t>A</w:t>
      </w:r>
      <w:r w:rsidRPr="00081B5E">
        <w:rPr>
          <w:rFonts w:hint="cs"/>
          <w:b/>
          <w:bCs/>
          <w:noProof/>
        </w:rPr>
        <w:t xml:space="preserve">uthority </w:t>
      </w:r>
      <w:r w:rsidRPr="00081B5E">
        <w:rPr>
          <w:b/>
          <w:bCs/>
          <w:noProof/>
        </w:rPr>
        <w:t>I</w:t>
      </w:r>
      <w:r w:rsidRPr="00081B5E">
        <w:rPr>
          <w:rFonts w:hint="cs"/>
          <w:b/>
          <w:bCs/>
          <w:noProof/>
        </w:rPr>
        <w:t>nspectors</w:t>
      </w:r>
      <w:r w:rsidRPr="00081B5E">
        <w:rPr>
          <w:b/>
          <w:bCs/>
          <w:noProof/>
        </w:rPr>
        <w:t xml:space="preserve"> –</w:t>
      </w:r>
      <w:r w:rsidRPr="00C47F8C">
        <w:rPr>
          <w:rFonts w:hint="cs"/>
          <w:bCs/>
          <w:noProof/>
        </w:rPr>
        <w:t xml:space="preserve"> in a State Comptroller audit report published in 2022, it was found that some local authorities began enforcement under the Law for Streamlining Municipal Supervision and Enforcement in Local Authorities (Traffic) as early as 2018. Some local authorities trained inspectors</w:t>
      </w:r>
      <w:r w:rsidRPr="00C47F8C">
        <w:rPr>
          <w:bCs/>
          <w:noProof/>
        </w:rPr>
        <w:t xml:space="preserve"> but</w:t>
      </w:r>
      <w:r w:rsidRPr="00C47F8C">
        <w:rPr>
          <w:rFonts w:hint="cs"/>
          <w:bCs/>
          <w:noProof/>
        </w:rPr>
        <w:t xml:space="preserve"> </w:t>
      </w:r>
      <w:r w:rsidRPr="00C47F8C">
        <w:rPr>
          <w:bCs/>
          <w:noProof/>
        </w:rPr>
        <w:t xml:space="preserve">they </w:t>
      </w:r>
      <w:r w:rsidRPr="00C47F8C">
        <w:rPr>
          <w:rFonts w:hint="cs"/>
          <w:bCs/>
          <w:noProof/>
        </w:rPr>
        <w:t xml:space="preserve">did not issue </w:t>
      </w:r>
      <w:r w:rsidRPr="00C47F8C">
        <w:rPr>
          <w:bCs/>
          <w:noProof/>
        </w:rPr>
        <w:t xml:space="preserve">traffic </w:t>
      </w:r>
      <w:r w:rsidRPr="00C47F8C">
        <w:rPr>
          <w:rFonts w:hint="cs"/>
          <w:bCs/>
          <w:noProof/>
        </w:rPr>
        <w:t>tickets; in others, the implementation of the law was not approved by the city council, and therefore</w:t>
      </w:r>
      <w:r w:rsidRPr="00C47F8C">
        <w:rPr>
          <w:bCs/>
          <w:noProof/>
        </w:rPr>
        <w:t>,</w:t>
      </w:r>
      <w:r w:rsidRPr="00C47F8C">
        <w:rPr>
          <w:rFonts w:hint="cs"/>
          <w:bCs/>
          <w:noProof/>
        </w:rPr>
        <w:t xml:space="preserve"> the inspectors were not granted enforcement authority. It was also found that the Ministry of Internal Security did not monitor the extent of the law's implementation in the local authorities. In its response to the </w:t>
      </w:r>
      <w:r w:rsidRPr="00C47F8C">
        <w:rPr>
          <w:bCs/>
          <w:noProof/>
        </w:rPr>
        <w:t>audit</w:t>
      </w:r>
      <w:r w:rsidRPr="00C47F8C">
        <w:rPr>
          <w:rFonts w:hint="cs"/>
          <w:bCs/>
          <w:noProof/>
        </w:rPr>
        <w:t xml:space="preserve">, the Ministry of Internal Security stated that it has neither the tools nor the resources to monitor the law's implementation and that such monitoring is not required by law. In addition, it was found that the </w:t>
      </w:r>
      <w:r w:rsidRPr="00C47F8C">
        <w:rPr>
          <w:bCs/>
          <w:noProof/>
        </w:rPr>
        <w:t>MOT</w:t>
      </w:r>
      <w:r w:rsidRPr="00C47F8C">
        <w:rPr>
          <w:rFonts w:hint="cs"/>
          <w:bCs/>
          <w:noProof/>
        </w:rPr>
        <w:t xml:space="preserve"> had not regulated </w:t>
      </w:r>
      <w:r w:rsidRPr="00C47F8C">
        <w:rPr>
          <w:bCs/>
          <w:noProof/>
        </w:rPr>
        <w:t>granting</w:t>
      </w:r>
      <w:r w:rsidRPr="00C47F8C">
        <w:rPr>
          <w:rFonts w:hint="cs"/>
          <w:bCs/>
          <w:noProof/>
        </w:rPr>
        <w:t xml:space="preserve"> additional powers to </w:t>
      </w:r>
      <w:r w:rsidRPr="00C47F8C">
        <w:rPr>
          <w:bCs/>
          <w:noProof/>
        </w:rPr>
        <w:t>local authorities'</w:t>
      </w:r>
      <w:r w:rsidRPr="00C47F8C">
        <w:rPr>
          <w:rFonts w:hint="cs"/>
          <w:bCs/>
          <w:noProof/>
        </w:rPr>
        <w:t xml:space="preserve"> inspectors, as stipulated in a 2018 government decision</w:t>
      </w:r>
      <w:r>
        <w:rPr>
          <w:noProof/>
        </w:rPr>
        <w:t>.</w:t>
      </w:r>
    </w:p>
    <w:p w:rsidR="00CF1BD1" w:rsidRPr="00E83A18" w:rsidP="00CF1BD1" w14:paraId="1EF898D3" w14:textId="2AFB3EF1">
      <w:pPr>
        <w:pStyle w:val="7191"/>
        <w:bidi w:val="0"/>
        <w:spacing w:before="240"/>
        <w:ind w:left="397"/>
        <w:rPr>
          <w:noProof/>
        </w:rPr>
      </w:pPr>
      <w:r w:rsidRPr="00081B5E">
        <w:rPr>
          <w:rFonts w:hint="cs"/>
          <w:b/>
          <w:bCs/>
          <w:noProof/>
          <w:rtl/>
        </w:rPr>
        <w:drawing>
          <wp:anchor distT="0" distB="0" distL="0" distR="0" simplePos="0" relativeHeight="251753472"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36094138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941381"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81B5E">
        <w:rPr>
          <w:rFonts w:hint="cs"/>
          <w:b/>
          <w:bCs/>
          <w:noProof/>
        </w:rPr>
        <w:t xml:space="preserve">Conversion and </w:t>
      </w:r>
      <w:r w:rsidRPr="00081B5E">
        <w:rPr>
          <w:b/>
          <w:bCs/>
          <w:noProof/>
        </w:rPr>
        <w:t>C</w:t>
      </w:r>
      <w:r w:rsidRPr="00081B5E">
        <w:rPr>
          <w:rFonts w:hint="cs"/>
          <w:b/>
          <w:bCs/>
          <w:noProof/>
        </w:rPr>
        <w:t xml:space="preserve">ancellation of </w:t>
      </w:r>
      <w:r w:rsidRPr="00081B5E">
        <w:rPr>
          <w:b/>
          <w:bCs/>
          <w:noProof/>
        </w:rPr>
        <w:t>T</w:t>
      </w:r>
      <w:r w:rsidRPr="00081B5E">
        <w:rPr>
          <w:rFonts w:hint="cs"/>
          <w:b/>
          <w:bCs/>
          <w:noProof/>
        </w:rPr>
        <w:t xml:space="preserve">raffic </w:t>
      </w:r>
      <w:r w:rsidRPr="00081B5E">
        <w:rPr>
          <w:b/>
          <w:bCs/>
          <w:noProof/>
        </w:rPr>
        <w:t>T</w:t>
      </w:r>
      <w:r w:rsidRPr="00081B5E">
        <w:rPr>
          <w:rFonts w:hint="cs"/>
          <w:b/>
          <w:bCs/>
          <w:noProof/>
        </w:rPr>
        <w:t>ickets</w:t>
      </w:r>
      <w:r w:rsidRPr="00081B5E">
        <w:rPr>
          <w:b/>
          <w:bCs/>
          <w:noProof/>
        </w:rPr>
        <w:t xml:space="preserve"> –</w:t>
      </w:r>
      <w:r w:rsidRPr="00C47F8C">
        <w:rPr>
          <w:rFonts w:hint="cs"/>
          <w:bCs/>
          <w:noProof/>
        </w:rPr>
        <w:t xml:space="preserve"> each year, tens of thousands of requests are filed for converting penalty tickets to warnings (a</w:t>
      </w:r>
      <w:r w:rsidRPr="00C47F8C">
        <w:rPr>
          <w:bCs/>
          <w:noProof/>
        </w:rPr>
        <w:t>bout</w:t>
      </w:r>
      <w:r w:rsidRPr="00C47F8C">
        <w:rPr>
          <w:rFonts w:hint="cs"/>
          <w:bCs/>
          <w:noProof/>
        </w:rPr>
        <w:t xml:space="preserve"> 39,000 on average in 2019</w:t>
      </w:r>
      <w:r w:rsidRPr="00C47F8C">
        <w:rPr>
          <w:noProof/>
        </w:rPr>
        <w:t>–</w:t>
      </w:r>
      <w:r w:rsidRPr="00C47F8C">
        <w:rPr>
          <w:rFonts w:hint="cs"/>
          <w:bCs/>
          <w:noProof/>
        </w:rPr>
        <w:t>2022) and over 100,000 requests for adjudication (a</w:t>
      </w:r>
      <w:r w:rsidRPr="00C47F8C">
        <w:rPr>
          <w:bCs/>
          <w:noProof/>
        </w:rPr>
        <w:t>bout</w:t>
      </w:r>
      <w:r w:rsidRPr="00C47F8C">
        <w:rPr>
          <w:rFonts w:hint="cs"/>
          <w:bCs/>
          <w:noProof/>
        </w:rPr>
        <w:t xml:space="preserve"> 129,000 on average in 2019</w:t>
      </w:r>
      <w:r w:rsidRPr="00C47F8C">
        <w:rPr>
          <w:noProof/>
        </w:rPr>
        <w:t>–</w:t>
      </w:r>
      <w:r w:rsidRPr="00C47F8C">
        <w:rPr>
          <w:rFonts w:hint="cs"/>
          <w:bCs/>
          <w:noProof/>
        </w:rPr>
        <w:t xml:space="preserve">2022). These requests indicate that in some cases, the </w:t>
      </w:r>
      <w:r w:rsidRPr="00C47F8C">
        <w:rPr>
          <w:bCs/>
          <w:noProof/>
        </w:rPr>
        <w:t>recipients of the tickets did not accept the police's decision</w:t>
      </w:r>
      <w:r w:rsidRPr="00C47F8C">
        <w:rPr>
          <w:rFonts w:hint="cs"/>
          <w:bCs/>
          <w:noProof/>
        </w:rPr>
        <w:t xml:space="preserve">, or they believed there was a real chance to change it. Handling </w:t>
      </w:r>
      <w:r w:rsidRPr="00C47F8C">
        <w:rPr>
          <w:bCs/>
          <w:noProof/>
        </w:rPr>
        <w:t>and responding to these requests</w:t>
      </w:r>
      <w:r w:rsidRPr="00C47F8C">
        <w:rPr>
          <w:rFonts w:hint="cs"/>
          <w:bCs/>
          <w:noProof/>
        </w:rPr>
        <w:t xml:space="preserve"> draws significant resources from both the police – to review the requests, decide on appropriate action, and potentially pr</w:t>
      </w:r>
      <w:r w:rsidRPr="00C47F8C">
        <w:rPr>
          <w:bCs/>
          <w:noProof/>
        </w:rPr>
        <w:t>o</w:t>
      </w:r>
      <w:r w:rsidRPr="00C47F8C">
        <w:rPr>
          <w:rFonts w:hint="cs"/>
          <w:bCs/>
          <w:noProof/>
        </w:rPr>
        <w:t xml:space="preserve">ve their stance in court if needed; and from the court system – to adjudicate each case and make rulings. Indeed, a relatively high </w:t>
      </w:r>
      <w:r w:rsidRPr="00C47F8C">
        <w:rPr>
          <w:bCs/>
          <w:noProof/>
        </w:rPr>
        <w:t>rate</w:t>
      </w:r>
      <w:r w:rsidRPr="00C47F8C">
        <w:rPr>
          <w:rFonts w:hint="cs"/>
          <w:bCs/>
          <w:noProof/>
        </w:rPr>
        <w:t xml:space="preserve"> of tickets are ultimately canceled (7% in 2019 and 11% in 2020), yet the police do not have statistical data regarding the reasons for </w:t>
      </w:r>
      <w:r w:rsidRPr="00C47F8C">
        <w:rPr>
          <w:bCs/>
          <w:noProof/>
        </w:rPr>
        <w:t>the</w:t>
      </w:r>
      <w:r w:rsidRPr="00C47F8C">
        <w:rPr>
          <w:rFonts w:hint="cs"/>
          <w:bCs/>
          <w:noProof/>
        </w:rPr>
        <w:t xml:space="preserve"> cancel</w:t>
      </w:r>
      <w:r w:rsidRPr="00C47F8C">
        <w:rPr>
          <w:bCs/>
          <w:noProof/>
        </w:rPr>
        <w:t>lations</w:t>
      </w:r>
      <w:r w:rsidRPr="00C47F8C">
        <w:rPr>
          <w:rFonts w:hint="cs"/>
          <w:bCs/>
          <w:noProof/>
        </w:rPr>
        <w:t>. Moreover, these processes increase the time gap between the commission of the offense and the payment of the fine, thereby weakening the effectiveness of enforcement actions. For example, in 2019</w:t>
      </w:r>
      <w:r w:rsidRPr="00C47F8C">
        <w:rPr>
          <w:noProof/>
        </w:rPr>
        <w:t>–</w:t>
      </w:r>
      <w:r w:rsidRPr="00C47F8C">
        <w:rPr>
          <w:rFonts w:hint="cs"/>
          <w:bCs/>
          <w:noProof/>
        </w:rPr>
        <w:t xml:space="preserve">2022, the </w:t>
      </w:r>
      <w:r w:rsidRPr="00C47F8C">
        <w:rPr>
          <w:bCs/>
          <w:noProof/>
        </w:rPr>
        <w:t xml:space="preserve">length of </w:t>
      </w:r>
      <w:r w:rsidRPr="00C47F8C">
        <w:rPr>
          <w:rFonts w:hint="cs"/>
          <w:bCs/>
          <w:noProof/>
        </w:rPr>
        <w:t>time to pay fines for tickets where requests for conversion or adjudication were filed was 34% longer compared to fines paid for tickets for which no appeal was filed for fines issued manually and 51% longer for fines from A-3 cameras (annual average</w:t>
      </w:r>
      <w:r>
        <w:rPr>
          <w:noProof/>
        </w:rPr>
        <w:t>).</w:t>
      </w:r>
    </w:p>
    <w:p w:rsidR="00CF1BD1" w:rsidP="00CF1BD1" w14:paraId="53F3426E" w14:textId="601F0163">
      <w:pPr>
        <w:pStyle w:val="7191"/>
        <w:bidi w:val="0"/>
        <w:spacing w:before="240"/>
        <w:ind w:left="397"/>
        <w:rPr>
          <w:noProof/>
        </w:rPr>
      </w:pPr>
      <w:r w:rsidRPr="00081B5E">
        <w:rPr>
          <w:rFonts w:hint="cs"/>
          <w:b/>
          <w:bCs/>
          <w:noProof/>
          <w:rtl/>
        </w:rPr>
        <w:drawing>
          <wp:anchor distT="0" distB="0" distL="0" distR="0" simplePos="0" relativeHeight="251754496"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54620334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03344"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81B5E">
        <w:rPr>
          <w:rFonts w:hint="cs"/>
          <w:b/>
          <w:bCs/>
          <w:noProof/>
        </w:rPr>
        <w:t xml:space="preserve">Presumption of </w:t>
      </w:r>
      <w:r w:rsidRPr="00081B5E">
        <w:rPr>
          <w:b/>
          <w:bCs/>
          <w:noProof/>
        </w:rPr>
        <w:t>Real</w:t>
      </w:r>
      <w:r w:rsidRPr="00081B5E">
        <w:rPr>
          <w:rFonts w:hint="cs"/>
          <w:b/>
          <w:bCs/>
          <w:noProof/>
        </w:rPr>
        <w:t>i</w:t>
      </w:r>
      <w:r w:rsidRPr="00081B5E">
        <w:rPr>
          <w:b/>
          <w:bCs/>
          <w:noProof/>
        </w:rPr>
        <w:t>a</w:t>
      </w:r>
      <w:r w:rsidRPr="00081B5E">
        <w:rPr>
          <w:rFonts w:hint="cs"/>
          <w:b/>
          <w:bCs/>
          <w:noProof/>
        </w:rPr>
        <w:t xml:space="preserve">bility for </w:t>
      </w:r>
      <w:r w:rsidRPr="00081B5E">
        <w:rPr>
          <w:b/>
          <w:bCs/>
          <w:noProof/>
        </w:rPr>
        <w:t>E</w:t>
      </w:r>
      <w:r w:rsidRPr="00081B5E">
        <w:rPr>
          <w:rFonts w:hint="cs"/>
          <w:b/>
          <w:bCs/>
          <w:noProof/>
        </w:rPr>
        <w:t xml:space="preserve">lectronic </w:t>
      </w:r>
      <w:r w:rsidRPr="00081B5E">
        <w:rPr>
          <w:b/>
          <w:bCs/>
          <w:noProof/>
        </w:rPr>
        <w:t>E</w:t>
      </w:r>
      <w:r w:rsidRPr="00081B5E">
        <w:rPr>
          <w:rFonts w:hint="cs"/>
          <w:b/>
          <w:bCs/>
          <w:noProof/>
        </w:rPr>
        <w:t xml:space="preserve">nforcement </w:t>
      </w:r>
      <w:r w:rsidRPr="00081B5E">
        <w:rPr>
          <w:b/>
          <w:bCs/>
          <w:noProof/>
        </w:rPr>
        <w:t>D</w:t>
      </w:r>
      <w:r w:rsidRPr="00081B5E">
        <w:rPr>
          <w:rFonts w:hint="cs"/>
          <w:b/>
          <w:bCs/>
          <w:noProof/>
        </w:rPr>
        <w:t>evices</w:t>
      </w:r>
      <w:r w:rsidRPr="00081B5E">
        <w:rPr>
          <w:b/>
          <w:bCs/>
          <w:noProof/>
        </w:rPr>
        <w:t xml:space="preserve"> –</w:t>
      </w:r>
      <w:r w:rsidRPr="00C47F8C">
        <w:rPr>
          <w:rFonts w:hint="cs"/>
          <w:bCs/>
          <w:noProof/>
        </w:rPr>
        <w:t xml:space="preserve"> in the absence of legislation regarding the presumption of reliability of electronic enforcement devices, it is sufficient for a defendant accused of a traffic offense to deny the enforcement instrument's reliability. Even if there is no substance to his claims, the burden of proof regarding the device's reliability falls on the prosecution, potentially leading to costly and lengthy proceedings involving expert testimony from both domestic and international experts. Despite the bill on the presumption of reliability being introduced over 14 years ago, it has not been approved. This situation undermines enforcement effectiveness, increases the burden on the courts and </w:t>
      </w:r>
      <w:r w:rsidRPr="00C47F8C">
        <w:rPr>
          <w:bCs/>
          <w:noProof/>
        </w:rPr>
        <w:t>the police</w:t>
      </w:r>
      <w:r w:rsidRPr="00C47F8C">
        <w:rPr>
          <w:rFonts w:hint="cs"/>
          <w:bCs/>
          <w:noProof/>
        </w:rPr>
        <w:t xml:space="preserve">, and constitutes a barrier to adopting more effective electronic enforcement systems, such as </w:t>
      </w:r>
      <w:r w:rsidRPr="00C47F8C">
        <w:rPr>
          <w:bCs/>
          <w:noProof/>
        </w:rPr>
        <w:t>thos</w:t>
      </w:r>
      <w:r w:rsidRPr="00C47F8C">
        <w:rPr>
          <w:rFonts w:hint="cs"/>
          <w:bCs/>
          <w:noProof/>
        </w:rPr>
        <w:t>e used in many countries worldwide</w:t>
      </w:r>
      <w:r>
        <w:rPr>
          <w:noProof/>
        </w:rPr>
        <w:t>.</w:t>
      </w:r>
    </w:p>
    <w:p w:rsidR="00CF1BD1" w:rsidRPr="00AF3B73" w:rsidP="00CF1BD1" w14:paraId="117D3FEE" w14:textId="77777777">
      <w:pPr>
        <w:pStyle w:val="73512"/>
        <w:bidi w:val="0"/>
        <w:rPr>
          <w:rtl/>
        </w:rPr>
      </w:pPr>
      <w:r>
        <w:rPr>
          <w:rFonts w:hint="cs"/>
          <w:lang w:val="en"/>
        </w:rPr>
        <w:t xml:space="preserve">Judicial and </w:t>
      </w:r>
      <w:r>
        <w:rPr>
          <w:lang w:val="en"/>
        </w:rPr>
        <w:t>P</w:t>
      </w:r>
      <w:r>
        <w:rPr>
          <w:rFonts w:hint="cs"/>
          <w:lang w:val="en"/>
        </w:rPr>
        <w:t xml:space="preserve">enal </w:t>
      </w:r>
      <w:r>
        <w:rPr>
          <w:lang w:val="en"/>
        </w:rPr>
        <w:t>S</w:t>
      </w:r>
      <w:r>
        <w:rPr>
          <w:rFonts w:hint="cs"/>
          <w:lang w:val="en"/>
        </w:rPr>
        <w:t>ystem</w:t>
      </w:r>
    </w:p>
    <w:p w:rsidR="00CF1BD1" w:rsidRPr="00E83A18" w:rsidP="00CF1BD1" w14:paraId="6F85956C" w14:textId="2A47E587">
      <w:pPr>
        <w:pStyle w:val="7191"/>
        <w:bidi w:val="0"/>
        <w:spacing w:before="240"/>
        <w:ind w:left="397"/>
        <w:rPr>
          <w:noProof/>
        </w:rPr>
      </w:pPr>
      <w:r w:rsidRPr="00081B5E">
        <w:rPr>
          <w:rFonts w:hint="cs"/>
          <w:b/>
          <w:bCs/>
          <w:noProof/>
          <w:rtl/>
        </w:rPr>
        <w:drawing>
          <wp:anchor distT="0" distB="0" distL="0" distR="0" simplePos="0" relativeHeight="251755520"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2441723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72329"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81B5E">
        <w:rPr>
          <w:rFonts w:hint="cs"/>
          <w:b/>
          <w:bCs/>
          <w:noProof/>
        </w:rPr>
        <w:t xml:space="preserve">The </w:t>
      </w:r>
      <w:r w:rsidRPr="00081B5E">
        <w:rPr>
          <w:b/>
          <w:bCs/>
          <w:noProof/>
        </w:rPr>
        <w:t>B</w:t>
      </w:r>
      <w:r w:rsidRPr="00081B5E">
        <w:rPr>
          <w:rFonts w:hint="cs"/>
          <w:b/>
          <w:bCs/>
          <w:noProof/>
        </w:rPr>
        <w:t xml:space="preserve">urden on </w:t>
      </w:r>
      <w:r w:rsidRPr="00081B5E">
        <w:rPr>
          <w:b/>
          <w:bCs/>
          <w:noProof/>
        </w:rPr>
        <w:t>T</w:t>
      </w:r>
      <w:r w:rsidRPr="00081B5E">
        <w:rPr>
          <w:rFonts w:hint="cs"/>
          <w:b/>
          <w:bCs/>
          <w:noProof/>
        </w:rPr>
        <w:t xml:space="preserve">raffic </w:t>
      </w:r>
      <w:r w:rsidRPr="00081B5E">
        <w:rPr>
          <w:b/>
          <w:bCs/>
          <w:noProof/>
        </w:rPr>
        <w:t>C</w:t>
      </w:r>
      <w:r w:rsidRPr="00081B5E">
        <w:rPr>
          <w:rFonts w:hint="cs"/>
          <w:b/>
          <w:bCs/>
          <w:noProof/>
        </w:rPr>
        <w:t>ourts</w:t>
      </w:r>
      <w:r w:rsidRPr="00081B5E">
        <w:rPr>
          <w:b/>
          <w:bCs/>
          <w:noProof/>
        </w:rPr>
        <w:t xml:space="preserve"> –</w:t>
      </w:r>
      <w:r w:rsidRPr="00C47F8C">
        <w:rPr>
          <w:rFonts w:hint="cs"/>
          <w:bCs/>
          <w:noProof/>
        </w:rPr>
        <w:t xml:space="preserve"> in 2018</w:t>
      </w:r>
      <w:r w:rsidRPr="00C47F8C">
        <w:rPr>
          <w:noProof/>
        </w:rPr>
        <w:t>–</w:t>
      </w:r>
      <w:r w:rsidRPr="00C47F8C">
        <w:rPr>
          <w:rFonts w:hint="cs"/>
          <w:bCs/>
          <w:noProof/>
        </w:rPr>
        <w:t xml:space="preserve">2021, an average of nearly 137,000 traffic cases were opened </w:t>
      </w:r>
      <w:r w:rsidRPr="00C47F8C">
        <w:rPr>
          <w:bCs/>
          <w:noProof/>
        </w:rPr>
        <w:t>yearly</w:t>
      </w:r>
      <w:r w:rsidRPr="00C47F8C">
        <w:rPr>
          <w:rFonts w:hint="cs"/>
          <w:bCs/>
          <w:noProof/>
        </w:rPr>
        <w:t>. Each judge handles a</w:t>
      </w:r>
      <w:r w:rsidRPr="00C47F8C">
        <w:rPr>
          <w:bCs/>
          <w:noProof/>
        </w:rPr>
        <w:t>bout</w:t>
      </w:r>
      <w:r w:rsidRPr="00C47F8C">
        <w:rPr>
          <w:rFonts w:hint="cs"/>
          <w:bCs/>
          <w:noProof/>
        </w:rPr>
        <w:t xml:space="preserve"> 3,400 cases annually. In addition, until 2020, the number of open cases increased almost </w:t>
      </w:r>
      <w:r w:rsidRPr="00C47F8C">
        <w:rPr>
          <w:bCs/>
          <w:noProof/>
        </w:rPr>
        <w:t>yearly, indicating that the rate of case closures was lower than that</w:t>
      </w:r>
      <w:r w:rsidRPr="00C47F8C">
        <w:rPr>
          <w:rFonts w:hint="cs"/>
          <w:bCs/>
          <w:noProof/>
        </w:rPr>
        <w:t xml:space="preserve"> of new cases being opened. The number of traffic judges (a</w:t>
      </w:r>
      <w:r w:rsidRPr="00C47F8C">
        <w:rPr>
          <w:bCs/>
          <w:noProof/>
        </w:rPr>
        <w:t>bout</w:t>
      </w:r>
      <w:r w:rsidRPr="00C47F8C">
        <w:rPr>
          <w:rFonts w:hint="cs"/>
          <w:bCs/>
          <w:noProof/>
        </w:rPr>
        <w:t xml:space="preserve"> 40) has not increased since 2016; however, the backlog of open cases grew by about 16% in 2016</w:t>
      </w:r>
      <w:r w:rsidRPr="00C47F8C">
        <w:rPr>
          <w:noProof/>
        </w:rPr>
        <w:t>–</w:t>
      </w:r>
      <w:r w:rsidRPr="00C47F8C">
        <w:rPr>
          <w:rFonts w:hint="cs"/>
          <w:bCs/>
          <w:noProof/>
        </w:rPr>
        <w:t>2021, thus increasing the burden on each judge. In 2021, the average case processing time was 5.5 months. Consequently, fines are paid long after the offense, diminishing the effectiveness of the penalties</w:t>
      </w:r>
      <w:r>
        <w:rPr>
          <w:noProof/>
        </w:rPr>
        <w:t>.</w:t>
      </w:r>
    </w:p>
    <w:p w:rsidR="00CF1BD1" w:rsidRPr="00E83A18" w:rsidP="00CF1BD1" w14:paraId="2793C7E0" w14:textId="6FD55BB0">
      <w:pPr>
        <w:pStyle w:val="7191"/>
        <w:bidi w:val="0"/>
        <w:spacing w:before="240"/>
        <w:ind w:left="397"/>
        <w:rPr>
          <w:noProof/>
        </w:rPr>
      </w:pPr>
      <w:r w:rsidRPr="00081B5E">
        <w:rPr>
          <w:rFonts w:hint="cs"/>
          <w:b/>
          <w:bCs/>
          <w:noProof/>
          <w:rtl/>
        </w:rPr>
        <w:drawing>
          <wp:anchor distT="0" distB="0" distL="0" distR="0" simplePos="0" relativeHeight="251756544"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73792648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26489"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81B5E">
        <w:rPr>
          <w:rFonts w:hint="cs"/>
          <w:b/>
          <w:bCs/>
          <w:noProof/>
        </w:rPr>
        <w:t xml:space="preserve">The </w:t>
      </w:r>
      <w:r w:rsidRPr="00081B5E">
        <w:rPr>
          <w:b/>
          <w:bCs/>
          <w:noProof/>
        </w:rPr>
        <w:t>C</w:t>
      </w:r>
      <w:r w:rsidRPr="00081B5E">
        <w:rPr>
          <w:rFonts w:hint="cs"/>
          <w:b/>
          <w:bCs/>
          <w:noProof/>
        </w:rPr>
        <w:t xml:space="preserve">aseload in </w:t>
      </w:r>
      <w:r w:rsidRPr="00081B5E">
        <w:rPr>
          <w:b/>
          <w:bCs/>
          <w:noProof/>
        </w:rPr>
        <w:t>T</w:t>
      </w:r>
      <w:r w:rsidRPr="00081B5E">
        <w:rPr>
          <w:rFonts w:hint="cs"/>
          <w:b/>
          <w:bCs/>
          <w:noProof/>
        </w:rPr>
        <w:t xml:space="preserve">raffic </w:t>
      </w:r>
      <w:r w:rsidRPr="00081B5E">
        <w:rPr>
          <w:b/>
          <w:bCs/>
          <w:noProof/>
        </w:rPr>
        <w:t>C</w:t>
      </w:r>
      <w:r w:rsidRPr="00081B5E">
        <w:rPr>
          <w:rFonts w:hint="cs"/>
          <w:b/>
          <w:bCs/>
          <w:noProof/>
        </w:rPr>
        <w:t xml:space="preserve">ourts by </w:t>
      </w:r>
      <w:r w:rsidRPr="00081B5E">
        <w:rPr>
          <w:b/>
          <w:bCs/>
          <w:noProof/>
        </w:rPr>
        <w:t>D</w:t>
      </w:r>
      <w:r w:rsidRPr="00081B5E">
        <w:rPr>
          <w:rFonts w:hint="cs"/>
          <w:b/>
          <w:bCs/>
          <w:noProof/>
        </w:rPr>
        <w:t>istrict</w:t>
      </w:r>
      <w:r w:rsidRPr="00081B5E">
        <w:rPr>
          <w:b/>
          <w:bCs/>
          <w:noProof/>
        </w:rPr>
        <w:t xml:space="preserve"> –</w:t>
      </w:r>
      <w:r w:rsidRPr="00C47F8C">
        <w:rPr>
          <w:rFonts w:hint="cs"/>
          <w:bCs/>
          <w:noProof/>
        </w:rPr>
        <w:t xml:space="preserve"> there is significant variability between districts in caseload per judge. I</w:t>
      </w:r>
      <w:r w:rsidRPr="00C47F8C">
        <w:rPr>
          <w:bCs/>
          <w:noProof/>
        </w:rPr>
        <w:t>srael's central regions – the central, Tel Aviv, and Jerusalem districts –</w:t>
      </w:r>
      <w:r w:rsidRPr="00C47F8C">
        <w:rPr>
          <w:rFonts w:hint="cs"/>
          <w:bCs/>
          <w:noProof/>
        </w:rPr>
        <w:t xml:space="preserve"> have a substantially lower caseload compared to the north, Haifa, and south districts.</w:t>
      </w:r>
      <w:r w:rsidRPr="00C47F8C">
        <w:rPr>
          <w:bCs/>
          <w:noProof/>
        </w:rPr>
        <w:t xml:space="preserve"> </w:t>
      </w:r>
      <w:r w:rsidRPr="00C47F8C">
        <w:rPr>
          <w:rFonts w:hint="cs"/>
          <w:bCs/>
          <w:noProof/>
        </w:rPr>
        <w:t xml:space="preserve">For example, in 2021, the caseload in the north district was </w:t>
      </w:r>
      <w:r w:rsidRPr="00C47F8C">
        <w:rPr>
          <w:bCs/>
          <w:noProof/>
        </w:rPr>
        <w:t>over</w:t>
      </w:r>
      <w:r w:rsidRPr="00C47F8C">
        <w:rPr>
          <w:rFonts w:hint="cs"/>
          <w:bCs/>
          <w:noProof/>
        </w:rPr>
        <w:t xml:space="preserve"> twice that of the Tel Aviv district (4,857 cases per judge in the north district compared to 2,215 in the Tel Aviv district). Additionally, from 2019 to 2021, the national caseload increased by </w:t>
      </w:r>
      <w:r w:rsidRPr="00C47F8C">
        <w:rPr>
          <w:bCs/>
          <w:noProof/>
        </w:rPr>
        <w:t>about</w:t>
      </w:r>
      <w:r w:rsidRPr="00C47F8C">
        <w:rPr>
          <w:rFonts w:hint="cs"/>
          <w:bCs/>
          <w:noProof/>
        </w:rPr>
        <w:t xml:space="preserve"> 4.4%, but this increase was not uniform across districts. </w:t>
      </w:r>
      <w:r w:rsidRPr="00C47F8C">
        <w:rPr>
          <w:bCs/>
          <w:noProof/>
        </w:rPr>
        <w:t>The caseload decreased in the central and Jerusalem districts</w:t>
      </w:r>
      <w:r w:rsidRPr="00C47F8C">
        <w:rPr>
          <w:rFonts w:hint="cs"/>
          <w:bCs/>
          <w:noProof/>
        </w:rPr>
        <w:t xml:space="preserve">, whereas in the north, Tel Aviv, and south districts, the caseload increased. In particular, the north and south districts </w:t>
      </w:r>
      <w:r w:rsidRPr="00C47F8C">
        <w:rPr>
          <w:bCs/>
          <w:noProof/>
        </w:rPr>
        <w:t>experienced</w:t>
      </w:r>
      <w:r w:rsidRPr="00C47F8C">
        <w:rPr>
          <w:rFonts w:hint="cs"/>
          <w:bCs/>
          <w:noProof/>
        </w:rPr>
        <w:t xml:space="preserve"> a significant rise in caseload per judge, a</w:t>
      </w:r>
      <w:r w:rsidRPr="00C47F8C">
        <w:rPr>
          <w:bCs/>
          <w:noProof/>
        </w:rPr>
        <w:t>bout</w:t>
      </w:r>
      <w:r w:rsidRPr="00C47F8C">
        <w:rPr>
          <w:rFonts w:hint="cs"/>
          <w:bCs/>
          <w:noProof/>
        </w:rPr>
        <w:t xml:space="preserve"> 20% (for instance, in the south district, the caseload increased from 3,613 to 4,360 cases per judge</w:t>
      </w:r>
      <w:r>
        <w:rPr>
          <w:noProof/>
        </w:rPr>
        <w:t>).</w:t>
      </w:r>
    </w:p>
    <w:p w:rsidR="00CF1BD1" w:rsidRPr="00E83A18" w:rsidP="00CF1BD1" w14:paraId="05B5A094" w14:textId="6834DF35">
      <w:pPr>
        <w:pStyle w:val="7191"/>
        <w:bidi w:val="0"/>
        <w:spacing w:before="240"/>
        <w:ind w:left="397"/>
        <w:rPr>
          <w:noProof/>
        </w:rPr>
      </w:pPr>
      <w:r w:rsidRPr="00081B5E">
        <w:rPr>
          <w:rFonts w:hint="cs"/>
          <w:b/>
          <w:bCs/>
          <w:noProof/>
          <w:rtl/>
        </w:rPr>
        <w:drawing>
          <wp:anchor distT="0" distB="0" distL="0" distR="0" simplePos="0" relativeHeight="251757568"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4515159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515923"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81B5E">
        <w:rPr>
          <w:b/>
          <w:bCs/>
          <w:noProof/>
        </w:rPr>
        <w:t>R</w:t>
      </w:r>
      <w:r w:rsidRPr="00081B5E">
        <w:rPr>
          <w:rFonts w:hint="cs"/>
          <w:b/>
          <w:bCs/>
          <w:noProof/>
        </w:rPr>
        <w:t xml:space="preserve">equests for </w:t>
      </w:r>
      <w:r w:rsidRPr="00081B5E">
        <w:rPr>
          <w:b/>
          <w:bCs/>
          <w:noProof/>
        </w:rPr>
        <w:t>T</w:t>
      </w:r>
      <w:r w:rsidRPr="00081B5E">
        <w:rPr>
          <w:rFonts w:hint="cs"/>
          <w:b/>
          <w:bCs/>
          <w:noProof/>
        </w:rPr>
        <w:t>rial</w:t>
      </w:r>
      <w:r w:rsidRPr="00081B5E">
        <w:rPr>
          <w:b/>
          <w:bCs/>
          <w:noProof/>
        </w:rPr>
        <w:t xml:space="preserve"> –</w:t>
      </w:r>
      <w:r w:rsidRPr="00C47F8C">
        <w:rPr>
          <w:rFonts w:hint="cs"/>
          <w:bCs/>
          <w:noProof/>
        </w:rPr>
        <w:t xml:space="preserve"> the </w:t>
      </w:r>
      <w:r w:rsidRPr="00C47F8C">
        <w:rPr>
          <w:bCs/>
          <w:noProof/>
        </w:rPr>
        <w:t>rate</w:t>
      </w:r>
      <w:r w:rsidRPr="00C47F8C">
        <w:rPr>
          <w:rFonts w:hint="cs"/>
          <w:bCs/>
          <w:noProof/>
        </w:rPr>
        <w:t xml:space="preserve"> of cases resulting from </w:t>
      </w:r>
      <w:r w:rsidRPr="00C47F8C">
        <w:rPr>
          <w:bCs/>
          <w:noProof/>
        </w:rPr>
        <w:t xml:space="preserve">requests for trial </w:t>
      </w:r>
      <w:r w:rsidRPr="00C47F8C">
        <w:rPr>
          <w:rFonts w:hint="cs"/>
          <w:bCs/>
          <w:noProof/>
        </w:rPr>
        <w:t>has increased over the years, from 23% in 2015 to 59% in 2019. The advancement of long-term solutions to address the issue of court congestion and the time gap between committing a traffic violation and being penalized for it has halted. For example, discussions on the bill to convert "elective violation offenses</w:t>
      </w:r>
      <w:r w:rsidRPr="00C47F8C">
        <w:rPr>
          <w:noProof/>
        </w:rPr>
        <w:t>"</w:t>
      </w:r>
      <w:r w:rsidRPr="00C47F8C">
        <w:rPr>
          <w:rFonts w:hint="cs"/>
          <w:bCs/>
          <w:noProof/>
        </w:rPr>
        <w:t xml:space="preserve"> into administrative infractions have not concluded, and discussions regarding the presumption of reliability for electronic enforcement devices were halted in 2017. Consequently, court congestion continues to grow, legal proceedings are getting longer, many cases are being dismissed, leniency is granted to drivers (mainly through the cancellation of point penalties), and the burden of proof for traffic offenses is placed on the police</w:t>
      </w:r>
      <w:r>
        <w:rPr>
          <w:noProof/>
        </w:rPr>
        <w:t>.</w:t>
      </w:r>
    </w:p>
    <w:p w:rsidR="00CF1BD1" w:rsidRPr="00081B5E" w:rsidP="00CF1BD1" w14:paraId="78D4BB79" w14:textId="30AA8973">
      <w:pPr>
        <w:pStyle w:val="7191"/>
        <w:bidi w:val="0"/>
        <w:spacing w:before="240"/>
        <w:ind w:left="397"/>
        <w:rPr>
          <w:b/>
          <w:bCs/>
          <w:noProof/>
        </w:rPr>
      </w:pPr>
      <w:r w:rsidRPr="00081B5E">
        <w:rPr>
          <w:rFonts w:hint="cs"/>
          <w:b/>
          <w:bCs/>
          <w:noProof/>
          <w:rtl/>
        </w:rPr>
        <w:drawing>
          <wp:anchor distT="0" distB="0" distL="0" distR="0" simplePos="0" relativeHeight="251758592"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02862498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624981"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81B5E">
        <w:rPr>
          <w:rFonts w:hint="cs"/>
          <w:b/>
          <w:bCs/>
          <w:noProof/>
        </w:rPr>
        <w:t xml:space="preserve">Police </w:t>
      </w:r>
      <w:r w:rsidRPr="00081B5E">
        <w:rPr>
          <w:b/>
          <w:bCs/>
          <w:noProof/>
        </w:rPr>
        <w:t>T</w:t>
      </w:r>
      <w:r w:rsidRPr="00081B5E">
        <w:rPr>
          <w:rFonts w:hint="cs"/>
          <w:b/>
          <w:bCs/>
          <w:noProof/>
        </w:rPr>
        <w:t xml:space="preserve">raffic </w:t>
      </w:r>
      <w:r w:rsidRPr="00081B5E">
        <w:rPr>
          <w:b/>
          <w:bCs/>
          <w:noProof/>
        </w:rPr>
        <w:t>P</w:t>
      </w:r>
      <w:r w:rsidRPr="00081B5E">
        <w:rPr>
          <w:rFonts w:hint="cs"/>
          <w:b/>
          <w:bCs/>
          <w:noProof/>
        </w:rPr>
        <w:t xml:space="preserve">rosecution </w:t>
      </w:r>
      <w:r w:rsidRPr="00081B5E">
        <w:rPr>
          <w:b/>
          <w:bCs/>
          <w:noProof/>
        </w:rPr>
        <w:t>D</w:t>
      </w:r>
      <w:r w:rsidRPr="00081B5E">
        <w:rPr>
          <w:rFonts w:hint="cs"/>
          <w:b/>
          <w:bCs/>
          <w:noProof/>
        </w:rPr>
        <w:t>epartment</w:t>
      </w:r>
    </w:p>
    <w:p w:rsidR="00CF1BD1" w:rsidRPr="00A41DA4" w:rsidP="00CF1BD1" w14:paraId="14290938" w14:textId="77777777">
      <w:pPr>
        <w:pStyle w:val="7191"/>
        <w:numPr>
          <w:ilvl w:val="0"/>
          <w:numId w:val="38"/>
        </w:numPr>
        <w:bidi w:val="0"/>
        <w:spacing w:before="240"/>
        <w:rPr>
          <w:noProof/>
        </w:rPr>
      </w:pPr>
      <w:r w:rsidRPr="00081B5E">
        <w:rPr>
          <w:rFonts w:hint="cs"/>
          <w:b/>
          <w:bCs/>
          <w:noProof/>
        </w:rPr>
        <w:t>Personnel</w:t>
      </w:r>
      <w:r w:rsidRPr="00081B5E">
        <w:rPr>
          <w:b/>
          <w:bCs/>
          <w:noProof/>
        </w:rPr>
        <w:t xml:space="preserve"> –</w:t>
      </w:r>
      <w:r w:rsidRPr="00CF1BD1">
        <w:rPr>
          <w:rFonts w:hint="cs"/>
          <w:noProof/>
        </w:rPr>
        <w:t xml:space="preserve"> the increase in the number of traffic cases (from </w:t>
      </w:r>
      <w:r w:rsidRPr="00CF1BD1">
        <w:rPr>
          <w:noProof/>
        </w:rPr>
        <w:t xml:space="preserve">about </w:t>
      </w:r>
      <w:r w:rsidRPr="00CF1BD1">
        <w:rPr>
          <w:rFonts w:hint="cs"/>
          <w:noProof/>
        </w:rPr>
        <w:t>104,000 in 2014 to a</w:t>
      </w:r>
      <w:r w:rsidRPr="00CF1BD1">
        <w:rPr>
          <w:noProof/>
        </w:rPr>
        <w:t>bout</w:t>
      </w:r>
      <w:r w:rsidRPr="00CF1BD1">
        <w:rPr>
          <w:rFonts w:hint="cs"/>
          <w:noProof/>
        </w:rPr>
        <w:t xml:space="preserve"> 135,000 in 2021) and </w:t>
      </w:r>
      <w:r w:rsidRPr="00CF1BD1">
        <w:rPr>
          <w:noProof/>
        </w:rPr>
        <w:t>not</w:t>
      </w:r>
      <w:r w:rsidRPr="00CF1BD1">
        <w:rPr>
          <w:rFonts w:hint="cs"/>
          <w:noProof/>
        </w:rPr>
        <w:t xml:space="preserve"> increas</w:t>
      </w:r>
      <w:r w:rsidRPr="00CF1BD1">
        <w:rPr>
          <w:noProof/>
        </w:rPr>
        <w:t>ing</w:t>
      </w:r>
      <w:r w:rsidRPr="00CF1BD1">
        <w:rPr>
          <w:rFonts w:hint="cs"/>
          <w:noProof/>
        </w:rPr>
        <w:t xml:space="preserve"> the number of traffic prosecutors in the police (as of 2022, there are 137 positions, ten of which are unfilled) reduc</w:t>
      </w:r>
      <w:r w:rsidRPr="00CF1BD1">
        <w:rPr>
          <w:noProof/>
        </w:rPr>
        <w:t>ed</w:t>
      </w:r>
      <w:r w:rsidRPr="00CF1BD1">
        <w:rPr>
          <w:rFonts w:hint="cs"/>
          <w:noProof/>
        </w:rPr>
        <w:t xml:space="preserve"> the number of prosecutors present on traffic court hearing days. This situation undermines the proper judicial process, creates a heavy workload, and results in long </w:t>
      </w:r>
      <w:r w:rsidRPr="00CF1BD1">
        <w:rPr>
          <w:noProof/>
        </w:rPr>
        <w:t>response tim</w:t>
      </w:r>
      <w:r w:rsidRPr="00CF1BD1">
        <w:rPr>
          <w:rFonts w:hint="cs"/>
          <w:noProof/>
        </w:rPr>
        <w:t>es.</w:t>
      </w:r>
    </w:p>
    <w:p w:rsidR="00CF1BD1" w:rsidP="00CF1BD1" w14:paraId="0553715B" w14:textId="77777777">
      <w:pPr>
        <w:pStyle w:val="7191"/>
        <w:numPr>
          <w:ilvl w:val="0"/>
          <w:numId w:val="38"/>
        </w:numPr>
        <w:bidi w:val="0"/>
        <w:spacing w:before="240"/>
        <w:rPr>
          <w:noProof/>
        </w:rPr>
      </w:pPr>
      <w:r w:rsidRPr="00081B5E">
        <w:rPr>
          <w:rFonts w:hint="cs"/>
          <w:b/>
          <w:bCs/>
          <w:noProof/>
        </w:rPr>
        <w:t xml:space="preserve">Interfaces </w:t>
      </w:r>
      <w:r w:rsidRPr="00081B5E">
        <w:rPr>
          <w:b/>
          <w:bCs/>
          <w:noProof/>
        </w:rPr>
        <w:t>B</w:t>
      </w:r>
      <w:r w:rsidRPr="00081B5E">
        <w:rPr>
          <w:rFonts w:hint="cs"/>
          <w:b/>
          <w:bCs/>
          <w:noProof/>
        </w:rPr>
        <w:t xml:space="preserve">etween the </w:t>
      </w:r>
      <w:r w:rsidRPr="00081B5E">
        <w:rPr>
          <w:b/>
          <w:bCs/>
          <w:noProof/>
        </w:rPr>
        <w:t>P</w:t>
      </w:r>
      <w:r w:rsidRPr="00081B5E">
        <w:rPr>
          <w:rFonts w:hint="cs"/>
          <w:b/>
          <w:bCs/>
          <w:noProof/>
        </w:rPr>
        <w:t xml:space="preserve">olice and the </w:t>
      </w:r>
      <w:r w:rsidRPr="00081B5E">
        <w:rPr>
          <w:b/>
          <w:bCs/>
          <w:noProof/>
        </w:rPr>
        <w:t>C</w:t>
      </w:r>
      <w:r w:rsidRPr="00081B5E">
        <w:rPr>
          <w:rFonts w:hint="cs"/>
          <w:b/>
          <w:bCs/>
          <w:noProof/>
        </w:rPr>
        <w:t>ourts</w:t>
      </w:r>
      <w:r w:rsidRPr="00081B5E">
        <w:rPr>
          <w:b/>
          <w:bCs/>
          <w:noProof/>
        </w:rPr>
        <w:t xml:space="preserve"> –</w:t>
      </w:r>
      <w:r w:rsidRPr="00CF1BD1">
        <w:rPr>
          <w:rFonts w:hint="cs"/>
          <w:noProof/>
        </w:rPr>
        <w:t xml:space="preserve"> gaps exist in some computer interfaces between the police prosecution and the court system. Due to these gaps, changes in the offense after an indictment has been filed are sometimes not reported to the police, leading to inaccurate entries in the criminal record. The police do not receive information on the date the verdict is delivered to the defendant or the date the driver's license is surrendered to the court, compelling the police to proactively contact the court to verify that the defendant has been notified of the disqualification or to check whether the disqualification period has ended. Information on appeal rulings is not automatically transmitted to the police, leaving the prosecution dependent on the information being transmitted by the prosecutor handling the case. Changes in verdicts or delays in executing a sentence are not communicated to the police as required.</w:t>
      </w:r>
    </w:p>
    <w:p w:rsidR="00CF1BD1" w:rsidRPr="00AF3B73" w:rsidP="00CF1BD1" w14:paraId="71DACDCC" w14:textId="77777777">
      <w:pPr>
        <w:pStyle w:val="7191"/>
        <w:numPr>
          <w:ilvl w:val="0"/>
          <w:numId w:val="38"/>
        </w:numPr>
        <w:bidi w:val="0"/>
        <w:spacing w:before="240"/>
        <w:rPr>
          <w:noProof/>
          <w:rtl/>
        </w:rPr>
      </w:pPr>
      <w:r w:rsidRPr="00081B5E">
        <w:rPr>
          <w:rFonts w:hint="cs"/>
          <w:b/>
          <w:bCs/>
          <w:noProof/>
        </w:rPr>
        <w:t xml:space="preserve">Interfaces </w:t>
      </w:r>
      <w:r w:rsidRPr="00081B5E">
        <w:rPr>
          <w:b/>
          <w:bCs/>
          <w:noProof/>
        </w:rPr>
        <w:t>B</w:t>
      </w:r>
      <w:r w:rsidRPr="00081B5E">
        <w:rPr>
          <w:rFonts w:hint="cs"/>
          <w:b/>
          <w:bCs/>
          <w:noProof/>
        </w:rPr>
        <w:t xml:space="preserve">etween the </w:t>
      </w:r>
      <w:r w:rsidRPr="00081B5E">
        <w:rPr>
          <w:b/>
          <w:bCs/>
          <w:noProof/>
        </w:rPr>
        <w:t>P</w:t>
      </w:r>
      <w:r w:rsidRPr="00081B5E">
        <w:rPr>
          <w:rFonts w:hint="cs"/>
          <w:b/>
          <w:bCs/>
          <w:noProof/>
        </w:rPr>
        <w:t xml:space="preserve">olice and the </w:t>
      </w:r>
      <w:r w:rsidRPr="00081B5E">
        <w:rPr>
          <w:b/>
          <w:bCs/>
          <w:noProof/>
        </w:rPr>
        <w:t>MOT –</w:t>
      </w:r>
      <w:r w:rsidRPr="00CF1BD1">
        <w:rPr>
          <w:rFonts w:hint="cs"/>
          <w:noProof/>
        </w:rPr>
        <w:t xml:space="preserve"> at present, the police prosecution does not file indictments in cases where a driver is found driving while disqualified under the point system because the </w:t>
      </w:r>
      <w:r w:rsidRPr="00CF1BD1">
        <w:rPr>
          <w:noProof/>
        </w:rPr>
        <w:t>Licensing Division</w:t>
      </w:r>
      <w:r w:rsidRPr="00CF1BD1">
        <w:rPr>
          <w:rFonts w:hint="cs"/>
          <w:noProof/>
        </w:rPr>
        <w:t xml:space="preserve"> does not </w:t>
      </w:r>
      <w:r w:rsidRPr="00CF1BD1">
        <w:rPr>
          <w:noProof/>
        </w:rPr>
        <w:t>adequate</w:t>
      </w:r>
      <w:r w:rsidRPr="00CF1BD1">
        <w:rPr>
          <w:rFonts w:hint="cs"/>
          <w:noProof/>
        </w:rPr>
        <w:t xml:space="preserve">ly document the disqualification process conducted by it. In addition, </w:t>
      </w:r>
      <w:r w:rsidRPr="00CF1BD1">
        <w:rPr>
          <w:noProof/>
        </w:rPr>
        <w:t>no technological interfaces</w:t>
      </w:r>
      <w:r w:rsidRPr="00CF1BD1">
        <w:rPr>
          <w:rFonts w:hint="cs"/>
          <w:noProof/>
        </w:rPr>
        <w:t xml:space="preserve"> enable the transfer of investigation materials, data, and approval for surrender from the Licensing Division at the </w:t>
      </w:r>
      <w:r w:rsidRPr="00CF1BD1">
        <w:rPr>
          <w:noProof/>
        </w:rPr>
        <w:t>MOT</w:t>
      </w:r>
      <w:r w:rsidRPr="00CF1BD1">
        <w:rPr>
          <w:rFonts w:hint="cs"/>
          <w:noProof/>
        </w:rPr>
        <w:t xml:space="preserve"> to the police.</w:t>
      </w:r>
    </w:p>
    <w:p w:rsidR="00CF1BD1" w:rsidRPr="00E83A18" w:rsidP="00CF1BD1" w14:paraId="4F9FCDC2" w14:textId="5FE74BAF">
      <w:pPr>
        <w:pStyle w:val="7191"/>
        <w:bidi w:val="0"/>
        <w:spacing w:before="240"/>
        <w:ind w:left="397"/>
        <w:rPr>
          <w:noProof/>
        </w:rPr>
      </w:pPr>
      <w:r w:rsidRPr="00081B5E">
        <w:rPr>
          <w:rFonts w:hint="cs"/>
          <w:b/>
          <w:bCs/>
          <w:noProof/>
          <w:rtl/>
        </w:rPr>
        <w:drawing>
          <wp:anchor distT="0" distB="0" distL="0" distR="0" simplePos="0" relativeHeight="251759616"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204586955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869554"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81B5E">
        <w:rPr>
          <w:rFonts w:hint="cs"/>
          <w:b/>
          <w:bCs/>
          <w:noProof/>
        </w:rPr>
        <w:t xml:space="preserve">Point </w:t>
      </w:r>
      <w:r w:rsidRPr="00081B5E">
        <w:rPr>
          <w:b/>
          <w:bCs/>
          <w:noProof/>
        </w:rPr>
        <w:t>S</w:t>
      </w:r>
      <w:r w:rsidRPr="00081B5E">
        <w:rPr>
          <w:rFonts w:hint="cs"/>
          <w:b/>
          <w:bCs/>
          <w:noProof/>
        </w:rPr>
        <w:t>ystem</w:t>
      </w:r>
      <w:r w:rsidRPr="00081B5E">
        <w:rPr>
          <w:b/>
          <w:bCs/>
          <w:noProof/>
        </w:rPr>
        <w:t xml:space="preserve"> –</w:t>
      </w:r>
      <w:r w:rsidRPr="00C47F8C">
        <w:rPr>
          <w:rFonts w:hint="cs"/>
          <w:bCs/>
          <w:noProof/>
        </w:rPr>
        <w:t xml:space="preserve"> the point system implemented in Israel is perceived as more complex </w:t>
      </w:r>
      <w:r w:rsidRPr="00C47F8C">
        <w:rPr>
          <w:bCs/>
          <w:noProof/>
        </w:rPr>
        <w:t>than</w:t>
      </w:r>
      <w:r w:rsidRPr="00C47F8C">
        <w:rPr>
          <w:rFonts w:hint="cs"/>
          <w:bCs/>
          <w:noProof/>
        </w:rPr>
        <w:t xml:space="preserve"> those in other countries in the number of offenses included, the method of calculating points, and the variety of corrective measures</w:t>
      </w:r>
      <w:r>
        <w:rPr>
          <w:noProof/>
        </w:rPr>
        <w:t>.</w:t>
      </w:r>
    </w:p>
    <w:p w:rsidR="00CF1BD1" w:rsidRPr="00E83A18" w:rsidP="00CF1BD1" w14:paraId="2949985B" w14:textId="40B47989">
      <w:pPr>
        <w:pStyle w:val="7191"/>
        <w:bidi w:val="0"/>
        <w:spacing w:before="240"/>
        <w:ind w:left="397"/>
        <w:rPr>
          <w:noProof/>
        </w:rPr>
      </w:pPr>
      <w:r w:rsidRPr="00081B5E">
        <w:rPr>
          <w:rFonts w:hint="cs"/>
          <w:b/>
          <w:bCs/>
          <w:noProof/>
          <w:rtl/>
        </w:rPr>
        <w:drawing>
          <wp:anchor distT="0" distB="0" distL="0" distR="0" simplePos="0" relativeHeight="251760640" behindDoc="0" locked="0" layoutInCell="1" allowOverlap="1">
            <wp:simplePos x="0" y="0"/>
            <wp:positionH relativeFrom="column">
              <wp:posOffset>15875</wp:posOffset>
            </wp:positionH>
            <wp:positionV relativeFrom="paragraph">
              <wp:posOffset>12409</wp:posOffset>
            </wp:positionV>
            <wp:extent cx="162000" cy="162000"/>
            <wp:effectExtent l="0" t="0" r="3175" b="3175"/>
            <wp:wrapSquare wrapText="bothSides"/>
            <wp:docPr id="155045048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50487"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81B5E">
        <w:rPr>
          <w:rFonts w:hint="cs"/>
          <w:b/>
          <w:bCs/>
          <w:noProof/>
        </w:rPr>
        <w:t xml:space="preserve">Defensive </w:t>
      </w:r>
      <w:r w:rsidRPr="00081B5E">
        <w:rPr>
          <w:b/>
          <w:bCs/>
          <w:noProof/>
        </w:rPr>
        <w:t>D</w:t>
      </w:r>
      <w:r w:rsidRPr="00081B5E">
        <w:rPr>
          <w:rFonts w:hint="cs"/>
          <w:b/>
          <w:bCs/>
          <w:noProof/>
        </w:rPr>
        <w:t xml:space="preserve">riving </w:t>
      </w:r>
      <w:r w:rsidRPr="00081B5E">
        <w:rPr>
          <w:b/>
          <w:bCs/>
          <w:noProof/>
        </w:rPr>
        <w:t>C</w:t>
      </w:r>
      <w:r w:rsidRPr="00081B5E">
        <w:rPr>
          <w:rFonts w:hint="cs"/>
          <w:b/>
          <w:bCs/>
          <w:noProof/>
        </w:rPr>
        <w:t xml:space="preserve">ourses </w:t>
      </w:r>
      <w:r w:rsidRPr="00081B5E">
        <w:rPr>
          <w:b/>
          <w:bCs/>
          <w:noProof/>
        </w:rPr>
        <w:t>–</w:t>
      </w:r>
      <w:r w:rsidRPr="00C47F8C">
        <w:rPr>
          <w:noProof/>
        </w:rPr>
        <w:t xml:space="preserve"> </w:t>
      </w:r>
      <w:r w:rsidRPr="00C47F8C">
        <w:rPr>
          <w:rFonts w:hint="cs"/>
          <w:bCs/>
          <w:noProof/>
        </w:rPr>
        <w:t>the success rate of participants completing defensive driving courses has decreased, from a</w:t>
      </w:r>
      <w:r w:rsidRPr="00C47F8C">
        <w:rPr>
          <w:bCs/>
          <w:noProof/>
        </w:rPr>
        <w:t>bout</w:t>
      </w:r>
      <w:r w:rsidRPr="00C47F8C">
        <w:rPr>
          <w:rFonts w:hint="cs"/>
          <w:bCs/>
          <w:noProof/>
        </w:rPr>
        <w:t xml:space="preserve"> 92% in 2017 to </w:t>
      </w:r>
      <w:r w:rsidRPr="00C47F8C">
        <w:rPr>
          <w:bCs/>
          <w:noProof/>
        </w:rPr>
        <w:t>about</w:t>
      </w:r>
      <w:r w:rsidRPr="00C47F8C">
        <w:rPr>
          <w:rFonts w:hint="cs"/>
          <w:bCs/>
          <w:noProof/>
        </w:rPr>
        <w:t xml:space="preserve"> 79% in 2021. A</w:t>
      </w:r>
      <w:r w:rsidRPr="00C47F8C">
        <w:rPr>
          <w:bCs/>
          <w:noProof/>
        </w:rPr>
        <w:t>n</w:t>
      </w:r>
      <w:r w:rsidRPr="00C47F8C">
        <w:rPr>
          <w:rFonts w:hint="cs"/>
          <w:bCs/>
          <w:noProof/>
        </w:rPr>
        <w:t xml:space="preserve"> </w:t>
      </w:r>
      <w:r w:rsidRPr="00C47F8C">
        <w:rPr>
          <w:bCs/>
          <w:noProof/>
        </w:rPr>
        <w:t>MOT</w:t>
      </w:r>
      <w:r w:rsidRPr="00C47F8C">
        <w:rPr>
          <w:rFonts w:hint="cs"/>
          <w:bCs/>
          <w:noProof/>
        </w:rPr>
        <w:t xml:space="preserve"> study </w:t>
      </w:r>
      <w:r w:rsidRPr="00C47F8C">
        <w:rPr>
          <w:bCs/>
          <w:noProof/>
        </w:rPr>
        <w:t xml:space="preserve">in </w:t>
      </w:r>
      <w:r w:rsidRPr="00C47F8C">
        <w:rPr>
          <w:rFonts w:hint="cs"/>
          <w:bCs/>
          <w:noProof/>
        </w:rPr>
        <w:t>2017 indicated that improvements in the content and teaching methods of defensive driving courses are needed to contrib</w:t>
      </w:r>
      <w:r w:rsidRPr="00C47F8C">
        <w:rPr>
          <w:bCs/>
          <w:noProof/>
        </w:rPr>
        <w:t>ute</w:t>
      </w:r>
      <w:r w:rsidRPr="00C47F8C">
        <w:rPr>
          <w:rFonts w:hint="cs"/>
          <w:bCs/>
          <w:noProof/>
        </w:rPr>
        <w:t xml:space="preserve"> to prevent traffic violations. For example, the course does not include practical examples using a simulator or media tools. The State Comptroller found that as of the conclusion of the audit, the recommended changes had not been implemented</w:t>
      </w:r>
      <w:r>
        <w:rPr>
          <w:noProof/>
        </w:rPr>
        <w:t>.</w:t>
      </w:r>
    </w:p>
    <w:p w:rsidR="000F0B63" w:rsidRPr="00E83A18" w:rsidP="000F0B63" w14:paraId="5C8AD18C" w14:textId="77777777">
      <w:pPr>
        <w:pStyle w:val="7191"/>
        <w:bidi w:val="0"/>
        <w:spacing w:before="240"/>
        <w:ind w:left="397"/>
        <w:rPr>
          <w:noProof/>
        </w:rPr>
      </w:pPr>
    </w:p>
    <w:p w:rsidR="00CF1BD1" w:rsidP="00CF1BD1" w14:paraId="060144B3" w14:textId="77777777">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12740666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66652" name="Picture 10"/>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CF1BD1" w:rsidRPr="00902625" w:rsidP="00CF1BD1" w14:paraId="79B533E8" w14:textId="77777777">
      <w:pPr>
        <w:bidi w:val="0"/>
        <w:spacing w:before="120" w:after="240" w:line="240" w:lineRule="atLeast"/>
        <w:rPr>
          <w:rFonts w:ascii="Tahoma" w:hAnsi="Tahoma" w:cs="Tahoma"/>
          <w:b/>
          <w:bCs/>
          <w:color w:val="00305F"/>
          <w:sz w:val="32"/>
          <w:szCs w:val="32"/>
          <w:rtl/>
        </w:rPr>
      </w:pPr>
      <w:r w:rsidRPr="00AE5F94">
        <w:rPr>
          <w:rFonts w:ascii="Tahoma" w:hAnsi="Tahoma" w:cs="Tahoma"/>
          <w:b/>
          <w:bCs/>
          <w:color w:val="00305F"/>
          <w:sz w:val="32"/>
          <w:szCs w:val="32"/>
        </w:rPr>
        <w:t xml:space="preserve">Key </w:t>
      </w:r>
      <w:r>
        <w:rPr>
          <w:rFonts w:ascii="Tahoma" w:hAnsi="Tahoma" w:cs="Tahoma"/>
          <w:b/>
          <w:bCs/>
          <w:color w:val="00305F"/>
          <w:sz w:val="32"/>
          <w:szCs w:val="32"/>
        </w:rPr>
        <w:t>R</w:t>
      </w:r>
      <w:r w:rsidRPr="00AE5F94">
        <w:rPr>
          <w:rFonts w:ascii="Tahoma" w:hAnsi="Tahoma" w:cs="Tahoma"/>
          <w:b/>
          <w:bCs/>
          <w:color w:val="00305F"/>
          <w:sz w:val="32"/>
          <w:szCs w:val="32"/>
        </w:rPr>
        <w:t>ecommendations</w:t>
      </w:r>
    </w:p>
    <w:p w:rsidR="00CF1BD1" w:rsidP="00CF1BD1" w14:paraId="379543EB" w14:textId="363A45C8">
      <w:pPr>
        <w:pStyle w:val="ListParagraph"/>
        <w:numPr>
          <w:ilvl w:val="0"/>
          <w:numId w:val="0"/>
        </w:numPr>
        <w:bidi w:val="0"/>
        <w:spacing w:after="180" w:line="260" w:lineRule="exact"/>
        <w:ind w:left="397"/>
        <w:rPr>
          <w:noProof/>
          <w:spacing w:val="-4"/>
          <w:sz w:val="18"/>
          <w:szCs w:val="18"/>
        </w:rPr>
      </w:pPr>
      <w:r w:rsidRPr="0058257B">
        <w:rPr>
          <w:noProof/>
          <w:spacing w:val="-4"/>
          <w:sz w:val="18"/>
          <w:szCs w:val="18"/>
        </w:rPr>
        <w:drawing>
          <wp:anchor distT="0" distB="3600450" distL="114300" distR="114300" simplePos="0" relativeHeight="251761664"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500599435" name="תמונה 33"/>
            <wp:cNvGraphicFramePr/>
            <a:graphic xmlns:a="http://schemas.openxmlformats.org/drawingml/2006/main">
              <a:graphicData uri="http://schemas.openxmlformats.org/drawingml/2006/picture">
                <pic:pic xmlns:pic="http://schemas.openxmlformats.org/drawingml/2006/picture">
                  <pic:nvPicPr>
                    <pic:cNvPr id="500599435"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1BD1">
        <w:rPr>
          <w:rFonts w:hint="cs"/>
          <w:noProof/>
          <w:spacing w:val="-4"/>
          <w:sz w:val="18"/>
          <w:szCs w:val="18"/>
        </w:rPr>
        <w:t>It is recommended that the Ministry of Education ensure that road safety coordinators are appointed in all schools</w:t>
      </w:r>
      <w:r w:rsidRPr="00CF1BD1">
        <w:rPr>
          <w:noProof/>
          <w:spacing w:val="-4"/>
          <w:sz w:val="18"/>
          <w:szCs w:val="18"/>
        </w:rPr>
        <w:t xml:space="preserve"> and reduce disparities between the various sectors of Israeli society</w:t>
      </w:r>
      <w:r w:rsidRPr="0058257B">
        <w:rPr>
          <w:rFonts w:hint="cs"/>
          <w:noProof/>
          <w:spacing w:val="-4"/>
          <w:sz w:val="18"/>
          <w:szCs w:val="18"/>
        </w:rPr>
        <w:t xml:space="preserve">. </w:t>
      </w:r>
    </w:p>
    <w:p w:rsidR="00CF1BD1" w:rsidP="00CF1BD1" w14:paraId="287F36EE" w14:textId="1EC8EEB4">
      <w:pPr>
        <w:pStyle w:val="ListParagraph"/>
        <w:numPr>
          <w:ilvl w:val="0"/>
          <w:numId w:val="0"/>
        </w:numPr>
        <w:bidi w:val="0"/>
        <w:spacing w:after="180" w:line="260" w:lineRule="exact"/>
        <w:ind w:left="397"/>
        <w:rPr>
          <w:noProof/>
          <w:spacing w:val="-4"/>
          <w:sz w:val="18"/>
          <w:szCs w:val="18"/>
        </w:rPr>
      </w:pPr>
      <w:r w:rsidRPr="0058257B">
        <w:rPr>
          <w:noProof/>
          <w:spacing w:val="-4"/>
          <w:sz w:val="18"/>
          <w:szCs w:val="18"/>
        </w:rPr>
        <w:drawing>
          <wp:anchor distT="0" distB="3600450" distL="114300" distR="114300" simplePos="0" relativeHeight="25176268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312234243" name="תמונה 33"/>
            <wp:cNvGraphicFramePr/>
            <a:graphic xmlns:a="http://schemas.openxmlformats.org/drawingml/2006/main">
              <a:graphicData uri="http://schemas.openxmlformats.org/drawingml/2006/picture">
                <pic:pic xmlns:pic="http://schemas.openxmlformats.org/drawingml/2006/picture">
                  <pic:nvPicPr>
                    <pic:cNvPr id="312234243"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7F8C">
        <w:rPr>
          <w:rFonts w:hint="eastAsia"/>
          <w:noProof/>
          <w:spacing w:val="-4"/>
          <w:sz w:val="18"/>
          <w:szCs w:val="18"/>
        </w:rPr>
        <w:t>It is recommended that the Ministry of Education consolidat</w:t>
      </w:r>
      <w:r w:rsidRPr="00C47F8C">
        <w:rPr>
          <w:noProof/>
          <w:spacing w:val="-4"/>
          <w:sz w:val="18"/>
          <w:szCs w:val="18"/>
        </w:rPr>
        <w:t>e</w:t>
      </w:r>
      <w:r w:rsidRPr="00C47F8C">
        <w:rPr>
          <w:rFonts w:hint="eastAsia"/>
          <w:noProof/>
          <w:spacing w:val="-4"/>
          <w:sz w:val="18"/>
          <w:szCs w:val="18"/>
        </w:rPr>
        <w:t xml:space="preserve"> </w:t>
      </w:r>
      <w:r w:rsidRPr="00C47F8C">
        <w:rPr>
          <w:noProof/>
          <w:spacing w:val="-4"/>
          <w:sz w:val="18"/>
          <w:szCs w:val="18"/>
        </w:rPr>
        <w:t xml:space="preserve">the </w:t>
      </w:r>
      <w:r w:rsidRPr="00C47F8C">
        <w:rPr>
          <w:rFonts w:hint="eastAsia"/>
          <w:noProof/>
          <w:spacing w:val="-4"/>
          <w:sz w:val="18"/>
          <w:szCs w:val="18"/>
        </w:rPr>
        <w:t xml:space="preserve">findings from the pilot program on traffic education for two-wheeled vehicles and accordingly expand the program </w:t>
      </w:r>
      <w:r w:rsidRPr="00C47F8C">
        <w:rPr>
          <w:rFonts w:hint="eastAsia"/>
          <w:noProof/>
          <w:spacing w:val="-4"/>
          <w:sz w:val="18"/>
          <w:szCs w:val="18"/>
        </w:rPr>
        <w:t>to address the training needs of riders of non-motorized vehicles (bicycles, electric bicycles, and electric scooters) that do not require a driving license</w:t>
      </w:r>
      <w:r w:rsidRPr="0058257B">
        <w:rPr>
          <w:rFonts w:hint="cs"/>
          <w:noProof/>
          <w:spacing w:val="-4"/>
          <w:sz w:val="18"/>
          <w:szCs w:val="18"/>
        </w:rPr>
        <w:t xml:space="preserve">. </w:t>
      </w:r>
    </w:p>
    <w:p w:rsidR="00CF1BD1" w:rsidP="00CF1BD1" w14:paraId="45C735A4" w14:textId="3BA2124B">
      <w:pPr>
        <w:pStyle w:val="ListParagraph"/>
        <w:numPr>
          <w:ilvl w:val="0"/>
          <w:numId w:val="0"/>
        </w:numPr>
        <w:bidi w:val="0"/>
        <w:spacing w:after="180" w:line="260" w:lineRule="exact"/>
        <w:ind w:left="397"/>
        <w:rPr>
          <w:noProof/>
          <w:spacing w:val="-4"/>
          <w:sz w:val="18"/>
          <w:szCs w:val="18"/>
        </w:rPr>
      </w:pPr>
      <w:r w:rsidRPr="0058257B">
        <w:rPr>
          <w:noProof/>
          <w:spacing w:val="-4"/>
          <w:sz w:val="18"/>
          <w:szCs w:val="18"/>
        </w:rPr>
        <w:drawing>
          <wp:anchor distT="0" distB="3600450" distL="114300" distR="114300" simplePos="0" relativeHeight="25176371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387555035" name="תמונה 33"/>
            <wp:cNvGraphicFramePr/>
            <a:graphic xmlns:a="http://schemas.openxmlformats.org/drawingml/2006/main">
              <a:graphicData uri="http://schemas.openxmlformats.org/drawingml/2006/picture">
                <pic:pic xmlns:pic="http://schemas.openxmlformats.org/drawingml/2006/picture">
                  <pic:nvPicPr>
                    <pic:cNvPr id="1387555035"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7F8C">
        <w:rPr>
          <w:rFonts w:hint="eastAsia"/>
          <w:noProof/>
          <w:spacing w:val="-4"/>
          <w:sz w:val="18"/>
          <w:szCs w:val="18"/>
        </w:rPr>
        <w:t>It is recommended that the police and the Ministry of Education, in collaboration with the RSA, develop a program with specific goals for ZAHAV school patrols and conduct training in all classes. This should include bridg</w:t>
      </w:r>
      <w:r w:rsidRPr="00C47F8C">
        <w:rPr>
          <w:noProof/>
          <w:spacing w:val="-4"/>
          <w:sz w:val="18"/>
          <w:szCs w:val="18"/>
        </w:rPr>
        <w:t>ing</w:t>
      </w:r>
      <w:r w:rsidRPr="00C47F8C">
        <w:rPr>
          <w:rFonts w:hint="eastAsia"/>
          <w:noProof/>
          <w:spacing w:val="-4"/>
          <w:sz w:val="18"/>
          <w:szCs w:val="18"/>
        </w:rPr>
        <w:t xml:space="preserve"> gaps vis-à-vis the ultra-Orthodox and Arab sectors. It is recommended that the police, in coordination with the Ministry of Education, determine the number of positions required to operate school patrols and improve the quality of education in the program</w:t>
      </w:r>
      <w:r w:rsidRPr="0058257B">
        <w:rPr>
          <w:rFonts w:hint="cs"/>
          <w:noProof/>
          <w:spacing w:val="-4"/>
          <w:sz w:val="18"/>
          <w:szCs w:val="18"/>
        </w:rPr>
        <w:t xml:space="preserve">. </w:t>
      </w:r>
    </w:p>
    <w:p w:rsidR="00CF1BD1" w:rsidP="00CF1BD1" w14:paraId="0C153C73" w14:textId="318DF5E5">
      <w:pPr>
        <w:pStyle w:val="ListParagraph"/>
        <w:numPr>
          <w:ilvl w:val="0"/>
          <w:numId w:val="0"/>
        </w:numPr>
        <w:bidi w:val="0"/>
        <w:spacing w:after="180" w:line="260" w:lineRule="exact"/>
        <w:ind w:left="397"/>
        <w:rPr>
          <w:noProof/>
          <w:spacing w:val="-4"/>
          <w:sz w:val="18"/>
          <w:szCs w:val="18"/>
        </w:rPr>
      </w:pPr>
      <w:r w:rsidRPr="0058257B">
        <w:rPr>
          <w:noProof/>
          <w:spacing w:val="-4"/>
          <w:sz w:val="18"/>
          <w:szCs w:val="18"/>
        </w:rPr>
        <w:drawing>
          <wp:anchor distT="0" distB="3600450" distL="114300" distR="114300" simplePos="0" relativeHeight="251764736"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641750304" name="תמונה 33"/>
            <wp:cNvGraphicFramePr/>
            <a:graphic xmlns:a="http://schemas.openxmlformats.org/drawingml/2006/main">
              <a:graphicData uri="http://schemas.openxmlformats.org/drawingml/2006/picture">
                <pic:pic xmlns:pic="http://schemas.openxmlformats.org/drawingml/2006/picture">
                  <pic:nvPicPr>
                    <pic:cNvPr id="641750304"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7F8C">
        <w:rPr>
          <w:noProof/>
          <w:spacing w:val="-4"/>
          <w:sz w:val="18"/>
          <w:szCs w:val="18"/>
        </w:rPr>
        <w:t>It is recommended that the Licensing Division consider improving the theoretical learning process. It should enhance the understanding and comprehension of required materials among driving students, implement necessary changes in the learning format, and monitor its effectiveness over time. In addition, the Licensing Division should consider adding to the theoretical curriculum, for students not enrolled in formal transportation education in the 10th grade, information such as nighttime driving, the effects of fatigue, social pressure, alcohol, and drugs on driving ability, and computerized simulation of hazardous situations. It is also recommended to assess whether changes in the format of the theoretical exams could improve comprehension of the studied material</w:t>
      </w:r>
      <w:r w:rsidRPr="0058257B">
        <w:rPr>
          <w:rFonts w:hint="cs"/>
          <w:noProof/>
          <w:spacing w:val="-4"/>
          <w:sz w:val="18"/>
          <w:szCs w:val="18"/>
        </w:rPr>
        <w:t xml:space="preserve">. </w:t>
      </w:r>
    </w:p>
    <w:p w:rsidR="00CF1BD1" w:rsidP="00CF1BD1" w14:paraId="0C021E1B" w14:textId="401C9B80">
      <w:pPr>
        <w:pStyle w:val="ListParagraph"/>
        <w:numPr>
          <w:ilvl w:val="0"/>
          <w:numId w:val="0"/>
        </w:numPr>
        <w:bidi w:val="0"/>
        <w:spacing w:after="180" w:line="260" w:lineRule="exact"/>
        <w:ind w:left="397"/>
        <w:rPr>
          <w:noProof/>
          <w:spacing w:val="-4"/>
          <w:sz w:val="18"/>
          <w:szCs w:val="18"/>
        </w:rPr>
      </w:pPr>
      <w:r w:rsidRPr="0058257B">
        <w:rPr>
          <w:noProof/>
          <w:spacing w:val="-4"/>
          <w:sz w:val="18"/>
          <w:szCs w:val="18"/>
        </w:rPr>
        <w:drawing>
          <wp:anchor distT="0" distB="3600450" distL="114300" distR="114300" simplePos="0" relativeHeight="251765760"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805542297" name="תמונה 33"/>
            <wp:cNvGraphicFramePr/>
            <a:graphic xmlns:a="http://schemas.openxmlformats.org/drawingml/2006/main">
              <a:graphicData uri="http://schemas.openxmlformats.org/drawingml/2006/picture">
                <pic:pic xmlns:pic="http://schemas.openxmlformats.org/drawingml/2006/picture">
                  <pic:nvPicPr>
                    <pic:cNvPr id="1805542297"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7F8C">
        <w:rPr>
          <w:noProof/>
          <w:spacing w:val="-4"/>
          <w:sz w:val="18"/>
          <w:szCs w:val="18"/>
        </w:rPr>
        <w:t>It is recommended that the MOT, jointly with the RSA, consider the need to update and expand the curriculum for practical driving lessons. For example, additional training for hazard perception and using technological systems while driving should be considered</w:t>
      </w:r>
      <w:r w:rsidRPr="0058257B">
        <w:rPr>
          <w:rFonts w:hint="cs"/>
          <w:noProof/>
          <w:spacing w:val="-4"/>
          <w:sz w:val="18"/>
          <w:szCs w:val="18"/>
        </w:rPr>
        <w:t xml:space="preserve">. </w:t>
      </w:r>
    </w:p>
    <w:p w:rsidR="00CF1BD1" w:rsidP="00CF1BD1" w14:paraId="736106E4" w14:textId="3B6385C7">
      <w:pPr>
        <w:pStyle w:val="ListParagraph"/>
        <w:numPr>
          <w:ilvl w:val="0"/>
          <w:numId w:val="0"/>
        </w:numPr>
        <w:bidi w:val="0"/>
        <w:spacing w:after="180" w:line="260" w:lineRule="exact"/>
        <w:ind w:left="397"/>
        <w:rPr>
          <w:noProof/>
          <w:spacing w:val="-4"/>
          <w:sz w:val="18"/>
          <w:szCs w:val="18"/>
        </w:rPr>
      </w:pPr>
      <w:r w:rsidRPr="0058257B">
        <w:rPr>
          <w:noProof/>
          <w:spacing w:val="-4"/>
          <w:sz w:val="18"/>
          <w:szCs w:val="18"/>
        </w:rPr>
        <w:drawing>
          <wp:anchor distT="0" distB="3600450" distL="114300" distR="114300" simplePos="0" relativeHeight="251766784"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69405626" name="תמונה 33"/>
            <wp:cNvGraphicFramePr/>
            <a:graphic xmlns:a="http://schemas.openxmlformats.org/drawingml/2006/main">
              <a:graphicData uri="http://schemas.openxmlformats.org/drawingml/2006/picture">
                <pic:pic xmlns:pic="http://schemas.openxmlformats.org/drawingml/2006/picture">
                  <pic:nvPicPr>
                    <pic:cNvPr id="469405626"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7F8C">
        <w:rPr>
          <w:noProof/>
          <w:spacing w:val="-4"/>
          <w:sz w:val="18"/>
          <w:szCs w:val="18"/>
        </w:rPr>
        <w:t>It is recommended that the Ministry of Health, the Israel Police, the MOT, and the RSA cooperate to establish guidelines for driving under the influence of medications, including medical cannabis. The police should be provided with appropriate technological and legal tools for enforcement in this area</w:t>
      </w:r>
      <w:r w:rsidRPr="0058257B">
        <w:rPr>
          <w:rFonts w:hint="cs"/>
          <w:noProof/>
          <w:spacing w:val="-4"/>
          <w:sz w:val="18"/>
          <w:szCs w:val="18"/>
        </w:rPr>
        <w:t xml:space="preserve">. </w:t>
      </w:r>
    </w:p>
    <w:p w:rsidR="00CF1BD1" w:rsidP="00CF1BD1" w14:paraId="1D3A98E4" w14:textId="300C4F24">
      <w:pPr>
        <w:pStyle w:val="ListParagraph"/>
        <w:numPr>
          <w:ilvl w:val="0"/>
          <w:numId w:val="0"/>
        </w:numPr>
        <w:bidi w:val="0"/>
        <w:spacing w:after="180" w:line="260" w:lineRule="exact"/>
        <w:ind w:left="397"/>
        <w:rPr>
          <w:noProof/>
          <w:spacing w:val="-4"/>
          <w:sz w:val="18"/>
          <w:szCs w:val="18"/>
        </w:rPr>
      </w:pPr>
      <w:r w:rsidRPr="0058257B">
        <w:rPr>
          <w:noProof/>
          <w:spacing w:val="-4"/>
          <w:sz w:val="18"/>
          <w:szCs w:val="18"/>
        </w:rPr>
        <w:drawing>
          <wp:anchor distT="0" distB="3600450" distL="114300" distR="114300" simplePos="0" relativeHeight="25176780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603410549" name="תמונה 33"/>
            <wp:cNvGraphicFramePr/>
            <a:graphic xmlns:a="http://schemas.openxmlformats.org/drawingml/2006/main">
              <a:graphicData uri="http://schemas.openxmlformats.org/drawingml/2006/picture">
                <pic:pic xmlns:pic="http://schemas.openxmlformats.org/drawingml/2006/picture">
                  <pic:nvPicPr>
                    <pic:cNvPr id="1603410549"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7F8C">
        <w:rPr>
          <w:rFonts w:hint="cs"/>
          <w:noProof/>
          <w:spacing w:val="-4"/>
          <w:sz w:val="18"/>
          <w:szCs w:val="18"/>
        </w:rPr>
        <w:t xml:space="preserve">It is recommended that the Minister of National Security and the Traffic Division develop a comprehensive multi-year national enforcement plan focused on key risk factors, implement proven international best practices and set measurable annual goals. In addition, they should collaborate closely with the RSA to coordinate policy decisions, develop work plans, and strengthen the </w:t>
      </w:r>
      <w:r w:rsidRPr="00C47F8C">
        <w:rPr>
          <w:noProof/>
          <w:spacing w:val="-4"/>
          <w:sz w:val="18"/>
          <w:szCs w:val="18"/>
        </w:rPr>
        <w:t>link</w:t>
      </w:r>
      <w:r w:rsidRPr="00C47F8C">
        <w:rPr>
          <w:rFonts w:hint="cs"/>
          <w:noProof/>
          <w:spacing w:val="-4"/>
          <w:sz w:val="18"/>
          <w:szCs w:val="18"/>
        </w:rPr>
        <w:t xml:space="preserve"> between enforcement and education efforts</w:t>
      </w:r>
      <w:r w:rsidRPr="00C47F8C">
        <w:rPr>
          <w:noProof/>
          <w:spacing w:val="-4"/>
          <w:sz w:val="18"/>
          <w:szCs w:val="18"/>
        </w:rPr>
        <w:t>, thus creating</w:t>
      </w:r>
      <w:r w:rsidRPr="00C47F8C">
        <w:rPr>
          <w:rFonts w:hint="cs"/>
          <w:noProof/>
          <w:spacing w:val="-4"/>
          <w:sz w:val="18"/>
          <w:szCs w:val="18"/>
        </w:rPr>
        <w:t xml:space="preserve"> synergy between their activities</w:t>
      </w:r>
      <w:r w:rsidRPr="0058257B">
        <w:rPr>
          <w:rFonts w:hint="cs"/>
          <w:noProof/>
          <w:spacing w:val="-4"/>
          <w:sz w:val="18"/>
          <w:szCs w:val="18"/>
        </w:rPr>
        <w:t xml:space="preserve">. </w:t>
      </w:r>
    </w:p>
    <w:p w:rsidR="00CF1BD1" w:rsidP="00CF1BD1" w14:paraId="0D56C6E3" w14:textId="07FF5037">
      <w:pPr>
        <w:pStyle w:val="ListParagraph"/>
        <w:numPr>
          <w:ilvl w:val="0"/>
          <w:numId w:val="0"/>
        </w:numPr>
        <w:bidi w:val="0"/>
        <w:spacing w:after="180" w:line="260" w:lineRule="exact"/>
        <w:ind w:left="397"/>
        <w:rPr>
          <w:noProof/>
          <w:spacing w:val="-4"/>
          <w:sz w:val="18"/>
          <w:szCs w:val="18"/>
        </w:rPr>
      </w:pPr>
      <w:r w:rsidRPr="0058257B">
        <w:rPr>
          <w:noProof/>
          <w:spacing w:val="-4"/>
          <w:sz w:val="18"/>
          <w:szCs w:val="18"/>
        </w:rPr>
        <w:drawing>
          <wp:anchor distT="0" distB="3600450" distL="114300" distR="114300" simplePos="0" relativeHeight="25176883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275037423" name="תמונה 33"/>
            <wp:cNvGraphicFramePr/>
            <a:graphic xmlns:a="http://schemas.openxmlformats.org/drawingml/2006/main">
              <a:graphicData uri="http://schemas.openxmlformats.org/drawingml/2006/picture">
                <pic:pic xmlns:pic="http://schemas.openxmlformats.org/drawingml/2006/picture">
                  <pic:nvPicPr>
                    <pic:cNvPr id="275037423"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7F8C">
        <w:rPr>
          <w:rFonts w:hint="cs"/>
          <w:noProof/>
          <w:spacing w:val="-4"/>
          <w:sz w:val="18"/>
          <w:szCs w:val="18"/>
        </w:rPr>
        <w:t xml:space="preserve">It is recommended that the police and the Ministry of National Security </w:t>
      </w:r>
      <w:r w:rsidRPr="00C47F8C">
        <w:rPr>
          <w:noProof/>
          <w:spacing w:val="-4"/>
          <w:sz w:val="18"/>
          <w:szCs w:val="18"/>
        </w:rPr>
        <w:t>consider</w:t>
      </w:r>
      <w:r w:rsidRPr="00C47F8C">
        <w:rPr>
          <w:rFonts w:hint="cs"/>
          <w:noProof/>
          <w:spacing w:val="-4"/>
          <w:sz w:val="18"/>
          <w:szCs w:val="18"/>
        </w:rPr>
        <w:t xml:space="preserve"> bridg</w:t>
      </w:r>
      <w:r w:rsidRPr="00C47F8C">
        <w:rPr>
          <w:noProof/>
          <w:spacing w:val="-4"/>
          <w:sz w:val="18"/>
          <w:szCs w:val="18"/>
        </w:rPr>
        <w:t>ing</w:t>
      </w:r>
      <w:r w:rsidRPr="00C47F8C">
        <w:rPr>
          <w:rFonts w:hint="cs"/>
          <w:noProof/>
          <w:spacing w:val="-4"/>
          <w:sz w:val="18"/>
          <w:szCs w:val="18"/>
        </w:rPr>
        <w:t xml:space="preserve"> the gaps between the responsibility assigned to the Traffic Division and its authority regarding </w:t>
      </w:r>
      <w:r w:rsidRPr="00C47F8C">
        <w:rPr>
          <w:noProof/>
          <w:spacing w:val="-4"/>
          <w:sz w:val="18"/>
          <w:szCs w:val="18"/>
        </w:rPr>
        <w:t>enforcing</w:t>
      </w:r>
      <w:r w:rsidRPr="00C47F8C">
        <w:rPr>
          <w:rFonts w:hint="cs"/>
          <w:noProof/>
          <w:spacing w:val="-4"/>
          <w:sz w:val="18"/>
          <w:szCs w:val="18"/>
        </w:rPr>
        <w:t xml:space="preserve"> traffic laws in urban areas. In addition, it is recommended that the police ensure that human resources </w:t>
      </w:r>
      <w:r w:rsidRPr="00C47F8C">
        <w:rPr>
          <w:noProof/>
          <w:spacing w:val="-4"/>
          <w:sz w:val="18"/>
          <w:szCs w:val="18"/>
        </w:rPr>
        <w:t>to</w:t>
      </w:r>
      <w:r w:rsidRPr="00C47F8C">
        <w:rPr>
          <w:rFonts w:hint="cs"/>
          <w:noProof/>
          <w:spacing w:val="-4"/>
          <w:sz w:val="18"/>
          <w:szCs w:val="18"/>
        </w:rPr>
        <w:t xml:space="preserve"> </w:t>
      </w:r>
      <w:r w:rsidRPr="00C47F8C">
        <w:rPr>
          <w:noProof/>
          <w:spacing w:val="-4"/>
          <w:sz w:val="18"/>
          <w:szCs w:val="18"/>
        </w:rPr>
        <w:t>enforce traffic laws are</w:t>
      </w:r>
      <w:r w:rsidRPr="00C47F8C">
        <w:rPr>
          <w:rFonts w:hint="cs"/>
          <w:noProof/>
          <w:spacing w:val="-4"/>
          <w:sz w:val="18"/>
          <w:szCs w:val="18"/>
        </w:rPr>
        <w:t xml:space="preserve"> channeled primarily for these needs while maintaining some degree of flexibility for necessary cases</w:t>
      </w:r>
      <w:r w:rsidRPr="0058257B">
        <w:rPr>
          <w:rFonts w:hint="cs"/>
          <w:noProof/>
          <w:spacing w:val="-4"/>
          <w:sz w:val="18"/>
          <w:szCs w:val="18"/>
        </w:rPr>
        <w:t xml:space="preserve">. </w:t>
      </w:r>
    </w:p>
    <w:p w:rsidR="00CF1BD1" w:rsidP="00CF1BD1" w14:paraId="5C094158" w14:textId="1A090EEE">
      <w:pPr>
        <w:pStyle w:val="ListParagraph"/>
        <w:numPr>
          <w:ilvl w:val="0"/>
          <w:numId w:val="0"/>
        </w:numPr>
        <w:bidi w:val="0"/>
        <w:spacing w:after="180" w:line="260" w:lineRule="exact"/>
        <w:ind w:left="397"/>
        <w:rPr>
          <w:noProof/>
          <w:spacing w:val="-4"/>
          <w:sz w:val="18"/>
          <w:szCs w:val="18"/>
        </w:rPr>
      </w:pPr>
      <w:r w:rsidRPr="0058257B">
        <w:rPr>
          <w:noProof/>
          <w:spacing w:val="-4"/>
          <w:sz w:val="18"/>
          <w:szCs w:val="18"/>
        </w:rPr>
        <w:drawing>
          <wp:anchor distT="0" distB="3600450" distL="114300" distR="114300" simplePos="0" relativeHeight="251769856"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592474157" name="תמונה 33"/>
            <wp:cNvGraphicFramePr/>
            <a:graphic xmlns:a="http://schemas.openxmlformats.org/drawingml/2006/main">
              <a:graphicData uri="http://schemas.openxmlformats.org/drawingml/2006/picture">
                <pic:pic xmlns:pic="http://schemas.openxmlformats.org/drawingml/2006/picture">
                  <pic:nvPicPr>
                    <pic:cNvPr id="592474157"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7F8C">
        <w:rPr>
          <w:rFonts w:hint="cs"/>
          <w:noProof/>
          <w:spacing w:val="-4"/>
          <w:sz w:val="18"/>
          <w:szCs w:val="18"/>
        </w:rPr>
        <w:t xml:space="preserve">It is recommended that the Traffic Division, in coordination with the RSA, define the number of vehicles and </w:t>
      </w:r>
      <w:r w:rsidRPr="00C47F8C">
        <w:rPr>
          <w:noProof/>
          <w:spacing w:val="-4"/>
          <w:sz w:val="18"/>
          <w:szCs w:val="18"/>
        </w:rPr>
        <w:t>workforce</w:t>
      </w:r>
      <w:r w:rsidRPr="00C47F8C">
        <w:rPr>
          <w:rFonts w:hint="cs"/>
          <w:noProof/>
          <w:spacing w:val="-4"/>
          <w:sz w:val="18"/>
          <w:szCs w:val="18"/>
        </w:rPr>
        <w:t xml:space="preserve"> needed to adequately fulfill the tasks assigned to the Traffic Division and other units involved in traffic law enforcement. This </w:t>
      </w:r>
      <w:r w:rsidRPr="00C47F8C">
        <w:rPr>
          <w:noProof/>
          <w:spacing w:val="-4"/>
          <w:sz w:val="18"/>
          <w:szCs w:val="18"/>
        </w:rPr>
        <w:t>is in considering</w:t>
      </w:r>
      <w:r w:rsidRPr="00C47F8C">
        <w:rPr>
          <w:rFonts w:hint="cs"/>
          <w:noProof/>
          <w:spacing w:val="-4"/>
          <w:sz w:val="18"/>
          <w:szCs w:val="18"/>
        </w:rPr>
        <w:t xml:space="preserve"> the changes in the </w:t>
      </w:r>
      <w:r w:rsidRPr="00C47F8C">
        <w:rPr>
          <w:rFonts w:hint="cs"/>
          <w:noProof/>
          <w:spacing w:val="-4"/>
          <w:sz w:val="18"/>
          <w:szCs w:val="18"/>
        </w:rPr>
        <w:t>field since 2005. Based on this examination, the Ministr</w:t>
      </w:r>
      <w:r w:rsidRPr="00C47F8C">
        <w:rPr>
          <w:noProof/>
          <w:spacing w:val="-4"/>
          <w:sz w:val="18"/>
          <w:szCs w:val="18"/>
        </w:rPr>
        <w:t>ies</w:t>
      </w:r>
      <w:r w:rsidRPr="00C47F8C">
        <w:rPr>
          <w:rFonts w:hint="cs"/>
          <w:noProof/>
          <w:spacing w:val="-4"/>
          <w:sz w:val="18"/>
          <w:szCs w:val="18"/>
        </w:rPr>
        <w:t xml:space="preserve"> of National Security and Finance should meet these needs in line with government priorities</w:t>
      </w:r>
      <w:r w:rsidRPr="0058257B">
        <w:rPr>
          <w:rFonts w:hint="cs"/>
          <w:noProof/>
          <w:spacing w:val="-4"/>
          <w:sz w:val="18"/>
          <w:szCs w:val="18"/>
        </w:rPr>
        <w:t xml:space="preserve">. </w:t>
      </w:r>
    </w:p>
    <w:p w:rsidR="00CF1BD1" w:rsidP="00CF1BD1" w14:paraId="5BF0836E" w14:textId="6CDC53E5">
      <w:pPr>
        <w:pStyle w:val="ListParagraph"/>
        <w:numPr>
          <w:ilvl w:val="0"/>
          <w:numId w:val="0"/>
        </w:numPr>
        <w:bidi w:val="0"/>
        <w:spacing w:after="180" w:line="260" w:lineRule="exact"/>
        <w:ind w:left="397"/>
        <w:rPr>
          <w:noProof/>
          <w:spacing w:val="-4"/>
          <w:sz w:val="18"/>
          <w:szCs w:val="18"/>
        </w:rPr>
      </w:pPr>
      <w:r w:rsidRPr="0058257B">
        <w:rPr>
          <w:noProof/>
          <w:spacing w:val="-4"/>
          <w:sz w:val="18"/>
          <w:szCs w:val="18"/>
        </w:rPr>
        <w:drawing>
          <wp:anchor distT="0" distB="3600450" distL="114300" distR="114300" simplePos="0" relativeHeight="251770880"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389982361" name="תמונה 33"/>
            <wp:cNvGraphicFramePr/>
            <a:graphic xmlns:a="http://schemas.openxmlformats.org/drawingml/2006/main">
              <a:graphicData uri="http://schemas.openxmlformats.org/drawingml/2006/picture">
                <pic:pic xmlns:pic="http://schemas.openxmlformats.org/drawingml/2006/picture">
                  <pic:nvPicPr>
                    <pic:cNvPr id="1389982361"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7F8C">
        <w:rPr>
          <w:rFonts w:hint="cs"/>
          <w:noProof/>
          <w:spacing w:val="-4"/>
          <w:sz w:val="18"/>
          <w:szCs w:val="18"/>
        </w:rPr>
        <w:t>It is recommended that the Traffic Division, in coordination with the RSA, define the required quantity of electronic enforcement tools of each type. Based on the updated review, the Ministr</w:t>
      </w:r>
      <w:r w:rsidRPr="00C47F8C">
        <w:rPr>
          <w:noProof/>
          <w:spacing w:val="-4"/>
          <w:sz w:val="18"/>
          <w:szCs w:val="18"/>
        </w:rPr>
        <w:t>ies</w:t>
      </w:r>
      <w:r w:rsidRPr="00C47F8C">
        <w:rPr>
          <w:rFonts w:hint="cs"/>
          <w:noProof/>
          <w:spacing w:val="-4"/>
          <w:sz w:val="18"/>
          <w:szCs w:val="18"/>
        </w:rPr>
        <w:t xml:space="preserve"> of National Security and Finance should </w:t>
      </w:r>
      <w:r w:rsidRPr="00C47F8C">
        <w:rPr>
          <w:noProof/>
          <w:spacing w:val="-4"/>
          <w:sz w:val="18"/>
          <w:szCs w:val="18"/>
        </w:rPr>
        <w:t xml:space="preserve">consider </w:t>
      </w:r>
      <w:r w:rsidRPr="00C47F8C">
        <w:rPr>
          <w:rFonts w:hint="cs"/>
          <w:noProof/>
          <w:spacing w:val="-4"/>
          <w:sz w:val="18"/>
          <w:szCs w:val="18"/>
        </w:rPr>
        <w:t>meet</w:t>
      </w:r>
      <w:r w:rsidRPr="00C47F8C">
        <w:rPr>
          <w:noProof/>
          <w:spacing w:val="-4"/>
          <w:sz w:val="18"/>
          <w:szCs w:val="18"/>
        </w:rPr>
        <w:t>ing</w:t>
      </w:r>
      <w:r w:rsidRPr="00C47F8C">
        <w:rPr>
          <w:rFonts w:hint="cs"/>
          <w:noProof/>
          <w:spacing w:val="-4"/>
          <w:sz w:val="18"/>
          <w:szCs w:val="18"/>
        </w:rPr>
        <w:t xml:space="preserve"> these needs</w:t>
      </w:r>
      <w:r w:rsidRPr="0058257B">
        <w:rPr>
          <w:rFonts w:hint="cs"/>
          <w:noProof/>
          <w:spacing w:val="-4"/>
          <w:sz w:val="18"/>
          <w:szCs w:val="18"/>
        </w:rPr>
        <w:t xml:space="preserve">. </w:t>
      </w:r>
    </w:p>
    <w:p w:rsidR="00CF1BD1" w:rsidP="00CF1BD1" w14:paraId="646DAC28" w14:textId="6CE66314">
      <w:pPr>
        <w:pStyle w:val="ListParagraph"/>
        <w:numPr>
          <w:ilvl w:val="0"/>
          <w:numId w:val="0"/>
        </w:numPr>
        <w:bidi w:val="0"/>
        <w:spacing w:after="180" w:line="260" w:lineRule="exact"/>
        <w:ind w:left="397"/>
        <w:rPr>
          <w:noProof/>
          <w:spacing w:val="-4"/>
          <w:sz w:val="18"/>
          <w:szCs w:val="18"/>
        </w:rPr>
      </w:pPr>
      <w:r w:rsidRPr="0058257B">
        <w:rPr>
          <w:noProof/>
          <w:spacing w:val="-4"/>
          <w:sz w:val="18"/>
          <w:szCs w:val="18"/>
        </w:rPr>
        <w:drawing>
          <wp:anchor distT="0" distB="3600450" distL="114300" distR="114300" simplePos="0" relativeHeight="251771904"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061453029" name="תמונה 33"/>
            <wp:cNvGraphicFramePr/>
            <a:graphic xmlns:a="http://schemas.openxmlformats.org/drawingml/2006/main">
              <a:graphicData uri="http://schemas.openxmlformats.org/drawingml/2006/picture">
                <pic:pic xmlns:pic="http://schemas.openxmlformats.org/drawingml/2006/picture">
                  <pic:nvPicPr>
                    <pic:cNvPr id="1061453029"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7F8C">
        <w:rPr>
          <w:noProof/>
          <w:spacing w:val="-4"/>
          <w:sz w:val="18"/>
          <w:szCs w:val="18"/>
        </w:rPr>
        <w:t>All Authorities Authorized to Revoke Driving Licenses – the Licensing Authority, the police, the courts, and military courts, must cooperate to ensure that drivers whose licenses have been revoked are prevented from driving. This could be achieved through strict enforcement of the surrender of revoked licenses or by other technological means. In addition, the police must enforce this issue. The Israel National Digital Agency, in cooperation with the Ministry of National Security, the police, the MOT, and the Courts Administration should establish the license revocation database as soon as possible</w:t>
      </w:r>
      <w:r w:rsidRPr="0058257B">
        <w:rPr>
          <w:rFonts w:hint="cs"/>
          <w:noProof/>
          <w:spacing w:val="-4"/>
          <w:sz w:val="18"/>
          <w:szCs w:val="18"/>
        </w:rPr>
        <w:t xml:space="preserve">. </w:t>
      </w:r>
    </w:p>
    <w:p w:rsidR="00CF1BD1" w:rsidP="00CF1BD1" w14:paraId="4C5BF5D8" w14:textId="3C62A717">
      <w:pPr>
        <w:pStyle w:val="ListParagraph"/>
        <w:numPr>
          <w:ilvl w:val="0"/>
          <w:numId w:val="0"/>
        </w:numPr>
        <w:bidi w:val="0"/>
        <w:spacing w:after="180" w:line="260" w:lineRule="exact"/>
        <w:ind w:left="397"/>
        <w:rPr>
          <w:noProof/>
          <w:spacing w:val="-4"/>
          <w:sz w:val="18"/>
          <w:szCs w:val="18"/>
        </w:rPr>
      </w:pPr>
      <w:r w:rsidRPr="0058257B">
        <w:rPr>
          <w:noProof/>
          <w:spacing w:val="-4"/>
          <w:sz w:val="18"/>
          <w:szCs w:val="18"/>
        </w:rPr>
        <w:drawing>
          <wp:anchor distT="0" distB="3600450" distL="114300" distR="114300" simplePos="0" relativeHeight="25177292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2041633401" name="תמונה 33"/>
            <wp:cNvGraphicFramePr/>
            <a:graphic xmlns:a="http://schemas.openxmlformats.org/drawingml/2006/main">
              <a:graphicData uri="http://schemas.openxmlformats.org/drawingml/2006/picture">
                <pic:pic xmlns:pic="http://schemas.openxmlformats.org/drawingml/2006/picture">
                  <pic:nvPicPr>
                    <pic:cNvPr id="2041633401"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7F8C">
        <w:rPr>
          <w:rFonts w:hint="cs"/>
          <w:noProof/>
          <w:spacing w:val="-4"/>
          <w:sz w:val="18"/>
          <w:szCs w:val="18"/>
        </w:rPr>
        <w:t>It is recommended that the police thorough</w:t>
      </w:r>
      <w:r w:rsidRPr="00C47F8C">
        <w:rPr>
          <w:noProof/>
          <w:spacing w:val="-4"/>
          <w:sz w:val="18"/>
          <w:szCs w:val="18"/>
        </w:rPr>
        <w:t>ly</w:t>
      </w:r>
      <w:r w:rsidRPr="00C47F8C">
        <w:rPr>
          <w:rFonts w:hint="cs"/>
          <w:noProof/>
          <w:spacing w:val="-4"/>
          <w:sz w:val="18"/>
          <w:szCs w:val="18"/>
        </w:rPr>
        <w:t xml:space="preserve"> analys</w:t>
      </w:r>
      <w:r w:rsidRPr="00C47F8C">
        <w:rPr>
          <w:noProof/>
          <w:spacing w:val="-4"/>
          <w:sz w:val="18"/>
          <w:szCs w:val="18"/>
        </w:rPr>
        <w:t>e</w:t>
      </w:r>
      <w:r w:rsidRPr="00C47F8C">
        <w:rPr>
          <w:rFonts w:hint="cs"/>
          <w:noProof/>
          <w:spacing w:val="-4"/>
          <w:sz w:val="18"/>
          <w:szCs w:val="18"/>
        </w:rPr>
        <w:t xml:space="preserve"> the reasons for the numerous appeals from traffic ticket recipients and the reasons for </w:t>
      </w:r>
      <w:r w:rsidRPr="00C47F8C">
        <w:rPr>
          <w:noProof/>
          <w:spacing w:val="-4"/>
          <w:sz w:val="18"/>
          <w:szCs w:val="18"/>
        </w:rPr>
        <w:t>canceling</w:t>
      </w:r>
      <w:r w:rsidRPr="00C47F8C">
        <w:rPr>
          <w:rFonts w:hint="cs"/>
          <w:noProof/>
          <w:spacing w:val="-4"/>
          <w:sz w:val="18"/>
          <w:szCs w:val="18"/>
        </w:rPr>
        <w:t xml:space="preserve"> some of them. This is to determine whether certain types of offenses or enforcement methods are more reliable and to adjust enforcement activities accordingly, alongside implementing </w:t>
      </w:r>
      <w:r w:rsidRPr="00C47F8C">
        <w:rPr>
          <w:noProof/>
          <w:spacing w:val="-4"/>
          <w:sz w:val="18"/>
          <w:szCs w:val="18"/>
        </w:rPr>
        <w:t>highly effective measures</w:t>
      </w:r>
      <w:r w:rsidRPr="00C47F8C">
        <w:rPr>
          <w:rFonts w:hint="cs"/>
          <w:noProof/>
          <w:spacing w:val="-4"/>
          <w:sz w:val="18"/>
          <w:szCs w:val="18"/>
        </w:rPr>
        <w:t xml:space="preserve"> in improving road safety</w:t>
      </w:r>
      <w:r w:rsidRPr="0058257B">
        <w:rPr>
          <w:rFonts w:hint="cs"/>
          <w:noProof/>
          <w:spacing w:val="-4"/>
          <w:sz w:val="18"/>
          <w:szCs w:val="18"/>
        </w:rPr>
        <w:t xml:space="preserve">. </w:t>
      </w:r>
    </w:p>
    <w:p w:rsidR="00CF1BD1" w:rsidP="00CF1BD1" w14:paraId="12E0D7BE" w14:textId="2C6D0123">
      <w:pPr>
        <w:pStyle w:val="ListParagraph"/>
        <w:numPr>
          <w:ilvl w:val="0"/>
          <w:numId w:val="0"/>
        </w:numPr>
        <w:bidi w:val="0"/>
        <w:spacing w:after="180" w:line="260" w:lineRule="exact"/>
        <w:ind w:left="397"/>
        <w:rPr>
          <w:noProof/>
          <w:spacing w:val="-4"/>
          <w:sz w:val="18"/>
          <w:szCs w:val="18"/>
        </w:rPr>
      </w:pPr>
      <w:r w:rsidRPr="0058257B">
        <w:rPr>
          <w:noProof/>
          <w:spacing w:val="-4"/>
          <w:sz w:val="18"/>
          <w:szCs w:val="18"/>
        </w:rPr>
        <w:drawing>
          <wp:anchor distT="0" distB="3600450" distL="114300" distR="114300" simplePos="0" relativeHeight="25177395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56382451" name="תמונה 33"/>
            <wp:cNvGraphicFramePr/>
            <a:graphic xmlns:a="http://schemas.openxmlformats.org/drawingml/2006/main">
              <a:graphicData uri="http://schemas.openxmlformats.org/drawingml/2006/picture">
                <pic:pic xmlns:pic="http://schemas.openxmlformats.org/drawingml/2006/picture">
                  <pic:nvPicPr>
                    <pic:cNvPr id="456382451"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7F8C">
        <w:rPr>
          <w:rFonts w:hint="cs"/>
          <w:noProof/>
          <w:spacing w:val="-4"/>
          <w:sz w:val="18"/>
          <w:szCs w:val="18"/>
        </w:rPr>
        <w:t xml:space="preserve">It is recommended that the Ministry of Justice, the Courts Administration, the Ministry of National Security, and the police </w:t>
      </w:r>
      <w:r w:rsidRPr="00C47F8C">
        <w:rPr>
          <w:noProof/>
          <w:spacing w:val="-4"/>
          <w:sz w:val="18"/>
          <w:szCs w:val="18"/>
        </w:rPr>
        <w:t>contend</w:t>
      </w:r>
      <w:r w:rsidRPr="00C47F8C">
        <w:rPr>
          <w:rFonts w:hint="cs"/>
          <w:noProof/>
          <w:spacing w:val="-4"/>
          <w:sz w:val="18"/>
          <w:szCs w:val="18"/>
        </w:rPr>
        <w:t xml:space="preserve"> with the burden on the courts and its negative implications, including concluding discussions on the proposed legislation to convert traffic offenses into administrative violations. In addition, it is recommended t</w:t>
      </w:r>
      <w:r w:rsidRPr="00C47F8C">
        <w:rPr>
          <w:noProof/>
          <w:spacing w:val="-4"/>
          <w:sz w:val="18"/>
          <w:szCs w:val="18"/>
        </w:rPr>
        <w:t>hat case processing times be reduced</w:t>
      </w:r>
      <w:r w:rsidRPr="0058257B">
        <w:rPr>
          <w:rFonts w:hint="cs"/>
          <w:noProof/>
          <w:spacing w:val="-4"/>
          <w:sz w:val="18"/>
          <w:szCs w:val="18"/>
        </w:rPr>
        <w:t xml:space="preserve">. </w:t>
      </w:r>
    </w:p>
    <w:p w:rsidR="00CF1BD1" w:rsidP="00CF1BD1" w14:paraId="2C804CD3" w14:textId="4CA0CD5B">
      <w:pPr>
        <w:pStyle w:val="ListParagraph"/>
        <w:numPr>
          <w:ilvl w:val="0"/>
          <w:numId w:val="0"/>
        </w:numPr>
        <w:bidi w:val="0"/>
        <w:spacing w:after="180" w:line="260" w:lineRule="exact"/>
        <w:ind w:left="397"/>
        <w:rPr>
          <w:noProof/>
          <w:spacing w:val="-4"/>
          <w:sz w:val="18"/>
          <w:szCs w:val="18"/>
        </w:rPr>
      </w:pPr>
      <w:r w:rsidRPr="0058257B">
        <w:rPr>
          <w:noProof/>
          <w:spacing w:val="-4"/>
          <w:sz w:val="18"/>
          <w:szCs w:val="18"/>
        </w:rPr>
        <w:drawing>
          <wp:anchor distT="0" distB="3600450" distL="114300" distR="114300" simplePos="0" relativeHeight="251774976"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592504602" name="תמונה 33"/>
            <wp:cNvGraphicFramePr/>
            <a:graphic xmlns:a="http://schemas.openxmlformats.org/drawingml/2006/main">
              <a:graphicData uri="http://schemas.openxmlformats.org/drawingml/2006/picture">
                <pic:pic xmlns:pic="http://schemas.openxmlformats.org/drawingml/2006/picture">
                  <pic:nvPicPr>
                    <pic:cNvPr id="1592504602"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7F8C">
        <w:rPr>
          <w:rFonts w:hint="cs"/>
          <w:noProof/>
          <w:spacing w:val="-4"/>
          <w:sz w:val="18"/>
          <w:szCs w:val="18"/>
        </w:rPr>
        <w:t xml:space="preserve">It is recommended that the Ministry of National Security, in collaboration with the police and the Ministry of Justice, complete the legislative process to establish the presumption of reliability for electronic enforcement devices </w:t>
      </w:r>
      <w:r w:rsidRPr="00C47F8C">
        <w:rPr>
          <w:noProof/>
          <w:spacing w:val="-4"/>
          <w:sz w:val="18"/>
          <w:szCs w:val="18"/>
        </w:rPr>
        <w:t>over</w:t>
      </w:r>
      <w:r w:rsidRPr="00C47F8C">
        <w:rPr>
          <w:rFonts w:hint="cs"/>
          <w:noProof/>
          <w:spacing w:val="-4"/>
          <w:sz w:val="18"/>
          <w:szCs w:val="18"/>
        </w:rPr>
        <w:t xml:space="preserve"> devices whose reliability has been proven. </w:t>
      </w:r>
      <w:r w:rsidRPr="00C47F8C">
        <w:rPr>
          <w:noProof/>
          <w:spacing w:val="-4"/>
          <w:sz w:val="18"/>
          <w:szCs w:val="18"/>
        </w:rPr>
        <w:t xml:space="preserve">This, considering the need to </w:t>
      </w:r>
      <w:r w:rsidRPr="00C47F8C">
        <w:rPr>
          <w:rFonts w:hint="cs"/>
          <w:noProof/>
          <w:spacing w:val="-4"/>
          <w:sz w:val="18"/>
          <w:szCs w:val="18"/>
        </w:rPr>
        <w:t>i</w:t>
      </w:r>
      <w:r w:rsidRPr="00C47F8C">
        <w:rPr>
          <w:noProof/>
          <w:spacing w:val="-4"/>
          <w:sz w:val="18"/>
          <w:szCs w:val="18"/>
        </w:rPr>
        <w:t>ncrease enforcement efficiency and alleviate</w:t>
      </w:r>
      <w:r w:rsidRPr="00C47F8C">
        <w:rPr>
          <w:rFonts w:hint="cs"/>
          <w:noProof/>
          <w:spacing w:val="-4"/>
          <w:sz w:val="18"/>
          <w:szCs w:val="18"/>
        </w:rPr>
        <w:t xml:space="preserve"> the burden on the courts and</w:t>
      </w:r>
      <w:r w:rsidRPr="00C47F8C">
        <w:rPr>
          <w:noProof/>
          <w:spacing w:val="-4"/>
          <w:sz w:val="18"/>
          <w:szCs w:val="18"/>
        </w:rPr>
        <w:t xml:space="preserve"> the</w:t>
      </w:r>
      <w:r w:rsidRPr="00C47F8C">
        <w:rPr>
          <w:rFonts w:hint="cs"/>
          <w:noProof/>
          <w:spacing w:val="-4"/>
          <w:sz w:val="18"/>
          <w:szCs w:val="18"/>
        </w:rPr>
        <w:t xml:space="preserve"> police while safeguarding drivers' rights</w:t>
      </w:r>
      <w:r w:rsidRPr="0058257B">
        <w:rPr>
          <w:rFonts w:hint="cs"/>
          <w:noProof/>
          <w:spacing w:val="-4"/>
          <w:sz w:val="18"/>
          <w:szCs w:val="18"/>
        </w:rPr>
        <w:t xml:space="preserve">. </w:t>
      </w:r>
    </w:p>
    <w:p w:rsidR="000B5EBF" w:rsidP="00081B5E" w14:paraId="0ABBFEAD" w14:textId="5839B249">
      <w:pPr>
        <w:pStyle w:val="ListParagraph"/>
        <w:numPr>
          <w:ilvl w:val="0"/>
          <w:numId w:val="0"/>
        </w:numPr>
        <w:bidi w:val="0"/>
        <w:spacing w:after="840" w:line="260" w:lineRule="exact"/>
        <w:ind w:left="397"/>
        <w:rPr>
          <w:noProof/>
          <w:spacing w:val="-4"/>
          <w:sz w:val="18"/>
          <w:szCs w:val="18"/>
        </w:rPr>
      </w:pPr>
      <w:r w:rsidRPr="0058257B">
        <w:rPr>
          <w:noProof/>
          <w:spacing w:val="-4"/>
          <w:sz w:val="18"/>
          <w:szCs w:val="18"/>
        </w:rPr>
        <w:drawing>
          <wp:anchor distT="0" distB="3600450" distL="114300" distR="114300" simplePos="0" relativeHeight="251776000"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377454337" name="תמונה 33"/>
            <wp:cNvGraphicFramePr/>
            <a:graphic xmlns:a="http://schemas.openxmlformats.org/drawingml/2006/main">
              <a:graphicData uri="http://schemas.openxmlformats.org/drawingml/2006/picture">
                <pic:pic xmlns:pic="http://schemas.openxmlformats.org/drawingml/2006/picture">
                  <pic:nvPicPr>
                    <pic:cNvPr id="377454337"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7F8C">
        <w:rPr>
          <w:noProof/>
          <w:spacing w:val="-4"/>
          <w:sz w:val="18"/>
          <w:szCs w:val="18"/>
        </w:rPr>
        <w:t>It is recommended that the MOT ensure accurate documentation of the license revocation process. Furthermore, it is recommended that the police and the MOT improve their information interfaces so that the information necessary for the police's work flows smoothly between them</w:t>
      </w:r>
      <w:r w:rsidRPr="0058257B">
        <w:rPr>
          <w:rFonts w:hint="cs"/>
          <w:noProof/>
          <w:spacing w:val="-4"/>
          <w:sz w:val="18"/>
          <w:szCs w:val="18"/>
        </w:rPr>
        <w:t xml:space="preserve">. </w:t>
      </w:r>
    </w:p>
    <w:p w:rsidR="000B5EBF" w14:paraId="38798B36" w14:textId="77777777">
      <w:pPr>
        <w:bidi w:val="0"/>
        <w:rPr>
          <w:rFonts w:ascii="Tahoma" w:hAnsi="Tahoma" w:cs="Tahoma"/>
          <w:noProof/>
          <w:spacing w:val="-4"/>
          <w:sz w:val="18"/>
          <w:szCs w:val="18"/>
        </w:rPr>
      </w:pPr>
      <w:r>
        <w:rPr>
          <w:noProof/>
          <w:spacing w:val="-4"/>
          <w:sz w:val="18"/>
          <w:szCs w:val="18"/>
        </w:rPr>
        <w:br w:type="page"/>
      </w:r>
    </w:p>
    <w:p w:rsidR="005014C1" w:rsidP="005014C1" w14:paraId="24B5CADB" w14:textId="77777777">
      <w:pPr>
        <w:pStyle w:val="732"/>
        <w:rPr>
          <w:rtl/>
        </w:rPr>
      </w:pPr>
      <w:r w:rsidRPr="00D527BD">
        <w:rPr>
          <w:noProof/>
          <w:szCs w:val="20"/>
          <w:rtl/>
        </w:rPr>
        <mc:AlternateContent>
          <mc:Choice Requires="wps">
            <w:drawing>
              <wp:anchor distT="0" distB="0" distL="114300" distR="114300" simplePos="0" relativeHeight="251780096" behindDoc="0" locked="0" layoutInCell="1" allowOverlap="1">
                <wp:simplePos x="0" y="0"/>
                <wp:positionH relativeFrom="column">
                  <wp:posOffset>55333</wp:posOffset>
                </wp:positionH>
                <wp:positionV relativeFrom="paragraph">
                  <wp:posOffset>88876</wp:posOffset>
                </wp:positionV>
                <wp:extent cx="4289989" cy="434975"/>
                <wp:effectExtent l="0" t="0" r="0" b="0"/>
                <wp:wrapNone/>
                <wp:docPr id="40086438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89989" cy="434975"/>
                        </a:xfrm>
                        <a:prstGeom prst="rect">
                          <a:avLst/>
                        </a:prstGeom>
                        <a:noFill/>
                        <a:ln w="9525">
                          <a:noFill/>
                          <a:miter lim="800000"/>
                          <a:headEnd/>
                          <a:tailEnd/>
                        </a:ln>
                      </wps:spPr>
                      <wps:txbx>
                        <w:txbxContent>
                          <w:p w:rsidR="005014C1" w:rsidP="005014C1" w14:textId="78DCAC42">
                            <w:pPr>
                              <w:pStyle w:val="733"/>
                              <w:bidi w:val="0"/>
                            </w:pPr>
                            <w:r w:rsidRPr="00436EFE">
                              <w:t>Chapter Four – The Infrastructural Factor</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8" type="#_x0000_t202" style="width:337.8pt;height:34.25pt;margin-top:7pt;margin-left:4.35pt;mso-height-percent:0;mso-height-relative:margin;mso-width-percent:0;mso-width-relative:margin;mso-wrap-distance-bottom:0;mso-wrap-distance-left:9pt;mso-wrap-distance-right:9pt;mso-wrap-distance-top:0;mso-wrap-style:square;position:absolute;visibility:visible;v-text-anchor:middle;z-index:251781120" filled="f" stroked="f">
                <v:textbox>
                  <w:txbxContent>
                    <w:p w:rsidR="005014C1" w:rsidP="005014C1" w14:paraId="0A55C598" w14:textId="78DCAC42">
                      <w:pPr>
                        <w:pStyle w:val="733"/>
                        <w:bidi w:val="0"/>
                      </w:pPr>
                      <w:r w:rsidRPr="00436EFE">
                        <w:t>Chapter Four – The Infrastructural Factor</w:t>
                      </w:r>
                    </w:p>
                  </w:txbxContent>
                </v:textbox>
              </v:shape>
            </w:pict>
          </mc:Fallback>
        </mc:AlternateContent>
      </w:r>
      <w:r w:rsidRPr="00D527BD">
        <w:rPr>
          <w:noProof/>
          <w:szCs w:val="20"/>
          <w:rtl/>
        </w:rPr>
        <w:drawing>
          <wp:anchor distT="0" distB="0" distL="114300" distR="114300" simplePos="0" relativeHeight="251779072" behindDoc="0" locked="0" layoutInCell="1" allowOverlap="1">
            <wp:simplePos x="0" y="0"/>
            <wp:positionH relativeFrom="column">
              <wp:posOffset>-63578</wp:posOffset>
            </wp:positionH>
            <wp:positionV relativeFrom="paragraph">
              <wp:posOffset>2350</wp:posOffset>
            </wp:positionV>
            <wp:extent cx="4773106" cy="702310"/>
            <wp:effectExtent l="0" t="0" r="2540" b="0"/>
            <wp:wrapNone/>
            <wp:docPr id="348055328"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055328"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3106" cy="702310"/>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5014C1" w:rsidP="005014C1" w14:paraId="6D33F2A5" w14:textId="77777777">
      <w:pPr>
        <w:pStyle w:val="732"/>
        <w:rPr>
          <w:rtl/>
        </w:rPr>
      </w:pPr>
    </w:p>
    <w:p w:rsidR="005014C1" w:rsidRPr="00FA5C98" w:rsidP="005014C1" w14:paraId="7CF0A1E4" w14:textId="77777777">
      <w:pPr>
        <w:bidi w:val="0"/>
        <w:spacing w:after="0" w:line="260" w:lineRule="exact"/>
        <w:ind w:left="397"/>
        <w:jc w:val="both"/>
      </w:pPr>
    </w:p>
    <w:p w:rsidR="005014C1" w:rsidP="005014C1" w14:paraId="367FB512" w14:textId="77777777">
      <w:pPr>
        <w:keepNext/>
        <w:keepLines/>
        <w:bidi w:val="0"/>
        <w:spacing w:before="480"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16759003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00352" name="Picture 9"/>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5014C1" w:rsidP="005014C1" w14:paraId="5C523626" w14:textId="77777777">
      <w:pPr>
        <w:keepNext/>
        <w:keepLines/>
        <w:bidi w:val="0"/>
        <w:spacing w:before="120" w:after="180" w:line="240" w:lineRule="atLeast"/>
        <w:rPr>
          <w:rFonts w:ascii="Tahoma" w:hAnsi="Tahoma" w:cs="Tahoma"/>
          <w:b/>
          <w:bCs/>
          <w:color w:val="00305F"/>
          <w:sz w:val="32"/>
          <w:szCs w:val="32"/>
          <w:rtl/>
        </w:rPr>
      </w:pPr>
      <w:r w:rsidRPr="00AE5F94">
        <w:rPr>
          <w:rFonts w:ascii="Tahoma" w:hAnsi="Tahoma" w:cs="Tahoma"/>
          <w:b/>
          <w:bCs/>
          <w:color w:val="00305F"/>
          <w:sz w:val="32"/>
          <w:szCs w:val="32"/>
        </w:rPr>
        <w:t xml:space="preserve">Key </w:t>
      </w:r>
      <w:r>
        <w:rPr>
          <w:rFonts w:ascii="Tahoma" w:hAnsi="Tahoma" w:cs="Tahoma"/>
          <w:b/>
          <w:bCs/>
          <w:color w:val="00305F"/>
          <w:sz w:val="32"/>
          <w:szCs w:val="32"/>
        </w:rPr>
        <w:t>F</w:t>
      </w:r>
      <w:r w:rsidRPr="00AE5F94">
        <w:rPr>
          <w:rFonts w:ascii="Tahoma" w:hAnsi="Tahoma" w:cs="Tahoma"/>
          <w:b/>
          <w:bCs/>
          <w:color w:val="00305F"/>
          <w:sz w:val="32"/>
          <w:szCs w:val="32"/>
        </w:rPr>
        <w:t>indings</w:t>
      </w:r>
    </w:p>
    <w:p w:rsidR="005014C1" w:rsidRPr="00BD3044" w:rsidP="005014C1" w14:paraId="58F43C00" w14:textId="77777777">
      <w:pPr>
        <w:keepNext/>
        <w:keepLines/>
        <w:bidi w:val="0"/>
        <w:spacing w:after="180" w:line="240" w:lineRule="atLeast"/>
        <w:rPr>
          <w:rFonts w:ascii="Tahoma" w:hAnsi="Tahoma" w:cs="Tahoma"/>
          <w:b/>
          <w:bCs/>
          <w:color w:val="00305F"/>
          <w:sz w:val="4"/>
          <w:szCs w:val="4"/>
          <w:rtl/>
        </w:rPr>
      </w:pPr>
      <w:r>
        <w:rPr>
          <w:b/>
          <w:bCs/>
          <w:noProof/>
          <w:sz w:val="18"/>
        </w:rPr>
        <w:drawing>
          <wp:anchor distT="0" distB="0" distL="114300" distR="114300" simplePos="0" relativeHeight="251777024" behindDoc="1" locked="0" layoutInCell="1" allowOverlap="1">
            <wp:simplePos x="0" y="0"/>
            <wp:positionH relativeFrom="column">
              <wp:posOffset>1270</wp:posOffset>
            </wp:positionH>
            <wp:positionV relativeFrom="paragraph">
              <wp:posOffset>38295</wp:posOffset>
            </wp:positionV>
            <wp:extent cx="2879725" cy="158115"/>
            <wp:effectExtent l="0" t="0" r="0" b="0"/>
            <wp:wrapTight wrapText="bothSides">
              <wp:wrapPolygon>
                <wp:start x="4191" y="0"/>
                <wp:lineTo x="0" y="5205"/>
                <wp:lineTo x="0" y="8675"/>
                <wp:lineTo x="4191" y="19084"/>
                <wp:lineTo x="5906" y="19084"/>
                <wp:lineTo x="21433" y="8675"/>
                <wp:lineTo x="21433" y="5205"/>
                <wp:lineTo x="5906" y="0"/>
                <wp:lineTo x="4191" y="0"/>
              </wp:wrapPolygon>
            </wp:wrapTight>
            <wp:docPr id="1613112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11242" name="Picture 8"/>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p w:rsidR="005014C1" w:rsidP="005014C1" w14:paraId="44C667A3" w14:textId="0A55B5C7">
      <w:pPr>
        <w:pStyle w:val="7191"/>
        <w:bidi w:val="0"/>
        <w:spacing w:before="240"/>
        <w:ind w:left="397"/>
        <w:rPr>
          <w:noProof/>
        </w:rPr>
      </w:pPr>
      <w:r w:rsidRPr="00081B5E">
        <w:rPr>
          <w:rFonts w:hint="cs"/>
          <w:b/>
          <w:bCs/>
          <w:noProof/>
          <w:rtl/>
        </w:rPr>
        <w:drawing>
          <wp:anchor distT="0" distB="0" distL="0" distR="0" simplePos="0" relativeHeight="251778048"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202812040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120408"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81B5E" w:rsidR="00436EFE">
        <w:rPr>
          <w:rFonts w:hint="cs"/>
          <w:b/>
          <w:bCs/>
          <w:noProof/>
        </w:rPr>
        <w:t xml:space="preserve">Prioritization of </w:t>
      </w:r>
      <w:r w:rsidRPr="00081B5E" w:rsidR="00436EFE">
        <w:rPr>
          <w:b/>
          <w:bCs/>
          <w:noProof/>
        </w:rPr>
        <w:t>I</w:t>
      </w:r>
      <w:r w:rsidRPr="00081B5E" w:rsidR="00436EFE">
        <w:rPr>
          <w:rFonts w:hint="cs"/>
          <w:b/>
          <w:bCs/>
          <w:noProof/>
        </w:rPr>
        <w:t xml:space="preserve">nfrastructure </w:t>
      </w:r>
      <w:r w:rsidRPr="00081B5E" w:rsidR="00436EFE">
        <w:rPr>
          <w:b/>
          <w:bCs/>
          <w:noProof/>
        </w:rPr>
        <w:t>P</w:t>
      </w:r>
      <w:r w:rsidRPr="00081B5E" w:rsidR="00436EFE">
        <w:rPr>
          <w:rFonts w:hint="cs"/>
          <w:b/>
          <w:bCs/>
          <w:noProof/>
        </w:rPr>
        <w:t>rojects</w:t>
      </w:r>
      <w:r w:rsidRPr="00081B5E" w:rsidR="00436EFE">
        <w:rPr>
          <w:b/>
          <w:bCs/>
          <w:noProof/>
        </w:rPr>
        <w:t xml:space="preserve"> –</w:t>
      </w:r>
      <w:r w:rsidRPr="00C36DDA" w:rsidR="00436EFE">
        <w:rPr>
          <w:rFonts w:hint="cs"/>
          <w:bCs/>
          <w:noProof/>
        </w:rPr>
        <w:t xml:space="preserve"> the model used in Israel for prioritizing road improvement projects is based on the number of road accidents and casualties rather than other factors such as existing infrastructure, hazards, and the road's maintenance level. </w:t>
      </w:r>
      <w:r w:rsidRPr="00C36DDA" w:rsidR="00436EFE">
        <w:rPr>
          <w:bCs/>
          <w:noProof/>
        </w:rPr>
        <w:t>According to t</w:t>
      </w:r>
      <w:r w:rsidRPr="00C36DDA" w:rsidR="00436EFE">
        <w:rPr>
          <w:rFonts w:hint="cs"/>
          <w:bCs/>
          <w:noProof/>
        </w:rPr>
        <w:t xml:space="preserve">he "50 by 30" program, </w:t>
      </w:r>
      <w:r w:rsidRPr="00C36DDA" w:rsidR="00436EFE">
        <w:rPr>
          <w:bCs/>
          <w:noProof/>
        </w:rPr>
        <w:t>(</w:t>
      </w:r>
      <w:r w:rsidRPr="00C36DDA" w:rsidR="00436EFE">
        <w:rPr>
          <w:rFonts w:hint="cs"/>
          <w:bCs/>
          <w:noProof/>
        </w:rPr>
        <w:t xml:space="preserve">developed by the RSA and the </w:t>
      </w:r>
      <w:r w:rsidRPr="00C36DDA" w:rsidR="00436EFE">
        <w:rPr>
          <w:bCs/>
          <w:noProof/>
        </w:rPr>
        <w:t>MOT)</w:t>
      </w:r>
      <w:r w:rsidRPr="00C36DDA" w:rsidR="00436EFE">
        <w:rPr>
          <w:rFonts w:hint="cs"/>
          <w:bCs/>
          <w:noProof/>
        </w:rPr>
        <w:t>, various countries around the world take a preventive approach in this context</w:t>
      </w:r>
      <w:r w:rsidRPr="00C36DDA" w:rsidR="00436EFE">
        <w:rPr>
          <w:bCs/>
          <w:noProof/>
        </w:rPr>
        <w:t xml:space="preserve">, and it </w:t>
      </w:r>
      <w:r w:rsidRPr="00C36DDA" w:rsidR="00436EFE">
        <w:rPr>
          <w:rFonts w:hint="cs"/>
          <w:bCs/>
          <w:noProof/>
        </w:rPr>
        <w:t xml:space="preserve">recommends adopting methodologies for rating road safety based on </w:t>
      </w:r>
      <w:r w:rsidRPr="00C36DDA" w:rsidR="00436EFE">
        <w:rPr>
          <w:bCs/>
          <w:noProof/>
        </w:rPr>
        <w:t>multiple</w:t>
      </w:r>
      <w:r w:rsidRPr="00C36DDA" w:rsidR="00436EFE">
        <w:rPr>
          <w:rFonts w:hint="cs"/>
          <w:bCs/>
          <w:noProof/>
        </w:rPr>
        <w:t xml:space="preserve"> risk characteristics and prioritizing projects according to these ratings</w:t>
      </w:r>
      <w:r>
        <w:rPr>
          <w:noProof/>
        </w:rPr>
        <w:t>.</w:t>
      </w:r>
    </w:p>
    <w:p w:rsidR="00436EFE" w:rsidRPr="00436EFE" w:rsidP="00436EFE" w14:paraId="4832A7E2" w14:textId="14571271">
      <w:pPr>
        <w:pStyle w:val="73512"/>
        <w:bidi w:val="0"/>
      </w:pPr>
      <w:r w:rsidRPr="00436EFE">
        <w:t>Handling Infrastructure on Inter</w:t>
      </w:r>
      <w:r w:rsidR="004C3D71">
        <w:t>-</w:t>
      </w:r>
      <w:r w:rsidRPr="00436EFE">
        <w:t>city Roads</w:t>
      </w:r>
      <w:r w:rsidRPr="00436EFE">
        <w:rPr>
          <w:rFonts w:hint="cs"/>
        </w:rPr>
        <w:t xml:space="preserve"> </w:t>
      </w:r>
    </w:p>
    <w:p w:rsidR="00436EFE" w:rsidP="00436EFE" w14:paraId="6687865E" w14:textId="6FFD8816">
      <w:pPr>
        <w:pStyle w:val="7191"/>
        <w:bidi w:val="0"/>
        <w:spacing w:before="240"/>
        <w:ind w:left="397"/>
        <w:rPr>
          <w:noProof/>
        </w:rPr>
      </w:pPr>
      <w:r w:rsidRPr="00081B5E">
        <w:rPr>
          <w:rFonts w:hint="cs"/>
          <w:b/>
          <w:bCs/>
          <w:noProof/>
          <w:rtl/>
        </w:rPr>
        <w:drawing>
          <wp:anchor distT="0" distB="0" distL="0" distR="0" simplePos="0" relativeHeight="251782144"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70955449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554492"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81B5E">
        <w:rPr>
          <w:rFonts w:hint="cs"/>
          <w:b/>
          <w:bCs/>
          <w:noProof/>
        </w:rPr>
        <w:t xml:space="preserve">Rectifying </w:t>
      </w:r>
      <w:r w:rsidRPr="00081B5E">
        <w:rPr>
          <w:b/>
          <w:bCs/>
          <w:noProof/>
        </w:rPr>
        <w:t>D</w:t>
      </w:r>
      <w:r w:rsidRPr="00081B5E">
        <w:rPr>
          <w:rFonts w:hint="cs"/>
          <w:b/>
          <w:bCs/>
          <w:noProof/>
        </w:rPr>
        <w:t xml:space="preserve">eficiencies </w:t>
      </w:r>
      <w:r w:rsidRPr="00081B5E">
        <w:rPr>
          <w:b/>
          <w:bCs/>
          <w:noProof/>
        </w:rPr>
        <w:t>R</w:t>
      </w:r>
      <w:r w:rsidRPr="00081B5E">
        <w:rPr>
          <w:rFonts w:hint="cs"/>
          <w:b/>
          <w:bCs/>
          <w:noProof/>
        </w:rPr>
        <w:t xml:space="preserve">aised in </w:t>
      </w:r>
      <w:r w:rsidRPr="00081B5E">
        <w:rPr>
          <w:b/>
          <w:bCs/>
          <w:noProof/>
        </w:rPr>
        <w:t>the P</w:t>
      </w:r>
      <w:r w:rsidRPr="00081B5E">
        <w:rPr>
          <w:rFonts w:hint="cs"/>
          <w:b/>
          <w:bCs/>
          <w:noProof/>
        </w:rPr>
        <w:t xml:space="preserve">revious State Comptroller </w:t>
      </w:r>
      <w:r w:rsidRPr="00081B5E">
        <w:rPr>
          <w:b/>
          <w:bCs/>
          <w:noProof/>
        </w:rPr>
        <w:t>R</w:t>
      </w:r>
      <w:r w:rsidRPr="00081B5E">
        <w:rPr>
          <w:rFonts w:hint="cs"/>
          <w:b/>
          <w:bCs/>
          <w:noProof/>
        </w:rPr>
        <w:t>eports</w:t>
      </w:r>
      <w:r w:rsidRPr="00081B5E">
        <w:rPr>
          <w:b/>
          <w:bCs/>
          <w:noProof/>
        </w:rPr>
        <w:t xml:space="preserve"> –</w:t>
      </w:r>
      <w:r w:rsidRPr="00C36DDA">
        <w:rPr>
          <w:rFonts w:hint="cs"/>
          <w:bCs/>
          <w:noProof/>
        </w:rPr>
        <w:t xml:space="preserve"> previous State Comptroller reports have highlighted numerous gaps regard</w:t>
      </w:r>
      <w:r w:rsidRPr="00C36DDA">
        <w:rPr>
          <w:bCs/>
          <w:noProof/>
        </w:rPr>
        <w:t>ing</w:t>
      </w:r>
      <w:r w:rsidRPr="00C36DDA">
        <w:rPr>
          <w:rFonts w:hint="cs"/>
          <w:bCs/>
          <w:noProof/>
        </w:rPr>
        <w:t xml:space="preserve"> road safety infrastructure on inter</w:t>
      </w:r>
      <w:r w:rsidRPr="00C36DDA">
        <w:rPr>
          <w:bCs/>
          <w:noProof/>
        </w:rPr>
        <w:t>-</w:t>
      </w:r>
      <w:r w:rsidRPr="00C36DDA">
        <w:rPr>
          <w:rFonts w:hint="cs"/>
          <w:bCs/>
          <w:noProof/>
        </w:rPr>
        <w:t xml:space="preserve">city </w:t>
      </w:r>
      <w:r w:rsidRPr="00C36DDA">
        <w:rPr>
          <w:bCs/>
          <w:noProof/>
        </w:rPr>
        <w:t>roads</w:t>
      </w:r>
      <w:r w:rsidRPr="00C36DDA">
        <w:rPr>
          <w:rFonts w:hint="cs"/>
          <w:bCs/>
          <w:noProof/>
        </w:rPr>
        <w:t xml:space="preserve">. These include the lack of infrastructure such as rest areas, </w:t>
      </w:r>
      <w:r w:rsidRPr="00C36DDA">
        <w:rPr>
          <w:bCs/>
          <w:noProof/>
        </w:rPr>
        <w:t>stopping</w:t>
      </w:r>
      <w:r w:rsidRPr="00C36DDA">
        <w:rPr>
          <w:rFonts w:hint="cs"/>
          <w:bCs/>
          <w:noProof/>
        </w:rPr>
        <w:t xml:space="preserve"> bays, </w:t>
      </w:r>
      <w:r w:rsidRPr="00C36DDA">
        <w:rPr>
          <w:bCs/>
          <w:noProof/>
        </w:rPr>
        <w:t>crwaler</w:t>
      </w:r>
      <w:r w:rsidRPr="00C36DDA">
        <w:rPr>
          <w:rFonts w:hint="cs"/>
          <w:bCs/>
          <w:noProof/>
        </w:rPr>
        <w:t xml:space="preserve"> lanes, narrow shoulders that do not allow for safe stopping, budget constraints that preclude expansion of road maintenance work, and insufficient treatment of safety deficiencies in parts of Highway 90. The current audit has found that these have not been fully addressed and that most gaps still exist. For example, Highway 90 has not yet been treated along its length</w:t>
      </w:r>
      <w:r>
        <w:rPr>
          <w:noProof/>
        </w:rPr>
        <w:t>.</w:t>
      </w:r>
    </w:p>
    <w:p w:rsidR="00436EFE" w:rsidP="00436EFE" w14:paraId="0017E507" w14:textId="40747D32">
      <w:pPr>
        <w:pStyle w:val="7191"/>
        <w:bidi w:val="0"/>
        <w:spacing w:before="240"/>
        <w:ind w:left="397"/>
        <w:rPr>
          <w:noProof/>
        </w:rPr>
      </w:pPr>
      <w:r w:rsidRPr="00081B5E">
        <w:rPr>
          <w:rFonts w:hint="cs"/>
          <w:b/>
          <w:bCs/>
          <w:noProof/>
          <w:rtl/>
        </w:rPr>
        <w:drawing>
          <wp:anchor distT="0" distB="0" distL="0" distR="0" simplePos="0" relativeHeight="251783168" behindDoc="0" locked="0" layoutInCell="1" allowOverlap="1">
            <wp:simplePos x="0" y="0"/>
            <wp:positionH relativeFrom="column">
              <wp:posOffset>15875</wp:posOffset>
            </wp:positionH>
            <wp:positionV relativeFrom="paragraph">
              <wp:posOffset>12409</wp:posOffset>
            </wp:positionV>
            <wp:extent cx="162000" cy="162000"/>
            <wp:effectExtent l="0" t="0" r="3175" b="3175"/>
            <wp:wrapSquare wrapText="bothSides"/>
            <wp:docPr id="7292207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22071"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81B5E">
        <w:rPr>
          <w:rFonts w:hint="cs"/>
          <w:b/>
          <w:bCs/>
          <w:noProof/>
        </w:rPr>
        <w:t xml:space="preserve">Addressing </w:t>
      </w:r>
      <w:r w:rsidRPr="00081B5E">
        <w:rPr>
          <w:b/>
          <w:bCs/>
          <w:noProof/>
        </w:rPr>
        <w:t>H</w:t>
      </w:r>
      <w:r w:rsidRPr="00081B5E">
        <w:rPr>
          <w:rFonts w:hint="cs"/>
          <w:b/>
          <w:bCs/>
          <w:noProof/>
        </w:rPr>
        <w:t>igh-</w:t>
      </w:r>
      <w:r w:rsidRPr="00081B5E">
        <w:rPr>
          <w:b/>
          <w:bCs/>
          <w:noProof/>
        </w:rPr>
        <w:t>R</w:t>
      </w:r>
      <w:r w:rsidRPr="00081B5E">
        <w:rPr>
          <w:rFonts w:hint="cs"/>
          <w:b/>
          <w:bCs/>
          <w:noProof/>
        </w:rPr>
        <w:t xml:space="preserve">isk </w:t>
      </w:r>
      <w:r w:rsidRPr="00081B5E">
        <w:rPr>
          <w:b/>
          <w:bCs/>
          <w:noProof/>
        </w:rPr>
        <w:t>L</w:t>
      </w:r>
      <w:r w:rsidRPr="00081B5E">
        <w:rPr>
          <w:rFonts w:hint="cs"/>
          <w:b/>
          <w:bCs/>
          <w:noProof/>
        </w:rPr>
        <w:t>ocations</w:t>
      </w:r>
      <w:r w:rsidRPr="00081B5E">
        <w:rPr>
          <w:b/>
          <w:bCs/>
          <w:noProof/>
        </w:rPr>
        <w:t xml:space="preserve"> –</w:t>
      </w:r>
      <w:r w:rsidRPr="00C36DDA">
        <w:rPr>
          <w:rFonts w:hint="cs"/>
          <w:bCs/>
          <w:noProof/>
        </w:rPr>
        <w:t xml:space="preserve"> in 2017</w:t>
      </w:r>
      <w:r w:rsidRPr="00C36DDA">
        <w:rPr>
          <w:noProof/>
        </w:rPr>
        <w:t>–</w:t>
      </w:r>
      <w:r w:rsidRPr="00C36DDA">
        <w:rPr>
          <w:rFonts w:hint="cs"/>
          <w:bCs/>
          <w:noProof/>
        </w:rPr>
        <w:t xml:space="preserve">2021, only </w:t>
      </w:r>
      <w:r w:rsidRPr="00C36DDA">
        <w:rPr>
          <w:bCs/>
          <w:noProof/>
        </w:rPr>
        <w:t>about</w:t>
      </w:r>
      <w:r w:rsidRPr="00C36DDA">
        <w:rPr>
          <w:rFonts w:hint="cs"/>
          <w:bCs/>
          <w:noProof/>
        </w:rPr>
        <w:t xml:space="preserve"> 72% of the </w:t>
      </w:r>
      <w:bookmarkStart w:id="16" w:name="_Hlk174946167"/>
      <w:r w:rsidRPr="00C36DDA">
        <w:rPr>
          <w:rFonts w:hint="cs"/>
          <w:bCs/>
          <w:noProof/>
        </w:rPr>
        <w:t>budget authorization</w:t>
      </w:r>
      <w:r w:rsidRPr="00C36DDA">
        <w:rPr>
          <w:bCs/>
          <w:noProof/>
        </w:rPr>
        <w:t xml:space="preserve"> to commit</w:t>
      </w:r>
      <w:bookmarkEnd w:id="16"/>
      <w:r w:rsidRPr="00C36DDA">
        <w:rPr>
          <w:rFonts w:hint="cs"/>
          <w:bCs/>
          <w:noProof/>
        </w:rPr>
        <w:t xml:space="preserve"> was allocated for high-risk areas</w:t>
      </w:r>
      <w:r w:rsidRPr="00C36DDA">
        <w:rPr>
          <w:bCs/>
          <w:noProof/>
        </w:rPr>
        <w:t>,</w:t>
      </w:r>
      <w:r w:rsidRPr="00C36DDA">
        <w:rPr>
          <w:rFonts w:hint="cs"/>
          <w:bCs/>
          <w:noProof/>
        </w:rPr>
        <w:t xml:space="preserve"> agreed upon in the multi-year plan, </w:t>
      </w:r>
      <w:r w:rsidRPr="00C36DDA">
        <w:rPr>
          <w:bCs/>
          <w:noProof/>
        </w:rPr>
        <w:t>at about</w:t>
      </w:r>
      <w:r w:rsidRPr="00C36DDA">
        <w:rPr>
          <w:rFonts w:hint="cs"/>
          <w:bCs/>
          <w:noProof/>
        </w:rPr>
        <w:t xml:space="preserve"> NIS 830 million compared to the planned NIS 1.15 billion. This </w:t>
      </w:r>
      <w:r w:rsidRPr="00C36DDA">
        <w:rPr>
          <w:bCs/>
          <w:noProof/>
        </w:rPr>
        <w:t>sum</w:t>
      </w:r>
      <w:r w:rsidRPr="00C36DDA">
        <w:rPr>
          <w:rFonts w:hint="cs"/>
          <w:bCs/>
          <w:noProof/>
        </w:rPr>
        <w:t xml:space="preserve"> also reflected a decrease of about 33% from 2014</w:t>
      </w:r>
      <w:r w:rsidRPr="00C36DDA">
        <w:rPr>
          <w:noProof/>
        </w:rPr>
        <w:t>–</w:t>
      </w:r>
      <w:r w:rsidRPr="00C36DDA">
        <w:rPr>
          <w:rFonts w:hint="cs"/>
          <w:bCs/>
          <w:noProof/>
        </w:rPr>
        <w:t xml:space="preserve">2016. An examination of the cash budget execution </w:t>
      </w:r>
      <w:r w:rsidRPr="00C36DDA">
        <w:rPr>
          <w:bCs/>
          <w:noProof/>
        </w:rPr>
        <w:t>indicates</w:t>
      </w:r>
      <w:r w:rsidRPr="00C36DDA">
        <w:rPr>
          <w:rFonts w:hint="cs"/>
          <w:bCs/>
          <w:noProof/>
        </w:rPr>
        <w:t xml:space="preserve"> that the </w:t>
      </w:r>
      <w:r w:rsidRPr="00C36DDA">
        <w:rPr>
          <w:bCs/>
          <w:noProof/>
        </w:rPr>
        <w:t>reduction</w:t>
      </w:r>
      <w:r w:rsidRPr="00C36DDA">
        <w:rPr>
          <w:rFonts w:hint="cs"/>
          <w:bCs/>
          <w:noProof/>
        </w:rPr>
        <w:t xml:space="preserve"> in budget authorization</w:t>
      </w:r>
      <w:r w:rsidRPr="00C36DDA">
        <w:rPr>
          <w:bCs/>
          <w:noProof/>
        </w:rPr>
        <w:t xml:space="preserve"> to commit</w:t>
      </w:r>
      <w:r w:rsidRPr="00C36DDA">
        <w:rPr>
          <w:rFonts w:hint="cs"/>
          <w:bCs/>
          <w:noProof/>
        </w:rPr>
        <w:t xml:space="preserve"> led to lower execution volumes of projects in 2021</w:t>
      </w:r>
      <w:r w:rsidRPr="00C36DDA">
        <w:rPr>
          <w:noProof/>
        </w:rPr>
        <w:t>–</w:t>
      </w:r>
      <w:r w:rsidRPr="00C36DDA">
        <w:rPr>
          <w:rFonts w:hint="cs"/>
          <w:bCs/>
          <w:noProof/>
        </w:rPr>
        <w:t>2022 (a</w:t>
      </w:r>
      <w:r w:rsidRPr="00C36DDA">
        <w:rPr>
          <w:bCs/>
          <w:noProof/>
        </w:rPr>
        <w:t>bout</w:t>
      </w:r>
      <w:r w:rsidRPr="00C36DDA">
        <w:rPr>
          <w:rFonts w:hint="cs"/>
          <w:bCs/>
          <w:noProof/>
        </w:rPr>
        <w:t xml:space="preserve"> NIS 170 million and NIS 190 million, respectively), particularly in the first half of 2023 (</w:t>
      </w:r>
      <w:r w:rsidRPr="00C36DDA">
        <w:rPr>
          <w:bCs/>
          <w:noProof/>
        </w:rPr>
        <w:t>about</w:t>
      </w:r>
      <w:r w:rsidRPr="00C36DDA">
        <w:rPr>
          <w:rFonts w:hint="cs"/>
          <w:bCs/>
          <w:noProof/>
        </w:rPr>
        <w:t xml:space="preserve"> NIS 51 million). This is despite the large backlog of projects at identified high-risk locations awaiting execution. It should also be noted that since 2021, Netivei Israel has </w:t>
      </w:r>
      <w:r w:rsidRPr="00C36DDA">
        <w:rPr>
          <w:bCs/>
          <w:noProof/>
        </w:rPr>
        <w:t>operated</w:t>
      </w:r>
      <w:r w:rsidRPr="00C36DDA">
        <w:rPr>
          <w:rFonts w:hint="cs"/>
          <w:bCs/>
          <w:noProof/>
        </w:rPr>
        <w:t xml:space="preserve"> without a five-year plan, which is supposed to provide a structured and transparent framework for its activities and project prioritization</w:t>
      </w:r>
      <w:r>
        <w:rPr>
          <w:noProof/>
        </w:rPr>
        <w:t>.</w:t>
      </w:r>
    </w:p>
    <w:p w:rsidR="00436EFE" w:rsidP="00436EFE" w14:paraId="01404E3A" w14:textId="36F0FB2C">
      <w:pPr>
        <w:pStyle w:val="7191"/>
        <w:bidi w:val="0"/>
        <w:spacing w:before="240"/>
        <w:ind w:left="397"/>
        <w:rPr>
          <w:noProof/>
        </w:rPr>
      </w:pPr>
      <w:r w:rsidRPr="00081B5E">
        <w:rPr>
          <w:rFonts w:hint="cs"/>
          <w:b/>
          <w:bCs/>
          <w:noProof/>
          <w:rtl/>
        </w:rPr>
        <w:drawing>
          <wp:anchor distT="0" distB="0" distL="0" distR="0" simplePos="0" relativeHeight="251784192"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85822806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228060"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81B5E">
        <w:rPr>
          <w:rFonts w:hint="cs"/>
          <w:b/>
          <w:bCs/>
          <w:noProof/>
        </w:rPr>
        <w:t xml:space="preserve">Improving </w:t>
      </w:r>
      <w:r w:rsidRPr="00081B5E">
        <w:rPr>
          <w:b/>
          <w:bCs/>
          <w:noProof/>
        </w:rPr>
        <w:t>S</w:t>
      </w:r>
      <w:r w:rsidRPr="00081B5E">
        <w:rPr>
          <w:rFonts w:hint="cs"/>
          <w:b/>
          <w:bCs/>
          <w:noProof/>
        </w:rPr>
        <w:t xml:space="preserve">afety on </w:t>
      </w:r>
      <w:r w:rsidRPr="00081B5E">
        <w:rPr>
          <w:b/>
          <w:bCs/>
          <w:noProof/>
        </w:rPr>
        <w:t>D</w:t>
      </w:r>
      <w:r w:rsidRPr="00081B5E">
        <w:rPr>
          <w:rFonts w:hint="cs"/>
          <w:b/>
          <w:bCs/>
          <w:noProof/>
        </w:rPr>
        <w:t xml:space="preserve">angerous </w:t>
      </w:r>
      <w:r w:rsidRPr="00081B5E">
        <w:rPr>
          <w:b/>
          <w:bCs/>
          <w:noProof/>
        </w:rPr>
        <w:t>R</w:t>
      </w:r>
      <w:r w:rsidRPr="00081B5E">
        <w:rPr>
          <w:rFonts w:hint="cs"/>
          <w:b/>
          <w:bCs/>
          <w:noProof/>
        </w:rPr>
        <w:t>oads</w:t>
      </w:r>
      <w:r w:rsidRPr="00081B5E">
        <w:rPr>
          <w:b/>
          <w:bCs/>
          <w:noProof/>
        </w:rPr>
        <w:t xml:space="preserve"> –</w:t>
      </w:r>
      <w:r w:rsidRPr="00C36DDA">
        <w:rPr>
          <w:rFonts w:hint="cs"/>
          <w:bCs/>
          <w:noProof/>
        </w:rPr>
        <w:t xml:space="preserve"> high-risk areas on inter</w:t>
      </w:r>
      <w:r w:rsidRPr="00C36DDA">
        <w:rPr>
          <w:bCs/>
          <w:noProof/>
        </w:rPr>
        <w:t>-</w:t>
      </w:r>
      <w:r w:rsidRPr="00C36DDA">
        <w:rPr>
          <w:rFonts w:hint="cs"/>
          <w:bCs/>
          <w:noProof/>
        </w:rPr>
        <w:t xml:space="preserve">city roads are identified based on </w:t>
      </w:r>
      <w:r w:rsidRPr="00C36DDA">
        <w:rPr>
          <w:bCs/>
          <w:noProof/>
        </w:rPr>
        <w:t>a significant number of</w:t>
      </w:r>
      <w:r w:rsidRPr="00C36DDA">
        <w:rPr>
          <w:rFonts w:hint="cs"/>
          <w:bCs/>
          <w:noProof/>
        </w:rPr>
        <w:t xml:space="preserve"> accidents at specific points or short segments. Consequently, roads with numerous fatal accidents distributed along their length are not treated as high-risk areas. Examples of such roads include </w:t>
      </w:r>
      <w:r w:rsidRPr="00C36DDA">
        <w:rPr>
          <w:bCs/>
          <w:noProof/>
        </w:rPr>
        <w:t>roads</w:t>
      </w:r>
      <w:r w:rsidRPr="00C36DDA">
        <w:rPr>
          <w:rFonts w:hint="cs"/>
          <w:bCs/>
          <w:noProof/>
        </w:rPr>
        <w:t xml:space="preserve"> 71, 232, 55, 90, 60, and 264. In this context, the State Comptroller's Office examined two case studies: (a) Highway 65, connecting the Caesarea Interchange on the coastal plain to Nahal Amud in the Galilee, on which numerous accidents occur. In 2015</w:t>
      </w:r>
      <w:r w:rsidRPr="00C36DDA">
        <w:rPr>
          <w:noProof/>
        </w:rPr>
        <w:t>–</w:t>
      </w:r>
      <w:r w:rsidRPr="00C36DDA">
        <w:rPr>
          <w:rFonts w:hint="cs"/>
          <w:bCs/>
          <w:noProof/>
        </w:rPr>
        <w:t>2019, there were 164 accidents on this road, resulting in five fatalities and 446 injuries. As a result, and following repeated appeals from the heads of local authorities through which the road runs, a project to upgrade part of the road was included in Netivei Israel's five-year plan for 2017</w:t>
      </w:r>
      <w:r w:rsidRPr="00C36DDA">
        <w:rPr>
          <w:noProof/>
        </w:rPr>
        <w:t>–</w:t>
      </w:r>
      <w:r w:rsidRPr="00C36DDA">
        <w:rPr>
          <w:rFonts w:hint="cs"/>
          <w:bCs/>
          <w:noProof/>
        </w:rPr>
        <w:t xml:space="preserve">2021, with an approved budget of </w:t>
      </w:r>
      <w:r w:rsidRPr="00C36DDA">
        <w:rPr>
          <w:bCs/>
          <w:noProof/>
        </w:rPr>
        <w:t>about</w:t>
      </w:r>
      <w:r w:rsidRPr="00C36DDA">
        <w:rPr>
          <w:rFonts w:hint="cs"/>
          <w:bCs/>
          <w:noProof/>
        </w:rPr>
        <w:t xml:space="preserve"> NIS one billion. Despite this, Netivei Israel issued tenders for work on the segment only in July 2023. (b) Highway 90, which runs across Israel from the north starting in Metula to Eilat, is characterized by numerous safety defects, such as poorly arranged entrances to communities along the road, narrow shoulders in most parts, lack of a median barrier in some sections, dark and unlit areas, and cracked road sections with potholes and depressions. In 2003</w:t>
      </w:r>
      <w:r w:rsidRPr="00C36DDA">
        <w:rPr>
          <w:noProof/>
        </w:rPr>
        <w:t>–</w:t>
      </w:r>
      <w:r w:rsidRPr="00C36DDA">
        <w:rPr>
          <w:rFonts w:hint="cs"/>
          <w:bCs/>
          <w:noProof/>
        </w:rPr>
        <w:t xml:space="preserve">2020, there were 2,480 accidents on this road, resulting in 251 fatalities, a third of which occurred in the southern part of the road between Arava Junction and Eilat. Despite previous audit reports by the State Comptroller's Office regarding the dangers of this road, particularly its south part, </w:t>
      </w:r>
      <w:r w:rsidRPr="00C36DDA">
        <w:rPr>
          <w:bCs/>
          <w:noProof/>
        </w:rPr>
        <w:t>it was found that the road had not yet been treated along its entire length</w:t>
      </w:r>
      <w:r>
        <w:rPr>
          <w:noProof/>
        </w:rPr>
        <w:t>.</w:t>
      </w:r>
    </w:p>
    <w:p w:rsidR="00436EFE" w:rsidRPr="00436EFE" w:rsidP="00436EFE" w14:paraId="3721E650" w14:textId="0D5936B8">
      <w:pPr>
        <w:pStyle w:val="73512"/>
        <w:bidi w:val="0"/>
      </w:pPr>
      <w:r w:rsidRPr="00436EFE">
        <w:rPr>
          <w:rFonts w:hint="cs"/>
        </w:rPr>
        <w:t xml:space="preserve">Treatment of </w:t>
      </w:r>
      <w:r w:rsidRPr="00436EFE">
        <w:t>U</w:t>
      </w:r>
      <w:r w:rsidRPr="00436EFE">
        <w:rPr>
          <w:rFonts w:hint="cs"/>
        </w:rPr>
        <w:t xml:space="preserve">rban </w:t>
      </w:r>
      <w:r w:rsidRPr="00436EFE">
        <w:t>I</w:t>
      </w:r>
      <w:r w:rsidRPr="00436EFE">
        <w:rPr>
          <w:rFonts w:hint="cs"/>
        </w:rPr>
        <w:t xml:space="preserve">nfrastructure </w:t>
      </w:r>
    </w:p>
    <w:p w:rsidR="00436EFE" w:rsidP="00436EFE" w14:paraId="4C14CCE0" w14:textId="008A406B">
      <w:pPr>
        <w:pStyle w:val="7191"/>
        <w:bidi w:val="0"/>
        <w:spacing w:before="240"/>
        <w:ind w:left="397"/>
        <w:rPr>
          <w:noProof/>
        </w:rPr>
      </w:pPr>
      <w:r w:rsidRPr="00081B5E">
        <w:rPr>
          <w:rFonts w:hint="cs"/>
          <w:b/>
          <w:bCs/>
          <w:noProof/>
          <w:rtl/>
        </w:rPr>
        <w:drawing>
          <wp:anchor distT="0" distB="0" distL="0" distR="0" simplePos="0" relativeHeight="251785216"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87181868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18684"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81B5E">
        <w:rPr>
          <w:rFonts w:hint="cs"/>
          <w:b/>
          <w:bCs/>
          <w:noProof/>
        </w:rPr>
        <w:t xml:space="preserve">Funding for </w:t>
      </w:r>
      <w:r w:rsidRPr="00081B5E">
        <w:rPr>
          <w:b/>
          <w:bCs/>
          <w:noProof/>
        </w:rPr>
        <w:t>S</w:t>
      </w:r>
      <w:r w:rsidRPr="00081B5E">
        <w:rPr>
          <w:rFonts w:hint="cs"/>
          <w:b/>
          <w:bCs/>
          <w:noProof/>
        </w:rPr>
        <w:t xml:space="preserve">afety </w:t>
      </w:r>
      <w:r w:rsidRPr="00081B5E">
        <w:rPr>
          <w:b/>
          <w:bCs/>
          <w:noProof/>
        </w:rPr>
        <w:t>P</w:t>
      </w:r>
      <w:r w:rsidRPr="00081B5E">
        <w:rPr>
          <w:rFonts w:hint="cs"/>
          <w:b/>
          <w:bCs/>
          <w:noProof/>
        </w:rPr>
        <w:t>rojects</w:t>
      </w:r>
      <w:r w:rsidRPr="00081B5E">
        <w:rPr>
          <w:b/>
          <w:bCs/>
          <w:noProof/>
        </w:rPr>
        <w:t xml:space="preserve"> –</w:t>
      </w:r>
      <w:r w:rsidRPr="00C36DDA">
        <w:rPr>
          <w:rFonts w:hint="cs"/>
          <w:bCs/>
          <w:noProof/>
        </w:rPr>
        <w:t xml:space="preserve"> in 2016, the Economic Affairs Committee </w:t>
      </w:r>
      <w:r w:rsidRPr="00C36DDA">
        <w:rPr>
          <w:bCs/>
          <w:noProof/>
        </w:rPr>
        <w:t xml:space="preserve">raised the </w:t>
      </w:r>
      <w:r w:rsidRPr="00C36DDA">
        <w:rPr>
          <w:rFonts w:hint="cs"/>
          <w:bCs/>
          <w:noProof/>
        </w:rPr>
        <w:t xml:space="preserve">need to increase the budget allocated to improving urban infrastructure by NIS 150 million per year. However, this recommendation was not implemented. Moreover, </w:t>
      </w:r>
      <w:r w:rsidRPr="00C36DDA">
        <w:rPr>
          <w:bCs/>
          <w:noProof/>
        </w:rPr>
        <w:t>concerning</w:t>
      </w:r>
      <w:r w:rsidRPr="00C36DDA">
        <w:rPr>
          <w:rFonts w:hint="cs"/>
          <w:bCs/>
          <w:noProof/>
        </w:rPr>
        <w:t xml:space="preserve"> the allocated budgets, in 2021</w:t>
      </w:r>
      <w:r w:rsidRPr="00C36DDA">
        <w:rPr>
          <w:noProof/>
        </w:rPr>
        <w:t>–</w:t>
      </w:r>
      <w:r w:rsidRPr="00C36DDA">
        <w:rPr>
          <w:rFonts w:hint="cs"/>
          <w:bCs/>
          <w:noProof/>
        </w:rPr>
        <w:t>2022</w:t>
      </w:r>
      <w:r w:rsidRPr="00C36DDA">
        <w:rPr>
          <w:bCs/>
          <w:noProof/>
        </w:rPr>
        <w:t>,</w:t>
      </w:r>
      <w:r w:rsidRPr="00C36DDA">
        <w:rPr>
          <w:rFonts w:hint="cs"/>
          <w:bCs/>
          <w:noProof/>
        </w:rPr>
        <w:t xml:space="preserve"> there was a decrease in the utilization of the safety fund budget </w:t>
      </w:r>
      <w:r w:rsidRPr="00C36DDA">
        <w:rPr>
          <w:bCs/>
          <w:noProof/>
        </w:rPr>
        <w:t xml:space="preserve">to </w:t>
      </w:r>
      <w:r w:rsidRPr="00C36DDA">
        <w:rPr>
          <w:rFonts w:hint="cs"/>
          <w:bCs/>
          <w:noProof/>
        </w:rPr>
        <w:t>improv</w:t>
      </w:r>
      <w:r w:rsidRPr="00C36DDA">
        <w:rPr>
          <w:bCs/>
          <w:noProof/>
        </w:rPr>
        <w:t>e</w:t>
      </w:r>
      <w:r w:rsidRPr="00C36DDA">
        <w:rPr>
          <w:rFonts w:hint="cs"/>
          <w:bCs/>
          <w:noProof/>
        </w:rPr>
        <w:t xml:space="preserve"> safety infrastructure in local authorities (for example, in 2022, </w:t>
      </w:r>
      <w:r w:rsidRPr="00C36DDA">
        <w:rPr>
          <w:bCs/>
          <w:noProof/>
        </w:rPr>
        <w:t>about</w:t>
      </w:r>
      <w:r w:rsidRPr="00C36DDA">
        <w:rPr>
          <w:rFonts w:hint="cs"/>
          <w:bCs/>
          <w:noProof/>
        </w:rPr>
        <w:t xml:space="preserve"> NIS 204 million were allocated, but only </w:t>
      </w:r>
      <w:r w:rsidRPr="00C36DDA">
        <w:rPr>
          <w:bCs/>
          <w:noProof/>
        </w:rPr>
        <w:t>about</w:t>
      </w:r>
      <w:r w:rsidRPr="00C36DDA">
        <w:rPr>
          <w:rFonts w:hint="cs"/>
          <w:bCs/>
          <w:noProof/>
        </w:rPr>
        <w:t xml:space="preserve"> NIS 70 million were utilized). Even though in these years the RSA transferred an annual budget of NIS 120 million to the </w:t>
      </w:r>
      <w:r w:rsidRPr="00C36DDA">
        <w:rPr>
          <w:bCs/>
          <w:noProof/>
        </w:rPr>
        <w:t>MOT</w:t>
      </w:r>
      <w:r w:rsidRPr="00C36DDA">
        <w:rPr>
          <w:rFonts w:hint="cs"/>
          <w:bCs/>
          <w:noProof/>
        </w:rPr>
        <w:t xml:space="preserve"> </w:t>
      </w:r>
      <w:r w:rsidRPr="00C36DDA">
        <w:rPr>
          <w:bCs/>
          <w:noProof/>
        </w:rPr>
        <w:t>to</w:t>
      </w:r>
      <w:r w:rsidRPr="00C36DDA">
        <w:rPr>
          <w:rFonts w:hint="cs"/>
          <w:bCs/>
          <w:noProof/>
        </w:rPr>
        <w:t xml:space="preserve"> improv</w:t>
      </w:r>
      <w:r w:rsidRPr="00C36DDA">
        <w:rPr>
          <w:bCs/>
          <w:noProof/>
        </w:rPr>
        <w:t>e</w:t>
      </w:r>
      <w:r w:rsidRPr="00C36DDA">
        <w:rPr>
          <w:rFonts w:hint="cs"/>
          <w:bCs/>
          <w:noProof/>
        </w:rPr>
        <w:t xml:space="preserve"> safety in cities and towns, part of this budget was used for other purposes by the </w:t>
      </w:r>
      <w:r w:rsidRPr="00C36DDA">
        <w:rPr>
          <w:bCs/>
          <w:noProof/>
        </w:rPr>
        <w:t>MOT</w:t>
      </w:r>
      <w:r w:rsidRPr="00C36DDA">
        <w:rPr>
          <w:rFonts w:hint="cs"/>
          <w:bCs/>
          <w:noProof/>
        </w:rPr>
        <w:t>, which did not align with the budget</w:t>
      </w:r>
      <w:r w:rsidRPr="00C36DDA">
        <w:rPr>
          <w:bCs/>
          <w:noProof/>
        </w:rPr>
        <w:t>'s</w:t>
      </w:r>
      <w:r w:rsidRPr="00C36DDA">
        <w:rPr>
          <w:rFonts w:hint="cs"/>
          <w:bCs/>
          <w:noProof/>
        </w:rPr>
        <w:t xml:space="preserve"> original designation</w:t>
      </w:r>
      <w:r>
        <w:rPr>
          <w:noProof/>
        </w:rPr>
        <w:t>.</w:t>
      </w:r>
    </w:p>
    <w:p w:rsidR="00436EFE" w:rsidP="00436EFE" w14:paraId="1E20C094" w14:textId="36C9B3D5">
      <w:pPr>
        <w:pStyle w:val="7191"/>
        <w:bidi w:val="0"/>
        <w:spacing w:before="240"/>
        <w:ind w:left="397"/>
        <w:rPr>
          <w:noProof/>
        </w:rPr>
      </w:pPr>
      <w:r w:rsidRPr="00081B5E">
        <w:rPr>
          <w:rFonts w:hint="cs"/>
          <w:b/>
          <w:bCs/>
          <w:noProof/>
          <w:rtl/>
        </w:rPr>
        <w:drawing>
          <wp:anchor distT="0" distB="0" distL="0" distR="0" simplePos="0" relativeHeight="251786240"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9088610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6100"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81B5E">
        <w:rPr>
          <w:rFonts w:hint="cs"/>
          <w:b/>
          <w:bCs/>
          <w:noProof/>
        </w:rPr>
        <w:t xml:space="preserve">Involvement of the RSA in </w:t>
      </w:r>
      <w:r w:rsidRPr="00081B5E">
        <w:rPr>
          <w:b/>
          <w:bCs/>
          <w:noProof/>
        </w:rPr>
        <w:t>A</w:t>
      </w:r>
      <w:r w:rsidRPr="00081B5E">
        <w:rPr>
          <w:rFonts w:hint="cs"/>
          <w:b/>
          <w:bCs/>
          <w:noProof/>
        </w:rPr>
        <w:t xml:space="preserve">llocating </w:t>
      </w:r>
      <w:r w:rsidRPr="00081B5E">
        <w:rPr>
          <w:b/>
          <w:bCs/>
          <w:noProof/>
        </w:rPr>
        <w:t>B</w:t>
      </w:r>
      <w:r w:rsidRPr="00081B5E">
        <w:rPr>
          <w:rFonts w:hint="cs"/>
          <w:b/>
          <w:bCs/>
          <w:noProof/>
        </w:rPr>
        <w:t xml:space="preserve">udgets for </w:t>
      </w:r>
      <w:r w:rsidRPr="00081B5E">
        <w:rPr>
          <w:b/>
          <w:bCs/>
          <w:noProof/>
        </w:rPr>
        <w:t>S</w:t>
      </w:r>
      <w:r w:rsidRPr="00081B5E">
        <w:rPr>
          <w:rFonts w:hint="cs"/>
          <w:b/>
          <w:bCs/>
          <w:noProof/>
        </w:rPr>
        <w:t xml:space="preserve">afety </w:t>
      </w:r>
      <w:r w:rsidRPr="00081B5E">
        <w:rPr>
          <w:b/>
          <w:bCs/>
          <w:noProof/>
        </w:rPr>
        <w:t>P</w:t>
      </w:r>
      <w:r w:rsidRPr="00081B5E">
        <w:rPr>
          <w:rFonts w:hint="cs"/>
          <w:b/>
          <w:bCs/>
          <w:noProof/>
        </w:rPr>
        <w:t>rojects</w:t>
      </w:r>
      <w:r w:rsidRPr="00081B5E">
        <w:rPr>
          <w:b/>
          <w:bCs/>
          <w:noProof/>
        </w:rPr>
        <w:t xml:space="preserve"> –</w:t>
      </w:r>
      <w:r w:rsidRPr="00C36DDA">
        <w:rPr>
          <w:rFonts w:hint="cs"/>
          <w:bCs/>
          <w:noProof/>
        </w:rPr>
        <w:t xml:space="preserve"> the current work method, whereby budgets are transferred from the RSA to the </w:t>
      </w:r>
      <w:r w:rsidRPr="00C36DDA">
        <w:rPr>
          <w:bCs/>
          <w:noProof/>
        </w:rPr>
        <w:t>MOT</w:t>
      </w:r>
      <w:r w:rsidRPr="00C36DDA">
        <w:rPr>
          <w:rFonts w:hint="cs"/>
          <w:bCs/>
          <w:noProof/>
        </w:rPr>
        <w:t xml:space="preserve">, which then decides on their allocation to various authorities, does not allow the RSA to fulfill its legal responsibility, i.e., to increase funding for improving transportation infrastructure and road safety measures in urban areas, and supervise the implementation of the funded actions. The RSA is legally required to establish funding criteria with the approval of the Minister of Transportation; however, the </w:t>
      </w:r>
      <w:r w:rsidRPr="00C36DDA">
        <w:rPr>
          <w:bCs/>
          <w:noProof/>
        </w:rPr>
        <w:t>MOT</w:t>
      </w:r>
      <w:r w:rsidRPr="00C36DDA">
        <w:rPr>
          <w:rFonts w:hint="cs"/>
          <w:bCs/>
          <w:noProof/>
        </w:rPr>
        <w:t xml:space="preserve"> sets the criteria for projects receiving funding assistance without RSA involvement. The RSA has no control over </w:t>
      </w:r>
      <w:r w:rsidRPr="00C36DDA">
        <w:rPr>
          <w:bCs/>
          <w:noProof/>
        </w:rPr>
        <w:t xml:space="preserve">allocating and </w:t>
      </w:r>
      <w:r w:rsidRPr="00C36DDA">
        <w:rPr>
          <w:bCs/>
          <w:noProof/>
        </w:rPr>
        <w:t>utilizing</w:t>
      </w:r>
      <w:r w:rsidRPr="00C36DDA">
        <w:rPr>
          <w:rFonts w:hint="cs"/>
          <w:bCs/>
          <w:noProof/>
        </w:rPr>
        <w:t xml:space="preserve"> the budgets it transfers to the </w:t>
      </w:r>
      <w:r w:rsidRPr="00C36DDA">
        <w:rPr>
          <w:bCs/>
          <w:noProof/>
        </w:rPr>
        <w:t>MOT. It does no</w:t>
      </w:r>
      <w:r w:rsidRPr="00C36DDA">
        <w:rPr>
          <w:rFonts w:hint="cs"/>
          <w:bCs/>
          <w:noProof/>
        </w:rPr>
        <w:t xml:space="preserve">t have the means of monitoring and ensuring that these budgets are </w:t>
      </w:r>
      <w:r w:rsidRPr="00C36DDA">
        <w:rPr>
          <w:bCs/>
          <w:noProof/>
        </w:rPr>
        <w:t>used to improve</w:t>
      </w:r>
      <w:r w:rsidRPr="00C36DDA">
        <w:rPr>
          <w:rFonts w:hint="cs"/>
          <w:bCs/>
          <w:noProof/>
        </w:rPr>
        <w:t xml:space="preserve"> road safety in local authorities</w:t>
      </w:r>
      <w:r>
        <w:rPr>
          <w:noProof/>
        </w:rPr>
        <w:t>.</w:t>
      </w:r>
    </w:p>
    <w:p w:rsidR="00436EFE" w:rsidP="00436EFE" w14:paraId="762CF819" w14:textId="588B4920">
      <w:pPr>
        <w:pStyle w:val="7191"/>
        <w:bidi w:val="0"/>
        <w:spacing w:before="240"/>
        <w:ind w:left="397"/>
        <w:rPr>
          <w:noProof/>
        </w:rPr>
      </w:pPr>
      <w:r w:rsidRPr="00081B5E">
        <w:rPr>
          <w:rFonts w:hint="cs"/>
          <w:b/>
          <w:bCs/>
          <w:noProof/>
          <w:rtl/>
        </w:rPr>
        <w:drawing>
          <wp:anchor distT="0" distB="0" distL="0" distR="0" simplePos="0" relativeHeight="251787264"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71659281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592812"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81B5E">
        <w:rPr>
          <w:rFonts w:hint="cs"/>
          <w:b/>
          <w:bCs/>
          <w:noProof/>
        </w:rPr>
        <w:t xml:space="preserve">Safety </w:t>
      </w:r>
      <w:r w:rsidRPr="00081B5E">
        <w:rPr>
          <w:b/>
          <w:bCs/>
          <w:noProof/>
        </w:rPr>
        <w:t>P</w:t>
      </w:r>
      <w:r w:rsidRPr="00081B5E">
        <w:rPr>
          <w:rFonts w:hint="cs"/>
          <w:b/>
          <w:bCs/>
          <w:noProof/>
        </w:rPr>
        <w:t xml:space="preserve">rojects in </w:t>
      </w:r>
      <w:r w:rsidRPr="00081B5E">
        <w:rPr>
          <w:b/>
          <w:bCs/>
          <w:noProof/>
        </w:rPr>
        <w:t>L</w:t>
      </w:r>
      <w:r w:rsidRPr="00081B5E">
        <w:rPr>
          <w:rFonts w:hint="cs"/>
          <w:b/>
          <w:bCs/>
          <w:noProof/>
        </w:rPr>
        <w:t xml:space="preserve">ocal </w:t>
      </w:r>
      <w:r w:rsidRPr="00081B5E">
        <w:rPr>
          <w:b/>
          <w:bCs/>
          <w:noProof/>
        </w:rPr>
        <w:t>A</w:t>
      </w:r>
      <w:r w:rsidRPr="00081B5E">
        <w:rPr>
          <w:rFonts w:hint="cs"/>
          <w:b/>
          <w:bCs/>
          <w:noProof/>
        </w:rPr>
        <w:t>uthorities</w:t>
      </w:r>
      <w:r w:rsidRPr="00081B5E">
        <w:rPr>
          <w:b/>
          <w:bCs/>
          <w:noProof/>
        </w:rPr>
        <w:t xml:space="preserve"> –</w:t>
      </w:r>
      <w:r w:rsidRPr="00C36DDA">
        <w:rPr>
          <w:rFonts w:hint="cs"/>
          <w:bCs/>
          <w:noProof/>
        </w:rPr>
        <w:t xml:space="preserve"> in 2017</w:t>
      </w:r>
      <w:r w:rsidRPr="00C36DDA">
        <w:rPr>
          <w:noProof/>
        </w:rPr>
        <w:t>–</w:t>
      </w:r>
      <w:r w:rsidRPr="00C36DDA">
        <w:rPr>
          <w:rFonts w:hint="cs"/>
          <w:bCs/>
          <w:noProof/>
        </w:rPr>
        <w:t xml:space="preserve">2019, a significant portion of safety projects in local authorities approved for funding by the </w:t>
      </w:r>
      <w:r w:rsidRPr="00C36DDA">
        <w:rPr>
          <w:bCs/>
          <w:noProof/>
        </w:rPr>
        <w:t>MOT</w:t>
      </w:r>
      <w:r w:rsidRPr="00C36DDA">
        <w:rPr>
          <w:rFonts w:hint="cs"/>
          <w:bCs/>
          <w:noProof/>
        </w:rPr>
        <w:t xml:space="preserve"> as part of the call for proposals process </w:t>
      </w:r>
      <w:r w:rsidRPr="00C36DDA">
        <w:rPr>
          <w:bCs/>
          <w:noProof/>
        </w:rPr>
        <w:t xml:space="preserve">was not carried out </w:t>
      </w:r>
      <w:r w:rsidRPr="00C36DDA">
        <w:rPr>
          <w:rFonts w:hint="cs"/>
          <w:bCs/>
          <w:noProof/>
        </w:rPr>
        <w:t xml:space="preserve">at all. </w:t>
      </w:r>
      <w:r w:rsidRPr="00C36DDA">
        <w:rPr>
          <w:bCs/>
          <w:noProof/>
        </w:rPr>
        <w:t>The budget was not utilized at all in 44% to 71% of the projects</w:t>
      </w:r>
      <w:r w:rsidRPr="00C36DDA">
        <w:rPr>
          <w:rFonts w:hint="cs"/>
          <w:bCs/>
          <w:noProof/>
        </w:rPr>
        <w:t xml:space="preserve">. This is despite the </w:t>
      </w:r>
      <w:r w:rsidRPr="00C36DDA">
        <w:rPr>
          <w:bCs/>
          <w:noProof/>
        </w:rPr>
        <w:t>MOT</w:t>
      </w:r>
      <w:r w:rsidRPr="00C36DDA">
        <w:rPr>
          <w:rFonts w:hint="cs"/>
          <w:bCs/>
          <w:noProof/>
        </w:rPr>
        <w:t>'s regulations</w:t>
      </w:r>
      <w:r w:rsidRPr="00C36DDA">
        <w:rPr>
          <w:bCs/>
          <w:noProof/>
        </w:rPr>
        <w:t>, which state that</w:t>
      </w:r>
      <w:r w:rsidRPr="00C36DDA">
        <w:rPr>
          <w:rFonts w:hint="cs"/>
          <w:bCs/>
          <w:noProof/>
        </w:rPr>
        <w:t xml:space="preserve"> projects should begin within a year from the day of receiving budgetary authorization. Even among the projects that did commence, there were those where budget utilization was low. For instance, in 12% to 15% of the projects during these years, the budget utilization rate was less than 50%, despite authorizations being valid for three years and these projects being supposed to have already been completed. This means that approved safety projects were </w:t>
      </w:r>
      <w:r w:rsidRPr="00C36DDA">
        <w:rPr>
          <w:bCs/>
          <w:noProof/>
        </w:rPr>
        <w:t xml:space="preserve">not advance and no </w:t>
      </w:r>
      <w:r w:rsidRPr="00C36DDA">
        <w:rPr>
          <w:rFonts w:hint="cs"/>
          <w:bCs/>
          <w:noProof/>
        </w:rPr>
        <w:t>solution</w:t>
      </w:r>
      <w:r w:rsidRPr="00C36DDA">
        <w:rPr>
          <w:bCs/>
          <w:noProof/>
        </w:rPr>
        <w:t xml:space="preserve"> was given to </w:t>
      </w:r>
      <w:r w:rsidRPr="00C36DDA">
        <w:rPr>
          <w:rFonts w:hint="cs"/>
          <w:bCs/>
          <w:noProof/>
        </w:rPr>
        <w:t>the safety issues identified in the cities and towns</w:t>
      </w:r>
      <w:r>
        <w:rPr>
          <w:noProof/>
        </w:rPr>
        <w:t>.</w:t>
      </w:r>
    </w:p>
    <w:p w:rsidR="00436EFE" w:rsidP="00436EFE" w14:paraId="61393687" w14:textId="1BC2B127">
      <w:pPr>
        <w:pStyle w:val="7191"/>
        <w:bidi w:val="0"/>
        <w:spacing w:before="240"/>
        <w:ind w:left="397"/>
        <w:rPr>
          <w:noProof/>
        </w:rPr>
      </w:pPr>
      <w:r w:rsidRPr="00081B5E">
        <w:rPr>
          <w:rFonts w:hint="cs"/>
          <w:b/>
          <w:bCs/>
          <w:noProof/>
          <w:rtl/>
        </w:rPr>
        <w:drawing>
          <wp:anchor distT="0" distB="0" distL="0" distR="0" simplePos="0" relativeHeight="251788288"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76595597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55975"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81B5E">
        <w:rPr>
          <w:rFonts w:hint="cs"/>
          <w:b/>
          <w:bCs/>
          <w:noProof/>
        </w:rPr>
        <w:t xml:space="preserve">Monitoring </w:t>
      </w:r>
      <w:r w:rsidRPr="00081B5E">
        <w:rPr>
          <w:b/>
          <w:bCs/>
          <w:noProof/>
        </w:rPr>
        <w:t>P</w:t>
      </w:r>
      <w:r w:rsidRPr="00081B5E">
        <w:rPr>
          <w:rFonts w:hint="cs"/>
          <w:b/>
          <w:bCs/>
          <w:noProof/>
        </w:rPr>
        <w:t xml:space="preserve">roject </w:t>
      </w:r>
      <w:r w:rsidRPr="00081B5E">
        <w:rPr>
          <w:b/>
          <w:bCs/>
          <w:noProof/>
        </w:rPr>
        <w:t>I</w:t>
      </w:r>
      <w:r w:rsidRPr="00081B5E">
        <w:rPr>
          <w:rFonts w:hint="cs"/>
          <w:b/>
          <w:bCs/>
          <w:noProof/>
        </w:rPr>
        <w:t xml:space="preserve">mplementation and </w:t>
      </w:r>
      <w:r w:rsidRPr="00081B5E">
        <w:rPr>
          <w:b/>
          <w:bCs/>
          <w:noProof/>
        </w:rPr>
        <w:t>L</w:t>
      </w:r>
      <w:r w:rsidRPr="00081B5E">
        <w:rPr>
          <w:rFonts w:hint="cs"/>
          <w:b/>
          <w:bCs/>
          <w:noProof/>
        </w:rPr>
        <w:t xml:space="preserve">earning </w:t>
      </w:r>
      <w:r w:rsidRPr="00081B5E">
        <w:rPr>
          <w:b/>
          <w:bCs/>
          <w:noProof/>
        </w:rPr>
        <w:t>L</w:t>
      </w:r>
      <w:r w:rsidRPr="00081B5E">
        <w:rPr>
          <w:rFonts w:hint="cs"/>
          <w:b/>
          <w:bCs/>
          <w:noProof/>
        </w:rPr>
        <w:t>essons</w:t>
      </w:r>
      <w:r w:rsidRPr="00081B5E">
        <w:rPr>
          <w:b/>
          <w:bCs/>
          <w:noProof/>
        </w:rPr>
        <w:t xml:space="preserve"> –</w:t>
      </w:r>
      <w:r w:rsidRPr="00C36DDA">
        <w:rPr>
          <w:rFonts w:hint="cs"/>
          <w:bCs/>
          <w:noProof/>
        </w:rPr>
        <w:t xml:space="preserve"> the </w:t>
      </w:r>
      <w:r w:rsidRPr="00C36DDA">
        <w:rPr>
          <w:bCs/>
          <w:noProof/>
        </w:rPr>
        <w:t>MOT</w:t>
      </w:r>
      <w:r w:rsidRPr="00C36DDA">
        <w:rPr>
          <w:rFonts w:hint="cs"/>
          <w:bCs/>
          <w:noProof/>
        </w:rPr>
        <w:t xml:space="preserve"> does not collect data on applications that were submitted but did not receive budget approval, and it lacks an information system for managing data on all projects. Therefore, it </w:t>
      </w:r>
      <w:r w:rsidRPr="00C36DDA">
        <w:rPr>
          <w:bCs/>
          <w:noProof/>
        </w:rPr>
        <w:t>cannot</w:t>
      </w:r>
      <w:r w:rsidRPr="00C36DDA">
        <w:rPr>
          <w:rFonts w:hint="cs"/>
          <w:bCs/>
          <w:noProof/>
        </w:rPr>
        <w:t xml:space="preserve"> gather information on all projects or assess the scope of needs in local authorities, </w:t>
      </w:r>
      <w:r w:rsidRPr="00C36DDA">
        <w:rPr>
          <w:bCs/>
          <w:noProof/>
        </w:rPr>
        <w:t xml:space="preserve">and </w:t>
      </w:r>
      <w:r w:rsidRPr="00C36DDA">
        <w:rPr>
          <w:rFonts w:hint="cs"/>
          <w:bCs/>
          <w:noProof/>
        </w:rPr>
        <w:t xml:space="preserve">it </w:t>
      </w:r>
      <w:r w:rsidRPr="00C36DDA">
        <w:rPr>
          <w:bCs/>
          <w:noProof/>
        </w:rPr>
        <w:t xml:space="preserve">is </w:t>
      </w:r>
      <w:r w:rsidRPr="00C36DDA">
        <w:rPr>
          <w:rFonts w:hint="cs"/>
          <w:bCs/>
          <w:noProof/>
        </w:rPr>
        <w:t>difficult to track the stages of project progress. Furthermore, there is no follow-up on the benefits of projects after their completion</w:t>
      </w:r>
      <w:r>
        <w:rPr>
          <w:noProof/>
        </w:rPr>
        <w:t>.</w:t>
      </w:r>
    </w:p>
    <w:p w:rsidR="00436EFE" w:rsidP="00436EFE" w14:paraId="45A52048" w14:textId="27B0307E">
      <w:pPr>
        <w:pStyle w:val="7191"/>
        <w:bidi w:val="0"/>
        <w:spacing w:before="240"/>
        <w:ind w:left="397"/>
        <w:rPr>
          <w:noProof/>
        </w:rPr>
      </w:pPr>
      <w:r w:rsidRPr="00081B5E">
        <w:rPr>
          <w:rFonts w:hint="cs"/>
          <w:b/>
          <w:bCs/>
          <w:noProof/>
          <w:rtl/>
        </w:rPr>
        <w:drawing>
          <wp:anchor distT="0" distB="0" distL="0" distR="0" simplePos="0" relativeHeight="251789312"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77485146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851469"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81B5E">
        <w:rPr>
          <w:rFonts w:hint="cs"/>
          <w:b/>
          <w:bCs/>
          <w:noProof/>
        </w:rPr>
        <w:t xml:space="preserve">RSA </w:t>
      </w:r>
      <w:r w:rsidRPr="00081B5E">
        <w:rPr>
          <w:b/>
          <w:bCs/>
          <w:noProof/>
        </w:rPr>
        <w:t>A</w:t>
      </w:r>
      <w:r w:rsidRPr="00081B5E">
        <w:rPr>
          <w:rFonts w:hint="cs"/>
          <w:b/>
          <w:bCs/>
          <w:noProof/>
        </w:rPr>
        <w:t xml:space="preserve">udits of </w:t>
      </w:r>
      <w:r w:rsidRPr="00081B5E">
        <w:rPr>
          <w:b/>
          <w:bCs/>
          <w:noProof/>
        </w:rPr>
        <w:t>L</w:t>
      </w:r>
      <w:r w:rsidRPr="00081B5E">
        <w:rPr>
          <w:rFonts w:hint="cs"/>
          <w:b/>
          <w:bCs/>
          <w:noProof/>
        </w:rPr>
        <w:t xml:space="preserve">ocal </w:t>
      </w:r>
      <w:r w:rsidRPr="00081B5E">
        <w:rPr>
          <w:b/>
          <w:bCs/>
          <w:noProof/>
        </w:rPr>
        <w:t>T</w:t>
      </w:r>
      <w:r w:rsidRPr="00081B5E">
        <w:rPr>
          <w:rFonts w:hint="cs"/>
          <w:b/>
          <w:bCs/>
          <w:noProof/>
        </w:rPr>
        <w:t xml:space="preserve">raffic </w:t>
      </w:r>
      <w:r w:rsidRPr="00081B5E">
        <w:rPr>
          <w:b/>
          <w:bCs/>
          <w:noProof/>
        </w:rPr>
        <w:t>S</w:t>
      </w:r>
      <w:r w:rsidRPr="00081B5E">
        <w:rPr>
          <w:rFonts w:hint="cs"/>
          <w:b/>
          <w:bCs/>
          <w:noProof/>
        </w:rPr>
        <w:t xml:space="preserve">ign </w:t>
      </w:r>
      <w:r w:rsidRPr="00081B5E">
        <w:rPr>
          <w:b/>
          <w:bCs/>
          <w:noProof/>
        </w:rPr>
        <w:t>A</w:t>
      </w:r>
      <w:r w:rsidRPr="00081B5E">
        <w:rPr>
          <w:rFonts w:hint="cs"/>
          <w:b/>
          <w:bCs/>
          <w:noProof/>
        </w:rPr>
        <w:t>uthorities</w:t>
      </w:r>
      <w:r w:rsidRPr="00081B5E">
        <w:rPr>
          <w:b/>
          <w:bCs/>
          <w:noProof/>
        </w:rPr>
        <w:t xml:space="preserve"> –</w:t>
      </w:r>
      <w:r w:rsidRPr="00C36DDA">
        <w:rPr>
          <w:rFonts w:hint="cs"/>
          <w:bCs/>
          <w:noProof/>
        </w:rPr>
        <w:t xml:space="preserve"> out of 283 local traffic sign authorities, the RSA has not audit 55 (including 45 municipal sign authorities). Specifically</w:t>
      </w:r>
      <w:r w:rsidRPr="00C36DDA">
        <w:rPr>
          <w:bCs/>
          <w:noProof/>
        </w:rPr>
        <w:t>,</w:t>
      </w:r>
      <w:r w:rsidRPr="00C36DDA">
        <w:rPr>
          <w:rFonts w:hint="cs"/>
          <w:bCs/>
          <w:noProof/>
        </w:rPr>
        <w:t xml:space="preserve"> in 2021, fewer audits were </w:t>
      </w:r>
      <w:r w:rsidRPr="00C36DDA">
        <w:rPr>
          <w:bCs/>
          <w:noProof/>
        </w:rPr>
        <w:t>perform</w:t>
      </w:r>
      <w:r w:rsidRPr="00C36DDA">
        <w:rPr>
          <w:rFonts w:hint="cs"/>
          <w:bCs/>
          <w:noProof/>
        </w:rPr>
        <w:t>ed compared to previous years (nine audits compared to an average of a</w:t>
      </w:r>
      <w:r w:rsidRPr="00C36DDA">
        <w:rPr>
          <w:bCs/>
          <w:noProof/>
        </w:rPr>
        <w:t>bout</w:t>
      </w:r>
      <w:r w:rsidRPr="00C36DDA">
        <w:rPr>
          <w:rFonts w:hint="cs"/>
          <w:bCs/>
          <w:noProof/>
        </w:rPr>
        <w:t xml:space="preserve"> 31 audits in 2014</w:t>
      </w:r>
      <w:r w:rsidRPr="00C36DDA">
        <w:rPr>
          <w:noProof/>
        </w:rPr>
        <w:t>–</w:t>
      </w:r>
      <w:r w:rsidRPr="00C36DDA">
        <w:rPr>
          <w:rFonts w:hint="cs"/>
          <w:bCs/>
          <w:noProof/>
        </w:rPr>
        <w:t xml:space="preserve">2020); in 2018, only one audit was conducted in local traffic sign authorities belonging to </w:t>
      </w:r>
      <w:r w:rsidRPr="00C36DDA">
        <w:rPr>
          <w:bCs/>
          <w:noProof/>
        </w:rPr>
        <w:t>local authorities</w:t>
      </w:r>
      <w:r w:rsidRPr="00C36DDA">
        <w:rPr>
          <w:rFonts w:hint="cs"/>
          <w:bCs/>
          <w:noProof/>
        </w:rPr>
        <w:t xml:space="preserve">, and in the following years, no audits at all were </w:t>
      </w:r>
      <w:r w:rsidRPr="00C36DDA">
        <w:rPr>
          <w:bCs/>
          <w:noProof/>
        </w:rPr>
        <w:t>undertaken</w:t>
      </w:r>
      <w:r w:rsidRPr="00C36DDA">
        <w:rPr>
          <w:rFonts w:hint="cs"/>
          <w:bCs/>
          <w:noProof/>
        </w:rPr>
        <w:t xml:space="preserve"> in these authorities. Even in the authorities where audits were conducted, no follow-up audits were performed in cases where many deficiencies were found. </w:t>
      </w:r>
      <w:r w:rsidRPr="00C36DDA">
        <w:rPr>
          <w:bCs/>
          <w:noProof/>
        </w:rPr>
        <w:t>Hence,</w:t>
      </w:r>
      <w:r w:rsidRPr="00C36DDA">
        <w:rPr>
          <w:rFonts w:hint="cs"/>
          <w:bCs/>
          <w:noProof/>
        </w:rPr>
        <w:t xml:space="preserve"> the existence of hazards could pose safety risks to road users</w:t>
      </w:r>
      <w:r>
        <w:rPr>
          <w:noProof/>
        </w:rPr>
        <w:t>.</w:t>
      </w:r>
    </w:p>
    <w:p w:rsidR="00436EFE" w:rsidRPr="00E83A18" w:rsidP="00436EFE" w14:paraId="50C6C8EF" w14:textId="77777777">
      <w:pPr>
        <w:pStyle w:val="7191"/>
        <w:bidi w:val="0"/>
        <w:spacing w:before="240"/>
        <w:ind w:left="397"/>
        <w:rPr>
          <w:noProof/>
        </w:rPr>
      </w:pPr>
    </w:p>
    <w:p w:rsidR="00436EFE" w:rsidP="00436EFE" w14:paraId="751747DF" w14:textId="77777777">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18107195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719547" name="Picture 10"/>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436EFE" w:rsidRPr="00902625" w:rsidP="00436EFE" w14:paraId="192D280E" w14:textId="77777777">
      <w:pPr>
        <w:bidi w:val="0"/>
        <w:spacing w:before="120" w:after="240" w:line="240" w:lineRule="atLeast"/>
        <w:rPr>
          <w:rFonts w:ascii="Tahoma" w:hAnsi="Tahoma" w:cs="Tahoma"/>
          <w:b/>
          <w:bCs/>
          <w:color w:val="00305F"/>
          <w:sz w:val="32"/>
          <w:szCs w:val="32"/>
          <w:rtl/>
        </w:rPr>
      </w:pPr>
      <w:r w:rsidRPr="00AE5F94">
        <w:rPr>
          <w:rFonts w:ascii="Tahoma" w:hAnsi="Tahoma" w:cs="Tahoma"/>
          <w:b/>
          <w:bCs/>
          <w:color w:val="00305F"/>
          <w:sz w:val="32"/>
          <w:szCs w:val="32"/>
        </w:rPr>
        <w:t xml:space="preserve">Key </w:t>
      </w:r>
      <w:r>
        <w:rPr>
          <w:rFonts w:ascii="Tahoma" w:hAnsi="Tahoma" w:cs="Tahoma"/>
          <w:b/>
          <w:bCs/>
          <w:color w:val="00305F"/>
          <w:sz w:val="32"/>
          <w:szCs w:val="32"/>
        </w:rPr>
        <w:t>R</w:t>
      </w:r>
      <w:r w:rsidRPr="00AE5F94">
        <w:rPr>
          <w:rFonts w:ascii="Tahoma" w:hAnsi="Tahoma" w:cs="Tahoma"/>
          <w:b/>
          <w:bCs/>
          <w:color w:val="00305F"/>
          <w:sz w:val="32"/>
          <w:szCs w:val="32"/>
        </w:rPr>
        <w:t>ecommendations</w:t>
      </w:r>
    </w:p>
    <w:p w:rsidR="00436EFE" w:rsidP="00436EFE" w14:paraId="7466663E" w14:textId="7608DD2D">
      <w:pPr>
        <w:pStyle w:val="ListParagraph"/>
        <w:numPr>
          <w:ilvl w:val="0"/>
          <w:numId w:val="0"/>
        </w:numPr>
        <w:bidi w:val="0"/>
        <w:spacing w:after="180" w:line="260" w:lineRule="exact"/>
        <w:ind w:left="397"/>
        <w:rPr>
          <w:noProof/>
          <w:spacing w:val="-4"/>
          <w:sz w:val="18"/>
          <w:szCs w:val="18"/>
        </w:rPr>
      </w:pPr>
      <w:r w:rsidRPr="0058257B">
        <w:rPr>
          <w:noProof/>
          <w:spacing w:val="-4"/>
          <w:sz w:val="18"/>
          <w:szCs w:val="18"/>
        </w:rPr>
        <w:drawing>
          <wp:anchor distT="0" distB="3600450" distL="114300" distR="114300" simplePos="0" relativeHeight="251790336"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676905724" name="תמונה 33"/>
            <wp:cNvGraphicFramePr/>
            <a:graphic xmlns:a="http://schemas.openxmlformats.org/drawingml/2006/main">
              <a:graphicData uri="http://schemas.openxmlformats.org/drawingml/2006/picture">
                <pic:pic xmlns:pic="http://schemas.openxmlformats.org/drawingml/2006/picture">
                  <pic:nvPicPr>
                    <pic:cNvPr id="676905724"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6EFE">
        <w:rPr>
          <w:noProof/>
          <w:spacing w:val="-4"/>
          <w:sz w:val="18"/>
          <w:szCs w:val="18"/>
        </w:rPr>
        <w:t>To prioritize safety projects it is recommended that the MOT and Netivei Israel consider, in collaboration with the RSA, adopting a model for ranking roads according to their danger level based on various characteristics, including mapping infrastructure and road hazards</w:t>
      </w:r>
      <w:r w:rsidRPr="0058257B">
        <w:rPr>
          <w:rFonts w:hint="cs"/>
          <w:noProof/>
          <w:spacing w:val="-4"/>
          <w:sz w:val="18"/>
          <w:szCs w:val="18"/>
        </w:rPr>
        <w:t xml:space="preserve">. </w:t>
      </w:r>
    </w:p>
    <w:p w:rsidR="00436EFE" w:rsidP="00436EFE" w14:paraId="5A7AE24F" w14:textId="54243A32">
      <w:pPr>
        <w:pStyle w:val="ListParagraph"/>
        <w:numPr>
          <w:ilvl w:val="0"/>
          <w:numId w:val="0"/>
        </w:numPr>
        <w:bidi w:val="0"/>
        <w:spacing w:after="180" w:line="260" w:lineRule="exact"/>
        <w:ind w:left="397"/>
        <w:rPr>
          <w:noProof/>
          <w:spacing w:val="-4"/>
          <w:sz w:val="18"/>
          <w:szCs w:val="18"/>
        </w:rPr>
      </w:pPr>
      <w:r w:rsidRPr="0058257B">
        <w:rPr>
          <w:noProof/>
          <w:spacing w:val="-4"/>
          <w:sz w:val="18"/>
          <w:szCs w:val="18"/>
        </w:rPr>
        <w:drawing>
          <wp:anchor distT="0" distB="3600450" distL="114300" distR="114300" simplePos="0" relativeHeight="251791360"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751507649" name="תמונה 33"/>
            <wp:cNvGraphicFramePr/>
            <a:graphic xmlns:a="http://schemas.openxmlformats.org/drawingml/2006/main">
              <a:graphicData uri="http://schemas.openxmlformats.org/drawingml/2006/picture">
                <pic:pic xmlns:pic="http://schemas.openxmlformats.org/drawingml/2006/picture">
                  <pic:nvPicPr>
                    <pic:cNvPr id="751507649"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6EFE">
        <w:rPr>
          <w:rFonts w:hint="cs"/>
          <w:noProof/>
          <w:spacing w:val="-4"/>
          <w:sz w:val="18"/>
          <w:szCs w:val="18"/>
        </w:rPr>
        <w:t xml:space="preserve">It is recommended that the </w:t>
      </w:r>
      <w:r w:rsidRPr="00436EFE">
        <w:rPr>
          <w:noProof/>
          <w:spacing w:val="-4"/>
          <w:sz w:val="18"/>
          <w:szCs w:val="18"/>
        </w:rPr>
        <w:t>MOT</w:t>
      </w:r>
      <w:r w:rsidRPr="00436EFE">
        <w:rPr>
          <w:rFonts w:hint="cs"/>
          <w:noProof/>
          <w:spacing w:val="-4"/>
          <w:sz w:val="18"/>
          <w:szCs w:val="18"/>
        </w:rPr>
        <w:t xml:space="preserve"> and Netivei Israel develop a multi-year plan to address the gaps identified in previous audit reports regarding road safety infrastructure on inter</w:t>
      </w:r>
      <w:r w:rsidRPr="00436EFE">
        <w:rPr>
          <w:noProof/>
          <w:spacing w:val="-4"/>
          <w:sz w:val="18"/>
          <w:szCs w:val="18"/>
        </w:rPr>
        <w:t>-</w:t>
      </w:r>
      <w:r w:rsidRPr="00436EFE">
        <w:rPr>
          <w:rFonts w:hint="cs"/>
          <w:noProof/>
          <w:spacing w:val="-4"/>
          <w:sz w:val="18"/>
          <w:szCs w:val="18"/>
        </w:rPr>
        <w:t xml:space="preserve">city roads. This includes infrastructure for heavy vehicles </w:t>
      </w:r>
      <w:r w:rsidRPr="00436EFE">
        <w:rPr>
          <w:noProof/>
          <w:spacing w:val="-4"/>
          <w:sz w:val="18"/>
          <w:szCs w:val="18"/>
        </w:rPr>
        <w:t>(</w:t>
      </w:r>
      <w:r w:rsidRPr="00436EFE">
        <w:rPr>
          <w:rFonts w:hint="cs"/>
          <w:noProof/>
          <w:spacing w:val="-4"/>
          <w:sz w:val="18"/>
          <w:szCs w:val="18"/>
        </w:rPr>
        <w:t xml:space="preserve">widening shoulders, establishing rest </w:t>
      </w:r>
      <w:r w:rsidRPr="00436EFE">
        <w:rPr>
          <w:rFonts w:hint="cs"/>
          <w:noProof/>
          <w:spacing w:val="-4"/>
          <w:sz w:val="18"/>
          <w:szCs w:val="18"/>
        </w:rPr>
        <w:t>areas, stop</w:t>
      </w:r>
      <w:r w:rsidRPr="00436EFE">
        <w:rPr>
          <w:noProof/>
          <w:spacing w:val="-4"/>
          <w:sz w:val="18"/>
          <w:szCs w:val="18"/>
        </w:rPr>
        <w:t>ing</w:t>
      </w:r>
      <w:r w:rsidRPr="00436EFE">
        <w:rPr>
          <w:rFonts w:hint="cs"/>
          <w:noProof/>
          <w:spacing w:val="-4"/>
          <w:sz w:val="18"/>
          <w:szCs w:val="18"/>
        </w:rPr>
        <w:t xml:space="preserve"> bays, and crawler lanes</w:t>
      </w:r>
      <w:r w:rsidRPr="00436EFE">
        <w:rPr>
          <w:noProof/>
          <w:spacing w:val="-4"/>
          <w:sz w:val="18"/>
          <w:szCs w:val="18"/>
        </w:rPr>
        <w:t>),</w:t>
      </w:r>
      <w:r w:rsidRPr="00436EFE">
        <w:rPr>
          <w:rFonts w:hint="cs"/>
          <w:noProof/>
          <w:spacing w:val="-4"/>
          <w:sz w:val="18"/>
          <w:szCs w:val="18"/>
        </w:rPr>
        <w:t xml:space="preserve"> road maintenance and upgrading safety along </w:t>
      </w:r>
      <w:r w:rsidRPr="00436EFE">
        <w:rPr>
          <w:noProof/>
          <w:spacing w:val="-4"/>
          <w:sz w:val="18"/>
          <w:szCs w:val="18"/>
        </w:rPr>
        <w:t>the</w:t>
      </w:r>
      <w:r w:rsidRPr="00436EFE">
        <w:rPr>
          <w:rFonts w:hint="cs"/>
          <w:noProof/>
          <w:spacing w:val="-4"/>
          <w:sz w:val="18"/>
          <w:szCs w:val="18"/>
        </w:rPr>
        <w:t xml:space="preserve"> entire length</w:t>
      </w:r>
      <w:r w:rsidRPr="00436EFE">
        <w:rPr>
          <w:noProof/>
          <w:spacing w:val="-4"/>
          <w:sz w:val="18"/>
          <w:szCs w:val="18"/>
        </w:rPr>
        <w:t xml:space="preserve"> </w:t>
      </w:r>
      <w:r w:rsidRPr="00436EFE">
        <w:rPr>
          <w:rFonts w:hint="cs"/>
          <w:noProof/>
          <w:spacing w:val="-4"/>
          <w:sz w:val="18"/>
          <w:szCs w:val="18"/>
        </w:rPr>
        <w:t>o</w:t>
      </w:r>
      <w:r w:rsidRPr="00436EFE">
        <w:rPr>
          <w:noProof/>
          <w:spacing w:val="-4"/>
          <w:sz w:val="18"/>
          <w:szCs w:val="18"/>
        </w:rPr>
        <w:t>f</w:t>
      </w:r>
      <w:r w:rsidRPr="00436EFE">
        <w:rPr>
          <w:rFonts w:hint="cs"/>
          <w:noProof/>
          <w:spacing w:val="-4"/>
          <w:sz w:val="18"/>
          <w:szCs w:val="18"/>
        </w:rPr>
        <w:t xml:space="preserve"> Route 90</w:t>
      </w:r>
      <w:r w:rsidRPr="0058257B">
        <w:rPr>
          <w:rFonts w:hint="cs"/>
          <w:noProof/>
          <w:spacing w:val="-4"/>
          <w:sz w:val="18"/>
          <w:szCs w:val="18"/>
        </w:rPr>
        <w:t xml:space="preserve">. </w:t>
      </w:r>
    </w:p>
    <w:p w:rsidR="00436EFE" w:rsidP="00436EFE" w14:paraId="212AA670" w14:textId="0B1BAE93">
      <w:pPr>
        <w:pStyle w:val="ListParagraph"/>
        <w:numPr>
          <w:ilvl w:val="0"/>
          <w:numId w:val="0"/>
        </w:numPr>
        <w:bidi w:val="0"/>
        <w:spacing w:after="180" w:line="260" w:lineRule="exact"/>
        <w:ind w:left="397"/>
        <w:rPr>
          <w:noProof/>
          <w:spacing w:val="-4"/>
          <w:sz w:val="18"/>
          <w:szCs w:val="18"/>
        </w:rPr>
      </w:pPr>
      <w:r w:rsidRPr="0058257B">
        <w:rPr>
          <w:noProof/>
          <w:spacing w:val="-4"/>
          <w:sz w:val="18"/>
          <w:szCs w:val="18"/>
        </w:rPr>
        <w:drawing>
          <wp:anchor distT="0" distB="3600450" distL="114300" distR="114300" simplePos="0" relativeHeight="251792384"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948445339" name="תמונה 33"/>
            <wp:cNvGraphicFramePr/>
            <a:graphic xmlns:a="http://schemas.openxmlformats.org/drawingml/2006/main">
              <a:graphicData uri="http://schemas.openxmlformats.org/drawingml/2006/picture">
                <pic:pic xmlns:pic="http://schemas.openxmlformats.org/drawingml/2006/picture">
                  <pic:nvPicPr>
                    <pic:cNvPr id="1948445339"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6EFE">
        <w:rPr>
          <w:rFonts w:hint="cs"/>
          <w:noProof/>
          <w:spacing w:val="-4"/>
          <w:sz w:val="18"/>
          <w:szCs w:val="18"/>
        </w:rPr>
        <w:t xml:space="preserve">It is recommended that Netivei Israel, the </w:t>
      </w:r>
      <w:r w:rsidRPr="00436EFE">
        <w:rPr>
          <w:noProof/>
          <w:spacing w:val="-4"/>
          <w:sz w:val="18"/>
          <w:szCs w:val="18"/>
        </w:rPr>
        <w:t>MOT</w:t>
      </w:r>
      <w:r w:rsidRPr="00436EFE">
        <w:rPr>
          <w:rFonts w:hint="cs"/>
          <w:noProof/>
          <w:spacing w:val="-4"/>
          <w:sz w:val="18"/>
          <w:szCs w:val="18"/>
        </w:rPr>
        <w:t>, and the Ministry of Finance formulat</w:t>
      </w:r>
      <w:r w:rsidRPr="00436EFE">
        <w:rPr>
          <w:noProof/>
          <w:spacing w:val="-4"/>
          <w:sz w:val="18"/>
          <w:szCs w:val="18"/>
        </w:rPr>
        <w:t>e</w:t>
      </w:r>
      <w:r w:rsidRPr="00436EFE">
        <w:rPr>
          <w:rFonts w:hint="cs"/>
          <w:noProof/>
          <w:spacing w:val="-4"/>
          <w:sz w:val="18"/>
          <w:szCs w:val="18"/>
        </w:rPr>
        <w:t xml:space="preserve"> and approv</w:t>
      </w:r>
      <w:r w:rsidRPr="00436EFE">
        <w:rPr>
          <w:noProof/>
          <w:spacing w:val="-4"/>
          <w:sz w:val="18"/>
          <w:szCs w:val="18"/>
        </w:rPr>
        <w:t xml:space="preserve">e </w:t>
      </w:r>
      <w:r w:rsidRPr="00436EFE">
        <w:rPr>
          <w:rFonts w:hint="cs"/>
          <w:noProof/>
          <w:spacing w:val="-4"/>
          <w:sz w:val="18"/>
          <w:szCs w:val="18"/>
        </w:rPr>
        <w:t xml:space="preserve">Netivei Israel’s five-year plan </w:t>
      </w:r>
      <w:r w:rsidRPr="00436EFE">
        <w:rPr>
          <w:noProof/>
          <w:spacing w:val="-4"/>
          <w:sz w:val="18"/>
          <w:szCs w:val="18"/>
        </w:rPr>
        <w:t xml:space="preserve">and </w:t>
      </w:r>
      <w:r w:rsidRPr="00436EFE">
        <w:rPr>
          <w:rFonts w:hint="cs"/>
          <w:noProof/>
          <w:spacing w:val="-4"/>
          <w:sz w:val="18"/>
          <w:szCs w:val="18"/>
        </w:rPr>
        <w:t>determin</w:t>
      </w:r>
      <w:r w:rsidRPr="00436EFE">
        <w:rPr>
          <w:noProof/>
          <w:spacing w:val="-4"/>
          <w:sz w:val="18"/>
          <w:szCs w:val="18"/>
        </w:rPr>
        <w:t>e</w:t>
      </w:r>
      <w:r w:rsidRPr="00436EFE">
        <w:rPr>
          <w:rFonts w:hint="cs"/>
          <w:noProof/>
          <w:spacing w:val="-4"/>
          <w:sz w:val="18"/>
          <w:szCs w:val="18"/>
        </w:rPr>
        <w:t xml:space="preserve"> the resources allocated to high-risk areas while considering the economic costs incurred from road accidents. </w:t>
      </w:r>
      <w:r w:rsidRPr="00436EFE">
        <w:rPr>
          <w:noProof/>
          <w:spacing w:val="-4"/>
          <w:sz w:val="18"/>
          <w:szCs w:val="18"/>
        </w:rPr>
        <w:t>The actual funding during the program years should</w:t>
      </w:r>
      <w:r w:rsidRPr="00436EFE">
        <w:rPr>
          <w:rFonts w:hint="cs"/>
          <w:noProof/>
          <w:spacing w:val="-4"/>
          <w:sz w:val="18"/>
          <w:szCs w:val="18"/>
        </w:rPr>
        <w:t xml:space="preserve"> match the amounts specified in the five-year plan</w:t>
      </w:r>
      <w:r w:rsidRPr="0058257B">
        <w:rPr>
          <w:rFonts w:hint="cs"/>
          <w:noProof/>
          <w:spacing w:val="-4"/>
          <w:sz w:val="18"/>
          <w:szCs w:val="18"/>
        </w:rPr>
        <w:t xml:space="preserve">. </w:t>
      </w:r>
    </w:p>
    <w:p w:rsidR="00436EFE" w:rsidP="00436EFE" w14:paraId="7A6469F5" w14:textId="3327A88F">
      <w:pPr>
        <w:pStyle w:val="ListParagraph"/>
        <w:numPr>
          <w:ilvl w:val="0"/>
          <w:numId w:val="0"/>
        </w:numPr>
        <w:bidi w:val="0"/>
        <w:spacing w:after="180" w:line="260" w:lineRule="exact"/>
        <w:ind w:left="397"/>
        <w:rPr>
          <w:noProof/>
          <w:spacing w:val="-4"/>
          <w:sz w:val="18"/>
          <w:szCs w:val="18"/>
        </w:rPr>
      </w:pPr>
      <w:r w:rsidRPr="0058257B">
        <w:rPr>
          <w:noProof/>
          <w:spacing w:val="-4"/>
          <w:sz w:val="18"/>
          <w:szCs w:val="18"/>
        </w:rPr>
        <w:drawing>
          <wp:anchor distT="0" distB="3600450" distL="114300" distR="114300" simplePos="0" relativeHeight="25179340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2044279233" name="תמונה 33"/>
            <wp:cNvGraphicFramePr/>
            <a:graphic xmlns:a="http://schemas.openxmlformats.org/drawingml/2006/main">
              <a:graphicData uri="http://schemas.openxmlformats.org/drawingml/2006/picture">
                <pic:pic xmlns:pic="http://schemas.openxmlformats.org/drawingml/2006/picture">
                  <pic:nvPicPr>
                    <pic:cNvPr id="2044279233"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6EFE">
        <w:rPr>
          <w:rFonts w:hint="cs"/>
          <w:noProof/>
          <w:spacing w:val="-4"/>
          <w:sz w:val="18"/>
          <w:szCs w:val="18"/>
        </w:rPr>
        <w:t xml:space="preserve">It is recommended that the RSA and the </w:t>
      </w:r>
      <w:r w:rsidRPr="00436EFE">
        <w:rPr>
          <w:noProof/>
          <w:spacing w:val="-4"/>
          <w:sz w:val="18"/>
          <w:szCs w:val="18"/>
        </w:rPr>
        <w:t>MOT</w:t>
      </w:r>
      <w:r w:rsidRPr="00436EFE">
        <w:rPr>
          <w:rFonts w:hint="cs"/>
          <w:noProof/>
          <w:spacing w:val="-4"/>
          <w:sz w:val="18"/>
          <w:szCs w:val="18"/>
        </w:rPr>
        <w:t xml:space="preserve"> examine the reasons for the low utilization of the safety </w:t>
      </w:r>
      <w:r w:rsidRPr="00436EFE">
        <w:rPr>
          <w:noProof/>
          <w:spacing w:val="-4"/>
          <w:sz w:val="18"/>
          <w:szCs w:val="18"/>
        </w:rPr>
        <w:t xml:space="preserve">fund </w:t>
      </w:r>
      <w:r w:rsidRPr="00436EFE">
        <w:rPr>
          <w:rFonts w:hint="cs"/>
          <w:noProof/>
          <w:spacing w:val="-4"/>
          <w:sz w:val="18"/>
          <w:szCs w:val="18"/>
        </w:rPr>
        <w:t>budget and ensure that the funds transferred by the RSA for road safety improvements in local authorities are indeed used for their intended purpose. This includes increas</w:t>
      </w:r>
      <w:r w:rsidRPr="00436EFE">
        <w:rPr>
          <w:noProof/>
          <w:spacing w:val="-4"/>
          <w:sz w:val="18"/>
          <w:szCs w:val="18"/>
        </w:rPr>
        <w:t>ing</w:t>
      </w:r>
      <w:r w:rsidRPr="00436EFE">
        <w:rPr>
          <w:rFonts w:hint="cs"/>
          <w:noProof/>
          <w:spacing w:val="-4"/>
          <w:sz w:val="18"/>
          <w:szCs w:val="18"/>
        </w:rPr>
        <w:t xml:space="preserve"> RSA's involvement in </w:t>
      </w:r>
      <w:r w:rsidRPr="00436EFE">
        <w:rPr>
          <w:noProof/>
          <w:spacing w:val="-4"/>
          <w:sz w:val="18"/>
          <w:szCs w:val="18"/>
        </w:rPr>
        <w:t>allocating funds according to the RSA Law, and in formulating</w:t>
      </w:r>
      <w:r w:rsidRPr="00436EFE">
        <w:rPr>
          <w:rFonts w:hint="cs"/>
          <w:noProof/>
          <w:spacing w:val="-4"/>
          <w:sz w:val="18"/>
          <w:szCs w:val="18"/>
        </w:rPr>
        <w:t xml:space="preserve"> criteria for project funding, and including RSA representatives in the joint committee that prioritizes the projects. In addition, it is recommended to enhance RSA's involvement in supervising the projects' implementation</w:t>
      </w:r>
      <w:r w:rsidRPr="0058257B">
        <w:rPr>
          <w:rFonts w:hint="cs"/>
          <w:noProof/>
          <w:spacing w:val="-4"/>
          <w:sz w:val="18"/>
          <w:szCs w:val="18"/>
        </w:rPr>
        <w:t xml:space="preserve">. </w:t>
      </w:r>
    </w:p>
    <w:p w:rsidR="00436EFE" w:rsidP="00436EFE" w14:paraId="5DDE6FE4" w14:textId="1F453AF1">
      <w:pPr>
        <w:pStyle w:val="ListParagraph"/>
        <w:numPr>
          <w:ilvl w:val="0"/>
          <w:numId w:val="0"/>
        </w:numPr>
        <w:bidi w:val="0"/>
        <w:spacing w:after="180" w:line="260" w:lineRule="exact"/>
        <w:ind w:left="397"/>
        <w:rPr>
          <w:noProof/>
          <w:spacing w:val="-4"/>
          <w:sz w:val="18"/>
          <w:szCs w:val="18"/>
        </w:rPr>
      </w:pPr>
      <w:r w:rsidRPr="0058257B">
        <w:rPr>
          <w:noProof/>
          <w:spacing w:val="-4"/>
          <w:sz w:val="18"/>
          <w:szCs w:val="18"/>
        </w:rPr>
        <w:drawing>
          <wp:anchor distT="0" distB="3600450" distL="114300" distR="114300" simplePos="0" relativeHeight="25179443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2123262636" name="תמונה 33"/>
            <wp:cNvGraphicFramePr/>
            <a:graphic xmlns:a="http://schemas.openxmlformats.org/drawingml/2006/main">
              <a:graphicData uri="http://schemas.openxmlformats.org/drawingml/2006/picture">
                <pic:pic xmlns:pic="http://schemas.openxmlformats.org/drawingml/2006/picture">
                  <pic:nvPicPr>
                    <pic:cNvPr id="2123262636"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6EFE">
        <w:rPr>
          <w:rFonts w:hint="cs"/>
          <w:noProof/>
          <w:spacing w:val="-4"/>
          <w:sz w:val="18"/>
          <w:szCs w:val="18"/>
        </w:rPr>
        <w:t xml:space="preserve">It is recommended that </w:t>
      </w:r>
      <w:r w:rsidRPr="00436EFE">
        <w:rPr>
          <w:noProof/>
          <w:spacing w:val="-4"/>
          <w:sz w:val="18"/>
          <w:szCs w:val="18"/>
        </w:rPr>
        <w:t>MOT</w:t>
      </w:r>
      <w:r w:rsidRPr="00436EFE">
        <w:rPr>
          <w:rFonts w:hint="cs"/>
          <w:noProof/>
          <w:spacing w:val="-4"/>
          <w:sz w:val="18"/>
          <w:szCs w:val="18"/>
        </w:rPr>
        <w:t xml:space="preserve"> examine </w:t>
      </w:r>
      <w:r w:rsidRPr="00436EFE">
        <w:rPr>
          <w:noProof/>
          <w:spacing w:val="-4"/>
          <w:sz w:val="18"/>
          <w:szCs w:val="18"/>
        </w:rPr>
        <w:t>why</w:t>
      </w:r>
      <w:r w:rsidRPr="00436EFE">
        <w:rPr>
          <w:rFonts w:hint="cs"/>
          <w:noProof/>
          <w:spacing w:val="-4"/>
          <w:sz w:val="18"/>
          <w:szCs w:val="18"/>
        </w:rPr>
        <w:t xml:space="preserve"> </w:t>
      </w:r>
      <w:r w:rsidRPr="00436EFE">
        <w:rPr>
          <w:noProof/>
          <w:spacing w:val="-4"/>
          <w:sz w:val="18"/>
          <w:szCs w:val="18"/>
        </w:rPr>
        <w:t xml:space="preserve">budget </w:t>
      </w:r>
      <w:r w:rsidRPr="00436EFE">
        <w:rPr>
          <w:rFonts w:hint="cs"/>
          <w:noProof/>
          <w:spacing w:val="-4"/>
          <w:sz w:val="18"/>
          <w:szCs w:val="18"/>
        </w:rPr>
        <w:t xml:space="preserve">authorizations </w:t>
      </w:r>
      <w:r w:rsidRPr="00436EFE">
        <w:rPr>
          <w:noProof/>
          <w:spacing w:val="-4"/>
          <w:sz w:val="18"/>
          <w:szCs w:val="18"/>
        </w:rPr>
        <w:t xml:space="preserve">to commit </w:t>
      </w:r>
      <w:r w:rsidRPr="00436EFE">
        <w:rPr>
          <w:rFonts w:hint="cs"/>
          <w:noProof/>
          <w:spacing w:val="-4"/>
          <w:sz w:val="18"/>
          <w:szCs w:val="18"/>
        </w:rPr>
        <w:t>allocated by it for safety projects in local authorities</w:t>
      </w:r>
      <w:r w:rsidRPr="00436EFE">
        <w:rPr>
          <w:noProof/>
          <w:spacing w:val="-4"/>
          <w:sz w:val="18"/>
          <w:szCs w:val="18"/>
        </w:rPr>
        <w:t xml:space="preserve"> were not used. A</w:t>
      </w:r>
      <w:r w:rsidRPr="00436EFE">
        <w:rPr>
          <w:rFonts w:hint="cs"/>
          <w:noProof/>
          <w:spacing w:val="-4"/>
          <w:sz w:val="18"/>
          <w:szCs w:val="18"/>
        </w:rPr>
        <w:t xml:space="preserve">ccordingly </w:t>
      </w:r>
      <w:r w:rsidRPr="00436EFE">
        <w:rPr>
          <w:noProof/>
          <w:spacing w:val="-4"/>
          <w:sz w:val="18"/>
          <w:szCs w:val="18"/>
        </w:rPr>
        <w:t xml:space="preserve">the MOT should </w:t>
      </w:r>
      <w:r w:rsidRPr="00436EFE">
        <w:rPr>
          <w:rFonts w:hint="cs"/>
          <w:noProof/>
          <w:spacing w:val="-4"/>
          <w:sz w:val="18"/>
          <w:szCs w:val="18"/>
        </w:rPr>
        <w:t xml:space="preserve">ensure that the </w:t>
      </w:r>
      <w:r w:rsidRPr="00436EFE">
        <w:rPr>
          <w:noProof/>
          <w:spacing w:val="-4"/>
          <w:sz w:val="18"/>
          <w:szCs w:val="18"/>
        </w:rPr>
        <w:t>local authorities carry out the necessary project</w:t>
      </w:r>
      <w:r w:rsidRPr="00436EFE">
        <w:rPr>
          <w:rFonts w:hint="cs"/>
          <w:noProof/>
          <w:spacing w:val="-4"/>
          <w:sz w:val="18"/>
          <w:szCs w:val="18"/>
        </w:rPr>
        <w:t>s</w:t>
      </w:r>
      <w:r w:rsidRPr="0058257B">
        <w:rPr>
          <w:rFonts w:hint="cs"/>
          <w:noProof/>
          <w:spacing w:val="-4"/>
          <w:sz w:val="18"/>
          <w:szCs w:val="18"/>
        </w:rPr>
        <w:t xml:space="preserve">. </w:t>
      </w:r>
    </w:p>
    <w:p w:rsidR="00436EFE" w:rsidP="00436EFE" w14:paraId="6E0B9954" w14:textId="2712E69E">
      <w:pPr>
        <w:pStyle w:val="ListParagraph"/>
        <w:numPr>
          <w:ilvl w:val="0"/>
          <w:numId w:val="0"/>
        </w:numPr>
        <w:bidi w:val="0"/>
        <w:spacing w:after="180" w:line="260" w:lineRule="exact"/>
        <w:ind w:left="397"/>
        <w:rPr>
          <w:noProof/>
          <w:spacing w:val="-4"/>
          <w:sz w:val="18"/>
          <w:szCs w:val="18"/>
        </w:rPr>
      </w:pPr>
      <w:r w:rsidRPr="0058257B">
        <w:rPr>
          <w:noProof/>
          <w:spacing w:val="-4"/>
          <w:sz w:val="18"/>
          <w:szCs w:val="18"/>
        </w:rPr>
        <w:drawing>
          <wp:anchor distT="0" distB="3600450" distL="114300" distR="114300" simplePos="0" relativeHeight="251795456"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669572561" name="תמונה 33"/>
            <wp:cNvGraphicFramePr/>
            <a:graphic xmlns:a="http://schemas.openxmlformats.org/drawingml/2006/main">
              <a:graphicData uri="http://schemas.openxmlformats.org/drawingml/2006/picture">
                <pic:pic xmlns:pic="http://schemas.openxmlformats.org/drawingml/2006/picture">
                  <pic:nvPicPr>
                    <pic:cNvPr id="1669572561"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6EFE">
        <w:rPr>
          <w:rFonts w:hint="cs"/>
          <w:noProof/>
          <w:spacing w:val="-4"/>
          <w:sz w:val="18"/>
          <w:szCs w:val="18"/>
        </w:rPr>
        <w:t xml:space="preserve">It is recommended that the </w:t>
      </w:r>
      <w:r w:rsidRPr="00436EFE">
        <w:rPr>
          <w:noProof/>
          <w:spacing w:val="-4"/>
          <w:sz w:val="18"/>
          <w:szCs w:val="18"/>
        </w:rPr>
        <w:t>MOT</w:t>
      </w:r>
      <w:r w:rsidRPr="00436EFE">
        <w:rPr>
          <w:rFonts w:hint="cs"/>
          <w:noProof/>
          <w:spacing w:val="-4"/>
          <w:sz w:val="18"/>
          <w:szCs w:val="18"/>
        </w:rPr>
        <w:t xml:space="preserve"> and the RSA establish a computerized system to consolidate information on all work processes for the approval and budgeting of safety projects in local authorities and track their implementation through reports from the local authorities. </w:t>
      </w:r>
      <w:r w:rsidRPr="00436EFE">
        <w:rPr>
          <w:noProof/>
          <w:spacing w:val="-4"/>
          <w:sz w:val="18"/>
          <w:szCs w:val="18"/>
        </w:rPr>
        <w:t>This will enable</w:t>
      </w:r>
      <w:r w:rsidRPr="00436EFE">
        <w:rPr>
          <w:rFonts w:hint="cs"/>
          <w:noProof/>
          <w:spacing w:val="-4"/>
          <w:sz w:val="18"/>
          <w:szCs w:val="18"/>
        </w:rPr>
        <w:t xml:space="preserve"> </w:t>
      </w:r>
      <w:r w:rsidRPr="00436EFE">
        <w:rPr>
          <w:noProof/>
          <w:spacing w:val="-4"/>
          <w:sz w:val="18"/>
          <w:szCs w:val="18"/>
        </w:rPr>
        <w:t xml:space="preserve">the MOT and RSA to </w:t>
      </w:r>
      <w:r w:rsidRPr="00436EFE">
        <w:rPr>
          <w:rFonts w:hint="cs"/>
          <w:noProof/>
          <w:spacing w:val="-4"/>
          <w:sz w:val="18"/>
          <w:szCs w:val="18"/>
        </w:rPr>
        <w:t>supervis</w:t>
      </w:r>
      <w:r w:rsidRPr="00436EFE">
        <w:rPr>
          <w:noProof/>
          <w:spacing w:val="-4"/>
          <w:sz w:val="18"/>
          <w:szCs w:val="18"/>
        </w:rPr>
        <w:t>e</w:t>
      </w:r>
      <w:r w:rsidRPr="00436EFE">
        <w:rPr>
          <w:rFonts w:hint="cs"/>
          <w:noProof/>
          <w:spacing w:val="-4"/>
          <w:sz w:val="18"/>
          <w:szCs w:val="18"/>
        </w:rPr>
        <w:t xml:space="preserve"> project execution, draw </w:t>
      </w:r>
      <w:r w:rsidRPr="00436EFE">
        <w:rPr>
          <w:noProof/>
          <w:spacing w:val="-4"/>
          <w:sz w:val="18"/>
          <w:szCs w:val="18"/>
        </w:rPr>
        <w:t>conclusions</w:t>
      </w:r>
      <w:r w:rsidRPr="00436EFE">
        <w:rPr>
          <w:rFonts w:hint="cs"/>
          <w:noProof/>
          <w:spacing w:val="-4"/>
          <w:sz w:val="18"/>
          <w:szCs w:val="18"/>
        </w:rPr>
        <w:t>, and improv</w:t>
      </w:r>
      <w:r w:rsidRPr="00436EFE">
        <w:rPr>
          <w:noProof/>
          <w:spacing w:val="-4"/>
          <w:sz w:val="18"/>
          <w:szCs w:val="18"/>
        </w:rPr>
        <w:t xml:space="preserve">e </w:t>
      </w:r>
      <w:r w:rsidRPr="00436EFE">
        <w:rPr>
          <w:rFonts w:hint="cs"/>
          <w:noProof/>
          <w:spacing w:val="-4"/>
          <w:sz w:val="18"/>
          <w:szCs w:val="18"/>
        </w:rPr>
        <w:t>budget allocation. In addition, it is recommended t</w:t>
      </w:r>
      <w:r w:rsidRPr="00436EFE">
        <w:rPr>
          <w:noProof/>
          <w:spacing w:val="-4"/>
          <w:sz w:val="18"/>
          <w:szCs w:val="18"/>
        </w:rPr>
        <w:t>hat control methods be adopted</w:t>
      </w:r>
      <w:r w:rsidRPr="00436EFE">
        <w:rPr>
          <w:rFonts w:hint="cs"/>
          <w:noProof/>
          <w:spacing w:val="-4"/>
          <w:sz w:val="18"/>
          <w:szCs w:val="18"/>
        </w:rPr>
        <w:t xml:space="preserve"> to track the</w:t>
      </w:r>
      <w:r w:rsidRPr="00436EFE">
        <w:rPr>
          <w:noProof/>
          <w:spacing w:val="-4"/>
          <w:sz w:val="18"/>
          <w:szCs w:val="18"/>
        </w:rPr>
        <w:t xml:space="preserve"> benefit derived from these projects afte</w:t>
      </w:r>
      <w:r w:rsidRPr="00436EFE">
        <w:rPr>
          <w:rFonts w:hint="cs"/>
          <w:noProof/>
          <w:spacing w:val="-4"/>
          <w:sz w:val="18"/>
          <w:szCs w:val="18"/>
        </w:rPr>
        <w:t xml:space="preserve">r </w:t>
      </w:r>
      <w:r w:rsidRPr="00436EFE">
        <w:rPr>
          <w:noProof/>
          <w:spacing w:val="-4"/>
          <w:sz w:val="18"/>
          <w:szCs w:val="18"/>
        </w:rPr>
        <w:t xml:space="preserve">their </w:t>
      </w:r>
      <w:r w:rsidRPr="00436EFE">
        <w:rPr>
          <w:rFonts w:hint="cs"/>
          <w:noProof/>
          <w:spacing w:val="-4"/>
          <w:sz w:val="18"/>
          <w:szCs w:val="18"/>
        </w:rPr>
        <w:t>completion. This is of particular importance given the limited budgetary framework</w:t>
      </w:r>
      <w:r w:rsidRPr="00436EFE">
        <w:rPr>
          <w:noProof/>
          <w:spacing w:val="-4"/>
          <w:sz w:val="18"/>
          <w:szCs w:val="18"/>
        </w:rPr>
        <w:t>,</w:t>
      </w:r>
      <w:r w:rsidRPr="00436EFE">
        <w:rPr>
          <w:rFonts w:hint="cs"/>
          <w:noProof/>
          <w:spacing w:val="-4"/>
          <w:sz w:val="18"/>
          <w:szCs w:val="18"/>
        </w:rPr>
        <w:t xml:space="preserve"> </w:t>
      </w:r>
      <w:r w:rsidRPr="00436EFE">
        <w:rPr>
          <w:noProof/>
          <w:spacing w:val="-4"/>
          <w:sz w:val="18"/>
          <w:szCs w:val="18"/>
        </w:rPr>
        <w:t>which results in unapproved projects each year</w:t>
      </w:r>
      <w:r w:rsidRPr="00436EFE">
        <w:rPr>
          <w:rFonts w:hint="cs"/>
          <w:noProof/>
          <w:spacing w:val="-4"/>
          <w:sz w:val="18"/>
          <w:szCs w:val="18"/>
        </w:rPr>
        <w:t xml:space="preserve"> due to budget constraints</w:t>
      </w:r>
      <w:r w:rsidRPr="0058257B">
        <w:rPr>
          <w:rFonts w:hint="cs"/>
          <w:noProof/>
          <w:spacing w:val="-4"/>
          <w:sz w:val="18"/>
          <w:szCs w:val="18"/>
        </w:rPr>
        <w:t xml:space="preserve">. </w:t>
      </w:r>
    </w:p>
    <w:p w:rsidR="00436EFE" w:rsidP="00436EFE" w14:paraId="3C191CAA" w14:textId="476B73F5">
      <w:pPr>
        <w:pStyle w:val="ListParagraph"/>
        <w:numPr>
          <w:ilvl w:val="0"/>
          <w:numId w:val="0"/>
        </w:numPr>
        <w:bidi w:val="0"/>
        <w:spacing w:after="180" w:line="260" w:lineRule="exact"/>
        <w:ind w:left="397"/>
        <w:rPr>
          <w:noProof/>
          <w:spacing w:val="-4"/>
          <w:sz w:val="18"/>
          <w:szCs w:val="18"/>
        </w:rPr>
      </w:pPr>
      <w:r w:rsidRPr="0058257B">
        <w:rPr>
          <w:noProof/>
          <w:spacing w:val="-4"/>
          <w:sz w:val="18"/>
          <w:szCs w:val="18"/>
        </w:rPr>
        <w:drawing>
          <wp:anchor distT="0" distB="3600450" distL="114300" distR="114300" simplePos="0" relativeHeight="251796480"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628373794" name="תמונה 33"/>
            <wp:cNvGraphicFramePr/>
            <a:graphic xmlns:a="http://schemas.openxmlformats.org/drawingml/2006/main">
              <a:graphicData uri="http://schemas.openxmlformats.org/drawingml/2006/picture">
                <pic:pic xmlns:pic="http://schemas.openxmlformats.org/drawingml/2006/picture">
                  <pic:nvPicPr>
                    <pic:cNvPr id="1628373794"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6EFE">
        <w:rPr>
          <w:rFonts w:hint="cs"/>
          <w:noProof/>
          <w:spacing w:val="-4"/>
          <w:sz w:val="18"/>
          <w:szCs w:val="18"/>
        </w:rPr>
        <w:t>It is recommended that the RSA increase the number of audits of local traffic sign authorities to audit all</w:t>
      </w:r>
      <w:r w:rsidRPr="00436EFE">
        <w:rPr>
          <w:noProof/>
          <w:spacing w:val="-4"/>
          <w:sz w:val="18"/>
          <w:szCs w:val="18"/>
        </w:rPr>
        <w:t xml:space="preserve"> the</w:t>
      </w:r>
      <w:r w:rsidRPr="00436EFE">
        <w:rPr>
          <w:rFonts w:hint="cs"/>
          <w:noProof/>
          <w:spacing w:val="-4"/>
          <w:sz w:val="18"/>
          <w:szCs w:val="18"/>
        </w:rPr>
        <w:t xml:space="preserve"> authorities. It is also recommended to conduct follow-up audits on the authorities every few years, in line with their characteristics, the number of deficiencies found, and their severity</w:t>
      </w:r>
      <w:r w:rsidRPr="0058257B">
        <w:rPr>
          <w:rFonts w:hint="cs"/>
          <w:noProof/>
          <w:spacing w:val="-4"/>
          <w:sz w:val="18"/>
          <w:szCs w:val="18"/>
        </w:rPr>
        <w:t xml:space="preserve">. </w:t>
      </w:r>
    </w:p>
    <w:p w:rsidR="00436EFE" w14:paraId="4FCC6605" w14:textId="6F729D2A">
      <w:pPr>
        <w:bidi w:val="0"/>
        <w:rPr>
          <w:rFonts w:ascii="Tahoma" w:hAnsi="Tahoma" w:cs="Tahoma"/>
          <w:noProof/>
          <w:spacing w:val="-4"/>
          <w:sz w:val="18"/>
          <w:szCs w:val="18"/>
        </w:rPr>
      </w:pPr>
      <w:r>
        <w:rPr>
          <w:noProof/>
          <w:spacing w:val="-4"/>
          <w:sz w:val="18"/>
          <w:szCs w:val="18"/>
        </w:rPr>
        <w:br w:type="page"/>
      </w:r>
    </w:p>
    <w:p w:rsidR="00436EFE" w:rsidP="00436EFE" w14:paraId="74FF02AA" w14:textId="77777777">
      <w:pPr>
        <w:pStyle w:val="732"/>
        <w:rPr>
          <w:rtl/>
        </w:rPr>
      </w:pPr>
      <w:r w:rsidRPr="00D527BD">
        <w:rPr>
          <w:noProof/>
          <w:szCs w:val="20"/>
          <w:rtl/>
        </w:rPr>
        <mc:AlternateContent>
          <mc:Choice Requires="wps">
            <w:drawing>
              <wp:anchor distT="0" distB="0" distL="114300" distR="114300" simplePos="0" relativeHeight="251800576" behindDoc="0" locked="0" layoutInCell="1" allowOverlap="1">
                <wp:simplePos x="0" y="0"/>
                <wp:positionH relativeFrom="column">
                  <wp:posOffset>55333</wp:posOffset>
                </wp:positionH>
                <wp:positionV relativeFrom="paragraph">
                  <wp:posOffset>88876</wp:posOffset>
                </wp:positionV>
                <wp:extent cx="4289989" cy="434975"/>
                <wp:effectExtent l="0" t="0" r="0" b="0"/>
                <wp:wrapNone/>
                <wp:docPr id="160930646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89989" cy="434975"/>
                        </a:xfrm>
                        <a:prstGeom prst="rect">
                          <a:avLst/>
                        </a:prstGeom>
                        <a:noFill/>
                        <a:ln w="9525">
                          <a:noFill/>
                          <a:miter lim="800000"/>
                          <a:headEnd/>
                          <a:tailEnd/>
                        </a:ln>
                      </wps:spPr>
                      <wps:txbx>
                        <w:txbxContent>
                          <w:p w:rsidR="00436EFE" w:rsidP="00436EFE" w14:textId="1E023E41">
                            <w:pPr>
                              <w:pStyle w:val="733"/>
                              <w:bidi w:val="0"/>
                            </w:pPr>
                            <w:r w:rsidRPr="00436EFE">
                              <w:t>Chapter V – The Vehicle Factor</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9" type="#_x0000_t202" style="width:337.8pt;height:34.25pt;margin-top:7pt;margin-left:4.35pt;mso-height-percent:0;mso-height-relative:margin;mso-width-percent:0;mso-width-relative:margin;mso-wrap-distance-bottom:0;mso-wrap-distance-left:9pt;mso-wrap-distance-right:9pt;mso-wrap-distance-top:0;mso-wrap-style:square;position:absolute;visibility:visible;v-text-anchor:middle;z-index:251801600" filled="f" stroked="f">
                <v:textbox>
                  <w:txbxContent>
                    <w:p w:rsidR="00436EFE" w:rsidP="00436EFE" w14:paraId="4DA95EE6" w14:textId="1E023E41">
                      <w:pPr>
                        <w:pStyle w:val="733"/>
                        <w:bidi w:val="0"/>
                      </w:pPr>
                      <w:r w:rsidRPr="00436EFE">
                        <w:t>Chapter V – The Vehicle Factor</w:t>
                      </w:r>
                    </w:p>
                  </w:txbxContent>
                </v:textbox>
              </v:shape>
            </w:pict>
          </mc:Fallback>
        </mc:AlternateContent>
      </w:r>
      <w:r w:rsidRPr="00D527BD">
        <w:rPr>
          <w:noProof/>
          <w:szCs w:val="20"/>
          <w:rtl/>
        </w:rPr>
        <w:drawing>
          <wp:anchor distT="0" distB="0" distL="114300" distR="114300" simplePos="0" relativeHeight="251799552" behindDoc="0" locked="0" layoutInCell="1" allowOverlap="1">
            <wp:simplePos x="0" y="0"/>
            <wp:positionH relativeFrom="column">
              <wp:posOffset>-63578</wp:posOffset>
            </wp:positionH>
            <wp:positionV relativeFrom="paragraph">
              <wp:posOffset>2350</wp:posOffset>
            </wp:positionV>
            <wp:extent cx="4773106" cy="702310"/>
            <wp:effectExtent l="0" t="0" r="2540" b="0"/>
            <wp:wrapNone/>
            <wp:docPr id="2020836591"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836591"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3106" cy="702310"/>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436EFE" w:rsidP="00436EFE" w14:paraId="761638D4" w14:textId="77777777">
      <w:pPr>
        <w:pStyle w:val="732"/>
        <w:rPr>
          <w:rtl/>
        </w:rPr>
      </w:pPr>
    </w:p>
    <w:p w:rsidR="00436EFE" w:rsidRPr="00FA5C98" w:rsidP="00436EFE" w14:paraId="4D8F0DA2" w14:textId="77777777">
      <w:pPr>
        <w:bidi w:val="0"/>
        <w:spacing w:after="0" w:line="260" w:lineRule="exact"/>
        <w:ind w:left="397"/>
        <w:jc w:val="both"/>
      </w:pPr>
    </w:p>
    <w:p w:rsidR="00436EFE" w:rsidP="00436EFE" w14:paraId="040AD9FF" w14:textId="77777777">
      <w:pPr>
        <w:keepNext/>
        <w:keepLines/>
        <w:bidi w:val="0"/>
        <w:spacing w:before="480"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10086801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680127" name="Picture 9"/>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436EFE" w:rsidP="00436EFE" w14:paraId="2F59AC75" w14:textId="77777777">
      <w:pPr>
        <w:keepNext/>
        <w:keepLines/>
        <w:bidi w:val="0"/>
        <w:spacing w:before="120" w:after="180" w:line="240" w:lineRule="atLeast"/>
        <w:rPr>
          <w:rFonts w:ascii="Tahoma" w:hAnsi="Tahoma" w:cs="Tahoma"/>
          <w:b/>
          <w:bCs/>
          <w:color w:val="00305F"/>
          <w:sz w:val="32"/>
          <w:szCs w:val="32"/>
          <w:rtl/>
        </w:rPr>
      </w:pPr>
      <w:r w:rsidRPr="00AE5F94">
        <w:rPr>
          <w:rFonts w:ascii="Tahoma" w:hAnsi="Tahoma" w:cs="Tahoma"/>
          <w:b/>
          <w:bCs/>
          <w:color w:val="00305F"/>
          <w:sz w:val="32"/>
          <w:szCs w:val="32"/>
        </w:rPr>
        <w:t xml:space="preserve">Key </w:t>
      </w:r>
      <w:r>
        <w:rPr>
          <w:rFonts w:ascii="Tahoma" w:hAnsi="Tahoma" w:cs="Tahoma"/>
          <w:b/>
          <w:bCs/>
          <w:color w:val="00305F"/>
          <w:sz w:val="32"/>
          <w:szCs w:val="32"/>
        </w:rPr>
        <w:t>F</w:t>
      </w:r>
      <w:r w:rsidRPr="00AE5F94">
        <w:rPr>
          <w:rFonts w:ascii="Tahoma" w:hAnsi="Tahoma" w:cs="Tahoma"/>
          <w:b/>
          <w:bCs/>
          <w:color w:val="00305F"/>
          <w:sz w:val="32"/>
          <w:szCs w:val="32"/>
        </w:rPr>
        <w:t>indings</w:t>
      </w:r>
    </w:p>
    <w:p w:rsidR="00436EFE" w:rsidRPr="00BD3044" w:rsidP="00436EFE" w14:paraId="1E39CD69" w14:textId="77777777">
      <w:pPr>
        <w:keepNext/>
        <w:keepLines/>
        <w:bidi w:val="0"/>
        <w:spacing w:after="180" w:line="240" w:lineRule="atLeast"/>
        <w:rPr>
          <w:rFonts w:ascii="Tahoma" w:hAnsi="Tahoma" w:cs="Tahoma"/>
          <w:b/>
          <w:bCs/>
          <w:color w:val="00305F"/>
          <w:sz w:val="4"/>
          <w:szCs w:val="4"/>
          <w:rtl/>
        </w:rPr>
      </w:pPr>
      <w:r>
        <w:rPr>
          <w:b/>
          <w:bCs/>
          <w:noProof/>
          <w:sz w:val="18"/>
        </w:rPr>
        <w:drawing>
          <wp:anchor distT="0" distB="0" distL="114300" distR="114300" simplePos="0" relativeHeight="251797504" behindDoc="1" locked="0" layoutInCell="1" allowOverlap="1">
            <wp:simplePos x="0" y="0"/>
            <wp:positionH relativeFrom="column">
              <wp:posOffset>1270</wp:posOffset>
            </wp:positionH>
            <wp:positionV relativeFrom="paragraph">
              <wp:posOffset>38295</wp:posOffset>
            </wp:positionV>
            <wp:extent cx="2879725" cy="158115"/>
            <wp:effectExtent l="0" t="0" r="0" b="0"/>
            <wp:wrapTight wrapText="bothSides">
              <wp:wrapPolygon>
                <wp:start x="4191" y="0"/>
                <wp:lineTo x="0" y="5205"/>
                <wp:lineTo x="0" y="8675"/>
                <wp:lineTo x="4191" y="19084"/>
                <wp:lineTo x="5906" y="19084"/>
                <wp:lineTo x="21433" y="8675"/>
                <wp:lineTo x="21433" y="5205"/>
                <wp:lineTo x="5906" y="0"/>
                <wp:lineTo x="4191" y="0"/>
              </wp:wrapPolygon>
            </wp:wrapTight>
            <wp:docPr id="20982405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40565" name="Picture 8"/>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p w:rsidR="00436EFE" w:rsidP="00436EFE" w14:paraId="2A8A04DF" w14:textId="62B788CB">
      <w:pPr>
        <w:pStyle w:val="7191"/>
        <w:bidi w:val="0"/>
        <w:spacing w:before="240"/>
        <w:ind w:left="397"/>
        <w:rPr>
          <w:noProof/>
        </w:rPr>
      </w:pPr>
      <w:r w:rsidRPr="00D12832">
        <w:rPr>
          <w:rFonts w:hint="cs"/>
          <w:noProof/>
          <w:rtl/>
        </w:rPr>
        <w:drawing>
          <wp:anchor distT="0" distB="0" distL="0" distR="0" simplePos="0" relativeHeight="251798528"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205717121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71219"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81B5E">
        <w:rPr>
          <w:rFonts w:hint="cs"/>
          <w:b/>
          <w:bCs/>
          <w:noProof/>
        </w:rPr>
        <w:t xml:space="preserve">Integration of </w:t>
      </w:r>
      <w:r w:rsidRPr="00081B5E">
        <w:rPr>
          <w:b/>
          <w:bCs/>
          <w:noProof/>
        </w:rPr>
        <w:t>S</w:t>
      </w:r>
      <w:r w:rsidRPr="00081B5E">
        <w:rPr>
          <w:rFonts w:hint="cs"/>
          <w:b/>
          <w:bCs/>
          <w:noProof/>
        </w:rPr>
        <w:t xml:space="preserve">afety </w:t>
      </w:r>
      <w:r w:rsidRPr="00081B5E">
        <w:rPr>
          <w:b/>
          <w:bCs/>
          <w:noProof/>
        </w:rPr>
        <w:t>S</w:t>
      </w:r>
      <w:r w:rsidRPr="00081B5E">
        <w:rPr>
          <w:rFonts w:hint="cs"/>
          <w:b/>
          <w:bCs/>
          <w:noProof/>
        </w:rPr>
        <w:t xml:space="preserve">ystems in </w:t>
      </w:r>
      <w:r w:rsidRPr="00081B5E">
        <w:rPr>
          <w:b/>
          <w:bCs/>
          <w:noProof/>
        </w:rPr>
        <w:t>V</w:t>
      </w:r>
      <w:r w:rsidRPr="00081B5E">
        <w:rPr>
          <w:rFonts w:hint="cs"/>
          <w:b/>
          <w:bCs/>
          <w:noProof/>
        </w:rPr>
        <w:t>ehicles</w:t>
      </w:r>
      <w:r w:rsidRPr="00081B5E">
        <w:rPr>
          <w:b/>
          <w:bCs/>
          <w:noProof/>
        </w:rPr>
        <w:t xml:space="preserve"> –</w:t>
      </w:r>
      <w:r w:rsidRPr="00C36DDA">
        <w:rPr>
          <w:rFonts w:hint="cs"/>
          <w:noProof/>
        </w:rPr>
        <w:t xml:space="preserve"> in 2013, the provisions of Regulation 3/13 came into effect, regulating incentives to promote the use of advanced safety systems that help reduce road accidents. The </w:t>
      </w:r>
      <w:r w:rsidRPr="00C36DDA">
        <w:rPr>
          <w:noProof/>
        </w:rPr>
        <w:t>MOT</w:t>
      </w:r>
      <w:r w:rsidRPr="00C36DDA">
        <w:rPr>
          <w:rFonts w:hint="cs"/>
          <w:noProof/>
        </w:rPr>
        <w:t xml:space="preserve"> updates the</w:t>
      </w:r>
      <w:r w:rsidRPr="00C36DDA">
        <w:rPr>
          <w:noProof/>
        </w:rPr>
        <w:t>m</w:t>
      </w:r>
      <w:r w:rsidRPr="00C36DDA">
        <w:rPr>
          <w:rFonts w:hint="cs"/>
          <w:noProof/>
        </w:rPr>
        <w:t xml:space="preserve"> annually accord</w:t>
      </w:r>
      <w:r w:rsidRPr="00C36DDA">
        <w:rPr>
          <w:noProof/>
        </w:rPr>
        <w:t xml:space="preserve">ing to </w:t>
      </w:r>
      <w:r w:rsidRPr="00C36DDA">
        <w:rPr>
          <w:rFonts w:hint="cs"/>
          <w:noProof/>
        </w:rPr>
        <w:t xml:space="preserve">technological developments, usage rates of various systems, and their relevant standards. It was found that </w:t>
      </w:r>
      <w:r w:rsidRPr="00C36DDA">
        <w:rPr>
          <w:noProof/>
        </w:rPr>
        <w:t>the required actions defined in the '50 to 30' plan and the RSA recommendations were not implemented, including integrating crash test scores into the incentive</w:t>
      </w:r>
      <w:r w:rsidRPr="00C36DDA">
        <w:rPr>
          <w:rFonts w:hint="cs"/>
          <w:noProof/>
        </w:rPr>
        <w:t xml:space="preserve"> system, setting targets for vehicle scrapping, and providing incentives for scrapping older vehicles. It was also found that the incentives were determined  only for passenger vehicles and trucks with a total weight of up to 3.5 tons, with no </w:t>
      </w:r>
      <w:r w:rsidRPr="00C36DDA">
        <w:rPr>
          <w:noProof/>
        </w:rPr>
        <w:t>explicit</w:t>
      </w:r>
      <w:r w:rsidRPr="00C36DDA">
        <w:rPr>
          <w:rFonts w:hint="cs"/>
          <w:noProof/>
        </w:rPr>
        <w:t xml:space="preserve"> reference to life-saving technological means in buses, trucks, and motorcycles, despite the large proportion of these vehicles in severe accidents (in 2021, the involvement of motorcycles in severe accidents was 641 accidents per billion kilometers traveled; buses </w:t>
      </w:r>
      <w:r w:rsidRPr="00C36DDA">
        <w:rPr>
          <w:noProof/>
        </w:rPr>
        <w:t>–</w:t>
      </w:r>
      <w:r w:rsidRPr="00C36DDA">
        <w:rPr>
          <w:rFonts w:hint="cs"/>
          <w:noProof/>
        </w:rPr>
        <w:t xml:space="preserve"> 145; trucks over 12 tons </w:t>
      </w:r>
      <w:r w:rsidRPr="00C36DDA">
        <w:rPr>
          <w:noProof/>
        </w:rPr>
        <w:t>–</w:t>
      </w:r>
      <w:r w:rsidRPr="00C36DDA">
        <w:rPr>
          <w:rFonts w:hint="cs"/>
          <w:noProof/>
        </w:rPr>
        <w:t xml:space="preserve"> 55; and private vehicles </w:t>
      </w:r>
      <w:r w:rsidRPr="00C36DDA">
        <w:rPr>
          <w:noProof/>
        </w:rPr>
        <w:t>–</w:t>
      </w:r>
      <w:r w:rsidRPr="00C36DDA">
        <w:rPr>
          <w:rFonts w:hint="cs"/>
          <w:noProof/>
        </w:rPr>
        <w:t xml:space="preserve"> 40</w:t>
      </w:r>
      <w:r>
        <w:rPr>
          <w:noProof/>
        </w:rPr>
        <w:t>).</w:t>
      </w:r>
    </w:p>
    <w:p w:rsidR="00436EFE" w:rsidP="00436EFE" w14:paraId="1C2C857F" w14:textId="3B891E41">
      <w:pPr>
        <w:pStyle w:val="7191"/>
        <w:bidi w:val="0"/>
        <w:spacing w:before="240"/>
        <w:ind w:left="397"/>
        <w:rPr>
          <w:noProof/>
        </w:rPr>
      </w:pPr>
      <w:r w:rsidRPr="00081B5E">
        <w:rPr>
          <w:rFonts w:hint="cs"/>
          <w:b/>
          <w:bCs/>
          <w:noProof/>
          <w:rtl/>
        </w:rPr>
        <w:drawing>
          <wp:anchor distT="0" distB="0" distL="0" distR="0" simplePos="0" relativeHeight="251802624"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63765630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56305"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81B5E">
        <w:rPr>
          <w:rFonts w:hint="cs"/>
          <w:b/>
          <w:bCs/>
          <w:noProof/>
        </w:rPr>
        <w:t>Regulati</w:t>
      </w:r>
      <w:r w:rsidRPr="00081B5E">
        <w:rPr>
          <w:b/>
          <w:bCs/>
          <w:noProof/>
        </w:rPr>
        <w:t>ng</w:t>
      </w:r>
      <w:r w:rsidRPr="00081B5E">
        <w:rPr>
          <w:rFonts w:hint="cs"/>
          <w:b/>
          <w:bCs/>
          <w:noProof/>
        </w:rPr>
        <w:t xml:space="preserve"> the </w:t>
      </w:r>
      <w:r w:rsidRPr="00081B5E">
        <w:rPr>
          <w:b/>
          <w:bCs/>
          <w:noProof/>
        </w:rPr>
        <w:t>U</w:t>
      </w:r>
      <w:r w:rsidRPr="00081B5E">
        <w:rPr>
          <w:rFonts w:hint="cs"/>
          <w:b/>
          <w:bCs/>
          <w:noProof/>
        </w:rPr>
        <w:t xml:space="preserve">se of </w:t>
      </w:r>
      <w:r w:rsidRPr="00081B5E">
        <w:rPr>
          <w:b/>
          <w:bCs/>
          <w:noProof/>
        </w:rPr>
        <w:t>D</w:t>
      </w:r>
      <w:r w:rsidRPr="00081B5E">
        <w:rPr>
          <w:rFonts w:hint="cs"/>
          <w:b/>
          <w:bCs/>
          <w:noProof/>
        </w:rPr>
        <w:t xml:space="preserve">igital </w:t>
      </w:r>
      <w:r w:rsidRPr="00081B5E">
        <w:rPr>
          <w:b/>
          <w:bCs/>
          <w:noProof/>
        </w:rPr>
        <w:t>T</w:t>
      </w:r>
      <w:r w:rsidRPr="00081B5E">
        <w:rPr>
          <w:rFonts w:hint="cs"/>
          <w:b/>
          <w:bCs/>
          <w:noProof/>
        </w:rPr>
        <w:t>achographs</w:t>
      </w:r>
      <w:r w:rsidRPr="00081B5E">
        <w:rPr>
          <w:b/>
          <w:bCs/>
          <w:noProof/>
        </w:rPr>
        <w:t xml:space="preserve"> –</w:t>
      </w:r>
      <w:r w:rsidRPr="00C36DDA">
        <w:rPr>
          <w:rFonts w:hint="cs"/>
          <w:bCs/>
          <w:noProof/>
        </w:rPr>
        <w:t xml:space="preserve"> the digital tachograph is expected to be introduced in Israel only in 2025, </w:t>
      </w:r>
      <w:r w:rsidRPr="00C36DDA">
        <w:rPr>
          <w:bCs/>
          <w:noProof/>
        </w:rPr>
        <w:t>about</w:t>
      </w:r>
      <w:r w:rsidRPr="00C36DDA">
        <w:rPr>
          <w:rFonts w:hint="cs"/>
          <w:bCs/>
          <w:noProof/>
        </w:rPr>
        <w:t xml:space="preserve"> 20 years after the government</w:t>
      </w:r>
      <w:r w:rsidRPr="00C36DDA">
        <w:rPr>
          <w:bCs/>
          <w:noProof/>
        </w:rPr>
        <w:t xml:space="preserve"> decided</w:t>
      </w:r>
      <w:r w:rsidRPr="00C36DDA">
        <w:rPr>
          <w:rFonts w:hint="cs"/>
          <w:bCs/>
          <w:noProof/>
        </w:rPr>
        <w:t xml:space="preserve"> to adopt it in Israel, and </w:t>
      </w:r>
      <w:r w:rsidRPr="00C36DDA">
        <w:rPr>
          <w:bCs/>
          <w:noProof/>
        </w:rPr>
        <w:t xml:space="preserve">it is </w:t>
      </w:r>
      <w:r w:rsidRPr="00C36DDA">
        <w:rPr>
          <w:rFonts w:hint="cs"/>
          <w:bCs/>
          <w:noProof/>
        </w:rPr>
        <w:t>significantly behind the European Union. As a result, the ability to enforce provisions regarding driving hours and speeds of heavy vehicle drivers is limited since it requires a physical examination of the data recorded on paper discs by the analog tachograph on an individual level and because their records can easily be falsified</w:t>
      </w:r>
      <w:r>
        <w:rPr>
          <w:noProof/>
        </w:rPr>
        <w:t>.</w:t>
      </w:r>
    </w:p>
    <w:p w:rsidR="00436EFE" w:rsidP="00436EFE" w14:paraId="1CAE92DA" w14:textId="52404FA8">
      <w:pPr>
        <w:pStyle w:val="7191"/>
        <w:bidi w:val="0"/>
        <w:spacing w:before="240"/>
        <w:ind w:left="397"/>
        <w:rPr>
          <w:noProof/>
        </w:rPr>
      </w:pPr>
      <w:r w:rsidRPr="00081B5E">
        <w:rPr>
          <w:rFonts w:hint="cs"/>
          <w:b/>
          <w:bCs/>
          <w:noProof/>
          <w:rtl/>
        </w:rPr>
        <w:drawing>
          <wp:anchor distT="0" distB="0" distL="0" distR="0" simplePos="0" relativeHeight="251803648"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73436991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69912"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81B5E">
        <w:rPr>
          <w:rFonts w:hint="cs"/>
          <w:b/>
          <w:bCs/>
          <w:noProof/>
        </w:rPr>
        <w:t xml:space="preserve">Shortage of </w:t>
      </w:r>
      <w:r w:rsidRPr="00081B5E">
        <w:rPr>
          <w:b/>
          <w:bCs/>
          <w:noProof/>
        </w:rPr>
        <w:t>M</w:t>
      </w:r>
      <w:r w:rsidRPr="00081B5E">
        <w:rPr>
          <w:rFonts w:hint="cs"/>
          <w:b/>
          <w:bCs/>
          <w:noProof/>
        </w:rPr>
        <w:t xml:space="preserve">anpower and </w:t>
      </w:r>
      <w:r w:rsidRPr="00081B5E">
        <w:rPr>
          <w:b/>
          <w:bCs/>
          <w:noProof/>
        </w:rPr>
        <w:t>E</w:t>
      </w:r>
      <w:r w:rsidRPr="00081B5E">
        <w:rPr>
          <w:rFonts w:hint="cs"/>
          <w:b/>
          <w:bCs/>
          <w:noProof/>
        </w:rPr>
        <w:t xml:space="preserve">ssential </w:t>
      </w:r>
      <w:r w:rsidRPr="00081B5E">
        <w:rPr>
          <w:b/>
          <w:bCs/>
          <w:noProof/>
        </w:rPr>
        <w:t>E</w:t>
      </w:r>
      <w:r w:rsidRPr="00081B5E">
        <w:rPr>
          <w:rFonts w:hint="cs"/>
          <w:b/>
          <w:bCs/>
          <w:noProof/>
        </w:rPr>
        <w:t xml:space="preserve">quipment for the Vehicle Inspection and Control Department at the </w:t>
      </w:r>
      <w:r w:rsidRPr="00081B5E">
        <w:rPr>
          <w:b/>
          <w:bCs/>
          <w:noProof/>
        </w:rPr>
        <w:t>MOT (MOT's Inspection Department) –</w:t>
      </w:r>
      <w:r w:rsidRPr="00C36DDA">
        <w:rPr>
          <w:rFonts w:hint="cs"/>
          <w:bCs/>
          <w:noProof/>
        </w:rPr>
        <w:t xml:space="preserve"> the issues raised in the 2020 State Comptroller's report regarding the shortage of </w:t>
      </w:r>
      <w:r w:rsidRPr="00C36DDA">
        <w:rPr>
          <w:bCs/>
          <w:noProof/>
        </w:rPr>
        <w:t>workforce</w:t>
      </w:r>
      <w:r w:rsidRPr="00C36DDA">
        <w:rPr>
          <w:rFonts w:hint="cs"/>
          <w:bCs/>
          <w:noProof/>
        </w:rPr>
        <w:t xml:space="preserve">, vehicles, and essential equipment for the </w:t>
      </w:r>
      <w:r w:rsidRPr="00C36DDA">
        <w:rPr>
          <w:bCs/>
          <w:noProof/>
        </w:rPr>
        <w:t>MOT</w:t>
      </w:r>
      <w:r w:rsidRPr="00C36DDA">
        <w:rPr>
          <w:rFonts w:hint="cs"/>
          <w:bCs/>
          <w:noProof/>
        </w:rPr>
        <w:t xml:space="preserve">'s Inspection Department have not been resolved, despite repeated requests from the </w:t>
      </w:r>
      <w:r w:rsidRPr="00C36DDA">
        <w:rPr>
          <w:bCs/>
          <w:noProof/>
        </w:rPr>
        <w:t xml:space="preserve">MOT's </w:t>
      </w:r>
      <w:r w:rsidRPr="00C36DDA">
        <w:rPr>
          <w:rFonts w:hint="cs"/>
          <w:bCs/>
          <w:noProof/>
        </w:rPr>
        <w:t xml:space="preserve">Inspection Department to the </w:t>
      </w:r>
      <w:r w:rsidRPr="00C36DDA">
        <w:rPr>
          <w:bCs/>
          <w:noProof/>
        </w:rPr>
        <w:t>MOT</w:t>
      </w:r>
      <w:r w:rsidRPr="00C36DDA">
        <w:rPr>
          <w:rFonts w:hint="cs"/>
          <w:bCs/>
          <w:noProof/>
        </w:rPr>
        <w:t xml:space="preserve"> administration and the Ministry of Finance. The shortage means </w:t>
      </w:r>
      <w:r w:rsidRPr="00C36DDA">
        <w:rPr>
          <w:bCs/>
          <w:noProof/>
        </w:rPr>
        <w:t>that the MOT is unable</w:t>
      </w:r>
      <w:r w:rsidRPr="00C36DDA">
        <w:rPr>
          <w:rFonts w:hint="cs"/>
          <w:bCs/>
          <w:noProof/>
        </w:rPr>
        <w:t xml:space="preserve"> to conduct sufficient enforcement regarding vehicle integrity, safety officers' activity, and cargo transportation. In particular, since June 2021, the department has not </w:t>
      </w:r>
      <w:r w:rsidRPr="00C36DDA">
        <w:rPr>
          <w:bCs/>
          <w:noProof/>
        </w:rPr>
        <w:t xml:space="preserve">weighed </w:t>
      </w:r>
      <w:r w:rsidRPr="00C36DDA">
        <w:rPr>
          <w:rFonts w:hint="cs"/>
          <w:bCs/>
          <w:noProof/>
        </w:rPr>
        <w:t>truck</w:t>
      </w:r>
      <w:r w:rsidRPr="00C36DDA">
        <w:rPr>
          <w:bCs/>
          <w:noProof/>
        </w:rPr>
        <w:t>s</w:t>
      </w:r>
      <w:r w:rsidRPr="00C36DDA">
        <w:rPr>
          <w:rFonts w:hint="cs"/>
          <w:bCs/>
          <w:noProof/>
        </w:rPr>
        <w:t xml:space="preserve"> due to </w:t>
      </w:r>
      <w:r w:rsidRPr="00C36DDA">
        <w:rPr>
          <w:bCs/>
          <w:noProof/>
        </w:rPr>
        <w:t xml:space="preserve">a </w:t>
      </w:r>
      <w:r w:rsidRPr="00C36DDA">
        <w:rPr>
          <w:rFonts w:hint="cs"/>
          <w:bCs/>
          <w:noProof/>
        </w:rPr>
        <w:t xml:space="preserve">lack of serviceable weighing </w:t>
      </w:r>
      <w:r w:rsidRPr="00C36DDA">
        <w:rPr>
          <w:bCs/>
          <w:noProof/>
        </w:rPr>
        <w:t>devices</w:t>
      </w:r>
      <w:r w:rsidRPr="00C36DDA">
        <w:rPr>
          <w:rFonts w:hint="cs"/>
          <w:bCs/>
          <w:noProof/>
        </w:rPr>
        <w:t xml:space="preserve">. This is despite the test findings </w:t>
      </w:r>
      <w:r w:rsidRPr="00C36DDA">
        <w:rPr>
          <w:rFonts w:hint="cs"/>
          <w:bCs/>
          <w:noProof/>
        </w:rPr>
        <w:t>indicat</w:t>
      </w:r>
      <w:r w:rsidRPr="00C36DDA">
        <w:rPr>
          <w:bCs/>
          <w:noProof/>
        </w:rPr>
        <w:t>ing that these tests succeeded in identifying many vehicles with serious defects and</w:t>
      </w:r>
      <w:r w:rsidRPr="00C36DDA">
        <w:rPr>
          <w:rFonts w:hint="cs"/>
          <w:bCs/>
          <w:noProof/>
        </w:rPr>
        <w:t xml:space="preserve"> overloaded trucks</w:t>
      </w:r>
      <w:r>
        <w:rPr>
          <w:noProof/>
        </w:rPr>
        <w:t>.</w:t>
      </w:r>
    </w:p>
    <w:p w:rsidR="00436EFE" w:rsidP="00436EFE" w14:paraId="46E3E527" w14:textId="304BA846">
      <w:pPr>
        <w:pStyle w:val="7191"/>
        <w:bidi w:val="0"/>
        <w:spacing w:before="240"/>
        <w:ind w:left="397"/>
        <w:rPr>
          <w:noProof/>
        </w:rPr>
      </w:pPr>
      <w:r w:rsidRPr="00081B5E">
        <w:rPr>
          <w:rFonts w:hint="cs"/>
          <w:b/>
          <w:bCs/>
          <w:noProof/>
          <w:rtl/>
        </w:rPr>
        <w:drawing>
          <wp:anchor distT="0" distB="0" distL="0" distR="0" simplePos="0" relativeHeight="251804672"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39136311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63110"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81B5E">
        <w:rPr>
          <w:rFonts w:hint="cs"/>
          <w:b/>
          <w:bCs/>
          <w:noProof/>
        </w:rPr>
        <w:t xml:space="preserve">Funding and </w:t>
      </w:r>
      <w:r w:rsidRPr="00081B5E">
        <w:rPr>
          <w:b/>
          <w:bCs/>
          <w:noProof/>
        </w:rPr>
        <w:t>I</w:t>
      </w:r>
      <w:r w:rsidRPr="00081B5E">
        <w:rPr>
          <w:rFonts w:hint="cs"/>
          <w:b/>
          <w:bCs/>
          <w:noProof/>
        </w:rPr>
        <w:t xml:space="preserve">mplementation of </w:t>
      </w:r>
      <w:r w:rsidRPr="00081B5E">
        <w:rPr>
          <w:b/>
          <w:bCs/>
          <w:noProof/>
        </w:rPr>
        <w:t>S</w:t>
      </w:r>
      <w:r w:rsidRPr="00081B5E">
        <w:rPr>
          <w:rFonts w:hint="cs"/>
          <w:b/>
          <w:bCs/>
          <w:noProof/>
        </w:rPr>
        <w:t xml:space="preserve">afety </w:t>
      </w:r>
      <w:r w:rsidRPr="00081B5E">
        <w:rPr>
          <w:b/>
          <w:bCs/>
          <w:noProof/>
        </w:rPr>
        <w:t>A</w:t>
      </w:r>
      <w:r w:rsidRPr="00081B5E">
        <w:rPr>
          <w:rFonts w:hint="cs"/>
          <w:b/>
          <w:bCs/>
          <w:noProof/>
        </w:rPr>
        <w:t xml:space="preserve">ctivity in the </w:t>
      </w:r>
      <w:r w:rsidRPr="00081B5E">
        <w:rPr>
          <w:b/>
          <w:bCs/>
          <w:noProof/>
        </w:rPr>
        <w:t xml:space="preserve">MOT's </w:t>
      </w:r>
      <w:r w:rsidRPr="00081B5E">
        <w:rPr>
          <w:rFonts w:hint="cs"/>
          <w:b/>
          <w:bCs/>
          <w:noProof/>
        </w:rPr>
        <w:t xml:space="preserve">Inspection Department </w:t>
      </w:r>
      <w:r w:rsidRPr="00081B5E">
        <w:rPr>
          <w:b/>
          <w:bCs/>
          <w:noProof/>
        </w:rPr>
        <w:t>–</w:t>
      </w:r>
      <w:r w:rsidRPr="00C36DDA">
        <w:rPr>
          <w:rFonts w:hint="cs"/>
          <w:bCs/>
          <w:noProof/>
        </w:rPr>
        <w:t xml:space="preserve"> in 2018</w:t>
      </w:r>
      <w:r w:rsidRPr="00C36DDA">
        <w:rPr>
          <w:noProof/>
        </w:rPr>
        <w:t>–</w:t>
      </w:r>
      <w:r w:rsidRPr="00C36DDA">
        <w:rPr>
          <w:rFonts w:hint="cs"/>
          <w:bCs/>
          <w:noProof/>
        </w:rPr>
        <w:t xml:space="preserve">2021, there was a 30% reduction (from NIS 3.7 million to NIS 2.6 million) in the budgets transferred from the RSA to the </w:t>
      </w:r>
      <w:r w:rsidRPr="00C36DDA">
        <w:rPr>
          <w:bCs/>
          <w:noProof/>
        </w:rPr>
        <w:t>MOT</w:t>
      </w:r>
      <w:r w:rsidRPr="00C36DDA">
        <w:rPr>
          <w:rFonts w:hint="cs"/>
          <w:bCs/>
          <w:noProof/>
        </w:rPr>
        <w:t xml:space="preserve"> for funding safety activity, including vehicle integrity inspections using </w:t>
      </w:r>
      <w:r w:rsidRPr="00C36DDA">
        <w:rPr>
          <w:bCs/>
          <w:noProof/>
        </w:rPr>
        <w:t>MOT</w:t>
      </w:r>
      <w:r w:rsidRPr="00C36DDA">
        <w:rPr>
          <w:rFonts w:hint="cs"/>
          <w:bCs/>
          <w:noProof/>
        </w:rPr>
        <w:t xml:space="preserve"> safety </w:t>
      </w:r>
      <w:r w:rsidRPr="00C36DDA">
        <w:rPr>
          <w:bCs/>
          <w:noProof/>
        </w:rPr>
        <w:t xml:space="preserve">inspection mobile units </w:t>
      </w:r>
      <w:r w:rsidRPr="00C36DDA">
        <w:rPr>
          <w:rFonts w:hint="cs"/>
          <w:bCs/>
          <w:noProof/>
        </w:rPr>
        <w:t xml:space="preserve">and supervision of traffic safety officers. Consequently, there was a decrease in the number of inspections carried out (a decline of </w:t>
      </w:r>
      <w:r w:rsidRPr="00C36DDA">
        <w:rPr>
          <w:bCs/>
          <w:noProof/>
        </w:rPr>
        <w:t xml:space="preserve">about </w:t>
      </w:r>
      <w:r w:rsidRPr="00C36DDA">
        <w:rPr>
          <w:rFonts w:hint="cs"/>
          <w:bCs/>
          <w:noProof/>
        </w:rPr>
        <w:t>7.5% between 2019 and 2021), continuing a trend that began in previous years. In addition, it was found that after "deficiencies requiring rectification" are discovered</w:t>
      </w:r>
      <w:r w:rsidRPr="00C36DDA">
        <w:rPr>
          <w:bCs/>
          <w:noProof/>
        </w:rPr>
        <w:t xml:space="preserve">, </w:t>
      </w:r>
      <w:r w:rsidRPr="00C36DDA">
        <w:rPr>
          <w:rFonts w:hint="cs"/>
          <w:bCs/>
          <w:noProof/>
        </w:rPr>
        <w:t>where the driver can continue driving and is required to repair the defect within a limited time frame and bring the vehicle back for reinspection</w:t>
      </w:r>
      <w:r w:rsidRPr="00C36DDA">
        <w:rPr>
          <w:bCs/>
          <w:noProof/>
        </w:rPr>
        <w:t xml:space="preserve">, </w:t>
      </w:r>
      <w:r w:rsidRPr="00C36DDA">
        <w:rPr>
          <w:rFonts w:hint="cs"/>
          <w:bCs/>
          <w:noProof/>
        </w:rPr>
        <w:t xml:space="preserve">the </w:t>
      </w:r>
      <w:r w:rsidRPr="00C36DDA">
        <w:rPr>
          <w:bCs/>
          <w:noProof/>
        </w:rPr>
        <w:t>MOT</w:t>
      </w:r>
      <w:r w:rsidRPr="00C36DDA">
        <w:rPr>
          <w:rFonts w:hint="cs"/>
          <w:bCs/>
          <w:noProof/>
        </w:rPr>
        <w:t xml:space="preserve"> Inspection Department lacks the tools to monitor repair of the detected defects</w:t>
      </w:r>
      <w:r>
        <w:rPr>
          <w:noProof/>
        </w:rPr>
        <w:t>.</w:t>
      </w:r>
    </w:p>
    <w:p w:rsidR="00436EFE" w:rsidP="00436EFE" w14:paraId="6D8269B7" w14:textId="6210BB63">
      <w:pPr>
        <w:pStyle w:val="7191"/>
        <w:bidi w:val="0"/>
        <w:spacing w:before="240"/>
        <w:ind w:left="397"/>
        <w:rPr>
          <w:noProof/>
        </w:rPr>
      </w:pPr>
      <w:r w:rsidRPr="00081B5E">
        <w:rPr>
          <w:rFonts w:hint="cs"/>
          <w:b/>
          <w:bCs/>
          <w:noProof/>
          <w:rtl/>
        </w:rPr>
        <w:drawing>
          <wp:anchor distT="0" distB="0" distL="0" distR="0" simplePos="0" relativeHeight="251805696"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208145368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453681"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81B5E">
        <w:rPr>
          <w:rFonts w:hint="cs"/>
          <w:b/>
          <w:bCs/>
          <w:noProof/>
        </w:rPr>
        <w:t xml:space="preserve">Vehicle </w:t>
      </w:r>
      <w:r w:rsidRPr="00081B5E">
        <w:rPr>
          <w:b/>
          <w:bCs/>
          <w:noProof/>
        </w:rPr>
        <w:t>M</w:t>
      </w:r>
      <w:r w:rsidRPr="00081B5E">
        <w:rPr>
          <w:rFonts w:hint="cs"/>
          <w:b/>
          <w:bCs/>
          <w:noProof/>
        </w:rPr>
        <w:t>aintenance</w:t>
      </w:r>
      <w:r w:rsidRPr="00081B5E">
        <w:rPr>
          <w:b/>
          <w:bCs/>
          <w:noProof/>
        </w:rPr>
        <w:t xml:space="preserve"> –</w:t>
      </w:r>
      <w:r w:rsidRPr="00C36DDA">
        <w:rPr>
          <w:rFonts w:hint="cs"/>
          <w:bCs/>
          <w:noProof/>
        </w:rPr>
        <w:t xml:space="preserve"> </w:t>
      </w:r>
      <w:r w:rsidRPr="00C36DDA">
        <w:rPr>
          <w:bCs/>
          <w:noProof/>
        </w:rPr>
        <w:t>vehicles have component</w:t>
      </w:r>
      <w:r w:rsidRPr="00C36DDA">
        <w:rPr>
          <w:rFonts w:hint="cs"/>
          <w:bCs/>
          <w:noProof/>
        </w:rPr>
        <w:t xml:space="preserve">s, such as airbags, whose condition is not checked as part of roadworthiness tests. Furthermore, a vehicle's condition can deteriorate in the period between tests due to high mileage, making these vehicles potential safety hazards on the roads. It was found that the </w:t>
      </w:r>
      <w:r w:rsidRPr="00C36DDA">
        <w:rPr>
          <w:bCs/>
          <w:noProof/>
        </w:rPr>
        <w:t>MOT</w:t>
      </w:r>
      <w:r w:rsidRPr="00C36DDA">
        <w:rPr>
          <w:rFonts w:hint="cs"/>
          <w:bCs/>
          <w:noProof/>
        </w:rPr>
        <w:t xml:space="preserve"> in 2017 </w:t>
      </w:r>
      <w:r w:rsidRPr="00C36DDA">
        <w:rPr>
          <w:bCs/>
          <w:noProof/>
        </w:rPr>
        <w:t>failed</w:t>
      </w:r>
      <w:r w:rsidRPr="00C36DDA">
        <w:rPr>
          <w:rFonts w:hint="cs"/>
          <w:bCs/>
          <w:noProof/>
        </w:rPr>
        <w:t xml:space="preserve"> to increase the frequency of roadworthiness tests for commercial vehicles despite their high involvement in accidents</w:t>
      </w:r>
      <w:r>
        <w:rPr>
          <w:noProof/>
        </w:rPr>
        <w:t>.</w:t>
      </w:r>
    </w:p>
    <w:p w:rsidR="00436EFE" w:rsidP="00436EFE" w14:paraId="3BA81208" w14:textId="041D35D3">
      <w:pPr>
        <w:pStyle w:val="7191"/>
        <w:bidi w:val="0"/>
        <w:spacing w:before="240"/>
        <w:ind w:left="397"/>
        <w:rPr>
          <w:noProof/>
        </w:rPr>
      </w:pPr>
      <w:r w:rsidRPr="00081B5E">
        <w:rPr>
          <w:rFonts w:hint="cs"/>
          <w:b/>
          <w:bCs/>
          <w:noProof/>
          <w:rtl/>
        </w:rPr>
        <w:drawing>
          <wp:anchor distT="0" distB="0" distL="0" distR="0" simplePos="0" relativeHeight="251806720"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12503035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030356"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81B5E">
        <w:rPr>
          <w:rFonts w:hint="cs"/>
          <w:b/>
          <w:bCs/>
          <w:noProof/>
        </w:rPr>
        <w:t xml:space="preserve">Purchase of </w:t>
      </w:r>
      <w:r w:rsidRPr="00081B5E">
        <w:rPr>
          <w:b/>
          <w:bCs/>
          <w:noProof/>
        </w:rPr>
        <w:t>S</w:t>
      </w:r>
      <w:r w:rsidRPr="00081B5E">
        <w:rPr>
          <w:rFonts w:hint="cs"/>
          <w:b/>
          <w:bCs/>
          <w:noProof/>
        </w:rPr>
        <w:t>hort-</w:t>
      </w:r>
      <w:r w:rsidRPr="00081B5E">
        <w:rPr>
          <w:b/>
          <w:bCs/>
          <w:noProof/>
        </w:rPr>
        <w:t>T</w:t>
      </w:r>
      <w:r w:rsidRPr="00081B5E">
        <w:rPr>
          <w:rFonts w:hint="cs"/>
          <w:b/>
          <w:bCs/>
          <w:noProof/>
        </w:rPr>
        <w:t xml:space="preserve">erm </w:t>
      </w:r>
      <w:r w:rsidRPr="00081B5E">
        <w:rPr>
          <w:b/>
          <w:bCs/>
          <w:noProof/>
        </w:rPr>
        <w:t>C</w:t>
      </w:r>
      <w:r w:rsidRPr="00081B5E">
        <w:rPr>
          <w:rFonts w:hint="cs"/>
          <w:b/>
          <w:bCs/>
          <w:noProof/>
        </w:rPr>
        <w:t xml:space="preserve">ompulsory </w:t>
      </w:r>
      <w:r w:rsidRPr="00081B5E">
        <w:rPr>
          <w:b/>
          <w:bCs/>
          <w:noProof/>
        </w:rPr>
        <w:t>V</w:t>
      </w:r>
      <w:r w:rsidRPr="00081B5E">
        <w:rPr>
          <w:rFonts w:hint="cs"/>
          <w:b/>
          <w:bCs/>
          <w:noProof/>
        </w:rPr>
        <w:t xml:space="preserve">ehicle </w:t>
      </w:r>
      <w:r w:rsidRPr="00081B5E">
        <w:rPr>
          <w:b/>
          <w:bCs/>
          <w:noProof/>
        </w:rPr>
        <w:t>I</w:t>
      </w:r>
      <w:r w:rsidRPr="00081B5E">
        <w:rPr>
          <w:rFonts w:hint="cs"/>
          <w:b/>
          <w:bCs/>
          <w:noProof/>
        </w:rPr>
        <w:t xml:space="preserve">nsurance </w:t>
      </w:r>
      <w:r w:rsidRPr="00081B5E">
        <w:rPr>
          <w:b/>
          <w:bCs/>
          <w:noProof/>
        </w:rPr>
        <w:t>P</w:t>
      </w:r>
      <w:r w:rsidRPr="00081B5E">
        <w:rPr>
          <w:rFonts w:hint="cs"/>
          <w:b/>
          <w:bCs/>
          <w:noProof/>
        </w:rPr>
        <w:t>olicies</w:t>
      </w:r>
      <w:r w:rsidRPr="00081B5E">
        <w:rPr>
          <w:b/>
          <w:bCs/>
          <w:noProof/>
        </w:rPr>
        <w:t xml:space="preserve"> –</w:t>
      </w:r>
      <w:r w:rsidRPr="00C36DDA">
        <w:rPr>
          <w:noProof/>
        </w:rPr>
        <w:t xml:space="preserve"> </w:t>
      </w:r>
      <w:r w:rsidRPr="00C36DDA">
        <w:rPr>
          <w:rFonts w:hint="cs"/>
          <w:bCs/>
          <w:noProof/>
        </w:rPr>
        <w:t>purchasing</w:t>
      </w:r>
      <w:r w:rsidRPr="00C36DDA">
        <w:rPr>
          <w:bCs/>
          <w:noProof/>
        </w:rPr>
        <w:t xml:space="preserve"> </w:t>
      </w:r>
      <w:r w:rsidRPr="00C36DDA">
        <w:rPr>
          <w:rFonts w:hint="cs"/>
          <w:bCs/>
          <w:noProof/>
        </w:rPr>
        <w:t>compulsory vehicle insurance for short periods is widespread. For example, in 2022, a</w:t>
      </w:r>
      <w:r w:rsidRPr="00C36DDA">
        <w:rPr>
          <w:bCs/>
          <w:noProof/>
        </w:rPr>
        <w:t>bout</w:t>
      </w:r>
      <w:r w:rsidRPr="00C36DDA">
        <w:rPr>
          <w:rFonts w:hint="cs"/>
          <w:bCs/>
          <w:noProof/>
        </w:rPr>
        <w:t xml:space="preserve"> 5% of all vehicles in Israel (</w:t>
      </w:r>
      <w:r w:rsidRPr="00C36DDA">
        <w:rPr>
          <w:bCs/>
          <w:noProof/>
        </w:rPr>
        <w:t>about</w:t>
      </w:r>
      <w:r w:rsidRPr="00C36DDA">
        <w:rPr>
          <w:rFonts w:hint="cs"/>
          <w:bCs/>
          <w:noProof/>
        </w:rPr>
        <w:t xml:space="preserve"> 211,000) were insured for less than three months. This could indicate that many vehicles are traveling the roads without compulsory insurance. It was also found that the police do not enforce the law on this issue and that the </w:t>
      </w:r>
      <w:r w:rsidRPr="00C36DDA">
        <w:rPr>
          <w:bCs/>
          <w:noProof/>
        </w:rPr>
        <w:t>MOT</w:t>
      </w:r>
      <w:r w:rsidRPr="00C36DDA">
        <w:rPr>
          <w:rFonts w:hint="cs"/>
          <w:bCs/>
          <w:noProof/>
        </w:rPr>
        <w:t xml:space="preserve"> and the Capital Market</w:t>
      </w:r>
      <w:r w:rsidRPr="00C36DDA">
        <w:rPr>
          <w:bCs/>
          <w:noProof/>
        </w:rPr>
        <w:t xml:space="preserve"> Authority</w:t>
      </w:r>
      <w:r w:rsidRPr="00C36DDA">
        <w:rPr>
          <w:rFonts w:hint="cs"/>
          <w:bCs/>
          <w:noProof/>
        </w:rPr>
        <w:t>, Insurance and Savings Authority do not cooperate to identify these cases and prevent uninsured vehicles from being driven</w:t>
      </w:r>
      <w:r>
        <w:rPr>
          <w:noProof/>
        </w:rPr>
        <w:t>.</w:t>
      </w:r>
    </w:p>
    <w:p w:rsidR="00436EFE" w:rsidP="00436EFE" w14:paraId="4D4B4B2A" w14:textId="77777777">
      <w:pPr>
        <w:pStyle w:val="7191"/>
        <w:bidi w:val="0"/>
        <w:spacing w:before="240"/>
        <w:ind w:left="397"/>
        <w:rPr>
          <w:noProof/>
        </w:rPr>
      </w:pPr>
    </w:p>
    <w:p w:rsidR="00436EFE" w:rsidP="00436EFE" w14:paraId="2CBD6CCA" w14:textId="77777777">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16235434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43469" name="Picture 10"/>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436EFE" w:rsidRPr="00902625" w:rsidP="00436EFE" w14:paraId="7A035BE5" w14:textId="77777777">
      <w:pPr>
        <w:bidi w:val="0"/>
        <w:spacing w:before="120" w:after="240" w:line="240" w:lineRule="atLeast"/>
        <w:rPr>
          <w:rFonts w:ascii="Tahoma" w:hAnsi="Tahoma" w:cs="Tahoma"/>
          <w:b/>
          <w:bCs/>
          <w:color w:val="00305F"/>
          <w:sz w:val="32"/>
          <w:szCs w:val="32"/>
          <w:rtl/>
        </w:rPr>
      </w:pPr>
      <w:r w:rsidRPr="00AE5F94">
        <w:rPr>
          <w:rFonts w:ascii="Tahoma" w:hAnsi="Tahoma" w:cs="Tahoma"/>
          <w:b/>
          <w:bCs/>
          <w:color w:val="00305F"/>
          <w:sz w:val="32"/>
          <w:szCs w:val="32"/>
        </w:rPr>
        <w:t xml:space="preserve">Key </w:t>
      </w:r>
      <w:r>
        <w:rPr>
          <w:rFonts w:ascii="Tahoma" w:hAnsi="Tahoma" w:cs="Tahoma"/>
          <w:b/>
          <w:bCs/>
          <w:color w:val="00305F"/>
          <w:sz w:val="32"/>
          <w:szCs w:val="32"/>
        </w:rPr>
        <w:t>R</w:t>
      </w:r>
      <w:r w:rsidRPr="00AE5F94">
        <w:rPr>
          <w:rFonts w:ascii="Tahoma" w:hAnsi="Tahoma" w:cs="Tahoma"/>
          <w:b/>
          <w:bCs/>
          <w:color w:val="00305F"/>
          <w:sz w:val="32"/>
          <w:szCs w:val="32"/>
        </w:rPr>
        <w:t>ecommendations</w:t>
      </w:r>
    </w:p>
    <w:p w:rsidR="00436EFE" w:rsidP="00436EFE" w14:paraId="6DE96137" w14:textId="112E98B5">
      <w:pPr>
        <w:pStyle w:val="ListParagraph"/>
        <w:numPr>
          <w:ilvl w:val="0"/>
          <w:numId w:val="0"/>
        </w:numPr>
        <w:bidi w:val="0"/>
        <w:spacing w:after="180" w:line="260" w:lineRule="exact"/>
        <w:ind w:left="397"/>
        <w:rPr>
          <w:noProof/>
          <w:spacing w:val="-4"/>
          <w:sz w:val="18"/>
          <w:szCs w:val="18"/>
        </w:rPr>
      </w:pPr>
      <w:r w:rsidRPr="0058257B">
        <w:rPr>
          <w:noProof/>
          <w:spacing w:val="-4"/>
          <w:sz w:val="18"/>
          <w:szCs w:val="18"/>
        </w:rPr>
        <w:drawing>
          <wp:anchor distT="0" distB="3600450" distL="114300" distR="114300" simplePos="0" relativeHeight="251807744"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391578557" name="תמונה 33"/>
            <wp:cNvGraphicFramePr/>
            <a:graphic xmlns:a="http://schemas.openxmlformats.org/drawingml/2006/main">
              <a:graphicData uri="http://schemas.openxmlformats.org/drawingml/2006/picture">
                <pic:pic xmlns:pic="http://schemas.openxmlformats.org/drawingml/2006/picture">
                  <pic:nvPicPr>
                    <pic:cNvPr id="1391578557"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6EFE">
        <w:rPr>
          <w:noProof/>
          <w:spacing w:val="-4"/>
          <w:sz w:val="18"/>
          <w:szCs w:val="18"/>
        </w:rPr>
        <w:t>It is recommended that the MOT consider adopting the RSA's recommendations regarding the promotion of equipping new vehicles with advanced safety systems. The Ministry should continue, in cooperation with the RSA, to monitor the development of new technological means and encourage their installation in private cars and trucks weighing no more than 3.5 tons. In addition, it should consider whether to mandate or incentivize the installation of safety systems in heavy vehicles and motorcycles as well. Furthermore, it is recommended to consider incentivizing the scrapping of old vehicles</w:t>
      </w:r>
      <w:r w:rsidRPr="0058257B">
        <w:rPr>
          <w:rFonts w:hint="cs"/>
          <w:noProof/>
          <w:spacing w:val="-4"/>
          <w:sz w:val="18"/>
          <w:szCs w:val="18"/>
        </w:rPr>
        <w:t xml:space="preserve">. </w:t>
      </w:r>
    </w:p>
    <w:p w:rsidR="00436EFE" w:rsidP="00436EFE" w14:paraId="5A5D529A" w14:textId="4BD55E22">
      <w:pPr>
        <w:pStyle w:val="ListParagraph"/>
        <w:numPr>
          <w:ilvl w:val="0"/>
          <w:numId w:val="0"/>
        </w:numPr>
        <w:bidi w:val="0"/>
        <w:spacing w:after="180" w:line="260" w:lineRule="exact"/>
        <w:ind w:left="397"/>
        <w:rPr>
          <w:noProof/>
          <w:spacing w:val="-4"/>
          <w:sz w:val="18"/>
          <w:szCs w:val="18"/>
        </w:rPr>
      </w:pPr>
      <w:r w:rsidRPr="0058257B">
        <w:rPr>
          <w:noProof/>
          <w:spacing w:val="-4"/>
          <w:sz w:val="18"/>
          <w:szCs w:val="18"/>
        </w:rPr>
        <w:drawing>
          <wp:anchor distT="0" distB="3600450" distL="114300" distR="114300" simplePos="0" relativeHeight="25180876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792701351" name="תמונה 33"/>
            <wp:cNvGraphicFramePr/>
            <a:graphic xmlns:a="http://schemas.openxmlformats.org/drawingml/2006/main">
              <a:graphicData uri="http://schemas.openxmlformats.org/drawingml/2006/picture">
                <pic:pic xmlns:pic="http://schemas.openxmlformats.org/drawingml/2006/picture">
                  <pic:nvPicPr>
                    <pic:cNvPr id="1792701351"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6EFE">
        <w:rPr>
          <w:rFonts w:hint="cs"/>
          <w:noProof/>
          <w:spacing w:val="-4"/>
          <w:sz w:val="18"/>
          <w:szCs w:val="18"/>
        </w:rPr>
        <w:t xml:space="preserve">It is recommended that the </w:t>
      </w:r>
      <w:r w:rsidRPr="00436EFE">
        <w:rPr>
          <w:noProof/>
          <w:spacing w:val="-4"/>
          <w:sz w:val="18"/>
          <w:szCs w:val="18"/>
        </w:rPr>
        <w:t>MOT</w:t>
      </w:r>
      <w:r w:rsidRPr="00436EFE">
        <w:rPr>
          <w:rFonts w:hint="cs"/>
          <w:noProof/>
          <w:spacing w:val="-4"/>
          <w:sz w:val="18"/>
          <w:szCs w:val="18"/>
        </w:rPr>
        <w:t xml:space="preserve"> </w:t>
      </w:r>
      <w:r w:rsidRPr="00436EFE">
        <w:rPr>
          <w:noProof/>
          <w:spacing w:val="-4"/>
          <w:sz w:val="18"/>
          <w:szCs w:val="18"/>
        </w:rPr>
        <w:t>introduce</w:t>
      </w:r>
      <w:r w:rsidRPr="00436EFE">
        <w:rPr>
          <w:rFonts w:hint="cs"/>
          <w:noProof/>
          <w:spacing w:val="-4"/>
          <w:sz w:val="18"/>
          <w:szCs w:val="18"/>
        </w:rPr>
        <w:t xml:space="preserve"> digital tachographs without further delay.</w:t>
      </w:r>
      <w:r w:rsidRPr="00436EFE">
        <w:rPr>
          <w:noProof/>
          <w:spacing w:val="-4"/>
          <w:sz w:val="18"/>
          <w:szCs w:val="18"/>
        </w:rPr>
        <w:t xml:space="preserve"> Among others,</w:t>
      </w:r>
      <w:r w:rsidRPr="00436EFE">
        <w:rPr>
          <w:rFonts w:hint="cs"/>
          <w:noProof/>
          <w:spacing w:val="-4"/>
          <w:sz w:val="18"/>
          <w:szCs w:val="18"/>
        </w:rPr>
        <w:t xml:space="preserve"> </w:t>
      </w:r>
      <w:r w:rsidRPr="00436EFE">
        <w:rPr>
          <w:noProof/>
          <w:spacing w:val="-4"/>
          <w:sz w:val="18"/>
          <w:szCs w:val="18"/>
        </w:rPr>
        <w:t>i</w:t>
      </w:r>
      <w:r w:rsidRPr="00436EFE">
        <w:rPr>
          <w:rFonts w:hint="cs"/>
          <w:noProof/>
          <w:spacing w:val="-4"/>
          <w:sz w:val="18"/>
          <w:szCs w:val="18"/>
        </w:rPr>
        <w:t xml:space="preserve">t should work with the Ministry of National Security and </w:t>
      </w:r>
      <w:r w:rsidRPr="00436EFE">
        <w:rPr>
          <w:noProof/>
          <w:spacing w:val="-4"/>
          <w:sz w:val="18"/>
          <w:szCs w:val="18"/>
        </w:rPr>
        <w:t>cooperate</w:t>
      </w:r>
      <w:r w:rsidRPr="00436EFE">
        <w:rPr>
          <w:rFonts w:hint="cs"/>
          <w:noProof/>
          <w:spacing w:val="-4"/>
          <w:sz w:val="18"/>
          <w:szCs w:val="18"/>
        </w:rPr>
        <w:t xml:space="preserve"> with the police to approv</w:t>
      </w:r>
      <w:r w:rsidRPr="00436EFE">
        <w:rPr>
          <w:noProof/>
          <w:spacing w:val="-4"/>
          <w:sz w:val="18"/>
          <w:szCs w:val="18"/>
        </w:rPr>
        <w:t>e</w:t>
      </w:r>
      <w:r w:rsidRPr="00436EFE">
        <w:rPr>
          <w:rFonts w:hint="cs"/>
          <w:noProof/>
          <w:spacing w:val="-4"/>
          <w:sz w:val="18"/>
          <w:szCs w:val="18"/>
        </w:rPr>
        <w:t xml:space="preserve"> the bill in the Knesset authori</w:t>
      </w:r>
      <w:r w:rsidRPr="00436EFE">
        <w:rPr>
          <w:noProof/>
          <w:spacing w:val="-4"/>
          <w:sz w:val="18"/>
          <w:szCs w:val="18"/>
        </w:rPr>
        <w:t>zing the police</w:t>
      </w:r>
      <w:r w:rsidRPr="00436EFE">
        <w:rPr>
          <w:rFonts w:hint="cs"/>
          <w:noProof/>
          <w:spacing w:val="-4"/>
          <w:sz w:val="18"/>
          <w:szCs w:val="18"/>
        </w:rPr>
        <w:t xml:space="preserve"> to use the digital tachograph</w:t>
      </w:r>
      <w:r w:rsidRPr="0058257B">
        <w:rPr>
          <w:rFonts w:hint="cs"/>
          <w:noProof/>
          <w:spacing w:val="-4"/>
          <w:sz w:val="18"/>
          <w:szCs w:val="18"/>
        </w:rPr>
        <w:t xml:space="preserve">. </w:t>
      </w:r>
    </w:p>
    <w:p w:rsidR="00436EFE" w:rsidP="00436EFE" w14:paraId="11472C64" w14:textId="117C1D18">
      <w:pPr>
        <w:pStyle w:val="ListParagraph"/>
        <w:numPr>
          <w:ilvl w:val="0"/>
          <w:numId w:val="0"/>
        </w:numPr>
        <w:bidi w:val="0"/>
        <w:spacing w:after="180" w:line="260" w:lineRule="exact"/>
        <w:ind w:left="397"/>
        <w:rPr>
          <w:noProof/>
          <w:spacing w:val="-4"/>
          <w:sz w:val="18"/>
          <w:szCs w:val="18"/>
        </w:rPr>
      </w:pPr>
      <w:r w:rsidRPr="0058257B">
        <w:rPr>
          <w:noProof/>
          <w:spacing w:val="-4"/>
          <w:sz w:val="18"/>
          <w:szCs w:val="18"/>
        </w:rPr>
        <w:drawing>
          <wp:anchor distT="0" distB="3600450" distL="114300" distR="114300" simplePos="0" relativeHeight="25180979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943543310" name="תמונה 33"/>
            <wp:cNvGraphicFramePr/>
            <a:graphic xmlns:a="http://schemas.openxmlformats.org/drawingml/2006/main">
              <a:graphicData uri="http://schemas.openxmlformats.org/drawingml/2006/picture">
                <pic:pic xmlns:pic="http://schemas.openxmlformats.org/drawingml/2006/picture">
                  <pic:nvPicPr>
                    <pic:cNvPr id="1943543310"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6EFE">
        <w:rPr>
          <w:rFonts w:hint="cs"/>
          <w:noProof/>
          <w:spacing w:val="-4"/>
          <w:sz w:val="18"/>
          <w:szCs w:val="18"/>
        </w:rPr>
        <w:t xml:space="preserve">It is recommended that the </w:t>
      </w:r>
      <w:r w:rsidRPr="00436EFE">
        <w:rPr>
          <w:noProof/>
          <w:spacing w:val="-4"/>
          <w:sz w:val="18"/>
          <w:szCs w:val="18"/>
        </w:rPr>
        <w:t>MOT</w:t>
      </w:r>
      <w:r w:rsidRPr="00436EFE">
        <w:rPr>
          <w:rFonts w:hint="cs"/>
          <w:noProof/>
          <w:spacing w:val="-4"/>
          <w:sz w:val="18"/>
          <w:szCs w:val="18"/>
        </w:rPr>
        <w:t xml:space="preserve"> and the Ministry of Finance strengthen the capabilities of the </w:t>
      </w:r>
      <w:r w:rsidRPr="00436EFE">
        <w:rPr>
          <w:bCs/>
          <w:noProof/>
          <w:spacing w:val="-4"/>
        </w:rPr>
        <w:t>MOT's</w:t>
      </w:r>
      <w:r w:rsidRPr="00436EFE">
        <w:rPr>
          <w:rFonts w:hint="cs"/>
          <w:bCs/>
          <w:noProof/>
          <w:spacing w:val="-4"/>
        </w:rPr>
        <w:t xml:space="preserve"> Inspection Department</w:t>
      </w:r>
      <w:r w:rsidRPr="00436EFE">
        <w:rPr>
          <w:rFonts w:hint="cs"/>
          <w:noProof/>
          <w:spacing w:val="-4"/>
          <w:sz w:val="18"/>
          <w:szCs w:val="18"/>
        </w:rPr>
        <w:t xml:space="preserve"> by allocating the necessary resources, including personnel, vehicles, and equipment – to provide a professional response to the tasks assigned to it</w:t>
      </w:r>
      <w:r w:rsidRPr="00436EFE">
        <w:rPr>
          <w:noProof/>
          <w:spacing w:val="-4"/>
          <w:sz w:val="18"/>
          <w:szCs w:val="18"/>
        </w:rPr>
        <w:t>. This is</w:t>
      </w:r>
      <w:r w:rsidRPr="00436EFE">
        <w:rPr>
          <w:rFonts w:hint="cs"/>
          <w:noProof/>
          <w:spacing w:val="-4"/>
          <w:sz w:val="18"/>
          <w:szCs w:val="18"/>
        </w:rPr>
        <w:t xml:space="preserve"> due to the importance of the division's activities in identifying and preventing safety defects</w:t>
      </w:r>
      <w:r w:rsidRPr="0058257B">
        <w:rPr>
          <w:rFonts w:hint="cs"/>
          <w:noProof/>
          <w:spacing w:val="-4"/>
          <w:sz w:val="18"/>
          <w:szCs w:val="18"/>
        </w:rPr>
        <w:t xml:space="preserve">. </w:t>
      </w:r>
    </w:p>
    <w:p w:rsidR="00436EFE" w:rsidP="00436EFE" w14:paraId="4AE0F5ED" w14:textId="3B450FDE">
      <w:pPr>
        <w:pStyle w:val="ListParagraph"/>
        <w:numPr>
          <w:ilvl w:val="0"/>
          <w:numId w:val="0"/>
        </w:numPr>
        <w:bidi w:val="0"/>
        <w:spacing w:after="180" w:line="260" w:lineRule="exact"/>
        <w:ind w:left="397"/>
        <w:rPr>
          <w:noProof/>
          <w:spacing w:val="-4"/>
          <w:sz w:val="18"/>
          <w:szCs w:val="18"/>
        </w:rPr>
      </w:pPr>
      <w:r w:rsidRPr="0058257B">
        <w:rPr>
          <w:noProof/>
          <w:spacing w:val="-4"/>
          <w:sz w:val="18"/>
          <w:szCs w:val="18"/>
        </w:rPr>
        <w:drawing>
          <wp:anchor distT="0" distB="3600450" distL="114300" distR="114300" simplePos="0" relativeHeight="251810816"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275489313" name="תמונה 33"/>
            <wp:cNvGraphicFramePr/>
            <a:graphic xmlns:a="http://schemas.openxmlformats.org/drawingml/2006/main">
              <a:graphicData uri="http://schemas.openxmlformats.org/drawingml/2006/picture">
                <pic:pic xmlns:pic="http://schemas.openxmlformats.org/drawingml/2006/picture">
                  <pic:nvPicPr>
                    <pic:cNvPr id="1275489313"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6EFE">
        <w:rPr>
          <w:rFonts w:hint="cs"/>
          <w:noProof/>
          <w:spacing w:val="-4"/>
          <w:sz w:val="18"/>
          <w:szCs w:val="18"/>
        </w:rPr>
        <w:t xml:space="preserve">It is recommended that the </w:t>
      </w:r>
      <w:r w:rsidRPr="00436EFE">
        <w:rPr>
          <w:noProof/>
          <w:spacing w:val="-4"/>
          <w:sz w:val="18"/>
          <w:szCs w:val="18"/>
        </w:rPr>
        <w:t>MOT</w:t>
      </w:r>
      <w:r w:rsidRPr="00436EFE">
        <w:rPr>
          <w:rFonts w:hint="cs"/>
          <w:noProof/>
          <w:spacing w:val="-4"/>
          <w:sz w:val="18"/>
          <w:szCs w:val="18"/>
        </w:rPr>
        <w:t xml:space="preserve">, RSA, and the Ministry of Finance examine the impact of the ongoing reduction in the budget for MOT's safety inspection mobile units on the number of inspections conducted. Based on these results, they should consider the optimal budget allocation for these inspections and their distribution according to the type of inspection. In addition, consideration should be given to the number of weighing devices required for MOT's safety inspection mobile units, and </w:t>
      </w:r>
      <w:r w:rsidRPr="00436EFE">
        <w:rPr>
          <w:noProof/>
          <w:spacing w:val="-4"/>
          <w:sz w:val="18"/>
          <w:szCs w:val="18"/>
        </w:rPr>
        <w:t>the two purchased weighing devices should be deployed</w:t>
      </w:r>
      <w:r w:rsidRPr="00436EFE">
        <w:rPr>
          <w:rFonts w:hint="cs"/>
          <w:noProof/>
          <w:spacing w:val="-4"/>
          <w:sz w:val="18"/>
          <w:szCs w:val="18"/>
        </w:rPr>
        <w:t xml:space="preserve">. Furthermore, it is recommended that the RSA and the </w:t>
      </w:r>
      <w:r w:rsidRPr="00436EFE">
        <w:rPr>
          <w:noProof/>
          <w:spacing w:val="-4"/>
          <w:sz w:val="18"/>
          <w:szCs w:val="18"/>
        </w:rPr>
        <w:t>MOT</w:t>
      </w:r>
      <w:r w:rsidRPr="00436EFE">
        <w:rPr>
          <w:rFonts w:hint="cs"/>
          <w:noProof/>
          <w:spacing w:val="-4"/>
          <w:sz w:val="18"/>
          <w:szCs w:val="18"/>
        </w:rPr>
        <w:t xml:space="preserve">, in collaboration with the police, develop and enhance the application of </w:t>
      </w:r>
      <w:r w:rsidRPr="00436EFE">
        <w:rPr>
          <w:noProof/>
          <w:spacing w:val="-4"/>
          <w:sz w:val="18"/>
          <w:szCs w:val="18"/>
        </w:rPr>
        <w:t>inspection finding</w:t>
      </w:r>
      <w:r w:rsidRPr="00436EFE">
        <w:rPr>
          <w:rFonts w:hint="cs"/>
          <w:noProof/>
          <w:spacing w:val="-4"/>
          <w:sz w:val="18"/>
          <w:szCs w:val="18"/>
        </w:rPr>
        <w:t>s, extract lessons learned, and use them to shape policies in various areas in the coming years of work</w:t>
      </w:r>
      <w:r w:rsidRPr="0058257B">
        <w:rPr>
          <w:rFonts w:hint="cs"/>
          <w:noProof/>
          <w:spacing w:val="-4"/>
          <w:sz w:val="18"/>
          <w:szCs w:val="18"/>
        </w:rPr>
        <w:t xml:space="preserve">. </w:t>
      </w:r>
    </w:p>
    <w:p w:rsidR="00436EFE" w:rsidP="00436EFE" w14:paraId="69C0FB8A" w14:textId="5C2CAAD0">
      <w:pPr>
        <w:pStyle w:val="ListParagraph"/>
        <w:numPr>
          <w:ilvl w:val="0"/>
          <w:numId w:val="0"/>
        </w:numPr>
        <w:bidi w:val="0"/>
        <w:spacing w:after="180" w:line="260" w:lineRule="exact"/>
        <w:ind w:left="397"/>
        <w:rPr>
          <w:noProof/>
          <w:spacing w:val="-4"/>
          <w:sz w:val="18"/>
          <w:szCs w:val="18"/>
        </w:rPr>
      </w:pPr>
      <w:r w:rsidRPr="0058257B">
        <w:rPr>
          <w:noProof/>
          <w:spacing w:val="-4"/>
          <w:sz w:val="18"/>
          <w:szCs w:val="18"/>
        </w:rPr>
        <w:drawing>
          <wp:anchor distT="0" distB="3600450" distL="114300" distR="114300" simplePos="0" relativeHeight="251811840"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592794950" name="תמונה 33"/>
            <wp:cNvGraphicFramePr/>
            <a:graphic xmlns:a="http://schemas.openxmlformats.org/drawingml/2006/main">
              <a:graphicData uri="http://schemas.openxmlformats.org/drawingml/2006/picture">
                <pic:pic xmlns:pic="http://schemas.openxmlformats.org/drawingml/2006/picture">
                  <pic:nvPicPr>
                    <pic:cNvPr id="1592794950"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6EFE">
        <w:rPr>
          <w:noProof/>
          <w:spacing w:val="-4"/>
          <w:sz w:val="18"/>
          <w:szCs w:val="18"/>
        </w:rPr>
        <w:t>It is recommended that the MOT consider the need to increase the frequency of roadworthiness tests for vehicles in appropriate cases or add tests under relevant circumstances, such as for vehicles with high mileage. In addition, it is recommended that the MOT and the RSA raise drivers' awareness of the importance of the integrity of the safety systems in vehicles and encourage the testing of these systems as part of regular vehicle maintenance. Furthermore, the State Comptroller's Office reiterates its recommendation that the MOT establish a central information database on the history of vehicle involvement in accidents and set rules for inspecting safety systems following accidents</w:t>
      </w:r>
      <w:r w:rsidRPr="0058257B">
        <w:rPr>
          <w:rFonts w:hint="cs"/>
          <w:noProof/>
          <w:spacing w:val="-4"/>
          <w:sz w:val="18"/>
          <w:szCs w:val="18"/>
        </w:rPr>
        <w:t xml:space="preserve">. </w:t>
      </w:r>
    </w:p>
    <w:p w:rsidR="00436EFE" w:rsidP="00436EFE" w14:paraId="76248A5E" w14:textId="070F28AC">
      <w:pPr>
        <w:pStyle w:val="ListParagraph"/>
        <w:numPr>
          <w:ilvl w:val="0"/>
          <w:numId w:val="0"/>
        </w:numPr>
        <w:bidi w:val="0"/>
        <w:spacing w:after="180" w:line="260" w:lineRule="exact"/>
        <w:ind w:left="397"/>
        <w:rPr>
          <w:noProof/>
          <w:spacing w:val="-4"/>
          <w:sz w:val="18"/>
          <w:szCs w:val="18"/>
        </w:rPr>
      </w:pPr>
      <w:r w:rsidRPr="0058257B">
        <w:rPr>
          <w:noProof/>
          <w:spacing w:val="-4"/>
          <w:sz w:val="18"/>
          <w:szCs w:val="18"/>
        </w:rPr>
        <w:drawing>
          <wp:anchor distT="0" distB="3600450" distL="114300" distR="114300" simplePos="0" relativeHeight="251812864"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62674003" name="תמונה 33"/>
            <wp:cNvGraphicFramePr/>
            <a:graphic xmlns:a="http://schemas.openxmlformats.org/drawingml/2006/main">
              <a:graphicData uri="http://schemas.openxmlformats.org/drawingml/2006/picture">
                <pic:pic xmlns:pic="http://schemas.openxmlformats.org/drawingml/2006/picture">
                  <pic:nvPicPr>
                    <pic:cNvPr id="62674003"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6EFE">
        <w:rPr>
          <w:noProof/>
          <w:spacing w:val="-4"/>
          <w:sz w:val="18"/>
          <w:szCs w:val="18"/>
        </w:rPr>
        <w:t>The police, the MOT, the Capital Market, the Insurance and Savings Authority, and the Ministry of Justice, in cooperation with the RSA, should adequately enforce the law regarding mandatory insurance</w:t>
      </w:r>
      <w:r w:rsidRPr="0058257B">
        <w:rPr>
          <w:rFonts w:hint="cs"/>
          <w:noProof/>
          <w:spacing w:val="-4"/>
          <w:sz w:val="18"/>
          <w:szCs w:val="18"/>
        </w:rPr>
        <w:t xml:space="preserve">. </w:t>
      </w:r>
    </w:p>
    <w:p w:rsidR="00436EFE" w:rsidP="00436EFE" w14:paraId="55DEAB45" w14:textId="77777777">
      <w:pPr>
        <w:pStyle w:val="ListParagraph"/>
        <w:numPr>
          <w:ilvl w:val="0"/>
          <w:numId w:val="0"/>
        </w:numPr>
        <w:bidi w:val="0"/>
        <w:spacing w:after="180" w:line="260" w:lineRule="exact"/>
        <w:ind w:left="397"/>
        <w:rPr>
          <w:noProof/>
          <w:spacing w:val="-4"/>
          <w:sz w:val="18"/>
          <w:szCs w:val="18"/>
        </w:rPr>
      </w:pPr>
    </w:p>
    <w:p w:rsidR="00436EFE" w:rsidP="00436EFE" w14:paraId="06082D5A" w14:textId="77777777">
      <w:pPr>
        <w:pStyle w:val="7191"/>
        <w:bidi w:val="0"/>
        <w:spacing w:before="240"/>
        <w:ind w:left="397"/>
        <w:rPr>
          <w:noProof/>
        </w:rPr>
      </w:pPr>
    </w:p>
    <w:p w:rsidR="00436EFE" w14:paraId="64A9F0CB" w14:textId="0D25DA58">
      <w:pPr>
        <w:bidi w:val="0"/>
        <w:rPr>
          <w:rFonts w:ascii="Tahoma" w:hAnsi="Tahoma" w:eastAsiaTheme="minorHAnsi" w:cs="Tahoma"/>
          <w:noProof/>
          <w:color w:val="0D0D0D" w:themeColor="text1" w:themeTint="F2"/>
          <w:sz w:val="18"/>
          <w:szCs w:val="18"/>
        </w:rPr>
      </w:pPr>
      <w:r>
        <w:rPr>
          <w:noProof/>
        </w:rPr>
        <w:br w:type="page"/>
      </w:r>
    </w:p>
    <w:p w:rsidR="00436EFE" w:rsidP="00436EFE" w14:paraId="003622B6" w14:textId="77777777">
      <w:pPr>
        <w:pStyle w:val="7191"/>
        <w:bidi w:val="0"/>
        <w:spacing w:before="240"/>
        <w:ind w:left="397"/>
        <w:rPr>
          <w:noProof/>
        </w:rPr>
      </w:pPr>
    </w:p>
    <w:p w:rsidR="004B3772" w:rsidRPr="004C3206" w:rsidP="00016F6A" w14:paraId="65300AB3" w14:textId="74D9631B">
      <w:pPr>
        <w:bidi w:val="0"/>
        <w:spacing w:line="276" w:lineRule="auto"/>
        <w:ind w:left="170"/>
        <w:rPr>
          <w:rFonts w:ascii="Tahoma" w:hAnsi="Tahoma" w:cs="Tahoma"/>
          <w:b/>
          <w:bCs/>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680768" behindDoc="1" locked="0" layoutInCell="1" allowOverlap="1">
            <wp:simplePos x="0" y="0"/>
            <wp:positionH relativeFrom="column">
              <wp:posOffset>-19557</wp:posOffset>
            </wp:positionH>
            <wp:positionV relativeFrom="paragraph">
              <wp:posOffset>-217325</wp:posOffset>
            </wp:positionV>
            <wp:extent cx="4701971" cy="676195"/>
            <wp:effectExtent l="0" t="0" r="0" b="0"/>
            <wp:wrapNone/>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01971" cy="676195"/>
                    </a:xfrm>
                    <a:prstGeom prst="rect">
                      <a:avLst/>
                    </a:prstGeom>
                  </pic:spPr>
                </pic:pic>
              </a:graphicData>
            </a:graphic>
            <wp14:sizeRelH relativeFrom="margin">
              <wp14:pctWidth>0</wp14:pctWidth>
            </wp14:sizeRelH>
            <wp14:sizeRelV relativeFrom="margin">
              <wp14:pctHeight>0</wp14:pctHeight>
            </wp14:sizeRelV>
          </wp:anchor>
        </w:drawing>
      </w:r>
      <w:r w:rsidRPr="00436EFE" w:rsidR="00436EFE">
        <w:rPr>
          <w:rFonts w:ascii="Tahoma" w:hAnsi="Tahoma" w:cs="Tahoma"/>
          <w:b/>
          <w:bCs/>
          <w:noProof/>
          <w:color w:val="FFFFFF" w:themeColor="background1"/>
          <w:sz w:val="22"/>
          <w:szCs w:val="22"/>
        </w:rPr>
        <w:t>The Number of Fatalities in Road Accidents, 2005–2022</w:t>
      </w:r>
    </w:p>
    <w:p w:rsidR="004B58CE" w:rsidRPr="004B58CE" w:rsidP="00D12832" w14:paraId="3ADE1FD2" w14:textId="3C9707C0">
      <w:pPr>
        <w:spacing w:before="840"/>
        <w:rPr>
          <w:rtl/>
        </w:rPr>
      </w:pPr>
      <w:r>
        <w:rPr>
          <w:noProof/>
          <w:rtl/>
          <w:lang w:val="he-IL"/>
        </w:rPr>
        <w:drawing>
          <wp:inline distT="0" distB="0" distL="0" distR="0">
            <wp:extent cx="4700116" cy="3477321"/>
            <wp:effectExtent l="0" t="0" r="0" b="0"/>
            <wp:docPr id="180261448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14487" name="תמונה 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4712980" cy="3486839"/>
                    </a:xfrm>
                    <a:prstGeom prst="rect">
                      <a:avLst/>
                    </a:prstGeom>
                  </pic:spPr>
                </pic:pic>
              </a:graphicData>
            </a:graphic>
          </wp:inline>
        </w:drawing>
      </w:r>
    </w:p>
    <w:p w:rsidR="00804534" w:rsidP="006E013E" w14:paraId="6D6C7CB6" w14:textId="281F049E">
      <w:pPr>
        <w:pStyle w:val="711"/>
        <w:bidi w:val="0"/>
        <w:spacing w:after="0"/>
        <w:ind w:left="0" w:firstLine="0"/>
        <w:jc w:val="left"/>
      </w:pPr>
      <w:r w:rsidRPr="00436EFE">
        <w:t>According to data from the Central Bureau of Statistics, processed by the State Comptroller Office</w:t>
      </w:r>
      <w:r w:rsidRPr="00FF2854" w:rsidR="00FF2854">
        <w:t>.</w:t>
      </w:r>
    </w:p>
    <w:p w:rsidR="005E2CFE" w14:paraId="5363B796" w14:textId="3386DB19">
      <w:pPr>
        <w:bidi w:val="0"/>
        <w:rPr>
          <w:rFonts w:ascii="Tahoma" w:hAnsi="Tahoma" w:eastAsiaTheme="minorHAnsi" w:cs="Tahoma"/>
          <w:color w:val="0D0D0D" w:themeColor="text1" w:themeTint="F2"/>
          <w:sz w:val="16"/>
          <w:szCs w:val="16"/>
        </w:rPr>
      </w:pPr>
      <w:r>
        <w:br w:type="page"/>
      </w:r>
    </w:p>
    <w:p w:rsidR="005E2CFE" w:rsidRPr="004C3206" w:rsidP="005E2CFE" w14:paraId="4C11127F" w14:textId="394A6B8F">
      <w:pPr>
        <w:pStyle w:val="7191"/>
        <w:bidi w:val="0"/>
        <w:spacing w:before="240"/>
        <w:ind w:left="227" w:right="113"/>
        <w:jc w:val="left"/>
        <w:rPr>
          <w:b/>
          <w:bCs/>
          <w:color w:val="FFFFFF" w:themeColor="background1"/>
          <w:sz w:val="22"/>
          <w:szCs w:val="22"/>
        </w:rPr>
      </w:pPr>
      <w:r w:rsidRPr="00474ED3">
        <w:rPr>
          <w:rFonts w:hint="eastAsia"/>
          <w:b/>
          <w:bCs/>
          <w:noProof/>
          <w:color w:val="FFFFFF" w:themeColor="background1"/>
          <w:sz w:val="22"/>
          <w:szCs w:val="22"/>
          <w:rtl/>
        </w:rPr>
        <w:drawing>
          <wp:anchor distT="0" distB="0" distL="114300" distR="114300" simplePos="0" relativeHeight="251813888" behindDoc="1" locked="0" layoutInCell="1" allowOverlap="1">
            <wp:simplePos x="0" y="0"/>
            <wp:positionH relativeFrom="column">
              <wp:posOffset>-19050</wp:posOffset>
            </wp:positionH>
            <wp:positionV relativeFrom="paragraph">
              <wp:posOffset>-120306</wp:posOffset>
            </wp:positionV>
            <wp:extent cx="4701971" cy="676195"/>
            <wp:effectExtent l="0" t="0" r="0" b="0"/>
            <wp:wrapNone/>
            <wp:docPr id="723415431" name="Picture 3" descr="תמונה שמכילה צילום מסך, אדום, מ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415431" name="Picture 3" descr="תמונה שמכילה צילום מסך, אדום, מלבן&#10;&#10;התיאור נוצר באופן אוטומטי"/>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01971" cy="676195"/>
                    </a:xfrm>
                    <a:prstGeom prst="rect">
                      <a:avLst/>
                    </a:prstGeom>
                  </pic:spPr>
                </pic:pic>
              </a:graphicData>
            </a:graphic>
            <wp14:sizeRelH relativeFrom="margin">
              <wp14:pctWidth>0</wp14:pctWidth>
            </wp14:sizeRelH>
            <wp14:sizeRelV relativeFrom="margin">
              <wp14:pctHeight>0</wp14:pctHeight>
            </wp14:sizeRelV>
          </wp:anchor>
        </w:drawing>
      </w:r>
      <w:r w:rsidRPr="005E2CFE">
        <w:rPr>
          <w:b/>
          <w:bCs/>
          <w:noProof/>
          <w:color w:val="FFFFFF" w:themeColor="background1"/>
          <w:sz w:val="22"/>
          <w:szCs w:val="22"/>
        </w:rPr>
        <w:t xml:space="preserve">The Change Rate in the Number of Fatalities in Road </w:t>
      </w:r>
      <w:r>
        <w:rPr>
          <w:b/>
          <w:bCs/>
          <w:noProof/>
          <w:color w:val="FFFFFF" w:themeColor="background1"/>
          <w:sz w:val="22"/>
          <w:szCs w:val="22"/>
        </w:rPr>
        <w:br/>
      </w:r>
      <w:r w:rsidRPr="005E2CFE">
        <w:rPr>
          <w:b/>
          <w:bCs/>
          <w:noProof/>
          <w:color w:val="FFFFFF" w:themeColor="background1"/>
          <w:sz w:val="22"/>
          <w:szCs w:val="22"/>
        </w:rPr>
        <w:t>Accidents, 2012–2022</w:t>
      </w:r>
    </w:p>
    <w:p w:rsidR="005E2CFE" w:rsidRPr="004B58CE" w:rsidP="005E2CFE" w14:paraId="45FF617C" w14:textId="77777777">
      <w:pPr>
        <w:spacing w:before="840"/>
        <w:rPr>
          <w:rtl/>
        </w:rPr>
      </w:pPr>
      <w:r>
        <w:rPr>
          <w:noProof/>
          <w:rtl/>
          <w:lang w:val="he-IL"/>
        </w:rPr>
        <w:drawing>
          <wp:inline distT="0" distB="0" distL="0" distR="0">
            <wp:extent cx="4741662" cy="2823586"/>
            <wp:effectExtent l="0" t="0" r="0" b="0"/>
            <wp:docPr id="141076100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761000" name="תמונה 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4753753" cy="2830786"/>
                    </a:xfrm>
                    <a:prstGeom prst="rect">
                      <a:avLst/>
                    </a:prstGeom>
                  </pic:spPr>
                </pic:pic>
              </a:graphicData>
            </a:graphic>
          </wp:inline>
        </w:drawing>
      </w:r>
    </w:p>
    <w:p w:rsidR="005E2CFE" w:rsidP="005E2CFE" w14:paraId="714BB998" w14:textId="7F80276F">
      <w:pPr>
        <w:pStyle w:val="711"/>
        <w:bidi w:val="0"/>
        <w:spacing w:after="0"/>
        <w:ind w:left="0" w:firstLine="0"/>
        <w:jc w:val="left"/>
      </w:pPr>
      <w:r w:rsidRPr="00E562C5">
        <w:rPr>
          <w:rFonts w:hint="cs"/>
          <w:lang w:val="en"/>
        </w:rPr>
        <w:t>According to</w:t>
      </w:r>
      <w:r w:rsidRPr="00E562C5">
        <w:rPr>
          <w:i/>
          <w:iCs/>
          <w:lang w:val="en"/>
        </w:rPr>
        <w:t xml:space="preserve"> ETSC, </w:t>
      </w:r>
      <w:r w:rsidRPr="00E562C5">
        <w:rPr>
          <w:lang w:val="en"/>
        </w:rPr>
        <w:t>Ranking EU Progress on Road Safety</w:t>
      </w:r>
      <w:r w:rsidRPr="00E562C5">
        <w:rPr>
          <w:i/>
          <w:iCs/>
          <w:lang w:val="en"/>
        </w:rPr>
        <w:t xml:space="preserve"> </w:t>
      </w:r>
      <m:oMath>
        <m:r>
          <w:rPr>
            <w:rFonts w:ascii="Cambria Math" w:hAnsi="Cambria Math"/>
            <w:lang w:val="en"/>
          </w:rPr>
          <m:t>-</m:t>
        </m:r>
      </m:oMath>
      <w:r w:rsidRPr="00E562C5">
        <w:rPr>
          <w:i/>
          <w:iCs/>
          <w:lang w:val="en"/>
        </w:rPr>
        <w:t xml:space="preserve"> 17th Road Safety Performance Index Report (2023), </w:t>
      </w:r>
      <w:r w:rsidRPr="00E562C5">
        <w:rPr>
          <w:lang w:val="en"/>
        </w:rPr>
        <w:t>processed by the State Comptroller's Office</w:t>
      </w:r>
      <w:r w:rsidRPr="00FF2854">
        <w:t>.</w:t>
      </w:r>
    </w:p>
    <w:p w:rsidR="005E2CFE" w14:paraId="7275C98D" w14:textId="77777777">
      <w:pPr>
        <w:bidi w:val="0"/>
        <w:rPr>
          <w:rFonts w:ascii="Tahoma" w:hAnsi="Tahoma" w:eastAsiaTheme="minorHAnsi" w:cs="Tahoma"/>
          <w:color w:val="0D0D0D" w:themeColor="text1" w:themeTint="F2"/>
          <w:sz w:val="16"/>
          <w:szCs w:val="16"/>
        </w:rPr>
      </w:pPr>
      <w:r>
        <w:br w:type="page"/>
      </w:r>
    </w:p>
    <w:p w:rsidR="005E2CFE" w:rsidRPr="004C3206" w:rsidP="005E2CFE" w14:paraId="2BC22CB8" w14:textId="77777777">
      <w:pPr>
        <w:pStyle w:val="7191"/>
        <w:bidi w:val="0"/>
        <w:spacing w:before="240"/>
        <w:ind w:left="227" w:right="113"/>
        <w:jc w:val="left"/>
        <w:rPr>
          <w:b/>
          <w:bCs/>
          <w:color w:val="FFFFFF" w:themeColor="background1"/>
          <w:sz w:val="22"/>
          <w:szCs w:val="22"/>
        </w:rPr>
      </w:pPr>
      <w:r w:rsidRPr="00474ED3">
        <w:rPr>
          <w:rFonts w:hint="eastAsia"/>
          <w:b/>
          <w:bCs/>
          <w:noProof/>
          <w:color w:val="FFFFFF" w:themeColor="background1"/>
          <w:sz w:val="22"/>
          <w:szCs w:val="22"/>
          <w:rtl/>
        </w:rPr>
        <w:drawing>
          <wp:anchor distT="0" distB="0" distL="114300" distR="114300" simplePos="0" relativeHeight="251814912" behindDoc="1" locked="0" layoutInCell="1" allowOverlap="1">
            <wp:simplePos x="0" y="0"/>
            <wp:positionH relativeFrom="column">
              <wp:posOffset>-19050</wp:posOffset>
            </wp:positionH>
            <wp:positionV relativeFrom="paragraph">
              <wp:posOffset>-120306</wp:posOffset>
            </wp:positionV>
            <wp:extent cx="4701971" cy="676195"/>
            <wp:effectExtent l="0" t="0" r="0" b="0"/>
            <wp:wrapNone/>
            <wp:docPr id="387113211" name="Picture 3" descr="תמונה שמכילה צילום מסך, אדום, מ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113211" name="Picture 3" descr="תמונה שמכילה צילום מסך, אדום, מלבן&#10;&#10;התיאור נוצר באופן אוטומטי"/>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01971" cy="676195"/>
                    </a:xfrm>
                    <a:prstGeom prst="rect">
                      <a:avLst/>
                    </a:prstGeom>
                  </pic:spPr>
                </pic:pic>
              </a:graphicData>
            </a:graphic>
            <wp14:sizeRelH relativeFrom="margin">
              <wp14:pctWidth>0</wp14:pctWidth>
            </wp14:sizeRelH>
            <wp14:sizeRelV relativeFrom="margin">
              <wp14:pctHeight>0</wp14:pctHeight>
            </wp14:sizeRelV>
          </wp:anchor>
        </w:drawing>
      </w:r>
      <w:r w:rsidRPr="005E2CFE">
        <w:rPr>
          <w:b/>
          <w:bCs/>
          <w:noProof/>
          <w:color w:val="FFFFFF" w:themeColor="background1"/>
          <w:sz w:val="22"/>
          <w:szCs w:val="22"/>
        </w:rPr>
        <w:t xml:space="preserve">The Change Rate in the Number of Fatalities in Road </w:t>
      </w:r>
      <w:r>
        <w:rPr>
          <w:b/>
          <w:bCs/>
          <w:noProof/>
          <w:color w:val="FFFFFF" w:themeColor="background1"/>
          <w:sz w:val="22"/>
          <w:szCs w:val="22"/>
        </w:rPr>
        <w:br/>
      </w:r>
      <w:r w:rsidRPr="005E2CFE">
        <w:rPr>
          <w:b/>
          <w:bCs/>
          <w:noProof/>
          <w:color w:val="FFFFFF" w:themeColor="background1"/>
          <w:sz w:val="22"/>
          <w:szCs w:val="22"/>
        </w:rPr>
        <w:t>Accidents, 2012–2022</w:t>
      </w:r>
    </w:p>
    <w:p w:rsidR="005E2CFE" w:rsidRPr="004B58CE" w:rsidP="005E2CFE" w14:paraId="533A6A7B" w14:textId="77777777">
      <w:pPr>
        <w:spacing w:before="840"/>
        <w:rPr>
          <w:rtl/>
        </w:rPr>
      </w:pPr>
      <w:r>
        <w:rPr>
          <w:noProof/>
          <w:rtl/>
          <w:lang w:val="he-IL"/>
        </w:rPr>
        <w:drawing>
          <wp:inline distT="0" distB="0" distL="0" distR="0">
            <wp:extent cx="4714875" cy="2793441"/>
            <wp:effectExtent l="0" t="0" r="0" b="635"/>
            <wp:docPr id="141584386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843864" name="תמונה 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27608" cy="2800985"/>
                    </a:xfrm>
                    <a:prstGeom prst="rect">
                      <a:avLst/>
                    </a:prstGeom>
                  </pic:spPr>
                </pic:pic>
              </a:graphicData>
            </a:graphic>
          </wp:inline>
        </w:drawing>
      </w:r>
    </w:p>
    <w:p w:rsidR="005E2CFE" w:rsidRPr="00433B20" w:rsidP="005E2CFE" w14:paraId="0313D025" w14:textId="2FEB5097">
      <w:pPr>
        <w:pStyle w:val="711"/>
        <w:bidi w:val="0"/>
        <w:spacing w:after="0"/>
        <w:ind w:left="0" w:firstLine="0"/>
        <w:jc w:val="left"/>
        <w:rPr>
          <w:rtl/>
        </w:rPr>
      </w:pPr>
      <w:r w:rsidRPr="00E562C5">
        <w:rPr>
          <w:i/>
          <w:iCs/>
          <w:lang w:val="en"/>
        </w:rPr>
        <w:t xml:space="preserve">According to ETSC, </w:t>
      </w:r>
      <w:r w:rsidRPr="00E562C5">
        <w:rPr>
          <w:rFonts w:hint="cs"/>
          <w:lang w:val="en"/>
        </w:rPr>
        <w:t>Ranking EU Progress on Road Safety</w:t>
      </w:r>
      <w:r w:rsidRPr="00E562C5">
        <w:rPr>
          <w:i/>
          <w:iCs/>
          <w:lang w:val="en"/>
        </w:rPr>
        <w:t xml:space="preserve"> </w:t>
      </w:r>
      <m:oMath>
        <m:r>
          <w:rPr>
            <w:rFonts w:ascii="Cambria Math" w:hAnsi="Cambria Math"/>
            <w:lang w:val="en"/>
          </w:rPr>
          <m:t>-</m:t>
        </m:r>
      </m:oMath>
      <w:r w:rsidRPr="00E562C5">
        <w:rPr>
          <w:i/>
          <w:iCs/>
          <w:lang w:val="en"/>
        </w:rPr>
        <w:t xml:space="preserve"> 17th Road Safety Performance Index Report (2023), </w:t>
      </w:r>
      <w:r w:rsidRPr="00E562C5">
        <w:rPr>
          <w:lang w:val="en"/>
        </w:rPr>
        <w:t>processed by the State Comptroller's Office</w:t>
      </w:r>
      <w:r w:rsidRPr="00FF2854">
        <w:t>.</w:t>
      </w:r>
    </w:p>
    <w:p w:rsidR="005E2CFE" w:rsidRPr="00433B20" w:rsidP="005E2CFE" w14:paraId="2BFC0CB4" w14:textId="77777777">
      <w:pPr>
        <w:pStyle w:val="711"/>
        <w:bidi w:val="0"/>
        <w:spacing w:after="0"/>
        <w:ind w:left="0" w:firstLine="0"/>
        <w:jc w:val="left"/>
        <w:rPr>
          <w:rtl/>
        </w:rPr>
      </w:pPr>
    </w:p>
    <w:p w:rsidR="005E2CFE" w:rsidRPr="00433B20" w:rsidP="005E2CFE" w14:paraId="57900D3F" w14:textId="77777777">
      <w:pPr>
        <w:pStyle w:val="711"/>
        <w:bidi w:val="0"/>
        <w:spacing w:after="0"/>
        <w:ind w:left="0" w:firstLine="0"/>
        <w:jc w:val="left"/>
        <w:rPr>
          <w:rtl/>
        </w:rPr>
      </w:pPr>
    </w:p>
    <w:p w:rsidR="001C27C2" w14:paraId="003A9204" w14:textId="6A4722E1">
      <w:pPr>
        <w:bidi w:val="0"/>
        <w:rPr>
          <w:rFonts w:ascii="Tahoma" w:hAnsi="Tahoma" w:cs="Tahoma"/>
          <w:spacing w:val="-2"/>
          <w:sz w:val="18"/>
          <w:szCs w:val="18"/>
        </w:rPr>
      </w:pPr>
      <w:r>
        <w:rPr>
          <w:rFonts w:ascii="Tahoma" w:hAnsi="Tahoma" w:cs="Tahoma"/>
          <w:spacing w:val="-2"/>
          <w:sz w:val="18"/>
          <w:szCs w:val="18"/>
        </w:rPr>
        <w:br w:type="page"/>
      </w:r>
    </w:p>
    <w:p w:rsidR="00496CBE" w:rsidP="004B3772" w14:paraId="5C46C175" w14:textId="6CEEC138">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57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496CBE" w:rsidRPr="00902625" w:rsidP="009661D6" w14:paraId="21789D2B" w14:textId="045CFE37">
      <w:pPr>
        <w:bidi w:val="0"/>
        <w:spacing w:before="120" w:after="180" w:line="240" w:lineRule="atLeast"/>
        <w:rPr>
          <w:rFonts w:ascii="Tahoma" w:hAnsi="Tahoma" w:cs="Tahoma"/>
          <w:b/>
          <w:bCs/>
          <w:color w:val="00305F"/>
          <w:sz w:val="32"/>
          <w:szCs w:val="32"/>
        </w:rPr>
      </w:pPr>
      <w:r w:rsidRPr="00AE5F94">
        <w:rPr>
          <w:rFonts w:ascii="Tahoma" w:hAnsi="Tahoma" w:cs="Tahoma"/>
          <w:b/>
          <w:bCs/>
          <w:color w:val="00305F"/>
          <w:sz w:val="32"/>
          <w:szCs w:val="32"/>
        </w:rPr>
        <w:t>Summary</w:t>
      </w:r>
    </w:p>
    <w:p w:rsidR="005E2CFE" w:rsidRPr="001E21FD" w:rsidP="005E2CFE" w14:paraId="02F8D4D3" w14:textId="77777777">
      <w:pPr>
        <w:pStyle w:val="running-text"/>
        <w:spacing w:after="180" w:line="260" w:lineRule="exact"/>
        <w:ind w:right="0"/>
        <w:rPr>
          <w:color w:val="0D0D0D" w:themeColor="text1" w:themeTint="F2"/>
          <w:sz w:val="18"/>
          <w:rtl/>
        </w:rPr>
      </w:pPr>
      <w:r w:rsidRPr="001E21FD">
        <w:rPr>
          <w:color w:val="0D0D0D" w:themeColor="text1" w:themeTint="F2"/>
          <w:sz w:val="18"/>
        </w:rPr>
        <w:t xml:space="preserve">Every year, hundreds of people are </w:t>
      </w:r>
      <w:r w:rsidRPr="001E21FD">
        <w:rPr>
          <w:color w:val="0D0D0D" w:themeColor="text1" w:themeTint="F2"/>
          <w:sz w:val="18"/>
        </w:rPr>
        <w:t>killed</w:t>
      </w:r>
      <w:r w:rsidRPr="001E21FD">
        <w:rPr>
          <w:color w:val="0D0D0D" w:themeColor="text1" w:themeTint="F2"/>
          <w:sz w:val="18"/>
        </w:rPr>
        <w:t xml:space="preserve"> and thousands are injured in road accidents in Israel. This results in immense pain, sorrow, and significant economic damage, estimated about NIS 16 billion annually. The fight against road accidents is a continuous struggle that requires substantial resources and sustained effort. Although road accidents have been a persistent topic in daily discussions for many years, the data indicate that until now, no adequate solution has been provided for this complex problem. The various governments' measures over the past decade have not had a significant impact on the number of accidents or reduced the number of fatalities and injuries from road accidents, in contrast to trends observed in many European countries during the same period. </w:t>
      </w:r>
    </w:p>
    <w:p w:rsidR="005E2CFE" w:rsidRPr="001E21FD" w:rsidP="005E2CFE" w14:paraId="1F0949D8" w14:textId="77777777">
      <w:pPr>
        <w:pStyle w:val="running-text"/>
        <w:spacing w:after="180" w:line="260" w:lineRule="exact"/>
        <w:ind w:right="0"/>
        <w:rPr>
          <w:color w:val="0D0D0D" w:themeColor="text1" w:themeTint="F2"/>
          <w:sz w:val="18"/>
          <w:rtl/>
        </w:rPr>
      </w:pPr>
      <w:r w:rsidRPr="001E21FD">
        <w:rPr>
          <w:color w:val="0D0D0D" w:themeColor="text1" w:themeTint="F2"/>
          <w:sz w:val="18"/>
        </w:rPr>
        <w:t xml:space="preserve">The audit found deficiencies in various aspects of the fight against road accidents, both at the systemic level, such as the absence of a leading authority with the necessary powers to fight road accidents, the lack of a funded multi-year strategic plan, the failure to convene a committee of ministry directors-general to address the issue, and the lack of reports to the Knesset on the matter; and regarding the actions of the various government bodies involved. The audit found that over the past decade, the budgets allocated to road safety and the personnel dedicated to this issue have progressively decreased in each of the responsible bodies. Consequently, there are significant gaps in the following fields: educational programs in kindergartens and schools; driver training processes, verifying drivers' medical fitness; enforcement and public awareness activities; traffic courts' workload; road safety infrastructure on intercity roads and on urban roads; and ensuring vehicles' roadworthiness. Huge gaps were found in the Arab sector. </w:t>
      </w:r>
    </w:p>
    <w:p w:rsidR="005E2CFE" w:rsidRPr="001E21FD" w:rsidP="005E2CFE" w14:paraId="426296DF" w14:textId="77777777">
      <w:pPr>
        <w:pStyle w:val="running-text"/>
        <w:spacing w:after="180" w:line="260" w:lineRule="exact"/>
        <w:ind w:right="0"/>
        <w:rPr>
          <w:color w:val="0D0D0D" w:themeColor="text1" w:themeTint="F2"/>
          <w:sz w:val="18"/>
          <w:rtl/>
        </w:rPr>
      </w:pPr>
      <w:r w:rsidRPr="001E21FD">
        <w:rPr>
          <w:color w:val="0D0D0D" w:themeColor="text1" w:themeTint="F2"/>
          <w:sz w:val="18"/>
        </w:rPr>
        <w:t xml:space="preserve">The multitude of factors affecting the scope of road accidents makes the fight against them complex. Since the human factor is responsible for most road accidents, addressing this factor in conjunction with actions to improve infrastructure and vehicle safety is necessary. All government bodies accountable for road safety, including the MOT, the RSA, the Israel Police, the judicial system, and the Ministry of Education, should rectify the deficiencies raised in this report. Success in this crucial struggle begins with the personal responsibility of all road users. It continues with the establishment of a leading and empowered authority, the formulation of a funded strategic plan with clear and measurable goals, the independent operation of each relevant body, their coordinated and joint efforts, and, above all, the commitment of the Prime Minister and all government ministers. International experience in countries that have managed to reduce the number of casualties in road accidents demonstrates that this is not a matter of fate but an attainable goal that saves lives. Many countries worldwide refuse to accept the loss caused by road accidents and have set a goal of zero fatalities in road accidents. </w:t>
      </w:r>
    </w:p>
    <w:p w:rsidR="001C54F4" w:rsidRPr="00485F83" w:rsidP="005E2CFE" w14:paraId="1C1ADDB0" w14:textId="46657693">
      <w:pPr>
        <w:pStyle w:val="running-text"/>
        <w:spacing w:after="180" w:line="260" w:lineRule="exact"/>
        <w:ind w:right="0"/>
        <w:rPr>
          <w:color w:val="0D0D0D" w:themeColor="text1" w:themeTint="F2"/>
          <w:sz w:val="18"/>
        </w:rPr>
      </w:pPr>
      <w:r w:rsidRPr="001E21FD">
        <w:rPr>
          <w:color w:val="0D0D0D" w:themeColor="text1" w:themeTint="F2"/>
          <w:sz w:val="18"/>
        </w:rPr>
        <w:t>The MOT must place this issue at the top of the agenda and address all the deficiencies identified in the report.</w:t>
      </w:r>
      <w:r w:rsidR="00C64FB4">
        <w:rPr>
          <w:noProof/>
          <w:color w:val="0D0D0D" w:themeColor="text1" w:themeTint="F2"/>
          <w:sz w:val="18"/>
          <w:rtl/>
          <w:lang w:val="he-IL"/>
        </w:rPr>
        <mc:AlternateContent>
          <mc:Choice Requires="wps">
            <w:drawing>
              <wp:anchor distT="0" distB="0" distL="114300" distR="114300" simplePos="0" relativeHeight="251681792" behindDoc="0" locked="0" layoutInCell="1" allowOverlap="1">
                <wp:simplePos x="0" y="0"/>
                <wp:positionH relativeFrom="column">
                  <wp:posOffset>-562701</wp:posOffset>
                </wp:positionH>
                <wp:positionV relativeFrom="paragraph">
                  <wp:posOffset>6555650</wp:posOffset>
                </wp:positionV>
                <wp:extent cx="6180364" cy="857250"/>
                <wp:effectExtent l="0" t="0" r="5080" b="6350"/>
                <wp:wrapNone/>
                <wp:docPr id="36" name="מלבן 36"/>
                <wp:cNvGraphicFramePr/>
                <a:graphic xmlns:a="http://schemas.openxmlformats.org/drawingml/2006/main">
                  <a:graphicData uri="http://schemas.microsoft.com/office/word/2010/wordprocessingShape">
                    <wps:wsp xmlns:wps="http://schemas.microsoft.com/office/word/2010/wordprocessingShape">
                      <wps:cNvSpPr/>
                      <wps:spPr>
                        <a:xfrm>
                          <a:off x="0" y="0"/>
                          <a:ext cx="6180364" cy="857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36" o:spid="_x0000_s1040" style="width:486.65pt;height:67.5pt;margin-top:516.2pt;margin-left:-44.3pt;mso-wrap-distance-bottom:0;mso-wrap-distance-left:9pt;mso-wrap-distance-right:9pt;mso-wrap-distance-top:0;mso-wrap-style:square;position:absolute;visibility:visible;v-text-anchor:middle;z-index:251682816" fillcolor="white" stroked="f" strokeweight="1.5pt">
                <v:stroke endcap="round"/>
              </v:rect>
            </w:pict>
          </mc:Fallback>
        </mc:AlternateContent>
      </w:r>
      <w:r w:rsidR="0076183F">
        <w:rPr>
          <w:noProof/>
          <w:color w:val="0D0D0D" w:themeColor="text1" w:themeTint="F2"/>
          <w:sz w:val="18"/>
          <w:rtl/>
          <w:lang w:val="he-IL"/>
        </w:rPr>
        <mc:AlternateContent>
          <mc:Choice Requires="wps">
            <w:drawing>
              <wp:anchor distT="0" distB="0" distL="114300" distR="114300" simplePos="0" relativeHeight="251678720" behindDoc="0" locked="0" layoutInCell="1" allowOverlap="1">
                <wp:simplePos x="0" y="0"/>
                <wp:positionH relativeFrom="column">
                  <wp:posOffset>-717369</wp:posOffset>
                </wp:positionH>
                <wp:positionV relativeFrom="paragraph">
                  <wp:posOffset>7240542</wp:posOffset>
                </wp:positionV>
                <wp:extent cx="1419498" cy="522514"/>
                <wp:effectExtent l="12700" t="12700" r="15875" b="11430"/>
                <wp:wrapNone/>
                <wp:docPr id="5" name="מלבן 5"/>
                <wp:cNvGraphicFramePr/>
                <a:graphic xmlns:a="http://schemas.openxmlformats.org/drawingml/2006/main">
                  <a:graphicData uri="http://schemas.microsoft.com/office/word/2010/wordprocessingShape">
                    <wps:wsp xmlns:wps="http://schemas.microsoft.com/office/word/2010/wordprocessingShape">
                      <wps:cNvSpPr/>
                      <wps:spPr>
                        <a:xfrm>
                          <a:off x="0" y="0"/>
                          <a:ext cx="1419498" cy="5225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5" o:spid="_x0000_s1041" style="width:111.75pt;height:41.15pt;margin-top:570.1pt;margin-left:-56.5pt;mso-wrap-distance-bottom:0;mso-wrap-distance-left:9pt;mso-wrap-distance-right:9pt;mso-wrap-distance-top:0;mso-wrap-style:square;position:absolute;visibility:visible;v-text-anchor:middle;z-index:251679744" fillcolor="white" strokecolor="white" strokeweight="1.5pt">
                <v:stroke endcap="round"/>
              </v:rect>
            </w:pict>
          </mc:Fallback>
        </mc:AlternateContent>
      </w:r>
    </w:p>
    <w:sectPr w:rsidSect="00B21049">
      <w:headerReference w:type="even" r:id="rId28"/>
      <w:headerReference w:type="default" r:id="rId29"/>
      <w:headerReference w:type="first" r:id="rId30"/>
      <w:pgSz w:w="11906" w:h="16838" w:code="9"/>
      <w:pgMar w:top="2892" w:right="2268" w:bottom="2438" w:left="2268" w:header="1871" w:footer="1928" w:gutter="0"/>
      <w:pgNumType w:start="3"/>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B455A0" w14:paraId="319AA03E" w14:textId="77777777">
      <w:pPr>
        <w:spacing w:after="0" w:line="240" w:lineRule="auto"/>
      </w:pPr>
      <w:r>
        <w:separator/>
      </w:r>
    </w:p>
  </w:endnote>
  <w:endnote w:type="continuationSeparator" w:id="1">
    <w:p w:rsidR="00B455A0" w14:paraId="31A747C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Segoe MDL2 Assets">
    <w:altName w:val="Segoe UI"/>
    <w:panose1 w:val="020B0604020202020204"/>
    <w:charset w:val="00"/>
    <w:family w:val="roman"/>
    <w:pitch w:val="variable"/>
    <w:sig w:usb0="00000003" w:usb1="10000000" w:usb2="00000000" w:usb3="00000000" w:csb0="00000001" w:csb1="00000000"/>
  </w:font>
  <w:font w:name="FrankRuehl">
    <w:panose1 w:val="020E0503060101010101"/>
    <w:charset w:val="B1"/>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roman"/>
    <w:pitch w:val="default"/>
  </w:font>
  <w:font w:name="Gisha">
    <w:panose1 w:val="020B0502040204020203"/>
    <w:charset w:val="B1"/>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9750A" w:rsidRPr="009507DB" w:rsidP="00440360" w14:paraId="0F4EB562" w14:textId="77777777">
    <w:pPr>
      <w:pStyle w:val="Footer"/>
      <w:tabs>
        <w:tab w:val="center" w:pos="-284"/>
        <w:tab w:val="right" w:pos="0"/>
        <w:tab w:val="clear" w:pos="4320"/>
        <w:tab w:val="clear" w:pos="8640"/>
      </w:tabs>
      <w:bidi w:val="0"/>
      <w:ind w:left="-1191" w:right="7314"/>
      <w:jc w:val="right"/>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16</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8F2" w:rsidRPr="009507DB" w:rsidP="00440360" w14:paraId="2E4A7A26" w14:textId="77777777">
    <w:pPr>
      <w:pStyle w:val="Footer"/>
      <w:tabs>
        <w:tab w:val="clear" w:pos="4320"/>
        <w:tab w:val="center" w:pos="7654"/>
        <w:tab w:val="right" w:pos="7937"/>
        <w:tab w:val="clear" w:pos="8640"/>
      </w:tabs>
      <w:bidi w:val="0"/>
      <w:ind w:left="7343" w:right="-1247"/>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15</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B455A0" w:rsidP="00BD3044" w14:paraId="1BA0027D" w14:textId="77777777">
      <w:pPr>
        <w:spacing w:after="0" w:line="240" w:lineRule="auto"/>
        <w:jc w:val="right"/>
      </w:pPr>
      <w:r>
        <w:separator/>
      </w:r>
    </w:p>
  </w:footnote>
  <w:footnote w:type="continuationSeparator" w:id="1">
    <w:p w:rsidR="00B455A0" w14:paraId="72B29F7C" w14:textId="77777777">
      <w:pPr>
        <w:spacing w:after="0" w:line="240" w:lineRule="auto"/>
      </w:pPr>
      <w:r>
        <w:continuationSeparator/>
      </w:r>
    </w:p>
  </w:footnote>
  <w:footnote w:id="2">
    <w:p w:rsidR="00FA5C98" w:rsidRPr="00F62433" w:rsidP="00FA5C98" w14:paraId="5D45E6B2" w14:textId="0D4CC165">
      <w:pPr>
        <w:pStyle w:val="730"/>
        <w:bidi w:val="0"/>
        <w:rPr>
          <w:rtl/>
        </w:rPr>
      </w:pPr>
      <w:r w:rsidRPr="00FA5C98">
        <w:footnoteRef/>
      </w:r>
      <w:r w:rsidRPr="00F928C5">
        <w:rPr>
          <w:lang w:val="en"/>
        </w:rPr>
        <w:t xml:space="preserve"> </w:t>
      </w:r>
      <w:r w:rsidRPr="00F928C5">
        <w:rPr>
          <w:lang w:val="en"/>
        </w:rPr>
        <w:tab/>
        <w:t xml:space="preserve">Among the reports published by the State Comptroller are the following: </w:t>
      </w:r>
      <w:r w:rsidRPr="00F62433">
        <w:rPr>
          <w:b/>
          <w:bCs/>
          <w:lang w:val="en"/>
        </w:rPr>
        <w:t>Annual Report 71A</w:t>
      </w:r>
      <w:r w:rsidRPr="00F928C5">
        <w:rPr>
          <w:lang w:val="en"/>
        </w:rPr>
        <w:t xml:space="preserve"> (2020), "Road Safety of Heavy Vehicles," pp. 1041</w:t>
      </w:r>
      <w:r>
        <w:rPr>
          <w:lang w:val="en"/>
        </w:rPr>
        <w:t>–</w:t>
      </w:r>
      <w:r w:rsidRPr="00F928C5">
        <w:rPr>
          <w:lang w:val="en"/>
        </w:rPr>
        <w:t xml:space="preserve">1204; </w:t>
      </w:r>
      <w:r w:rsidRPr="00F62433">
        <w:rPr>
          <w:b/>
          <w:bCs/>
          <w:lang w:val="en"/>
        </w:rPr>
        <w:t>Report on the Audit of Local Government</w:t>
      </w:r>
      <w:r w:rsidRPr="00F928C5">
        <w:rPr>
          <w:lang w:val="en"/>
        </w:rPr>
        <w:t xml:space="preserve"> (2020), "Actions to Improve Road Safety within Local Authorities in the Arab Community," pp. 241</w:t>
      </w:r>
      <w:r>
        <w:rPr>
          <w:lang w:val="en"/>
        </w:rPr>
        <w:t>–</w:t>
      </w:r>
      <w:r w:rsidRPr="00F928C5">
        <w:rPr>
          <w:lang w:val="en"/>
        </w:rPr>
        <w:t xml:space="preserve">323; </w:t>
      </w:r>
      <w:r w:rsidRPr="00F62433">
        <w:rPr>
          <w:b/>
          <w:bCs/>
          <w:lang w:val="en"/>
        </w:rPr>
        <w:t>Annual Report 68C</w:t>
      </w:r>
      <w:r w:rsidRPr="00F928C5">
        <w:rPr>
          <w:lang w:val="en"/>
        </w:rPr>
        <w:t xml:space="preserve"> (2018), "Regulation of the Use of Bicycles and Electric Two-Wheeled Vehicles in Urban Areas," pp. 75</w:t>
      </w:r>
      <w:r>
        <w:rPr>
          <w:lang w:val="en"/>
        </w:rPr>
        <w:t>–</w:t>
      </w:r>
      <w:r w:rsidRPr="00F928C5">
        <w:rPr>
          <w:lang w:val="en"/>
        </w:rPr>
        <w:t xml:space="preserve">145; </w:t>
      </w:r>
      <w:r w:rsidRPr="00F62433">
        <w:rPr>
          <w:b/>
          <w:bCs/>
          <w:lang w:val="en"/>
        </w:rPr>
        <w:t>Annual Report 67A</w:t>
      </w:r>
      <w:r w:rsidRPr="00F928C5">
        <w:rPr>
          <w:lang w:val="en"/>
        </w:rPr>
        <w:t xml:space="preserve"> (2016), "The Fight Against Road Accidents and the Functioning of the National Road Safety Authority," pp. 671</w:t>
      </w:r>
      <w:r>
        <w:rPr>
          <w:lang w:val="en"/>
        </w:rPr>
        <w:t>–</w:t>
      </w:r>
      <w:r w:rsidRPr="00F928C5">
        <w:rPr>
          <w:lang w:val="en"/>
        </w:rPr>
        <w:t xml:space="preserve">722; </w:t>
      </w:r>
      <w:r w:rsidRPr="00F62433">
        <w:rPr>
          <w:b/>
          <w:bCs/>
          <w:lang w:val="en"/>
        </w:rPr>
        <w:t>Compilation of Audit Reports for 2011</w:t>
      </w:r>
      <w:r w:rsidRPr="00F928C5">
        <w:rPr>
          <w:lang w:val="en"/>
        </w:rPr>
        <w:t xml:space="preserve"> (2011), "The National Road Safety Authority </w:t>
      </w:r>
      <w:r w:rsidR="004C3D71">
        <w:rPr>
          <w:lang w:val="en"/>
        </w:rPr>
        <w:t>–</w:t>
      </w:r>
      <w:r w:rsidRPr="00F928C5">
        <w:rPr>
          <w:lang w:val="en"/>
        </w:rPr>
        <w:t xml:space="preserve"> Functioning and Administrative Arrangements," pp. 179-</w:t>
      </w:r>
      <w:r>
        <w:rPr>
          <w:lang w:val="en"/>
        </w:rPr>
        <w:t>–</w:t>
      </w:r>
      <w:r w:rsidRPr="00F928C5">
        <w:rPr>
          <w:lang w:val="en"/>
        </w:rPr>
        <w:t xml:space="preserve">209; </w:t>
      </w:r>
      <w:r w:rsidRPr="00F62433">
        <w:rPr>
          <w:b/>
          <w:bCs/>
          <w:lang w:val="en"/>
        </w:rPr>
        <w:t>Annual Report 70C</w:t>
      </w:r>
      <w:r w:rsidRPr="00F928C5">
        <w:rPr>
          <w:lang w:val="en"/>
        </w:rPr>
        <w:t xml:space="preserve"> (2020), "Safety and Responsibility Aspects Regarding Road Maintenance in Judea and Samaria," pp. 270</w:t>
      </w:r>
      <w:r>
        <w:rPr>
          <w:lang w:val="en"/>
        </w:rPr>
        <w:t>–</w:t>
      </w:r>
      <w:r w:rsidRPr="00F928C5">
        <w:rPr>
          <w:lang w:val="en"/>
        </w:rPr>
        <w:t>314.</w:t>
      </w:r>
    </w:p>
  </w:footnote>
  <w:footnote w:id="3">
    <w:p w:rsidR="0058257B" w:rsidRPr="008B12AD" w:rsidP="008B12AD" w14:paraId="37D893DC" w14:textId="3ABB403B">
      <w:pPr>
        <w:pStyle w:val="730"/>
        <w:bidi w:val="0"/>
        <w:rPr>
          <w:rtl/>
        </w:rPr>
      </w:pPr>
      <w:r w:rsidRPr="008B12AD">
        <w:rPr>
          <w:rStyle w:val="71Char"/>
        </w:rPr>
        <w:footnoteRef/>
      </w:r>
      <w:r w:rsidRPr="008B12AD">
        <w:t xml:space="preserve"> </w:t>
      </w:r>
      <w:r w:rsidRPr="008B12AD">
        <w:tab/>
        <w:t>In 2021, the C</w:t>
      </w:r>
      <w:r w:rsidR="004C3D71">
        <w:t>ovid</w:t>
      </w:r>
      <w:r w:rsidRPr="008B12AD">
        <w:t xml:space="preserve">-19 pandemic was still prevalent.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bookmarkStart w:id="5" w:name="_Hlk63775048"/>
  <w:bookmarkEnd w:id="5"/>
  <w:p w:rsidR="00B650F8" w:rsidRPr="00B650F8" w:rsidP="00B650F8" w14:paraId="2F61E770" w14:textId="502FA0FF">
    <w:r>
      <w:rPr>
        <w:noProof/>
      </w:rPr>
      <mc:AlternateContent>
        <mc:Choice Requires="wps">
          <w:drawing>
            <wp:anchor distT="0" distB="0" distL="114300" distR="114300" simplePos="0" relativeHeight="251665408" behindDoc="1" locked="0" layoutInCell="1" allowOverlap="1">
              <wp:simplePos x="0" y="0"/>
              <wp:positionH relativeFrom="column">
                <wp:posOffset>-1464894</wp:posOffset>
              </wp:positionH>
              <wp:positionV relativeFrom="paragraph">
                <wp:posOffset>-247221</wp:posOffset>
              </wp:positionV>
              <wp:extent cx="7594686" cy="0"/>
              <wp:effectExtent l="0" t="0" r="12700"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7594686"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2049" style="flip:x;mso-height-percent:0;mso-height-relative:margin;mso-width-percent:0;mso-width-relative:margin;mso-wrap-distance-bottom:0;mso-wrap-distance-left:9pt;mso-wrap-distance-right:9pt;mso-wrap-distance-top:0;mso-wrap-style:square;position:absolute;visibility:visible;z-index:-251650048" from="-115.35pt,-19.45pt" to="482.65pt,-19.45pt">
              <v:stroke endcap="round"/>
            </v:line>
          </w:pict>
        </mc:Fallback>
      </mc:AlternateContent>
    </w:r>
    <w:r>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642E60" w:rsidP="00642E60" w14:paraId="09CB2EBE"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7F1A39" w:rsidP="007F1A39" w14:paraId="174E2EDE" w14:textId="77777777">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cs"/>
        <w:noProof/>
        <w:color w:val="0B5294" w:themeColor="accent1" w:themeShade="BF"/>
        <w:sz w:val="16"/>
        <w:szCs w:val="16"/>
        <w:rtl/>
      </w:rPr>
      <w:t>שם הגוף המבוקר</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hint="cs"/>
        <w:noProof/>
        <w:color w:val="0B5294" w:themeColor="accent1" w:themeShade="BF"/>
        <w:sz w:val="16"/>
        <w:szCs w:val="16"/>
        <w:rtl/>
      </w:rPr>
      <w:t>|</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3323CD">
      <w:rPr>
        <w:rFonts w:ascii="Tahoma" w:hAnsi="Tahoma" w:eastAsiaTheme="majorEastAsia" w:cs="Tahoma"/>
        <w:b/>
        <w:bCs/>
        <w:noProof/>
        <w:color w:val="0B5294" w:themeColor="accent1" w:themeShade="BF"/>
        <w:sz w:val="16"/>
        <w:szCs w:val="16"/>
        <w:rtl/>
      </w:rPr>
      <w:t>3</w:t>
    </w:r>
    <w:r w:rsidRPr="007F1A39">
      <w:rPr>
        <w:rFonts w:ascii="Tahoma" w:hAnsi="Tahoma" w:eastAsiaTheme="majorEastAsia" w:cs="Tahoma"/>
        <w:b/>
        <w:bCs/>
        <w:noProof/>
        <w:color w:val="0B5294" w:themeColor="accent1" w:themeShade="BF"/>
        <w:sz w:val="16"/>
        <w:szCs w:val="16"/>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890ED9" w:rsidP="00890ED9" w14:paraId="24EF87A9"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C10CA" w:rsidRPr="007C10CA" w:rsidP="00086BC2" w14:paraId="3F4CF5A8" w14:textId="18C32CDC">
    <w:pPr>
      <w:bidi w:val="0"/>
      <w:spacing w:after="0" w:line="240" w:lineRule="auto"/>
      <w:rPr>
        <w:rFonts w:ascii="Tahoma" w:hAnsi="Tahoma" w:cs="Tahoma"/>
        <w:color w:val="0D0D0D" w:themeColor="text1" w:themeTint="F2"/>
        <w:sz w:val="16"/>
        <w:szCs w:val="16"/>
      </w:rPr>
    </w:pPr>
    <w:r w:rsidRPr="006637B9">
      <w:rPr>
        <w:rFonts w:ascii="Tahoma" w:hAnsi="Tahoma" w:cs="Tahoma"/>
        <w:noProof/>
        <w:color w:val="002060"/>
        <w:sz w:val="18"/>
        <w:szCs w:val="18"/>
      </w:rPr>
      <mc:AlternateContent>
        <mc:Choice Requires="wps">
          <w:drawing>
            <wp:anchor distT="0" distB="0" distL="114300" distR="114300" simplePos="0" relativeHeight="251667456" behindDoc="0" locked="0" layoutInCell="1" allowOverlap="1">
              <wp:simplePos x="0" y="0"/>
              <wp:positionH relativeFrom="column">
                <wp:posOffset>219075</wp:posOffset>
              </wp:positionH>
              <wp:positionV relativeFrom="paragraph">
                <wp:posOffset>179070</wp:posOffset>
              </wp:positionV>
              <wp:extent cx="4625340" cy="224790"/>
              <wp:effectExtent l="0" t="0" r="0" b="3810"/>
              <wp:wrapSquare wrapText="bothSides"/>
              <wp:docPr id="145106665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25340" cy="224790"/>
                      </a:xfrm>
                      <a:prstGeom prst="rect">
                        <a:avLst/>
                      </a:prstGeom>
                      <a:solidFill>
                        <a:srgbClr val="FFFFFF"/>
                      </a:solidFill>
                      <a:ln w="9525">
                        <a:noFill/>
                        <a:miter lim="800000"/>
                        <a:headEnd/>
                        <a:tailEnd/>
                      </a:ln>
                    </wps:spPr>
                    <wps:txbx>
                      <w:txbxContent>
                        <w:p w:rsidR="00086BC2" w:rsidRPr="00FC4CA4" w:rsidP="00086BC2" w14:textId="68C40CA1">
                          <w:pPr>
                            <w:bidi w:val="0"/>
                            <w:spacing w:after="0" w:line="240" w:lineRule="auto"/>
                            <w:rPr>
                              <w:rFonts w:ascii="Tahoma" w:hAnsi="Tahoma" w:cs="Tahoma"/>
                              <w:color w:val="0D0D0D" w:themeColor="text1" w:themeTint="F2"/>
                              <w:sz w:val="16"/>
                              <w:szCs w:val="16"/>
                              <w:lang w:val="en"/>
                            </w:rPr>
                          </w:pPr>
                          <w:r w:rsidRPr="00FA5C98">
                            <w:rPr>
                              <w:rFonts w:ascii="Tahoma" w:hAnsi="Tahoma" w:cs="Tahoma"/>
                              <w:color w:val="0D0D0D" w:themeColor="text1" w:themeTint="F2"/>
                              <w:sz w:val="16"/>
                              <w:szCs w:val="16"/>
                              <w:lang w:val="en"/>
                            </w:rPr>
                            <w:t>Road Safety – Special Report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0" type="#_x0000_t202" style="width:364.2pt;height:17.7pt;margin-top:14.1pt;margin-left:17.25pt;mso-height-percent:0;mso-height-relative:margin;mso-width-percent:0;mso-width-relative:margin;mso-wrap-distance-bottom:0;mso-wrap-distance-left:9pt;mso-wrap-distance-right:9pt;mso-wrap-distance-top:0;mso-wrap-style:square;position:absolute;visibility:visible;v-text-anchor:top;z-index:251668480" stroked="f">
              <v:textbox>
                <w:txbxContent>
                  <w:p w:rsidR="00086BC2" w:rsidRPr="00FC4CA4" w:rsidP="00086BC2" w14:paraId="760267C9" w14:textId="68C40CA1">
                    <w:pPr>
                      <w:bidi w:val="0"/>
                      <w:spacing w:after="0" w:line="240" w:lineRule="auto"/>
                      <w:rPr>
                        <w:rFonts w:ascii="Tahoma" w:hAnsi="Tahoma" w:cs="Tahoma"/>
                        <w:color w:val="0D0D0D" w:themeColor="text1" w:themeTint="F2"/>
                        <w:sz w:val="16"/>
                        <w:szCs w:val="16"/>
                        <w:lang w:val="en"/>
                      </w:rPr>
                    </w:pPr>
                    <w:r w:rsidRPr="00FA5C98">
                      <w:rPr>
                        <w:rFonts w:ascii="Tahoma" w:hAnsi="Tahoma" w:cs="Tahoma"/>
                        <w:color w:val="0D0D0D" w:themeColor="text1" w:themeTint="F2"/>
                        <w:sz w:val="16"/>
                        <w:szCs w:val="16"/>
                        <w:lang w:val="en"/>
                      </w:rPr>
                      <w:t>Road Safety – Special Report</w:t>
                    </w:r>
                  </w:p>
                </w:txbxContent>
              </v:textbox>
              <w10:wrap type="square"/>
            </v:shape>
          </w:pict>
        </mc:Fallback>
      </mc:AlternateContent>
    </w:r>
    <w:r w:rsidR="003340AD">
      <w:rPr>
        <w:noProof/>
        <w:rtl/>
        <w:lang w:val="he-IL"/>
      </w:rPr>
      <mc:AlternateContent>
        <mc:Choice Requires="wps">
          <w:drawing>
            <wp:anchor distT="0" distB="0" distL="114300" distR="114300" simplePos="0" relativeHeight="251669504" behindDoc="1" locked="0" layoutInCell="1" allowOverlap="1">
              <wp:simplePos x="0" y="0"/>
              <wp:positionH relativeFrom="margin">
                <wp:posOffset>-952500</wp:posOffset>
              </wp:positionH>
              <wp:positionV relativeFrom="margin">
                <wp:posOffset>-1054735</wp:posOffset>
              </wp:positionV>
              <wp:extent cx="6479540" cy="8999855"/>
              <wp:effectExtent l="0" t="0" r="10160" b="17145"/>
              <wp:wrapNone/>
              <wp:docPr id="1141261157"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3" o:spid="_x0000_s2051" type="#_x0000_t202" style="width:510.2pt;height:708.65pt;margin-top:-83.05pt;margin-left:-7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5952" filled="f" strokecolor="#a5a5a5" strokeweight="0.25pt">
              <v:stroke dashstyle="longDash"/>
              <v:textbox>
                <w:txbxContent>
                  <w:p w:rsidR="003340AD" w:rsidRPr="00DE3ECA" w:rsidP="003340AD" w14:paraId="01679594"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7C10CA" w:rsidR="00086BC2">
      <w:rPr>
        <w:rFonts w:ascii="Tahoma" w:hAnsi="Tahoma" w:eastAsiaTheme="minorHAnsi" w:cs="Tahoma" w:hint="eastAsia"/>
        <w:color w:val="0D0D0D" w:themeColor="text1" w:themeTint="F2"/>
        <w:sz w:val="16"/>
        <w:szCs w:val="16"/>
        <w:rtl/>
        <w:lang w:val="en"/>
      </w:rPr>
      <w:t xml:space="preserve"> </w:t>
    </w:r>
    <w:r w:rsidRPr="007C10CA" w:rsidR="008615A2">
      <w:rPr>
        <w:rFonts w:ascii="Tahoma" w:hAnsi="Tahoma" w:eastAsiaTheme="minorHAnsi" w:cs="Tahoma" w:hint="eastAsia"/>
        <w:noProof/>
        <w:color w:val="0D0D0D" w:themeColor="text1" w:themeTint="F2"/>
        <w:sz w:val="16"/>
        <w:szCs w:val="16"/>
        <w:rtl/>
        <w:lang w:val="en"/>
      </w:rPr>
      <w:drawing>
        <wp:anchor distT="0" distB="0" distL="114300" distR="114300" simplePos="0" relativeHeight="251659264" behindDoc="1" locked="0" layoutInCell="1" allowOverlap="1">
          <wp:simplePos x="0" y="0"/>
          <wp:positionH relativeFrom="page">
            <wp:posOffset>5745</wp:posOffset>
          </wp:positionH>
          <wp:positionV relativeFrom="page">
            <wp:posOffset>65674</wp:posOffset>
          </wp:positionV>
          <wp:extent cx="7549200" cy="10670400"/>
          <wp:effectExtent l="0" t="0" r="0" b="0"/>
          <wp:wrapNone/>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0"/>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p>
  <w:p w:rsidR="00C82866" w:rsidRPr="00950E0A" w:rsidP="008A4007" w14:paraId="74C5211B" w14:textId="01775043">
    <w:pPr>
      <w:pStyle w:val="Header"/>
      <w:bidi w:val="0"/>
      <w:spacing w:before="240" w:after="180"/>
      <w:rPr>
        <w:rFonts w:ascii="Tahoma" w:hAnsi="Tahoma" w:eastAsiaTheme="majorEastAsia" w:cs="Tahoma"/>
        <w:noProof/>
        <w:color w:val="0D0D0D" w:themeColor="text1" w:themeTint="F2"/>
        <w:sz w:val="16"/>
        <w:szCs w:val="16"/>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D05191" w:rsidP="005411EA" w14:paraId="50443D29" w14:textId="213918DD">
    <w:pPr>
      <w:pStyle w:val="Header"/>
      <w:bidi w:val="0"/>
      <w:spacing w:before="240" w:after="180"/>
      <w:ind w:right="567"/>
      <w:jc w:val="right"/>
      <w:rPr>
        <w:rFonts w:ascii="Tahoma" w:hAnsi="Tahoma" w:eastAsiaTheme="majorEastAsia" w:cs="Tahoma"/>
        <w:noProof/>
        <w:color w:val="231F20"/>
        <w:sz w:val="16"/>
        <w:szCs w:val="16"/>
      </w:rPr>
    </w:pPr>
    <w:r w:rsidRPr="00C86180">
      <w:rPr>
        <w:noProof/>
        <w:sz w:val="22"/>
        <w:szCs w:val="22"/>
        <w:rtl/>
        <w:lang w:val="he-IL"/>
      </w:rPr>
      <mc:AlternateContent>
        <mc:Choice Requires="wps">
          <w:drawing>
            <wp:anchor distT="0" distB="0" distL="114300" distR="114300" simplePos="0" relativeHeight="251660288" behindDoc="0" locked="0" layoutInCell="1" allowOverlap="1">
              <wp:simplePos x="0" y="0"/>
              <wp:positionH relativeFrom="column">
                <wp:posOffset>5037460</wp:posOffset>
              </wp:positionH>
              <wp:positionV relativeFrom="paragraph">
                <wp:posOffset>-1180402</wp:posOffset>
              </wp:positionV>
              <wp:extent cx="299085" cy="8437069"/>
              <wp:effectExtent l="0" t="0" r="5715" b="0"/>
              <wp:wrapNone/>
              <wp:docPr id="6"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299085" cy="8437069"/>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2052" style="width:23.55pt;height:664.35pt;margin-top:-92.95pt;margin-left:396.65pt;flip:y;mso-height-percent:0;mso-height-relative:margin;mso-width-percent:0;mso-width-relative:margin;mso-wrap-distance-bottom:0;mso-wrap-distance-left:9pt;mso-wrap-distance-right:9pt;mso-wrap-distance-top:0;mso-wrap-style:square;position:absolute;visibility:visible;v-text-anchor:middle;z-index:251661312" fillcolor="#00305f" stroked="f" strokeweight="1.5pt">
              <v:stroke endcap="round"/>
            </v:rect>
          </w:pict>
        </mc:Fallback>
      </mc:AlternateContent>
    </w:r>
    <w:r w:rsidR="003340AD">
      <w:rPr>
        <w:noProof/>
        <w:rtl/>
        <w:lang w:val="he-IL"/>
      </w:rPr>
      <mc:AlternateContent>
        <mc:Choice Requires="wps">
          <w:drawing>
            <wp:anchor distT="0" distB="0" distL="114300" distR="114300" simplePos="0" relativeHeight="251671552" behindDoc="1" locked="0" layoutInCell="1" allowOverlap="1">
              <wp:simplePos x="0" y="0"/>
              <wp:positionH relativeFrom="margin">
                <wp:posOffset>-957930</wp:posOffset>
              </wp:positionH>
              <wp:positionV relativeFrom="margin">
                <wp:posOffset>-903605</wp:posOffset>
              </wp:positionV>
              <wp:extent cx="6479540" cy="8999855"/>
              <wp:effectExtent l="0" t="0" r="10160" b="17145"/>
              <wp:wrapNone/>
              <wp:docPr id="545322748"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3" type="#_x0000_t202" style="width:510.2pt;height:708.65pt;margin-top:-71.15pt;margin-left:-75.4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3904" filled="f" strokecolor="#a5a5a5" strokeweight="0.25pt">
              <v:stroke dashstyle="longDash"/>
              <v:textbox>
                <w:txbxContent>
                  <w:p w:rsidR="003340AD" w:rsidRPr="00DE3ECA" w:rsidP="003340AD" w14:paraId="5E74C7C1"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6061A9" w:rsidR="00555EDA">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62336" behindDoc="0" locked="0" layoutInCell="1" allowOverlap="1">
              <wp:simplePos x="0" y="0"/>
              <wp:positionH relativeFrom="column">
                <wp:posOffset>4960620</wp:posOffset>
              </wp:positionH>
              <wp:positionV relativeFrom="paragraph">
                <wp:posOffset>-41077</wp:posOffset>
              </wp:positionV>
              <wp:extent cx="489585" cy="7483377"/>
              <wp:effectExtent l="0" t="0" r="0" b="0"/>
              <wp:wrapNone/>
              <wp:docPr id="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 cy="7483377"/>
                      </a:xfrm>
                      <a:prstGeom prst="rect">
                        <a:avLst/>
                      </a:prstGeom>
                      <a:noFill/>
                      <a:ln w="9525">
                        <a:noFill/>
                        <a:miter lim="800000"/>
                        <a:headEnd/>
                        <a:tailEnd/>
                      </a:ln>
                    </wps:spPr>
                    <wps:txbx>
                      <w:txbxContent>
                        <w:p w:rsidR="00741C9B" w:rsidRPr="00941C35" w:rsidP="00FA5C98" w14:textId="44257DAA">
                          <w:pPr>
                            <w:pStyle w:val="7120"/>
                            <w:bidi w:val="0"/>
                            <w:spacing w:before="0" w:after="0"/>
                            <w:ind w:left="284" w:right="-142"/>
                            <w:rPr>
                              <w:color w:val="FFFFFF" w:themeColor="background1"/>
                              <w:spacing w:val="-2"/>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FA5C98" w:rsidR="00FA5C98">
                            <w:rPr>
                              <w:rFonts w:eastAsiaTheme="minorEastAsia"/>
                              <w:color w:val="FFFFFF" w:themeColor="background1"/>
                              <w:spacing w:val="-2"/>
                              <w:sz w:val="20"/>
                              <w:szCs w:val="20"/>
                            </w:rPr>
                            <w:t>Road Safety – Special Report</w:t>
                          </w:r>
                        </w:p>
                      </w:txbxContent>
                    </wps:txbx>
                    <wps:bodyPr rot="0" vert="vert" wrap="square" anchor="t" anchorCtr="0"/>
                  </wps:wsp>
                </a:graphicData>
              </a:graphic>
              <wp14:sizeRelH relativeFrom="margin">
                <wp14:pctWidth>0</wp14:pctWidth>
              </wp14:sizeRelH>
              <wp14:sizeRelV relativeFrom="margin">
                <wp14:pctHeight>0</wp14:pctHeight>
              </wp14:sizeRelV>
            </wp:anchor>
          </w:drawing>
        </mc:Choice>
        <mc:Fallback>
          <w:pict>
            <v:shape id="_x0000_s2054" type="#_x0000_t202" style="width:38.55pt;height:589.25pt;margin-top:-3.25pt;margin-left:390.6pt;mso-height-percent:0;mso-height-relative:margin;mso-width-percent:0;mso-width-relative:margin;mso-wrap-distance-bottom:0;mso-wrap-distance-left:9pt;mso-wrap-distance-right:9pt;mso-wrap-distance-top:0;mso-wrap-style:square;position:absolute;visibility:visible;v-text-anchor:top;z-index:251663360" filled="f" stroked="f">
              <v:textbox style="layout-flow:vertical">
                <w:txbxContent>
                  <w:p w:rsidR="00741C9B" w:rsidRPr="00941C35" w:rsidP="00FA5C98" w14:paraId="542790B6" w14:textId="44257DAA">
                    <w:pPr>
                      <w:pStyle w:val="7120"/>
                      <w:bidi w:val="0"/>
                      <w:spacing w:before="0" w:after="0"/>
                      <w:ind w:left="284" w:right="-142"/>
                      <w:rPr>
                        <w:color w:val="FFFFFF" w:themeColor="background1"/>
                        <w:spacing w:val="-2"/>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FA5C98" w:rsidR="00FA5C98">
                      <w:rPr>
                        <w:rFonts w:eastAsiaTheme="minorEastAsia"/>
                        <w:color w:val="FFFFFF" w:themeColor="background1"/>
                        <w:spacing w:val="-2"/>
                        <w:sz w:val="20"/>
                        <w:szCs w:val="20"/>
                      </w:rPr>
                      <w:t>Road Safety – Special Report</w:t>
                    </w:r>
                  </w:p>
                </w:txbxContent>
              </v:textbox>
            </v:shape>
          </w:pict>
        </mc:Fallback>
      </mc:AlternateContent>
    </w:r>
    <w:r w:rsidR="008615A2">
      <w:rPr>
        <w:rFonts w:ascii="Tahoma" w:hAnsi="Tahoma" w:eastAsiaTheme="majorEastAsia" w:cs="Tahoma"/>
        <w:noProof/>
        <w:color w:val="0D0D0D" w:themeColor="text1" w:themeTint="F2"/>
        <w:sz w:val="16"/>
        <w:szCs w:val="16"/>
      </w:rPr>
      <w:drawing>
        <wp:anchor distT="0" distB="0" distL="114300" distR="114300" simplePos="0" relativeHeight="251658240" behindDoc="1" locked="0" layoutInCell="1" allowOverlap="1">
          <wp:simplePos x="0" y="0"/>
          <wp:positionH relativeFrom="column">
            <wp:align>center</wp:align>
          </wp:positionH>
          <wp:positionV relativeFrom="page">
            <wp:align>center</wp:align>
          </wp:positionV>
          <wp:extent cx="7549200" cy="10670400"/>
          <wp:effectExtent l="0" t="0" r="0" b="0"/>
          <wp:wrapNone/>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D05191" w:rsidR="0038050A">
      <w:rPr>
        <w:rFonts w:ascii="Tahoma" w:hAnsi="Tahoma" w:eastAsiaTheme="majorEastAsia" w:cs="Tahoma"/>
        <w:noProof/>
        <w:color w:val="0D0D0D" w:themeColor="text1" w:themeTint="F2"/>
        <w:sz w:val="15"/>
        <w:szCs w:val="15"/>
      </w:rPr>
      <w:t xml:space="preserve"> </w:t>
    </w:r>
    <w:r w:rsidRPr="00FA5C98" w:rsidR="00FA5C98">
      <w:rPr>
        <w:rFonts w:ascii="Tahoma" w:hAnsi="Tahoma" w:eastAsiaTheme="majorEastAsia" w:cs="Tahoma"/>
        <w:noProof/>
        <w:color w:val="0D0D0D" w:themeColor="text1" w:themeTint="F2"/>
        <w:sz w:val="16"/>
        <w:szCs w:val="16"/>
      </w:rPr>
      <w:t>Report of the State Comptroller of Israel | May 2024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890ED9" w:rsidP="00890ED9" w14:paraId="3011DE6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pt;height:59pt" o:bullet="t">
        <v:imagedata r:id="rId1" o:title=""/>
      </v:shape>
    </w:pict>
  </w:numPicBullet>
  <w:abstractNum w:abstractNumId="0">
    <w:nsid w:val="FFFFFF89"/>
    <w:multiLevelType w:val="singleLevel"/>
    <w:tmpl w:val="3868518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EB68CF"/>
    <w:multiLevelType w:val="hybridMultilevel"/>
    <w:tmpl w:val="4DBA338A"/>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
    <w:nsid w:val="07C54509"/>
    <w:multiLevelType w:val="multilevel"/>
    <w:tmpl w:val="3030E6FC"/>
    <w:lvl w:ilvl="0">
      <w:start w:val="1"/>
      <w:numFmt w:val="decimal"/>
      <w:pStyle w:val="71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nsid w:val="0A7B5424"/>
    <w:multiLevelType w:val="hybridMultilevel"/>
    <w:tmpl w:val="89BED24E"/>
    <w:lvl w:ilvl="0">
      <w:start w:val="1"/>
      <w:numFmt w:val="bullet"/>
      <w:lvlText w:val=""/>
      <w:lvlJc w:val="left"/>
      <w:pPr>
        <w:ind w:left="794" w:hanging="397"/>
      </w:pPr>
      <w:rPr>
        <w:rFonts w:ascii="Symbol" w:hAnsi="Symbol" w:cs="Symbol" w:hint="default"/>
        <w:b/>
        <w:bCs/>
        <w:i w:val="0"/>
        <w:caps w:val="0"/>
        <w:strike w:val="0"/>
        <w:dstrike w:val="0"/>
        <w:vanish w:val="0"/>
        <w:color w:val="E41E2A"/>
        <w:sz w:val="28"/>
        <w:szCs w:val="28"/>
        <w:vertAlign w:val="baseline"/>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D1C1A57"/>
    <w:multiLevelType w:val="hybridMultilevel"/>
    <w:tmpl w:val="79BA3268"/>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EE176D6"/>
    <w:multiLevelType w:val="hybridMultilevel"/>
    <w:tmpl w:val="16842C8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66C55F3"/>
    <w:multiLevelType w:val="multilevel"/>
    <w:tmpl w:val="767C0EC2"/>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nsid w:val="1A013EB0"/>
    <w:multiLevelType w:val="hybridMultilevel"/>
    <w:tmpl w:val="1662FF5E"/>
    <w:lvl w:ilvl="0">
      <w:start w:val="2"/>
      <w:numFmt w:val="decimal"/>
      <w:lvlText w:val="%1."/>
      <w:lvlJc w:val="left"/>
      <w:pPr>
        <w:ind w:left="720" w:hanging="360"/>
      </w:pPr>
      <w:rPr>
        <w:rFonts w:hint="default"/>
        <w:b/>
        <w:bCs/>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8">
    <w:nsid w:val="1D0C0DF6"/>
    <w:multiLevelType w:val="hybridMultilevel"/>
    <w:tmpl w:val="A1EC5E72"/>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10">
    <w:nsid w:val="235F1CDB"/>
    <w:multiLevelType w:val="hybridMultilevel"/>
    <w:tmpl w:val="8284614E"/>
    <w:lvl w:ilvl="0">
      <w:start w:val="1"/>
      <w:numFmt w:val="decimal"/>
      <w:pStyle w:val="ListParagraph"/>
      <w:lvlText w:val="%1."/>
      <w:lvlJc w:val="left"/>
      <w:pPr>
        <w:ind w:left="1080" w:hanging="360"/>
      </w:pPr>
      <w:rPr>
        <w:rFonts w:hint="default"/>
        <w:b w:val="0"/>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
    <w:nsid w:val="273D0009"/>
    <w:multiLevelType w:val="hybridMultilevel"/>
    <w:tmpl w:val="3F6A506E"/>
    <w:lvl w:ilvl="0">
      <w:start w:val="1"/>
      <w:numFmt w:val="decimal"/>
      <w:lvlText w:val="%1."/>
      <w:lvlJc w:val="left"/>
      <w:pPr>
        <w:ind w:left="170" w:hanging="170"/>
      </w:pPr>
      <w:rPr>
        <w:rFonts w:hint="default"/>
        <w:b w:val="0"/>
        <w:bCs w:val="0"/>
        <w:color w:val="000000" w:themeColor="text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0C40368"/>
    <w:multiLevelType w:val="hybridMultilevel"/>
    <w:tmpl w:val="A95E18E0"/>
    <w:lvl w:ilvl="0">
      <w:start w:val="1"/>
      <w:numFmt w:val="bullet"/>
      <w:lvlText w:val=""/>
      <w:lvlJc w:val="left"/>
      <w:pPr>
        <w:ind w:left="284" w:firstLine="1023"/>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1DE49CA"/>
    <w:multiLevelType w:val="hybridMultilevel"/>
    <w:tmpl w:val="A488764C"/>
    <w:lvl w:ilvl="0">
      <w:start w:val="1"/>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780" w:hanging="360"/>
      </w:pPr>
    </w:lvl>
    <w:lvl w:ilvl="2" w:tentative="1">
      <w:start w:val="1"/>
      <w:numFmt w:val="lowerRoman"/>
      <w:lvlText w:val="%3."/>
      <w:lvlJc w:val="right"/>
      <w:pPr>
        <w:ind w:left="2500" w:hanging="180"/>
      </w:pPr>
    </w:lvl>
    <w:lvl w:ilvl="3" w:tentative="1">
      <w:start w:val="1"/>
      <w:numFmt w:val="decimal"/>
      <w:lvlText w:val="%4."/>
      <w:lvlJc w:val="left"/>
      <w:pPr>
        <w:ind w:left="3220" w:hanging="360"/>
      </w:pPr>
    </w:lvl>
    <w:lvl w:ilvl="4" w:tentative="1">
      <w:start w:val="1"/>
      <w:numFmt w:val="lowerLetter"/>
      <w:lvlText w:val="%5."/>
      <w:lvlJc w:val="left"/>
      <w:pPr>
        <w:ind w:left="3940" w:hanging="360"/>
      </w:pPr>
    </w:lvl>
    <w:lvl w:ilvl="5" w:tentative="1">
      <w:start w:val="1"/>
      <w:numFmt w:val="lowerRoman"/>
      <w:lvlText w:val="%6."/>
      <w:lvlJc w:val="right"/>
      <w:pPr>
        <w:ind w:left="4660" w:hanging="180"/>
      </w:pPr>
    </w:lvl>
    <w:lvl w:ilvl="6" w:tentative="1">
      <w:start w:val="1"/>
      <w:numFmt w:val="decimal"/>
      <w:lvlText w:val="%7."/>
      <w:lvlJc w:val="left"/>
      <w:pPr>
        <w:ind w:left="5380" w:hanging="360"/>
      </w:pPr>
    </w:lvl>
    <w:lvl w:ilvl="7" w:tentative="1">
      <w:start w:val="1"/>
      <w:numFmt w:val="lowerLetter"/>
      <w:lvlText w:val="%8."/>
      <w:lvlJc w:val="left"/>
      <w:pPr>
        <w:ind w:left="6100" w:hanging="360"/>
      </w:pPr>
    </w:lvl>
    <w:lvl w:ilvl="8" w:tentative="1">
      <w:start w:val="1"/>
      <w:numFmt w:val="lowerRoman"/>
      <w:lvlText w:val="%9."/>
      <w:lvlJc w:val="right"/>
      <w:pPr>
        <w:ind w:left="6820" w:hanging="180"/>
      </w:pPr>
    </w:lvl>
  </w:abstractNum>
  <w:abstractNum w:abstractNumId="14">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46765C41"/>
    <w:multiLevelType w:val="hybridMultilevel"/>
    <w:tmpl w:val="C504B200"/>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4FAE0F0F"/>
    <w:multiLevelType w:val="hybridMultilevel"/>
    <w:tmpl w:val="7C7897AA"/>
    <w:lvl w:ilvl="0">
      <w:start w:val="2"/>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648" w:hanging="360"/>
      </w:pPr>
    </w:lvl>
    <w:lvl w:ilvl="2" w:tentative="1">
      <w:start w:val="1"/>
      <w:numFmt w:val="lowerRoman"/>
      <w:lvlText w:val="%3."/>
      <w:lvlJc w:val="right"/>
      <w:pPr>
        <w:ind w:left="2368" w:hanging="180"/>
      </w:pPr>
    </w:lvl>
    <w:lvl w:ilvl="3" w:tentative="1">
      <w:start w:val="1"/>
      <w:numFmt w:val="decimal"/>
      <w:lvlText w:val="%4."/>
      <w:lvlJc w:val="left"/>
      <w:pPr>
        <w:ind w:left="3088" w:hanging="360"/>
      </w:pPr>
    </w:lvl>
    <w:lvl w:ilvl="4" w:tentative="1">
      <w:start w:val="1"/>
      <w:numFmt w:val="lowerLetter"/>
      <w:lvlText w:val="%5."/>
      <w:lvlJc w:val="left"/>
      <w:pPr>
        <w:ind w:left="3808" w:hanging="360"/>
      </w:pPr>
    </w:lvl>
    <w:lvl w:ilvl="5" w:tentative="1">
      <w:start w:val="1"/>
      <w:numFmt w:val="lowerRoman"/>
      <w:lvlText w:val="%6."/>
      <w:lvlJc w:val="right"/>
      <w:pPr>
        <w:ind w:left="4528" w:hanging="180"/>
      </w:pPr>
    </w:lvl>
    <w:lvl w:ilvl="6" w:tentative="1">
      <w:start w:val="1"/>
      <w:numFmt w:val="decimal"/>
      <w:lvlText w:val="%7."/>
      <w:lvlJc w:val="left"/>
      <w:pPr>
        <w:ind w:left="5248" w:hanging="360"/>
      </w:pPr>
    </w:lvl>
    <w:lvl w:ilvl="7" w:tentative="1">
      <w:start w:val="1"/>
      <w:numFmt w:val="lowerLetter"/>
      <w:lvlText w:val="%8."/>
      <w:lvlJc w:val="left"/>
      <w:pPr>
        <w:ind w:left="5968" w:hanging="360"/>
      </w:pPr>
    </w:lvl>
    <w:lvl w:ilvl="8" w:tentative="1">
      <w:start w:val="1"/>
      <w:numFmt w:val="lowerRoman"/>
      <w:lvlText w:val="%9."/>
      <w:lvlJc w:val="right"/>
      <w:pPr>
        <w:ind w:left="6688" w:hanging="180"/>
      </w:pPr>
    </w:lvl>
  </w:abstractNum>
  <w:abstractNum w:abstractNumId="17">
    <w:nsid w:val="55E326D5"/>
    <w:multiLevelType w:val="hybridMultilevel"/>
    <w:tmpl w:val="F03CDE30"/>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18">
    <w:nsid w:val="5EDA18C9"/>
    <w:multiLevelType w:val="hybridMultilevel"/>
    <w:tmpl w:val="18F24D2E"/>
    <w:lvl w:ilvl="0">
      <w:start w:val="1"/>
      <w:numFmt w:val="decimal"/>
      <w:lvlText w:val="%1."/>
      <w:lvlJc w:val="left"/>
      <w:pPr>
        <w:ind w:left="700" w:hanging="360"/>
      </w:pPr>
      <w:rPr>
        <w:rFonts w:ascii="Tahoma" w:hAnsi="Tahoma" w:cs="Tahoma" w:hint="default"/>
        <w:b/>
        <w:color w:val="FFFFFF" w:themeColor="background1"/>
        <w:sz w:val="22"/>
      </w:rPr>
    </w:lvl>
    <w:lvl w:ilvl="1" w:tentative="1">
      <w:start w:val="1"/>
      <w:numFmt w:val="lowerLetter"/>
      <w:lvlText w:val="%2."/>
      <w:lvlJc w:val="left"/>
      <w:pPr>
        <w:ind w:left="1420" w:hanging="360"/>
      </w:pPr>
    </w:lvl>
    <w:lvl w:ilvl="2" w:tentative="1">
      <w:start w:val="1"/>
      <w:numFmt w:val="lowerRoman"/>
      <w:lvlText w:val="%3."/>
      <w:lvlJc w:val="right"/>
      <w:pPr>
        <w:ind w:left="2140" w:hanging="180"/>
      </w:pPr>
    </w:lvl>
    <w:lvl w:ilvl="3" w:tentative="1">
      <w:start w:val="1"/>
      <w:numFmt w:val="decimal"/>
      <w:lvlText w:val="%4."/>
      <w:lvlJc w:val="left"/>
      <w:pPr>
        <w:ind w:left="2860" w:hanging="360"/>
      </w:pPr>
    </w:lvl>
    <w:lvl w:ilvl="4" w:tentative="1">
      <w:start w:val="1"/>
      <w:numFmt w:val="lowerLetter"/>
      <w:lvlText w:val="%5."/>
      <w:lvlJc w:val="left"/>
      <w:pPr>
        <w:ind w:left="3580" w:hanging="360"/>
      </w:pPr>
    </w:lvl>
    <w:lvl w:ilvl="5" w:tentative="1">
      <w:start w:val="1"/>
      <w:numFmt w:val="lowerRoman"/>
      <w:lvlText w:val="%6."/>
      <w:lvlJc w:val="right"/>
      <w:pPr>
        <w:ind w:left="4300" w:hanging="180"/>
      </w:pPr>
    </w:lvl>
    <w:lvl w:ilvl="6" w:tentative="1">
      <w:start w:val="1"/>
      <w:numFmt w:val="decimal"/>
      <w:lvlText w:val="%7."/>
      <w:lvlJc w:val="left"/>
      <w:pPr>
        <w:ind w:left="5020" w:hanging="360"/>
      </w:pPr>
    </w:lvl>
    <w:lvl w:ilvl="7" w:tentative="1">
      <w:start w:val="1"/>
      <w:numFmt w:val="lowerLetter"/>
      <w:lvlText w:val="%8."/>
      <w:lvlJc w:val="left"/>
      <w:pPr>
        <w:ind w:left="5740" w:hanging="360"/>
      </w:pPr>
    </w:lvl>
    <w:lvl w:ilvl="8" w:tentative="1">
      <w:start w:val="1"/>
      <w:numFmt w:val="lowerRoman"/>
      <w:lvlText w:val="%9."/>
      <w:lvlJc w:val="right"/>
      <w:pPr>
        <w:ind w:left="6460" w:hanging="180"/>
      </w:pPr>
    </w:lvl>
  </w:abstractNum>
  <w:abstractNum w:abstractNumId="19">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
    <w:nsid w:val="65E55D6E"/>
    <w:multiLevelType w:val="hybridMultilevel"/>
    <w:tmpl w:val="3F482186"/>
    <w:lvl w:ilvl="0">
      <w:start w:val="1"/>
      <w:numFmt w:val="bullet"/>
      <w:lvlText w:val=""/>
      <w:lvlJc w:val="left"/>
      <w:pPr>
        <w:ind w:left="720" w:hanging="360"/>
      </w:pPr>
      <w:rPr>
        <w:rFonts w:ascii="Symbol" w:hAnsi="Symbol" w:cs="Symbol" w:hint="default"/>
        <w:b/>
        <w:bCs/>
        <w:i w:val="0"/>
        <w:caps w:val="0"/>
        <w:strike w:val="0"/>
        <w:dstrike w:val="0"/>
        <w:vanish w:val="0"/>
        <w:color w:val="E41E2A"/>
        <w:sz w:val="28"/>
        <w:szCs w:val="28"/>
        <w:vertAlign w:val="baseline"/>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2">
    <w:nsid w:val="67BF5139"/>
    <w:multiLevelType w:val="multilevel"/>
    <w:tmpl w:val="DC6C961C"/>
    <w:lvl w:ilvl="0">
      <w:start w:val="1"/>
      <w:numFmt w:val="decimal"/>
      <w:pStyle w:val="a1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3">
    <w:nsid w:val="68B7092F"/>
    <w:multiLevelType w:val="hybridMultilevel"/>
    <w:tmpl w:val="CD303DDE"/>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927"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69F51C67"/>
    <w:multiLevelType w:val="hybridMultilevel"/>
    <w:tmpl w:val="1C706308"/>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70606003"/>
    <w:multiLevelType w:val="hybridMultilevel"/>
    <w:tmpl w:val="2856E978"/>
    <w:lvl w:ilvl="0">
      <w:start w:val="1"/>
      <w:numFmt w:val="bullet"/>
      <w:lvlText w:val=""/>
      <w:lvlJc w:val="left"/>
      <w:pPr>
        <w:ind w:left="720" w:hanging="360"/>
      </w:pPr>
      <w:rPr>
        <w:rFonts w:ascii="Symbol" w:hAnsi="Symbol" w:cs="Symbol" w:hint="default"/>
        <w:b/>
        <w:i w:val="0"/>
        <w:caps w:val="0"/>
        <w:strike w:val="0"/>
        <w:dstrike w:val="0"/>
        <w:vanish w:val="0"/>
        <w:color w:val="E41E2A"/>
        <w:sz w:val="28"/>
        <w:szCs w:val="28"/>
        <w:vertAlign w:val="baseline"/>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717B4C9C"/>
    <w:multiLevelType w:val="hybridMultilevel"/>
    <w:tmpl w:val="D1E844FC"/>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7">
    <w:nsid w:val="75BB59BB"/>
    <w:multiLevelType w:val="hybridMultilevel"/>
    <w:tmpl w:val="8DE4081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7D365B29"/>
    <w:multiLevelType w:val="multilevel"/>
    <w:tmpl w:val="E3AA6D54"/>
    <w:lvl w:ilvl="0">
      <w:start w:val="1"/>
      <w:numFmt w:val="hebrew1"/>
      <w:pStyle w:val="715"/>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441336782">
    <w:abstractNumId w:val="14"/>
  </w:num>
  <w:num w:numId="2" w16cid:durableId="767771938">
    <w:abstractNumId w:val="22"/>
  </w:num>
  <w:num w:numId="3" w16cid:durableId="1533149807">
    <w:abstractNumId w:val="10"/>
  </w:num>
  <w:num w:numId="4" w16cid:durableId="1169364424">
    <w:abstractNumId w:val="9"/>
  </w:num>
  <w:num w:numId="5" w16cid:durableId="1531528138">
    <w:abstractNumId w:val="8"/>
  </w:num>
  <w:num w:numId="6" w16cid:durableId="378214401">
    <w:abstractNumId w:val="2"/>
  </w:num>
  <w:num w:numId="7" w16cid:durableId="1558588035">
    <w:abstractNumId w:val="4"/>
  </w:num>
  <w:num w:numId="8" w16cid:durableId="966810605">
    <w:abstractNumId w:val="28"/>
  </w:num>
  <w:num w:numId="9" w16cid:durableId="1709639913">
    <w:abstractNumId w:val="12"/>
  </w:num>
  <w:num w:numId="10" w16cid:durableId="2061510871">
    <w:abstractNumId w:val="10"/>
  </w:num>
  <w:num w:numId="11" w16cid:durableId="150566361">
    <w:abstractNumId w:val="15"/>
  </w:num>
  <w:num w:numId="12" w16cid:durableId="1884517408">
    <w:abstractNumId w:val="7"/>
  </w:num>
  <w:num w:numId="13" w16cid:durableId="1138574288">
    <w:abstractNumId w:val="16"/>
  </w:num>
  <w:num w:numId="14" w16cid:durableId="2021731970">
    <w:abstractNumId w:val="10"/>
  </w:num>
  <w:num w:numId="15" w16cid:durableId="294525774">
    <w:abstractNumId w:val="13"/>
  </w:num>
  <w:num w:numId="16" w16cid:durableId="1938829469">
    <w:abstractNumId w:val="18"/>
  </w:num>
  <w:num w:numId="17" w16cid:durableId="1870992102">
    <w:abstractNumId w:val="10"/>
  </w:num>
  <w:num w:numId="18" w16cid:durableId="875392425">
    <w:abstractNumId w:val="21"/>
  </w:num>
  <w:num w:numId="19" w16cid:durableId="1757364398">
    <w:abstractNumId w:val="10"/>
  </w:num>
  <w:num w:numId="20" w16cid:durableId="2080326639">
    <w:abstractNumId w:val="6"/>
  </w:num>
  <w:num w:numId="21" w16cid:durableId="1517109532">
    <w:abstractNumId w:val="19"/>
  </w:num>
  <w:num w:numId="22" w16cid:durableId="199829528">
    <w:abstractNumId w:val="23"/>
  </w:num>
  <w:num w:numId="23" w16cid:durableId="630592101">
    <w:abstractNumId w:val="10"/>
  </w:num>
  <w:num w:numId="24" w16cid:durableId="781344904">
    <w:abstractNumId w:val="10"/>
  </w:num>
  <w:num w:numId="25" w16cid:durableId="1029065817">
    <w:abstractNumId w:val="0"/>
  </w:num>
  <w:num w:numId="26" w16cid:durableId="1835028128">
    <w:abstractNumId w:val="11"/>
  </w:num>
  <w:num w:numId="27" w16cid:durableId="515264686">
    <w:abstractNumId w:val="10"/>
  </w:num>
  <w:num w:numId="28" w16cid:durableId="1118644431">
    <w:abstractNumId w:val="10"/>
  </w:num>
  <w:num w:numId="29" w16cid:durableId="495343087">
    <w:abstractNumId w:val="10"/>
  </w:num>
  <w:num w:numId="30" w16cid:durableId="93281274">
    <w:abstractNumId w:val="17"/>
  </w:num>
  <w:num w:numId="31" w16cid:durableId="575818460">
    <w:abstractNumId w:val="1"/>
  </w:num>
  <w:num w:numId="32" w16cid:durableId="871304304">
    <w:abstractNumId w:val="26"/>
  </w:num>
  <w:num w:numId="33" w16cid:durableId="1853570904">
    <w:abstractNumId w:val="5"/>
  </w:num>
  <w:num w:numId="34" w16cid:durableId="822430797">
    <w:abstractNumId w:val="27"/>
  </w:num>
  <w:num w:numId="35" w16cid:durableId="1334841248">
    <w:abstractNumId w:val="24"/>
  </w:num>
  <w:num w:numId="36" w16cid:durableId="214852031">
    <w:abstractNumId w:val="25"/>
  </w:num>
  <w:num w:numId="37" w16cid:durableId="408384903">
    <w:abstractNumId w:val="20"/>
  </w:num>
  <w:num w:numId="38" w16cid:durableId="573248601">
    <w:abstractNumId w:val="3"/>
  </w:num>
  <w:num w:numId="39" w16cid:durableId="987516105">
    <w:abstractNumId w:val="10"/>
  </w:num>
  <w:num w:numId="40" w16cid:durableId="1900361324">
    <w:abstractNumId w:val="10"/>
  </w:num>
  <w:num w:numId="41" w16cid:durableId="1411344728">
    <w:abstractNumId w:val="10"/>
  </w:num>
  <w:num w:numId="42" w16cid:durableId="1991516061">
    <w:abstractNumId w:val="10"/>
  </w:num>
  <w:num w:numId="43" w16cid:durableId="543834737">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displayBackgroundShape/>
  <w:proofState w:spelling="clean" w:grammar="clean"/>
  <w:stylePaneFormatFilter w:val="1F08" w:allStyles="0" w:alternateStyleNames="0" w:clearFormatting="1" w:customStyles="0" w:directFormattingOnNumbering="1" w:directFormattingOnParagraphs="1" w:directFormattingOnRuns="1" w:directFormattingOnTables="1" w:headingStyles="0" w:latentStyles="0" w:numberingStyles="0" w:stylesInUse="1" w:tableStyles="0" w:top3HeadingStyles="0" w:visibleStyles="0"/>
  <w:defaultTabStop w:val="397"/>
  <w:evenAndOddHeaders/>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3AF"/>
    <w:rsid w:val="0000095B"/>
    <w:rsid w:val="00002000"/>
    <w:rsid w:val="000021BD"/>
    <w:rsid w:val="00002A6A"/>
    <w:rsid w:val="00002B48"/>
    <w:rsid w:val="000035C3"/>
    <w:rsid w:val="0000362C"/>
    <w:rsid w:val="0000373B"/>
    <w:rsid w:val="0000400F"/>
    <w:rsid w:val="000047FD"/>
    <w:rsid w:val="00005D49"/>
    <w:rsid w:val="00006C22"/>
    <w:rsid w:val="000073CC"/>
    <w:rsid w:val="000105AD"/>
    <w:rsid w:val="0001149A"/>
    <w:rsid w:val="000114F5"/>
    <w:rsid w:val="00011508"/>
    <w:rsid w:val="000123B5"/>
    <w:rsid w:val="00012511"/>
    <w:rsid w:val="00012E42"/>
    <w:rsid w:val="00012FC5"/>
    <w:rsid w:val="00013127"/>
    <w:rsid w:val="00015A73"/>
    <w:rsid w:val="00015D42"/>
    <w:rsid w:val="00016F6A"/>
    <w:rsid w:val="00017099"/>
    <w:rsid w:val="000174BC"/>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392D"/>
    <w:rsid w:val="00033E04"/>
    <w:rsid w:val="0003470F"/>
    <w:rsid w:val="00034F3F"/>
    <w:rsid w:val="000350BF"/>
    <w:rsid w:val="000356A7"/>
    <w:rsid w:val="00035AA3"/>
    <w:rsid w:val="00035BD0"/>
    <w:rsid w:val="00036469"/>
    <w:rsid w:val="00036B1B"/>
    <w:rsid w:val="00036F3C"/>
    <w:rsid w:val="00037596"/>
    <w:rsid w:val="00040CFC"/>
    <w:rsid w:val="00041AEB"/>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567A"/>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14D"/>
    <w:rsid w:val="00072DC7"/>
    <w:rsid w:val="000760A4"/>
    <w:rsid w:val="00076160"/>
    <w:rsid w:val="000761E8"/>
    <w:rsid w:val="00076AD4"/>
    <w:rsid w:val="00076C3B"/>
    <w:rsid w:val="00076C6A"/>
    <w:rsid w:val="00076C94"/>
    <w:rsid w:val="000771FA"/>
    <w:rsid w:val="000772F2"/>
    <w:rsid w:val="000812BC"/>
    <w:rsid w:val="00081B5E"/>
    <w:rsid w:val="00082C54"/>
    <w:rsid w:val="0008321A"/>
    <w:rsid w:val="00083F4F"/>
    <w:rsid w:val="00084171"/>
    <w:rsid w:val="000841FE"/>
    <w:rsid w:val="000847F9"/>
    <w:rsid w:val="00084F1F"/>
    <w:rsid w:val="0008572D"/>
    <w:rsid w:val="000868BD"/>
    <w:rsid w:val="00086BC2"/>
    <w:rsid w:val="00090AB0"/>
    <w:rsid w:val="00092220"/>
    <w:rsid w:val="0009240F"/>
    <w:rsid w:val="00092F71"/>
    <w:rsid w:val="00093068"/>
    <w:rsid w:val="00093178"/>
    <w:rsid w:val="00095581"/>
    <w:rsid w:val="0009699F"/>
    <w:rsid w:val="000A0FC0"/>
    <w:rsid w:val="000A16EF"/>
    <w:rsid w:val="000A18FC"/>
    <w:rsid w:val="000A1D75"/>
    <w:rsid w:val="000A251B"/>
    <w:rsid w:val="000A2903"/>
    <w:rsid w:val="000A2BC9"/>
    <w:rsid w:val="000A34B5"/>
    <w:rsid w:val="000A3864"/>
    <w:rsid w:val="000A3CD0"/>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939"/>
    <w:rsid w:val="000B2D78"/>
    <w:rsid w:val="000B3659"/>
    <w:rsid w:val="000B3933"/>
    <w:rsid w:val="000B4E54"/>
    <w:rsid w:val="000B544F"/>
    <w:rsid w:val="000B565F"/>
    <w:rsid w:val="000B5EBF"/>
    <w:rsid w:val="000B6085"/>
    <w:rsid w:val="000B62E6"/>
    <w:rsid w:val="000B6799"/>
    <w:rsid w:val="000B7227"/>
    <w:rsid w:val="000B73A9"/>
    <w:rsid w:val="000C0334"/>
    <w:rsid w:val="000C0F9D"/>
    <w:rsid w:val="000C19F9"/>
    <w:rsid w:val="000C1BB0"/>
    <w:rsid w:val="000C1DB1"/>
    <w:rsid w:val="000C1F02"/>
    <w:rsid w:val="000C2518"/>
    <w:rsid w:val="000C2E22"/>
    <w:rsid w:val="000C4DEF"/>
    <w:rsid w:val="000C5425"/>
    <w:rsid w:val="000C57FF"/>
    <w:rsid w:val="000C6595"/>
    <w:rsid w:val="000C6708"/>
    <w:rsid w:val="000C7018"/>
    <w:rsid w:val="000D1157"/>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0D"/>
    <w:rsid w:val="000E5AF7"/>
    <w:rsid w:val="000E5B6C"/>
    <w:rsid w:val="000E5C35"/>
    <w:rsid w:val="000E642B"/>
    <w:rsid w:val="000E6B72"/>
    <w:rsid w:val="000E6D1A"/>
    <w:rsid w:val="000E761F"/>
    <w:rsid w:val="000E7743"/>
    <w:rsid w:val="000E7FC4"/>
    <w:rsid w:val="000F0117"/>
    <w:rsid w:val="000F0B63"/>
    <w:rsid w:val="000F0D79"/>
    <w:rsid w:val="000F311F"/>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7ED"/>
    <w:rsid w:val="00101DD5"/>
    <w:rsid w:val="0010229A"/>
    <w:rsid w:val="001024AF"/>
    <w:rsid w:val="001033B3"/>
    <w:rsid w:val="00103971"/>
    <w:rsid w:val="00103CED"/>
    <w:rsid w:val="00103D42"/>
    <w:rsid w:val="00103FBC"/>
    <w:rsid w:val="00104839"/>
    <w:rsid w:val="00104E94"/>
    <w:rsid w:val="0010564D"/>
    <w:rsid w:val="0010599F"/>
    <w:rsid w:val="00105A73"/>
    <w:rsid w:val="00105B88"/>
    <w:rsid w:val="00105ED4"/>
    <w:rsid w:val="00106FBF"/>
    <w:rsid w:val="00106FC5"/>
    <w:rsid w:val="00107938"/>
    <w:rsid w:val="00110E7D"/>
    <w:rsid w:val="00111817"/>
    <w:rsid w:val="00111D0B"/>
    <w:rsid w:val="00112B7B"/>
    <w:rsid w:val="00112D83"/>
    <w:rsid w:val="00113A65"/>
    <w:rsid w:val="00113BEC"/>
    <w:rsid w:val="0011400B"/>
    <w:rsid w:val="00114587"/>
    <w:rsid w:val="00114818"/>
    <w:rsid w:val="001156F5"/>
    <w:rsid w:val="00115F32"/>
    <w:rsid w:val="00116EC6"/>
    <w:rsid w:val="00117163"/>
    <w:rsid w:val="00117668"/>
    <w:rsid w:val="00120C15"/>
    <w:rsid w:val="00121460"/>
    <w:rsid w:val="001215F4"/>
    <w:rsid w:val="001221B2"/>
    <w:rsid w:val="00123BF9"/>
    <w:rsid w:val="00124D10"/>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3E28"/>
    <w:rsid w:val="00134716"/>
    <w:rsid w:val="00135EB9"/>
    <w:rsid w:val="00136B9E"/>
    <w:rsid w:val="00141E28"/>
    <w:rsid w:val="00142877"/>
    <w:rsid w:val="001435CD"/>
    <w:rsid w:val="00143613"/>
    <w:rsid w:val="00144786"/>
    <w:rsid w:val="00144967"/>
    <w:rsid w:val="00145DAD"/>
    <w:rsid w:val="00146345"/>
    <w:rsid w:val="00150E90"/>
    <w:rsid w:val="001510CF"/>
    <w:rsid w:val="0015132E"/>
    <w:rsid w:val="0015187B"/>
    <w:rsid w:val="001519D2"/>
    <w:rsid w:val="00152684"/>
    <w:rsid w:val="00152C39"/>
    <w:rsid w:val="00153D39"/>
    <w:rsid w:val="00154886"/>
    <w:rsid w:val="00154C30"/>
    <w:rsid w:val="00154C71"/>
    <w:rsid w:val="001551EA"/>
    <w:rsid w:val="001553E4"/>
    <w:rsid w:val="00156292"/>
    <w:rsid w:val="001563D0"/>
    <w:rsid w:val="0015640A"/>
    <w:rsid w:val="0015686E"/>
    <w:rsid w:val="00156A81"/>
    <w:rsid w:val="001571C9"/>
    <w:rsid w:val="00160149"/>
    <w:rsid w:val="00160DE1"/>
    <w:rsid w:val="00161297"/>
    <w:rsid w:val="00161324"/>
    <w:rsid w:val="0016160F"/>
    <w:rsid w:val="00161CBD"/>
    <w:rsid w:val="0016215A"/>
    <w:rsid w:val="00162B28"/>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8EF"/>
    <w:rsid w:val="00176E39"/>
    <w:rsid w:val="00177295"/>
    <w:rsid w:val="001772DD"/>
    <w:rsid w:val="00177493"/>
    <w:rsid w:val="0018090E"/>
    <w:rsid w:val="00180C76"/>
    <w:rsid w:val="001816A1"/>
    <w:rsid w:val="00181B5A"/>
    <w:rsid w:val="001856B7"/>
    <w:rsid w:val="0018650A"/>
    <w:rsid w:val="001866EE"/>
    <w:rsid w:val="00186FA6"/>
    <w:rsid w:val="0018762D"/>
    <w:rsid w:val="001876BD"/>
    <w:rsid w:val="0018773C"/>
    <w:rsid w:val="001877CA"/>
    <w:rsid w:val="0019127D"/>
    <w:rsid w:val="00191BA6"/>
    <w:rsid w:val="001927CC"/>
    <w:rsid w:val="00192DC4"/>
    <w:rsid w:val="001933DD"/>
    <w:rsid w:val="0019373E"/>
    <w:rsid w:val="00193C51"/>
    <w:rsid w:val="00194AD1"/>
    <w:rsid w:val="00194E25"/>
    <w:rsid w:val="00194FE0"/>
    <w:rsid w:val="00195AB1"/>
    <w:rsid w:val="00196762"/>
    <w:rsid w:val="00196B27"/>
    <w:rsid w:val="00196D01"/>
    <w:rsid w:val="001A06FA"/>
    <w:rsid w:val="001A14B8"/>
    <w:rsid w:val="001A1832"/>
    <w:rsid w:val="001A1A35"/>
    <w:rsid w:val="001A1D8E"/>
    <w:rsid w:val="001A214C"/>
    <w:rsid w:val="001A2CAF"/>
    <w:rsid w:val="001A2E4B"/>
    <w:rsid w:val="001A2F80"/>
    <w:rsid w:val="001A39E5"/>
    <w:rsid w:val="001A3DA4"/>
    <w:rsid w:val="001A417A"/>
    <w:rsid w:val="001A4362"/>
    <w:rsid w:val="001A4C86"/>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590"/>
    <w:rsid w:val="001B5E86"/>
    <w:rsid w:val="001B75AD"/>
    <w:rsid w:val="001B7FC5"/>
    <w:rsid w:val="001C0ABC"/>
    <w:rsid w:val="001C0BF9"/>
    <w:rsid w:val="001C125C"/>
    <w:rsid w:val="001C265D"/>
    <w:rsid w:val="001C27C2"/>
    <w:rsid w:val="001C29CD"/>
    <w:rsid w:val="001C3D63"/>
    <w:rsid w:val="001C3F29"/>
    <w:rsid w:val="001C4789"/>
    <w:rsid w:val="001C4FC8"/>
    <w:rsid w:val="001C54F4"/>
    <w:rsid w:val="001C5E08"/>
    <w:rsid w:val="001C6058"/>
    <w:rsid w:val="001C617B"/>
    <w:rsid w:val="001C65F5"/>
    <w:rsid w:val="001C7011"/>
    <w:rsid w:val="001C7644"/>
    <w:rsid w:val="001D200A"/>
    <w:rsid w:val="001D220E"/>
    <w:rsid w:val="001D3B88"/>
    <w:rsid w:val="001D409D"/>
    <w:rsid w:val="001D4460"/>
    <w:rsid w:val="001D458D"/>
    <w:rsid w:val="001D5906"/>
    <w:rsid w:val="001D65CE"/>
    <w:rsid w:val="001D7F39"/>
    <w:rsid w:val="001E070A"/>
    <w:rsid w:val="001E179C"/>
    <w:rsid w:val="001E21EA"/>
    <w:rsid w:val="001E21FD"/>
    <w:rsid w:val="001E25A0"/>
    <w:rsid w:val="001E3273"/>
    <w:rsid w:val="001E3AD0"/>
    <w:rsid w:val="001E3D2B"/>
    <w:rsid w:val="001E44CF"/>
    <w:rsid w:val="001E4DB9"/>
    <w:rsid w:val="001E5A0D"/>
    <w:rsid w:val="001E5BF1"/>
    <w:rsid w:val="001E5C22"/>
    <w:rsid w:val="001E7054"/>
    <w:rsid w:val="001E7248"/>
    <w:rsid w:val="001E732D"/>
    <w:rsid w:val="001E7790"/>
    <w:rsid w:val="001F03F5"/>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8F6"/>
    <w:rsid w:val="001F6D2B"/>
    <w:rsid w:val="001F7132"/>
    <w:rsid w:val="00201773"/>
    <w:rsid w:val="00201C60"/>
    <w:rsid w:val="002020AF"/>
    <w:rsid w:val="00202CDF"/>
    <w:rsid w:val="00203A69"/>
    <w:rsid w:val="0020423A"/>
    <w:rsid w:val="00204FD5"/>
    <w:rsid w:val="00206427"/>
    <w:rsid w:val="00206B50"/>
    <w:rsid w:val="00206E89"/>
    <w:rsid w:val="0020737B"/>
    <w:rsid w:val="002108C3"/>
    <w:rsid w:val="00211189"/>
    <w:rsid w:val="00211542"/>
    <w:rsid w:val="002115E2"/>
    <w:rsid w:val="00211890"/>
    <w:rsid w:val="00211AB3"/>
    <w:rsid w:val="00211BD2"/>
    <w:rsid w:val="00211CD5"/>
    <w:rsid w:val="00212C70"/>
    <w:rsid w:val="00212CC9"/>
    <w:rsid w:val="0021383C"/>
    <w:rsid w:val="002138DE"/>
    <w:rsid w:val="00213D63"/>
    <w:rsid w:val="00214667"/>
    <w:rsid w:val="002164D6"/>
    <w:rsid w:val="00216564"/>
    <w:rsid w:val="00216CE4"/>
    <w:rsid w:val="00216E18"/>
    <w:rsid w:val="00217002"/>
    <w:rsid w:val="00217D25"/>
    <w:rsid w:val="00220150"/>
    <w:rsid w:val="00220A56"/>
    <w:rsid w:val="00220B1E"/>
    <w:rsid w:val="00220D93"/>
    <w:rsid w:val="0022183F"/>
    <w:rsid w:val="0022195F"/>
    <w:rsid w:val="00221B6D"/>
    <w:rsid w:val="00221E74"/>
    <w:rsid w:val="002229D0"/>
    <w:rsid w:val="00222EFD"/>
    <w:rsid w:val="00223498"/>
    <w:rsid w:val="00223E18"/>
    <w:rsid w:val="00224285"/>
    <w:rsid w:val="00225614"/>
    <w:rsid w:val="00225E4F"/>
    <w:rsid w:val="002262C7"/>
    <w:rsid w:val="00226BE5"/>
    <w:rsid w:val="00226D6C"/>
    <w:rsid w:val="00227205"/>
    <w:rsid w:val="0023014C"/>
    <w:rsid w:val="002303B8"/>
    <w:rsid w:val="00230D48"/>
    <w:rsid w:val="0023147E"/>
    <w:rsid w:val="002314C8"/>
    <w:rsid w:val="002330D7"/>
    <w:rsid w:val="00233EF1"/>
    <w:rsid w:val="002348BC"/>
    <w:rsid w:val="0023632E"/>
    <w:rsid w:val="00236CF1"/>
    <w:rsid w:val="0023718D"/>
    <w:rsid w:val="0023728A"/>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6DC7"/>
    <w:rsid w:val="002511A2"/>
    <w:rsid w:val="002518DB"/>
    <w:rsid w:val="002525CC"/>
    <w:rsid w:val="002529D6"/>
    <w:rsid w:val="002530C2"/>
    <w:rsid w:val="00253904"/>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0B91"/>
    <w:rsid w:val="002712C2"/>
    <w:rsid w:val="002717B8"/>
    <w:rsid w:val="00271BBF"/>
    <w:rsid w:val="002722F1"/>
    <w:rsid w:val="00272DCB"/>
    <w:rsid w:val="00273409"/>
    <w:rsid w:val="002735DC"/>
    <w:rsid w:val="00273C82"/>
    <w:rsid w:val="00273E3E"/>
    <w:rsid w:val="00274CC2"/>
    <w:rsid w:val="00274D7E"/>
    <w:rsid w:val="0027512D"/>
    <w:rsid w:val="0027747C"/>
    <w:rsid w:val="00277717"/>
    <w:rsid w:val="00277BC2"/>
    <w:rsid w:val="00277E0B"/>
    <w:rsid w:val="002805E4"/>
    <w:rsid w:val="00280807"/>
    <w:rsid w:val="00280A33"/>
    <w:rsid w:val="00280F37"/>
    <w:rsid w:val="00281CA7"/>
    <w:rsid w:val="00281D26"/>
    <w:rsid w:val="00281E80"/>
    <w:rsid w:val="002821A4"/>
    <w:rsid w:val="0028253B"/>
    <w:rsid w:val="00282FD6"/>
    <w:rsid w:val="00283C5E"/>
    <w:rsid w:val="00284052"/>
    <w:rsid w:val="0028477B"/>
    <w:rsid w:val="00285214"/>
    <w:rsid w:val="002861DE"/>
    <w:rsid w:val="00286F9F"/>
    <w:rsid w:val="002870C0"/>
    <w:rsid w:val="00287413"/>
    <w:rsid w:val="0028785B"/>
    <w:rsid w:val="002908EC"/>
    <w:rsid w:val="002917D1"/>
    <w:rsid w:val="00293651"/>
    <w:rsid w:val="00293C1D"/>
    <w:rsid w:val="002943E4"/>
    <w:rsid w:val="00294765"/>
    <w:rsid w:val="0029606C"/>
    <w:rsid w:val="002963FC"/>
    <w:rsid w:val="0029657A"/>
    <w:rsid w:val="00296649"/>
    <w:rsid w:val="00296C96"/>
    <w:rsid w:val="0029750A"/>
    <w:rsid w:val="002975FB"/>
    <w:rsid w:val="00297F9D"/>
    <w:rsid w:val="002A049D"/>
    <w:rsid w:val="002A0F5E"/>
    <w:rsid w:val="002A11BD"/>
    <w:rsid w:val="002A122A"/>
    <w:rsid w:val="002A18A0"/>
    <w:rsid w:val="002A38DF"/>
    <w:rsid w:val="002A4062"/>
    <w:rsid w:val="002A4C50"/>
    <w:rsid w:val="002A51A3"/>
    <w:rsid w:val="002A6B27"/>
    <w:rsid w:val="002A7A49"/>
    <w:rsid w:val="002A7A4A"/>
    <w:rsid w:val="002A7C14"/>
    <w:rsid w:val="002B0204"/>
    <w:rsid w:val="002B064A"/>
    <w:rsid w:val="002B0758"/>
    <w:rsid w:val="002B07BA"/>
    <w:rsid w:val="002B0A10"/>
    <w:rsid w:val="002B146E"/>
    <w:rsid w:val="002B1D68"/>
    <w:rsid w:val="002B285B"/>
    <w:rsid w:val="002B3C5B"/>
    <w:rsid w:val="002B4623"/>
    <w:rsid w:val="002B5441"/>
    <w:rsid w:val="002B5517"/>
    <w:rsid w:val="002B5743"/>
    <w:rsid w:val="002B6920"/>
    <w:rsid w:val="002B6B84"/>
    <w:rsid w:val="002B701A"/>
    <w:rsid w:val="002C0374"/>
    <w:rsid w:val="002C0D01"/>
    <w:rsid w:val="002C167F"/>
    <w:rsid w:val="002C1805"/>
    <w:rsid w:val="002C3001"/>
    <w:rsid w:val="002C3A61"/>
    <w:rsid w:val="002C517F"/>
    <w:rsid w:val="002C53F1"/>
    <w:rsid w:val="002C5B2A"/>
    <w:rsid w:val="002C5D25"/>
    <w:rsid w:val="002C6165"/>
    <w:rsid w:val="002C6364"/>
    <w:rsid w:val="002C68CB"/>
    <w:rsid w:val="002C6F0A"/>
    <w:rsid w:val="002C796B"/>
    <w:rsid w:val="002D1462"/>
    <w:rsid w:val="002D173D"/>
    <w:rsid w:val="002D1F63"/>
    <w:rsid w:val="002D2002"/>
    <w:rsid w:val="002D238D"/>
    <w:rsid w:val="002D239D"/>
    <w:rsid w:val="002D2A02"/>
    <w:rsid w:val="002D2A09"/>
    <w:rsid w:val="002D2B39"/>
    <w:rsid w:val="002D30FC"/>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22A"/>
    <w:rsid w:val="002E7650"/>
    <w:rsid w:val="002E7F4E"/>
    <w:rsid w:val="002F0438"/>
    <w:rsid w:val="002F0B22"/>
    <w:rsid w:val="002F0C58"/>
    <w:rsid w:val="002F1280"/>
    <w:rsid w:val="002F165F"/>
    <w:rsid w:val="002F195C"/>
    <w:rsid w:val="002F1A0D"/>
    <w:rsid w:val="002F2133"/>
    <w:rsid w:val="002F2319"/>
    <w:rsid w:val="002F2754"/>
    <w:rsid w:val="002F3251"/>
    <w:rsid w:val="002F6D3A"/>
    <w:rsid w:val="003006EA"/>
    <w:rsid w:val="00300E9F"/>
    <w:rsid w:val="00301280"/>
    <w:rsid w:val="00302559"/>
    <w:rsid w:val="003027AA"/>
    <w:rsid w:val="00302CDA"/>
    <w:rsid w:val="00303F69"/>
    <w:rsid w:val="003044D4"/>
    <w:rsid w:val="00304A28"/>
    <w:rsid w:val="00305501"/>
    <w:rsid w:val="00306333"/>
    <w:rsid w:val="00310CE8"/>
    <w:rsid w:val="00311D24"/>
    <w:rsid w:val="00312650"/>
    <w:rsid w:val="003133FC"/>
    <w:rsid w:val="00313EC4"/>
    <w:rsid w:val="00314CE5"/>
    <w:rsid w:val="003150B1"/>
    <w:rsid w:val="00316C90"/>
    <w:rsid w:val="00316D38"/>
    <w:rsid w:val="003173E0"/>
    <w:rsid w:val="00320159"/>
    <w:rsid w:val="00321D1B"/>
    <w:rsid w:val="0032364A"/>
    <w:rsid w:val="00323E46"/>
    <w:rsid w:val="003243AF"/>
    <w:rsid w:val="00325332"/>
    <w:rsid w:val="00325469"/>
    <w:rsid w:val="00327C2A"/>
    <w:rsid w:val="00327FBF"/>
    <w:rsid w:val="0033032D"/>
    <w:rsid w:val="00330465"/>
    <w:rsid w:val="00330697"/>
    <w:rsid w:val="00330FEC"/>
    <w:rsid w:val="0033100C"/>
    <w:rsid w:val="00331522"/>
    <w:rsid w:val="00331A56"/>
    <w:rsid w:val="00331DAB"/>
    <w:rsid w:val="003323CD"/>
    <w:rsid w:val="00333810"/>
    <w:rsid w:val="00333FB0"/>
    <w:rsid w:val="003340AD"/>
    <w:rsid w:val="00334BBC"/>
    <w:rsid w:val="00334E99"/>
    <w:rsid w:val="00335960"/>
    <w:rsid w:val="00335F65"/>
    <w:rsid w:val="00336334"/>
    <w:rsid w:val="00336A22"/>
    <w:rsid w:val="00336A9C"/>
    <w:rsid w:val="003408F2"/>
    <w:rsid w:val="00341EDA"/>
    <w:rsid w:val="00342E41"/>
    <w:rsid w:val="00342F9F"/>
    <w:rsid w:val="003437E8"/>
    <w:rsid w:val="00344900"/>
    <w:rsid w:val="00345A36"/>
    <w:rsid w:val="003464F7"/>
    <w:rsid w:val="003466C7"/>
    <w:rsid w:val="00346DF9"/>
    <w:rsid w:val="003478E2"/>
    <w:rsid w:val="003504AD"/>
    <w:rsid w:val="00350894"/>
    <w:rsid w:val="00350FCA"/>
    <w:rsid w:val="00351463"/>
    <w:rsid w:val="00352F48"/>
    <w:rsid w:val="00353326"/>
    <w:rsid w:val="0035361A"/>
    <w:rsid w:val="00353BAA"/>
    <w:rsid w:val="003541A3"/>
    <w:rsid w:val="0035442A"/>
    <w:rsid w:val="00354900"/>
    <w:rsid w:val="00355057"/>
    <w:rsid w:val="003572C8"/>
    <w:rsid w:val="00357D06"/>
    <w:rsid w:val="003609E2"/>
    <w:rsid w:val="00361B78"/>
    <w:rsid w:val="00361CD3"/>
    <w:rsid w:val="00362B2C"/>
    <w:rsid w:val="0036393B"/>
    <w:rsid w:val="00363C0F"/>
    <w:rsid w:val="00363C25"/>
    <w:rsid w:val="00363DBE"/>
    <w:rsid w:val="00364230"/>
    <w:rsid w:val="00364FDF"/>
    <w:rsid w:val="003651AA"/>
    <w:rsid w:val="00366DF1"/>
    <w:rsid w:val="00366F8D"/>
    <w:rsid w:val="00367BD8"/>
    <w:rsid w:val="00370725"/>
    <w:rsid w:val="003707D3"/>
    <w:rsid w:val="00370A28"/>
    <w:rsid w:val="00373C76"/>
    <w:rsid w:val="0037422E"/>
    <w:rsid w:val="0037507E"/>
    <w:rsid w:val="00375407"/>
    <w:rsid w:val="003757ED"/>
    <w:rsid w:val="00375D53"/>
    <w:rsid w:val="00377C93"/>
    <w:rsid w:val="0038050A"/>
    <w:rsid w:val="003807F4"/>
    <w:rsid w:val="00380913"/>
    <w:rsid w:val="00381451"/>
    <w:rsid w:val="00381B6E"/>
    <w:rsid w:val="00381C43"/>
    <w:rsid w:val="00381C86"/>
    <w:rsid w:val="00381F88"/>
    <w:rsid w:val="0038206D"/>
    <w:rsid w:val="00382431"/>
    <w:rsid w:val="00382614"/>
    <w:rsid w:val="00383BAA"/>
    <w:rsid w:val="00384065"/>
    <w:rsid w:val="00384B2A"/>
    <w:rsid w:val="003850F7"/>
    <w:rsid w:val="00385249"/>
    <w:rsid w:val="003859A8"/>
    <w:rsid w:val="00386540"/>
    <w:rsid w:val="00386671"/>
    <w:rsid w:val="003866F8"/>
    <w:rsid w:val="003875EE"/>
    <w:rsid w:val="00387A0C"/>
    <w:rsid w:val="00390616"/>
    <w:rsid w:val="00390F86"/>
    <w:rsid w:val="003923EB"/>
    <w:rsid w:val="00392980"/>
    <w:rsid w:val="00392AA4"/>
    <w:rsid w:val="00392AA6"/>
    <w:rsid w:val="0039302F"/>
    <w:rsid w:val="0039384A"/>
    <w:rsid w:val="00393B5E"/>
    <w:rsid w:val="00393B7D"/>
    <w:rsid w:val="00393D36"/>
    <w:rsid w:val="00394124"/>
    <w:rsid w:val="00394BB0"/>
    <w:rsid w:val="003954BF"/>
    <w:rsid w:val="00396C01"/>
    <w:rsid w:val="00397204"/>
    <w:rsid w:val="003976F4"/>
    <w:rsid w:val="003A082D"/>
    <w:rsid w:val="003A0B69"/>
    <w:rsid w:val="003A0F7A"/>
    <w:rsid w:val="003A10E7"/>
    <w:rsid w:val="003A16B7"/>
    <w:rsid w:val="003A1745"/>
    <w:rsid w:val="003A2E56"/>
    <w:rsid w:val="003A3862"/>
    <w:rsid w:val="003A4357"/>
    <w:rsid w:val="003A436D"/>
    <w:rsid w:val="003B0565"/>
    <w:rsid w:val="003B159D"/>
    <w:rsid w:val="003B19BE"/>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7B"/>
    <w:rsid w:val="003C3AD5"/>
    <w:rsid w:val="003C4C2F"/>
    <w:rsid w:val="003C4D6C"/>
    <w:rsid w:val="003C57DC"/>
    <w:rsid w:val="003C5926"/>
    <w:rsid w:val="003C5929"/>
    <w:rsid w:val="003C67A4"/>
    <w:rsid w:val="003D04FC"/>
    <w:rsid w:val="003D0701"/>
    <w:rsid w:val="003D09D3"/>
    <w:rsid w:val="003D0B43"/>
    <w:rsid w:val="003D14AF"/>
    <w:rsid w:val="003D15EC"/>
    <w:rsid w:val="003D3AD8"/>
    <w:rsid w:val="003D4208"/>
    <w:rsid w:val="003D4441"/>
    <w:rsid w:val="003D4A2A"/>
    <w:rsid w:val="003D4DAC"/>
    <w:rsid w:val="003D4DE9"/>
    <w:rsid w:val="003D4FDE"/>
    <w:rsid w:val="003D5F15"/>
    <w:rsid w:val="003D7986"/>
    <w:rsid w:val="003E04AC"/>
    <w:rsid w:val="003E06C7"/>
    <w:rsid w:val="003E0C5E"/>
    <w:rsid w:val="003E0EAA"/>
    <w:rsid w:val="003E1352"/>
    <w:rsid w:val="003E1383"/>
    <w:rsid w:val="003E323C"/>
    <w:rsid w:val="003E5430"/>
    <w:rsid w:val="003E6318"/>
    <w:rsid w:val="003E709A"/>
    <w:rsid w:val="003E79AE"/>
    <w:rsid w:val="003F0A5C"/>
    <w:rsid w:val="003F0C3A"/>
    <w:rsid w:val="003F112F"/>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3FB8"/>
    <w:rsid w:val="004248CA"/>
    <w:rsid w:val="00424B82"/>
    <w:rsid w:val="00424CEB"/>
    <w:rsid w:val="0042536D"/>
    <w:rsid w:val="00425447"/>
    <w:rsid w:val="004255E3"/>
    <w:rsid w:val="00425D49"/>
    <w:rsid w:val="00426A12"/>
    <w:rsid w:val="00427615"/>
    <w:rsid w:val="004278E5"/>
    <w:rsid w:val="00427CBA"/>
    <w:rsid w:val="00427DE9"/>
    <w:rsid w:val="00430526"/>
    <w:rsid w:val="004309B3"/>
    <w:rsid w:val="004309C5"/>
    <w:rsid w:val="00430F36"/>
    <w:rsid w:val="00431864"/>
    <w:rsid w:val="00431E6E"/>
    <w:rsid w:val="00432DBC"/>
    <w:rsid w:val="004334FD"/>
    <w:rsid w:val="004335F4"/>
    <w:rsid w:val="00433B20"/>
    <w:rsid w:val="00434573"/>
    <w:rsid w:val="00434710"/>
    <w:rsid w:val="00434979"/>
    <w:rsid w:val="00434B71"/>
    <w:rsid w:val="004359AD"/>
    <w:rsid w:val="00436570"/>
    <w:rsid w:val="00436B3D"/>
    <w:rsid w:val="00436DAE"/>
    <w:rsid w:val="00436EFE"/>
    <w:rsid w:val="00437A8F"/>
    <w:rsid w:val="00437CA8"/>
    <w:rsid w:val="00440360"/>
    <w:rsid w:val="00440A9C"/>
    <w:rsid w:val="00441319"/>
    <w:rsid w:val="00441A9F"/>
    <w:rsid w:val="00442153"/>
    <w:rsid w:val="00442D2E"/>
    <w:rsid w:val="00442E1F"/>
    <w:rsid w:val="00443C31"/>
    <w:rsid w:val="00444737"/>
    <w:rsid w:val="00445112"/>
    <w:rsid w:val="00445C07"/>
    <w:rsid w:val="00445CE5"/>
    <w:rsid w:val="00446104"/>
    <w:rsid w:val="0044687F"/>
    <w:rsid w:val="00446C74"/>
    <w:rsid w:val="00447EBD"/>
    <w:rsid w:val="0045028B"/>
    <w:rsid w:val="004505D6"/>
    <w:rsid w:val="00450E59"/>
    <w:rsid w:val="004516D9"/>
    <w:rsid w:val="00451F72"/>
    <w:rsid w:val="00451F8B"/>
    <w:rsid w:val="004535E7"/>
    <w:rsid w:val="00455350"/>
    <w:rsid w:val="004557A8"/>
    <w:rsid w:val="00456349"/>
    <w:rsid w:val="00456430"/>
    <w:rsid w:val="0045656B"/>
    <w:rsid w:val="0045684E"/>
    <w:rsid w:val="00456CEF"/>
    <w:rsid w:val="00457C4A"/>
    <w:rsid w:val="00460732"/>
    <w:rsid w:val="00460993"/>
    <w:rsid w:val="00460F53"/>
    <w:rsid w:val="004618B5"/>
    <w:rsid w:val="00461FDC"/>
    <w:rsid w:val="00462875"/>
    <w:rsid w:val="004638C4"/>
    <w:rsid w:val="00463924"/>
    <w:rsid w:val="00464628"/>
    <w:rsid w:val="004649FA"/>
    <w:rsid w:val="004660F8"/>
    <w:rsid w:val="00466196"/>
    <w:rsid w:val="0046631D"/>
    <w:rsid w:val="0046700E"/>
    <w:rsid w:val="00467F06"/>
    <w:rsid w:val="00470F05"/>
    <w:rsid w:val="004718D9"/>
    <w:rsid w:val="00472462"/>
    <w:rsid w:val="00472670"/>
    <w:rsid w:val="00472C02"/>
    <w:rsid w:val="00472DBD"/>
    <w:rsid w:val="00473314"/>
    <w:rsid w:val="0047349A"/>
    <w:rsid w:val="004736B8"/>
    <w:rsid w:val="004739CF"/>
    <w:rsid w:val="00473C08"/>
    <w:rsid w:val="0047493C"/>
    <w:rsid w:val="00474ED3"/>
    <w:rsid w:val="00475484"/>
    <w:rsid w:val="00475740"/>
    <w:rsid w:val="004768DA"/>
    <w:rsid w:val="004800D1"/>
    <w:rsid w:val="004806D7"/>
    <w:rsid w:val="0048083D"/>
    <w:rsid w:val="00480E15"/>
    <w:rsid w:val="00480F04"/>
    <w:rsid w:val="004813E6"/>
    <w:rsid w:val="0048191F"/>
    <w:rsid w:val="00484C76"/>
    <w:rsid w:val="00484D2D"/>
    <w:rsid w:val="004859FE"/>
    <w:rsid w:val="00485F83"/>
    <w:rsid w:val="004862E9"/>
    <w:rsid w:val="0048660B"/>
    <w:rsid w:val="00487C38"/>
    <w:rsid w:val="00487D38"/>
    <w:rsid w:val="00487D6F"/>
    <w:rsid w:val="0049073A"/>
    <w:rsid w:val="004912FC"/>
    <w:rsid w:val="00491500"/>
    <w:rsid w:val="00491894"/>
    <w:rsid w:val="00491D9E"/>
    <w:rsid w:val="00492046"/>
    <w:rsid w:val="0049260B"/>
    <w:rsid w:val="00492BEB"/>
    <w:rsid w:val="00492C38"/>
    <w:rsid w:val="004936A3"/>
    <w:rsid w:val="0049381F"/>
    <w:rsid w:val="00493A82"/>
    <w:rsid w:val="00493F55"/>
    <w:rsid w:val="00494463"/>
    <w:rsid w:val="00494D79"/>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6733"/>
    <w:rsid w:val="004A7324"/>
    <w:rsid w:val="004A7AFD"/>
    <w:rsid w:val="004B02B5"/>
    <w:rsid w:val="004B1AC6"/>
    <w:rsid w:val="004B2AE7"/>
    <w:rsid w:val="004B2F00"/>
    <w:rsid w:val="004B3772"/>
    <w:rsid w:val="004B4F74"/>
    <w:rsid w:val="004B58CE"/>
    <w:rsid w:val="004B5BE6"/>
    <w:rsid w:val="004B6CE7"/>
    <w:rsid w:val="004B781B"/>
    <w:rsid w:val="004B7EE2"/>
    <w:rsid w:val="004C0DF9"/>
    <w:rsid w:val="004C1982"/>
    <w:rsid w:val="004C24BD"/>
    <w:rsid w:val="004C2BED"/>
    <w:rsid w:val="004C3206"/>
    <w:rsid w:val="004C3D71"/>
    <w:rsid w:val="004C41A4"/>
    <w:rsid w:val="004C5249"/>
    <w:rsid w:val="004C646D"/>
    <w:rsid w:val="004C777F"/>
    <w:rsid w:val="004D04A5"/>
    <w:rsid w:val="004D0789"/>
    <w:rsid w:val="004D2DF8"/>
    <w:rsid w:val="004D37E1"/>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4C1"/>
    <w:rsid w:val="00501EBE"/>
    <w:rsid w:val="00503016"/>
    <w:rsid w:val="00503346"/>
    <w:rsid w:val="00503914"/>
    <w:rsid w:val="00505054"/>
    <w:rsid w:val="00505951"/>
    <w:rsid w:val="00505E67"/>
    <w:rsid w:val="00505EE4"/>
    <w:rsid w:val="00505EE7"/>
    <w:rsid w:val="00506823"/>
    <w:rsid w:val="00506896"/>
    <w:rsid w:val="00506FE2"/>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1E20"/>
    <w:rsid w:val="00522AB2"/>
    <w:rsid w:val="0052337C"/>
    <w:rsid w:val="00523A2E"/>
    <w:rsid w:val="0052427E"/>
    <w:rsid w:val="00524A5D"/>
    <w:rsid w:val="005256F3"/>
    <w:rsid w:val="00525E93"/>
    <w:rsid w:val="0052621D"/>
    <w:rsid w:val="00527462"/>
    <w:rsid w:val="005276C3"/>
    <w:rsid w:val="00527873"/>
    <w:rsid w:val="00530040"/>
    <w:rsid w:val="005302AB"/>
    <w:rsid w:val="00530806"/>
    <w:rsid w:val="00530A7F"/>
    <w:rsid w:val="00530F88"/>
    <w:rsid w:val="00531652"/>
    <w:rsid w:val="00531E87"/>
    <w:rsid w:val="00532AAB"/>
    <w:rsid w:val="00532B27"/>
    <w:rsid w:val="0053421A"/>
    <w:rsid w:val="00535208"/>
    <w:rsid w:val="00536356"/>
    <w:rsid w:val="00536463"/>
    <w:rsid w:val="0053710C"/>
    <w:rsid w:val="005377A6"/>
    <w:rsid w:val="00537914"/>
    <w:rsid w:val="00540FE0"/>
    <w:rsid w:val="005411EA"/>
    <w:rsid w:val="0054263B"/>
    <w:rsid w:val="0054264F"/>
    <w:rsid w:val="00542ACA"/>
    <w:rsid w:val="005437E8"/>
    <w:rsid w:val="005438E7"/>
    <w:rsid w:val="00543BD2"/>
    <w:rsid w:val="00543F87"/>
    <w:rsid w:val="00543FBC"/>
    <w:rsid w:val="00544C20"/>
    <w:rsid w:val="00544E40"/>
    <w:rsid w:val="00545D3C"/>
    <w:rsid w:val="00545FBB"/>
    <w:rsid w:val="005476ED"/>
    <w:rsid w:val="00551A41"/>
    <w:rsid w:val="00552038"/>
    <w:rsid w:val="00552145"/>
    <w:rsid w:val="005529D8"/>
    <w:rsid w:val="00553692"/>
    <w:rsid w:val="00554557"/>
    <w:rsid w:val="00554A39"/>
    <w:rsid w:val="00555B3E"/>
    <w:rsid w:val="00555EDA"/>
    <w:rsid w:val="005560EB"/>
    <w:rsid w:val="005562B3"/>
    <w:rsid w:val="0055660D"/>
    <w:rsid w:val="00556AFE"/>
    <w:rsid w:val="00557333"/>
    <w:rsid w:val="00557DD2"/>
    <w:rsid w:val="0056030C"/>
    <w:rsid w:val="00561B31"/>
    <w:rsid w:val="00562A5B"/>
    <w:rsid w:val="00562D71"/>
    <w:rsid w:val="00563438"/>
    <w:rsid w:val="005634A6"/>
    <w:rsid w:val="005638B0"/>
    <w:rsid w:val="00563A26"/>
    <w:rsid w:val="00563B11"/>
    <w:rsid w:val="005643A3"/>
    <w:rsid w:val="0056507A"/>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0C4"/>
    <w:rsid w:val="00580C39"/>
    <w:rsid w:val="005814FF"/>
    <w:rsid w:val="005818ED"/>
    <w:rsid w:val="0058257B"/>
    <w:rsid w:val="00582EEE"/>
    <w:rsid w:val="00584ECC"/>
    <w:rsid w:val="00584FCC"/>
    <w:rsid w:val="0058546D"/>
    <w:rsid w:val="0058562D"/>
    <w:rsid w:val="00586C76"/>
    <w:rsid w:val="0058797C"/>
    <w:rsid w:val="00590929"/>
    <w:rsid w:val="0059097C"/>
    <w:rsid w:val="00590AF8"/>
    <w:rsid w:val="00591657"/>
    <w:rsid w:val="00592124"/>
    <w:rsid w:val="00592176"/>
    <w:rsid w:val="0059367A"/>
    <w:rsid w:val="00593D11"/>
    <w:rsid w:val="005943AE"/>
    <w:rsid w:val="00595206"/>
    <w:rsid w:val="00595D31"/>
    <w:rsid w:val="00595EE3"/>
    <w:rsid w:val="005968D1"/>
    <w:rsid w:val="00597D43"/>
    <w:rsid w:val="00597F91"/>
    <w:rsid w:val="005A00A1"/>
    <w:rsid w:val="005A01C8"/>
    <w:rsid w:val="005A0264"/>
    <w:rsid w:val="005A02D4"/>
    <w:rsid w:val="005A15A4"/>
    <w:rsid w:val="005A169C"/>
    <w:rsid w:val="005A1CF1"/>
    <w:rsid w:val="005A1F68"/>
    <w:rsid w:val="005A2372"/>
    <w:rsid w:val="005A4DBF"/>
    <w:rsid w:val="005A720C"/>
    <w:rsid w:val="005B0219"/>
    <w:rsid w:val="005B07DE"/>
    <w:rsid w:val="005B0DFE"/>
    <w:rsid w:val="005B12E9"/>
    <w:rsid w:val="005B1713"/>
    <w:rsid w:val="005B2281"/>
    <w:rsid w:val="005B2537"/>
    <w:rsid w:val="005B3350"/>
    <w:rsid w:val="005B3874"/>
    <w:rsid w:val="005B426A"/>
    <w:rsid w:val="005B463B"/>
    <w:rsid w:val="005B515A"/>
    <w:rsid w:val="005B55EC"/>
    <w:rsid w:val="005B59FC"/>
    <w:rsid w:val="005B5C8A"/>
    <w:rsid w:val="005B622B"/>
    <w:rsid w:val="005B7B43"/>
    <w:rsid w:val="005B7EBA"/>
    <w:rsid w:val="005C0F41"/>
    <w:rsid w:val="005C33A1"/>
    <w:rsid w:val="005C3866"/>
    <w:rsid w:val="005C4646"/>
    <w:rsid w:val="005C593E"/>
    <w:rsid w:val="005C7407"/>
    <w:rsid w:val="005C7ABF"/>
    <w:rsid w:val="005D0510"/>
    <w:rsid w:val="005D142B"/>
    <w:rsid w:val="005D198B"/>
    <w:rsid w:val="005D2DCD"/>
    <w:rsid w:val="005D2F13"/>
    <w:rsid w:val="005D4091"/>
    <w:rsid w:val="005D4105"/>
    <w:rsid w:val="005D42F8"/>
    <w:rsid w:val="005D4696"/>
    <w:rsid w:val="005D4C93"/>
    <w:rsid w:val="005D4FBA"/>
    <w:rsid w:val="005D5D01"/>
    <w:rsid w:val="005D5EA2"/>
    <w:rsid w:val="005D6AA1"/>
    <w:rsid w:val="005D6EC7"/>
    <w:rsid w:val="005D713A"/>
    <w:rsid w:val="005D7B4E"/>
    <w:rsid w:val="005D7FE0"/>
    <w:rsid w:val="005E234F"/>
    <w:rsid w:val="005E2557"/>
    <w:rsid w:val="005E2CFE"/>
    <w:rsid w:val="005E441D"/>
    <w:rsid w:val="005E4B81"/>
    <w:rsid w:val="005E50FE"/>
    <w:rsid w:val="005E539D"/>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5026"/>
    <w:rsid w:val="005F620B"/>
    <w:rsid w:val="005F665B"/>
    <w:rsid w:val="005F6FCA"/>
    <w:rsid w:val="0060059B"/>
    <w:rsid w:val="00601C39"/>
    <w:rsid w:val="00601FC8"/>
    <w:rsid w:val="00602B4F"/>
    <w:rsid w:val="0060384E"/>
    <w:rsid w:val="0060570A"/>
    <w:rsid w:val="00605DF2"/>
    <w:rsid w:val="00605EF8"/>
    <w:rsid w:val="006061A9"/>
    <w:rsid w:val="00606EC8"/>
    <w:rsid w:val="00607172"/>
    <w:rsid w:val="00607298"/>
    <w:rsid w:val="00610160"/>
    <w:rsid w:val="00611F89"/>
    <w:rsid w:val="0061200A"/>
    <w:rsid w:val="0061213D"/>
    <w:rsid w:val="00613A83"/>
    <w:rsid w:val="00613B94"/>
    <w:rsid w:val="00613C40"/>
    <w:rsid w:val="0061400C"/>
    <w:rsid w:val="00614331"/>
    <w:rsid w:val="006152BC"/>
    <w:rsid w:val="00615BC7"/>
    <w:rsid w:val="006162C2"/>
    <w:rsid w:val="00616A04"/>
    <w:rsid w:val="00622048"/>
    <w:rsid w:val="00622944"/>
    <w:rsid w:val="00624217"/>
    <w:rsid w:val="006243BF"/>
    <w:rsid w:val="00624795"/>
    <w:rsid w:val="00624B39"/>
    <w:rsid w:val="00624B91"/>
    <w:rsid w:val="006250CA"/>
    <w:rsid w:val="0062578F"/>
    <w:rsid w:val="00625EFD"/>
    <w:rsid w:val="00626741"/>
    <w:rsid w:val="006274AF"/>
    <w:rsid w:val="00627BBF"/>
    <w:rsid w:val="00630845"/>
    <w:rsid w:val="006339F3"/>
    <w:rsid w:val="00633BB2"/>
    <w:rsid w:val="00634119"/>
    <w:rsid w:val="0063470B"/>
    <w:rsid w:val="0063519E"/>
    <w:rsid w:val="0063628B"/>
    <w:rsid w:val="0063632E"/>
    <w:rsid w:val="00640298"/>
    <w:rsid w:val="00641FC6"/>
    <w:rsid w:val="006423C5"/>
    <w:rsid w:val="00642E60"/>
    <w:rsid w:val="0064502B"/>
    <w:rsid w:val="00645307"/>
    <w:rsid w:val="006453AA"/>
    <w:rsid w:val="006454C5"/>
    <w:rsid w:val="00646076"/>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65F7"/>
    <w:rsid w:val="00676683"/>
    <w:rsid w:val="00677315"/>
    <w:rsid w:val="006779F2"/>
    <w:rsid w:val="00677C89"/>
    <w:rsid w:val="00680880"/>
    <w:rsid w:val="00682C3F"/>
    <w:rsid w:val="0068493A"/>
    <w:rsid w:val="00685F36"/>
    <w:rsid w:val="006864D0"/>
    <w:rsid w:val="006869CE"/>
    <w:rsid w:val="006869E9"/>
    <w:rsid w:val="00686AC9"/>
    <w:rsid w:val="006879DE"/>
    <w:rsid w:val="00690F71"/>
    <w:rsid w:val="006915EC"/>
    <w:rsid w:val="006917A2"/>
    <w:rsid w:val="00692071"/>
    <w:rsid w:val="0069266B"/>
    <w:rsid w:val="00692787"/>
    <w:rsid w:val="006928C5"/>
    <w:rsid w:val="00692AB8"/>
    <w:rsid w:val="006949D7"/>
    <w:rsid w:val="006953FC"/>
    <w:rsid w:val="00696B9F"/>
    <w:rsid w:val="00696D29"/>
    <w:rsid w:val="006977B2"/>
    <w:rsid w:val="00697BF1"/>
    <w:rsid w:val="00697F56"/>
    <w:rsid w:val="006A019B"/>
    <w:rsid w:val="006A257A"/>
    <w:rsid w:val="006A2939"/>
    <w:rsid w:val="006A534E"/>
    <w:rsid w:val="006A639B"/>
    <w:rsid w:val="006A7554"/>
    <w:rsid w:val="006A77B5"/>
    <w:rsid w:val="006B0E6C"/>
    <w:rsid w:val="006B1191"/>
    <w:rsid w:val="006B1C39"/>
    <w:rsid w:val="006B3631"/>
    <w:rsid w:val="006B3684"/>
    <w:rsid w:val="006B3FDE"/>
    <w:rsid w:val="006B5117"/>
    <w:rsid w:val="006B5429"/>
    <w:rsid w:val="006B59CA"/>
    <w:rsid w:val="006B5D69"/>
    <w:rsid w:val="006B6A43"/>
    <w:rsid w:val="006B6B3C"/>
    <w:rsid w:val="006B6E97"/>
    <w:rsid w:val="006B77AC"/>
    <w:rsid w:val="006B78C5"/>
    <w:rsid w:val="006C085A"/>
    <w:rsid w:val="006C2067"/>
    <w:rsid w:val="006C314D"/>
    <w:rsid w:val="006C3610"/>
    <w:rsid w:val="006C3674"/>
    <w:rsid w:val="006C3E19"/>
    <w:rsid w:val="006C47F6"/>
    <w:rsid w:val="006C4AC5"/>
    <w:rsid w:val="006C5F46"/>
    <w:rsid w:val="006C6EFC"/>
    <w:rsid w:val="006C7D34"/>
    <w:rsid w:val="006D0320"/>
    <w:rsid w:val="006D07E5"/>
    <w:rsid w:val="006D0882"/>
    <w:rsid w:val="006D093A"/>
    <w:rsid w:val="006D278D"/>
    <w:rsid w:val="006D497F"/>
    <w:rsid w:val="006D50D8"/>
    <w:rsid w:val="006D5526"/>
    <w:rsid w:val="006D5D93"/>
    <w:rsid w:val="006D6574"/>
    <w:rsid w:val="006D6D82"/>
    <w:rsid w:val="006D738E"/>
    <w:rsid w:val="006D7F0F"/>
    <w:rsid w:val="006E013E"/>
    <w:rsid w:val="006E139E"/>
    <w:rsid w:val="006E1EA3"/>
    <w:rsid w:val="006E2471"/>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2F1B"/>
    <w:rsid w:val="007034C9"/>
    <w:rsid w:val="00703639"/>
    <w:rsid w:val="00703667"/>
    <w:rsid w:val="00703D4D"/>
    <w:rsid w:val="007046B8"/>
    <w:rsid w:val="007050EE"/>
    <w:rsid w:val="007052DE"/>
    <w:rsid w:val="0070658D"/>
    <w:rsid w:val="00706A5D"/>
    <w:rsid w:val="00706D86"/>
    <w:rsid w:val="00707B71"/>
    <w:rsid w:val="0071065C"/>
    <w:rsid w:val="00710A24"/>
    <w:rsid w:val="00710B0D"/>
    <w:rsid w:val="00710F9E"/>
    <w:rsid w:val="0071172E"/>
    <w:rsid w:val="00711A26"/>
    <w:rsid w:val="007121A5"/>
    <w:rsid w:val="007124F9"/>
    <w:rsid w:val="007126F8"/>
    <w:rsid w:val="00712AAD"/>
    <w:rsid w:val="0071362B"/>
    <w:rsid w:val="00714130"/>
    <w:rsid w:val="0071436C"/>
    <w:rsid w:val="007151B8"/>
    <w:rsid w:val="0071538E"/>
    <w:rsid w:val="00715C5C"/>
    <w:rsid w:val="00716502"/>
    <w:rsid w:val="00716E79"/>
    <w:rsid w:val="00717591"/>
    <w:rsid w:val="007177E4"/>
    <w:rsid w:val="00720F2C"/>
    <w:rsid w:val="007215EA"/>
    <w:rsid w:val="0072431C"/>
    <w:rsid w:val="007256CC"/>
    <w:rsid w:val="00725709"/>
    <w:rsid w:val="00726A8E"/>
    <w:rsid w:val="00726E7C"/>
    <w:rsid w:val="007310D1"/>
    <w:rsid w:val="007318CB"/>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1C9B"/>
    <w:rsid w:val="00741CCD"/>
    <w:rsid w:val="00742351"/>
    <w:rsid w:val="00742EB6"/>
    <w:rsid w:val="00742F52"/>
    <w:rsid w:val="007443E2"/>
    <w:rsid w:val="0074486F"/>
    <w:rsid w:val="00744AB2"/>
    <w:rsid w:val="00744F76"/>
    <w:rsid w:val="00745414"/>
    <w:rsid w:val="007457FE"/>
    <w:rsid w:val="00745E61"/>
    <w:rsid w:val="00745EA3"/>
    <w:rsid w:val="00747605"/>
    <w:rsid w:val="007478C9"/>
    <w:rsid w:val="00747A16"/>
    <w:rsid w:val="00747C60"/>
    <w:rsid w:val="00747EEB"/>
    <w:rsid w:val="00747FE0"/>
    <w:rsid w:val="007508DF"/>
    <w:rsid w:val="007509FE"/>
    <w:rsid w:val="00750CA6"/>
    <w:rsid w:val="00751401"/>
    <w:rsid w:val="0075152D"/>
    <w:rsid w:val="00751A50"/>
    <w:rsid w:val="00751CE2"/>
    <w:rsid w:val="00752D9A"/>
    <w:rsid w:val="0075390C"/>
    <w:rsid w:val="00754C8A"/>
    <w:rsid w:val="00755065"/>
    <w:rsid w:val="00755174"/>
    <w:rsid w:val="00755361"/>
    <w:rsid w:val="0075563D"/>
    <w:rsid w:val="007568D6"/>
    <w:rsid w:val="00757121"/>
    <w:rsid w:val="007579EE"/>
    <w:rsid w:val="00757CAF"/>
    <w:rsid w:val="00760971"/>
    <w:rsid w:val="0076145B"/>
    <w:rsid w:val="0076183F"/>
    <w:rsid w:val="007621B6"/>
    <w:rsid w:val="00762B63"/>
    <w:rsid w:val="00763840"/>
    <w:rsid w:val="00763FE4"/>
    <w:rsid w:val="0076417E"/>
    <w:rsid w:val="00764C43"/>
    <w:rsid w:val="00764CDA"/>
    <w:rsid w:val="00766489"/>
    <w:rsid w:val="00766F23"/>
    <w:rsid w:val="00767790"/>
    <w:rsid w:val="00767C08"/>
    <w:rsid w:val="0077052B"/>
    <w:rsid w:val="00770607"/>
    <w:rsid w:val="00770C49"/>
    <w:rsid w:val="00770D17"/>
    <w:rsid w:val="00770FE5"/>
    <w:rsid w:val="00772204"/>
    <w:rsid w:val="0077271C"/>
    <w:rsid w:val="00772DF5"/>
    <w:rsid w:val="007763DB"/>
    <w:rsid w:val="00776637"/>
    <w:rsid w:val="007778F3"/>
    <w:rsid w:val="00777AED"/>
    <w:rsid w:val="00781580"/>
    <w:rsid w:val="00781B8F"/>
    <w:rsid w:val="007825F8"/>
    <w:rsid w:val="007829F0"/>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14"/>
    <w:rsid w:val="00792257"/>
    <w:rsid w:val="00792932"/>
    <w:rsid w:val="00793681"/>
    <w:rsid w:val="0079422A"/>
    <w:rsid w:val="00795996"/>
    <w:rsid w:val="00796B9C"/>
    <w:rsid w:val="00796C2E"/>
    <w:rsid w:val="007A071F"/>
    <w:rsid w:val="007A1C50"/>
    <w:rsid w:val="007A2601"/>
    <w:rsid w:val="007A2DB8"/>
    <w:rsid w:val="007A3327"/>
    <w:rsid w:val="007A3601"/>
    <w:rsid w:val="007A55DD"/>
    <w:rsid w:val="007A6A91"/>
    <w:rsid w:val="007A6F7E"/>
    <w:rsid w:val="007A73F1"/>
    <w:rsid w:val="007A76BA"/>
    <w:rsid w:val="007A7AAB"/>
    <w:rsid w:val="007B1194"/>
    <w:rsid w:val="007B1532"/>
    <w:rsid w:val="007B24B1"/>
    <w:rsid w:val="007B2A3E"/>
    <w:rsid w:val="007B3E10"/>
    <w:rsid w:val="007B42B1"/>
    <w:rsid w:val="007B485B"/>
    <w:rsid w:val="007B4ADC"/>
    <w:rsid w:val="007B55B2"/>
    <w:rsid w:val="007B654B"/>
    <w:rsid w:val="007B6EC7"/>
    <w:rsid w:val="007B7880"/>
    <w:rsid w:val="007C08FF"/>
    <w:rsid w:val="007C10CA"/>
    <w:rsid w:val="007C1B63"/>
    <w:rsid w:val="007C206C"/>
    <w:rsid w:val="007C237A"/>
    <w:rsid w:val="007C270F"/>
    <w:rsid w:val="007C2833"/>
    <w:rsid w:val="007C2B52"/>
    <w:rsid w:val="007C375F"/>
    <w:rsid w:val="007C4083"/>
    <w:rsid w:val="007C438D"/>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0204"/>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3F5B"/>
    <w:rsid w:val="007F4D25"/>
    <w:rsid w:val="007F58F7"/>
    <w:rsid w:val="007F5F57"/>
    <w:rsid w:val="007F6279"/>
    <w:rsid w:val="007F6E0D"/>
    <w:rsid w:val="007F7121"/>
    <w:rsid w:val="007F7833"/>
    <w:rsid w:val="007F78FF"/>
    <w:rsid w:val="00800A36"/>
    <w:rsid w:val="008011FB"/>
    <w:rsid w:val="00801750"/>
    <w:rsid w:val="00801B26"/>
    <w:rsid w:val="00801D83"/>
    <w:rsid w:val="00804534"/>
    <w:rsid w:val="00805601"/>
    <w:rsid w:val="00807D51"/>
    <w:rsid w:val="0081005B"/>
    <w:rsid w:val="00810C64"/>
    <w:rsid w:val="00810F32"/>
    <w:rsid w:val="008116BD"/>
    <w:rsid w:val="008120B2"/>
    <w:rsid w:val="00812495"/>
    <w:rsid w:val="00812889"/>
    <w:rsid w:val="008129CB"/>
    <w:rsid w:val="0081405F"/>
    <w:rsid w:val="0081431F"/>
    <w:rsid w:val="008145FF"/>
    <w:rsid w:val="008149D8"/>
    <w:rsid w:val="00814F32"/>
    <w:rsid w:val="00814F91"/>
    <w:rsid w:val="00815050"/>
    <w:rsid w:val="00815294"/>
    <w:rsid w:val="0081575E"/>
    <w:rsid w:val="0081584B"/>
    <w:rsid w:val="00816193"/>
    <w:rsid w:val="00816EF0"/>
    <w:rsid w:val="008170D9"/>
    <w:rsid w:val="008173FC"/>
    <w:rsid w:val="00817431"/>
    <w:rsid w:val="00817709"/>
    <w:rsid w:val="00817DC4"/>
    <w:rsid w:val="00820812"/>
    <w:rsid w:val="00821549"/>
    <w:rsid w:val="00821CC7"/>
    <w:rsid w:val="00822AC6"/>
    <w:rsid w:val="008231DC"/>
    <w:rsid w:val="0082398B"/>
    <w:rsid w:val="00824815"/>
    <w:rsid w:val="00824E8B"/>
    <w:rsid w:val="00824F71"/>
    <w:rsid w:val="00825707"/>
    <w:rsid w:val="008266BB"/>
    <w:rsid w:val="008269D5"/>
    <w:rsid w:val="00827C3F"/>
    <w:rsid w:val="0083167E"/>
    <w:rsid w:val="00831834"/>
    <w:rsid w:val="00831F16"/>
    <w:rsid w:val="00832EA1"/>
    <w:rsid w:val="00833570"/>
    <w:rsid w:val="008341F0"/>
    <w:rsid w:val="008345DE"/>
    <w:rsid w:val="00835A31"/>
    <w:rsid w:val="00837A4C"/>
    <w:rsid w:val="00837D6E"/>
    <w:rsid w:val="008405E1"/>
    <w:rsid w:val="00840A50"/>
    <w:rsid w:val="00840ECB"/>
    <w:rsid w:val="00841411"/>
    <w:rsid w:val="00842D0F"/>
    <w:rsid w:val="008435D2"/>
    <w:rsid w:val="00843AF4"/>
    <w:rsid w:val="00843FC0"/>
    <w:rsid w:val="0084415B"/>
    <w:rsid w:val="008446DF"/>
    <w:rsid w:val="008460DC"/>
    <w:rsid w:val="00846205"/>
    <w:rsid w:val="00846236"/>
    <w:rsid w:val="00850CF8"/>
    <w:rsid w:val="00850D48"/>
    <w:rsid w:val="00850FF6"/>
    <w:rsid w:val="008510EB"/>
    <w:rsid w:val="00851C2F"/>
    <w:rsid w:val="00852B4D"/>
    <w:rsid w:val="008536FF"/>
    <w:rsid w:val="0085406D"/>
    <w:rsid w:val="008541DD"/>
    <w:rsid w:val="0085492B"/>
    <w:rsid w:val="00854FDC"/>
    <w:rsid w:val="00855126"/>
    <w:rsid w:val="00855AA6"/>
    <w:rsid w:val="008562A8"/>
    <w:rsid w:val="0085690A"/>
    <w:rsid w:val="00856FB0"/>
    <w:rsid w:val="008572A2"/>
    <w:rsid w:val="00857574"/>
    <w:rsid w:val="00857767"/>
    <w:rsid w:val="008577DA"/>
    <w:rsid w:val="00860D6C"/>
    <w:rsid w:val="008615A2"/>
    <w:rsid w:val="008617C9"/>
    <w:rsid w:val="00862168"/>
    <w:rsid w:val="0086284D"/>
    <w:rsid w:val="008635A7"/>
    <w:rsid w:val="008644E0"/>
    <w:rsid w:val="00865CCF"/>
    <w:rsid w:val="00865D67"/>
    <w:rsid w:val="00865F8B"/>
    <w:rsid w:val="00866E36"/>
    <w:rsid w:val="008672D0"/>
    <w:rsid w:val="00870102"/>
    <w:rsid w:val="0087179D"/>
    <w:rsid w:val="008723A0"/>
    <w:rsid w:val="00874CE4"/>
    <w:rsid w:val="00875335"/>
    <w:rsid w:val="0087623D"/>
    <w:rsid w:val="008769A8"/>
    <w:rsid w:val="008771C5"/>
    <w:rsid w:val="008809B1"/>
    <w:rsid w:val="00881ACD"/>
    <w:rsid w:val="00882BBF"/>
    <w:rsid w:val="00882DEC"/>
    <w:rsid w:val="00884819"/>
    <w:rsid w:val="00884846"/>
    <w:rsid w:val="008854C1"/>
    <w:rsid w:val="00885759"/>
    <w:rsid w:val="008860A4"/>
    <w:rsid w:val="008862D2"/>
    <w:rsid w:val="0088680D"/>
    <w:rsid w:val="00886893"/>
    <w:rsid w:val="008874F2"/>
    <w:rsid w:val="00890ED9"/>
    <w:rsid w:val="008917FE"/>
    <w:rsid w:val="00891992"/>
    <w:rsid w:val="00891FD5"/>
    <w:rsid w:val="0089389E"/>
    <w:rsid w:val="00893B2F"/>
    <w:rsid w:val="008947B7"/>
    <w:rsid w:val="0089480A"/>
    <w:rsid w:val="00894B47"/>
    <w:rsid w:val="008952A5"/>
    <w:rsid w:val="008960FE"/>
    <w:rsid w:val="008968F5"/>
    <w:rsid w:val="00896F60"/>
    <w:rsid w:val="00897519"/>
    <w:rsid w:val="00897663"/>
    <w:rsid w:val="00897B6A"/>
    <w:rsid w:val="008A007A"/>
    <w:rsid w:val="008A0E23"/>
    <w:rsid w:val="008A0E45"/>
    <w:rsid w:val="008A19E8"/>
    <w:rsid w:val="008A1C40"/>
    <w:rsid w:val="008A1DA2"/>
    <w:rsid w:val="008A281D"/>
    <w:rsid w:val="008A3686"/>
    <w:rsid w:val="008A3BB9"/>
    <w:rsid w:val="008A3FF2"/>
    <w:rsid w:val="008A4007"/>
    <w:rsid w:val="008A4077"/>
    <w:rsid w:val="008A4453"/>
    <w:rsid w:val="008A5932"/>
    <w:rsid w:val="008A5E62"/>
    <w:rsid w:val="008A6F4C"/>
    <w:rsid w:val="008A74DD"/>
    <w:rsid w:val="008A76FB"/>
    <w:rsid w:val="008B059F"/>
    <w:rsid w:val="008B12AD"/>
    <w:rsid w:val="008B1A71"/>
    <w:rsid w:val="008B3389"/>
    <w:rsid w:val="008B5613"/>
    <w:rsid w:val="008B5617"/>
    <w:rsid w:val="008B57E5"/>
    <w:rsid w:val="008B6FFC"/>
    <w:rsid w:val="008C03D1"/>
    <w:rsid w:val="008C07A2"/>
    <w:rsid w:val="008C15A5"/>
    <w:rsid w:val="008C1E66"/>
    <w:rsid w:val="008C25DE"/>
    <w:rsid w:val="008C26B7"/>
    <w:rsid w:val="008C3428"/>
    <w:rsid w:val="008C37DE"/>
    <w:rsid w:val="008C3BD6"/>
    <w:rsid w:val="008C438F"/>
    <w:rsid w:val="008C43F1"/>
    <w:rsid w:val="008C51A0"/>
    <w:rsid w:val="008C590F"/>
    <w:rsid w:val="008C6028"/>
    <w:rsid w:val="008C64A5"/>
    <w:rsid w:val="008C6B96"/>
    <w:rsid w:val="008C6DE4"/>
    <w:rsid w:val="008D0753"/>
    <w:rsid w:val="008D14B1"/>
    <w:rsid w:val="008D1C34"/>
    <w:rsid w:val="008D3AE9"/>
    <w:rsid w:val="008D405B"/>
    <w:rsid w:val="008D4FAC"/>
    <w:rsid w:val="008D629E"/>
    <w:rsid w:val="008D6F63"/>
    <w:rsid w:val="008D7A33"/>
    <w:rsid w:val="008E0524"/>
    <w:rsid w:val="008E0A00"/>
    <w:rsid w:val="008E1DB9"/>
    <w:rsid w:val="008E1EBA"/>
    <w:rsid w:val="008E20FC"/>
    <w:rsid w:val="008E3519"/>
    <w:rsid w:val="008E3AF7"/>
    <w:rsid w:val="008E405A"/>
    <w:rsid w:val="008E4957"/>
    <w:rsid w:val="008E6454"/>
    <w:rsid w:val="008E71D2"/>
    <w:rsid w:val="008E76BF"/>
    <w:rsid w:val="008F0135"/>
    <w:rsid w:val="008F1460"/>
    <w:rsid w:val="008F2459"/>
    <w:rsid w:val="008F2583"/>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07169"/>
    <w:rsid w:val="009101A6"/>
    <w:rsid w:val="00910747"/>
    <w:rsid w:val="00910E3B"/>
    <w:rsid w:val="00911329"/>
    <w:rsid w:val="00911758"/>
    <w:rsid w:val="009122D0"/>
    <w:rsid w:val="009125B7"/>
    <w:rsid w:val="00912880"/>
    <w:rsid w:val="00912B57"/>
    <w:rsid w:val="00912CFB"/>
    <w:rsid w:val="009139E6"/>
    <w:rsid w:val="00913C98"/>
    <w:rsid w:val="009175E4"/>
    <w:rsid w:val="00917AF0"/>
    <w:rsid w:val="00917C5F"/>
    <w:rsid w:val="00920A37"/>
    <w:rsid w:val="00920ACC"/>
    <w:rsid w:val="00920F8A"/>
    <w:rsid w:val="00921FB5"/>
    <w:rsid w:val="00922D49"/>
    <w:rsid w:val="009243D2"/>
    <w:rsid w:val="0092481E"/>
    <w:rsid w:val="009250F2"/>
    <w:rsid w:val="00926506"/>
    <w:rsid w:val="0092688E"/>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034"/>
    <w:rsid w:val="009403CE"/>
    <w:rsid w:val="0094087B"/>
    <w:rsid w:val="00941C35"/>
    <w:rsid w:val="00942A3D"/>
    <w:rsid w:val="0094352E"/>
    <w:rsid w:val="00944100"/>
    <w:rsid w:val="00944AE0"/>
    <w:rsid w:val="00945C1B"/>
    <w:rsid w:val="00946475"/>
    <w:rsid w:val="00946587"/>
    <w:rsid w:val="0094720D"/>
    <w:rsid w:val="0094772D"/>
    <w:rsid w:val="009507DB"/>
    <w:rsid w:val="00950E0A"/>
    <w:rsid w:val="009511E5"/>
    <w:rsid w:val="0095149D"/>
    <w:rsid w:val="009517F6"/>
    <w:rsid w:val="009521C1"/>
    <w:rsid w:val="00952A15"/>
    <w:rsid w:val="009534C9"/>
    <w:rsid w:val="00953EF6"/>
    <w:rsid w:val="0095402B"/>
    <w:rsid w:val="00954A6B"/>
    <w:rsid w:val="00955290"/>
    <w:rsid w:val="00955331"/>
    <w:rsid w:val="00955773"/>
    <w:rsid w:val="00955EBD"/>
    <w:rsid w:val="009568B5"/>
    <w:rsid w:val="00960237"/>
    <w:rsid w:val="00961752"/>
    <w:rsid w:val="00962F77"/>
    <w:rsid w:val="00963193"/>
    <w:rsid w:val="00964AA4"/>
    <w:rsid w:val="00964DE9"/>
    <w:rsid w:val="00965598"/>
    <w:rsid w:val="009661D6"/>
    <w:rsid w:val="00966367"/>
    <w:rsid w:val="009665B5"/>
    <w:rsid w:val="0096660F"/>
    <w:rsid w:val="00966E96"/>
    <w:rsid w:val="009677C7"/>
    <w:rsid w:val="009712EA"/>
    <w:rsid w:val="009729A9"/>
    <w:rsid w:val="00972C6C"/>
    <w:rsid w:val="00973643"/>
    <w:rsid w:val="009752BE"/>
    <w:rsid w:val="009752D4"/>
    <w:rsid w:val="0097535C"/>
    <w:rsid w:val="00975710"/>
    <w:rsid w:val="00975A23"/>
    <w:rsid w:val="009761D3"/>
    <w:rsid w:val="009762F4"/>
    <w:rsid w:val="00976F28"/>
    <w:rsid w:val="009809B5"/>
    <w:rsid w:val="0098132E"/>
    <w:rsid w:val="009822AB"/>
    <w:rsid w:val="00982A00"/>
    <w:rsid w:val="00983048"/>
    <w:rsid w:val="0098318A"/>
    <w:rsid w:val="0098335A"/>
    <w:rsid w:val="00983B82"/>
    <w:rsid w:val="00986127"/>
    <w:rsid w:val="009864F0"/>
    <w:rsid w:val="00986603"/>
    <w:rsid w:val="00986D7B"/>
    <w:rsid w:val="00987481"/>
    <w:rsid w:val="009877D6"/>
    <w:rsid w:val="00987864"/>
    <w:rsid w:val="00987BF2"/>
    <w:rsid w:val="00990141"/>
    <w:rsid w:val="00993242"/>
    <w:rsid w:val="0099325E"/>
    <w:rsid w:val="00993CF6"/>
    <w:rsid w:val="009943FA"/>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555E"/>
    <w:rsid w:val="009C68C7"/>
    <w:rsid w:val="009C7936"/>
    <w:rsid w:val="009D0074"/>
    <w:rsid w:val="009D1A50"/>
    <w:rsid w:val="009D2E7D"/>
    <w:rsid w:val="009D3321"/>
    <w:rsid w:val="009D491B"/>
    <w:rsid w:val="009D532C"/>
    <w:rsid w:val="009D557A"/>
    <w:rsid w:val="009D65BC"/>
    <w:rsid w:val="009D7C5D"/>
    <w:rsid w:val="009D7F07"/>
    <w:rsid w:val="009D7F36"/>
    <w:rsid w:val="009E124C"/>
    <w:rsid w:val="009E2122"/>
    <w:rsid w:val="009E2170"/>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8B0"/>
    <w:rsid w:val="009F1AC6"/>
    <w:rsid w:val="009F1F39"/>
    <w:rsid w:val="009F1F98"/>
    <w:rsid w:val="009F2EE1"/>
    <w:rsid w:val="009F35CA"/>
    <w:rsid w:val="009F3698"/>
    <w:rsid w:val="009F38AF"/>
    <w:rsid w:val="009F3D37"/>
    <w:rsid w:val="009F4DAB"/>
    <w:rsid w:val="009F580E"/>
    <w:rsid w:val="009F5C95"/>
    <w:rsid w:val="009F5F29"/>
    <w:rsid w:val="009F6428"/>
    <w:rsid w:val="009F64DC"/>
    <w:rsid w:val="00A0092D"/>
    <w:rsid w:val="00A00AB9"/>
    <w:rsid w:val="00A00FC6"/>
    <w:rsid w:val="00A014DF"/>
    <w:rsid w:val="00A018DB"/>
    <w:rsid w:val="00A018F9"/>
    <w:rsid w:val="00A01C8C"/>
    <w:rsid w:val="00A02A8E"/>
    <w:rsid w:val="00A02BE8"/>
    <w:rsid w:val="00A0304E"/>
    <w:rsid w:val="00A0323A"/>
    <w:rsid w:val="00A05E5D"/>
    <w:rsid w:val="00A068D1"/>
    <w:rsid w:val="00A0699D"/>
    <w:rsid w:val="00A069A8"/>
    <w:rsid w:val="00A079A4"/>
    <w:rsid w:val="00A1046C"/>
    <w:rsid w:val="00A11E5A"/>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AA"/>
    <w:rsid w:val="00A21ED8"/>
    <w:rsid w:val="00A22EA6"/>
    <w:rsid w:val="00A239BC"/>
    <w:rsid w:val="00A24167"/>
    <w:rsid w:val="00A25379"/>
    <w:rsid w:val="00A25895"/>
    <w:rsid w:val="00A26B14"/>
    <w:rsid w:val="00A27187"/>
    <w:rsid w:val="00A27B7B"/>
    <w:rsid w:val="00A3003D"/>
    <w:rsid w:val="00A30122"/>
    <w:rsid w:val="00A30FE4"/>
    <w:rsid w:val="00A31BFA"/>
    <w:rsid w:val="00A31F85"/>
    <w:rsid w:val="00A35A9D"/>
    <w:rsid w:val="00A36F15"/>
    <w:rsid w:val="00A371B5"/>
    <w:rsid w:val="00A40BC1"/>
    <w:rsid w:val="00A41377"/>
    <w:rsid w:val="00A413BE"/>
    <w:rsid w:val="00A41DA4"/>
    <w:rsid w:val="00A428DD"/>
    <w:rsid w:val="00A43126"/>
    <w:rsid w:val="00A439BC"/>
    <w:rsid w:val="00A4464E"/>
    <w:rsid w:val="00A44AA1"/>
    <w:rsid w:val="00A44DE9"/>
    <w:rsid w:val="00A460E1"/>
    <w:rsid w:val="00A463D3"/>
    <w:rsid w:val="00A47580"/>
    <w:rsid w:val="00A479C4"/>
    <w:rsid w:val="00A50246"/>
    <w:rsid w:val="00A51691"/>
    <w:rsid w:val="00A51EC8"/>
    <w:rsid w:val="00A52274"/>
    <w:rsid w:val="00A523F8"/>
    <w:rsid w:val="00A52DF0"/>
    <w:rsid w:val="00A52F64"/>
    <w:rsid w:val="00A53A47"/>
    <w:rsid w:val="00A548C5"/>
    <w:rsid w:val="00A54FBC"/>
    <w:rsid w:val="00A5509C"/>
    <w:rsid w:val="00A55649"/>
    <w:rsid w:val="00A557A7"/>
    <w:rsid w:val="00A56559"/>
    <w:rsid w:val="00A56B64"/>
    <w:rsid w:val="00A6114C"/>
    <w:rsid w:val="00A6230A"/>
    <w:rsid w:val="00A6310F"/>
    <w:rsid w:val="00A63741"/>
    <w:rsid w:val="00A63E2A"/>
    <w:rsid w:val="00A644A5"/>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A45"/>
    <w:rsid w:val="00A73EAD"/>
    <w:rsid w:val="00A740B1"/>
    <w:rsid w:val="00A74325"/>
    <w:rsid w:val="00A75949"/>
    <w:rsid w:val="00A76915"/>
    <w:rsid w:val="00A80991"/>
    <w:rsid w:val="00A8099A"/>
    <w:rsid w:val="00A8199B"/>
    <w:rsid w:val="00A82511"/>
    <w:rsid w:val="00A827F3"/>
    <w:rsid w:val="00A82A69"/>
    <w:rsid w:val="00A8379B"/>
    <w:rsid w:val="00A84A7A"/>
    <w:rsid w:val="00A8593C"/>
    <w:rsid w:val="00A863C1"/>
    <w:rsid w:val="00A8660E"/>
    <w:rsid w:val="00A879CC"/>
    <w:rsid w:val="00A9017C"/>
    <w:rsid w:val="00A90478"/>
    <w:rsid w:val="00A90667"/>
    <w:rsid w:val="00A91319"/>
    <w:rsid w:val="00A913C6"/>
    <w:rsid w:val="00A914F9"/>
    <w:rsid w:val="00A9188B"/>
    <w:rsid w:val="00A92764"/>
    <w:rsid w:val="00A92AB8"/>
    <w:rsid w:val="00A92DE6"/>
    <w:rsid w:val="00A92E65"/>
    <w:rsid w:val="00A93164"/>
    <w:rsid w:val="00A93AA6"/>
    <w:rsid w:val="00A93E9A"/>
    <w:rsid w:val="00A95011"/>
    <w:rsid w:val="00A9575F"/>
    <w:rsid w:val="00A95783"/>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6AC"/>
    <w:rsid w:val="00AA3E65"/>
    <w:rsid w:val="00AA4691"/>
    <w:rsid w:val="00AA4DC0"/>
    <w:rsid w:val="00AA5779"/>
    <w:rsid w:val="00AA5C59"/>
    <w:rsid w:val="00AA5D8A"/>
    <w:rsid w:val="00AA673E"/>
    <w:rsid w:val="00AA69B7"/>
    <w:rsid w:val="00AA6EDE"/>
    <w:rsid w:val="00AA77AB"/>
    <w:rsid w:val="00AB180E"/>
    <w:rsid w:val="00AB1B9B"/>
    <w:rsid w:val="00AB1DEE"/>
    <w:rsid w:val="00AB37FE"/>
    <w:rsid w:val="00AB3B26"/>
    <w:rsid w:val="00AB4D98"/>
    <w:rsid w:val="00AB51DF"/>
    <w:rsid w:val="00AB54B2"/>
    <w:rsid w:val="00AB598D"/>
    <w:rsid w:val="00AB598E"/>
    <w:rsid w:val="00AB59EB"/>
    <w:rsid w:val="00AB62DA"/>
    <w:rsid w:val="00AB6EB2"/>
    <w:rsid w:val="00AB753D"/>
    <w:rsid w:val="00AB7EB3"/>
    <w:rsid w:val="00AC0359"/>
    <w:rsid w:val="00AC0DBD"/>
    <w:rsid w:val="00AC296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AEF"/>
    <w:rsid w:val="00AD1C51"/>
    <w:rsid w:val="00AD1CB2"/>
    <w:rsid w:val="00AD262A"/>
    <w:rsid w:val="00AD2BA6"/>
    <w:rsid w:val="00AD380D"/>
    <w:rsid w:val="00AD38D9"/>
    <w:rsid w:val="00AD39BA"/>
    <w:rsid w:val="00AD3D04"/>
    <w:rsid w:val="00AD4FCA"/>
    <w:rsid w:val="00AD57B5"/>
    <w:rsid w:val="00AD6429"/>
    <w:rsid w:val="00AD6A86"/>
    <w:rsid w:val="00AD7241"/>
    <w:rsid w:val="00AE0583"/>
    <w:rsid w:val="00AE1C4C"/>
    <w:rsid w:val="00AE1E4E"/>
    <w:rsid w:val="00AE2012"/>
    <w:rsid w:val="00AE387A"/>
    <w:rsid w:val="00AE3E83"/>
    <w:rsid w:val="00AE473B"/>
    <w:rsid w:val="00AE547B"/>
    <w:rsid w:val="00AE5987"/>
    <w:rsid w:val="00AE5ABB"/>
    <w:rsid w:val="00AE5B9F"/>
    <w:rsid w:val="00AE5F94"/>
    <w:rsid w:val="00AE627E"/>
    <w:rsid w:val="00AE67E3"/>
    <w:rsid w:val="00AE6B27"/>
    <w:rsid w:val="00AE6B76"/>
    <w:rsid w:val="00AE712D"/>
    <w:rsid w:val="00AE7B89"/>
    <w:rsid w:val="00AF0C95"/>
    <w:rsid w:val="00AF1D04"/>
    <w:rsid w:val="00AF21F0"/>
    <w:rsid w:val="00AF2CFE"/>
    <w:rsid w:val="00AF2F84"/>
    <w:rsid w:val="00AF31C6"/>
    <w:rsid w:val="00AF3B28"/>
    <w:rsid w:val="00AF3B73"/>
    <w:rsid w:val="00AF4BB2"/>
    <w:rsid w:val="00AF4D00"/>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A75"/>
    <w:rsid w:val="00B07D20"/>
    <w:rsid w:val="00B07ED2"/>
    <w:rsid w:val="00B104B5"/>
    <w:rsid w:val="00B1068B"/>
    <w:rsid w:val="00B1079F"/>
    <w:rsid w:val="00B1096F"/>
    <w:rsid w:val="00B10C4B"/>
    <w:rsid w:val="00B10F65"/>
    <w:rsid w:val="00B11E1B"/>
    <w:rsid w:val="00B121B5"/>
    <w:rsid w:val="00B121DD"/>
    <w:rsid w:val="00B12DE1"/>
    <w:rsid w:val="00B12E08"/>
    <w:rsid w:val="00B130FD"/>
    <w:rsid w:val="00B13320"/>
    <w:rsid w:val="00B13D0A"/>
    <w:rsid w:val="00B13D36"/>
    <w:rsid w:val="00B1464A"/>
    <w:rsid w:val="00B14D75"/>
    <w:rsid w:val="00B15605"/>
    <w:rsid w:val="00B160CB"/>
    <w:rsid w:val="00B165D6"/>
    <w:rsid w:val="00B172F9"/>
    <w:rsid w:val="00B174F2"/>
    <w:rsid w:val="00B20507"/>
    <w:rsid w:val="00B20EF8"/>
    <w:rsid w:val="00B21049"/>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04"/>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5A0"/>
    <w:rsid w:val="00B45828"/>
    <w:rsid w:val="00B45F4D"/>
    <w:rsid w:val="00B477C0"/>
    <w:rsid w:val="00B47903"/>
    <w:rsid w:val="00B47EDD"/>
    <w:rsid w:val="00B5059C"/>
    <w:rsid w:val="00B50AB6"/>
    <w:rsid w:val="00B50C14"/>
    <w:rsid w:val="00B51222"/>
    <w:rsid w:val="00B514C6"/>
    <w:rsid w:val="00B51761"/>
    <w:rsid w:val="00B51829"/>
    <w:rsid w:val="00B51968"/>
    <w:rsid w:val="00B52936"/>
    <w:rsid w:val="00B529B9"/>
    <w:rsid w:val="00B52D6D"/>
    <w:rsid w:val="00B52F79"/>
    <w:rsid w:val="00B54E91"/>
    <w:rsid w:val="00B55203"/>
    <w:rsid w:val="00B55C79"/>
    <w:rsid w:val="00B56002"/>
    <w:rsid w:val="00B56681"/>
    <w:rsid w:val="00B570C1"/>
    <w:rsid w:val="00B572E8"/>
    <w:rsid w:val="00B57514"/>
    <w:rsid w:val="00B57CE4"/>
    <w:rsid w:val="00B6077E"/>
    <w:rsid w:val="00B616D3"/>
    <w:rsid w:val="00B6296B"/>
    <w:rsid w:val="00B634DD"/>
    <w:rsid w:val="00B638B6"/>
    <w:rsid w:val="00B6458A"/>
    <w:rsid w:val="00B650F8"/>
    <w:rsid w:val="00B658C4"/>
    <w:rsid w:val="00B662F5"/>
    <w:rsid w:val="00B66841"/>
    <w:rsid w:val="00B670B3"/>
    <w:rsid w:val="00B671C2"/>
    <w:rsid w:val="00B67321"/>
    <w:rsid w:val="00B7022A"/>
    <w:rsid w:val="00B70706"/>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85F0B"/>
    <w:rsid w:val="00B8653F"/>
    <w:rsid w:val="00B90C3E"/>
    <w:rsid w:val="00B90E79"/>
    <w:rsid w:val="00B914C7"/>
    <w:rsid w:val="00B9160E"/>
    <w:rsid w:val="00B9248D"/>
    <w:rsid w:val="00B92AC7"/>
    <w:rsid w:val="00B947EE"/>
    <w:rsid w:val="00B95615"/>
    <w:rsid w:val="00B96064"/>
    <w:rsid w:val="00B96F64"/>
    <w:rsid w:val="00B972EE"/>
    <w:rsid w:val="00B97379"/>
    <w:rsid w:val="00B97A74"/>
    <w:rsid w:val="00BA051B"/>
    <w:rsid w:val="00BA08DC"/>
    <w:rsid w:val="00BA0B98"/>
    <w:rsid w:val="00BA1886"/>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479"/>
    <w:rsid w:val="00BB162C"/>
    <w:rsid w:val="00BB3047"/>
    <w:rsid w:val="00BB4C24"/>
    <w:rsid w:val="00BB4C95"/>
    <w:rsid w:val="00BB58FC"/>
    <w:rsid w:val="00BB6D1C"/>
    <w:rsid w:val="00BB6D74"/>
    <w:rsid w:val="00BC0FC9"/>
    <w:rsid w:val="00BC4504"/>
    <w:rsid w:val="00BC54FE"/>
    <w:rsid w:val="00BC6C3B"/>
    <w:rsid w:val="00BC6F81"/>
    <w:rsid w:val="00BC7E86"/>
    <w:rsid w:val="00BD0182"/>
    <w:rsid w:val="00BD01FC"/>
    <w:rsid w:val="00BD0E50"/>
    <w:rsid w:val="00BD1505"/>
    <w:rsid w:val="00BD178B"/>
    <w:rsid w:val="00BD296C"/>
    <w:rsid w:val="00BD2B58"/>
    <w:rsid w:val="00BD3044"/>
    <w:rsid w:val="00BD38C5"/>
    <w:rsid w:val="00BD436E"/>
    <w:rsid w:val="00BD43BF"/>
    <w:rsid w:val="00BD675C"/>
    <w:rsid w:val="00BD6C42"/>
    <w:rsid w:val="00BD704C"/>
    <w:rsid w:val="00BD71E6"/>
    <w:rsid w:val="00BE03E9"/>
    <w:rsid w:val="00BE0988"/>
    <w:rsid w:val="00BE110D"/>
    <w:rsid w:val="00BE237A"/>
    <w:rsid w:val="00BE37E0"/>
    <w:rsid w:val="00BE3F2F"/>
    <w:rsid w:val="00BE475F"/>
    <w:rsid w:val="00BE531E"/>
    <w:rsid w:val="00BE5EA7"/>
    <w:rsid w:val="00BE630D"/>
    <w:rsid w:val="00BE6D46"/>
    <w:rsid w:val="00BE6D7B"/>
    <w:rsid w:val="00BF044F"/>
    <w:rsid w:val="00BF071E"/>
    <w:rsid w:val="00BF1F74"/>
    <w:rsid w:val="00BF3588"/>
    <w:rsid w:val="00BF3CC5"/>
    <w:rsid w:val="00BF42A4"/>
    <w:rsid w:val="00BF5C04"/>
    <w:rsid w:val="00BF6CCE"/>
    <w:rsid w:val="00BF7116"/>
    <w:rsid w:val="00BF7CA8"/>
    <w:rsid w:val="00BF7EF8"/>
    <w:rsid w:val="00C00A84"/>
    <w:rsid w:val="00C010F3"/>
    <w:rsid w:val="00C01558"/>
    <w:rsid w:val="00C02754"/>
    <w:rsid w:val="00C03083"/>
    <w:rsid w:val="00C03C73"/>
    <w:rsid w:val="00C040D9"/>
    <w:rsid w:val="00C04A0A"/>
    <w:rsid w:val="00C05394"/>
    <w:rsid w:val="00C10A0D"/>
    <w:rsid w:val="00C10E6B"/>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36DDA"/>
    <w:rsid w:val="00C4085B"/>
    <w:rsid w:val="00C409CD"/>
    <w:rsid w:val="00C41220"/>
    <w:rsid w:val="00C413F4"/>
    <w:rsid w:val="00C41706"/>
    <w:rsid w:val="00C43668"/>
    <w:rsid w:val="00C43CDD"/>
    <w:rsid w:val="00C443B1"/>
    <w:rsid w:val="00C45109"/>
    <w:rsid w:val="00C45621"/>
    <w:rsid w:val="00C4624B"/>
    <w:rsid w:val="00C46382"/>
    <w:rsid w:val="00C46854"/>
    <w:rsid w:val="00C47F61"/>
    <w:rsid w:val="00C47F8C"/>
    <w:rsid w:val="00C47FB9"/>
    <w:rsid w:val="00C5074B"/>
    <w:rsid w:val="00C508EA"/>
    <w:rsid w:val="00C50F58"/>
    <w:rsid w:val="00C51E75"/>
    <w:rsid w:val="00C524A1"/>
    <w:rsid w:val="00C52CB1"/>
    <w:rsid w:val="00C54AF8"/>
    <w:rsid w:val="00C564D6"/>
    <w:rsid w:val="00C57862"/>
    <w:rsid w:val="00C5799C"/>
    <w:rsid w:val="00C60040"/>
    <w:rsid w:val="00C6028A"/>
    <w:rsid w:val="00C61068"/>
    <w:rsid w:val="00C61174"/>
    <w:rsid w:val="00C61467"/>
    <w:rsid w:val="00C62529"/>
    <w:rsid w:val="00C63553"/>
    <w:rsid w:val="00C64599"/>
    <w:rsid w:val="00C64FB4"/>
    <w:rsid w:val="00C654B2"/>
    <w:rsid w:val="00C658F0"/>
    <w:rsid w:val="00C65C4E"/>
    <w:rsid w:val="00C65F4C"/>
    <w:rsid w:val="00C663C1"/>
    <w:rsid w:val="00C66A56"/>
    <w:rsid w:val="00C66B15"/>
    <w:rsid w:val="00C709C7"/>
    <w:rsid w:val="00C7227D"/>
    <w:rsid w:val="00C72405"/>
    <w:rsid w:val="00C73D25"/>
    <w:rsid w:val="00C755DA"/>
    <w:rsid w:val="00C7701F"/>
    <w:rsid w:val="00C80CDA"/>
    <w:rsid w:val="00C8105B"/>
    <w:rsid w:val="00C81E8F"/>
    <w:rsid w:val="00C8274E"/>
    <w:rsid w:val="00C82866"/>
    <w:rsid w:val="00C830F4"/>
    <w:rsid w:val="00C83C29"/>
    <w:rsid w:val="00C83EC4"/>
    <w:rsid w:val="00C84EB4"/>
    <w:rsid w:val="00C85E9F"/>
    <w:rsid w:val="00C86438"/>
    <w:rsid w:val="00C86D14"/>
    <w:rsid w:val="00C86E09"/>
    <w:rsid w:val="00C86FBB"/>
    <w:rsid w:val="00C873AE"/>
    <w:rsid w:val="00C90B47"/>
    <w:rsid w:val="00C9124C"/>
    <w:rsid w:val="00C92423"/>
    <w:rsid w:val="00C92E91"/>
    <w:rsid w:val="00C95789"/>
    <w:rsid w:val="00C95D08"/>
    <w:rsid w:val="00C96091"/>
    <w:rsid w:val="00C969A5"/>
    <w:rsid w:val="00C96B43"/>
    <w:rsid w:val="00C97642"/>
    <w:rsid w:val="00C97EE5"/>
    <w:rsid w:val="00CA02EF"/>
    <w:rsid w:val="00CA07ED"/>
    <w:rsid w:val="00CA1595"/>
    <w:rsid w:val="00CA1A7A"/>
    <w:rsid w:val="00CA2809"/>
    <w:rsid w:val="00CA2E35"/>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567"/>
    <w:rsid w:val="00CD183A"/>
    <w:rsid w:val="00CD1B85"/>
    <w:rsid w:val="00CD2727"/>
    <w:rsid w:val="00CD293F"/>
    <w:rsid w:val="00CD3559"/>
    <w:rsid w:val="00CD3FC9"/>
    <w:rsid w:val="00CD632A"/>
    <w:rsid w:val="00CD63F0"/>
    <w:rsid w:val="00CD7551"/>
    <w:rsid w:val="00CE0511"/>
    <w:rsid w:val="00CE0A90"/>
    <w:rsid w:val="00CE1025"/>
    <w:rsid w:val="00CE172B"/>
    <w:rsid w:val="00CE1CCD"/>
    <w:rsid w:val="00CE28D6"/>
    <w:rsid w:val="00CE2FA5"/>
    <w:rsid w:val="00CE3019"/>
    <w:rsid w:val="00CE30E3"/>
    <w:rsid w:val="00CE312E"/>
    <w:rsid w:val="00CE3D12"/>
    <w:rsid w:val="00CE3D6F"/>
    <w:rsid w:val="00CE3E1D"/>
    <w:rsid w:val="00CE3E46"/>
    <w:rsid w:val="00CE4847"/>
    <w:rsid w:val="00CE5877"/>
    <w:rsid w:val="00CE7203"/>
    <w:rsid w:val="00CE7948"/>
    <w:rsid w:val="00CF0094"/>
    <w:rsid w:val="00CF1BD1"/>
    <w:rsid w:val="00CF2005"/>
    <w:rsid w:val="00CF20CC"/>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764"/>
    <w:rsid w:val="00D03998"/>
    <w:rsid w:val="00D0513D"/>
    <w:rsid w:val="00D05191"/>
    <w:rsid w:val="00D074AE"/>
    <w:rsid w:val="00D0792B"/>
    <w:rsid w:val="00D10410"/>
    <w:rsid w:val="00D10817"/>
    <w:rsid w:val="00D108DB"/>
    <w:rsid w:val="00D114FE"/>
    <w:rsid w:val="00D119AC"/>
    <w:rsid w:val="00D11AF0"/>
    <w:rsid w:val="00D12832"/>
    <w:rsid w:val="00D13727"/>
    <w:rsid w:val="00D147D7"/>
    <w:rsid w:val="00D15224"/>
    <w:rsid w:val="00D17D22"/>
    <w:rsid w:val="00D20DDF"/>
    <w:rsid w:val="00D21745"/>
    <w:rsid w:val="00D228C5"/>
    <w:rsid w:val="00D228EE"/>
    <w:rsid w:val="00D2438E"/>
    <w:rsid w:val="00D255A3"/>
    <w:rsid w:val="00D25F82"/>
    <w:rsid w:val="00D27368"/>
    <w:rsid w:val="00D3198F"/>
    <w:rsid w:val="00D31CB3"/>
    <w:rsid w:val="00D3342D"/>
    <w:rsid w:val="00D3355B"/>
    <w:rsid w:val="00D33781"/>
    <w:rsid w:val="00D33C49"/>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1CF8"/>
    <w:rsid w:val="00D42A82"/>
    <w:rsid w:val="00D4381E"/>
    <w:rsid w:val="00D43BAD"/>
    <w:rsid w:val="00D44C4D"/>
    <w:rsid w:val="00D452E5"/>
    <w:rsid w:val="00D45FC0"/>
    <w:rsid w:val="00D46617"/>
    <w:rsid w:val="00D4689F"/>
    <w:rsid w:val="00D46996"/>
    <w:rsid w:val="00D46ECB"/>
    <w:rsid w:val="00D47438"/>
    <w:rsid w:val="00D47996"/>
    <w:rsid w:val="00D47B16"/>
    <w:rsid w:val="00D47D8C"/>
    <w:rsid w:val="00D50466"/>
    <w:rsid w:val="00D527BD"/>
    <w:rsid w:val="00D5367E"/>
    <w:rsid w:val="00D5428E"/>
    <w:rsid w:val="00D54395"/>
    <w:rsid w:val="00D546FF"/>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2DB8"/>
    <w:rsid w:val="00D631C3"/>
    <w:rsid w:val="00D63803"/>
    <w:rsid w:val="00D63A85"/>
    <w:rsid w:val="00D63A93"/>
    <w:rsid w:val="00D6487C"/>
    <w:rsid w:val="00D64BAB"/>
    <w:rsid w:val="00D6685C"/>
    <w:rsid w:val="00D70430"/>
    <w:rsid w:val="00D707E1"/>
    <w:rsid w:val="00D714D0"/>
    <w:rsid w:val="00D7180F"/>
    <w:rsid w:val="00D719EC"/>
    <w:rsid w:val="00D71DD0"/>
    <w:rsid w:val="00D7309D"/>
    <w:rsid w:val="00D7311C"/>
    <w:rsid w:val="00D7331D"/>
    <w:rsid w:val="00D73FED"/>
    <w:rsid w:val="00D74906"/>
    <w:rsid w:val="00D74C73"/>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86E"/>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CB6"/>
    <w:rsid w:val="00DA1E5D"/>
    <w:rsid w:val="00DA35D6"/>
    <w:rsid w:val="00DA3862"/>
    <w:rsid w:val="00DA4F09"/>
    <w:rsid w:val="00DA52E3"/>
    <w:rsid w:val="00DA5A48"/>
    <w:rsid w:val="00DA5AB2"/>
    <w:rsid w:val="00DA607F"/>
    <w:rsid w:val="00DA6850"/>
    <w:rsid w:val="00DA6C5B"/>
    <w:rsid w:val="00DB1106"/>
    <w:rsid w:val="00DB12CA"/>
    <w:rsid w:val="00DB19C5"/>
    <w:rsid w:val="00DB1D55"/>
    <w:rsid w:val="00DB212F"/>
    <w:rsid w:val="00DB348A"/>
    <w:rsid w:val="00DB48E2"/>
    <w:rsid w:val="00DB4D24"/>
    <w:rsid w:val="00DB514B"/>
    <w:rsid w:val="00DB553B"/>
    <w:rsid w:val="00DB6C5A"/>
    <w:rsid w:val="00DB7611"/>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1C36"/>
    <w:rsid w:val="00DD29E9"/>
    <w:rsid w:val="00DD31F3"/>
    <w:rsid w:val="00DD3938"/>
    <w:rsid w:val="00DD3AE5"/>
    <w:rsid w:val="00DD5506"/>
    <w:rsid w:val="00DD5587"/>
    <w:rsid w:val="00DD5D7C"/>
    <w:rsid w:val="00DD733B"/>
    <w:rsid w:val="00DD7E98"/>
    <w:rsid w:val="00DD7F36"/>
    <w:rsid w:val="00DD7F4E"/>
    <w:rsid w:val="00DE0589"/>
    <w:rsid w:val="00DE1685"/>
    <w:rsid w:val="00DE1AE0"/>
    <w:rsid w:val="00DE1C0C"/>
    <w:rsid w:val="00DE1F98"/>
    <w:rsid w:val="00DE3984"/>
    <w:rsid w:val="00DE3B4A"/>
    <w:rsid w:val="00DE3C4A"/>
    <w:rsid w:val="00DE3ECA"/>
    <w:rsid w:val="00DE4168"/>
    <w:rsid w:val="00DE447F"/>
    <w:rsid w:val="00DE575A"/>
    <w:rsid w:val="00DE5E8E"/>
    <w:rsid w:val="00DE63CA"/>
    <w:rsid w:val="00DE7757"/>
    <w:rsid w:val="00DE7947"/>
    <w:rsid w:val="00DF009A"/>
    <w:rsid w:val="00DF0608"/>
    <w:rsid w:val="00DF090C"/>
    <w:rsid w:val="00DF0A38"/>
    <w:rsid w:val="00DF0FE3"/>
    <w:rsid w:val="00DF13A8"/>
    <w:rsid w:val="00DF1DBA"/>
    <w:rsid w:val="00DF21D0"/>
    <w:rsid w:val="00DF34C1"/>
    <w:rsid w:val="00DF4141"/>
    <w:rsid w:val="00DF41D1"/>
    <w:rsid w:val="00DF6172"/>
    <w:rsid w:val="00DF77EF"/>
    <w:rsid w:val="00DF7D2F"/>
    <w:rsid w:val="00E00145"/>
    <w:rsid w:val="00E00223"/>
    <w:rsid w:val="00E005BA"/>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6EA7"/>
    <w:rsid w:val="00E077B7"/>
    <w:rsid w:val="00E10234"/>
    <w:rsid w:val="00E10A13"/>
    <w:rsid w:val="00E11DD7"/>
    <w:rsid w:val="00E11F05"/>
    <w:rsid w:val="00E12809"/>
    <w:rsid w:val="00E12EE0"/>
    <w:rsid w:val="00E12F4E"/>
    <w:rsid w:val="00E12FFB"/>
    <w:rsid w:val="00E13798"/>
    <w:rsid w:val="00E138C6"/>
    <w:rsid w:val="00E13CEF"/>
    <w:rsid w:val="00E14358"/>
    <w:rsid w:val="00E14804"/>
    <w:rsid w:val="00E15AE5"/>
    <w:rsid w:val="00E16003"/>
    <w:rsid w:val="00E167E6"/>
    <w:rsid w:val="00E170B7"/>
    <w:rsid w:val="00E1723C"/>
    <w:rsid w:val="00E1774A"/>
    <w:rsid w:val="00E2018D"/>
    <w:rsid w:val="00E205EB"/>
    <w:rsid w:val="00E2089B"/>
    <w:rsid w:val="00E21918"/>
    <w:rsid w:val="00E21F2E"/>
    <w:rsid w:val="00E220A2"/>
    <w:rsid w:val="00E23066"/>
    <w:rsid w:val="00E250CE"/>
    <w:rsid w:val="00E25CAE"/>
    <w:rsid w:val="00E26BCB"/>
    <w:rsid w:val="00E270D3"/>
    <w:rsid w:val="00E27274"/>
    <w:rsid w:val="00E2744B"/>
    <w:rsid w:val="00E27572"/>
    <w:rsid w:val="00E27A76"/>
    <w:rsid w:val="00E27F7E"/>
    <w:rsid w:val="00E3002F"/>
    <w:rsid w:val="00E306E0"/>
    <w:rsid w:val="00E309D7"/>
    <w:rsid w:val="00E30DEE"/>
    <w:rsid w:val="00E317B9"/>
    <w:rsid w:val="00E321AA"/>
    <w:rsid w:val="00E32B95"/>
    <w:rsid w:val="00E3316F"/>
    <w:rsid w:val="00E335E0"/>
    <w:rsid w:val="00E33AFB"/>
    <w:rsid w:val="00E343D4"/>
    <w:rsid w:val="00E358D2"/>
    <w:rsid w:val="00E36E76"/>
    <w:rsid w:val="00E3779D"/>
    <w:rsid w:val="00E40305"/>
    <w:rsid w:val="00E40973"/>
    <w:rsid w:val="00E40ADE"/>
    <w:rsid w:val="00E40F44"/>
    <w:rsid w:val="00E41D67"/>
    <w:rsid w:val="00E43F01"/>
    <w:rsid w:val="00E46189"/>
    <w:rsid w:val="00E46878"/>
    <w:rsid w:val="00E46C28"/>
    <w:rsid w:val="00E50BA5"/>
    <w:rsid w:val="00E5284F"/>
    <w:rsid w:val="00E53108"/>
    <w:rsid w:val="00E53841"/>
    <w:rsid w:val="00E539EA"/>
    <w:rsid w:val="00E53BBE"/>
    <w:rsid w:val="00E54965"/>
    <w:rsid w:val="00E549F2"/>
    <w:rsid w:val="00E54EB6"/>
    <w:rsid w:val="00E5529E"/>
    <w:rsid w:val="00E562C5"/>
    <w:rsid w:val="00E56791"/>
    <w:rsid w:val="00E56EA4"/>
    <w:rsid w:val="00E57291"/>
    <w:rsid w:val="00E61369"/>
    <w:rsid w:val="00E6240F"/>
    <w:rsid w:val="00E62CC8"/>
    <w:rsid w:val="00E64F58"/>
    <w:rsid w:val="00E657A9"/>
    <w:rsid w:val="00E665E9"/>
    <w:rsid w:val="00E66603"/>
    <w:rsid w:val="00E66DCA"/>
    <w:rsid w:val="00E67056"/>
    <w:rsid w:val="00E677DE"/>
    <w:rsid w:val="00E67E7C"/>
    <w:rsid w:val="00E710A4"/>
    <w:rsid w:val="00E721AF"/>
    <w:rsid w:val="00E72DE0"/>
    <w:rsid w:val="00E7492C"/>
    <w:rsid w:val="00E74E55"/>
    <w:rsid w:val="00E76C73"/>
    <w:rsid w:val="00E77874"/>
    <w:rsid w:val="00E81429"/>
    <w:rsid w:val="00E81824"/>
    <w:rsid w:val="00E8357C"/>
    <w:rsid w:val="00E83A18"/>
    <w:rsid w:val="00E83B42"/>
    <w:rsid w:val="00E87438"/>
    <w:rsid w:val="00E901AF"/>
    <w:rsid w:val="00E90BF4"/>
    <w:rsid w:val="00E91008"/>
    <w:rsid w:val="00E91741"/>
    <w:rsid w:val="00E91833"/>
    <w:rsid w:val="00E96931"/>
    <w:rsid w:val="00E97C36"/>
    <w:rsid w:val="00EA0079"/>
    <w:rsid w:val="00EA0837"/>
    <w:rsid w:val="00EA16CA"/>
    <w:rsid w:val="00EA3740"/>
    <w:rsid w:val="00EA3DAD"/>
    <w:rsid w:val="00EA4173"/>
    <w:rsid w:val="00EA4174"/>
    <w:rsid w:val="00EA423E"/>
    <w:rsid w:val="00EA4A3B"/>
    <w:rsid w:val="00EA4D8E"/>
    <w:rsid w:val="00EA4E24"/>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9F5"/>
    <w:rsid w:val="00EB5C46"/>
    <w:rsid w:val="00EB5E88"/>
    <w:rsid w:val="00EB6CAF"/>
    <w:rsid w:val="00EB7BDE"/>
    <w:rsid w:val="00EB7D56"/>
    <w:rsid w:val="00EB7D7A"/>
    <w:rsid w:val="00EC0238"/>
    <w:rsid w:val="00EC106E"/>
    <w:rsid w:val="00EC38E4"/>
    <w:rsid w:val="00EC411D"/>
    <w:rsid w:val="00EC42A5"/>
    <w:rsid w:val="00EC4B5F"/>
    <w:rsid w:val="00EC6320"/>
    <w:rsid w:val="00EC6340"/>
    <w:rsid w:val="00EC6FC1"/>
    <w:rsid w:val="00ED00B0"/>
    <w:rsid w:val="00ED01F1"/>
    <w:rsid w:val="00ED07DF"/>
    <w:rsid w:val="00ED091A"/>
    <w:rsid w:val="00ED0E81"/>
    <w:rsid w:val="00ED1385"/>
    <w:rsid w:val="00ED15C2"/>
    <w:rsid w:val="00ED347F"/>
    <w:rsid w:val="00ED37A2"/>
    <w:rsid w:val="00ED4067"/>
    <w:rsid w:val="00ED4BB5"/>
    <w:rsid w:val="00ED5E40"/>
    <w:rsid w:val="00ED6E15"/>
    <w:rsid w:val="00ED7639"/>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7CC"/>
    <w:rsid w:val="00EE7D3F"/>
    <w:rsid w:val="00EF020B"/>
    <w:rsid w:val="00EF2B60"/>
    <w:rsid w:val="00EF2C79"/>
    <w:rsid w:val="00EF3241"/>
    <w:rsid w:val="00EF41CD"/>
    <w:rsid w:val="00EF524B"/>
    <w:rsid w:val="00EF58D8"/>
    <w:rsid w:val="00EF6212"/>
    <w:rsid w:val="00F00459"/>
    <w:rsid w:val="00F00FDE"/>
    <w:rsid w:val="00F0124F"/>
    <w:rsid w:val="00F01D75"/>
    <w:rsid w:val="00F0213D"/>
    <w:rsid w:val="00F03432"/>
    <w:rsid w:val="00F03DA1"/>
    <w:rsid w:val="00F03DBB"/>
    <w:rsid w:val="00F03FDB"/>
    <w:rsid w:val="00F047CB"/>
    <w:rsid w:val="00F04852"/>
    <w:rsid w:val="00F052AC"/>
    <w:rsid w:val="00F06211"/>
    <w:rsid w:val="00F067DC"/>
    <w:rsid w:val="00F0684A"/>
    <w:rsid w:val="00F07CF1"/>
    <w:rsid w:val="00F105AA"/>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776"/>
    <w:rsid w:val="00F17B6C"/>
    <w:rsid w:val="00F209E9"/>
    <w:rsid w:val="00F20BD8"/>
    <w:rsid w:val="00F20EBB"/>
    <w:rsid w:val="00F2229D"/>
    <w:rsid w:val="00F22B38"/>
    <w:rsid w:val="00F22C95"/>
    <w:rsid w:val="00F23538"/>
    <w:rsid w:val="00F2356D"/>
    <w:rsid w:val="00F24631"/>
    <w:rsid w:val="00F2504F"/>
    <w:rsid w:val="00F2553B"/>
    <w:rsid w:val="00F25B9A"/>
    <w:rsid w:val="00F268B5"/>
    <w:rsid w:val="00F27446"/>
    <w:rsid w:val="00F30688"/>
    <w:rsid w:val="00F30756"/>
    <w:rsid w:val="00F308C8"/>
    <w:rsid w:val="00F30D7F"/>
    <w:rsid w:val="00F313AE"/>
    <w:rsid w:val="00F314F5"/>
    <w:rsid w:val="00F32AFF"/>
    <w:rsid w:val="00F32B41"/>
    <w:rsid w:val="00F340BA"/>
    <w:rsid w:val="00F34506"/>
    <w:rsid w:val="00F34FA4"/>
    <w:rsid w:val="00F3514E"/>
    <w:rsid w:val="00F3577A"/>
    <w:rsid w:val="00F3666B"/>
    <w:rsid w:val="00F36A56"/>
    <w:rsid w:val="00F3702E"/>
    <w:rsid w:val="00F379A8"/>
    <w:rsid w:val="00F404B0"/>
    <w:rsid w:val="00F40685"/>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471B"/>
    <w:rsid w:val="00F55B59"/>
    <w:rsid w:val="00F566D4"/>
    <w:rsid w:val="00F56BEB"/>
    <w:rsid w:val="00F607EE"/>
    <w:rsid w:val="00F6171E"/>
    <w:rsid w:val="00F62433"/>
    <w:rsid w:val="00F62F4B"/>
    <w:rsid w:val="00F64120"/>
    <w:rsid w:val="00F646CD"/>
    <w:rsid w:val="00F65293"/>
    <w:rsid w:val="00F65969"/>
    <w:rsid w:val="00F65E52"/>
    <w:rsid w:val="00F65E5D"/>
    <w:rsid w:val="00F66C8C"/>
    <w:rsid w:val="00F67E4C"/>
    <w:rsid w:val="00F70F31"/>
    <w:rsid w:val="00F71CB3"/>
    <w:rsid w:val="00F72123"/>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01F"/>
    <w:rsid w:val="00F901E3"/>
    <w:rsid w:val="00F90409"/>
    <w:rsid w:val="00F90411"/>
    <w:rsid w:val="00F90FEF"/>
    <w:rsid w:val="00F9180A"/>
    <w:rsid w:val="00F91AD7"/>
    <w:rsid w:val="00F91BEA"/>
    <w:rsid w:val="00F92254"/>
    <w:rsid w:val="00F926D1"/>
    <w:rsid w:val="00F928C5"/>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0C07"/>
    <w:rsid w:val="00FA2663"/>
    <w:rsid w:val="00FA296C"/>
    <w:rsid w:val="00FA2A0F"/>
    <w:rsid w:val="00FA3478"/>
    <w:rsid w:val="00FA409F"/>
    <w:rsid w:val="00FA5231"/>
    <w:rsid w:val="00FA5C98"/>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CA4"/>
    <w:rsid w:val="00FC4D11"/>
    <w:rsid w:val="00FC5175"/>
    <w:rsid w:val="00FC6B5B"/>
    <w:rsid w:val="00FC6C0B"/>
    <w:rsid w:val="00FC778C"/>
    <w:rsid w:val="00FC7EC0"/>
    <w:rsid w:val="00FD0A22"/>
    <w:rsid w:val="00FD0CA5"/>
    <w:rsid w:val="00FD10C3"/>
    <w:rsid w:val="00FD15E8"/>
    <w:rsid w:val="00FD32D1"/>
    <w:rsid w:val="00FD3317"/>
    <w:rsid w:val="00FD3AAE"/>
    <w:rsid w:val="00FD3D4B"/>
    <w:rsid w:val="00FD3E67"/>
    <w:rsid w:val="00FD3F95"/>
    <w:rsid w:val="00FD4271"/>
    <w:rsid w:val="00FE0AD4"/>
    <w:rsid w:val="00FE1FB9"/>
    <w:rsid w:val="00FE22AD"/>
    <w:rsid w:val="00FE2588"/>
    <w:rsid w:val="00FE28E3"/>
    <w:rsid w:val="00FE31DC"/>
    <w:rsid w:val="00FE50EC"/>
    <w:rsid w:val="00FE5CC4"/>
    <w:rsid w:val="00FE6451"/>
    <w:rsid w:val="00FE745F"/>
    <w:rsid w:val="00FE761A"/>
    <w:rsid w:val="00FE7AF1"/>
    <w:rsid w:val="00FE7B7D"/>
    <w:rsid w:val="00FF08E1"/>
    <w:rsid w:val="00FF092B"/>
    <w:rsid w:val="00FF191A"/>
    <w:rsid w:val="00FF2854"/>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14:docId w14:val="537A6EB2"/>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68C7"/>
    <w:pPr>
      <w:bidi/>
    </w:pPr>
  </w:style>
  <w:style w:type="paragraph" w:styleId="Heading1">
    <w:name w:val="heading 1"/>
    <w:basedOn w:val="Normal"/>
    <w:next w:val="Normal"/>
    <w:link w:val="11"/>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21"/>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31"/>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41"/>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53"/>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62"/>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73"/>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81"/>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91"/>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21">
    <w:name w:val="כותרת 2 תו1"/>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31">
    <w:name w:val="כותרת 3 תו1"/>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41">
    <w:name w:val="כותרת 4 תו1"/>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53">
    <w:name w:val="כותרת 5 תו3"/>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62">
    <w:name w:val="כותרת 6 תו2"/>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73">
    <w:name w:val="כותרת 7 תו3"/>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81">
    <w:name w:val="כותרת 8 תו1"/>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91">
    <w:name w:val="כותרת 9 תו1"/>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aliases w:val="Bullet List,FooterText,LP1,List Paragraph1,List Paragraph_0,List Paragraph_1,List Paragraph_2,Paragraphe de liste1,lp1,numbered,style 2,פיסקת bullets"/>
    <w:basedOn w:val="Normal"/>
    <w:link w:val="a"/>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a">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1"/>
    <w:uiPriority w:val="99"/>
    <w:unhideWhenUsed/>
    <w:rsid w:val="00CB3322"/>
    <w:pPr>
      <w:tabs>
        <w:tab w:val="center" w:pos="4320"/>
        <w:tab w:val="right" w:pos="8640"/>
      </w:tabs>
      <w:spacing w:after="0" w:line="240" w:lineRule="auto"/>
    </w:pPr>
  </w:style>
  <w:style w:type="character" w:customStyle="1" w:styleId="1">
    <w:name w:val="כותרת עליונה תו1"/>
    <w:basedOn w:val="DefaultParagraphFont"/>
    <w:link w:val="Header"/>
    <w:uiPriority w:val="99"/>
    <w:rsid w:val="00CB3322"/>
    <w:rPr>
      <w:rFonts w:cs="David"/>
      <w:sz w:val="24"/>
      <w:szCs w:val="24"/>
    </w:rPr>
  </w:style>
  <w:style w:type="paragraph" w:styleId="Footer">
    <w:name w:val="footer"/>
    <w:basedOn w:val="Normal"/>
    <w:link w:val="10"/>
    <w:uiPriority w:val="99"/>
    <w:unhideWhenUsed/>
    <w:qFormat/>
    <w:rsid w:val="00CB3322"/>
    <w:pPr>
      <w:tabs>
        <w:tab w:val="center" w:pos="4320"/>
        <w:tab w:val="right" w:pos="8640"/>
      </w:tabs>
      <w:spacing w:after="0" w:line="240" w:lineRule="auto"/>
    </w:pPr>
  </w:style>
  <w:style w:type="character" w:customStyle="1" w:styleId="10">
    <w:name w:val="כותרת תחתונה תו1"/>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a0"/>
    <w:uiPriority w:val="99"/>
    <w:unhideWhenUsed/>
    <w:rsid w:val="00702D9F"/>
    <w:pPr>
      <w:spacing w:line="240" w:lineRule="auto"/>
    </w:pPr>
    <w:rPr>
      <w:sz w:val="20"/>
      <w:szCs w:val="20"/>
    </w:rPr>
  </w:style>
  <w:style w:type="character" w:customStyle="1" w:styleId="a0">
    <w:name w:val="טקסט הערה תו"/>
    <w:basedOn w:val="DefaultParagraphFont"/>
    <w:link w:val="CommentText"/>
    <w:uiPriority w:val="99"/>
    <w:rsid w:val="00702D9F"/>
    <w:rPr>
      <w:rFonts w:cs="David"/>
    </w:rPr>
  </w:style>
  <w:style w:type="paragraph" w:styleId="CommentSubject">
    <w:name w:val="annotation subject"/>
    <w:basedOn w:val="CommentText"/>
    <w:next w:val="CommentText"/>
    <w:link w:val="a1"/>
    <w:uiPriority w:val="99"/>
    <w:semiHidden/>
    <w:unhideWhenUsed/>
    <w:rsid w:val="00702D9F"/>
    <w:rPr>
      <w:b/>
      <w:bCs/>
    </w:rPr>
  </w:style>
  <w:style w:type="character" w:customStyle="1" w:styleId="a1">
    <w:name w:val="נושא הערה תו"/>
    <w:basedOn w:val="a0"/>
    <w:link w:val="CommentSubject"/>
    <w:uiPriority w:val="99"/>
    <w:semiHidden/>
    <w:rsid w:val="00702D9F"/>
    <w:rPr>
      <w:rFonts w:cs="David"/>
      <w:b/>
      <w:bCs/>
    </w:rPr>
  </w:style>
  <w:style w:type="paragraph" w:styleId="BalloonText">
    <w:name w:val="Balloon Text"/>
    <w:basedOn w:val="Normal"/>
    <w:link w:val="a2"/>
    <w:uiPriority w:val="99"/>
    <w:semiHidden/>
    <w:unhideWhenUsed/>
    <w:rsid w:val="00702D9F"/>
    <w:pPr>
      <w:spacing w:after="0" w:line="240" w:lineRule="auto"/>
    </w:pPr>
    <w:rPr>
      <w:rFonts w:ascii="Segoe UI" w:hAnsi="Segoe UI" w:cs="Segoe UI"/>
      <w:sz w:val="18"/>
      <w:szCs w:val="18"/>
    </w:rPr>
  </w:style>
  <w:style w:type="character" w:customStyle="1" w:styleId="a2">
    <w:name w:val="טקסט בלונים תו"/>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3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har,F,FOOTNOTES,Footnote Text - Sharp,Footnote Text - Sharp Char,Footnote Text - Sharp Char Char,Footnote Text Char Char Char Char Char,Footnote reference,Sharp - Footnote Text,Sharp - Footnote Text1 Char,fn,footnote text,single space"/>
    <w:basedOn w:val="Normal"/>
    <w:link w:val="12"/>
    <w:uiPriority w:val="99"/>
    <w:unhideWhenUsed/>
    <w:qFormat/>
    <w:rsid w:val="00D36781"/>
    <w:pPr>
      <w:keepLines/>
      <w:spacing w:after="40" w:line="200" w:lineRule="exact"/>
      <w:ind w:left="397" w:right="2268" w:hanging="397"/>
      <w:jc w:val="both"/>
    </w:pPr>
    <w:rPr>
      <w:rFonts w:ascii="Tahoma" w:hAnsi="Tahoma" w:cs="Tahoma"/>
      <w:sz w:val="14"/>
      <w:szCs w:val="14"/>
    </w:rPr>
  </w:style>
  <w:style w:type="character" w:customStyle="1" w:styleId="12">
    <w:name w:val="טקסט הערת שוליים תו1"/>
    <w:aliases w:val="Char תו,FOOTNOTES תו,Footnote Text - Sharp Char Char תו,Footnote Text - Sharp Char תו,Footnote Text - Sharp תו,Footnote Text Char Char Char Char Char תו,Footnote reference תו,Sharp - Footnote Text תו,Sharp - Footnote Text1 Char תו"/>
    <w:basedOn w:val="DefaultParagraphFont"/>
    <w:link w:val="FootnoteText"/>
    <w:uiPriority w:val="99"/>
    <w:rsid w:val="00D36781"/>
    <w:rPr>
      <w:rFonts w:ascii="Tahoma" w:hAnsi="Tahoma" w:cs="Tahoma"/>
      <w:sz w:val="14"/>
      <w:szCs w:val="14"/>
    </w:rPr>
  </w:style>
  <w:style w:type="character" w:styleId="FootnoteReference1">
    <w:name w:val="footnote reference"/>
    <w:aliases w:val="Footnote Reference_0,Footnote Reference_0_0,Footnote Reference_0_0_0,Footnote Reference_0_0_0_0,Footnote Reference_1,Footnote Reference_1_0,Footnote Reference_2,Footnote Reference_3,Footnote Reference_4,Footnote Reference_4_0,Style,מ"/>
    <w:basedOn w:val="DefaultParagraphFont"/>
    <w:uiPriority w:val="99"/>
    <w:unhideWhenUsed/>
    <w:qFormat/>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13"/>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13">
    <w:name w:val="כותרת טקסט תו1"/>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a3"/>
    <w:uiPriority w:val="11"/>
    <w:qFormat/>
    <w:rsid w:val="005C0F41"/>
    <w:pPr>
      <w:numPr>
        <w:ilvl w:val="1"/>
      </w:numPr>
      <w:bidi w:val="0"/>
      <w:spacing w:after="240"/>
    </w:pPr>
    <w:rPr>
      <w:caps/>
      <w:color w:val="404040" w:themeColor="text1" w:themeTint="BF"/>
      <w:spacing w:val="20"/>
      <w:sz w:val="28"/>
      <w:szCs w:val="28"/>
    </w:rPr>
  </w:style>
  <w:style w:type="character" w:customStyle="1" w:styleId="a3">
    <w:name w:val="כותרת משנה תו"/>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a4"/>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4">
    <w:name w:val="ציטוט תו"/>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a5"/>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5">
    <w:name w:val="ציטוט חזק תו"/>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a6"/>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a6">
    <w:name w:val="גוף טקסט תו"/>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2"/>
    <w:unhideWhenUsed/>
    <w:rsid w:val="00DB1D55"/>
    <w:pPr>
      <w:tabs>
        <w:tab w:val="left" w:pos="340"/>
      </w:tabs>
      <w:spacing w:line="360" w:lineRule="exact"/>
      <w:jc w:val="both"/>
    </w:pPr>
    <w:rPr>
      <w:rFonts w:ascii="Tahoma" w:hAnsi="Tahoma" w:cs="Tahoma"/>
      <w:sz w:val="22"/>
      <w:szCs w:val="22"/>
    </w:rPr>
  </w:style>
  <w:style w:type="character" w:customStyle="1" w:styleId="2">
    <w:name w:val="גוף טקסט 2 תו"/>
    <w:basedOn w:val="DefaultParagraphFont"/>
    <w:link w:val="BodyText2"/>
    <w:uiPriority w:val="99"/>
    <w:rsid w:val="00DB1D55"/>
    <w:rPr>
      <w:rFonts w:ascii="Tahoma" w:hAnsi="Tahoma" w:cs="Tahoma"/>
      <w:sz w:val="22"/>
      <w:szCs w:val="22"/>
    </w:rPr>
  </w:style>
  <w:style w:type="character" w:customStyle="1" w:styleId="14">
    <w:name w:val="כותרת 1 תו"/>
    <w:locked/>
    <w:rsid w:val="00F1368B"/>
    <w:rPr>
      <w:rFonts w:ascii="Cambria" w:hAnsi="Cambria" w:cs="Times New Roman"/>
      <w:b/>
      <w:bCs/>
      <w:kern w:val="32"/>
      <w:sz w:val="32"/>
      <w:szCs w:val="32"/>
    </w:rPr>
  </w:style>
  <w:style w:type="character" w:customStyle="1" w:styleId="20">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7">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8">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9">
    <w:name w:val="כותרת עליונה תו"/>
    <w:uiPriority w:val="99"/>
    <w:locked/>
    <w:rsid w:val="00F1368B"/>
    <w:rPr>
      <w:rFonts w:cs="David"/>
      <w:sz w:val="24"/>
      <w:szCs w:val="24"/>
      <w:lang w:bidi="he-IL"/>
    </w:rPr>
  </w:style>
  <w:style w:type="character" w:customStyle="1" w:styleId="a10">
    <w:name w:val="כותרת תחתונה תו"/>
    <w:locked/>
    <w:rsid w:val="00F1368B"/>
    <w:rPr>
      <w:rFonts w:cs="David"/>
      <w:sz w:val="24"/>
      <w:szCs w:val="24"/>
      <w:lang w:bidi="he-IL"/>
    </w:rPr>
  </w:style>
  <w:style w:type="character" w:customStyle="1" w:styleId="a11">
    <w:name w:val="טקסט הערת סיום תו"/>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a11"/>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32">
    <w:name w:val="גוף טקסט 3 תו"/>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32"/>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a12"/>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a12">
    <w:name w:val="טקסט רגיל תו"/>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1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1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5">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22">
    <w:name w:val="כניסה בגוף טקסט 2 תו"/>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22"/>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15">
    <w:name w:val="טקסט הערות שוליים תו"/>
    <w:rsid w:val="00F1368B"/>
    <w:rPr>
      <w:lang w:val="en-US" w:eastAsia="en-US"/>
    </w:rPr>
  </w:style>
  <w:style w:type="character" w:customStyle="1" w:styleId="a16">
    <w:name w:val="טקסט הערת שוליים תו"/>
    <w:aliases w:val="FT Char Char תו,FT Char Char1 Char Char תו,FT תו,Footnote Text Char Char תו,Footnote Text Char Char1 Char Char תו,Footnote Text Char1 Char Char תו,Footnote Text1 תו,f תו,fn Char Char Char Char תו,fn Char Char תו,fn Char תו,fn תו"/>
    <w:uiPriority w:val="99"/>
    <w:locked/>
    <w:rsid w:val="00F1368B"/>
    <w:rPr>
      <w:lang w:val="en-US" w:eastAsia="en-US"/>
    </w:rPr>
  </w:style>
  <w:style w:type="character" w:customStyle="1" w:styleId="33">
    <w:name w:val="כניסה בגוף טקסט 3 תו"/>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33"/>
    <w:semiHidden/>
    <w:rsid w:val="00F1368B"/>
    <w:pPr>
      <w:spacing w:line="240" w:lineRule="exact"/>
      <w:ind w:left="283"/>
    </w:pPr>
    <w:rPr>
      <w:rFonts w:ascii="Times New Roman" w:eastAsia="Times New Roman" w:hAnsi="Times New Roman" w:cs="David"/>
      <w:sz w:val="16"/>
      <w:szCs w:val="16"/>
    </w:rPr>
  </w:style>
  <w:style w:type="paragraph" w:customStyle="1" w:styleId="16">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a17">
    <w:name w:val="כניסה בגוף טקסט תו"/>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a17"/>
    <w:semiHidden/>
    <w:rsid w:val="00F1368B"/>
    <w:pPr>
      <w:spacing w:line="240" w:lineRule="exact"/>
      <w:ind w:left="283"/>
    </w:pPr>
    <w:rPr>
      <w:rFonts w:ascii="Times New Roman" w:eastAsia="Times New Roman" w:hAnsi="Times New Roman" w:cs="David"/>
      <w:sz w:val="24"/>
      <w:szCs w:val="24"/>
    </w:rPr>
  </w:style>
  <w:style w:type="paragraph" w:customStyle="1" w:styleId="310">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0">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3">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0">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1">
    <w:name w:val="כותרת 41 תו"/>
    <w:rsid w:val="00F1368B"/>
    <w:rPr>
      <w:rFonts w:cs="David"/>
      <w:b/>
      <w:bCs/>
      <w:sz w:val="22"/>
      <w:szCs w:val="26"/>
    </w:rPr>
  </w:style>
  <w:style w:type="character" w:customStyle="1" w:styleId="a18">
    <w:name w:val="מפת מסמך תו"/>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a18"/>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19">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20">
    <w:name w:val="נבנצאל תו"/>
    <w:uiPriority w:val="99"/>
    <w:locked/>
    <w:rsid w:val="00F1368B"/>
    <w:rPr>
      <w:rFonts w:ascii="Rockwell" w:eastAsia="Rockwell" w:hAnsi="Rockwell" w:cs="David"/>
      <w:sz w:val="22"/>
    </w:rPr>
  </w:style>
  <w:style w:type="paragraph" w:styleId="Date">
    <w:name w:val="Date"/>
    <w:basedOn w:val="Normal"/>
    <w:next w:val="Normal"/>
    <w:link w:val="17"/>
    <w:uiPriority w:val="99"/>
    <w:rsid w:val="00F1368B"/>
    <w:pPr>
      <w:spacing w:before="120" w:after="200" w:line="240" w:lineRule="auto"/>
    </w:pPr>
    <w:rPr>
      <w:rFonts w:ascii="Rockwell" w:eastAsia="Rockwell" w:hAnsi="Rockwell" w:cs="David"/>
      <w:sz w:val="22"/>
      <w:szCs w:val="22"/>
    </w:rPr>
  </w:style>
  <w:style w:type="character" w:customStyle="1" w:styleId="17">
    <w:name w:val="תאריך תו1"/>
    <w:basedOn w:val="DefaultParagraphFont"/>
    <w:link w:val="Date"/>
    <w:uiPriority w:val="99"/>
    <w:rsid w:val="00F1368B"/>
    <w:rPr>
      <w:rFonts w:ascii="Rockwell" w:eastAsia="Rockwell" w:hAnsi="Rockwell" w:cs="David"/>
      <w:sz w:val="22"/>
      <w:szCs w:val="22"/>
    </w:rPr>
  </w:style>
  <w:style w:type="character" w:customStyle="1" w:styleId="a21">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8">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hAnsi="Arial Bold" w:eastAsiaTheme="majorEastAsia"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 w:type="paragraph" w:customStyle="1" w:styleId="7195">
    <w:name w:val="71ג בולד 9.5 בתוך שורה"/>
    <w:basedOn w:val="Normal"/>
    <w:link w:val="7195Char"/>
    <w:qFormat/>
    <w:rsid w:val="00770D17"/>
    <w:pPr>
      <w:spacing w:after="180" w:line="260" w:lineRule="exact"/>
      <w:ind w:left="397"/>
      <w:jc w:val="both"/>
      <w:outlineLvl w:val="3"/>
    </w:pPr>
    <w:rPr>
      <w:rFonts w:ascii="Tahoma" w:hAnsi="Tahoma" w:eastAsiaTheme="minorHAnsi" w:cs="Tahoma"/>
      <w:bCs/>
      <w:noProof/>
      <w:color w:val="0D0D0D" w:themeColor="text1" w:themeTint="F2"/>
      <w:sz w:val="18"/>
      <w:szCs w:val="19"/>
      <w:lang w:val="he-IL"/>
    </w:rPr>
  </w:style>
  <w:style w:type="character" w:customStyle="1" w:styleId="7195Char">
    <w:name w:val="71ג בולד 9.5 בתוך שורה Char"/>
    <w:basedOn w:val="DefaultParagraphFont"/>
    <w:link w:val="7195"/>
    <w:rsid w:val="00770D17"/>
    <w:rPr>
      <w:rFonts w:ascii="Tahoma" w:hAnsi="Tahoma" w:eastAsiaTheme="minorHAnsi" w:cs="Tahoma"/>
      <w:bCs/>
      <w:noProof/>
      <w:color w:val="0D0D0D" w:themeColor="text1" w:themeTint="F2"/>
      <w:sz w:val="18"/>
      <w:szCs w:val="19"/>
      <w:lang w:val="he-IL"/>
    </w:rPr>
  </w:style>
  <w:style w:type="table" w:customStyle="1" w:styleId="BlueTable">
    <w:name w:val="Blue Table"/>
    <w:basedOn w:val="GridTable4Accent1"/>
    <w:uiPriority w:val="99"/>
    <w:rsid w:val="00770D17"/>
    <w:pPr>
      <w:spacing w:before="120"/>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0F6FC6"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C7E2FA"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styleId="GridTable4Accent1">
    <w:name w:val="Grid Table 4 Accent 1"/>
    <w:basedOn w:val="TableNormal"/>
    <w:uiPriority w:val="49"/>
    <w:rsid w:val="00770D17"/>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customStyle="1" w:styleId="a22">
    <w:name w:val="הערות שוליים דוח קורונה"/>
    <w:basedOn w:val="FootnoteText"/>
    <w:qFormat/>
    <w:rsid w:val="00B70706"/>
    <w:pPr>
      <w:bidi w:val="0"/>
      <w:spacing w:after="120"/>
      <w:ind w:left="0" w:right="0" w:firstLine="0"/>
    </w:pPr>
  </w:style>
  <w:style w:type="paragraph" w:customStyle="1" w:styleId="719">
    <w:name w:val="71ג׳ טקסט רץ 9"/>
    <w:basedOn w:val="Normal"/>
    <w:link w:val="7190"/>
    <w:qFormat/>
    <w:rsid w:val="00BD3044"/>
    <w:pPr>
      <w:spacing w:after="180" w:line="260" w:lineRule="exact"/>
      <w:jc w:val="both"/>
    </w:pPr>
    <w:rPr>
      <w:rFonts w:ascii="Tahoma" w:hAnsi="Tahoma" w:eastAsiaTheme="minorHAnsi" w:cs="Tahoma"/>
      <w:color w:val="0D0D0D" w:themeColor="text1" w:themeTint="F2"/>
      <w:sz w:val="18"/>
      <w:szCs w:val="18"/>
    </w:rPr>
  </w:style>
  <w:style w:type="character" w:customStyle="1" w:styleId="7190">
    <w:name w:val="71ג׳ טקסט רץ 9 תו"/>
    <w:basedOn w:val="DefaultParagraphFont"/>
    <w:link w:val="719"/>
    <w:rsid w:val="00BD3044"/>
    <w:rPr>
      <w:rFonts w:ascii="Tahoma" w:hAnsi="Tahoma" w:eastAsiaTheme="minorHAnsi" w:cs="Tahoma"/>
      <w:color w:val="0D0D0D" w:themeColor="text1" w:themeTint="F2"/>
      <w:sz w:val="18"/>
      <w:szCs w:val="18"/>
    </w:rPr>
  </w:style>
  <w:style w:type="paragraph" w:customStyle="1" w:styleId="710">
    <w:name w:val="71ג הערות שוליים"/>
    <w:basedOn w:val="FootnoteText"/>
    <w:link w:val="71Char"/>
    <w:qFormat/>
    <w:rsid w:val="00493F55"/>
    <w:pPr>
      <w:keepLines w:val="0"/>
      <w:spacing w:after="60"/>
      <w:ind w:right="0"/>
    </w:pPr>
    <w:rPr>
      <w:rFonts w:eastAsiaTheme="minorHAnsi"/>
      <w:color w:val="0D0D0D" w:themeColor="text1" w:themeTint="F2"/>
    </w:rPr>
  </w:style>
  <w:style w:type="paragraph" w:customStyle="1" w:styleId="711">
    <w:name w:val="71ג מקרא+הערות לתרשים/לוח/תמונה"/>
    <w:basedOn w:val="710"/>
    <w:link w:val="71Char0"/>
    <w:qFormat/>
    <w:rsid w:val="00A52F64"/>
    <w:pPr>
      <w:spacing w:before="120" w:after="240" w:line="260" w:lineRule="exact"/>
    </w:pPr>
    <w:rPr>
      <w:sz w:val="16"/>
      <w:szCs w:val="16"/>
    </w:rPr>
  </w:style>
  <w:style w:type="character" w:customStyle="1" w:styleId="71Char">
    <w:name w:val="71ג הערות שוליים Char"/>
    <w:basedOn w:val="DefaultParagraphFont"/>
    <w:link w:val="710"/>
    <w:rsid w:val="00493F55"/>
    <w:rPr>
      <w:rFonts w:ascii="Tahoma" w:hAnsi="Tahoma" w:eastAsiaTheme="minorHAnsi" w:cs="Tahoma"/>
      <w:color w:val="0D0D0D" w:themeColor="text1" w:themeTint="F2"/>
      <w:sz w:val="14"/>
      <w:szCs w:val="14"/>
    </w:rPr>
  </w:style>
  <w:style w:type="character" w:customStyle="1" w:styleId="71Char0">
    <w:name w:val="71ג מקרא+הערות לתרשים/לוח/תמונה Char"/>
    <w:basedOn w:val="71Char"/>
    <w:link w:val="711"/>
    <w:rsid w:val="00A52F64"/>
    <w:rPr>
      <w:rFonts w:ascii="Tahoma" w:hAnsi="Tahoma" w:eastAsiaTheme="minorHAnsi" w:cs="Tahoma"/>
      <w:color w:val="0D0D0D" w:themeColor="text1" w:themeTint="F2"/>
      <w:sz w:val="16"/>
      <w:szCs w:val="16"/>
    </w:rPr>
  </w:style>
  <w:style w:type="paragraph" w:customStyle="1" w:styleId="712">
    <w:name w:val="71ג היפרלינק"/>
    <w:basedOn w:val="710"/>
    <w:link w:val="71Char1"/>
    <w:qFormat/>
    <w:rsid w:val="00A52F64"/>
    <w:pPr>
      <w:bidi w:val="0"/>
    </w:pPr>
    <w:rPr>
      <w:color w:val="0000FF"/>
      <w:u w:val="single"/>
    </w:rPr>
  </w:style>
  <w:style w:type="character" w:customStyle="1" w:styleId="71Char1">
    <w:name w:val="71ג היפרלינק Char"/>
    <w:basedOn w:val="71Char"/>
    <w:link w:val="712"/>
    <w:rsid w:val="00A52F64"/>
    <w:rPr>
      <w:rFonts w:ascii="Tahoma" w:hAnsi="Tahoma" w:eastAsiaTheme="minorHAnsi" w:cs="Tahoma"/>
      <w:color w:val="0000FF"/>
      <w:sz w:val="14"/>
      <w:szCs w:val="14"/>
      <w:u w:val="single"/>
    </w:rPr>
  </w:style>
  <w:style w:type="paragraph" w:customStyle="1" w:styleId="7120">
    <w:name w:val="71ג כותרת 2"/>
    <w:basedOn w:val="Normal"/>
    <w:link w:val="712Char"/>
    <w:qFormat/>
    <w:rsid w:val="001D65CE"/>
    <w:pPr>
      <w:keepNext/>
      <w:spacing w:before="360" w:after="240" w:line="440" w:lineRule="exact"/>
      <w:outlineLvl w:val="1"/>
    </w:pPr>
    <w:rPr>
      <w:rFonts w:ascii="Tahoma" w:hAnsi="Tahoma" w:eastAsiaTheme="minorHAnsi" w:cs="Tahoma"/>
      <w:b/>
      <w:bCs/>
      <w:color w:val="00305F"/>
      <w:sz w:val="40"/>
      <w:szCs w:val="34"/>
    </w:rPr>
  </w:style>
  <w:style w:type="character" w:customStyle="1" w:styleId="712Char">
    <w:name w:val="71ג כותרת 2 Char"/>
    <w:basedOn w:val="DefaultParagraphFont"/>
    <w:link w:val="7120"/>
    <w:rsid w:val="001D65CE"/>
    <w:rPr>
      <w:rFonts w:ascii="Tahoma" w:hAnsi="Tahoma" w:eastAsiaTheme="minorHAnsi" w:cs="Tahoma"/>
      <w:b/>
      <w:bCs/>
      <w:color w:val="00305F"/>
      <w:sz w:val="40"/>
      <w:szCs w:val="34"/>
    </w:rPr>
  </w:style>
  <w:style w:type="paragraph" w:customStyle="1" w:styleId="713">
    <w:name w:val="71ג מספור הערות שוליים"/>
    <w:basedOn w:val="710"/>
    <w:qFormat/>
    <w:rsid w:val="001E44CF"/>
  </w:style>
  <w:style w:type="paragraph" w:customStyle="1" w:styleId="7191">
    <w:name w:val="71ג טקסט רץ 9"/>
    <w:basedOn w:val="Normal"/>
    <w:link w:val="719Char"/>
    <w:qFormat/>
    <w:rsid w:val="0010564D"/>
    <w:pPr>
      <w:spacing w:after="180" w:line="260" w:lineRule="exact"/>
      <w:jc w:val="both"/>
      <w:outlineLvl w:val="3"/>
    </w:pPr>
    <w:rPr>
      <w:rFonts w:ascii="Tahoma" w:hAnsi="Tahoma" w:eastAsiaTheme="minorHAnsi" w:cs="Tahoma"/>
      <w:color w:val="0D0D0D" w:themeColor="text1" w:themeTint="F2"/>
      <w:sz w:val="18"/>
      <w:szCs w:val="18"/>
    </w:rPr>
  </w:style>
  <w:style w:type="character" w:customStyle="1" w:styleId="719Char">
    <w:name w:val="71ג טקסט רץ 9 Char"/>
    <w:basedOn w:val="DefaultParagraphFont"/>
    <w:link w:val="7191"/>
    <w:rsid w:val="0010564D"/>
    <w:rPr>
      <w:rFonts w:ascii="Tahoma" w:hAnsi="Tahoma" w:eastAsiaTheme="minorHAnsi" w:cs="Tahoma"/>
      <w:color w:val="0D0D0D" w:themeColor="text1" w:themeTint="F2"/>
      <w:sz w:val="18"/>
      <w:szCs w:val="18"/>
    </w:rPr>
  </w:style>
  <w:style w:type="paragraph" w:customStyle="1" w:styleId="71612">
    <w:name w:val="71ג כותרת 6_12"/>
    <w:basedOn w:val="Normal"/>
    <w:link w:val="716120"/>
    <w:qFormat/>
    <w:rsid w:val="0010564D"/>
    <w:pPr>
      <w:spacing w:before="240" w:after="180" w:line="240" w:lineRule="atLeast"/>
    </w:pPr>
    <w:rPr>
      <w:rFonts w:ascii="Tahoma" w:hAnsi="Tahoma" w:eastAsiaTheme="minorHAnsi" w:cs="Tahoma"/>
      <w:color w:val="00305F"/>
      <w:sz w:val="24"/>
      <w:szCs w:val="24"/>
    </w:rPr>
  </w:style>
  <w:style w:type="character" w:customStyle="1" w:styleId="716120">
    <w:name w:val="71ג כותרת 6_12 תו"/>
    <w:basedOn w:val="DefaultParagraphFont"/>
    <w:link w:val="71612"/>
    <w:rsid w:val="0010564D"/>
    <w:rPr>
      <w:rFonts w:ascii="Tahoma" w:hAnsi="Tahoma" w:eastAsiaTheme="minorHAnsi" w:cs="Tahoma"/>
      <w:color w:val="00305F"/>
      <w:sz w:val="24"/>
      <w:szCs w:val="24"/>
    </w:rPr>
  </w:style>
  <w:style w:type="paragraph" w:customStyle="1" w:styleId="714">
    <w:name w:val="71ג מספור בתוך קוביה"/>
    <w:basedOn w:val="ListParagraph"/>
    <w:qFormat/>
    <w:rsid w:val="00463924"/>
    <w:pPr>
      <w:numPr>
        <w:numId w:val="6"/>
      </w:numPr>
      <w:pBdr>
        <w:top w:val="single" w:sz="18" w:space="4" w:color="EDF1FA"/>
        <w:left w:val="single" w:sz="18" w:space="11" w:color="EDF1FA"/>
        <w:bottom w:val="single" w:sz="18" w:space="6" w:color="EDF1FA"/>
        <w:right w:val="single" w:sz="18" w:space="11" w:color="EDF1FA"/>
      </w:pBdr>
      <w:shd w:val="solid" w:color="EDF1FA" w:fill="CEEAF5"/>
      <w:autoSpaceDE/>
      <w:autoSpaceDN/>
      <w:adjustRightInd/>
      <w:spacing w:after="180" w:line="260" w:lineRule="exact"/>
      <w:ind w:left="397" w:right="227" w:hanging="397"/>
    </w:pPr>
    <w:rPr>
      <w:rFonts w:eastAsiaTheme="minorHAnsi"/>
      <w:color w:val="0D0D0D" w:themeColor="text1" w:themeTint="F2"/>
      <w:sz w:val="18"/>
      <w:szCs w:val="18"/>
    </w:rPr>
  </w:style>
  <w:style w:type="paragraph" w:customStyle="1" w:styleId="2021">
    <w:name w:val="כיתוב בתוך טבלת תקציר 2021"/>
    <w:basedOn w:val="Normal"/>
    <w:link w:val="2021Char"/>
    <w:qFormat/>
    <w:rsid w:val="00041AEB"/>
    <w:pPr>
      <w:spacing w:after="180" w:line="240" w:lineRule="auto"/>
      <w:outlineLvl w:val="0"/>
    </w:pPr>
    <w:rPr>
      <w:rFonts w:ascii="Tahoma" w:hAnsi="Tahoma" w:cs="Tahoma"/>
      <w:color w:val="0D0D0D" w:themeColor="text1" w:themeTint="F2"/>
      <w:w w:val="90"/>
      <w:sz w:val="18"/>
      <w:szCs w:val="18"/>
    </w:rPr>
  </w:style>
  <w:style w:type="character" w:customStyle="1" w:styleId="2021Char">
    <w:name w:val="כיתוב בתוך טבלת תקציר 2021 Char"/>
    <w:basedOn w:val="DefaultParagraphFont"/>
    <w:link w:val="2021"/>
    <w:rsid w:val="00041AEB"/>
    <w:rPr>
      <w:rFonts w:ascii="Tahoma" w:hAnsi="Tahoma" w:cs="Tahoma"/>
      <w:color w:val="0D0D0D" w:themeColor="text1" w:themeTint="F2"/>
      <w:w w:val="90"/>
      <w:sz w:val="18"/>
      <w:szCs w:val="18"/>
    </w:rPr>
  </w:style>
  <w:style w:type="character" w:customStyle="1" w:styleId="24">
    <w:name w:val="כותרת תחתונה תו2"/>
    <w:basedOn w:val="DefaultParagraphFont"/>
    <w:uiPriority w:val="99"/>
    <w:rsid w:val="00B56681"/>
  </w:style>
  <w:style w:type="paragraph" w:customStyle="1" w:styleId="715">
    <w:name w:val="71ג הזחה אותיות"/>
    <w:basedOn w:val="ListParagraph"/>
    <w:qFormat/>
    <w:rsid w:val="007E0204"/>
    <w:pPr>
      <w:numPr>
        <w:numId w:val="8"/>
      </w:numPr>
      <w:autoSpaceDE/>
      <w:autoSpaceDN/>
      <w:adjustRightInd/>
      <w:spacing w:after="180" w:line="260" w:lineRule="exact"/>
      <w:ind w:left="794" w:hanging="397"/>
      <w:contextualSpacing/>
    </w:pPr>
    <w:rPr>
      <w:rFonts w:eastAsiaTheme="minorHAnsi"/>
      <w:color w:val="0D0D0D" w:themeColor="text1" w:themeTint="F2"/>
      <w:sz w:val="18"/>
      <w:szCs w:val="18"/>
    </w:rPr>
  </w:style>
  <w:style w:type="paragraph" w:customStyle="1" w:styleId="font2">
    <w:name w:val="font_2"/>
    <w:basedOn w:val="Normal"/>
    <w:rsid w:val="007E020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17Char">
    <w:name w:val="71 ג כותרת 7 הדגשת קטע בטקסט רץ Char"/>
    <w:basedOn w:val="7190"/>
    <w:link w:val="717"/>
    <w:rsid w:val="00A8593C"/>
    <w:rPr>
      <w:rFonts w:ascii="Tahoma" w:hAnsi="Tahoma" w:eastAsiaTheme="minorHAnsi" w:cs="Tahoma"/>
      <w:bCs/>
      <w:color w:val="0D0D0D" w:themeColor="text1" w:themeTint="F2"/>
      <w:sz w:val="18"/>
      <w:szCs w:val="18"/>
    </w:rPr>
  </w:style>
  <w:style w:type="paragraph" w:customStyle="1" w:styleId="717">
    <w:name w:val="71 ג כותרת 7 הדגשת קטע בטקסט רץ"/>
    <w:basedOn w:val="719"/>
    <w:link w:val="717Char"/>
    <w:qFormat/>
    <w:rsid w:val="00A8593C"/>
    <w:rPr>
      <w:rFonts w:eastAsiaTheme="minorEastAsia"/>
      <w:bCs/>
    </w:rPr>
  </w:style>
  <w:style w:type="paragraph" w:customStyle="1" w:styleId="716">
    <w:name w:val="71ג הזחה ראשונה ללא מספר"/>
    <w:basedOn w:val="Normal"/>
    <w:qFormat/>
    <w:rsid w:val="008874F2"/>
    <w:pPr>
      <w:spacing w:after="180" w:line="260" w:lineRule="exact"/>
      <w:ind w:left="397"/>
      <w:jc w:val="both"/>
    </w:pPr>
    <w:rPr>
      <w:rFonts w:ascii="Tahoma" w:hAnsi="Tahoma" w:eastAsiaTheme="minorHAnsi" w:cs="Tahoma"/>
      <w:color w:val="0D0D0D" w:themeColor="text1" w:themeTint="F2"/>
      <w:sz w:val="18"/>
      <w:szCs w:val="18"/>
    </w:rPr>
  </w:style>
  <w:style w:type="paragraph" w:styleId="ListBullet">
    <w:name w:val="List Bullet"/>
    <w:basedOn w:val="Normal"/>
    <w:uiPriority w:val="99"/>
    <w:unhideWhenUsed/>
    <w:rsid w:val="00424CEB"/>
    <w:pPr>
      <w:numPr>
        <w:numId w:val="25"/>
      </w:numPr>
      <w:bidi w:val="0"/>
      <w:spacing w:after="0" w:line="259" w:lineRule="auto"/>
      <w:contextualSpacing/>
      <w:jc w:val="both"/>
    </w:pPr>
    <w:rPr>
      <w:rFonts w:ascii="Times New Roman" w:hAnsi="Times New Roman" w:eastAsiaTheme="minorHAnsi" w:cs="David"/>
      <w:sz w:val="24"/>
      <w:szCs w:val="28"/>
    </w:rPr>
  </w:style>
  <w:style w:type="paragraph" w:customStyle="1" w:styleId="73R">
    <w:name w:val="73א טבלה טקסט R"/>
    <w:basedOn w:val="Normal"/>
    <w:qFormat/>
    <w:rsid w:val="00493F55"/>
    <w:pPr>
      <w:keepLines/>
      <w:spacing w:before="120" w:line="200" w:lineRule="exact"/>
    </w:pPr>
    <w:rPr>
      <w:rFonts w:ascii="Tahoma" w:hAnsi="Tahoma" w:cs="Tahoma"/>
      <w:sz w:val="16"/>
      <w:szCs w:val="16"/>
    </w:rPr>
  </w:style>
  <w:style w:type="paragraph" w:customStyle="1" w:styleId="a23">
    <w:name w:val="טקסט טבלה"/>
    <w:basedOn w:val="Normal"/>
    <w:qFormat/>
    <w:rsid w:val="00921FB5"/>
    <w:pPr>
      <w:keepLines/>
      <w:bidi w:val="0"/>
      <w:spacing w:before="120" w:line="240" w:lineRule="auto"/>
    </w:pPr>
    <w:rPr>
      <w:rFonts w:ascii="Tahoma" w:hAnsi="Tahoma" w:cs="Tahoma"/>
      <w:sz w:val="16"/>
      <w:szCs w:val="16"/>
    </w:rPr>
  </w:style>
  <w:style w:type="paragraph" w:customStyle="1" w:styleId="730">
    <w:name w:val="73א הערות שוליים"/>
    <w:basedOn w:val="FootnoteText"/>
    <w:link w:val="731"/>
    <w:qFormat/>
    <w:rsid w:val="00434B71"/>
    <w:pPr>
      <w:keepLines w:val="0"/>
      <w:spacing w:after="60" w:line="220" w:lineRule="exact"/>
      <w:ind w:right="0"/>
    </w:pPr>
    <w:rPr>
      <w:rFonts w:eastAsiaTheme="minorHAnsi"/>
      <w:color w:val="0D0D0D" w:themeColor="text1" w:themeTint="F2"/>
    </w:rPr>
  </w:style>
  <w:style w:type="character" w:customStyle="1" w:styleId="731">
    <w:name w:val="73א הערות שוליים תו"/>
    <w:basedOn w:val="DefaultParagraphFont"/>
    <w:link w:val="730"/>
    <w:rsid w:val="00434B71"/>
    <w:rPr>
      <w:rFonts w:ascii="Tahoma" w:hAnsi="Tahoma" w:eastAsiaTheme="minorHAnsi" w:cs="Tahoma"/>
      <w:color w:val="0D0D0D" w:themeColor="text1" w:themeTint="F2"/>
      <w:sz w:val="14"/>
      <w:szCs w:val="14"/>
    </w:rPr>
  </w:style>
  <w:style w:type="character" w:customStyle="1" w:styleId="34">
    <w:name w:val="טקסט הערת שוליים תו3"/>
    <w:aliases w:val=" Char תו1,F תו,FOOTNOTES תו1,Footnote Text - Sharp Char Char תו1,Footnote Text - Sharp Char תו1,Footnote Text - Sharp תו1,Footnote Text Char Char Char Char Char תו1,Footnote reference תו1,Sharp - Footnote Text תו1,fn תו1"/>
    <w:basedOn w:val="DefaultParagraphFont"/>
    <w:uiPriority w:val="99"/>
    <w:rsid w:val="002A18A0"/>
    <w:rPr>
      <w:szCs w:val="20"/>
    </w:rPr>
  </w:style>
  <w:style w:type="table" w:customStyle="1" w:styleId="4-11">
    <w:name w:val="טבלת רשת 4 - הדגשה 11"/>
    <w:basedOn w:val="TableNormal"/>
    <w:uiPriority w:val="49"/>
    <w:rsid w:val="006E013E"/>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customStyle="1" w:styleId="20210">
    <w:name w:val="מספרים גדולים בטבלת תקציר 2021"/>
    <w:basedOn w:val="Normal"/>
    <w:link w:val="2021Char0"/>
    <w:qFormat/>
    <w:rsid w:val="00FA5C98"/>
    <w:pPr>
      <w:spacing w:before="120" w:after="0" w:line="240" w:lineRule="auto"/>
      <w:outlineLvl w:val="0"/>
    </w:pPr>
    <w:rPr>
      <w:rFonts w:ascii="Tahoma" w:hAnsi="Tahoma" w:cs="Tahoma"/>
      <w:b/>
      <w:bCs/>
      <w:color w:val="0D0D0D" w:themeColor="text1" w:themeTint="F2"/>
      <w:sz w:val="36"/>
      <w:szCs w:val="36"/>
    </w:rPr>
  </w:style>
  <w:style w:type="character" w:customStyle="1" w:styleId="2021Char0">
    <w:name w:val="מספרים גדולים בטבלת תקציר 2021 Char"/>
    <w:basedOn w:val="DefaultParagraphFont"/>
    <w:link w:val="20210"/>
    <w:rsid w:val="00FA5C98"/>
    <w:rPr>
      <w:rFonts w:ascii="Tahoma" w:hAnsi="Tahoma" w:cs="Tahoma"/>
      <w:b/>
      <w:bCs/>
      <w:color w:val="0D0D0D" w:themeColor="text1" w:themeTint="F2"/>
      <w:sz w:val="36"/>
      <w:szCs w:val="36"/>
    </w:rPr>
  </w:style>
  <w:style w:type="paragraph" w:customStyle="1" w:styleId="732021">
    <w:name w:val="73א כיתוב בתוך טבלת תקציר 2021"/>
    <w:basedOn w:val="Normal"/>
    <w:link w:val="7320210"/>
    <w:qFormat/>
    <w:rsid w:val="00FA5C98"/>
    <w:pPr>
      <w:keepNext/>
      <w:spacing w:before="60" w:after="180" w:line="260" w:lineRule="exact"/>
      <w:outlineLvl w:val="0"/>
    </w:pPr>
    <w:rPr>
      <w:rFonts w:ascii="Tahoma" w:hAnsi="Tahoma" w:cs="Tahoma"/>
      <w:color w:val="0D0D0D" w:themeColor="text1" w:themeTint="F2"/>
      <w:w w:val="90"/>
      <w:sz w:val="18"/>
      <w:szCs w:val="18"/>
    </w:rPr>
  </w:style>
  <w:style w:type="character" w:customStyle="1" w:styleId="7320210">
    <w:name w:val="73א כיתוב בתוך טבלת תקציר 2021 תו"/>
    <w:basedOn w:val="DefaultParagraphFont"/>
    <w:link w:val="732021"/>
    <w:rsid w:val="00FA5C98"/>
    <w:rPr>
      <w:rFonts w:ascii="Tahoma" w:hAnsi="Tahoma" w:cs="Tahoma"/>
      <w:color w:val="0D0D0D" w:themeColor="text1" w:themeTint="F2"/>
      <w:w w:val="90"/>
      <w:sz w:val="18"/>
      <w:szCs w:val="18"/>
    </w:rPr>
  </w:style>
  <w:style w:type="paragraph" w:customStyle="1" w:styleId="737">
    <w:name w:val="73א כותרת 7 בתוך טקסט"/>
    <w:basedOn w:val="Normal"/>
    <w:link w:val="7370"/>
    <w:qFormat/>
    <w:rsid w:val="00FA5C98"/>
    <w:pPr>
      <w:spacing w:after="180" w:line="260" w:lineRule="exact"/>
      <w:jc w:val="both"/>
    </w:pPr>
    <w:rPr>
      <w:rFonts w:ascii="Tahoma" w:hAnsi="Tahoma" w:eastAsiaTheme="minorHAnsi" w:cs="Tahoma"/>
      <w:bCs/>
      <w:color w:val="0D0D0D" w:themeColor="text1" w:themeTint="F2"/>
      <w:sz w:val="18"/>
      <w:szCs w:val="18"/>
    </w:rPr>
  </w:style>
  <w:style w:type="character" w:customStyle="1" w:styleId="7370">
    <w:name w:val="73א כותרת 7 בתוך טקסט תו"/>
    <w:basedOn w:val="DefaultParagraphFont"/>
    <w:link w:val="737"/>
    <w:rsid w:val="00FA5C98"/>
    <w:rPr>
      <w:rFonts w:ascii="Tahoma" w:hAnsi="Tahoma" w:eastAsiaTheme="minorHAnsi" w:cs="Tahoma"/>
      <w:bCs/>
      <w:color w:val="0D0D0D" w:themeColor="text1" w:themeTint="F2"/>
      <w:sz w:val="18"/>
      <w:szCs w:val="18"/>
    </w:rPr>
  </w:style>
  <w:style w:type="paragraph" w:customStyle="1" w:styleId="732">
    <w:name w:val="73א הזחה ראשונה ללא מספר"/>
    <w:basedOn w:val="Normal"/>
    <w:qFormat/>
    <w:rsid w:val="0058257B"/>
    <w:pPr>
      <w:spacing w:after="180" w:line="260" w:lineRule="exact"/>
      <w:ind w:left="397"/>
      <w:jc w:val="both"/>
    </w:pPr>
    <w:rPr>
      <w:rFonts w:ascii="Tahoma" w:hAnsi="Tahoma" w:eastAsiaTheme="minorHAnsi" w:cs="Tahoma"/>
      <w:color w:val="0D0D0D" w:themeColor="text1" w:themeTint="F2"/>
      <w:sz w:val="18"/>
      <w:szCs w:val="18"/>
    </w:rPr>
  </w:style>
  <w:style w:type="paragraph" w:customStyle="1" w:styleId="733">
    <w:name w:val="73א כותרת לבנה בתוך תבנית אדומה בתקציר"/>
    <w:basedOn w:val="Normal"/>
    <w:link w:val="734"/>
    <w:qFormat/>
    <w:rsid w:val="0058257B"/>
    <w:pPr>
      <w:keepNext/>
      <w:keepLines/>
      <w:spacing w:after="0" w:line="240" w:lineRule="atLeast"/>
      <w:ind w:left="170" w:right="113"/>
    </w:pPr>
    <w:rPr>
      <w:rFonts w:ascii="Tahoma" w:hAnsi="Tahoma" w:eastAsiaTheme="minorHAnsi" w:cs="Tahoma"/>
      <w:b/>
      <w:bCs/>
      <w:color w:val="FFFFFF" w:themeColor="background1"/>
      <w:sz w:val="22"/>
      <w:szCs w:val="22"/>
    </w:rPr>
  </w:style>
  <w:style w:type="character" w:customStyle="1" w:styleId="734">
    <w:name w:val="73א כותרת לבנה בתוך תבנית אדומה בתקציר תו"/>
    <w:basedOn w:val="DefaultParagraphFont"/>
    <w:link w:val="733"/>
    <w:rsid w:val="0058257B"/>
    <w:rPr>
      <w:rFonts w:ascii="Tahoma" w:hAnsi="Tahoma" w:eastAsiaTheme="minorHAnsi" w:cs="Tahoma"/>
      <w:b/>
      <w:bCs/>
      <w:color w:val="FFFFFF" w:themeColor="background1"/>
      <w:sz w:val="22"/>
      <w:szCs w:val="22"/>
    </w:rPr>
  </w:style>
  <w:style w:type="paragraph" w:customStyle="1" w:styleId="73512">
    <w:name w:val="73א כותרת 5_12"/>
    <w:basedOn w:val="Normal"/>
    <w:qFormat/>
    <w:rsid w:val="0058257B"/>
    <w:pPr>
      <w:keepNext/>
      <w:keepLines/>
      <w:spacing w:before="240" w:after="180" w:line="240" w:lineRule="atLeast"/>
      <w:outlineLvl w:val="4"/>
    </w:pPr>
    <w:rPr>
      <w:rFonts w:ascii="Tahoma" w:hAnsi="Tahoma" w:eastAsiaTheme="minorHAnsi" w:cs="Tahoma"/>
      <w:b/>
      <w:bCs/>
      <w:color w:val="00305F"/>
      <w:sz w:val="24"/>
      <w:szCs w:val="24"/>
    </w:rPr>
  </w:style>
  <w:style w:type="paragraph" w:customStyle="1" w:styleId="a24">
    <w:name w:val="קריאות"/>
    <w:basedOn w:val="Normal"/>
    <w:next w:val="Normal"/>
    <w:rsid w:val="00E83A18"/>
    <w:pPr>
      <w:spacing w:after="0" w:line="240" w:lineRule="exact"/>
      <w:jc w:val="both"/>
    </w:pPr>
    <w:rPr>
      <w:rFonts w:ascii="David" w:eastAsia="Times New Roman" w:hAnsi="David" w:cs="David"/>
      <w:sz w:val="24"/>
      <w:szCs w:val="24"/>
      <w:u w:val="single"/>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7.jpeg"/><Relationship Id="rId26" Type="http://schemas.openxmlformats.org/officeDocument/2006/relationships/image" Target="media/image15.emf"/><Relationship Id="rId21" Type="http://schemas.openxmlformats.org/officeDocument/2006/relationships/image" Target="media/image10.jpeg"/><Relationship Id="rId3" Type="http://schemas.openxmlformats.org/officeDocument/2006/relationships/settings" Target="settings.xml"/><Relationship Id="rId34" Type="http://schemas.openxmlformats.org/officeDocument/2006/relationships/customXml" Target="../customXml/item2.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emf"/><Relationship Id="rId33" Type="http://schemas.openxmlformats.org/officeDocument/2006/relationships/styles" Target="styles.xml"/><Relationship Id="rId7" Type="http://schemas.openxmlformats.org/officeDocument/2006/relationships/footer" Target="footer1.xml"/><Relationship Id="rId16" Type="http://schemas.openxmlformats.org/officeDocument/2006/relationships/image" Target="media/image5.jpeg"/><Relationship Id="rId2" Type="http://schemas.openxmlformats.org/officeDocument/2006/relationships/endnotes" Target="endnotes.xml"/><Relationship Id="rId20" Type="http://schemas.openxmlformats.org/officeDocument/2006/relationships/image" Target="media/image9.jpeg"/><Relationship Id="rId29" Type="http://schemas.openxmlformats.org/officeDocument/2006/relationships/header" Target="header6.xml"/><Relationship Id="rId1"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numbering" Target="numbering.xml"/><Relationship Id="rId6" Type="http://schemas.openxmlformats.org/officeDocument/2006/relationships/customXml" Target="../customXml/item1.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5.xml"/><Relationship Id="rId5" Type="http://schemas.openxmlformats.org/officeDocument/2006/relationships/fontTable" Target="fontTable.xml"/><Relationship Id="rId36" Type="http://schemas.openxmlformats.org/officeDocument/2006/relationships/customXml" Target="../customXml/item4.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theme" Target="theme/theme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1.xml"/><Relationship Id="rId35" Type="http://schemas.openxmlformats.org/officeDocument/2006/relationships/customXml" Target="../customXml/item3.xml"/><Relationship Id="rId8" Type="http://schemas.openxmlformats.org/officeDocument/2006/relationships/footer" Target="footer2.xml"/></Relationships>
</file>

<file path=word/_rels/header1.xml.rels><?xml version="1.0" encoding="utf-8" standalone="yes"?><Relationships xmlns="http://schemas.openxmlformats.org/package/2006/relationships"><Relationship Id="rId1" Type="http://schemas.openxmlformats.org/officeDocument/2006/relationships/image" Target="media/image1.jpeg" /></Relationships>
</file>

<file path=word/_rels/header5.xml.rels><?xml version="1.0" encoding="utf-8" standalone="yes"?><Relationships xmlns="http://schemas.openxmlformats.org/package/2006/relationships"><Relationship Id="rId1" Type="http://schemas.openxmlformats.org/officeDocument/2006/relationships/image" Target="media/image17.jpeg" /></Relationships>
</file>

<file path=word/_rels/header6.xml.rels><?xml version="1.0" encoding="utf-8" standalone="yes"?><Relationships xmlns="http://schemas.openxmlformats.org/package/2006/relationships"><Relationship Id="rId1" Type="http://schemas.openxmlformats.org/officeDocument/2006/relationships/image" Target="media/image18.jpeg" /></Relationships>
</file>

<file path=word/_rels/numbering.xml.rels><?xml version="1.0" encoding="utf-8" standalone="yes"?><Relationships xmlns="http://schemas.openxmlformats.org/package/2006/relationships"><Relationship Id="rId1" Type="http://schemas.openxmlformats.org/officeDocument/2006/relationships/image" Target="media/image19.png" /></Relationships>
</file>

<file path=word/theme/_rels/theme1.xml.rels><?xml version="1.0" encoding="utf-8" standalone="yes"?><Relationships xmlns="http://schemas.openxmlformats.org/package/2006/relationships"><Relationship Id="rId1" Type="http://schemas.openxmlformats.org/officeDocument/2006/relationships/image" Target="../media/image20.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A1DF395-4A6D-4BC0-978A-D3BFA99824FB}">
  <ds:schemaRefs>
    <ds:schemaRef ds:uri="http://schemas.openxmlformats.org/officeDocument/2006/bibliography"/>
  </ds:schemaRefs>
</ds:datastoreItem>
</file>

<file path=customXml/itemProps2.xml><?xml version="1.0" encoding="utf-8"?>
<ds:datastoreItem xmlns:ds="http://schemas.openxmlformats.org/officeDocument/2006/customXml" ds:itemID="{49C7A810-6EA3-43B1-AFB7-E8F1BD6A7EC8}"/>
</file>

<file path=customXml/itemProps3.xml><?xml version="1.0" encoding="utf-8"?>
<ds:datastoreItem xmlns:ds="http://schemas.openxmlformats.org/officeDocument/2006/customXml" ds:itemID="{F34E4F0E-6FF7-4149-B13D-47646BE7AF47}"/>
</file>

<file path=customXml/itemProps4.xml><?xml version="1.0" encoding="utf-8"?>
<ds:datastoreItem xmlns:ds="http://schemas.openxmlformats.org/officeDocument/2006/customXml" ds:itemID="{9990F760-A6B9-4763-A638-6CFF02D15611}"/>
</file>

<file path=docProps/app.xml><?xml version="1.0" encoding="utf-8"?>
<Properties xmlns="http://schemas.openxmlformats.org/officeDocument/2006/extended-properties" xmlns:vt="http://schemas.openxmlformats.org/officeDocument/2006/docPropsVTypes">
  <Template>Normal.dotm</Template>
  <TotalTime>86</TotalTime>
  <Pages>39</Pages>
  <Words>14521</Words>
  <Characters>72608</Characters>
  <Application>Microsoft Office Word</Application>
  <DocSecurity>0</DocSecurity>
  <Lines>605</Lines>
  <Paragraphs>173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86956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Safety – Special Report</dc:title>
  <cp:lastModifiedBy>סטודיו אי.אר.</cp:lastModifiedBy>
  <cp:revision>9</cp:revision>
  <cp:lastPrinted>2022-08-30T09:23:00Z</cp:lastPrinted>
  <dcterms:created xsi:type="dcterms:W3CDTF">2024-09-16T11:12:00Z</dcterms:created>
  <dcterms:modified xsi:type="dcterms:W3CDTF">2024-09-18T08:16:00Z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